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4924">
      <w:pPr>
        <w:pStyle w:val="9"/>
        <w:rPr>
          <w:color w:val="auto"/>
        </w:rPr>
      </w:pPr>
      <w:bookmarkStart w:id="0" w:name="SectionMark0"/>
      <w:r>
        <w:rPr>
          <w:color w:val="auto"/>
        </w:rPr>
        <mc:AlternateContent>
          <mc:Choice Requires="wps">
            <w:drawing>
              <wp:anchor distT="0" distB="0" distL="114300" distR="114300" simplePos="0" relativeHeight="251668480" behindDoc="0" locked="1" layoutInCell="0" allowOverlap="1">
                <wp:simplePos x="0" y="0"/>
                <wp:positionH relativeFrom="margin">
                  <wp:posOffset>919480</wp:posOffset>
                </wp:positionH>
                <wp:positionV relativeFrom="margin">
                  <wp:posOffset>9006205</wp:posOffset>
                </wp:positionV>
                <wp:extent cx="3736975" cy="342265"/>
                <wp:effectExtent l="0" t="0" r="9525" b="635"/>
                <wp:wrapNone/>
                <wp:docPr id="22" name="fmFrame7"/>
                <wp:cNvGraphicFramePr/>
                <a:graphic xmlns:a="http://schemas.openxmlformats.org/drawingml/2006/main">
                  <a:graphicData uri="http://schemas.microsoft.com/office/word/2010/wordprocessingShape">
                    <wps:wsp>
                      <wps:cNvSpPr txBox="1">
                        <a:spLocks noChangeArrowheads="1"/>
                      </wps:cNvSpPr>
                      <wps:spPr bwMode="auto">
                        <a:xfrm>
                          <a:off x="0" y="0"/>
                          <a:ext cx="3736975" cy="342265"/>
                        </a:xfrm>
                        <a:prstGeom prst="rect">
                          <a:avLst/>
                        </a:prstGeom>
                        <a:solidFill>
                          <a:srgbClr val="FFFFFF"/>
                        </a:solidFill>
                        <a:ln>
                          <a:noFill/>
                        </a:ln>
                        <a:effectLst/>
                      </wps:spPr>
                      <wps:txbx>
                        <w:txbxContent>
                          <w:p w14:paraId="7297BC3C">
                            <w:pPr>
                              <w:pStyle w:val="17"/>
                              <w:jc w:val="distribute"/>
                              <w:rPr>
                                <w:rFonts w:hint="eastAsia" w:ascii="新宋体" w:hAnsi="新宋体" w:eastAsia="新宋体" w:cs="新宋体"/>
                                <w:sz w:val="28"/>
                                <w:szCs w:val="28"/>
                              </w:rPr>
                            </w:pPr>
                            <w:r>
                              <w:rPr>
                                <w:rFonts w:hint="eastAsia" w:ascii="Times New Roman" w:eastAsia="黑体"/>
                                <w:b w:val="0"/>
                                <w:spacing w:val="0"/>
                                <w:w w:val="100"/>
                                <w:sz w:val="32"/>
                                <w:szCs w:val="32"/>
                              </w:rPr>
                              <w:t>中华人民共和国国家市场监督管理总局</w:t>
                            </w:r>
                          </w:p>
                          <w:p w14:paraId="45D7093A">
                            <w:pPr>
                              <w:pStyle w:val="11"/>
                              <w:ind w:firstLine="0" w:firstLineChars="0"/>
                              <w:jc w:val="distribute"/>
                              <w:rPr>
                                <w:b/>
                                <w:spacing w:val="20"/>
                                <w:w w:val="135"/>
                                <w:sz w:val="28"/>
                                <w:szCs w:val="28"/>
                              </w:rPr>
                            </w:pPr>
                          </w:p>
                          <w:p w14:paraId="06952BB9">
                            <w:pPr>
                              <w:pStyle w:val="11"/>
                              <w:ind w:firstLine="560"/>
                              <w:jc w:val="distribute"/>
                              <w:rPr>
                                <w:sz w:val="28"/>
                                <w:szCs w:val="28"/>
                              </w:rPr>
                            </w:pPr>
                          </w:p>
                          <w:p w14:paraId="7DA25B08">
                            <w:pPr>
                              <w:pStyle w:val="11"/>
                              <w:ind w:firstLine="560"/>
                              <w:jc w:val="distribute"/>
                              <w:rPr>
                                <w:sz w:val="28"/>
                                <w:szCs w:val="28"/>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2.4pt;margin-top:709.15pt;height:26.95pt;width:294.25pt;mso-position-horizontal-relative:margin;mso-position-vertical-relative:margin;z-index:251668480;mso-width-relative:page;mso-height-relative:page;" fillcolor="#FFFFFF" filled="t" stroked="f" coordsize="21600,21600" o:allowincell="f" o:gfxdata="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RWva9oAAAANAQAA&#10;DwAAAAAAAAABACAAAAAiAAAAZHJzL2Rvd25yZXYueG1sUEsBAhQAFAAAAAgAh07iQK5t7JcXAgAA&#10;OgQAAA4AAAAAAAAAAQAgAAAAKQEAAGRycy9lMm9Eb2MueG1sUEsFBgAAAAAGAAYAWQEAALIFAAAA&#10;AA==&#10;">
                <v:fill on="t" focussize="0,0"/>
                <v:stroke on="f"/>
                <v:imagedata o:title=""/>
                <o:lock v:ext="edit" aspectratio="f"/>
                <v:textbox inset="0mm,0mm,0mm,0mm">
                  <w:txbxContent>
                    <w:p w14:paraId="7297BC3C">
                      <w:pPr>
                        <w:pStyle w:val="17"/>
                        <w:jc w:val="distribute"/>
                        <w:rPr>
                          <w:rFonts w:hint="eastAsia" w:ascii="新宋体" w:hAnsi="新宋体" w:eastAsia="新宋体" w:cs="新宋体"/>
                          <w:sz w:val="28"/>
                          <w:szCs w:val="28"/>
                        </w:rPr>
                      </w:pPr>
                      <w:r>
                        <w:rPr>
                          <w:rFonts w:hint="eastAsia" w:ascii="Times New Roman" w:eastAsia="黑体"/>
                          <w:b w:val="0"/>
                          <w:spacing w:val="0"/>
                          <w:w w:val="100"/>
                          <w:sz w:val="32"/>
                          <w:szCs w:val="32"/>
                        </w:rPr>
                        <w:t>中华人民共和国国家市场监督管理总局</w:t>
                      </w:r>
                    </w:p>
                    <w:p w14:paraId="45D7093A">
                      <w:pPr>
                        <w:pStyle w:val="11"/>
                        <w:ind w:firstLine="0" w:firstLineChars="0"/>
                        <w:jc w:val="distribute"/>
                        <w:rPr>
                          <w:b/>
                          <w:spacing w:val="20"/>
                          <w:w w:val="135"/>
                          <w:sz w:val="28"/>
                          <w:szCs w:val="28"/>
                        </w:rPr>
                      </w:pPr>
                    </w:p>
                    <w:p w14:paraId="06952BB9">
                      <w:pPr>
                        <w:pStyle w:val="11"/>
                        <w:ind w:firstLine="560"/>
                        <w:jc w:val="distribute"/>
                        <w:rPr>
                          <w:sz w:val="28"/>
                          <w:szCs w:val="28"/>
                        </w:rPr>
                      </w:pPr>
                    </w:p>
                    <w:p w14:paraId="7DA25B08">
                      <w:pPr>
                        <w:pStyle w:val="11"/>
                        <w:ind w:firstLine="560"/>
                        <w:jc w:val="distribute"/>
                        <w:rPr>
                          <w:sz w:val="28"/>
                          <w:szCs w:val="28"/>
                        </w:rPr>
                      </w:pPr>
                    </w:p>
                  </w:txbxContent>
                </v:textbox>
                <w10:anchorlock/>
              </v:shape>
            </w:pict>
          </mc:Fallback>
        </mc:AlternateContent>
      </w:r>
      <w:r>
        <w:rPr>
          <w:color w:val="auto"/>
        </w:rPr>
        <w:drawing>
          <wp:anchor distT="0" distB="0" distL="114300" distR="114300" simplePos="0" relativeHeight="251667456" behindDoc="0" locked="1" layoutInCell="0" allowOverlap="1">
            <wp:simplePos x="0" y="0"/>
            <wp:positionH relativeFrom="margin">
              <wp:posOffset>4342765</wp:posOffset>
            </wp:positionH>
            <wp:positionV relativeFrom="margin">
              <wp:posOffset>116840</wp:posOffset>
            </wp:positionV>
            <wp:extent cx="1439545" cy="720090"/>
            <wp:effectExtent l="0" t="0" r="8255" b="3810"/>
            <wp:wrapNone/>
            <wp:docPr id="1" name="HBPicture" descr="GB"/>
            <wp:cNvGraphicFramePr/>
            <a:graphic xmlns:a="http://schemas.openxmlformats.org/drawingml/2006/main">
              <a:graphicData uri="http://schemas.openxmlformats.org/drawingml/2006/picture">
                <pic:pic xmlns:pic="http://schemas.openxmlformats.org/drawingml/2006/picture">
                  <pic:nvPicPr>
                    <pic:cNvPr id="1" name="HBPicture" descr="GB"/>
                    <pic:cNvPicPr/>
                  </pic:nvPicPr>
                  <pic:blipFill>
                    <a:blip r:embed="rId13"/>
                    <a:stretch>
                      <a:fillRect/>
                    </a:stretch>
                  </pic:blipFill>
                  <pic:spPr>
                    <a:xfrm>
                      <a:off x="0" y="0"/>
                      <a:ext cx="1439545" cy="720090"/>
                    </a:xfrm>
                    <a:prstGeom prst="rect">
                      <a:avLst/>
                    </a:prstGeom>
                    <a:noFill/>
                    <a:ln>
                      <a:noFill/>
                    </a:ln>
                  </pic:spPr>
                </pic:pic>
              </a:graphicData>
            </a:graphic>
          </wp:anchor>
        </w:drawing>
      </w:r>
      <w:r>
        <w:rPr>
          <w:color w:val="auto"/>
        </w:rPr>
        <mc:AlternateContent>
          <mc:Choice Requires="wps">
            <w:drawing>
              <wp:anchor distT="0" distB="0" distL="114300" distR="114300" simplePos="0" relativeHeight="251664384" behindDoc="0" locked="1" layoutInCell="0" allowOverlap="1">
                <wp:simplePos x="0" y="0"/>
                <wp:positionH relativeFrom="margin">
                  <wp:posOffset>913130</wp:posOffset>
                </wp:positionH>
                <wp:positionV relativeFrom="margin">
                  <wp:posOffset>9273540</wp:posOffset>
                </wp:positionV>
                <wp:extent cx="3743960" cy="347345"/>
                <wp:effectExtent l="0" t="0" r="2540" b="8255"/>
                <wp:wrapNone/>
                <wp:docPr id="20" name="fmFrame7"/>
                <wp:cNvGraphicFramePr/>
                <a:graphic xmlns:a="http://schemas.openxmlformats.org/drawingml/2006/main">
                  <a:graphicData uri="http://schemas.microsoft.com/office/word/2010/wordprocessingShape">
                    <wps:wsp>
                      <wps:cNvSpPr txBox="1">
                        <a:spLocks noChangeArrowheads="1"/>
                      </wps:cNvSpPr>
                      <wps:spPr bwMode="auto">
                        <a:xfrm>
                          <a:off x="0" y="0"/>
                          <a:ext cx="3743960" cy="347345"/>
                        </a:xfrm>
                        <a:prstGeom prst="rect">
                          <a:avLst/>
                        </a:prstGeom>
                        <a:solidFill>
                          <a:srgbClr val="FFFFFF"/>
                        </a:solidFill>
                        <a:ln>
                          <a:noFill/>
                        </a:ln>
                        <a:effectLst/>
                      </wps:spPr>
                      <wps:txbx>
                        <w:txbxContent>
                          <w:p w14:paraId="11A55BF6">
                            <w:pPr>
                              <w:pStyle w:val="17"/>
                              <w:jc w:val="distribute"/>
                              <w:rPr>
                                <w:rFonts w:ascii="Times New Roman" w:eastAsia="黑体"/>
                                <w:b w:val="0"/>
                                <w:spacing w:val="0"/>
                                <w:w w:val="100"/>
                                <w:sz w:val="32"/>
                                <w:szCs w:val="32"/>
                              </w:rPr>
                            </w:pPr>
                            <w:r>
                              <w:rPr>
                                <w:rFonts w:hint="eastAsia" w:ascii="Times New Roman" w:eastAsia="黑体"/>
                                <w:b w:val="0"/>
                                <w:spacing w:val="0"/>
                                <w:w w:val="100"/>
                                <w:sz w:val="32"/>
                                <w:szCs w:val="32"/>
                              </w:rPr>
                              <w:t>中国国家标准化管理委员会</w:t>
                            </w:r>
                          </w:p>
                          <w:p w14:paraId="2873A0A1">
                            <w:pPr>
                              <w:pStyle w:val="17"/>
                              <w:jc w:val="distribute"/>
                              <w:rPr>
                                <w:rFonts w:ascii="Times New Roman" w:eastAsia="黑体"/>
                                <w:b w:val="0"/>
                                <w:spacing w:val="0"/>
                                <w:w w:val="100"/>
                                <w:sz w:val="32"/>
                                <w:szCs w:val="32"/>
                              </w:rPr>
                            </w:pPr>
                          </w:p>
                          <w:p w14:paraId="5849B2C6">
                            <w:pPr>
                              <w:pStyle w:val="11"/>
                              <w:ind w:firstLine="420"/>
                              <w:jc w:val="distribute"/>
                            </w:pPr>
                          </w:p>
                          <w:p w14:paraId="4B497909">
                            <w:pPr>
                              <w:pStyle w:val="11"/>
                              <w:ind w:firstLine="420"/>
                              <w:jc w:val="distribute"/>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1.9pt;margin-top:730.2pt;height:27.35pt;width:294.8pt;mso-position-horizontal-relative:margin;mso-position-vertical-relative:margin;z-index:251664384;mso-width-relative:page;mso-height-relative:page;" fillcolor="#FFFFFF" filled="t" stroked="f" coordsize="21600,21600" o:allowincell="f" o:gfxdata="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GtXZAAAADQEAAA8A&#10;AAAAAAAAAQAgAAAAIgAAAGRycy9kb3ducmV2LnhtbFBLAQIUABQAAAAIAIdO4kAHHhzsFgIAADoE&#10;AAAOAAAAAAAAAAEAIAAAACgBAABkcnMvZTJvRG9jLnhtbFBLBQYAAAAABgAGAFkBAACwBQAAAAA=&#10;">
                <v:fill on="t" focussize="0,0"/>
                <v:stroke on="f"/>
                <v:imagedata o:title=""/>
                <o:lock v:ext="edit" aspectratio="f"/>
                <v:textbox inset="0mm,0mm,0mm,0mm">
                  <w:txbxContent>
                    <w:p w14:paraId="11A55BF6">
                      <w:pPr>
                        <w:pStyle w:val="17"/>
                        <w:jc w:val="distribute"/>
                        <w:rPr>
                          <w:rFonts w:ascii="Times New Roman" w:eastAsia="黑体"/>
                          <w:b w:val="0"/>
                          <w:spacing w:val="0"/>
                          <w:w w:val="100"/>
                          <w:sz w:val="32"/>
                          <w:szCs w:val="32"/>
                        </w:rPr>
                      </w:pPr>
                      <w:r>
                        <w:rPr>
                          <w:rFonts w:hint="eastAsia" w:ascii="Times New Roman" w:eastAsia="黑体"/>
                          <w:b w:val="0"/>
                          <w:spacing w:val="0"/>
                          <w:w w:val="100"/>
                          <w:sz w:val="32"/>
                          <w:szCs w:val="32"/>
                        </w:rPr>
                        <w:t>中国国家标准化管理委员会</w:t>
                      </w:r>
                    </w:p>
                    <w:p w14:paraId="2873A0A1">
                      <w:pPr>
                        <w:pStyle w:val="17"/>
                        <w:jc w:val="distribute"/>
                        <w:rPr>
                          <w:rFonts w:ascii="Times New Roman" w:eastAsia="黑体"/>
                          <w:b w:val="0"/>
                          <w:spacing w:val="0"/>
                          <w:w w:val="100"/>
                          <w:sz w:val="32"/>
                          <w:szCs w:val="32"/>
                        </w:rPr>
                      </w:pPr>
                    </w:p>
                    <w:p w14:paraId="5849B2C6">
                      <w:pPr>
                        <w:pStyle w:val="11"/>
                        <w:ind w:firstLine="420"/>
                        <w:jc w:val="distribute"/>
                      </w:pPr>
                    </w:p>
                    <w:p w14:paraId="4B497909">
                      <w:pPr>
                        <w:pStyle w:val="11"/>
                        <w:ind w:firstLine="420"/>
                        <w:jc w:val="distribute"/>
                      </w:pPr>
                    </w:p>
                  </w:txbxContent>
                </v:textbox>
                <w10:anchorlock/>
              </v:shape>
            </w:pict>
          </mc:Fallback>
        </mc:AlternateContent>
      </w:r>
      <w:r>
        <w:rPr>
          <w:color w:val="auto"/>
        </w:rPr>
        <mc:AlternateContent>
          <mc:Choice Requires="wps">
            <w:drawing>
              <wp:anchor distT="0" distB="0" distL="114300" distR="114300" simplePos="0" relativeHeight="251663360" behindDoc="0" locked="1" layoutInCell="1" allowOverlap="1">
                <wp:simplePos x="0" y="0"/>
                <wp:positionH relativeFrom="margin">
                  <wp:posOffset>4000500</wp:posOffset>
                </wp:positionH>
                <wp:positionV relativeFrom="margin">
                  <wp:posOffset>8559165</wp:posOffset>
                </wp:positionV>
                <wp:extent cx="2019300" cy="312420"/>
                <wp:effectExtent l="0" t="0" r="0" b="5080"/>
                <wp:wrapNone/>
                <wp:docPr id="19"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75436927">
                            <w:pPr>
                              <w:pStyle w:val="18"/>
                            </w:pPr>
                            <w:r>
                              <w:rPr>
                                <w:rFonts w:hint="eastAsia"/>
                              </w:rPr>
                              <w:t>20</w:t>
                            </w:r>
                            <w:r>
                              <w:t>2</w:t>
                            </w:r>
                            <w:r>
                              <w:rPr>
                                <w:rFonts w:hint="eastAsia"/>
                                <w:color w:val="000000"/>
                              </w:rPr>
                              <w:t>X-XX-XX</w:t>
                            </w:r>
                            <w:r>
                              <w:rPr>
                                <w:rFonts w:hint="eastAsia"/>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15pt;margin-top:673.95pt;height:24.6pt;width:159pt;mso-position-horizontal-relative:margin;mso-position-vertical-relative:margin;z-index:251663360;mso-width-relative:page;mso-height-relative:page;" fillcolor="#FFFFFF" filled="t" stroked="f" coordsize="21600,21600" o:gfxdata="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kyGP2gAAAA0BAAAPAAAA&#10;AAAAAAEAIAAAACIAAABkcnMvZG93bnJldi54bWxQSwECFAAUAAAACACHTuJAXnBzWhMCAAA6BAAA&#10;DgAAAAAAAAABACAAAAApAQAAZHJzL2Uyb0RvYy54bWxQSwUGAAAAAAYABgBZAQAArgUAAAAA&#10;">
                <v:fill on="t" focussize="0,0"/>
                <v:stroke on="f"/>
                <v:imagedata o:title=""/>
                <o:lock v:ext="edit" aspectratio="f"/>
                <v:textbox inset="0mm,0mm,0mm,0mm">
                  <w:txbxContent>
                    <w:p w14:paraId="75436927">
                      <w:pPr>
                        <w:pStyle w:val="18"/>
                      </w:pPr>
                      <w:r>
                        <w:rPr>
                          <w:rFonts w:hint="eastAsia"/>
                        </w:rPr>
                        <w:t>20</w:t>
                      </w:r>
                      <w:r>
                        <w:t>2</w:t>
                      </w:r>
                      <w:r>
                        <w:rPr>
                          <w:rFonts w:hint="eastAsia"/>
                          <w:color w:val="000000"/>
                        </w:rPr>
                        <w:t>X-XX-XX</w:t>
                      </w:r>
                      <w:r>
                        <w:rPr>
                          <w:rFonts w:hint="eastAsia"/>
                        </w:rPr>
                        <w:t>实施</w:t>
                      </w:r>
                    </w:p>
                  </w:txbxContent>
                </v:textbox>
                <w10:anchorlock/>
              </v:shape>
            </w:pict>
          </mc:Fallback>
        </mc:AlternateContent>
      </w:r>
      <w:r>
        <w:rPr>
          <w:color w:val="auto"/>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8559800</wp:posOffset>
                </wp:positionV>
                <wp:extent cx="2019300" cy="312420"/>
                <wp:effectExtent l="0" t="0" r="0" b="5080"/>
                <wp:wrapNone/>
                <wp:docPr id="18"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7897209C">
                            <w:pPr>
                              <w:pStyle w:val="19"/>
                              <w:rPr>
                                <w:color w:val="000000"/>
                              </w:rPr>
                            </w:pPr>
                            <w:r>
                              <w:rPr>
                                <w:rFonts w:hint="eastAsia"/>
                              </w:rPr>
                              <w:t>20</w:t>
                            </w:r>
                            <w:r>
                              <w:rPr>
                                <w:color w:val="000000"/>
                              </w:rPr>
                              <w:t>2</w:t>
                            </w:r>
                            <w:r>
                              <w:rPr>
                                <w:rFonts w:hint="eastAsia"/>
                                <w:color w:val="000000"/>
                              </w:rPr>
                              <w:t>X-XX-XX发布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pt;height:24.6pt;width:159pt;mso-position-horizontal-relative:margin;mso-position-vertical-relative:margin;z-index:251662336;mso-width-relative:page;mso-height-relative:page;" fillcolor="#FFFFFF" filled="t" stroked="f" coordsize="21600,21600" o:gfxdata="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UtD27WAAAACgEAAA8AAAAAAAAA&#10;AQAgAAAAIgAAAGRycy9kb3ducmV2LnhtbFBLAQIUABQAAAAIAIdO4kD3VFj6EwIAADoEAAAOAAAA&#10;AAAAAAEAIAAAACUBAABkcnMvZTJvRG9jLnhtbFBLBQYAAAAABgAGAFkBAACqBQAAAAA=&#10;">
                <v:fill on="t" focussize="0,0"/>
                <v:stroke on="f"/>
                <v:imagedata o:title=""/>
                <o:lock v:ext="edit" aspectratio="f"/>
                <v:textbox inset="0mm,0mm,0mm,0mm">
                  <w:txbxContent>
                    <w:p w14:paraId="7897209C">
                      <w:pPr>
                        <w:pStyle w:val="19"/>
                        <w:rPr>
                          <w:color w:val="000000"/>
                        </w:rPr>
                      </w:pPr>
                      <w:r>
                        <w:rPr>
                          <w:rFonts w:hint="eastAsia"/>
                        </w:rPr>
                        <w:t>20</w:t>
                      </w:r>
                      <w:r>
                        <w:rPr>
                          <w:color w:val="000000"/>
                        </w:rPr>
                        <w:t>2</w:t>
                      </w:r>
                      <w:r>
                        <w:rPr>
                          <w:rFonts w:hint="eastAsia"/>
                          <w:color w:val="000000"/>
                        </w:rPr>
                        <w:t>X-XX-XX发布</w:t>
                      </w:r>
                    </w:p>
                  </w:txbxContent>
                </v:textbox>
                <w10:anchorlock/>
              </v:shape>
            </w:pict>
          </mc:Fallback>
        </mc:AlternateContent>
      </w:r>
      <w:r>
        <w:rPr>
          <w:color w:val="auto"/>
        </w:rPr>
        <mc:AlternateContent>
          <mc:Choice Requires="wps">
            <w:drawing>
              <wp:anchor distT="0" distB="0" distL="114300" distR="114300" simplePos="0" relativeHeight="251661312" behindDoc="0" locked="1" layoutInCell="0" allowOverlap="1">
                <wp:simplePos x="0" y="0"/>
                <wp:positionH relativeFrom="margin">
                  <wp:align>right</wp:align>
                </wp:positionH>
                <wp:positionV relativeFrom="margin">
                  <wp:posOffset>3785870</wp:posOffset>
                </wp:positionV>
                <wp:extent cx="6121400" cy="3738245"/>
                <wp:effectExtent l="0" t="0" r="0" b="8255"/>
                <wp:wrapNone/>
                <wp:docPr id="17" name="fmFrame4"/>
                <wp:cNvGraphicFramePr/>
                <a:graphic xmlns:a="http://schemas.openxmlformats.org/drawingml/2006/main">
                  <a:graphicData uri="http://schemas.microsoft.com/office/word/2010/wordprocessingShape">
                    <wps:wsp>
                      <wps:cNvSpPr txBox="1">
                        <a:spLocks noChangeArrowheads="1"/>
                      </wps:cNvSpPr>
                      <wps:spPr bwMode="auto">
                        <a:xfrm>
                          <a:off x="0" y="0"/>
                          <a:ext cx="6121400" cy="3738245"/>
                        </a:xfrm>
                        <a:prstGeom prst="rect">
                          <a:avLst/>
                        </a:prstGeom>
                        <a:solidFill>
                          <a:srgbClr val="FFFFFF"/>
                        </a:solidFill>
                        <a:ln>
                          <a:noFill/>
                        </a:ln>
                        <a:effectLst/>
                      </wps:spPr>
                      <wps:txbx>
                        <w:txbxContent>
                          <w:p w14:paraId="442FB8A2">
                            <w:pPr>
                              <w:pStyle w:val="20"/>
                              <w:spacing w:before="0" w:line="770" w:lineRule="exact"/>
                              <w:rPr>
                                <w:rFonts w:hint="eastAsia" w:ascii="黑体" w:hAnsi="宋体" w:eastAsia="黑体"/>
                                <w:sz w:val="52"/>
                                <w:szCs w:val="52"/>
                              </w:rPr>
                            </w:pPr>
                            <w:r>
                              <w:rPr>
                                <w:rFonts w:hint="eastAsia" w:ascii="黑体" w:hAnsi="宋体" w:eastAsia="黑体"/>
                                <w:sz w:val="52"/>
                                <w:szCs w:val="52"/>
                              </w:rPr>
                              <w:t>离子型稀土矿混合稀土氧化物</w:t>
                            </w:r>
                          </w:p>
                          <w:p w14:paraId="67DB9E27">
                            <w:pPr>
                              <w:pStyle w:val="20"/>
                              <w:spacing w:before="0" w:line="770" w:lineRule="exact"/>
                              <w:rPr>
                                <w:rFonts w:hint="eastAsia" w:ascii="黑体" w:hAnsi="宋体" w:eastAsia="黑体"/>
                                <w:sz w:val="52"/>
                                <w:szCs w:val="52"/>
                              </w:rPr>
                            </w:pPr>
                            <w:r>
                              <w:rPr>
                                <w:rFonts w:hint="eastAsia" w:ascii="黑体" w:hAnsi="宋体" w:eastAsia="黑体"/>
                                <w:sz w:val="52"/>
                                <w:szCs w:val="52"/>
                              </w:rPr>
                              <w:t>化学分析方法</w:t>
                            </w:r>
                            <w:r>
                              <w:rPr>
                                <w:rFonts w:hint="eastAsia" w:ascii="黑体" w:hAnsi="宋体" w:eastAsia="黑体"/>
                                <w:sz w:val="52"/>
                                <w:szCs w:val="52"/>
                                <w:lang w:val="en-US" w:eastAsia="zh-CN"/>
                              </w:rPr>
                              <w:t xml:space="preserve"> 第6部分</w:t>
                            </w:r>
                            <w:r>
                              <w:rPr>
                                <w:rFonts w:hint="eastAsia" w:ascii="黑体" w:hAnsi="宋体" w:eastAsia="黑体"/>
                                <w:sz w:val="52"/>
                                <w:szCs w:val="52"/>
                              </w:rPr>
                              <w:t>：</w:t>
                            </w:r>
                          </w:p>
                          <w:p w14:paraId="51A28BF2">
                            <w:pPr>
                              <w:pStyle w:val="20"/>
                              <w:spacing w:before="0" w:line="770" w:lineRule="exact"/>
                              <w:rPr>
                                <w:rFonts w:eastAsia="黑体"/>
                                <w:color w:val="FF0000"/>
                                <w:sz w:val="52"/>
                                <w:szCs w:val="52"/>
                              </w:rPr>
                            </w:pPr>
                            <w:r>
                              <w:rPr>
                                <w:rFonts w:hint="eastAsia" w:ascii="黑体" w:hAnsi="宋体" w:eastAsia="黑体"/>
                                <w:sz w:val="52"/>
                                <w:szCs w:val="52"/>
                              </w:rPr>
                              <w:t>钍、铀含量的测定</w:t>
                            </w:r>
                          </w:p>
                          <w:p w14:paraId="769EBC04">
                            <w:pPr>
                              <w:pStyle w:val="20"/>
                              <w:keepNext w:val="0"/>
                              <w:keepLines w:val="0"/>
                              <w:pageBreakBefore w:val="0"/>
                              <w:widowControl w:val="0"/>
                              <w:kinsoku/>
                              <w:wordWrap/>
                              <w:overflowPunct/>
                              <w:topLinePunct w:val="0"/>
                              <w:bidi w:val="0"/>
                              <w:adjustRightInd/>
                              <w:snapToGrid/>
                              <w:spacing w:before="0" w:line="60" w:lineRule="atLeast"/>
                              <w:textAlignment w:val="auto"/>
                              <w:rPr>
                                <w:rFonts w:hint="eastAsia"/>
                              </w:rPr>
                            </w:pPr>
                            <w:r>
                              <w:rPr>
                                <w:rFonts w:hint="eastAsia"/>
                              </w:rPr>
                              <w:t xml:space="preserve">Chemical analysis method for mixed rare earth oxide of ion-adsorption </w:t>
                            </w:r>
                          </w:p>
                          <w:p w14:paraId="42058AA7">
                            <w:pPr>
                              <w:pStyle w:val="20"/>
                              <w:keepNext w:val="0"/>
                              <w:keepLines w:val="0"/>
                              <w:pageBreakBefore w:val="0"/>
                              <w:widowControl w:val="0"/>
                              <w:kinsoku/>
                              <w:wordWrap/>
                              <w:overflowPunct/>
                              <w:topLinePunct w:val="0"/>
                              <w:bidi w:val="0"/>
                              <w:adjustRightInd/>
                              <w:snapToGrid/>
                              <w:spacing w:before="0" w:line="60" w:lineRule="atLeast"/>
                              <w:textAlignment w:val="auto"/>
                              <w:rPr>
                                <w:rFonts w:hint="eastAsia"/>
                              </w:rPr>
                            </w:pPr>
                            <w:r>
                              <w:rPr>
                                <w:rFonts w:hint="eastAsia"/>
                              </w:rPr>
                              <w:t>rare earth ore—</w:t>
                            </w:r>
                          </w:p>
                          <w:p w14:paraId="1464FD77">
                            <w:pPr>
                              <w:pStyle w:val="20"/>
                              <w:keepNext w:val="0"/>
                              <w:keepLines w:val="0"/>
                              <w:pageBreakBefore w:val="0"/>
                              <w:widowControl w:val="0"/>
                              <w:kinsoku/>
                              <w:wordWrap/>
                              <w:overflowPunct/>
                              <w:topLinePunct w:val="0"/>
                              <w:bidi w:val="0"/>
                              <w:adjustRightInd/>
                              <w:snapToGrid/>
                              <w:spacing w:before="0" w:line="60" w:lineRule="atLeast"/>
                              <w:textAlignment w:val="auto"/>
                            </w:pPr>
                            <w:r>
                              <w:rPr>
                                <w:rFonts w:hint="eastAsia"/>
                                <w:lang w:val="en-US" w:eastAsia="zh-CN"/>
                              </w:rPr>
                              <w:t xml:space="preserve">Part 6: </w:t>
                            </w:r>
                            <w:r>
                              <w:rPr>
                                <w:rFonts w:hint="eastAsia"/>
                              </w:rPr>
                              <w:t>Determination of Thorium and Uranium content</w:t>
                            </w:r>
                          </w:p>
                          <w:p w14:paraId="48E89BFD">
                            <w:pPr>
                              <w:pStyle w:val="20"/>
                            </w:pPr>
                            <w:r>
                              <w:rPr>
                                <w:rFonts w:hint="eastAsia"/>
                              </w:rPr>
                              <w:t>(草案)</w:t>
                            </w:r>
                          </w:p>
                          <w:p w14:paraId="69C7A278">
                            <w:pPr>
                              <w:pStyle w:val="21"/>
                            </w:pPr>
                          </w:p>
                          <w:p w14:paraId="0CB8D714">
                            <w:pPr>
                              <w:pStyle w:val="22"/>
                              <w:jc w:val="both"/>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top:298.1pt;height:294.35pt;width:482pt;mso-position-horizontal:right;mso-position-horizontal-relative:margin;mso-position-vertical-relative:margin;z-index:251661312;mso-width-relative:page;mso-height-relative:page;" fillcolor="#FFFFFF" filled="t" stroked="f" coordsize="21600,21600" o:allowincell="f" o:gfxdata="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e9abNgAAAAJAQAADwAA&#10;AAAAAAABACAAAAAiAAAAZHJzL2Rvd25yZXYueG1sUEsBAhQAFAAAAAgAh07iQNiIGu0WAgAAOwQA&#10;AA4AAAAAAAAAAQAgAAAAJwEAAGRycy9lMm9Eb2MueG1sUEsFBgAAAAAGAAYAWQEAAK8FAAAAAA==&#10;">
                <v:fill on="t" focussize="0,0"/>
                <v:stroke on="f"/>
                <v:imagedata o:title=""/>
                <o:lock v:ext="edit" aspectratio="f"/>
                <v:textbox inset="0mm,0mm,0mm,0mm">
                  <w:txbxContent>
                    <w:p w14:paraId="442FB8A2">
                      <w:pPr>
                        <w:pStyle w:val="20"/>
                        <w:spacing w:before="0" w:line="770" w:lineRule="exact"/>
                        <w:rPr>
                          <w:rFonts w:hint="eastAsia" w:ascii="黑体" w:hAnsi="宋体" w:eastAsia="黑体"/>
                          <w:sz w:val="52"/>
                          <w:szCs w:val="52"/>
                        </w:rPr>
                      </w:pPr>
                      <w:r>
                        <w:rPr>
                          <w:rFonts w:hint="eastAsia" w:ascii="黑体" w:hAnsi="宋体" w:eastAsia="黑体"/>
                          <w:sz w:val="52"/>
                          <w:szCs w:val="52"/>
                        </w:rPr>
                        <w:t>离子型稀土矿混合稀土氧化物</w:t>
                      </w:r>
                    </w:p>
                    <w:p w14:paraId="67DB9E27">
                      <w:pPr>
                        <w:pStyle w:val="20"/>
                        <w:spacing w:before="0" w:line="770" w:lineRule="exact"/>
                        <w:rPr>
                          <w:rFonts w:hint="eastAsia" w:ascii="黑体" w:hAnsi="宋体" w:eastAsia="黑体"/>
                          <w:sz w:val="52"/>
                          <w:szCs w:val="52"/>
                        </w:rPr>
                      </w:pPr>
                      <w:r>
                        <w:rPr>
                          <w:rFonts w:hint="eastAsia" w:ascii="黑体" w:hAnsi="宋体" w:eastAsia="黑体"/>
                          <w:sz w:val="52"/>
                          <w:szCs w:val="52"/>
                        </w:rPr>
                        <w:t>化学分析方法</w:t>
                      </w:r>
                      <w:r>
                        <w:rPr>
                          <w:rFonts w:hint="eastAsia" w:ascii="黑体" w:hAnsi="宋体" w:eastAsia="黑体"/>
                          <w:sz w:val="52"/>
                          <w:szCs w:val="52"/>
                          <w:lang w:val="en-US" w:eastAsia="zh-CN"/>
                        </w:rPr>
                        <w:t xml:space="preserve"> 第6部分</w:t>
                      </w:r>
                      <w:r>
                        <w:rPr>
                          <w:rFonts w:hint="eastAsia" w:ascii="黑体" w:hAnsi="宋体" w:eastAsia="黑体"/>
                          <w:sz w:val="52"/>
                          <w:szCs w:val="52"/>
                        </w:rPr>
                        <w:t>：</w:t>
                      </w:r>
                    </w:p>
                    <w:p w14:paraId="51A28BF2">
                      <w:pPr>
                        <w:pStyle w:val="20"/>
                        <w:spacing w:before="0" w:line="770" w:lineRule="exact"/>
                        <w:rPr>
                          <w:rFonts w:eastAsia="黑体"/>
                          <w:color w:val="FF0000"/>
                          <w:sz w:val="52"/>
                          <w:szCs w:val="52"/>
                        </w:rPr>
                      </w:pPr>
                      <w:r>
                        <w:rPr>
                          <w:rFonts w:hint="eastAsia" w:ascii="黑体" w:hAnsi="宋体" w:eastAsia="黑体"/>
                          <w:sz w:val="52"/>
                          <w:szCs w:val="52"/>
                        </w:rPr>
                        <w:t>钍、铀含量的测定</w:t>
                      </w:r>
                    </w:p>
                    <w:p w14:paraId="769EBC04">
                      <w:pPr>
                        <w:pStyle w:val="20"/>
                        <w:keepNext w:val="0"/>
                        <w:keepLines w:val="0"/>
                        <w:pageBreakBefore w:val="0"/>
                        <w:widowControl w:val="0"/>
                        <w:kinsoku/>
                        <w:wordWrap/>
                        <w:overflowPunct/>
                        <w:topLinePunct w:val="0"/>
                        <w:bidi w:val="0"/>
                        <w:adjustRightInd/>
                        <w:snapToGrid/>
                        <w:spacing w:before="0" w:line="60" w:lineRule="atLeast"/>
                        <w:textAlignment w:val="auto"/>
                        <w:rPr>
                          <w:rFonts w:hint="eastAsia"/>
                        </w:rPr>
                      </w:pPr>
                      <w:r>
                        <w:rPr>
                          <w:rFonts w:hint="eastAsia"/>
                        </w:rPr>
                        <w:t xml:space="preserve">Chemical analysis method for mixed rare earth oxide of ion-adsorption </w:t>
                      </w:r>
                    </w:p>
                    <w:p w14:paraId="42058AA7">
                      <w:pPr>
                        <w:pStyle w:val="20"/>
                        <w:keepNext w:val="0"/>
                        <w:keepLines w:val="0"/>
                        <w:pageBreakBefore w:val="0"/>
                        <w:widowControl w:val="0"/>
                        <w:kinsoku/>
                        <w:wordWrap/>
                        <w:overflowPunct/>
                        <w:topLinePunct w:val="0"/>
                        <w:bidi w:val="0"/>
                        <w:adjustRightInd/>
                        <w:snapToGrid/>
                        <w:spacing w:before="0" w:line="60" w:lineRule="atLeast"/>
                        <w:textAlignment w:val="auto"/>
                        <w:rPr>
                          <w:rFonts w:hint="eastAsia"/>
                        </w:rPr>
                      </w:pPr>
                      <w:r>
                        <w:rPr>
                          <w:rFonts w:hint="eastAsia"/>
                        </w:rPr>
                        <w:t>rare earth ore—</w:t>
                      </w:r>
                    </w:p>
                    <w:p w14:paraId="1464FD77">
                      <w:pPr>
                        <w:pStyle w:val="20"/>
                        <w:keepNext w:val="0"/>
                        <w:keepLines w:val="0"/>
                        <w:pageBreakBefore w:val="0"/>
                        <w:widowControl w:val="0"/>
                        <w:kinsoku/>
                        <w:wordWrap/>
                        <w:overflowPunct/>
                        <w:topLinePunct w:val="0"/>
                        <w:bidi w:val="0"/>
                        <w:adjustRightInd/>
                        <w:snapToGrid/>
                        <w:spacing w:before="0" w:line="60" w:lineRule="atLeast"/>
                        <w:textAlignment w:val="auto"/>
                      </w:pPr>
                      <w:r>
                        <w:rPr>
                          <w:rFonts w:hint="eastAsia"/>
                          <w:lang w:val="en-US" w:eastAsia="zh-CN"/>
                        </w:rPr>
                        <w:t xml:space="preserve">Part 6: </w:t>
                      </w:r>
                      <w:r>
                        <w:rPr>
                          <w:rFonts w:hint="eastAsia"/>
                        </w:rPr>
                        <w:t>Determination of Thorium and Uranium content</w:t>
                      </w:r>
                    </w:p>
                    <w:p w14:paraId="48E89BFD">
                      <w:pPr>
                        <w:pStyle w:val="20"/>
                      </w:pPr>
                      <w:r>
                        <w:rPr>
                          <w:rFonts w:hint="eastAsia"/>
                        </w:rPr>
                        <w:t>(草案)</w:t>
                      </w:r>
                    </w:p>
                    <w:p w14:paraId="69C7A278">
                      <w:pPr>
                        <w:pStyle w:val="21"/>
                      </w:pPr>
                    </w:p>
                    <w:p w14:paraId="0CB8D714">
                      <w:pPr>
                        <w:pStyle w:val="22"/>
                        <w:jc w:val="both"/>
                      </w:pPr>
                    </w:p>
                  </w:txbxContent>
                </v:textbox>
                <w10:anchorlock/>
              </v:shape>
            </w:pict>
          </mc:Fallback>
        </mc:AlternateContent>
      </w:r>
      <w:r>
        <w:rPr>
          <w:color w:val="auto"/>
        </w:rPr>
        <mc:AlternateContent>
          <mc:Choice Requires="wps">
            <w:drawing>
              <wp:anchor distT="0" distB="0" distL="114300" distR="114300" simplePos="0" relativeHeight="251660288" behindDoc="0" locked="1" layoutInCell="0" allowOverlap="1">
                <wp:simplePos x="0" y="0"/>
                <wp:positionH relativeFrom="margin">
                  <wp:posOffset>66675</wp:posOffset>
                </wp:positionH>
                <wp:positionV relativeFrom="margin">
                  <wp:posOffset>1063625</wp:posOffset>
                </wp:positionV>
                <wp:extent cx="6067425" cy="391160"/>
                <wp:effectExtent l="0" t="0" r="3175" b="2540"/>
                <wp:wrapNone/>
                <wp:docPr id="16" name="fmFrame2"/>
                <wp:cNvGraphicFramePr/>
                <a:graphic xmlns:a="http://schemas.openxmlformats.org/drawingml/2006/main">
                  <a:graphicData uri="http://schemas.microsoft.com/office/word/2010/wordprocessingShape">
                    <wps:wsp>
                      <wps:cNvSpPr txBox="1">
                        <a:spLocks noChangeArrowheads="1"/>
                      </wps:cNvSpPr>
                      <wps:spPr bwMode="auto">
                        <a:xfrm>
                          <a:off x="0" y="0"/>
                          <a:ext cx="6067425" cy="391160"/>
                        </a:xfrm>
                        <a:prstGeom prst="rect">
                          <a:avLst/>
                        </a:prstGeom>
                        <a:solidFill>
                          <a:srgbClr val="FFFFFF"/>
                        </a:solidFill>
                        <a:ln>
                          <a:noFill/>
                        </a:ln>
                        <a:effectLst/>
                      </wps:spPr>
                      <wps:txbx>
                        <w:txbxContent>
                          <w:p w14:paraId="1BAC5AFF">
                            <w:pPr>
                              <w:pStyle w:val="23"/>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5.25pt;margin-top:83.75pt;height:30.8pt;width:477.75pt;mso-position-horizontal-relative:margin;mso-position-vertical-relative:margin;z-index:251660288;mso-width-relative:page;mso-height-relative:page;" fillcolor="#FFFFFF" filled="t" stroked="f" coordsize="21600,21600" o:allowincell="f" o:gfxdata="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a1Qp2AAAAAoBAAAPAAAA&#10;AAAAAAEAIAAAACIAAABkcnMvZG93bnJldi54bWxQSwECFAAUAAAACACHTuJAL/MoxhUCAAA6BAAA&#10;DgAAAAAAAAABACAAAAAnAQAAZHJzL2Uyb0RvYy54bWxQSwUGAAAAAAYABgBZAQAArgUAAAAA&#10;">
                <v:fill on="t" focussize="0,0"/>
                <v:stroke on="f"/>
                <v:imagedata o:title=""/>
                <o:lock v:ext="edit" aspectratio="f"/>
                <v:textbox inset="0mm,0mm,0mm,0mm">
                  <w:txbxContent>
                    <w:p w14:paraId="1BAC5AFF">
                      <w:pPr>
                        <w:pStyle w:val="23"/>
                      </w:pPr>
                      <w:r>
                        <w:rPr>
                          <w:rFonts w:hint="eastAsia"/>
                        </w:rPr>
                        <w:t>中华人民共和国国家标准</w:t>
                      </w:r>
                    </w:p>
                  </w:txbxContent>
                </v:textbox>
                <w10:anchorlock/>
              </v:shape>
            </w:pict>
          </mc:Fallback>
        </mc:AlternateContent>
      </w:r>
      <w:r>
        <w:rPr>
          <w:color w:val="auto"/>
        </w:rPr>
        <mc:AlternateContent>
          <mc:Choice Requires="wps">
            <w:drawing>
              <wp:anchor distT="0" distB="0" distL="114300" distR="114300" simplePos="0" relativeHeight="251659264" behindDoc="0" locked="1" layoutInCell="0" allowOverlap="1">
                <wp:simplePos x="0" y="0"/>
                <wp:positionH relativeFrom="margin">
                  <wp:posOffset>-5080</wp:posOffset>
                </wp:positionH>
                <wp:positionV relativeFrom="margin">
                  <wp:posOffset>-17145</wp:posOffset>
                </wp:positionV>
                <wp:extent cx="923925" cy="390525"/>
                <wp:effectExtent l="0" t="0" r="3175" b="3175"/>
                <wp:wrapNone/>
                <wp:docPr id="15" name="fmFrame1"/>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FFFFF"/>
                        </a:solidFill>
                        <a:ln>
                          <a:noFill/>
                        </a:ln>
                        <a:effectLst/>
                      </wps:spPr>
                      <wps:txbx>
                        <w:txbxContent>
                          <w:p w14:paraId="34119BF2">
                            <w:pPr>
                              <w:pStyle w:val="24"/>
                            </w:pPr>
                            <w:r>
                              <w:t>ICS 77.120</w:t>
                            </w:r>
                            <w:r>
                              <w:rPr>
                                <w:rFonts w:hint="eastAsia"/>
                              </w:rPr>
                              <w:t>.99</w:t>
                            </w:r>
                          </w:p>
                          <w:p w14:paraId="0FA0BE81">
                            <w:pPr>
                              <w:pStyle w:val="24"/>
                            </w:pPr>
                            <w:r>
                              <w:rPr>
                                <w:rFonts w:hint="eastAsia"/>
                              </w:rPr>
                              <w:t xml:space="preserve">CCS </w:t>
                            </w:r>
                            <w:r>
                              <w:t xml:space="preserve">H </w:t>
                            </w:r>
                            <w:r>
                              <w:rPr>
                                <w:rFonts w:hint="eastAsia"/>
                              </w:rPr>
                              <w:t>14</w:t>
                            </w:r>
                          </w:p>
                          <w:p w14:paraId="5F30ED7F">
                            <w:pPr>
                              <w:pStyle w:val="24"/>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4pt;margin-top:-1.35pt;height:30.75pt;width:72.75pt;mso-position-horizontal-relative:margin;mso-position-vertical-relative:margin;z-index:251659264;mso-width-relative:page;mso-height-relative:page;" fillcolor="#FFFFFF" filled="t" stroked="f" coordsize="21600,21600" o:allowincell="f" o:gfxdata="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rUZ4dUAAAAHAQAADwAAAAAAAAAB&#10;ACAAAAAiAAAAZHJzL2Rvd25yZXYueG1sUEsBAhQAFAAAAAgAh07iQNCxZBkTAgAAOQQAAA4AAAAA&#10;AAAAAQAgAAAAJAEAAGRycy9lMm9Eb2MueG1sUEsFBgAAAAAGAAYAWQEAAKkFAAAAAA==&#10;">
                <v:fill on="t" focussize="0,0"/>
                <v:stroke on="f"/>
                <v:imagedata o:title=""/>
                <o:lock v:ext="edit" aspectratio="f"/>
                <v:textbox inset="0mm,0mm,0mm,0mm">
                  <w:txbxContent>
                    <w:p w14:paraId="34119BF2">
                      <w:pPr>
                        <w:pStyle w:val="24"/>
                      </w:pPr>
                      <w:r>
                        <w:t>ICS 77.120</w:t>
                      </w:r>
                      <w:r>
                        <w:rPr>
                          <w:rFonts w:hint="eastAsia"/>
                        </w:rPr>
                        <w:t>.99</w:t>
                      </w:r>
                    </w:p>
                    <w:p w14:paraId="0FA0BE81">
                      <w:pPr>
                        <w:pStyle w:val="24"/>
                      </w:pPr>
                      <w:r>
                        <w:rPr>
                          <w:rFonts w:hint="eastAsia"/>
                        </w:rPr>
                        <w:t xml:space="preserve">CCS </w:t>
                      </w:r>
                      <w:r>
                        <w:t xml:space="preserve">H </w:t>
                      </w:r>
                      <w:r>
                        <w:rPr>
                          <w:rFonts w:hint="eastAsia"/>
                        </w:rPr>
                        <w:t>14</w:t>
                      </w:r>
                    </w:p>
                    <w:p w14:paraId="5F30ED7F">
                      <w:pPr>
                        <w:pStyle w:val="24"/>
                      </w:pPr>
                    </w:p>
                  </w:txbxContent>
                </v:textbox>
                <w10:anchorlock/>
              </v:shape>
            </w:pict>
          </mc:Fallback>
        </mc:AlternateContent>
      </w:r>
    </w:p>
    <w:p w14:paraId="2BB4687C">
      <w:pPr>
        <w:rPr>
          <w:color w:val="auto"/>
        </w:rPr>
      </w:pPr>
      <w:r>
        <w:rPr>
          <w:rFonts w:hint="eastAsia"/>
          <w:color w:val="auto"/>
        </w:rPr>
        <w:t>CCSc</w:t>
      </w:r>
    </w:p>
    <w:p w14:paraId="79EE2F67">
      <w:pPr>
        <w:rPr>
          <w:color w:val="auto"/>
        </w:rPr>
      </w:pPr>
    </w:p>
    <w:p w14:paraId="79DE4B1A">
      <w:pPr>
        <w:rPr>
          <w:color w:val="auto"/>
        </w:rPr>
      </w:pPr>
    </w:p>
    <w:p w14:paraId="7040C239">
      <w:pPr>
        <w:rPr>
          <w:color w:val="auto"/>
        </w:rPr>
      </w:pPr>
    </w:p>
    <w:p w14:paraId="6AFF6255">
      <w:pPr>
        <w:rPr>
          <w:color w:val="auto"/>
        </w:rPr>
      </w:pPr>
    </w:p>
    <w:p w14:paraId="240F6547">
      <w:pPr>
        <w:rPr>
          <w:color w:val="auto"/>
        </w:rPr>
      </w:pPr>
    </w:p>
    <w:p w14:paraId="691BD528">
      <w:pPr>
        <w:rPr>
          <w:color w:val="auto"/>
        </w:rPr>
      </w:pPr>
    </w:p>
    <w:p w14:paraId="0C7E4C4D">
      <w:pPr>
        <w:rPr>
          <w:color w:val="auto"/>
        </w:rPr>
      </w:pPr>
    </w:p>
    <w:p w14:paraId="1C4076E1">
      <w:pPr>
        <w:rPr>
          <w:color w:val="auto"/>
        </w:rPr>
      </w:pPr>
      <w:r>
        <w:rPr>
          <w:color w:val="auto"/>
        </w:rPr>
        <mc:AlternateContent>
          <mc:Choice Requires="wps">
            <w:drawing>
              <wp:anchor distT="0" distB="0" distL="114300" distR="114300" simplePos="0" relativeHeight="251670528" behindDoc="0" locked="0" layoutInCell="1" allowOverlap="1">
                <wp:simplePos x="0" y="0"/>
                <wp:positionH relativeFrom="margin">
                  <wp:posOffset>269240</wp:posOffset>
                </wp:positionH>
                <wp:positionV relativeFrom="paragraph">
                  <wp:posOffset>60325</wp:posOffset>
                </wp:positionV>
                <wp:extent cx="5716905" cy="486410"/>
                <wp:effectExtent l="0" t="0" r="0" b="0"/>
                <wp:wrapNone/>
                <wp:docPr id="14"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5716905" cy="486410"/>
                        </a:xfrm>
                        <a:prstGeom prst="rect">
                          <a:avLst/>
                        </a:prstGeom>
                        <a:noFill/>
                        <a:ln>
                          <a:noFill/>
                        </a:ln>
                        <a:effectLst/>
                      </wps:spPr>
                      <wps:txbx>
                        <w:txbxContent>
                          <w:p w14:paraId="6DD3FE0C">
                            <w:r>
                              <w:t>GB/T</w:t>
                            </w:r>
                            <w:r>
                              <w:rPr>
                                <w:rFonts w:hint="eastAsia"/>
                              </w:rPr>
                              <w:t xml:space="preserve"> XXXXXX</w:t>
                            </w:r>
                            <w:r>
                              <w:t>—202X</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21.2pt;margin-top:4.75pt;height:38.3pt;width:450.15pt;mso-position-horizontal-relative:margin;z-index:251670528;mso-width-relative:page;mso-height-relative:page;" filled="f" stroked="f" coordsize="21600,21600" o:gfxdata="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klzt/VAAAABwEA&#10;AA8AAAAAAAAAAQAgAAAAIgAAAGRycy9kb3ducmV2LnhtbFBLAQIUABQAAAAIAIdO4kC1m2hMHQIA&#10;ACUEAAAOAAAAAAAAAAEAIAAAACQBAABkcnMvZTJvRG9jLnhtbFBLBQYAAAAABgAGAFkBAACzBQAA&#10;AAA=&#10;">
                <v:fill on="f" focussize="0,0"/>
                <v:stroke on="f"/>
                <v:imagedata o:title=""/>
                <o:lock v:ext="edit" aspectratio="f"/>
                <v:textbox>
                  <w:txbxContent>
                    <w:p w14:paraId="6DD3FE0C">
                      <w:r>
                        <w:t>GB/T</w:t>
                      </w:r>
                      <w:r>
                        <w:rPr>
                          <w:rFonts w:hint="eastAsia"/>
                        </w:rPr>
                        <w:t xml:space="preserve"> XXXXXX</w:t>
                      </w:r>
                      <w:r>
                        <w:t>—202X</w:t>
                      </w:r>
                    </w:p>
                  </w:txbxContent>
                </v:textbox>
              </v:shape>
            </w:pict>
          </mc:Fallback>
        </mc:AlternateContent>
      </w:r>
    </w:p>
    <w:p w14:paraId="1D919D63">
      <w:pPr>
        <w:rPr>
          <w:color w:val="auto"/>
        </w:rPr>
      </w:pPr>
      <w:r>
        <w:rPr>
          <w:color w:val="auto"/>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351155</wp:posOffset>
                </wp:positionV>
                <wp:extent cx="6121400" cy="0"/>
                <wp:effectExtent l="0" t="6350" r="0" b="6350"/>
                <wp:wrapSquare wrapText="bothSides"/>
                <wp:docPr id="13" name="直线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anchor>
            </w:drawing>
          </mc:Choice>
          <mc:Fallback>
            <w:pict>
              <v:line id="直线 10" o:spid="_x0000_s1026" o:spt="20" style="position:absolute;left:0pt;margin-left:0pt;margin-top:27.65pt;height:0pt;width:482pt;mso-position-horizontal-relative:margin;mso-wrap-distance-bottom:0pt;mso-wrap-distance-left:9pt;mso-wrap-distance-right:9pt;mso-wrap-distance-top:0pt;z-index:251665408;mso-width-relative:page;mso-height-relative:page;" filled="f" stroked="t" coordsize="21600,21600" o:gfxdata="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lW5nfVAAAABgEAAA8AAAAAAAAA&#10;AQAgAAAAIgAAAGRycy9kb3ducmV2LnhtbFBLAQIUABQAAAAIAIdO4kA+D1+F2wEAALIDAAAOAAAA&#10;AAAAAAEAIAAAACQBAABkcnMvZTJvRG9jLnhtbFBLBQYAAAAABgAGAFkBAABxBQAAAAA=&#10;">
                <v:fill on="f" focussize="0,0"/>
                <v:stroke weight="1pt" color="#000000" joinstyle="round"/>
                <v:imagedata o:title=""/>
                <o:lock v:ext="edit" aspectratio="f"/>
                <w10:wrap type="square"/>
              </v:line>
            </w:pict>
          </mc:Fallback>
        </mc:AlternateContent>
      </w:r>
    </w:p>
    <w:p w14:paraId="5B10D5FB">
      <w:pPr>
        <w:rPr>
          <w:color w:val="auto"/>
        </w:rPr>
      </w:pPr>
    </w:p>
    <w:p w14:paraId="3386705E">
      <w:pPr>
        <w:rPr>
          <w:color w:val="auto"/>
        </w:rPr>
      </w:pPr>
    </w:p>
    <w:p w14:paraId="1E609B33">
      <w:pPr>
        <w:rPr>
          <w:color w:val="auto"/>
        </w:rPr>
      </w:pPr>
    </w:p>
    <w:p w14:paraId="6251EC10">
      <w:pPr>
        <w:rPr>
          <w:color w:val="auto"/>
        </w:rPr>
      </w:pPr>
    </w:p>
    <w:p w14:paraId="2482F077">
      <w:pPr>
        <w:rPr>
          <w:color w:val="auto"/>
        </w:rPr>
      </w:pPr>
    </w:p>
    <w:p w14:paraId="44CD43F8">
      <w:pPr>
        <w:rPr>
          <w:color w:val="auto"/>
        </w:rPr>
      </w:pPr>
    </w:p>
    <w:p w14:paraId="585FCB9B">
      <w:pPr>
        <w:rPr>
          <w:color w:val="auto"/>
        </w:rPr>
      </w:pPr>
    </w:p>
    <w:p w14:paraId="6CD122F9">
      <w:pPr>
        <w:rPr>
          <w:color w:val="auto"/>
        </w:rPr>
      </w:pPr>
    </w:p>
    <w:p w14:paraId="6758A3CA">
      <w:pPr>
        <w:rPr>
          <w:color w:val="auto"/>
        </w:rPr>
      </w:pPr>
    </w:p>
    <w:p w14:paraId="1647FB99">
      <w:pPr>
        <w:rPr>
          <w:color w:val="auto"/>
        </w:rPr>
      </w:pPr>
    </w:p>
    <w:p w14:paraId="00CD23D8">
      <w:pPr>
        <w:rPr>
          <w:color w:val="auto"/>
        </w:rPr>
      </w:pPr>
    </w:p>
    <w:p w14:paraId="655153D7">
      <w:pPr>
        <w:rPr>
          <w:color w:val="auto"/>
        </w:rPr>
      </w:pPr>
      <w:r>
        <w:rPr>
          <w:color w:val="auto"/>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4384040</wp:posOffset>
                </wp:positionV>
                <wp:extent cx="6121400" cy="0"/>
                <wp:effectExtent l="0" t="6350" r="0" b="6350"/>
                <wp:wrapSquare wrapText="bothSides"/>
                <wp:docPr id="11" name="直线 11"/>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anchor>
            </w:drawing>
          </mc:Choice>
          <mc:Fallback>
            <w:pict>
              <v:line id="直线 11" o:spid="_x0000_s1026" o:spt="20" style="position:absolute;left:0pt;margin-left:0pt;margin-top:345.2pt;height:0pt;width:482pt;mso-position-horizontal-relative:margin;mso-wrap-distance-bottom:0pt;mso-wrap-distance-left:9pt;mso-wrap-distance-right:9pt;mso-wrap-distance-top:0pt;z-index:251666432;mso-width-relative:page;mso-height-relative:page;" filled="f" stroked="t" coordsize="21600,21600" o:gfxdata="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2K4ADWAAAACAEAAA8AAAAAAAAA&#10;AQAgAAAAIgAAAGRycy9kb3ducmV2LnhtbFBLAQIUABQAAAAIAIdO4kCbFej32gEAALIDAAAOAAAA&#10;AAAAAAEAIAAAACUBAABkcnMvZTJvRG9jLnhtbFBLBQYAAAAABgAGAFkBAABxBQAAAAA=&#10;">
                <v:fill on="f" focussize="0,0"/>
                <v:stroke weight="1pt" color="#000000" joinstyle="round"/>
                <v:imagedata o:title=""/>
                <o:lock v:ext="edit" aspectratio="f"/>
                <w10:wrap type="square"/>
              </v:line>
            </w:pict>
          </mc:Fallback>
        </mc:AlternateContent>
      </w:r>
      <w:r>
        <w:rPr>
          <w:rFonts w:hint="eastAsia"/>
          <w:color w:val="auto"/>
        </w:rPr>
        <w:tab/>
      </w:r>
    </w:p>
    <w:p w14:paraId="32637899">
      <w:pPr>
        <w:rPr>
          <w:color w:val="auto"/>
        </w:rPr>
      </w:pPr>
    </w:p>
    <w:p w14:paraId="3582BBBC">
      <w:pPr>
        <w:rPr>
          <w:color w:val="auto"/>
        </w:rPr>
      </w:pPr>
    </w:p>
    <w:p w14:paraId="21F4280A">
      <w:pPr>
        <w:rPr>
          <w:color w:val="auto"/>
        </w:rPr>
      </w:pPr>
    </w:p>
    <w:p w14:paraId="2F1C9390">
      <w:pPr>
        <w:rPr>
          <w:color w:val="auto"/>
        </w:rPr>
      </w:pPr>
    </w:p>
    <w:p w14:paraId="366C2EF7">
      <w:pPr>
        <w:rPr>
          <w:color w:val="auto"/>
        </w:rPr>
      </w:pPr>
    </w:p>
    <w:p w14:paraId="40115304">
      <w:pPr>
        <w:rPr>
          <w:color w:val="auto"/>
        </w:rPr>
      </w:pPr>
    </w:p>
    <w:p w14:paraId="417D1831">
      <w:pPr>
        <w:rPr>
          <w:color w:val="auto"/>
        </w:rPr>
      </w:pPr>
    </w:p>
    <w:p w14:paraId="28301AB1">
      <w:pPr>
        <w:rPr>
          <w:color w:val="auto"/>
        </w:rPr>
      </w:pPr>
    </w:p>
    <w:p w14:paraId="2386DD38">
      <w:pPr>
        <w:rPr>
          <w:color w:val="auto"/>
        </w:rPr>
      </w:pPr>
    </w:p>
    <w:p w14:paraId="5134E969">
      <w:pPr>
        <w:rPr>
          <w:color w:val="auto"/>
        </w:rPr>
      </w:pPr>
    </w:p>
    <w:p w14:paraId="591E7A89">
      <w:pPr>
        <w:rPr>
          <w:color w:val="auto"/>
        </w:rPr>
      </w:pPr>
    </w:p>
    <w:p w14:paraId="6A071461">
      <w:pPr>
        <w:rPr>
          <w:color w:val="auto"/>
        </w:rPr>
      </w:pPr>
    </w:p>
    <w:p w14:paraId="3EAA4995">
      <w:pPr>
        <w:rPr>
          <w:color w:val="auto"/>
        </w:rPr>
      </w:pPr>
    </w:p>
    <w:p w14:paraId="33734B7C">
      <w:pPr>
        <w:rPr>
          <w:color w:val="auto"/>
        </w:rPr>
      </w:pPr>
    </w:p>
    <w:p w14:paraId="0782C73D">
      <w:pPr>
        <w:rPr>
          <w:color w:val="auto"/>
        </w:rPr>
      </w:pPr>
    </w:p>
    <w:p w14:paraId="02263470">
      <w:pPr>
        <w:rPr>
          <w:color w:val="auto"/>
        </w:rPr>
      </w:pPr>
    </w:p>
    <w:p w14:paraId="7959D332">
      <w:pPr>
        <w:rPr>
          <w:color w:val="auto"/>
        </w:rPr>
        <w:sectPr>
          <w:headerReference r:id="rId5" w:type="first"/>
          <w:headerReference r:id="rId3" w:type="default"/>
          <w:footerReference r:id="rId6" w:type="default"/>
          <w:headerReference r:id="rId4" w:type="even"/>
          <w:footerReference r:id="rId7" w:type="even"/>
          <w:pgSz w:w="11907" w:h="16839"/>
          <w:pgMar w:top="567" w:right="851" w:bottom="1418" w:left="1418" w:header="0" w:footer="0" w:gutter="0"/>
          <w:pgNumType w:fmt="upperRoman" w:start="1"/>
          <w:cols w:space="720" w:num="1"/>
          <w:titlePg/>
          <w:docGrid w:type="lines" w:linePitch="312" w:charSpace="0"/>
        </w:sectPr>
      </w:pPr>
      <w:r>
        <w:rPr>
          <w:color w:val="auto"/>
        </w:rPr>
        <mc:AlternateContent>
          <mc:Choice Requires="wps">
            <w:drawing>
              <wp:anchor distT="0" distB="0" distL="114300" distR="114300" simplePos="0" relativeHeight="251669504" behindDoc="0" locked="0" layoutInCell="1" allowOverlap="1">
                <wp:simplePos x="0" y="0"/>
                <wp:positionH relativeFrom="column">
                  <wp:posOffset>4739005</wp:posOffset>
                </wp:positionH>
                <wp:positionV relativeFrom="paragraph">
                  <wp:posOffset>1221105</wp:posOffset>
                </wp:positionV>
                <wp:extent cx="621665" cy="471170"/>
                <wp:effectExtent l="4445" t="4445" r="8890" b="6985"/>
                <wp:wrapNone/>
                <wp:docPr id="12"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621792" cy="471170"/>
                        </a:xfrm>
                        <a:prstGeom prst="rect">
                          <a:avLst/>
                        </a:prstGeom>
                        <a:solidFill>
                          <a:srgbClr val="FFFFFF"/>
                        </a:solidFill>
                        <a:ln w="9525">
                          <a:solidFill>
                            <a:srgbClr val="FFFFFF"/>
                          </a:solidFill>
                          <a:miter lim="800000"/>
                        </a:ln>
                        <a:effectLst/>
                      </wps:spPr>
                      <wps:txbx>
                        <w:txbxContent>
                          <w:p w14:paraId="0BF23871">
                            <w:pPr>
                              <w:rPr>
                                <w:rFonts w:hint="eastAsia"/>
                              </w:rPr>
                            </w:pPr>
                            <w:r>
                              <w:rPr>
                                <w:rFonts w:hint="eastAsia"/>
                              </w:rPr>
                              <w:t>发布</w:t>
                            </w: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373.15pt;margin-top:96.15pt;height:37.1pt;width:48.95pt;z-index:251669504;mso-width-relative:page;mso-height-relative:page;" fillcolor="#FFFFFF" filled="t" stroked="t" coordsize="21600,21600" o:gfxdata="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wy1YtkAAAALAQAADwAAAAAAAAABACAA&#10;AAAiAAAAZHJzL2Rvd25yZXYueG1sUEsBAhQAFAAAAAgAh07iQGZmlfFFAgAAlgQAAA4AAAAAAAAA&#10;AQAgAAAAKAEAAGRycy9lMm9Eb2MueG1sUEsFBgAAAAAGAAYAWQEAAN8FAAAAAA==&#10;">
                <v:fill on="t" focussize="0,0"/>
                <v:stroke color="#FFFFFF" miterlimit="8" joinstyle="miter"/>
                <v:imagedata o:title=""/>
                <o:lock v:ext="edit" aspectratio="f"/>
                <v:textbox>
                  <w:txbxContent>
                    <w:p w14:paraId="0BF23871">
                      <w:pPr>
                        <w:rPr>
                          <w:rFonts w:hint="eastAsia"/>
                        </w:rPr>
                      </w:pPr>
                      <w:r>
                        <w:rPr>
                          <w:rFonts w:hint="eastAsia"/>
                        </w:rPr>
                        <w:t>发布</w:t>
                      </w:r>
                    </w:p>
                  </w:txbxContent>
                </v:textbox>
              </v:shape>
            </w:pict>
          </mc:Fallback>
        </mc:AlternateContent>
      </w:r>
    </w:p>
    <w:bookmarkEnd w:id="0"/>
    <w:p w14:paraId="3F479AE3">
      <w:pPr>
        <w:pStyle w:val="10"/>
        <w:numPr>
          <w:ilvl w:val="0"/>
          <w:numId w:val="0"/>
        </w:numPr>
        <w:spacing w:before="851" w:after="680"/>
        <w:rPr>
          <w:color w:val="auto"/>
        </w:rPr>
      </w:pPr>
      <w:bookmarkStart w:id="1" w:name="SectionMark2"/>
      <w:r>
        <w:rPr>
          <w:rFonts w:hint="eastAsia"/>
          <w:color w:val="auto"/>
        </w:rPr>
        <w:t>前   言</w:t>
      </w:r>
    </w:p>
    <w:bookmarkEnd w:id="1"/>
    <w:p w14:paraId="694D445B">
      <w:pPr>
        <w:ind w:firstLine="420" w:firstLineChars="200"/>
        <w:rPr>
          <w:rFonts w:hint="eastAsia"/>
          <w:color w:val="auto"/>
        </w:rPr>
      </w:pPr>
      <w:bookmarkStart w:id="2" w:name="SectionMark4"/>
      <w:r>
        <w:rPr>
          <w:rFonts w:hint="eastAsia"/>
          <w:color w:val="auto"/>
        </w:rPr>
        <w:t>本文件按照</w:t>
      </w:r>
      <w:r>
        <w:rPr>
          <w:color w:val="auto"/>
        </w:rPr>
        <w:t>GB/T</w:t>
      </w:r>
      <w:r>
        <w:rPr>
          <w:rFonts w:ascii="Times New Roman" w:hAnsi="Times New Roman"/>
          <w:color w:val="auto"/>
        </w:rPr>
        <w:t> </w:t>
      </w:r>
      <w:r>
        <w:rPr>
          <w:color w:val="auto"/>
        </w:rPr>
        <w:t>1.1-20</w:t>
      </w:r>
      <w:r>
        <w:rPr>
          <w:rFonts w:hint="eastAsia"/>
          <w:color w:val="auto"/>
        </w:rPr>
        <w:t>20《标准化工作导则</w:t>
      </w:r>
      <w:r>
        <w:rPr>
          <w:color w:val="auto"/>
        </w:rPr>
        <w:t> </w:t>
      </w:r>
      <w:r>
        <w:rPr>
          <w:rFonts w:hint="eastAsia"/>
          <w:color w:val="auto"/>
        </w:rPr>
        <w:t>第1部分：标准化文件的结构和起草规则》的规定起草。</w:t>
      </w:r>
    </w:p>
    <w:p w14:paraId="403DA376">
      <w:pPr>
        <w:ind w:firstLine="420" w:firstLineChars="200"/>
        <w:rPr>
          <w:rFonts w:hint="eastAsia"/>
          <w:color w:val="auto"/>
        </w:rPr>
      </w:pPr>
      <w:r>
        <w:rPr>
          <w:rFonts w:hint="eastAsia" w:ascii="宋体" w:hAnsi="宋体"/>
          <w:color w:val="auto"/>
        </w:rPr>
        <w:t>本</w:t>
      </w:r>
      <w:r>
        <w:rPr>
          <w:rFonts w:ascii="宋体" w:hAnsi="宋体"/>
          <w:color w:val="auto"/>
        </w:rPr>
        <w:t>文件是</w:t>
      </w:r>
      <w:r>
        <w:rPr>
          <w:color w:val="auto"/>
        </w:rPr>
        <w:t>GB/T</w:t>
      </w:r>
      <w:r>
        <w:rPr>
          <w:rFonts w:ascii="Times New Roman" w:hAnsi="Times New Roman"/>
          <w:color w:val="auto"/>
        </w:rPr>
        <w:t> </w:t>
      </w:r>
      <w:r>
        <w:rPr>
          <w:color w:val="auto"/>
        </w:rPr>
        <w:t>18882《离子型稀土矿混合稀土氧化物化学分析方法》</w:t>
      </w:r>
      <w:r>
        <w:rPr>
          <w:rFonts w:hint="eastAsia"/>
          <w:color w:val="auto"/>
        </w:rPr>
        <w:t>的</w:t>
      </w:r>
      <w:r>
        <w:rPr>
          <w:color w:val="auto"/>
        </w:rPr>
        <w:t>第</w:t>
      </w:r>
      <w:r>
        <w:rPr>
          <w:rFonts w:hint="eastAsia"/>
          <w:color w:val="auto"/>
        </w:rPr>
        <w:t>4部分</w:t>
      </w:r>
      <w:r>
        <w:rPr>
          <w:color w:val="auto"/>
        </w:rPr>
        <w:t>。GB/T</w:t>
      </w:r>
      <w:r>
        <w:rPr>
          <w:rFonts w:ascii="Times New Roman" w:hAnsi="Times New Roman"/>
          <w:color w:val="auto"/>
        </w:rPr>
        <w:t> </w:t>
      </w:r>
      <w:r>
        <w:rPr>
          <w:color w:val="auto"/>
        </w:rPr>
        <w:t>18882</w:t>
      </w:r>
      <w:r>
        <w:rPr>
          <w:rFonts w:hint="eastAsia"/>
          <w:color w:val="auto"/>
        </w:rPr>
        <w:t>已经</w:t>
      </w:r>
      <w:r>
        <w:rPr>
          <w:color w:val="auto"/>
        </w:rPr>
        <w:t>发布了以下部分：</w:t>
      </w:r>
    </w:p>
    <w:p w14:paraId="5E03BE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——第1部分：十五个稀土元素氧化物配分量的测定；</w:t>
      </w:r>
    </w:p>
    <w:p w14:paraId="097D06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——第2部分：三氧化二铝量的测定；</w:t>
      </w:r>
    </w:p>
    <w:p w14:paraId="444FA6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——第3部分：二氧化硅含量的测定</w:t>
      </w:r>
      <w:r>
        <w:rPr>
          <w:rFonts w:hint="eastAsia"/>
          <w:color w:val="auto"/>
        </w:rPr>
        <w:t>；</w:t>
      </w:r>
    </w:p>
    <w:p w14:paraId="100C5A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——第</w:t>
      </w:r>
      <w:r>
        <w:rPr>
          <w:rFonts w:hint="eastAsia"/>
          <w:color w:val="auto"/>
        </w:rPr>
        <w:t>4</w:t>
      </w:r>
      <w:r>
        <w:rPr>
          <w:color w:val="auto"/>
        </w:rPr>
        <w:t>部分：</w:t>
      </w:r>
      <w:r>
        <w:rPr>
          <w:rFonts w:hint="eastAsia"/>
          <w:color w:val="auto"/>
        </w:rPr>
        <w:t>三</w:t>
      </w:r>
      <w:r>
        <w:rPr>
          <w:color w:val="auto"/>
        </w:rPr>
        <w:t>氧化</w:t>
      </w:r>
      <w:r>
        <w:rPr>
          <w:rFonts w:hint="eastAsia"/>
          <w:color w:val="auto"/>
        </w:rPr>
        <w:t>二铁</w:t>
      </w:r>
      <w:r>
        <w:rPr>
          <w:color w:val="auto"/>
        </w:rPr>
        <w:t>含量的测定</w:t>
      </w:r>
      <w:r>
        <w:rPr>
          <w:rFonts w:hint="eastAsia"/>
          <w:color w:val="auto"/>
        </w:rPr>
        <w:t>；</w:t>
      </w:r>
    </w:p>
    <w:p w14:paraId="0BE144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——第</w:t>
      </w:r>
      <w:r>
        <w:rPr>
          <w:rFonts w:hint="eastAsia"/>
          <w:color w:val="auto"/>
          <w:lang w:val="en-US" w:eastAsia="zh-CN"/>
        </w:rPr>
        <w:t>5</w:t>
      </w:r>
      <w:r>
        <w:rPr>
          <w:color w:val="auto"/>
        </w:rPr>
        <w:t>部分：</w:t>
      </w:r>
      <w:r>
        <w:rPr>
          <w:rFonts w:hint="eastAsia"/>
          <w:color w:val="auto"/>
          <w:lang w:val="en-US" w:eastAsia="zh-CN"/>
        </w:rPr>
        <w:t>硫酸根</w:t>
      </w:r>
      <w:r>
        <w:rPr>
          <w:rFonts w:hint="eastAsia"/>
          <w:color w:val="auto"/>
          <w:lang w:eastAsia="zh-CN"/>
        </w:rPr>
        <w:t>含量</w:t>
      </w:r>
      <w:r>
        <w:rPr>
          <w:rFonts w:hint="eastAsia"/>
          <w:color w:val="auto"/>
        </w:rPr>
        <w:t>的测定。</w:t>
      </w:r>
    </w:p>
    <w:p w14:paraId="0BE50C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——第</w:t>
      </w:r>
      <w:r>
        <w:rPr>
          <w:rFonts w:hint="eastAsia"/>
          <w:color w:val="auto"/>
          <w:lang w:val="en-US" w:eastAsia="zh-CN"/>
        </w:rPr>
        <w:t>6</w:t>
      </w:r>
      <w:r>
        <w:rPr>
          <w:color w:val="auto"/>
        </w:rPr>
        <w:t>部分：</w:t>
      </w:r>
      <w:r>
        <w:rPr>
          <w:rFonts w:hint="eastAsia"/>
          <w:color w:val="auto"/>
        </w:rPr>
        <w:t>钍、铀</w:t>
      </w:r>
      <w:r>
        <w:rPr>
          <w:rFonts w:hint="eastAsia"/>
          <w:color w:val="auto"/>
          <w:lang w:eastAsia="zh-CN"/>
        </w:rPr>
        <w:t>含量</w:t>
      </w:r>
      <w:r>
        <w:rPr>
          <w:rFonts w:hint="eastAsia"/>
          <w:color w:val="auto"/>
        </w:rPr>
        <w:t>的测定。</w:t>
      </w:r>
    </w:p>
    <w:p w14:paraId="4346BB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请注意本文件的某些内容可能涉及专利。本文件的发布机构不承担识别专利的责任。</w:t>
      </w:r>
    </w:p>
    <w:p w14:paraId="2232CE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本</w:t>
      </w:r>
      <w:r>
        <w:rPr>
          <w:rFonts w:hint="eastAsia"/>
          <w:color w:val="auto"/>
        </w:rPr>
        <w:t>文件</w:t>
      </w:r>
      <w:r>
        <w:rPr>
          <w:color w:val="auto"/>
        </w:rPr>
        <w:t>由全国稀土标准化技术委员会（SAC/TC 229）提出</w:t>
      </w:r>
      <w:r>
        <w:rPr>
          <w:rFonts w:hint="eastAsia"/>
          <w:color w:val="auto"/>
        </w:rPr>
        <w:t>并</w:t>
      </w:r>
      <w:r>
        <w:rPr>
          <w:color w:val="auto"/>
        </w:rPr>
        <w:t>归口</w:t>
      </w:r>
      <w:r>
        <w:rPr>
          <w:rFonts w:hint="eastAsia"/>
          <w:color w:val="auto"/>
        </w:rPr>
        <w:t>。</w:t>
      </w:r>
    </w:p>
    <w:p w14:paraId="6BBDBA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31A7E9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本</w:t>
      </w:r>
      <w:r>
        <w:rPr>
          <w:rFonts w:hint="eastAsia"/>
          <w:color w:val="auto"/>
        </w:rPr>
        <w:t>文件</w:t>
      </w:r>
      <w:r>
        <w:rPr>
          <w:color w:val="auto"/>
        </w:rPr>
        <w:t>起草单位：</w:t>
      </w:r>
    </w:p>
    <w:p w14:paraId="124CB2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7DDDA1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本</w:t>
      </w:r>
      <w:r>
        <w:rPr>
          <w:rFonts w:hint="eastAsia"/>
          <w:color w:val="auto"/>
        </w:rPr>
        <w:t>文件</w:t>
      </w:r>
      <w:r>
        <w:rPr>
          <w:color w:val="auto"/>
        </w:rPr>
        <w:t>主要起草人：</w:t>
      </w:r>
      <w:r>
        <w:rPr>
          <w:rFonts w:hint="eastAsia"/>
          <w:color w:val="auto"/>
        </w:rPr>
        <w:t xml:space="preserve"> </w:t>
      </w:r>
    </w:p>
    <w:p w14:paraId="2C8F4B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080A606C">
      <w:pPr>
        <w:pStyle w:val="11"/>
        <w:ind w:firstLine="420"/>
        <w:rPr>
          <w:rFonts w:ascii="Times New Roman"/>
          <w:color w:val="auto"/>
        </w:rPr>
      </w:pPr>
      <w:r>
        <w:rPr>
          <w:rFonts w:hint="eastAsia" w:hAnsi="宋体" w:cs="宋体"/>
          <w:color w:val="auto"/>
          <w:szCs w:val="21"/>
        </w:rPr>
        <w:t>本文件于202X年首次发布，本次为第一次制定。</w:t>
      </w:r>
    </w:p>
    <w:p w14:paraId="73EE1580">
      <w:pPr>
        <w:pStyle w:val="11"/>
        <w:ind w:firstLine="420"/>
        <w:rPr>
          <w:rFonts w:ascii="Times New Roman"/>
          <w:color w:val="auto"/>
        </w:rPr>
      </w:pPr>
    </w:p>
    <w:p w14:paraId="7BF49125">
      <w:pPr>
        <w:pStyle w:val="11"/>
        <w:ind w:firstLine="420"/>
        <w:rPr>
          <w:rFonts w:ascii="Times New Roman"/>
          <w:color w:val="auto"/>
        </w:rPr>
      </w:pPr>
    </w:p>
    <w:p w14:paraId="15CB019D">
      <w:pPr>
        <w:pStyle w:val="11"/>
        <w:ind w:firstLine="420"/>
        <w:rPr>
          <w:rFonts w:ascii="Times New Roman"/>
          <w:color w:val="auto"/>
        </w:rPr>
      </w:pPr>
    </w:p>
    <w:p w14:paraId="1C903D5B">
      <w:pPr>
        <w:pStyle w:val="11"/>
        <w:ind w:firstLine="420"/>
        <w:rPr>
          <w:rFonts w:ascii="Times New Roman"/>
          <w:color w:val="auto"/>
        </w:rPr>
      </w:pPr>
    </w:p>
    <w:p w14:paraId="3BB3F9D1">
      <w:pPr>
        <w:pStyle w:val="11"/>
        <w:ind w:firstLine="420"/>
        <w:rPr>
          <w:rFonts w:ascii="Times New Roman"/>
          <w:color w:val="auto"/>
        </w:rPr>
      </w:pPr>
    </w:p>
    <w:p w14:paraId="6F49E2F8">
      <w:pPr>
        <w:pStyle w:val="11"/>
        <w:ind w:firstLine="420"/>
        <w:rPr>
          <w:rFonts w:ascii="Times New Roman"/>
          <w:color w:val="auto"/>
        </w:rPr>
      </w:pPr>
    </w:p>
    <w:p w14:paraId="40E395DE">
      <w:pPr>
        <w:pStyle w:val="11"/>
        <w:ind w:firstLine="420"/>
        <w:rPr>
          <w:rFonts w:ascii="Times New Roman"/>
          <w:color w:val="auto"/>
        </w:rPr>
      </w:pPr>
    </w:p>
    <w:p w14:paraId="57F604D8">
      <w:pPr>
        <w:pStyle w:val="11"/>
        <w:ind w:firstLine="420"/>
        <w:rPr>
          <w:rFonts w:ascii="Times New Roman"/>
          <w:color w:val="auto"/>
        </w:rPr>
      </w:pPr>
    </w:p>
    <w:p w14:paraId="6623576F">
      <w:pPr>
        <w:pStyle w:val="11"/>
        <w:ind w:firstLine="420"/>
        <w:rPr>
          <w:rFonts w:ascii="Times New Roman"/>
          <w:color w:val="auto"/>
        </w:rPr>
      </w:pPr>
    </w:p>
    <w:p w14:paraId="0ABC8091">
      <w:pPr>
        <w:pStyle w:val="11"/>
        <w:ind w:firstLine="420"/>
        <w:rPr>
          <w:rFonts w:ascii="Times New Roman"/>
          <w:color w:val="auto"/>
        </w:rPr>
      </w:pPr>
    </w:p>
    <w:p w14:paraId="7EAB808D">
      <w:pPr>
        <w:pStyle w:val="11"/>
        <w:ind w:firstLine="420"/>
        <w:rPr>
          <w:rFonts w:ascii="Times New Roman"/>
          <w:color w:val="auto"/>
        </w:rPr>
      </w:pPr>
    </w:p>
    <w:p w14:paraId="3396B31D">
      <w:pPr>
        <w:pStyle w:val="11"/>
        <w:ind w:firstLine="420"/>
        <w:rPr>
          <w:rFonts w:ascii="Times New Roman"/>
          <w:color w:val="auto"/>
        </w:rPr>
      </w:pPr>
    </w:p>
    <w:p w14:paraId="1424D5A8">
      <w:pPr>
        <w:pStyle w:val="11"/>
        <w:ind w:firstLine="420"/>
        <w:rPr>
          <w:rFonts w:ascii="Times New Roman"/>
          <w:color w:val="auto"/>
        </w:rPr>
      </w:pPr>
    </w:p>
    <w:p w14:paraId="0B8710DC">
      <w:pPr>
        <w:pStyle w:val="11"/>
        <w:ind w:firstLine="420"/>
        <w:rPr>
          <w:rFonts w:ascii="Times New Roman"/>
          <w:color w:val="auto"/>
        </w:rPr>
      </w:pPr>
    </w:p>
    <w:p w14:paraId="0A8A866D">
      <w:pPr>
        <w:pStyle w:val="11"/>
        <w:ind w:firstLine="420"/>
        <w:rPr>
          <w:rFonts w:ascii="Times New Roman"/>
          <w:color w:val="auto"/>
        </w:rPr>
      </w:pPr>
    </w:p>
    <w:p w14:paraId="72EF7423">
      <w:pPr>
        <w:pStyle w:val="11"/>
        <w:ind w:firstLine="420"/>
        <w:rPr>
          <w:rFonts w:ascii="Times New Roman"/>
          <w:color w:val="auto"/>
        </w:rPr>
      </w:pPr>
    </w:p>
    <w:p w14:paraId="4FA11A62">
      <w:pPr>
        <w:pStyle w:val="11"/>
        <w:ind w:firstLine="420"/>
        <w:rPr>
          <w:rFonts w:ascii="Times New Roman"/>
          <w:color w:val="auto"/>
        </w:rPr>
      </w:pPr>
    </w:p>
    <w:p w14:paraId="0B1DB149">
      <w:pPr>
        <w:pStyle w:val="11"/>
        <w:ind w:firstLine="420"/>
        <w:rPr>
          <w:rFonts w:ascii="Times New Roman"/>
          <w:color w:val="auto"/>
        </w:rPr>
      </w:pPr>
    </w:p>
    <w:p w14:paraId="479E8814">
      <w:pPr>
        <w:pStyle w:val="11"/>
        <w:ind w:left="0" w:leftChars="0" w:firstLine="0" w:firstLineChars="0"/>
        <w:rPr>
          <w:rFonts w:ascii="Times New Roman"/>
          <w:color w:val="auto"/>
        </w:rPr>
        <w:sectPr>
          <w:headerReference r:id="rId8" w:type="default"/>
          <w:footerReference r:id="rId10" w:type="default"/>
          <w:headerReference r:id="rId9" w:type="even"/>
          <w:footerReference r:id="rId11" w:type="even"/>
          <w:pgSz w:w="11907" w:h="16839"/>
          <w:pgMar w:top="1418" w:right="1134" w:bottom="1134" w:left="1418" w:header="1418" w:footer="851" w:gutter="0"/>
          <w:pgNumType w:start="1"/>
          <w:cols w:space="720" w:num="1"/>
          <w:docGrid w:type="lines" w:linePitch="312" w:charSpace="0"/>
        </w:sectPr>
      </w:pPr>
    </w:p>
    <w:p w14:paraId="2A9A7B94">
      <w:pPr>
        <w:pStyle w:val="10"/>
        <w:numPr>
          <w:ilvl w:val="0"/>
          <w:numId w:val="0"/>
        </w:numPr>
        <w:tabs>
          <w:tab w:val="center" w:pos="4677"/>
          <w:tab w:val="left" w:pos="8250"/>
        </w:tabs>
        <w:spacing w:before="851" w:after="680"/>
        <w:jc w:val="center"/>
        <w:rPr>
          <w:color w:val="000000"/>
        </w:rPr>
      </w:pPr>
      <w:r>
        <w:rPr>
          <w:rFonts w:hint="eastAsia"/>
          <w:color w:val="000000"/>
        </w:rPr>
        <w:t>引  言</w:t>
      </w:r>
    </w:p>
    <w:p w14:paraId="15F87AB2">
      <w:pPr>
        <w:ind w:firstLine="420"/>
      </w:pPr>
      <w:r>
        <w:rPr>
          <w:rFonts w:hint="eastAsia"/>
        </w:rPr>
        <w:t>离子型稀土矿是我国特有的优势矿产，离子型稀土资源富含中、重稀土元素，是技术产业发展中不可或缺的战略资源，是发光材料、高性能磁性材料、激光材料、磁致冷材料、光导纤维、陶瓷材料、磁致伸缩材料的重要成分。我国开发离子型稀土资源已有五十余年的历史，离子型稀土的生产和应用发展迅速，从矿山提取、冶炼到应用形成了较完整的工业生产体系。GB/T</w:t>
      </w:r>
      <w:r>
        <w:rPr>
          <w:rFonts w:hAnsi="宋体"/>
        </w:rPr>
        <w:t> </w:t>
      </w:r>
      <w:r>
        <w:t>18882</w:t>
      </w:r>
      <w:r>
        <w:rPr>
          <w:rFonts w:hint="eastAsia"/>
        </w:rPr>
        <w:t>旨在通过实验研究建立一套完整、切实可行且适应于离子</w:t>
      </w:r>
      <w:r>
        <w:t>型稀土</w:t>
      </w:r>
      <w:r>
        <w:rPr>
          <w:rFonts w:hint="eastAsia"/>
        </w:rPr>
        <w:t>矿混合</w:t>
      </w:r>
      <w:r>
        <w:t>稀土氧化物</w:t>
      </w:r>
      <w:r>
        <w:rPr>
          <w:rFonts w:hint="eastAsia"/>
        </w:rPr>
        <w:t>产品生产和贸易需求的化学成分分析的方法标准。限于文件篇幅、使用需求、适用范围以及各分析方法之间的技术独立性等方面原因，GB/T</w:t>
      </w:r>
      <w:r>
        <w:rPr>
          <w:rFonts w:hAnsi="宋体"/>
        </w:rPr>
        <w:t> </w:t>
      </w:r>
      <w:r>
        <w:t>18882</w:t>
      </w:r>
      <w:r>
        <w:rPr>
          <w:rFonts w:hint="eastAsia"/>
        </w:rPr>
        <w:t>由</w:t>
      </w:r>
      <w:r>
        <w:t>5</w:t>
      </w:r>
      <w:r>
        <w:rPr>
          <w:rFonts w:hint="eastAsia"/>
        </w:rPr>
        <w:t>个部分组成。</w:t>
      </w:r>
    </w:p>
    <w:p w14:paraId="54DCC2CF">
      <w:pPr>
        <w:ind w:left="420" w:leftChars="200"/>
        <w:rPr>
          <w:rFonts w:asciiTheme="minorEastAsia" w:hAnsiTheme="minorEastAsia" w:eastAsiaTheme="minorEastAsia"/>
        </w:rPr>
      </w:pPr>
      <w:r>
        <w:rPr>
          <w:szCs w:val="21"/>
        </w:rPr>
        <w:t>——</w:t>
      </w:r>
      <w:r>
        <w:rPr>
          <w:rFonts w:asciiTheme="minorEastAsia" w:hAnsiTheme="minorEastAsia" w:eastAsiaTheme="minorEastAsia"/>
        </w:rPr>
        <w:t>第1部分：十五个稀土元素氧化物配分量的测定</w:t>
      </w:r>
      <w:r>
        <w:rPr>
          <w:rFonts w:hint="eastAsia" w:asciiTheme="minorEastAsia" w:hAnsiTheme="minorEastAsia" w:eastAsiaTheme="minorEastAsia"/>
        </w:rPr>
        <w:t>。</w:t>
      </w:r>
      <w:r>
        <w:rPr>
          <w:rFonts w:hint="eastAsia" w:asciiTheme="minorEastAsia" w:hAnsiTheme="minorEastAsia" w:eastAsiaTheme="minorEastAsia"/>
          <w:color w:val="000000"/>
        </w:rPr>
        <w:t>目的在于建立X射线荧光光谱法和电感耦合等离子体发射光谱法测定离子型稀土矿中十五个稀土元素氧化物配分量的方法。</w:t>
      </w:r>
    </w:p>
    <w:p w14:paraId="1DBB99F0">
      <w:pPr>
        <w:ind w:left="420" w:leftChars="200"/>
        <w:rPr>
          <w:rFonts w:asciiTheme="minorEastAsia" w:hAnsiTheme="minorEastAsia" w:eastAsiaTheme="minorEastAsia"/>
        </w:rPr>
      </w:pPr>
      <w:r>
        <w:rPr>
          <w:szCs w:val="21"/>
        </w:rPr>
        <w:t>——</w:t>
      </w:r>
      <w:r>
        <w:rPr>
          <w:rFonts w:asciiTheme="minorEastAsia" w:hAnsiTheme="minorEastAsia" w:eastAsiaTheme="minorEastAsia"/>
        </w:rPr>
        <w:t>第2部分：三氧化二铝量的测定</w:t>
      </w:r>
      <w:r>
        <w:rPr>
          <w:rFonts w:hint="eastAsia" w:asciiTheme="minorEastAsia" w:hAnsiTheme="minorEastAsia" w:eastAsiaTheme="minorEastAsia"/>
        </w:rPr>
        <w:t>。目的在于建立电感耦合等离子体发射光谱法和滴定法测定离子型稀土矿中三氧化二铝量的方法。</w:t>
      </w:r>
    </w:p>
    <w:p w14:paraId="5EA01277">
      <w:pPr>
        <w:ind w:left="420" w:leftChars="200"/>
        <w:rPr>
          <w:rFonts w:asciiTheme="minorEastAsia" w:hAnsiTheme="minorEastAsia" w:eastAsiaTheme="minorEastAsia"/>
        </w:rPr>
      </w:pPr>
      <w:r>
        <w:rPr>
          <w:szCs w:val="21"/>
        </w:rPr>
        <w:t>——</w:t>
      </w:r>
      <w:r>
        <w:rPr>
          <w:rFonts w:asciiTheme="minorEastAsia" w:hAnsiTheme="minorEastAsia" w:eastAsiaTheme="minorEastAsia"/>
        </w:rPr>
        <w:t>第3部分：二氧化硅含量的测定</w:t>
      </w:r>
      <w:r>
        <w:rPr>
          <w:rFonts w:hint="eastAsia" w:asciiTheme="minorEastAsia" w:hAnsiTheme="minorEastAsia" w:eastAsiaTheme="minorEastAsia"/>
        </w:rPr>
        <w:t>。目的在于建立分光光度法和重量法测定离子型稀土矿中二氧化硅量的方法。</w:t>
      </w:r>
    </w:p>
    <w:p w14:paraId="5256AA99">
      <w:pPr>
        <w:ind w:left="420" w:leftChars="200"/>
        <w:rPr>
          <w:rFonts w:asciiTheme="minorEastAsia" w:hAnsiTheme="minorEastAsia" w:eastAsiaTheme="minorEastAsia"/>
        </w:rPr>
      </w:pPr>
      <w:r>
        <w:rPr>
          <w:szCs w:val="21"/>
        </w:rPr>
        <w:t>——</w:t>
      </w:r>
      <w:r>
        <w:rPr>
          <w:rFonts w:asciiTheme="minorEastAsia" w:hAnsiTheme="minorEastAsia" w:eastAsiaTheme="minorEastAsia"/>
        </w:rPr>
        <w:t>第</w:t>
      </w:r>
      <w:r>
        <w:rPr>
          <w:rFonts w:hint="eastAsia" w:asciiTheme="minorEastAsia" w:hAnsiTheme="minorEastAsia" w:eastAsiaTheme="minorEastAsia"/>
        </w:rPr>
        <w:t>4</w:t>
      </w:r>
      <w:r>
        <w:rPr>
          <w:rFonts w:asciiTheme="minorEastAsia" w:hAnsiTheme="minorEastAsia" w:eastAsiaTheme="minorEastAsia"/>
        </w:rPr>
        <w:t>部分：</w:t>
      </w:r>
      <w:r>
        <w:rPr>
          <w:rFonts w:hint="eastAsia" w:asciiTheme="minorEastAsia" w:hAnsiTheme="minorEastAsia" w:eastAsiaTheme="minorEastAsia"/>
        </w:rPr>
        <w:t>三氧化二铁</w:t>
      </w:r>
      <w:r>
        <w:rPr>
          <w:rFonts w:asciiTheme="minorEastAsia" w:hAnsiTheme="minorEastAsia" w:eastAsiaTheme="minorEastAsia"/>
        </w:rPr>
        <w:t>含量的测定</w:t>
      </w:r>
      <w:r>
        <w:rPr>
          <w:rFonts w:hint="eastAsia" w:asciiTheme="minorEastAsia" w:hAnsiTheme="minorEastAsia" w:eastAsiaTheme="minorEastAsia"/>
        </w:rPr>
        <w:t xml:space="preserve">  电感耦合等离子体发射光谱法。目的在于建立电感耦合等离子体发射光谱法测定离子型稀土矿中三氧化二铁含量的方法。</w:t>
      </w:r>
    </w:p>
    <w:p w14:paraId="18CC1C64">
      <w:pPr>
        <w:ind w:left="420" w:leftChars="200"/>
        <w:rPr>
          <w:rFonts w:hint="eastAsia" w:asciiTheme="minorEastAsia" w:hAnsiTheme="minorEastAsia" w:eastAsiaTheme="minorEastAsia"/>
        </w:rPr>
      </w:pPr>
      <w:r>
        <w:rPr>
          <w:szCs w:val="21"/>
        </w:rPr>
        <w:t>——</w:t>
      </w:r>
      <w:r>
        <w:rPr>
          <w:rFonts w:asciiTheme="minorEastAsia" w:hAnsiTheme="minorEastAsia" w:eastAsiaTheme="minorEastAsia"/>
        </w:rPr>
        <w:t>第5部分：</w:t>
      </w:r>
      <w:r>
        <w:rPr>
          <w:rFonts w:hint="eastAsia" w:asciiTheme="minorEastAsia" w:hAnsiTheme="minorEastAsia" w:eastAsiaTheme="minorEastAsia"/>
        </w:rPr>
        <w:t>硫酸根</w:t>
      </w:r>
      <w:r>
        <w:rPr>
          <w:rFonts w:asciiTheme="minorEastAsia" w:hAnsiTheme="minorEastAsia" w:eastAsiaTheme="minorEastAsia"/>
        </w:rPr>
        <w:t>含量的测定</w:t>
      </w:r>
      <w:r>
        <w:rPr>
          <w:rFonts w:hint="eastAsia" w:asciiTheme="minorEastAsia" w:hAnsiTheme="minorEastAsia" w:eastAsiaTheme="minorEastAsia"/>
        </w:rPr>
        <w:t>。目的在于建立分光光度法和重量法测定离子型稀土矿中硫酸根含量的方法。</w:t>
      </w:r>
    </w:p>
    <w:p w14:paraId="07958BE2">
      <w:pPr>
        <w:ind w:left="420" w:leftChars="200"/>
        <w:rPr>
          <w:rFonts w:hint="eastAsia" w:asciiTheme="minorEastAsia" w:hAnsiTheme="minorEastAsia" w:eastAsiaTheme="minorEastAsia"/>
        </w:rPr>
      </w:pPr>
      <w:r>
        <w:rPr>
          <w:szCs w:val="21"/>
        </w:rPr>
        <w:t>——</w:t>
      </w:r>
      <w:r>
        <w:rPr>
          <w:rFonts w:asciiTheme="minorEastAsia" w:hAnsiTheme="minorEastAsia" w:eastAsiaTheme="minorEastAsia"/>
        </w:rPr>
        <w:t>第</w:t>
      </w:r>
      <w:r>
        <w:rPr>
          <w:rFonts w:hint="eastAsia" w:asciiTheme="minorEastAsia" w:hAnsiTheme="minorEastAsia" w:eastAsiaTheme="minorEastAsia"/>
          <w:lang w:val="en-US" w:eastAsia="zh-CN"/>
        </w:rPr>
        <w:t>6</w:t>
      </w:r>
      <w:r>
        <w:rPr>
          <w:rFonts w:asciiTheme="minorEastAsia" w:hAnsiTheme="minorEastAsia" w:eastAsiaTheme="minorEastAsia"/>
        </w:rPr>
        <w:t>部分：</w:t>
      </w:r>
      <w:r>
        <w:rPr>
          <w:rFonts w:hint="eastAsia" w:asciiTheme="minorEastAsia" w:hAnsiTheme="minorEastAsia" w:eastAsiaTheme="minorEastAsia"/>
          <w:lang w:val="en-US" w:eastAsia="zh-CN"/>
        </w:rPr>
        <w:t>钍、铀</w:t>
      </w:r>
      <w:r>
        <w:rPr>
          <w:rFonts w:asciiTheme="minorEastAsia" w:hAnsiTheme="minorEastAsia" w:eastAsiaTheme="minorEastAsia"/>
        </w:rPr>
        <w:t>含量的测定</w:t>
      </w:r>
      <w:r>
        <w:rPr>
          <w:rFonts w:hint="eastAsia" w:asciiTheme="minorEastAsia" w:hAnsiTheme="minorEastAsia" w:eastAsiaTheme="minorEastAsia"/>
        </w:rPr>
        <w:t>。目的在于建立</w:t>
      </w:r>
      <w:r>
        <w:rPr>
          <w:rFonts w:hint="eastAsia" w:ascii="宋体" w:hAnsi="宋体" w:eastAsia="宋体"/>
          <w:color w:val="auto"/>
          <w:szCs w:val="21"/>
        </w:rPr>
        <w:t>电感耦合等离子体发射光谱法</w:t>
      </w:r>
      <w:r>
        <w:rPr>
          <w:rFonts w:hint="eastAsia"/>
          <w:color w:val="auto"/>
          <w:szCs w:val="21"/>
          <w:lang w:val="en-US" w:eastAsia="zh-CN"/>
        </w:rPr>
        <w:t>和</w:t>
      </w:r>
      <w:r>
        <w:rPr>
          <w:rFonts w:hint="eastAsia" w:ascii="宋体" w:hAnsi="宋体" w:eastAsia="宋体"/>
          <w:color w:val="auto"/>
          <w:szCs w:val="21"/>
        </w:rPr>
        <w:t>电感耦合等离子体质谱法</w:t>
      </w:r>
      <w:r>
        <w:rPr>
          <w:rFonts w:hint="eastAsia" w:asciiTheme="minorEastAsia" w:hAnsiTheme="minorEastAsia" w:eastAsiaTheme="minorEastAsia"/>
        </w:rPr>
        <w:t>测定离子型稀土矿中</w:t>
      </w:r>
      <w:r>
        <w:rPr>
          <w:rFonts w:hint="eastAsia" w:asciiTheme="minorEastAsia" w:hAnsiTheme="minorEastAsia" w:eastAsiaTheme="minorEastAsia"/>
          <w:lang w:val="en-US" w:eastAsia="zh-CN"/>
        </w:rPr>
        <w:t>钍、铀</w:t>
      </w:r>
      <w:r>
        <w:rPr>
          <w:rFonts w:asciiTheme="minorEastAsia" w:hAnsiTheme="minorEastAsia" w:eastAsiaTheme="minorEastAsia"/>
        </w:rPr>
        <w:t>含</w:t>
      </w:r>
      <w:r>
        <w:rPr>
          <w:rFonts w:hint="eastAsia" w:asciiTheme="minorEastAsia" w:hAnsiTheme="minorEastAsia" w:eastAsiaTheme="minorEastAsia"/>
        </w:rPr>
        <w:t>量的方法。</w:t>
      </w:r>
    </w:p>
    <w:p w14:paraId="09BF71A1">
      <w:pPr>
        <w:ind w:firstLine="420" w:firstLineChars="200"/>
      </w:pPr>
      <w:r>
        <w:rPr>
          <w:rFonts w:hint="eastAsia"/>
        </w:rPr>
        <w:t>上述各个部分标准通过明确适用范围、规范试剂、材料、试验设备和步骤，并经多家实验室反复的试验和验证给出精密度数据，为离子型稀土矿品质核查建立严谨、规范的标准化工作基础。</w:t>
      </w:r>
    </w:p>
    <w:p w14:paraId="766F6C24">
      <w:pPr>
        <w:ind w:firstLine="420" w:firstLineChars="200"/>
      </w:pPr>
      <w:r>
        <w:rPr>
          <w:rFonts w:hint="eastAsia"/>
        </w:rPr>
        <w:t>众多离子型稀土矿的生产和交易过程中，均有硫酸根的限制要求，但目前仍未建立相应的标准。业内试验室在检测过程中多参考GB/T 16484.12-2009《氯化稀土、碳酸稀土化学分析方法  硫酸根含量的测定》，但该方法试验条件并不完全适用于离子型稀土矿，因此有必要建立统一、快速、准确的离子型稀土矿中硫酸根测定的国家标准。鉴于此，增加本部分。</w:t>
      </w:r>
      <w:r>
        <w:rPr>
          <w:rFonts w:hint="eastAsia" w:ascii="宋体" w:hAnsi="宋体" w:cs="宋体"/>
          <w:szCs w:val="21"/>
        </w:rPr>
        <w:t>比浊法具有检出限低、操作简单、快速、准确等优势，在稀土行业中广泛运用、历史悠久，分析技术已非常成熟。重量法具有不需要标准物质校准，测试准确，精密度高等优势。</w:t>
      </w:r>
      <w:r>
        <w:rPr>
          <w:rFonts w:hint="eastAsia"/>
        </w:rPr>
        <w:t>本文件采用比浊法和重量法，建立了规范、易操作、准确度高的检测标准。</w:t>
      </w:r>
    </w:p>
    <w:p w14:paraId="0FB61777">
      <w:pPr>
        <w:pStyle w:val="11"/>
        <w:ind w:left="0" w:leftChars="0" w:firstLine="0" w:firstLineChars="0"/>
        <w:rPr>
          <w:rFonts w:ascii="Times New Roman"/>
          <w:color w:val="auto"/>
        </w:rPr>
        <w:sectPr>
          <w:pgSz w:w="11907" w:h="16839"/>
          <w:pgMar w:top="1418" w:right="1134" w:bottom="1134" w:left="1418" w:header="1418" w:footer="851" w:gutter="0"/>
          <w:pgNumType w:start="1"/>
          <w:cols w:space="720" w:num="1"/>
          <w:docGrid w:type="lines" w:linePitch="312" w:charSpace="0"/>
        </w:sectPr>
      </w:pPr>
    </w:p>
    <w:p w14:paraId="189A728E">
      <w:pPr>
        <w:pStyle w:val="11"/>
        <w:ind w:left="0" w:leftChars="0" w:firstLine="0" w:firstLineChars="0"/>
        <w:rPr>
          <w:rFonts w:ascii="Times New Roman"/>
          <w:color w:val="auto"/>
        </w:rPr>
      </w:pPr>
    </w:p>
    <w:p w14:paraId="47E40045">
      <w:pPr>
        <w:pStyle w:val="11"/>
        <w:ind w:firstLine="420"/>
        <w:rPr>
          <w:rFonts w:ascii="Times New Roman"/>
          <w:color w:val="auto"/>
        </w:rPr>
      </w:pPr>
    </w:p>
    <w:p w14:paraId="09ABD1D9">
      <w:pPr>
        <w:pStyle w:val="11"/>
        <w:ind w:firstLine="0" w:firstLineChars="0"/>
        <w:rPr>
          <w:rFonts w:ascii="Times New Roman"/>
          <w:color w:val="auto"/>
        </w:rPr>
      </w:pPr>
    </w:p>
    <w:p w14:paraId="09EA467A">
      <w:pPr>
        <w:pStyle w:val="11"/>
        <w:ind w:firstLine="420"/>
        <w:rPr>
          <w:rFonts w:ascii="Times New Roman"/>
          <w:color w:val="auto"/>
        </w:rPr>
      </w:pPr>
    </w:p>
    <w:p w14:paraId="40A7800C">
      <w:pPr>
        <w:pStyle w:val="11"/>
        <w:ind w:firstLine="0" w:firstLineChars="0"/>
        <w:rPr>
          <w:rFonts w:ascii="Times New Roman"/>
          <w:color w:val="auto"/>
        </w:rPr>
      </w:pPr>
    </w:p>
    <w:p w14:paraId="31194D48">
      <w:pPr>
        <w:pStyle w:val="12"/>
        <w:spacing w:before="851" w:after="0"/>
        <w:rPr>
          <w:rFonts w:ascii="Times New Roman"/>
          <w:color w:val="auto"/>
        </w:rPr>
      </w:pPr>
      <w:r>
        <w:rPr>
          <w:rFonts w:ascii="Times New Roman"/>
          <w:color w:val="auto"/>
        </w:rPr>
        <w:t>离子型稀土矿混合稀土氧化物化学分析方法</w:t>
      </w:r>
    </w:p>
    <w:p w14:paraId="02011D74">
      <w:pPr>
        <w:pStyle w:val="12"/>
        <w:spacing w:before="0" w:after="680"/>
        <w:rPr>
          <w:rFonts w:ascii="Times New Roman"/>
          <w:color w:val="auto"/>
        </w:rPr>
      </w:pPr>
      <w:r>
        <w:rPr>
          <w:rFonts w:hint="eastAsia" w:ascii="Times New Roman"/>
          <w:color w:val="auto"/>
          <w:lang w:eastAsia="zh-CN"/>
        </w:rPr>
        <w:t>钍、铀含量</w:t>
      </w:r>
      <w:r>
        <w:rPr>
          <w:rFonts w:hint="eastAsia" w:ascii="Times New Roman"/>
          <w:color w:val="auto"/>
        </w:rPr>
        <w:t>的测定</w:t>
      </w:r>
    </w:p>
    <w:p w14:paraId="68E8D006">
      <w:pPr>
        <w:pStyle w:val="13"/>
        <w:rPr>
          <w:color w:val="auto"/>
        </w:rPr>
      </w:pPr>
      <w:r>
        <w:rPr>
          <w:rFonts w:hint="eastAsia"/>
          <w:color w:val="auto"/>
          <w:lang w:val="en-US" w:eastAsia="zh-CN"/>
        </w:rPr>
        <w:t>1</w:t>
      </w:r>
      <w:r>
        <w:rPr>
          <w:color w:val="auto"/>
        </w:rPr>
        <w:t>　范围</w:t>
      </w:r>
    </w:p>
    <w:p w14:paraId="4DE43682">
      <w:pPr>
        <w:pStyle w:val="11"/>
        <w:ind w:firstLine="420"/>
        <w:rPr>
          <w:rFonts w:hint="eastAsia" w:ascii="宋体" w:hAnsi="宋体" w:eastAsia="宋体"/>
          <w:color w:val="auto"/>
          <w:szCs w:val="21"/>
        </w:rPr>
      </w:pPr>
      <w:r>
        <w:rPr>
          <w:rFonts w:ascii="宋体" w:hAnsi="宋体" w:eastAsia="宋体"/>
          <w:color w:val="auto"/>
          <w:szCs w:val="21"/>
        </w:rPr>
        <w:t>本文件描述了离子型稀土矿混合稀土氧化物中</w:t>
      </w:r>
      <w:r>
        <w:rPr>
          <w:rFonts w:hint="eastAsia" w:ascii="Times New Roman"/>
          <w:color w:val="auto"/>
          <w:lang w:eastAsia="zh-CN"/>
        </w:rPr>
        <w:t>钍、铀含量</w:t>
      </w:r>
      <w:r>
        <w:rPr>
          <w:rFonts w:ascii="宋体" w:hAnsi="宋体" w:eastAsia="宋体"/>
          <w:color w:val="auto"/>
          <w:szCs w:val="21"/>
        </w:rPr>
        <w:t>的测定方法。</w:t>
      </w:r>
    </w:p>
    <w:p w14:paraId="7C4D708D">
      <w:pPr>
        <w:pStyle w:val="11"/>
        <w:ind w:firstLine="420"/>
        <w:rPr>
          <w:rFonts w:hint="eastAsia" w:hAnsi="宋体"/>
          <w:color w:val="auto"/>
        </w:rPr>
      </w:pPr>
      <w:r>
        <w:rPr>
          <w:rFonts w:ascii="宋体" w:hAnsi="宋体" w:eastAsia="宋体"/>
          <w:color w:val="auto"/>
          <w:szCs w:val="21"/>
        </w:rPr>
        <w:t>本部分适用于离子型稀土矿混合稀土氧化物中</w:t>
      </w:r>
      <w:r>
        <w:rPr>
          <w:rFonts w:hint="eastAsia" w:ascii="Times New Roman"/>
          <w:color w:val="auto"/>
          <w:lang w:eastAsia="zh-CN"/>
        </w:rPr>
        <w:t>钍、铀含量</w:t>
      </w:r>
      <w:r>
        <w:rPr>
          <w:rFonts w:ascii="宋体" w:hAnsi="宋体" w:eastAsia="宋体"/>
          <w:color w:val="auto"/>
          <w:szCs w:val="21"/>
        </w:rPr>
        <w:t>的测定。</w:t>
      </w:r>
      <w:r>
        <w:rPr>
          <w:rFonts w:hint="eastAsia" w:ascii="宋体" w:hAnsi="宋体" w:eastAsia="宋体"/>
          <w:color w:val="auto"/>
          <w:szCs w:val="21"/>
        </w:rPr>
        <w:t>共包含两个方法，方法1：电感耦合等离子体发射光谱法，钍</w:t>
      </w:r>
      <w:r>
        <w:rPr>
          <w:rFonts w:hint="eastAsia" w:hAnsi="宋体"/>
          <w:color w:val="auto"/>
          <w:szCs w:val="21"/>
          <w:lang w:eastAsia="zh-CN"/>
        </w:rPr>
        <w:t>含量</w:t>
      </w:r>
      <w:r>
        <w:rPr>
          <w:rFonts w:ascii="宋体" w:hAnsi="宋体" w:eastAsia="宋体"/>
          <w:color w:val="auto"/>
          <w:szCs w:val="21"/>
        </w:rPr>
        <w:t>测定范围（</w:t>
      </w:r>
      <w:r>
        <w:rPr>
          <w:rFonts w:hint="eastAsia" w:ascii="宋体" w:hAnsi="宋体" w:eastAsia="宋体"/>
          <w:color w:val="auto"/>
          <w:szCs w:val="21"/>
        </w:rPr>
        <w:t>质量分数）</w:t>
      </w:r>
      <w:r>
        <w:rPr>
          <w:rFonts w:ascii="宋体" w:hAnsi="宋体" w:eastAsia="宋体"/>
          <w:color w:val="auto"/>
          <w:szCs w:val="21"/>
        </w:rPr>
        <w:t>：</w:t>
      </w:r>
      <w:r>
        <w:rPr>
          <w:rFonts w:hint="eastAsia" w:ascii="宋体" w:hAnsi="宋体" w:eastAsia="宋体"/>
          <w:color w:val="auto"/>
          <w:szCs w:val="21"/>
        </w:rPr>
        <w:t>0.10%～</w:t>
      </w:r>
      <w:r>
        <w:rPr>
          <w:rFonts w:hint="eastAsia" w:hAnsi="宋体"/>
          <w:color w:val="auto"/>
          <w:szCs w:val="21"/>
          <w:lang w:val="en-US" w:eastAsia="zh-CN"/>
        </w:rPr>
        <w:t>2</w:t>
      </w:r>
      <w:r>
        <w:rPr>
          <w:rFonts w:hint="eastAsia" w:ascii="宋体" w:hAnsi="宋体" w:eastAsia="宋体"/>
          <w:color w:val="auto"/>
          <w:szCs w:val="21"/>
        </w:rPr>
        <w:t>.00%；方法2：电感耦合等离子体质谱法，钍</w:t>
      </w:r>
      <w:r>
        <w:rPr>
          <w:rFonts w:hint="eastAsia" w:hAnsi="宋体"/>
          <w:color w:val="auto"/>
          <w:szCs w:val="21"/>
          <w:lang w:eastAsia="zh-CN"/>
        </w:rPr>
        <w:t>含量</w:t>
      </w:r>
      <w:r>
        <w:rPr>
          <w:rFonts w:ascii="宋体" w:hAnsi="宋体" w:eastAsia="宋体"/>
          <w:color w:val="auto"/>
          <w:szCs w:val="21"/>
        </w:rPr>
        <w:t>测定范围（</w:t>
      </w:r>
      <w:r>
        <w:rPr>
          <w:rFonts w:hint="eastAsia" w:ascii="宋体" w:hAnsi="宋体" w:eastAsia="宋体"/>
          <w:color w:val="auto"/>
          <w:szCs w:val="21"/>
        </w:rPr>
        <w:t>质量分数）</w:t>
      </w:r>
      <w:r>
        <w:rPr>
          <w:rFonts w:ascii="宋体" w:hAnsi="宋体" w:eastAsia="宋体"/>
          <w:color w:val="auto"/>
          <w:szCs w:val="21"/>
        </w:rPr>
        <w:t>：</w:t>
      </w:r>
      <w:r>
        <w:rPr>
          <w:rFonts w:hint="eastAsia" w:ascii="宋体" w:hAnsi="宋体" w:eastAsia="宋体"/>
          <w:color w:val="auto"/>
          <w:szCs w:val="21"/>
        </w:rPr>
        <w:t>0.0001%～0.10%，铀</w:t>
      </w:r>
      <w:r>
        <w:rPr>
          <w:rFonts w:hint="eastAsia" w:hAnsi="宋体"/>
          <w:color w:val="auto"/>
          <w:szCs w:val="21"/>
          <w:lang w:eastAsia="zh-CN"/>
        </w:rPr>
        <w:t>含量</w:t>
      </w:r>
      <w:r>
        <w:rPr>
          <w:rFonts w:ascii="宋体" w:hAnsi="宋体" w:eastAsia="宋体"/>
          <w:color w:val="auto"/>
          <w:szCs w:val="21"/>
        </w:rPr>
        <w:t>测定范围（</w:t>
      </w:r>
      <w:r>
        <w:rPr>
          <w:rFonts w:hint="eastAsia" w:ascii="宋体" w:hAnsi="宋体" w:eastAsia="宋体"/>
          <w:color w:val="auto"/>
          <w:szCs w:val="21"/>
        </w:rPr>
        <w:t>质量分数）</w:t>
      </w:r>
      <w:r>
        <w:rPr>
          <w:rFonts w:ascii="宋体" w:hAnsi="宋体" w:eastAsia="宋体"/>
          <w:color w:val="auto"/>
          <w:szCs w:val="21"/>
        </w:rPr>
        <w:t>：</w:t>
      </w:r>
      <w:r>
        <w:rPr>
          <w:rFonts w:hint="eastAsia" w:ascii="宋体" w:hAnsi="宋体" w:eastAsia="宋体"/>
          <w:color w:val="auto"/>
          <w:szCs w:val="21"/>
        </w:rPr>
        <w:t>0.0001%～0.10%</w:t>
      </w:r>
      <w:r>
        <w:rPr>
          <w:rFonts w:ascii="宋体" w:hAnsi="宋体" w:eastAsia="宋体"/>
          <w:color w:val="auto"/>
          <w:szCs w:val="21"/>
        </w:rPr>
        <w:t>。</w:t>
      </w:r>
      <w:r>
        <w:rPr>
          <w:rFonts w:hAnsi="宋体"/>
          <w:color w:val="auto"/>
        </w:rPr>
        <w:t xml:space="preserve"> </w:t>
      </w:r>
    </w:p>
    <w:p w14:paraId="2536F71E">
      <w:pPr>
        <w:pStyle w:val="13"/>
        <w:rPr>
          <w:color w:val="auto"/>
        </w:rPr>
      </w:pPr>
      <w:r>
        <w:rPr>
          <w:rFonts w:hint="eastAsia"/>
          <w:color w:val="auto"/>
          <w:lang w:val="en-US" w:eastAsia="zh-CN"/>
        </w:rPr>
        <w:t>2</w:t>
      </w:r>
      <w:r>
        <w:rPr>
          <w:color w:val="auto"/>
        </w:rPr>
        <w:t>　</w:t>
      </w:r>
      <w:r>
        <w:rPr>
          <w:rFonts w:hint="eastAsia"/>
          <w:color w:val="auto"/>
        </w:rPr>
        <w:t>规范性引用文件</w:t>
      </w:r>
    </w:p>
    <w:p w14:paraId="19210438">
      <w:pPr>
        <w:pStyle w:val="11"/>
        <w:ind w:firstLine="420"/>
        <w:rPr>
          <w:rFonts w:hint="eastAsia" w:ascii="宋体" w:hAnsi="宋体" w:eastAsia="宋体"/>
          <w:color w:val="auto"/>
          <w:szCs w:val="21"/>
        </w:rPr>
      </w:pPr>
      <w:r>
        <w:rPr>
          <w:rFonts w:hint="eastAsia" w:ascii="宋体" w:hAnsi="宋体" w:eastAsia="宋体"/>
          <w:color w:val="auto"/>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AE43E43">
      <w:pPr>
        <w:pStyle w:val="11"/>
        <w:ind w:firstLine="420"/>
        <w:rPr>
          <w:rFonts w:hint="eastAsia" w:ascii="宋体" w:hAnsi="宋体" w:eastAsia="宋体"/>
          <w:color w:val="auto"/>
          <w:szCs w:val="21"/>
        </w:rPr>
      </w:pPr>
      <w:r>
        <w:rPr>
          <w:rFonts w:hint="eastAsia" w:ascii="宋体" w:hAnsi="宋体" w:eastAsia="宋体"/>
          <w:color w:val="auto"/>
          <w:szCs w:val="21"/>
        </w:rPr>
        <w:t>GB/T</w:t>
      </w:r>
      <w:r>
        <w:rPr>
          <w:rFonts w:hAnsi="宋体"/>
          <w:color w:val="auto"/>
        </w:rPr>
        <w:t> </w:t>
      </w:r>
      <w:r>
        <w:rPr>
          <w:rFonts w:hint="eastAsia" w:ascii="宋体" w:hAnsi="宋体" w:eastAsia="宋体"/>
          <w:color w:val="auto"/>
          <w:szCs w:val="21"/>
        </w:rPr>
        <w:t>6682　分析实验室用水规格和试验方法</w:t>
      </w:r>
    </w:p>
    <w:p w14:paraId="06832BBD">
      <w:pPr>
        <w:pStyle w:val="11"/>
        <w:ind w:firstLine="420"/>
        <w:rPr>
          <w:rFonts w:hint="eastAsia" w:ascii="宋体" w:hAnsi="宋体" w:eastAsia="宋体"/>
          <w:color w:val="auto"/>
          <w:szCs w:val="21"/>
        </w:rPr>
      </w:pPr>
      <w:r>
        <w:rPr>
          <w:rFonts w:hint="eastAsia" w:ascii="宋体" w:hAnsi="宋体" w:eastAsia="宋体"/>
          <w:color w:val="auto"/>
          <w:szCs w:val="21"/>
        </w:rPr>
        <w:t>GB/T</w:t>
      </w:r>
      <w:r>
        <w:rPr>
          <w:rFonts w:hAnsi="宋体"/>
          <w:color w:val="auto"/>
        </w:rPr>
        <w:t> </w:t>
      </w:r>
      <w:r>
        <w:rPr>
          <w:rFonts w:hint="eastAsia" w:ascii="宋体" w:hAnsi="宋体" w:eastAsia="宋体"/>
          <w:color w:val="auto"/>
          <w:szCs w:val="21"/>
        </w:rPr>
        <w:t>8170　数值修约规则与极限数值的表示和判定</w:t>
      </w:r>
    </w:p>
    <w:p w14:paraId="1679FBF8">
      <w:pPr>
        <w:pStyle w:val="13"/>
        <w:rPr>
          <w:color w:val="auto"/>
        </w:rPr>
      </w:pPr>
      <w:r>
        <w:rPr>
          <w:rFonts w:hint="eastAsia"/>
          <w:color w:val="auto"/>
          <w:lang w:val="en-US" w:eastAsia="zh-CN"/>
        </w:rPr>
        <w:t>3</w:t>
      </w:r>
      <w:r>
        <w:rPr>
          <w:color w:val="auto"/>
        </w:rPr>
        <w:t>　</w:t>
      </w:r>
      <w:r>
        <w:rPr>
          <w:rFonts w:hint="eastAsia"/>
          <w:color w:val="auto"/>
        </w:rPr>
        <w:t>术语和定义</w:t>
      </w:r>
    </w:p>
    <w:p w14:paraId="2FAEE3BB">
      <w:pPr>
        <w:pStyle w:val="11"/>
        <w:spacing w:line="400" w:lineRule="exact"/>
        <w:ind w:firstLine="420"/>
        <w:rPr>
          <w:rFonts w:ascii="Times New Roman"/>
          <w:color w:val="auto"/>
          <w:szCs w:val="21"/>
        </w:rPr>
      </w:pPr>
      <w:r>
        <w:rPr>
          <w:rFonts w:hint="eastAsia" w:ascii="Times New Roman"/>
          <w:color w:val="auto"/>
          <w:szCs w:val="21"/>
        </w:rPr>
        <w:t>本文件没有需要界定的术语和定义。</w:t>
      </w:r>
    </w:p>
    <w:p w14:paraId="51CA4C90">
      <w:pPr>
        <w:pStyle w:val="13"/>
        <w:rPr>
          <w:color w:val="auto"/>
        </w:rPr>
      </w:pPr>
      <w:r>
        <w:rPr>
          <w:rFonts w:hint="eastAsia"/>
          <w:color w:val="auto"/>
          <w:lang w:val="en-US" w:eastAsia="zh-CN"/>
        </w:rPr>
        <w:t>4</w:t>
      </w:r>
      <w:r>
        <w:rPr>
          <w:color w:val="auto"/>
        </w:rPr>
        <w:t>　</w:t>
      </w:r>
      <w:r>
        <w:rPr>
          <w:rFonts w:hint="eastAsia"/>
          <w:color w:val="auto"/>
        </w:rPr>
        <w:t>方法1：</w:t>
      </w:r>
      <w:r>
        <w:rPr>
          <w:rFonts w:hint="eastAsia"/>
          <w:color w:val="auto"/>
          <w:lang w:val="en-US" w:eastAsia="zh-CN"/>
        </w:rPr>
        <w:t>电</w:t>
      </w:r>
      <w:r>
        <w:rPr>
          <w:rFonts w:hint="eastAsia"/>
          <w:color w:val="auto"/>
        </w:rPr>
        <w:t>感耦合等离子体发射光谱法</w:t>
      </w:r>
    </w:p>
    <w:p w14:paraId="19692DF6">
      <w:pPr>
        <w:pStyle w:val="13"/>
        <w:rPr>
          <w:color w:val="auto"/>
        </w:rPr>
      </w:pPr>
      <w:r>
        <w:rPr>
          <w:rFonts w:hint="eastAsia"/>
          <w:color w:val="auto"/>
        </w:rPr>
        <w:t>4.1</w:t>
      </w:r>
      <w:r>
        <w:rPr>
          <w:color w:val="auto"/>
        </w:rPr>
        <w:t>　</w:t>
      </w:r>
      <w:r>
        <w:rPr>
          <w:rFonts w:hint="eastAsia"/>
          <w:color w:val="auto"/>
          <w:lang w:val="en-US" w:eastAsia="zh-CN"/>
        </w:rPr>
        <w:t>方法原理</w:t>
      </w:r>
    </w:p>
    <w:bookmarkEnd w:id="2"/>
    <w:p w14:paraId="36F732D9">
      <w:pPr>
        <w:ind w:firstLine="420" w:firstLineChars="200"/>
        <w:rPr>
          <w:color w:val="auto"/>
        </w:rPr>
      </w:pPr>
      <w:r>
        <w:rPr>
          <w:color w:val="auto"/>
        </w:rPr>
        <w:t>试</w:t>
      </w:r>
      <w:r>
        <w:rPr>
          <w:color w:val="auto"/>
          <w:highlight w:val="none"/>
        </w:rPr>
        <w:t>样经</w:t>
      </w:r>
      <w:r>
        <w:rPr>
          <w:rFonts w:hint="eastAsia"/>
          <w:color w:val="auto"/>
          <w:highlight w:val="none"/>
          <w:lang w:val="en-US" w:eastAsia="zh-CN"/>
        </w:rPr>
        <w:t>硝酸</w:t>
      </w:r>
      <w:r>
        <w:rPr>
          <w:color w:val="auto"/>
          <w:highlight w:val="none"/>
        </w:rPr>
        <w:t>、氢氟酸分解，高氯酸冒尽烟后，用盐酸溶解至清亮，采用近似基体匹配</w:t>
      </w:r>
      <w:r>
        <w:rPr>
          <w:rFonts w:hint="eastAsia"/>
          <w:color w:val="auto"/>
          <w:highlight w:val="none"/>
          <w:lang w:val="en-US" w:eastAsia="zh-CN"/>
        </w:rPr>
        <w:t>法校正对测定的影响，</w:t>
      </w:r>
      <w:r>
        <w:rPr>
          <w:color w:val="auto"/>
          <w:highlight w:val="none"/>
        </w:rPr>
        <w:t>直接以氩等离子体光源激发，进</w:t>
      </w:r>
      <w:r>
        <w:rPr>
          <w:color w:val="auto"/>
        </w:rPr>
        <w:t>行光谱测定。</w:t>
      </w:r>
    </w:p>
    <w:p w14:paraId="1A92F6EA">
      <w:pPr>
        <w:pStyle w:val="13"/>
        <w:rPr>
          <w:color w:val="auto"/>
        </w:rPr>
      </w:pPr>
      <w:r>
        <w:rPr>
          <w:rFonts w:hint="eastAsia"/>
          <w:color w:val="auto"/>
          <w:lang w:val="en-US" w:eastAsia="zh-CN"/>
        </w:rPr>
        <w:t>4.2</w:t>
      </w:r>
      <w:r>
        <w:rPr>
          <w:color w:val="auto"/>
        </w:rPr>
        <w:t>　试剂和材料</w:t>
      </w:r>
    </w:p>
    <w:p w14:paraId="18C7C60F">
      <w:pPr>
        <w:pStyle w:val="11"/>
        <w:ind w:firstLine="420"/>
        <w:rPr>
          <w:rFonts w:ascii="Times New Roman"/>
          <w:bCs/>
          <w:color w:val="auto"/>
          <w:kern w:val="2"/>
          <w:szCs w:val="24"/>
        </w:rPr>
      </w:pPr>
      <w:r>
        <w:rPr>
          <w:rFonts w:hint="eastAsia" w:ascii="Times New Roman"/>
          <w:bCs/>
          <w:color w:val="auto"/>
          <w:kern w:val="2"/>
          <w:szCs w:val="24"/>
        </w:rPr>
        <w:t>除非另有说明，在分析中仅使用确认为分析纯及以上试剂和符合实验室GB/T6682规定的二级</w:t>
      </w:r>
      <w:r>
        <w:rPr>
          <w:rFonts w:hint="eastAsia" w:ascii="Times New Roman"/>
          <w:bCs/>
          <w:color w:val="auto"/>
          <w:kern w:val="2"/>
          <w:szCs w:val="24"/>
          <w:lang w:val="en-US" w:eastAsia="zh-CN"/>
        </w:rPr>
        <w:t>水</w:t>
      </w:r>
      <w:r>
        <w:rPr>
          <w:rFonts w:hint="eastAsia" w:ascii="Times New Roman"/>
          <w:bCs/>
          <w:color w:val="auto"/>
          <w:kern w:val="2"/>
          <w:szCs w:val="24"/>
          <w:lang w:eastAsia="zh-CN"/>
        </w:rPr>
        <w:t>，</w:t>
      </w:r>
      <w:r>
        <w:rPr>
          <w:rFonts w:hint="eastAsia" w:ascii="Times New Roman"/>
          <w:bCs/>
          <w:color w:val="auto"/>
          <w:kern w:val="2"/>
          <w:szCs w:val="24"/>
        </w:rPr>
        <w:t>先使用有证标准溶液。</w:t>
      </w:r>
    </w:p>
    <w:p w14:paraId="202BDAE6">
      <w:pPr>
        <w:keepNext w:val="0"/>
        <w:keepLines w:val="0"/>
        <w:widowControl/>
        <w:suppressLineNumbers w:val="0"/>
        <w:jc w:val="left"/>
        <w:rPr>
          <w:rFonts w:hint="eastAsia" w:eastAsia="宋体"/>
          <w:color w:val="auto"/>
          <w:lang w:val="en-US" w:eastAsia="zh-CN"/>
        </w:rPr>
      </w:pPr>
      <w:r>
        <w:rPr>
          <w:rFonts w:hint="eastAsia"/>
          <w:color w:val="auto"/>
          <w:lang w:eastAsia="zh-CN"/>
        </w:rPr>
        <w:t>4.2</w:t>
      </w:r>
      <w:r>
        <w:rPr>
          <w:color w:val="auto"/>
        </w:rPr>
        <w:t>.1　</w:t>
      </w:r>
      <w:r>
        <w:rPr>
          <w:rFonts w:hint="eastAsia"/>
          <w:color w:val="auto"/>
          <w:lang w:val="en-US" w:eastAsia="zh-CN"/>
        </w:rPr>
        <w:t>盐</w:t>
      </w:r>
      <w:r>
        <w:rPr>
          <w:rFonts w:hint="eastAsia"/>
          <w:color w:val="auto"/>
        </w:rPr>
        <w:t>酸</w:t>
      </w:r>
      <w:r>
        <w:rPr>
          <w:color w:val="auto"/>
        </w:rPr>
        <w:t>（</w:t>
      </w:r>
      <w:r>
        <w:rPr>
          <w:rFonts w:hint="eastAsia" w:cs="宋体"/>
          <w:i/>
          <w:color w:val="auto"/>
        </w:rPr>
        <w:t>ρ</w:t>
      </w:r>
      <w:r>
        <w:rPr>
          <w:rFonts w:hint="eastAsia" w:cs="宋体"/>
          <w:color w:val="auto"/>
        </w:rPr>
        <w:t>=</w:t>
      </w:r>
      <w:r>
        <w:rPr>
          <w:color w:val="auto"/>
        </w:rPr>
        <w:t>1.1</w:t>
      </w:r>
      <w:r>
        <w:rPr>
          <w:rFonts w:hint="eastAsia"/>
          <w:color w:val="auto"/>
          <w:lang w:val="en-US" w:eastAsia="zh-CN"/>
        </w:rPr>
        <w:t>9</w:t>
      </w:r>
      <w:r>
        <w:rPr>
          <w:rFonts w:ascii="Times New Roman" w:hAnsi="Times New Roman"/>
          <w:color w:val="auto"/>
        </w:rPr>
        <w:t> </w:t>
      </w:r>
      <w:r>
        <w:rPr>
          <w:color w:val="auto"/>
        </w:rPr>
        <w:t>g/mL）</w:t>
      </w:r>
    </w:p>
    <w:p w14:paraId="57B8A2EF">
      <w:pPr>
        <w:keepNext w:val="0"/>
        <w:keepLines w:val="0"/>
        <w:widowControl/>
        <w:suppressLineNumbers w:val="0"/>
        <w:jc w:val="left"/>
        <w:rPr>
          <w:rFonts w:hint="eastAsia"/>
          <w:color w:val="auto"/>
        </w:rPr>
      </w:pPr>
      <w:r>
        <w:rPr>
          <w:rFonts w:hint="eastAsia"/>
          <w:color w:val="auto"/>
          <w:lang w:val="en-US" w:eastAsia="zh-CN"/>
        </w:rPr>
        <w:t>4.2.2</w:t>
      </w:r>
      <w:r>
        <w:rPr>
          <w:color w:val="auto"/>
        </w:rPr>
        <w:t>　过氧化氢</w:t>
      </w:r>
      <w:r>
        <w:rPr>
          <w:rFonts w:hint="eastAsia" w:cs="宋体"/>
          <w:color w:val="auto"/>
        </w:rPr>
        <w:t>[</w:t>
      </w:r>
      <w:r>
        <w:rPr>
          <w:rFonts w:hint="eastAsia" w:cs="宋体"/>
          <w:i/>
          <w:color w:val="auto"/>
        </w:rPr>
        <w:t>ω</w:t>
      </w:r>
      <w:r>
        <w:rPr>
          <w:rFonts w:hint="eastAsia"/>
          <w:color w:val="auto"/>
        </w:rPr>
        <w:t>（H</w:t>
      </w:r>
      <w:r>
        <w:rPr>
          <w:rFonts w:hint="eastAsia"/>
          <w:color w:val="auto"/>
          <w:vertAlign w:val="subscript"/>
        </w:rPr>
        <w:t>2</w:t>
      </w:r>
      <w:r>
        <w:rPr>
          <w:rFonts w:hint="eastAsia"/>
          <w:color w:val="auto"/>
        </w:rPr>
        <w:t>O</w:t>
      </w:r>
      <w:r>
        <w:rPr>
          <w:rFonts w:hint="eastAsia"/>
          <w:color w:val="auto"/>
          <w:vertAlign w:val="subscript"/>
        </w:rPr>
        <w:t>2</w:t>
      </w:r>
      <w:r>
        <w:rPr>
          <w:rFonts w:hint="eastAsia"/>
          <w:color w:val="auto"/>
        </w:rPr>
        <w:t>）</w:t>
      </w:r>
      <w:r>
        <w:rPr>
          <w:color w:val="auto"/>
        </w:rPr>
        <w:t>≥</w:t>
      </w:r>
      <w:r>
        <w:rPr>
          <w:rFonts w:hint="eastAsia" w:cs="宋体"/>
          <w:color w:val="auto"/>
        </w:rPr>
        <w:t>30%]</w:t>
      </w:r>
    </w:p>
    <w:p w14:paraId="49A433B9">
      <w:pPr>
        <w:rPr>
          <w:rFonts w:hint="eastAsia"/>
          <w:color w:val="auto"/>
        </w:rPr>
      </w:pPr>
      <w:r>
        <w:rPr>
          <w:rFonts w:hint="eastAsia"/>
          <w:color w:val="auto"/>
          <w:lang w:eastAsia="zh-CN"/>
        </w:rPr>
        <w:t>4.2</w:t>
      </w:r>
      <w:r>
        <w:rPr>
          <w:color w:val="auto"/>
        </w:rPr>
        <w:t>.</w:t>
      </w:r>
      <w:r>
        <w:rPr>
          <w:rFonts w:hint="eastAsia"/>
          <w:color w:val="auto"/>
          <w:lang w:val="en-US" w:eastAsia="zh-CN"/>
        </w:rPr>
        <w:t>3</w:t>
      </w:r>
      <w:r>
        <w:rPr>
          <w:color w:val="auto"/>
        </w:rPr>
        <w:t>　</w:t>
      </w:r>
      <w:r>
        <w:rPr>
          <w:rFonts w:hint="eastAsia"/>
          <w:color w:val="auto"/>
        </w:rPr>
        <w:t>氢氟酸</w:t>
      </w:r>
      <w:r>
        <w:rPr>
          <w:color w:val="auto"/>
        </w:rPr>
        <w:t>（</w:t>
      </w:r>
      <w:r>
        <w:rPr>
          <w:rFonts w:hint="eastAsia" w:cs="宋体"/>
          <w:i/>
          <w:color w:val="auto"/>
        </w:rPr>
        <w:t>ρ</w:t>
      </w:r>
      <w:r>
        <w:rPr>
          <w:rFonts w:hint="eastAsia" w:cs="宋体"/>
          <w:color w:val="auto"/>
        </w:rPr>
        <w:t>=</w:t>
      </w:r>
      <w:r>
        <w:rPr>
          <w:color w:val="auto"/>
        </w:rPr>
        <w:t>1.13</w:t>
      </w:r>
      <w:r>
        <w:rPr>
          <w:rFonts w:ascii="Times New Roman" w:hAnsi="Times New Roman"/>
          <w:color w:val="auto"/>
        </w:rPr>
        <w:t> </w:t>
      </w:r>
      <w:r>
        <w:rPr>
          <w:color w:val="auto"/>
        </w:rPr>
        <w:t>g/mL）</w:t>
      </w:r>
    </w:p>
    <w:p w14:paraId="6192C8CA">
      <w:pPr>
        <w:rPr>
          <w:rFonts w:hint="eastAsia"/>
          <w:color w:val="auto"/>
        </w:rPr>
      </w:pPr>
      <w:r>
        <w:rPr>
          <w:rFonts w:hint="eastAsia"/>
          <w:color w:val="auto"/>
          <w:lang w:eastAsia="zh-CN"/>
        </w:rPr>
        <w:t>4.2</w:t>
      </w:r>
      <w:r>
        <w:rPr>
          <w:color w:val="auto"/>
        </w:rPr>
        <w:t>.</w:t>
      </w:r>
      <w:r>
        <w:rPr>
          <w:rFonts w:hint="eastAsia"/>
          <w:color w:val="auto"/>
          <w:lang w:val="en-US" w:eastAsia="zh-CN"/>
        </w:rPr>
        <w:t>4</w:t>
      </w:r>
      <w:r>
        <w:rPr>
          <w:color w:val="auto"/>
        </w:rPr>
        <w:t>　</w:t>
      </w:r>
      <w:r>
        <w:rPr>
          <w:rFonts w:hint="eastAsia"/>
          <w:color w:val="auto"/>
        </w:rPr>
        <w:t>高氯酸</w:t>
      </w:r>
      <w:r>
        <w:rPr>
          <w:color w:val="auto"/>
        </w:rPr>
        <w:t>（</w:t>
      </w:r>
      <w:r>
        <w:rPr>
          <w:rFonts w:hint="eastAsia" w:cs="宋体"/>
          <w:i/>
          <w:color w:val="auto"/>
        </w:rPr>
        <w:t>ρ=</w:t>
      </w:r>
      <w:r>
        <w:rPr>
          <w:color w:val="auto"/>
        </w:rPr>
        <w:t>1.67g/mL）</w:t>
      </w:r>
    </w:p>
    <w:p w14:paraId="4F42D80B">
      <w:pPr>
        <w:rPr>
          <w:rFonts w:hint="eastAsia"/>
          <w:color w:val="auto"/>
        </w:rPr>
      </w:pPr>
      <w:r>
        <w:rPr>
          <w:rFonts w:hint="eastAsia"/>
          <w:color w:val="auto"/>
          <w:lang w:eastAsia="zh-CN"/>
        </w:rPr>
        <w:t>4.2</w:t>
      </w:r>
      <w:r>
        <w:rPr>
          <w:color w:val="auto"/>
        </w:rPr>
        <w:t>.</w:t>
      </w:r>
      <w:r>
        <w:rPr>
          <w:rFonts w:hint="eastAsia"/>
          <w:color w:val="auto"/>
          <w:lang w:val="en-US" w:eastAsia="zh-CN"/>
        </w:rPr>
        <w:t>5</w:t>
      </w:r>
      <w:r>
        <w:rPr>
          <w:color w:val="auto"/>
        </w:rPr>
        <w:t>　</w:t>
      </w:r>
      <w:r>
        <w:rPr>
          <w:rFonts w:hint="eastAsia"/>
          <w:color w:val="auto"/>
        </w:rPr>
        <w:t>硝</w:t>
      </w:r>
      <w:r>
        <w:rPr>
          <w:color w:val="auto"/>
        </w:rPr>
        <w:t>酸（</w:t>
      </w:r>
      <w:r>
        <w:rPr>
          <w:rFonts w:hint="eastAsia" w:cs="宋体"/>
          <w:i/>
          <w:color w:val="auto"/>
        </w:rPr>
        <w:t>ρ=</w:t>
      </w:r>
      <w:r>
        <w:rPr>
          <w:color w:val="auto"/>
        </w:rPr>
        <w:t>1.42</w:t>
      </w:r>
      <w:r>
        <w:rPr>
          <w:rFonts w:ascii="Times New Roman" w:hAnsi="Times New Roman"/>
          <w:color w:val="auto"/>
        </w:rPr>
        <w:t> </w:t>
      </w:r>
      <w:r>
        <w:rPr>
          <w:color w:val="auto"/>
        </w:rPr>
        <w:t>g/mL）</w:t>
      </w:r>
    </w:p>
    <w:p w14:paraId="5832C1C2">
      <w:pPr>
        <w:rPr>
          <w:rFonts w:hint="eastAsia"/>
          <w:color w:val="auto"/>
        </w:rPr>
      </w:pPr>
      <w:r>
        <w:rPr>
          <w:rFonts w:hint="eastAsia"/>
          <w:color w:val="auto"/>
          <w:lang w:eastAsia="zh-CN"/>
        </w:rPr>
        <w:t>4.2</w:t>
      </w:r>
      <w:r>
        <w:rPr>
          <w:rFonts w:hint="eastAsia"/>
          <w:color w:val="auto"/>
        </w:rPr>
        <w:t>.</w:t>
      </w:r>
      <w:r>
        <w:rPr>
          <w:rFonts w:hint="eastAsia"/>
          <w:color w:val="auto"/>
          <w:lang w:val="en-US" w:eastAsia="zh-CN"/>
        </w:rPr>
        <w:t>6</w:t>
      </w:r>
      <w:r>
        <w:rPr>
          <w:color w:val="auto"/>
        </w:rPr>
        <w:t>　</w:t>
      </w:r>
      <w:r>
        <w:rPr>
          <w:rFonts w:hint="eastAsia"/>
          <w:color w:val="auto"/>
        </w:rPr>
        <w:t>盐酸（1+1）</w:t>
      </w:r>
    </w:p>
    <w:p w14:paraId="178C9EBF">
      <w:pPr>
        <w:rPr>
          <w:rFonts w:hint="default" w:eastAsia="宋体"/>
          <w:color w:val="auto"/>
          <w:lang w:val="en-US" w:eastAsia="zh-CN"/>
        </w:rPr>
      </w:pPr>
      <w:r>
        <w:rPr>
          <w:rFonts w:hint="eastAsia"/>
          <w:color w:val="auto"/>
          <w:lang w:val="en-US" w:eastAsia="zh-CN"/>
        </w:rPr>
        <w:t>4.2.7</w:t>
      </w:r>
      <w:r>
        <w:rPr>
          <w:color w:val="auto"/>
        </w:rPr>
        <w:t>　</w:t>
      </w:r>
      <w:r>
        <w:rPr>
          <w:rFonts w:hint="eastAsia"/>
          <w:color w:val="auto"/>
          <w:lang w:val="en-US" w:eastAsia="zh-CN"/>
        </w:rPr>
        <w:t>硝酸（1+1）</w:t>
      </w:r>
    </w:p>
    <w:p w14:paraId="05153168">
      <w:pPr>
        <w:rPr>
          <w:rFonts w:hint="eastAsia"/>
          <w:color w:val="auto"/>
        </w:rPr>
      </w:pPr>
      <w:r>
        <w:rPr>
          <w:rFonts w:hint="eastAsia"/>
          <w:color w:val="auto"/>
          <w:lang w:eastAsia="zh-CN"/>
        </w:rPr>
        <w:t>4.2</w:t>
      </w:r>
      <w:r>
        <w:rPr>
          <w:color w:val="auto"/>
        </w:rPr>
        <w:t>.</w:t>
      </w:r>
      <w:r>
        <w:rPr>
          <w:rFonts w:hint="eastAsia"/>
          <w:color w:val="auto"/>
          <w:lang w:val="en-US" w:eastAsia="zh-CN"/>
        </w:rPr>
        <w:t>8</w:t>
      </w:r>
      <w:r>
        <w:rPr>
          <w:color w:val="auto"/>
        </w:rPr>
        <w:t>　</w:t>
      </w:r>
      <w:r>
        <w:rPr>
          <w:rFonts w:hint="eastAsia"/>
          <w:color w:val="auto"/>
        </w:rPr>
        <w:t>钍标准溶液：有证标准溶液</w:t>
      </w:r>
      <w:r>
        <w:rPr>
          <w:rFonts w:hint="eastAsia"/>
          <w:color w:val="auto"/>
          <w:lang w:eastAsia="zh-CN"/>
        </w:rPr>
        <w:t>，</w:t>
      </w:r>
      <w:r>
        <w:rPr>
          <w:rFonts w:ascii="Times New Roman"/>
          <w:color w:val="auto"/>
          <w:szCs w:val="21"/>
        </w:rPr>
        <w:t>此溶液1mL含钍1</w:t>
      </w:r>
      <w:r>
        <w:rPr>
          <w:rFonts w:hint="eastAsia" w:ascii="Times New Roman"/>
          <w:color w:val="auto"/>
          <w:szCs w:val="21"/>
          <w:lang w:val="en-US" w:eastAsia="zh-CN"/>
        </w:rPr>
        <w:t>000</w:t>
      </w:r>
      <w:r>
        <w:rPr>
          <w:rFonts w:ascii="Times New Roman"/>
          <w:color w:val="auto"/>
          <w:szCs w:val="21"/>
        </w:rPr>
        <w:t xml:space="preserve"> µg。</w:t>
      </w:r>
    </w:p>
    <w:p w14:paraId="06B0F9B0">
      <w:pPr>
        <w:rPr>
          <w:color w:val="auto"/>
        </w:rPr>
      </w:pPr>
      <w:r>
        <w:rPr>
          <w:rFonts w:hint="eastAsia"/>
          <w:color w:val="auto"/>
          <w:lang w:eastAsia="zh-CN"/>
        </w:rPr>
        <w:t>4.2</w:t>
      </w:r>
      <w:r>
        <w:rPr>
          <w:color w:val="auto"/>
        </w:rPr>
        <w:t>.</w:t>
      </w:r>
      <w:r>
        <w:rPr>
          <w:rFonts w:hint="eastAsia"/>
          <w:color w:val="auto"/>
          <w:lang w:val="en-US" w:eastAsia="zh-CN"/>
        </w:rPr>
        <w:t>9</w:t>
      </w:r>
      <w:r>
        <w:rPr>
          <w:color w:val="auto"/>
        </w:rPr>
        <w:t>　</w:t>
      </w:r>
      <w:r>
        <w:rPr>
          <w:rFonts w:hint="eastAsia"/>
          <w:color w:val="auto"/>
        </w:rPr>
        <w:t>钍标准</w:t>
      </w:r>
      <w:r>
        <w:rPr>
          <w:rFonts w:hint="eastAsia"/>
          <w:color w:val="auto"/>
          <w:lang w:val="en-US" w:eastAsia="zh-CN"/>
        </w:rPr>
        <w:t>贮存</w:t>
      </w:r>
      <w:r>
        <w:rPr>
          <w:rFonts w:hint="eastAsia"/>
          <w:color w:val="auto"/>
        </w:rPr>
        <w:t>溶液：移取钍标准</w:t>
      </w:r>
      <w:r>
        <w:rPr>
          <w:rFonts w:hint="eastAsia"/>
          <w:color w:val="auto"/>
          <w:lang w:val="en-US" w:eastAsia="zh-CN"/>
        </w:rPr>
        <w:t>贮存</w:t>
      </w:r>
      <w:r>
        <w:rPr>
          <w:rFonts w:hint="eastAsia"/>
          <w:color w:val="auto"/>
        </w:rPr>
        <w:t>溶液（</w:t>
      </w:r>
      <w:r>
        <w:rPr>
          <w:rFonts w:hint="eastAsia"/>
          <w:color w:val="auto"/>
          <w:lang w:eastAsia="zh-CN"/>
        </w:rPr>
        <w:t>4.2</w:t>
      </w:r>
      <w:r>
        <w:rPr>
          <w:rFonts w:hint="eastAsia"/>
          <w:color w:val="auto"/>
        </w:rPr>
        <w:t>.</w:t>
      </w:r>
      <w:r>
        <w:rPr>
          <w:rFonts w:hint="eastAsia"/>
          <w:color w:val="auto"/>
          <w:lang w:val="en-US" w:eastAsia="zh-CN"/>
        </w:rPr>
        <w:t>8</w:t>
      </w:r>
      <w:r>
        <w:rPr>
          <w:rFonts w:hint="eastAsia"/>
          <w:color w:val="auto"/>
        </w:rPr>
        <w:t>）10 mL于100 mL容量瓶中，加入10 mL盐酸（</w:t>
      </w:r>
      <w:r>
        <w:rPr>
          <w:rFonts w:hint="eastAsia"/>
          <w:color w:val="auto"/>
          <w:lang w:eastAsia="zh-CN"/>
        </w:rPr>
        <w:t>4.2</w:t>
      </w:r>
      <w:r>
        <w:rPr>
          <w:rFonts w:hint="eastAsia"/>
          <w:color w:val="auto"/>
        </w:rPr>
        <w:t>.</w:t>
      </w:r>
      <w:r>
        <w:rPr>
          <w:rFonts w:hint="eastAsia"/>
          <w:color w:val="auto"/>
          <w:lang w:val="en-US" w:eastAsia="zh-CN"/>
        </w:rPr>
        <w:t>1</w:t>
      </w:r>
      <w:r>
        <w:rPr>
          <w:rFonts w:hint="eastAsia"/>
          <w:color w:val="auto"/>
        </w:rPr>
        <w:t>），用水稀释至刻度，混匀。</w:t>
      </w:r>
      <w:r>
        <w:rPr>
          <w:rFonts w:ascii="Times New Roman"/>
          <w:color w:val="auto"/>
          <w:szCs w:val="21"/>
        </w:rPr>
        <w:t>此溶液1mL含钍1</w:t>
      </w:r>
      <w:r>
        <w:rPr>
          <w:rFonts w:hint="eastAsia" w:ascii="Times New Roman"/>
          <w:color w:val="auto"/>
          <w:szCs w:val="21"/>
          <w:lang w:val="en-US" w:eastAsia="zh-CN"/>
        </w:rPr>
        <w:t>00</w:t>
      </w:r>
      <w:r>
        <w:rPr>
          <w:rFonts w:ascii="Times New Roman"/>
          <w:color w:val="auto"/>
          <w:szCs w:val="21"/>
        </w:rPr>
        <w:t xml:space="preserve"> µg。</w:t>
      </w:r>
    </w:p>
    <w:p w14:paraId="10C9AD2C">
      <w:pPr>
        <w:rPr>
          <w:color w:val="auto"/>
        </w:rPr>
      </w:pPr>
      <w:r>
        <w:rPr>
          <w:rFonts w:hint="eastAsia"/>
          <w:color w:val="auto"/>
          <w:lang w:eastAsia="zh-CN"/>
        </w:rPr>
        <w:t>4.2</w:t>
      </w:r>
      <w:r>
        <w:rPr>
          <w:color w:val="auto"/>
        </w:rPr>
        <w:t>.</w:t>
      </w:r>
      <w:r>
        <w:rPr>
          <w:rFonts w:hint="eastAsia"/>
          <w:color w:val="auto"/>
          <w:lang w:val="en-US" w:eastAsia="zh-CN"/>
        </w:rPr>
        <w:t>10</w:t>
      </w:r>
      <w:r>
        <w:rPr>
          <w:color w:val="auto"/>
        </w:rPr>
        <w:t>　混合稀土氧化物标准贮存溶液：按表1称取除氧化铈和氧化铽外的各单一稀土氧化物［</w:t>
      </w:r>
      <w:r>
        <w:rPr>
          <w:rFonts w:hint="eastAsia" w:cs="宋体"/>
          <w:i/>
          <w:color w:val="auto"/>
        </w:rPr>
        <w:t>ω</w:t>
      </w:r>
      <w:r>
        <w:rPr>
          <w:color w:val="auto"/>
        </w:rPr>
        <w:t>（</w:t>
      </w:r>
      <w:r>
        <w:rPr>
          <w:rFonts w:cs="宋体"/>
          <w:color w:val="auto"/>
          <w:kern w:val="0"/>
        </w:rPr>
        <w:t>REO</w:t>
      </w:r>
      <w:r>
        <w:rPr>
          <w:color w:val="auto"/>
        </w:rPr>
        <w:t>）</w:t>
      </w:r>
      <w:r>
        <w:rPr>
          <w:rFonts w:hint="eastAsia" w:cs="宋体"/>
          <w:color w:val="auto"/>
          <w:kern w:val="0"/>
        </w:rPr>
        <w:t>≥</w:t>
      </w:r>
      <w:r>
        <w:rPr>
          <w:rFonts w:cs="宋体"/>
          <w:color w:val="auto"/>
          <w:kern w:val="0"/>
        </w:rPr>
        <w:t>99.5%</w:t>
      </w:r>
      <w:r>
        <w:rPr>
          <w:color w:val="auto"/>
        </w:rPr>
        <w:t>，稀土相对纯度</w:t>
      </w:r>
      <w:r>
        <w:rPr>
          <w:rFonts w:hint="eastAsia" w:cs="宋体"/>
          <w:color w:val="auto"/>
        </w:rPr>
        <w:t>≥</w:t>
      </w:r>
      <w:r>
        <w:rPr>
          <w:color w:val="auto"/>
        </w:rPr>
        <w:t>99.99%，</w:t>
      </w:r>
      <w:r>
        <w:rPr>
          <w:rFonts w:hint="eastAsia" w:cs="宋体"/>
          <w:i/>
          <w:color w:val="auto"/>
        </w:rPr>
        <w:t>ω</w:t>
      </w:r>
      <w:r>
        <w:rPr>
          <w:color w:val="auto"/>
        </w:rPr>
        <w:t>（</w:t>
      </w:r>
      <w:r>
        <w:rPr>
          <w:rFonts w:hint="eastAsia"/>
          <w:color w:val="auto"/>
        </w:rPr>
        <w:t>Th</w:t>
      </w:r>
      <w:r>
        <w:rPr>
          <w:color w:val="auto"/>
        </w:rPr>
        <w:t>）</w:t>
      </w:r>
      <w:r>
        <w:rPr>
          <w:rFonts w:hint="eastAsia"/>
          <w:color w:val="auto"/>
          <w:lang w:val="en-US" w:eastAsia="zh-CN"/>
        </w:rPr>
        <w:t>≤</w:t>
      </w:r>
      <w:r>
        <w:rPr>
          <w:color w:val="auto"/>
        </w:rPr>
        <w:t>0.0</w:t>
      </w:r>
      <w:r>
        <w:rPr>
          <w:rFonts w:hint="eastAsia"/>
          <w:color w:val="auto"/>
        </w:rPr>
        <w:t>0</w:t>
      </w:r>
      <w:r>
        <w:rPr>
          <w:color w:val="auto"/>
        </w:rPr>
        <w:t>01%</w:t>
      </w:r>
      <w:r>
        <w:rPr>
          <w:rFonts w:hint="eastAsia"/>
          <w:color w:val="auto"/>
        </w:rPr>
        <w:t>,</w:t>
      </w:r>
      <w:r>
        <w:rPr>
          <w:rFonts w:hint="eastAsia" w:cs="宋体"/>
          <w:i/>
          <w:color w:val="auto"/>
        </w:rPr>
        <w:t>ω</w:t>
      </w:r>
      <w:r>
        <w:rPr>
          <w:color w:val="auto"/>
        </w:rPr>
        <w:t>（</w:t>
      </w:r>
      <w:r>
        <w:rPr>
          <w:rFonts w:hint="eastAsia"/>
          <w:color w:val="auto"/>
        </w:rPr>
        <w:t>U</w:t>
      </w:r>
      <w:r>
        <w:rPr>
          <w:color w:val="auto"/>
        </w:rPr>
        <w:t>）</w:t>
      </w:r>
      <w:r>
        <w:rPr>
          <w:rFonts w:hint="eastAsia"/>
          <w:color w:val="auto"/>
          <w:lang w:val="en-US" w:eastAsia="zh-CN"/>
        </w:rPr>
        <w:t>≤</w:t>
      </w:r>
      <w:r>
        <w:rPr>
          <w:color w:val="auto"/>
        </w:rPr>
        <w:t>0.0</w:t>
      </w:r>
      <w:r>
        <w:rPr>
          <w:rFonts w:hint="eastAsia"/>
          <w:color w:val="auto"/>
        </w:rPr>
        <w:t>0</w:t>
      </w:r>
      <w:r>
        <w:rPr>
          <w:color w:val="auto"/>
        </w:rPr>
        <w:t>01%］于</w:t>
      </w:r>
      <w:r>
        <w:rPr>
          <w:rFonts w:hint="eastAsia"/>
          <w:color w:val="auto"/>
        </w:rPr>
        <w:t>同一300</w:t>
      </w:r>
      <w:r>
        <w:rPr>
          <w:rFonts w:ascii="Times New Roman" w:hAnsi="Times New Roman"/>
          <w:color w:val="auto"/>
        </w:rPr>
        <w:t> </w:t>
      </w:r>
      <w:r>
        <w:rPr>
          <w:color w:val="auto"/>
        </w:rPr>
        <w:t>mL烧杯中，</w:t>
      </w:r>
      <w:r>
        <w:rPr>
          <w:rFonts w:hint="eastAsia"/>
          <w:color w:val="auto"/>
        </w:rPr>
        <w:t>用</w:t>
      </w:r>
      <w:r>
        <w:rPr>
          <w:color w:val="auto"/>
        </w:rPr>
        <w:t>少量水润湿、加入</w:t>
      </w:r>
      <w:r>
        <w:rPr>
          <w:rFonts w:hint="eastAsia"/>
          <w:color w:val="auto"/>
          <w:lang w:val="en-US" w:eastAsia="zh-CN"/>
        </w:rPr>
        <w:t>50</w:t>
      </w:r>
      <w:r>
        <w:rPr>
          <w:color w:val="auto"/>
        </w:rPr>
        <w:t>mL盐酸（</w:t>
      </w:r>
      <w:r>
        <w:rPr>
          <w:rFonts w:hint="eastAsia"/>
          <w:color w:val="auto"/>
          <w:lang w:eastAsia="zh-CN"/>
        </w:rPr>
        <w:t>4.2</w:t>
      </w:r>
      <w:r>
        <w:rPr>
          <w:rFonts w:hint="eastAsia"/>
          <w:color w:val="auto"/>
        </w:rPr>
        <w:t>.</w:t>
      </w:r>
      <w:r>
        <w:rPr>
          <w:rFonts w:hint="eastAsia"/>
          <w:color w:val="auto"/>
          <w:lang w:val="en-US" w:eastAsia="zh-CN"/>
        </w:rPr>
        <w:t>1</w:t>
      </w:r>
      <w:r>
        <w:rPr>
          <w:color w:val="auto"/>
        </w:rPr>
        <w:t>），低温加热</w:t>
      </w:r>
      <w:r>
        <w:rPr>
          <w:rFonts w:hint="eastAsia"/>
          <w:color w:val="auto"/>
        </w:rPr>
        <w:t>分解</w:t>
      </w:r>
      <w:r>
        <w:rPr>
          <w:color w:val="auto"/>
        </w:rPr>
        <w:t>至清亮</w:t>
      </w:r>
      <w:r>
        <w:rPr>
          <w:rFonts w:hint="eastAsia"/>
          <w:color w:val="auto"/>
        </w:rPr>
        <w:t>，</w:t>
      </w:r>
      <w:r>
        <w:rPr>
          <w:color w:val="auto"/>
        </w:rPr>
        <w:t>取下冷却至室温</w:t>
      </w:r>
      <w:r>
        <w:rPr>
          <w:rFonts w:hint="eastAsia"/>
          <w:color w:val="auto"/>
        </w:rPr>
        <w:t>；按</w:t>
      </w:r>
      <w:r>
        <w:rPr>
          <w:color w:val="auto"/>
        </w:rPr>
        <w:t>表1</w:t>
      </w:r>
      <w:r>
        <w:rPr>
          <w:rFonts w:hint="eastAsia"/>
          <w:color w:val="auto"/>
        </w:rPr>
        <w:t>称取</w:t>
      </w:r>
      <w:r>
        <w:rPr>
          <w:color w:val="auto"/>
        </w:rPr>
        <w:t>氧化铈和氧化铽［</w:t>
      </w:r>
      <w:r>
        <w:rPr>
          <w:rFonts w:hint="eastAsia" w:cs="宋体"/>
          <w:i/>
          <w:color w:val="auto"/>
        </w:rPr>
        <w:t>ω</w:t>
      </w:r>
      <w:r>
        <w:rPr>
          <w:color w:val="auto"/>
        </w:rPr>
        <w:t>（</w:t>
      </w:r>
      <w:r>
        <w:rPr>
          <w:rFonts w:cs="宋体"/>
          <w:color w:val="auto"/>
          <w:kern w:val="0"/>
        </w:rPr>
        <w:t>REO</w:t>
      </w:r>
      <w:r>
        <w:rPr>
          <w:color w:val="auto"/>
        </w:rPr>
        <w:t>）≥99.5%，稀土相对纯度≥99.99%，</w:t>
      </w:r>
      <w:r>
        <w:rPr>
          <w:rFonts w:hint="eastAsia" w:cs="宋体"/>
          <w:i/>
          <w:color w:val="auto"/>
        </w:rPr>
        <w:t>ω</w:t>
      </w:r>
      <w:r>
        <w:rPr>
          <w:color w:val="auto"/>
        </w:rPr>
        <w:t>（</w:t>
      </w:r>
      <w:r>
        <w:rPr>
          <w:rFonts w:hint="eastAsia"/>
          <w:color w:val="auto"/>
        </w:rPr>
        <w:t>Th</w:t>
      </w:r>
      <w:r>
        <w:rPr>
          <w:color w:val="auto"/>
        </w:rPr>
        <w:t>）</w:t>
      </w:r>
      <w:r>
        <w:rPr>
          <w:rFonts w:hint="eastAsia"/>
          <w:color w:val="auto"/>
          <w:lang w:val="en-US" w:eastAsia="zh-CN"/>
        </w:rPr>
        <w:t>≤</w:t>
      </w:r>
      <w:r>
        <w:rPr>
          <w:color w:val="auto"/>
        </w:rPr>
        <w:t>0.0</w:t>
      </w:r>
      <w:r>
        <w:rPr>
          <w:rFonts w:hint="eastAsia"/>
          <w:color w:val="auto"/>
        </w:rPr>
        <w:t>0</w:t>
      </w:r>
      <w:r>
        <w:rPr>
          <w:color w:val="auto"/>
        </w:rPr>
        <w:t>01%</w:t>
      </w:r>
      <w:r>
        <w:rPr>
          <w:rFonts w:hint="eastAsia"/>
          <w:color w:val="auto"/>
        </w:rPr>
        <w:t>,</w:t>
      </w:r>
      <w:r>
        <w:rPr>
          <w:rFonts w:hint="eastAsia" w:cs="宋体"/>
          <w:i/>
          <w:color w:val="auto"/>
        </w:rPr>
        <w:t>ω</w:t>
      </w:r>
      <w:r>
        <w:rPr>
          <w:color w:val="auto"/>
        </w:rPr>
        <w:t>（</w:t>
      </w:r>
      <w:r>
        <w:rPr>
          <w:rFonts w:hint="eastAsia"/>
          <w:color w:val="auto"/>
        </w:rPr>
        <w:t>U</w:t>
      </w:r>
      <w:r>
        <w:rPr>
          <w:color w:val="auto"/>
        </w:rPr>
        <w:t>）</w:t>
      </w:r>
      <w:r>
        <w:rPr>
          <w:rFonts w:hint="eastAsia"/>
          <w:color w:val="auto"/>
          <w:lang w:val="en-US" w:eastAsia="zh-CN"/>
        </w:rPr>
        <w:t>≤</w:t>
      </w:r>
      <w:r>
        <w:rPr>
          <w:color w:val="auto"/>
        </w:rPr>
        <w:t>0.0</w:t>
      </w:r>
      <w:r>
        <w:rPr>
          <w:rFonts w:hint="eastAsia"/>
          <w:color w:val="auto"/>
        </w:rPr>
        <w:t>0</w:t>
      </w:r>
      <w:r>
        <w:rPr>
          <w:color w:val="auto"/>
        </w:rPr>
        <w:t>01%］于</w:t>
      </w:r>
      <w:r>
        <w:rPr>
          <w:rFonts w:hint="eastAsia"/>
          <w:color w:val="auto"/>
        </w:rPr>
        <w:t>同一</w:t>
      </w:r>
      <w:r>
        <w:rPr>
          <w:color w:val="auto"/>
        </w:rPr>
        <w:t>100</w:t>
      </w:r>
      <w:r>
        <w:rPr>
          <w:rFonts w:ascii="Times New Roman" w:hAnsi="Times New Roman"/>
          <w:color w:val="auto"/>
        </w:rPr>
        <w:t> </w:t>
      </w:r>
      <w:r>
        <w:rPr>
          <w:color w:val="auto"/>
        </w:rPr>
        <w:t>mL烧杯中，</w:t>
      </w:r>
      <w:r>
        <w:rPr>
          <w:rFonts w:hint="eastAsia"/>
          <w:color w:val="auto"/>
        </w:rPr>
        <w:t>用</w:t>
      </w:r>
      <w:r>
        <w:rPr>
          <w:color w:val="auto"/>
        </w:rPr>
        <w:t>少量水润湿、</w:t>
      </w:r>
      <w:r>
        <w:rPr>
          <w:rFonts w:hint="eastAsia"/>
          <w:color w:val="auto"/>
        </w:rPr>
        <w:t>加入</w:t>
      </w:r>
      <w:r>
        <w:rPr>
          <w:color w:val="auto"/>
        </w:rPr>
        <w:t>5</w:t>
      </w:r>
      <w:r>
        <w:rPr>
          <w:rFonts w:ascii="Times New Roman" w:hAnsi="Times New Roman"/>
          <w:color w:val="auto"/>
        </w:rPr>
        <w:t> </w:t>
      </w:r>
      <w:r>
        <w:rPr>
          <w:color w:val="auto"/>
        </w:rPr>
        <w:t>mL硝酸（</w:t>
      </w:r>
      <w:r>
        <w:rPr>
          <w:rFonts w:hint="eastAsia"/>
          <w:color w:val="auto"/>
          <w:lang w:eastAsia="zh-CN"/>
        </w:rPr>
        <w:t>4.2</w:t>
      </w:r>
      <w:r>
        <w:rPr>
          <w:rFonts w:hint="eastAsia"/>
          <w:color w:val="auto"/>
        </w:rPr>
        <w:t>.</w:t>
      </w:r>
      <w:r>
        <w:rPr>
          <w:rFonts w:hint="eastAsia"/>
          <w:color w:val="auto"/>
          <w:lang w:val="en-US" w:eastAsia="zh-CN"/>
        </w:rPr>
        <w:t>5</w:t>
      </w:r>
      <w:r>
        <w:rPr>
          <w:color w:val="auto"/>
        </w:rPr>
        <w:t>）</w:t>
      </w:r>
      <w:r>
        <w:rPr>
          <w:rFonts w:hint="eastAsia"/>
          <w:color w:val="auto"/>
        </w:rPr>
        <w:t>，加入</w:t>
      </w:r>
      <w:r>
        <w:rPr>
          <w:color w:val="auto"/>
        </w:rPr>
        <w:t>2</w:t>
      </w:r>
      <w:r>
        <w:rPr>
          <w:rFonts w:ascii="Times New Roman" w:hAnsi="Times New Roman"/>
          <w:color w:val="auto"/>
        </w:rPr>
        <w:t> </w:t>
      </w:r>
      <w:r>
        <w:rPr>
          <w:color w:val="auto"/>
        </w:rPr>
        <w:t>mL过氧化氢（</w:t>
      </w:r>
      <w:r>
        <w:rPr>
          <w:rFonts w:hint="eastAsia"/>
          <w:color w:val="auto"/>
          <w:lang w:eastAsia="zh-CN"/>
        </w:rPr>
        <w:t>4.2</w:t>
      </w:r>
      <w:r>
        <w:rPr>
          <w:rFonts w:hint="eastAsia"/>
          <w:color w:val="auto"/>
        </w:rPr>
        <w:t>.</w:t>
      </w:r>
      <w:r>
        <w:rPr>
          <w:rFonts w:hint="eastAsia"/>
          <w:color w:val="auto"/>
          <w:lang w:val="en-US" w:eastAsia="zh-CN"/>
        </w:rPr>
        <w:t>2</w:t>
      </w:r>
      <w:r>
        <w:rPr>
          <w:color w:val="auto"/>
        </w:rPr>
        <w:t>），低温加热分解至清亮，取下冷却至室温</w:t>
      </w:r>
      <w:r>
        <w:rPr>
          <w:rFonts w:hint="eastAsia"/>
          <w:color w:val="auto"/>
        </w:rPr>
        <w:t>；将两组溶液</w:t>
      </w:r>
      <w:r>
        <w:rPr>
          <w:color w:val="auto"/>
        </w:rPr>
        <w:t>移</w:t>
      </w:r>
      <w:r>
        <w:rPr>
          <w:rFonts w:hint="eastAsia"/>
          <w:color w:val="auto"/>
        </w:rPr>
        <w:t>入同一</w:t>
      </w:r>
      <w:r>
        <w:rPr>
          <w:color w:val="auto"/>
        </w:rPr>
        <w:t>100</w:t>
      </w:r>
      <w:r>
        <w:rPr>
          <w:rFonts w:hint="eastAsia"/>
          <w:color w:val="auto"/>
        </w:rPr>
        <w:t>0</w:t>
      </w:r>
      <w:r>
        <w:rPr>
          <w:rFonts w:ascii="Times New Roman" w:hAnsi="Times New Roman"/>
          <w:color w:val="auto"/>
        </w:rPr>
        <w:t> </w:t>
      </w:r>
      <w:r>
        <w:rPr>
          <w:color w:val="auto"/>
        </w:rPr>
        <w:t>mL容量瓶中，用水稀释至刻度，混匀。此标准溶液1</w:t>
      </w:r>
      <w:r>
        <w:rPr>
          <w:rFonts w:ascii="Times New Roman" w:hAnsi="Times New Roman"/>
          <w:color w:val="auto"/>
        </w:rPr>
        <w:t> </w:t>
      </w:r>
      <w:r>
        <w:rPr>
          <w:color w:val="auto"/>
        </w:rPr>
        <w:t>mL含10</w:t>
      </w:r>
      <w:r>
        <w:rPr>
          <w:rFonts w:ascii="Times New Roman" w:hAnsi="Times New Roman"/>
          <w:color w:val="auto"/>
        </w:rPr>
        <w:t> </w:t>
      </w:r>
      <w:r>
        <w:rPr>
          <w:color w:val="auto"/>
        </w:rPr>
        <w:t>mg混合稀土氧化物。</w:t>
      </w:r>
    </w:p>
    <w:p w14:paraId="0B6325AD">
      <w:pPr>
        <w:pStyle w:val="14"/>
        <w:ind w:left="0" w:leftChars="0" w:firstLine="0" w:firstLineChars="0"/>
        <w:jc w:val="center"/>
        <w:rPr>
          <w:rFonts w:hint="eastAsia"/>
          <w:color w:val="auto"/>
          <w:lang w:val="en-US" w:eastAsia="zh-CN"/>
        </w:rPr>
      </w:pPr>
      <w:r>
        <w:rPr>
          <w:rFonts w:hint="eastAsia"/>
          <w:color w:val="auto"/>
        </w:rPr>
        <w:t>表</w:t>
      </w:r>
      <w:r>
        <w:rPr>
          <w:color w:val="auto"/>
        </w:rPr>
        <w:t>1</w:t>
      </w:r>
      <w:r>
        <w:rPr>
          <w:rFonts w:hint="eastAsia"/>
          <w:color w:val="auto"/>
        </w:rPr>
        <w:t xml:space="preserve">  混合稀土氧化物标准贮存溶液称样量</w:t>
      </w:r>
    </w:p>
    <w:p w14:paraId="699467D7">
      <w:pPr>
        <w:pStyle w:val="14"/>
        <w:ind w:firstLine="2520" w:firstLineChars="1200"/>
        <w:jc w:val="right"/>
        <w:rPr>
          <w:color w:val="auto"/>
        </w:rPr>
      </w:pPr>
      <w:r>
        <w:rPr>
          <w:rFonts w:hint="eastAsia" w:cs="宋体"/>
          <w:color w:val="auto"/>
        </w:rPr>
        <w:t>单位为 克</w:t>
      </w:r>
    </w:p>
    <w:tbl>
      <w:tblPr>
        <w:tblStyle w:val="6"/>
        <w:tblW w:w="9553" w:type="dxa"/>
        <w:tblInd w:w="93" w:type="dxa"/>
        <w:tblLayout w:type="autofit"/>
        <w:tblCellMar>
          <w:top w:w="0" w:type="dxa"/>
          <w:left w:w="108" w:type="dxa"/>
          <w:bottom w:w="0" w:type="dxa"/>
          <w:right w:w="108" w:type="dxa"/>
        </w:tblCellMar>
      </w:tblPr>
      <w:tblGrid>
        <w:gridCol w:w="1071"/>
        <w:gridCol w:w="1072"/>
        <w:gridCol w:w="1073"/>
        <w:gridCol w:w="1073"/>
        <w:gridCol w:w="1072"/>
        <w:gridCol w:w="1073"/>
        <w:gridCol w:w="1072"/>
        <w:gridCol w:w="1072"/>
        <w:gridCol w:w="975"/>
      </w:tblGrid>
      <w:tr w14:paraId="3AD027CD">
        <w:tblPrEx>
          <w:tblCellMar>
            <w:top w:w="0" w:type="dxa"/>
            <w:left w:w="108" w:type="dxa"/>
            <w:bottom w:w="0" w:type="dxa"/>
            <w:right w:w="108" w:type="dxa"/>
          </w:tblCellMar>
        </w:tblPrEx>
        <w:trPr>
          <w:trHeight w:val="330"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14:paraId="0E176BEC">
            <w:pPr>
              <w:rPr>
                <w:color w:val="auto"/>
              </w:rPr>
            </w:pPr>
            <w:r>
              <w:rPr>
                <w:rFonts w:hint="eastAsia"/>
                <w:color w:val="auto"/>
              </w:rPr>
              <w:t>元素</w:t>
            </w:r>
          </w:p>
        </w:tc>
        <w:tc>
          <w:tcPr>
            <w:tcW w:w="1072" w:type="dxa"/>
            <w:tcBorders>
              <w:top w:val="single" w:color="auto" w:sz="4" w:space="0"/>
              <w:left w:val="nil"/>
              <w:bottom w:val="single" w:color="auto" w:sz="4" w:space="0"/>
              <w:right w:val="single" w:color="auto" w:sz="4" w:space="0"/>
            </w:tcBorders>
            <w:noWrap w:val="0"/>
            <w:vAlign w:val="center"/>
          </w:tcPr>
          <w:p w14:paraId="52198DC3">
            <w:pPr>
              <w:rPr>
                <w:color w:val="auto"/>
              </w:rPr>
            </w:pPr>
            <w:r>
              <w:rPr>
                <w:rFonts w:hint="eastAsia"/>
                <w:color w:val="auto"/>
              </w:rPr>
              <w:t>La</w:t>
            </w:r>
            <w:r>
              <w:rPr>
                <w:rFonts w:hint="eastAsia"/>
                <w:color w:val="auto"/>
                <w:vertAlign w:val="subscript"/>
              </w:rPr>
              <w:t>2</w:t>
            </w:r>
            <w:r>
              <w:rPr>
                <w:rFonts w:hint="eastAsia"/>
                <w:color w:val="auto"/>
              </w:rPr>
              <w:t>O</w:t>
            </w:r>
            <w:r>
              <w:rPr>
                <w:rFonts w:hint="eastAsia"/>
                <w:color w:val="auto"/>
                <w:vertAlign w:val="subscript"/>
              </w:rPr>
              <w:t>3</w:t>
            </w:r>
          </w:p>
        </w:tc>
        <w:tc>
          <w:tcPr>
            <w:tcW w:w="1073" w:type="dxa"/>
            <w:tcBorders>
              <w:top w:val="single" w:color="auto" w:sz="4" w:space="0"/>
              <w:left w:val="nil"/>
              <w:bottom w:val="single" w:color="auto" w:sz="4" w:space="0"/>
              <w:right w:val="single" w:color="auto" w:sz="4" w:space="0"/>
            </w:tcBorders>
            <w:noWrap w:val="0"/>
            <w:vAlign w:val="center"/>
          </w:tcPr>
          <w:p w14:paraId="7BB663DA">
            <w:pPr>
              <w:rPr>
                <w:color w:val="auto"/>
              </w:rPr>
            </w:pPr>
            <w:r>
              <w:rPr>
                <w:rFonts w:hint="eastAsia"/>
                <w:color w:val="auto"/>
              </w:rPr>
              <w:t>CeO</w:t>
            </w:r>
            <w:r>
              <w:rPr>
                <w:rFonts w:hint="eastAsia"/>
                <w:color w:val="auto"/>
                <w:vertAlign w:val="subscript"/>
              </w:rPr>
              <w:t>2</w:t>
            </w:r>
          </w:p>
        </w:tc>
        <w:tc>
          <w:tcPr>
            <w:tcW w:w="1073" w:type="dxa"/>
            <w:tcBorders>
              <w:top w:val="single" w:color="auto" w:sz="4" w:space="0"/>
              <w:left w:val="nil"/>
              <w:bottom w:val="single" w:color="auto" w:sz="4" w:space="0"/>
              <w:right w:val="single" w:color="auto" w:sz="4" w:space="0"/>
            </w:tcBorders>
            <w:noWrap w:val="0"/>
            <w:vAlign w:val="center"/>
          </w:tcPr>
          <w:p w14:paraId="7FB8EBA9">
            <w:pPr>
              <w:rPr>
                <w:color w:val="auto"/>
              </w:rPr>
            </w:pPr>
            <w:r>
              <w:rPr>
                <w:rFonts w:hint="eastAsia"/>
                <w:color w:val="auto"/>
              </w:rPr>
              <w:t>Pr</w:t>
            </w:r>
            <w:r>
              <w:rPr>
                <w:rFonts w:hint="eastAsia"/>
                <w:color w:val="auto"/>
                <w:vertAlign w:val="subscript"/>
              </w:rPr>
              <w:t>6</w:t>
            </w:r>
            <w:r>
              <w:rPr>
                <w:rFonts w:hint="eastAsia"/>
                <w:color w:val="auto"/>
              </w:rPr>
              <w:t>O</w:t>
            </w:r>
            <w:r>
              <w:rPr>
                <w:rFonts w:hint="eastAsia"/>
                <w:color w:val="auto"/>
                <w:vertAlign w:val="subscript"/>
              </w:rPr>
              <w:t>11</w:t>
            </w:r>
          </w:p>
        </w:tc>
        <w:tc>
          <w:tcPr>
            <w:tcW w:w="1072" w:type="dxa"/>
            <w:tcBorders>
              <w:top w:val="single" w:color="auto" w:sz="4" w:space="0"/>
              <w:left w:val="nil"/>
              <w:bottom w:val="single" w:color="auto" w:sz="4" w:space="0"/>
              <w:right w:val="single" w:color="auto" w:sz="4" w:space="0"/>
            </w:tcBorders>
            <w:noWrap w:val="0"/>
            <w:vAlign w:val="center"/>
          </w:tcPr>
          <w:p w14:paraId="751B62A3">
            <w:pPr>
              <w:rPr>
                <w:color w:val="auto"/>
              </w:rPr>
            </w:pPr>
            <w:r>
              <w:rPr>
                <w:rFonts w:hint="eastAsia"/>
                <w:color w:val="auto"/>
              </w:rPr>
              <w:t>Nd</w:t>
            </w:r>
            <w:r>
              <w:rPr>
                <w:rFonts w:hint="eastAsia"/>
                <w:color w:val="auto"/>
                <w:vertAlign w:val="subscript"/>
              </w:rPr>
              <w:t>2</w:t>
            </w:r>
            <w:r>
              <w:rPr>
                <w:rFonts w:hint="eastAsia"/>
                <w:color w:val="auto"/>
              </w:rPr>
              <w:t>O</w:t>
            </w:r>
            <w:r>
              <w:rPr>
                <w:rFonts w:hint="eastAsia"/>
                <w:color w:val="auto"/>
                <w:vertAlign w:val="subscript"/>
              </w:rPr>
              <w:t>3</w:t>
            </w:r>
          </w:p>
        </w:tc>
        <w:tc>
          <w:tcPr>
            <w:tcW w:w="1073" w:type="dxa"/>
            <w:tcBorders>
              <w:top w:val="single" w:color="auto" w:sz="4" w:space="0"/>
              <w:left w:val="nil"/>
              <w:bottom w:val="single" w:color="auto" w:sz="4" w:space="0"/>
              <w:right w:val="single" w:color="auto" w:sz="4" w:space="0"/>
            </w:tcBorders>
            <w:noWrap w:val="0"/>
            <w:vAlign w:val="center"/>
          </w:tcPr>
          <w:p w14:paraId="48DA05F5">
            <w:pPr>
              <w:rPr>
                <w:color w:val="auto"/>
              </w:rPr>
            </w:pPr>
            <w:r>
              <w:rPr>
                <w:rFonts w:hint="eastAsia"/>
                <w:color w:val="auto"/>
              </w:rPr>
              <w:t>Sm</w:t>
            </w:r>
            <w:r>
              <w:rPr>
                <w:rFonts w:hint="eastAsia"/>
                <w:color w:val="auto"/>
                <w:vertAlign w:val="subscript"/>
              </w:rPr>
              <w:t>2</w:t>
            </w:r>
            <w:r>
              <w:rPr>
                <w:rFonts w:hint="eastAsia"/>
                <w:color w:val="auto"/>
              </w:rPr>
              <w:t>O</w:t>
            </w:r>
            <w:r>
              <w:rPr>
                <w:rFonts w:hint="eastAsia"/>
                <w:color w:val="auto"/>
                <w:vertAlign w:val="subscript"/>
              </w:rPr>
              <w:t>3</w:t>
            </w:r>
          </w:p>
        </w:tc>
        <w:tc>
          <w:tcPr>
            <w:tcW w:w="1072" w:type="dxa"/>
            <w:tcBorders>
              <w:top w:val="single" w:color="auto" w:sz="4" w:space="0"/>
              <w:left w:val="nil"/>
              <w:bottom w:val="single" w:color="auto" w:sz="4" w:space="0"/>
              <w:right w:val="single" w:color="auto" w:sz="4" w:space="0"/>
            </w:tcBorders>
            <w:noWrap w:val="0"/>
            <w:vAlign w:val="center"/>
          </w:tcPr>
          <w:p w14:paraId="1EBF5CA5">
            <w:pPr>
              <w:rPr>
                <w:color w:val="auto"/>
              </w:rPr>
            </w:pPr>
            <w:r>
              <w:rPr>
                <w:rFonts w:hint="eastAsia"/>
                <w:color w:val="auto"/>
              </w:rPr>
              <w:t>Eu</w:t>
            </w:r>
            <w:r>
              <w:rPr>
                <w:rFonts w:hint="eastAsia"/>
                <w:color w:val="auto"/>
                <w:vertAlign w:val="subscript"/>
              </w:rPr>
              <w:t>2</w:t>
            </w:r>
            <w:r>
              <w:rPr>
                <w:rFonts w:hint="eastAsia"/>
                <w:color w:val="auto"/>
              </w:rPr>
              <w:t>O</w:t>
            </w:r>
            <w:r>
              <w:rPr>
                <w:rFonts w:hint="eastAsia"/>
                <w:color w:val="auto"/>
                <w:vertAlign w:val="subscript"/>
              </w:rPr>
              <w:t>3</w:t>
            </w:r>
          </w:p>
        </w:tc>
        <w:tc>
          <w:tcPr>
            <w:tcW w:w="1072" w:type="dxa"/>
            <w:tcBorders>
              <w:top w:val="single" w:color="auto" w:sz="4" w:space="0"/>
              <w:left w:val="nil"/>
              <w:bottom w:val="single" w:color="auto" w:sz="4" w:space="0"/>
              <w:right w:val="single" w:color="auto" w:sz="4" w:space="0"/>
            </w:tcBorders>
            <w:noWrap w:val="0"/>
            <w:vAlign w:val="center"/>
          </w:tcPr>
          <w:p w14:paraId="25990786">
            <w:pPr>
              <w:rPr>
                <w:color w:val="auto"/>
              </w:rPr>
            </w:pPr>
            <w:r>
              <w:rPr>
                <w:rFonts w:hint="eastAsia"/>
                <w:color w:val="auto"/>
              </w:rPr>
              <w:t>Gd</w:t>
            </w:r>
            <w:r>
              <w:rPr>
                <w:rFonts w:hint="eastAsia"/>
                <w:color w:val="auto"/>
                <w:vertAlign w:val="subscript"/>
              </w:rPr>
              <w:t>2</w:t>
            </w:r>
            <w:r>
              <w:rPr>
                <w:rFonts w:hint="eastAsia"/>
                <w:color w:val="auto"/>
              </w:rPr>
              <w:t>O</w:t>
            </w:r>
            <w:r>
              <w:rPr>
                <w:rFonts w:hint="eastAsia"/>
                <w:color w:val="auto"/>
                <w:vertAlign w:val="subscript"/>
              </w:rPr>
              <w:t>3</w:t>
            </w:r>
          </w:p>
        </w:tc>
        <w:tc>
          <w:tcPr>
            <w:tcW w:w="975" w:type="dxa"/>
            <w:tcBorders>
              <w:top w:val="single" w:color="auto" w:sz="4" w:space="0"/>
              <w:left w:val="nil"/>
              <w:bottom w:val="single" w:color="auto" w:sz="4" w:space="0"/>
              <w:right w:val="single" w:color="auto" w:sz="4" w:space="0"/>
            </w:tcBorders>
            <w:noWrap w:val="0"/>
            <w:vAlign w:val="center"/>
          </w:tcPr>
          <w:p w14:paraId="4EBB65B5">
            <w:pPr>
              <w:rPr>
                <w:color w:val="auto"/>
              </w:rPr>
            </w:pPr>
            <w:r>
              <w:rPr>
                <w:rFonts w:hint="eastAsia"/>
                <w:color w:val="auto"/>
              </w:rPr>
              <w:t>Tb</w:t>
            </w:r>
            <w:r>
              <w:rPr>
                <w:rFonts w:hint="eastAsia"/>
                <w:color w:val="auto"/>
                <w:vertAlign w:val="subscript"/>
              </w:rPr>
              <w:t>4</w:t>
            </w:r>
            <w:r>
              <w:rPr>
                <w:rFonts w:hint="eastAsia"/>
                <w:color w:val="auto"/>
              </w:rPr>
              <w:t>O</w:t>
            </w:r>
            <w:r>
              <w:rPr>
                <w:rFonts w:hint="eastAsia"/>
                <w:color w:val="auto"/>
                <w:vertAlign w:val="subscript"/>
              </w:rPr>
              <w:t>7</w:t>
            </w:r>
          </w:p>
        </w:tc>
      </w:tr>
      <w:tr w14:paraId="1F97A224">
        <w:tblPrEx>
          <w:tblCellMar>
            <w:top w:w="0" w:type="dxa"/>
            <w:left w:w="108" w:type="dxa"/>
            <w:bottom w:w="0" w:type="dxa"/>
            <w:right w:w="108" w:type="dxa"/>
          </w:tblCellMar>
        </w:tblPrEx>
        <w:trPr>
          <w:trHeight w:val="330" w:hRule="atLeast"/>
        </w:trPr>
        <w:tc>
          <w:tcPr>
            <w:tcW w:w="1071" w:type="dxa"/>
            <w:tcBorders>
              <w:top w:val="nil"/>
              <w:left w:val="single" w:color="auto" w:sz="4" w:space="0"/>
              <w:bottom w:val="single" w:color="auto" w:sz="4" w:space="0"/>
              <w:right w:val="single" w:color="auto" w:sz="4" w:space="0"/>
            </w:tcBorders>
            <w:noWrap w:val="0"/>
            <w:vAlign w:val="center"/>
          </w:tcPr>
          <w:p w14:paraId="3C047451">
            <w:pPr>
              <w:rPr>
                <w:color w:val="auto"/>
              </w:rPr>
            </w:pPr>
            <w:r>
              <w:rPr>
                <w:rFonts w:hint="eastAsia"/>
                <w:color w:val="auto"/>
              </w:rPr>
              <w:t>配分</w:t>
            </w:r>
          </w:p>
        </w:tc>
        <w:tc>
          <w:tcPr>
            <w:tcW w:w="1072" w:type="dxa"/>
            <w:tcBorders>
              <w:top w:val="nil"/>
              <w:left w:val="nil"/>
              <w:bottom w:val="single" w:color="auto" w:sz="4" w:space="0"/>
              <w:right w:val="single" w:color="auto" w:sz="4" w:space="0"/>
            </w:tcBorders>
            <w:noWrap w:val="0"/>
            <w:vAlign w:val="center"/>
          </w:tcPr>
          <w:p w14:paraId="046E7D73">
            <w:pPr>
              <w:rPr>
                <w:color w:val="auto"/>
              </w:rPr>
            </w:pPr>
            <w:r>
              <w:rPr>
                <w:rFonts w:hint="eastAsia"/>
                <w:color w:val="auto"/>
                <w:lang w:bidi="ar"/>
              </w:rPr>
              <w:t xml:space="preserve">2.1500 </w:t>
            </w:r>
          </w:p>
        </w:tc>
        <w:tc>
          <w:tcPr>
            <w:tcW w:w="1073" w:type="dxa"/>
            <w:tcBorders>
              <w:top w:val="nil"/>
              <w:left w:val="nil"/>
              <w:bottom w:val="single" w:color="auto" w:sz="4" w:space="0"/>
              <w:right w:val="single" w:color="auto" w:sz="4" w:space="0"/>
            </w:tcBorders>
            <w:noWrap w:val="0"/>
            <w:vAlign w:val="center"/>
          </w:tcPr>
          <w:p w14:paraId="36CEAB28">
            <w:pPr>
              <w:rPr>
                <w:color w:val="auto"/>
              </w:rPr>
            </w:pPr>
            <w:r>
              <w:rPr>
                <w:rFonts w:hint="eastAsia"/>
                <w:color w:val="auto"/>
                <w:lang w:bidi="ar"/>
              </w:rPr>
              <w:t xml:space="preserve">0.4000 </w:t>
            </w:r>
          </w:p>
        </w:tc>
        <w:tc>
          <w:tcPr>
            <w:tcW w:w="1073" w:type="dxa"/>
            <w:tcBorders>
              <w:top w:val="nil"/>
              <w:left w:val="nil"/>
              <w:bottom w:val="single" w:color="auto" w:sz="4" w:space="0"/>
              <w:right w:val="single" w:color="auto" w:sz="4" w:space="0"/>
            </w:tcBorders>
            <w:noWrap w:val="0"/>
            <w:vAlign w:val="center"/>
          </w:tcPr>
          <w:p w14:paraId="7CE15F48">
            <w:pPr>
              <w:rPr>
                <w:color w:val="auto"/>
              </w:rPr>
            </w:pPr>
            <w:r>
              <w:rPr>
                <w:rFonts w:hint="eastAsia"/>
                <w:color w:val="auto"/>
                <w:lang w:bidi="ar"/>
              </w:rPr>
              <w:t xml:space="preserve">0.2000 </w:t>
            </w:r>
          </w:p>
        </w:tc>
        <w:tc>
          <w:tcPr>
            <w:tcW w:w="1072" w:type="dxa"/>
            <w:tcBorders>
              <w:top w:val="nil"/>
              <w:left w:val="nil"/>
              <w:bottom w:val="single" w:color="auto" w:sz="4" w:space="0"/>
              <w:right w:val="single" w:color="auto" w:sz="4" w:space="0"/>
            </w:tcBorders>
            <w:noWrap w:val="0"/>
            <w:vAlign w:val="center"/>
          </w:tcPr>
          <w:p w14:paraId="72CE65F3">
            <w:pPr>
              <w:rPr>
                <w:color w:val="auto"/>
              </w:rPr>
            </w:pPr>
            <w:r>
              <w:rPr>
                <w:rFonts w:hint="eastAsia"/>
                <w:color w:val="auto"/>
                <w:lang w:bidi="ar"/>
              </w:rPr>
              <w:t xml:space="preserve">1.3000 </w:t>
            </w:r>
          </w:p>
        </w:tc>
        <w:tc>
          <w:tcPr>
            <w:tcW w:w="1073" w:type="dxa"/>
            <w:tcBorders>
              <w:top w:val="nil"/>
              <w:left w:val="nil"/>
              <w:bottom w:val="single" w:color="auto" w:sz="4" w:space="0"/>
              <w:right w:val="single" w:color="auto" w:sz="4" w:space="0"/>
            </w:tcBorders>
            <w:noWrap w:val="0"/>
            <w:vAlign w:val="center"/>
          </w:tcPr>
          <w:p w14:paraId="46A8CAF0">
            <w:pPr>
              <w:rPr>
                <w:color w:val="auto"/>
              </w:rPr>
            </w:pPr>
            <w:r>
              <w:rPr>
                <w:rFonts w:hint="eastAsia"/>
                <w:color w:val="auto"/>
                <w:lang w:bidi="ar"/>
              </w:rPr>
              <w:t xml:space="preserve">0.5000 </w:t>
            </w:r>
          </w:p>
        </w:tc>
        <w:tc>
          <w:tcPr>
            <w:tcW w:w="1072" w:type="dxa"/>
            <w:tcBorders>
              <w:top w:val="nil"/>
              <w:left w:val="nil"/>
              <w:bottom w:val="single" w:color="auto" w:sz="4" w:space="0"/>
              <w:right w:val="single" w:color="auto" w:sz="4" w:space="0"/>
            </w:tcBorders>
            <w:noWrap w:val="0"/>
            <w:vAlign w:val="center"/>
          </w:tcPr>
          <w:p w14:paraId="2CBBBCF0">
            <w:pPr>
              <w:rPr>
                <w:color w:val="auto"/>
              </w:rPr>
            </w:pPr>
            <w:r>
              <w:rPr>
                <w:rFonts w:hint="eastAsia"/>
                <w:color w:val="auto"/>
                <w:lang w:bidi="ar"/>
              </w:rPr>
              <w:t xml:space="preserve">0.0600 </w:t>
            </w:r>
          </w:p>
        </w:tc>
        <w:tc>
          <w:tcPr>
            <w:tcW w:w="1072" w:type="dxa"/>
            <w:tcBorders>
              <w:top w:val="nil"/>
              <w:left w:val="nil"/>
              <w:bottom w:val="single" w:color="auto" w:sz="4" w:space="0"/>
              <w:right w:val="single" w:color="auto" w:sz="4" w:space="0"/>
            </w:tcBorders>
            <w:noWrap w:val="0"/>
            <w:vAlign w:val="center"/>
          </w:tcPr>
          <w:p w14:paraId="67BED0ED">
            <w:pPr>
              <w:rPr>
                <w:color w:val="auto"/>
              </w:rPr>
            </w:pPr>
            <w:r>
              <w:rPr>
                <w:rFonts w:hint="eastAsia"/>
                <w:color w:val="auto"/>
                <w:lang w:bidi="ar"/>
              </w:rPr>
              <w:t xml:space="preserve">1.0000 </w:t>
            </w:r>
          </w:p>
        </w:tc>
        <w:tc>
          <w:tcPr>
            <w:tcW w:w="975" w:type="dxa"/>
            <w:tcBorders>
              <w:top w:val="nil"/>
              <w:left w:val="nil"/>
              <w:bottom w:val="single" w:color="auto" w:sz="4" w:space="0"/>
              <w:right w:val="single" w:color="auto" w:sz="4" w:space="0"/>
            </w:tcBorders>
            <w:noWrap w:val="0"/>
            <w:vAlign w:val="center"/>
          </w:tcPr>
          <w:p w14:paraId="2F5B5B74">
            <w:pPr>
              <w:rPr>
                <w:color w:val="auto"/>
              </w:rPr>
            </w:pPr>
            <w:r>
              <w:rPr>
                <w:rFonts w:hint="eastAsia"/>
                <w:color w:val="auto"/>
                <w:lang w:bidi="ar"/>
              </w:rPr>
              <w:t xml:space="preserve">0.0700 </w:t>
            </w:r>
          </w:p>
        </w:tc>
      </w:tr>
      <w:tr w14:paraId="271D4AAD">
        <w:tblPrEx>
          <w:tblCellMar>
            <w:top w:w="0" w:type="dxa"/>
            <w:left w:w="108" w:type="dxa"/>
            <w:bottom w:w="0" w:type="dxa"/>
            <w:right w:w="108" w:type="dxa"/>
          </w:tblCellMar>
        </w:tblPrEx>
        <w:trPr>
          <w:trHeight w:val="330" w:hRule="atLeast"/>
        </w:trPr>
        <w:tc>
          <w:tcPr>
            <w:tcW w:w="1071" w:type="dxa"/>
            <w:tcBorders>
              <w:top w:val="nil"/>
              <w:left w:val="single" w:color="auto" w:sz="4" w:space="0"/>
              <w:bottom w:val="single" w:color="auto" w:sz="4" w:space="0"/>
              <w:right w:val="single" w:color="auto" w:sz="4" w:space="0"/>
            </w:tcBorders>
            <w:noWrap w:val="0"/>
            <w:vAlign w:val="center"/>
          </w:tcPr>
          <w:p w14:paraId="693E2052">
            <w:pPr>
              <w:rPr>
                <w:color w:val="auto"/>
              </w:rPr>
            </w:pPr>
            <w:r>
              <w:rPr>
                <w:rFonts w:hint="eastAsia"/>
                <w:color w:val="auto"/>
              </w:rPr>
              <w:t>元素</w:t>
            </w:r>
          </w:p>
        </w:tc>
        <w:tc>
          <w:tcPr>
            <w:tcW w:w="1072" w:type="dxa"/>
            <w:tcBorders>
              <w:top w:val="nil"/>
              <w:left w:val="nil"/>
              <w:bottom w:val="single" w:color="auto" w:sz="4" w:space="0"/>
              <w:right w:val="single" w:color="auto" w:sz="4" w:space="0"/>
            </w:tcBorders>
            <w:noWrap w:val="0"/>
            <w:vAlign w:val="center"/>
          </w:tcPr>
          <w:p w14:paraId="6254FBF7">
            <w:pPr>
              <w:rPr>
                <w:color w:val="auto"/>
              </w:rPr>
            </w:pPr>
            <w:r>
              <w:rPr>
                <w:rFonts w:hint="eastAsia"/>
                <w:color w:val="auto"/>
              </w:rPr>
              <w:t>Dy</w:t>
            </w:r>
            <w:r>
              <w:rPr>
                <w:rFonts w:hint="eastAsia"/>
                <w:color w:val="auto"/>
                <w:vertAlign w:val="subscript"/>
              </w:rPr>
              <w:t>2</w:t>
            </w:r>
            <w:r>
              <w:rPr>
                <w:rFonts w:hint="eastAsia"/>
                <w:color w:val="auto"/>
              </w:rPr>
              <w:t>O</w:t>
            </w:r>
            <w:r>
              <w:rPr>
                <w:rFonts w:hint="eastAsia"/>
                <w:color w:val="auto"/>
                <w:vertAlign w:val="subscript"/>
              </w:rPr>
              <w:t>3</w:t>
            </w:r>
          </w:p>
        </w:tc>
        <w:tc>
          <w:tcPr>
            <w:tcW w:w="1073" w:type="dxa"/>
            <w:tcBorders>
              <w:top w:val="nil"/>
              <w:left w:val="nil"/>
              <w:bottom w:val="single" w:color="auto" w:sz="4" w:space="0"/>
              <w:right w:val="single" w:color="auto" w:sz="4" w:space="0"/>
            </w:tcBorders>
            <w:noWrap w:val="0"/>
            <w:vAlign w:val="center"/>
          </w:tcPr>
          <w:p w14:paraId="5AF43FC6">
            <w:pPr>
              <w:rPr>
                <w:color w:val="auto"/>
              </w:rPr>
            </w:pPr>
            <w:r>
              <w:rPr>
                <w:rFonts w:hint="eastAsia"/>
                <w:color w:val="auto"/>
              </w:rPr>
              <w:t>Ho</w:t>
            </w:r>
            <w:r>
              <w:rPr>
                <w:rFonts w:hint="eastAsia"/>
                <w:color w:val="auto"/>
                <w:vertAlign w:val="subscript"/>
              </w:rPr>
              <w:t>2</w:t>
            </w:r>
            <w:r>
              <w:rPr>
                <w:rFonts w:hint="eastAsia"/>
                <w:color w:val="auto"/>
              </w:rPr>
              <w:t>O</w:t>
            </w:r>
            <w:r>
              <w:rPr>
                <w:rFonts w:hint="eastAsia"/>
                <w:color w:val="auto"/>
                <w:vertAlign w:val="subscript"/>
              </w:rPr>
              <w:t>3</w:t>
            </w:r>
          </w:p>
        </w:tc>
        <w:tc>
          <w:tcPr>
            <w:tcW w:w="1073" w:type="dxa"/>
            <w:tcBorders>
              <w:top w:val="nil"/>
              <w:left w:val="nil"/>
              <w:bottom w:val="single" w:color="auto" w:sz="4" w:space="0"/>
              <w:right w:val="single" w:color="auto" w:sz="4" w:space="0"/>
            </w:tcBorders>
            <w:noWrap w:val="0"/>
            <w:vAlign w:val="center"/>
          </w:tcPr>
          <w:p w14:paraId="27AB3947">
            <w:pPr>
              <w:rPr>
                <w:color w:val="auto"/>
              </w:rPr>
            </w:pPr>
            <w:r>
              <w:rPr>
                <w:rFonts w:hint="eastAsia"/>
                <w:color w:val="auto"/>
              </w:rPr>
              <w:t>Er</w:t>
            </w:r>
            <w:r>
              <w:rPr>
                <w:rFonts w:hint="eastAsia"/>
                <w:color w:val="auto"/>
                <w:vertAlign w:val="subscript"/>
              </w:rPr>
              <w:t>2</w:t>
            </w:r>
            <w:r>
              <w:rPr>
                <w:rFonts w:hint="eastAsia"/>
                <w:color w:val="auto"/>
              </w:rPr>
              <w:t>O</w:t>
            </w:r>
            <w:r>
              <w:rPr>
                <w:rFonts w:hint="eastAsia"/>
                <w:color w:val="auto"/>
                <w:vertAlign w:val="subscript"/>
              </w:rPr>
              <w:t>3</w:t>
            </w:r>
          </w:p>
        </w:tc>
        <w:tc>
          <w:tcPr>
            <w:tcW w:w="1072" w:type="dxa"/>
            <w:tcBorders>
              <w:top w:val="nil"/>
              <w:left w:val="nil"/>
              <w:bottom w:val="single" w:color="auto" w:sz="4" w:space="0"/>
              <w:right w:val="single" w:color="auto" w:sz="4" w:space="0"/>
            </w:tcBorders>
            <w:noWrap w:val="0"/>
            <w:vAlign w:val="center"/>
          </w:tcPr>
          <w:p w14:paraId="7BB0896B">
            <w:pPr>
              <w:rPr>
                <w:color w:val="auto"/>
              </w:rPr>
            </w:pPr>
            <w:r>
              <w:rPr>
                <w:rFonts w:hint="eastAsia"/>
                <w:color w:val="auto"/>
              </w:rPr>
              <w:t>Tm</w:t>
            </w:r>
            <w:r>
              <w:rPr>
                <w:rFonts w:hint="eastAsia"/>
                <w:color w:val="auto"/>
                <w:vertAlign w:val="subscript"/>
              </w:rPr>
              <w:t>2</w:t>
            </w:r>
            <w:r>
              <w:rPr>
                <w:rFonts w:hint="eastAsia"/>
                <w:color w:val="auto"/>
              </w:rPr>
              <w:t>O</w:t>
            </w:r>
            <w:r>
              <w:rPr>
                <w:rFonts w:hint="eastAsia"/>
                <w:color w:val="auto"/>
                <w:vertAlign w:val="subscript"/>
              </w:rPr>
              <w:t>3</w:t>
            </w:r>
          </w:p>
        </w:tc>
        <w:tc>
          <w:tcPr>
            <w:tcW w:w="1073" w:type="dxa"/>
            <w:tcBorders>
              <w:top w:val="nil"/>
              <w:left w:val="nil"/>
              <w:bottom w:val="single" w:color="auto" w:sz="4" w:space="0"/>
              <w:right w:val="single" w:color="auto" w:sz="4" w:space="0"/>
            </w:tcBorders>
            <w:noWrap w:val="0"/>
            <w:vAlign w:val="center"/>
          </w:tcPr>
          <w:p w14:paraId="54B35252">
            <w:pPr>
              <w:rPr>
                <w:color w:val="auto"/>
              </w:rPr>
            </w:pPr>
            <w:r>
              <w:rPr>
                <w:rFonts w:hint="eastAsia"/>
                <w:color w:val="auto"/>
              </w:rPr>
              <w:t>Yb</w:t>
            </w:r>
            <w:r>
              <w:rPr>
                <w:rFonts w:hint="eastAsia"/>
                <w:color w:val="auto"/>
                <w:vertAlign w:val="subscript"/>
              </w:rPr>
              <w:t>2</w:t>
            </w:r>
            <w:r>
              <w:rPr>
                <w:rFonts w:hint="eastAsia"/>
                <w:color w:val="auto"/>
              </w:rPr>
              <w:t>O</w:t>
            </w:r>
            <w:r>
              <w:rPr>
                <w:rFonts w:hint="eastAsia"/>
                <w:color w:val="auto"/>
                <w:vertAlign w:val="subscript"/>
              </w:rPr>
              <w:t>3</w:t>
            </w:r>
          </w:p>
        </w:tc>
        <w:tc>
          <w:tcPr>
            <w:tcW w:w="1072" w:type="dxa"/>
            <w:tcBorders>
              <w:top w:val="nil"/>
              <w:left w:val="nil"/>
              <w:bottom w:val="single" w:color="auto" w:sz="4" w:space="0"/>
              <w:right w:val="single" w:color="auto" w:sz="4" w:space="0"/>
            </w:tcBorders>
            <w:noWrap w:val="0"/>
            <w:vAlign w:val="center"/>
          </w:tcPr>
          <w:p w14:paraId="6801BAD0">
            <w:pPr>
              <w:rPr>
                <w:color w:val="auto"/>
              </w:rPr>
            </w:pPr>
            <w:r>
              <w:rPr>
                <w:rFonts w:hint="eastAsia"/>
                <w:color w:val="auto"/>
              </w:rPr>
              <w:t>Lu</w:t>
            </w:r>
            <w:r>
              <w:rPr>
                <w:rFonts w:hint="eastAsia"/>
                <w:color w:val="auto"/>
                <w:vertAlign w:val="subscript"/>
              </w:rPr>
              <w:t>2</w:t>
            </w:r>
            <w:r>
              <w:rPr>
                <w:rFonts w:hint="eastAsia"/>
                <w:color w:val="auto"/>
              </w:rPr>
              <w:t>O</w:t>
            </w:r>
            <w:r>
              <w:rPr>
                <w:rFonts w:hint="eastAsia"/>
                <w:color w:val="auto"/>
                <w:vertAlign w:val="subscript"/>
              </w:rPr>
              <w:t>3</w:t>
            </w:r>
          </w:p>
        </w:tc>
        <w:tc>
          <w:tcPr>
            <w:tcW w:w="1072" w:type="dxa"/>
            <w:tcBorders>
              <w:top w:val="nil"/>
              <w:left w:val="nil"/>
              <w:bottom w:val="single" w:color="auto" w:sz="4" w:space="0"/>
              <w:right w:val="single" w:color="auto" w:sz="4" w:space="0"/>
            </w:tcBorders>
            <w:noWrap w:val="0"/>
            <w:vAlign w:val="center"/>
          </w:tcPr>
          <w:p w14:paraId="4963E83C">
            <w:pPr>
              <w:rPr>
                <w:color w:val="auto"/>
              </w:rPr>
            </w:pPr>
            <w:r>
              <w:rPr>
                <w:rFonts w:hint="eastAsia"/>
                <w:color w:val="auto"/>
              </w:rPr>
              <w:t>Y</w:t>
            </w:r>
            <w:r>
              <w:rPr>
                <w:rFonts w:hint="eastAsia"/>
                <w:color w:val="auto"/>
                <w:vertAlign w:val="subscript"/>
              </w:rPr>
              <w:t>2</w:t>
            </w:r>
            <w:r>
              <w:rPr>
                <w:rFonts w:hint="eastAsia"/>
                <w:color w:val="auto"/>
              </w:rPr>
              <w:t>O</w:t>
            </w:r>
            <w:r>
              <w:rPr>
                <w:rFonts w:hint="eastAsia"/>
                <w:color w:val="auto"/>
                <w:vertAlign w:val="subscript"/>
              </w:rPr>
              <w:t>3</w:t>
            </w:r>
          </w:p>
        </w:tc>
        <w:tc>
          <w:tcPr>
            <w:tcW w:w="975" w:type="dxa"/>
            <w:vMerge w:val="restart"/>
            <w:tcBorders>
              <w:top w:val="nil"/>
              <w:left w:val="nil"/>
              <w:right w:val="single" w:color="auto" w:sz="4" w:space="0"/>
            </w:tcBorders>
            <w:noWrap w:val="0"/>
            <w:vAlign w:val="center"/>
          </w:tcPr>
          <w:p w14:paraId="48026998">
            <w:pPr>
              <w:rPr>
                <w:color w:val="auto"/>
              </w:rPr>
            </w:pPr>
            <w:r>
              <w:rPr>
                <w:rFonts w:hint="eastAsia"/>
                <w:color w:val="auto"/>
              </w:rPr>
              <w:t>10.00</w:t>
            </w:r>
          </w:p>
        </w:tc>
      </w:tr>
      <w:tr w14:paraId="3890B149">
        <w:tblPrEx>
          <w:tblCellMar>
            <w:top w:w="0" w:type="dxa"/>
            <w:left w:w="108" w:type="dxa"/>
            <w:bottom w:w="0" w:type="dxa"/>
            <w:right w:w="108" w:type="dxa"/>
          </w:tblCellMar>
        </w:tblPrEx>
        <w:trPr>
          <w:trHeight w:val="330" w:hRule="atLeast"/>
        </w:trPr>
        <w:tc>
          <w:tcPr>
            <w:tcW w:w="1071" w:type="dxa"/>
            <w:tcBorders>
              <w:top w:val="nil"/>
              <w:left w:val="single" w:color="auto" w:sz="4" w:space="0"/>
              <w:bottom w:val="single" w:color="auto" w:sz="4" w:space="0"/>
              <w:right w:val="single" w:color="auto" w:sz="4" w:space="0"/>
            </w:tcBorders>
            <w:noWrap w:val="0"/>
            <w:vAlign w:val="center"/>
          </w:tcPr>
          <w:p w14:paraId="02AD9591">
            <w:pPr>
              <w:rPr>
                <w:color w:val="auto"/>
              </w:rPr>
            </w:pPr>
            <w:r>
              <w:rPr>
                <w:rFonts w:hint="eastAsia"/>
                <w:color w:val="auto"/>
              </w:rPr>
              <w:t>配分</w:t>
            </w:r>
          </w:p>
        </w:tc>
        <w:tc>
          <w:tcPr>
            <w:tcW w:w="1072" w:type="dxa"/>
            <w:tcBorders>
              <w:top w:val="nil"/>
              <w:left w:val="nil"/>
              <w:bottom w:val="single" w:color="auto" w:sz="4" w:space="0"/>
              <w:right w:val="single" w:color="auto" w:sz="4" w:space="0"/>
            </w:tcBorders>
            <w:noWrap w:val="0"/>
            <w:vAlign w:val="center"/>
          </w:tcPr>
          <w:p w14:paraId="36EF0F0F">
            <w:pPr>
              <w:rPr>
                <w:color w:val="auto"/>
              </w:rPr>
            </w:pPr>
            <w:r>
              <w:rPr>
                <w:rFonts w:hint="eastAsia"/>
                <w:color w:val="auto"/>
                <w:lang w:bidi="ar"/>
              </w:rPr>
              <w:t xml:space="preserve">0.450 </w:t>
            </w:r>
          </w:p>
        </w:tc>
        <w:tc>
          <w:tcPr>
            <w:tcW w:w="1073" w:type="dxa"/>
            <w:tcBorders>
              <w:top w:val="nil"/>
              <w:left w:val="nil"/>
              <w:bottom w:val="single" w:color="auto" w:sz="4" w:space="0"/>
              <w:right w:val="single" w:color="auto" w:sz="4" w:space="0"/>
            </w:tcBorders>
            <w:noWrap w:val="0"/>
            <w:vAlign w:val="center"/>
          </w:tcPr>
          <w:p w14:paraId="35449300">
            <w:pPr>
              <w:rPr>
                <w:color w:val="auto"/>
              </w:rPr>
            </w:pPr>
            <w:r>
              <w:rPr>
                <w:rFonts w:hint="eastAsia"/>
                <w:color w:val="auto"/>
                <w:lang w:bidi="ar"/>
              </w:rPr>
              <w:t xml:space="preserve">0.0700 </w:t>
            </w:r>
          </w:p>
        </w:tc>
        <w:tc>
          <w:tcPr>
            <w:tcW w:w="1073" w:type="dxa"/>
            <w:tcBorders>
              <w:top w:val="nil"/>
              <w:left w:val="nil"/>
              <w:bottom w:val="single" w:color="auto" w:sz="4" w:space="0"/>
              <w:right w:val="single" w:color="auto" w:sz="4" w:space="0"/>
            </w:tcBorders>
            <w:noWrap w:val="0"/>
            <w:vAlign w:val="center"/>
          </w:tcPr>
          <w:p w14:paraId="58751CB3">
            <w:pPr>
              <w:rPr>
                <w:color w:val="auto"/>
              </w:rPr>
            </w:pPr>
            <w:r>
              <w:rPr>
                <w:rFonts w:hint="eastAsia"/>
                <w:color w:val="auto"/>
                <w:lang w:bidi="ar"/>
              </w:rPr>
              <w:t xml:space="preserve">0.3000 </w:t>
            </w:r>
          </w:p>
        </w:tc>
        <w:tc>
          <w:tcPr>
            <w:tcW w:w="1072" w:type="dxa"/>
            <w:tcBorders>
              <w:top w:val="nil"/>
              <w:left w:val="nil"/>
              <w:bottom w:val="single" w:color="auto" w:sz="4" w:space="0"/>
              <w:right w:val="single" w:color="auto" w:sz="4" w:space="0"/>
            </w:tcBorders>
            <w:noWrap w:val="0"/>
            <w:vAlign w:val="center"/>
          </w:tcPr>
          <w:p w14:paraId="1CEBD384">
            <w:pPr>
              <w:rPr>
                <w:color w:val="auto"/>
              </w:rPr>
            </w:pPr>
            <w:r>
              <w:rPr>
                <w:rFonts w:hint="eastAsia"/>
                <w:color w:val="auto"/>
                <w:lang w:bidi="ar"/>
              </w:rPr>
              <w:t xml:space="preserve">0.1000 </w:t>
            </w:r>
          </w:p>
        </w:tc>
        <w:tc>
          <w:tcPr>
            <w:tcW w:w="1073" w:type="dxa"/>
            <w:tcBorders>
              <w:top w:val="nil"/>
              <w:left w:val="nil"/>
              <w:bottom w:val="single" w:color="auto" w:sz="4" w:space="0"/>
              <w:right w:val="single" w:color="auto" w:sz="4" w:space="0"/>
            </w:tcBorders>
            <w:noWrap w:val="0"/>
            <w:vAlign w:val="center"/>
          </w:tcPr>
          <w:p w14:paraId="573F6CC1">
            <w:pPr>
              <w:rPr>
                <w:color w:val="auto"/>
              </w:rPr>
            </w:pPr>
            <w:r>
              <w:rPr>
                <w:rFonts w:hint="eastAsia"/>
                <w:color w:val="auto"/>
                <w:lang w:bidi="ar"/>
              </w:rPr>
              <w:t xml:space="preserve">0.3000 </w:t>
            </w:r>
          </w:p>
        </w:tc>
        <w:tc>
          <w:tcPr>
            <w:tcW w:w="1072" w:type="dxa"/>
            <w:tcBorders>
              <w:top w:val="nil"/>
              <w:left w:val="nil"/>
              <w:bottom w:val="single" w:color="auto" w:sz="4" w:space="0"/>
              <w:right w:val="single" w:color="auto" w:sz="4" w:space="0"/>
            </w:tcBorders>
            <w:noWrap w:val="0"/>
            <w:vAlign w:val="center"/>
          </w:tcPr>
          <w:p w14:paraId="4A3B86C2">
            <w:pPr>
              <w:rPr>
                <w:color w:val="auto"/>
              </w:rPr>
            </w:pPr>
            <w:r>
              <w:rPr>
                <w:rFonts w:hint="eastAsia"/>
                <w:color w:val="auto"/>
                <w:lang w:bidi="ar"/>
              </w:rPr>
              <w:t xml:space="preserve">0.1000 </w:t>
            </w:r>
          </w:p>
        </w:tc>
        <w:tc>
          <w:tcPr>
            <w:tcW w:w="1072" w:type="dxa"/>
            <w:tcBorders>
              <w:top w:val="nil"/>
              <w:left w:val="nil"/>
              <w:bottom w:val="single" w:color="auto" w:sz="4" w:space="0"/>
              <w:right w:val="single" w:color="auto" w:sz="4" w:space="0"/>
            </w:tcBorders>
            <w:noWrap w:val="0"/>
            <w:vAlign w:val="center"/>
          </w:tcPr>
          <w:p w14:paraId="424D3D8F">
            <w:pPr>
              <w:rPr>
                <w:color w:val="auto"/>
              </w:rPr>
            </w:pPr>
            <w:r>
              <w:rPr>
                <w:rFonts w:hint="eastAsia"/>
                <w:color w:val="auto"/>
                <w:lang w:bidi="ar"/>
              </w:rPr>
              <w:t xml:space="preserve">3.000 </w:t>
            </w:r>
          </w:p>
        </w:tc>
        <w:tc>
          <w:tcPr>
            <w:tcW w:w="975" w:type="dxa"/>
            <w:vMerge w:val="continue"/>
            <w:tcBorders>
              <w:left w:val="nil"/>
              <w:bottom w:val="single" w:color="auto" w:sz="4" w:space="0"/>
              <w:right w:val="single" w:color="auto" w:sz="4" w:space="0"/>
            </w:tcBorders>
            <w:noWrap w:val="0"/>
            <w:vAlign w:val="center"/>
          </w:tcPr>
          <w:p w14:paraId="1919FC83">
            <w:pPr>
              <w:rPr>
                <w:color w:val="auto"/>
              </w:rPr>
            </w:pPr>
          </w:p>
        </w:tc>
      </w:tr>
    </w:tbl>
    <w:p w14:paraId="74684BC8">
      <w:pPr>
        <w:pStyle w:val="14"/>
        <w:rPr>
          <w:color w:val="auto"/>
        </w:rPr>
      </w:pPr>
    </w:p>
    <w:p w14:paraId="13EEEA97">
      <w:pPr>
        <w:rPr>
          <w:rFonts w:hint="eastAsia" w:ascii="宋体" w:hAnsi="宋体" w:eastAsia="宋体" w:cs="宋体"/>
          <w:color w:val="auto"/>
          <w:lang w:eastAsia="zh-CN"/>
        </w:rPr>
      </w:pPr>
      <w:r>
        <w:rPr>
          <w:rFonts w:hint="eastAsia"/>
          <w:color w:val="auto"/>
          <w:lang w:val="en-US" w:eastAsia="zh-CN"/>
        </w:rPr>
        <w:t xml:space="preserve">4.2.11 </w:t>
      </w:r>
      <w:r>
        <w:rPr>
          <w:rFonts w:hint="eastAsia"/>
          <w:color w:val="auto"/>
        </w:rPr>
        <w:t xml:space="preserve"> 氩气</w:t>
      </w:r>
      <w:r>
        <w:rPr>
          <w:rFonts w:hint="eastAsia" w:ascii="宋体" w:hAnsi="宋体" w:eastAsia="宋体" w:cs="宋体"/>
          <w:color w:val="auto"/>
          <w:lang w:eastAsia="zh-CN"/>
        </w:rPr>
        <w:t>[φ（Ar)</w:t>
      </w:r>
      <w:r>
        <w:rPr>
          <w:rFonts w:hint="eastAsia" w:ascii="宋体" w:hAnsi="宋体" w:eastAsia="宋体" w:cs="宋体"/>
          <w:color w:val="auto"/>
          <w:lang w:val="en-US" w:eastAsia="zh-CN"/>
        </w:rPr>
        <w:t>＞</w:t>
      </w:r>
      <w:r>
        <w:rPr>
          <w:rFonts w:hint="eastAsia" w:ascii="宋体" w:hAnsi="宋体" w:eastAsia="宋体" w:cs="宋体"/>
          <w:color w:val="auto"/>
          <w:lang w:eastAsia="zh-CN"/>
        </w:rPr>
        <w:t>99.99%]。</w:t>
      </w:r>
    </w:p>
    <w:p w14:paraId="34A58CD7">
      <w:pPr>
        <w:pStyle w:val="13"/>
        <w:rPr>
          <w:rFonts w:hint="eastAsia"/>
          <w:color w:val="auto"/>
          <w:lang w:val="en-US" w:eastAsia="zh-CN"/>
        </w:rPr>
      </w:pPr>
      <w:r>
        <w:rPr>
          <w:rFonts w:hint="eastAsia"/>
          <w:color w:val="auto"/>
          <w:lang w:val="en-US" w:eastAsia="zh-CN"/>
        </w:rPr>
        <w:t>4.3　仪器设备</w:t>
      </w:r>
    </w:p>
    <w:p w14:paraId="5D6DA882">
      <w:pPr>
        <w:rPr>
          <w:color w:val="auto"/>
        </w:rPr>
      </w:pPr>
      <w:r>
        <w:rPr>
          <w:rFonts w:hint="eastAsia" w:cs="黑体"/>
          <w:color w:val="auto"/>
          <w:lang w:eastAsia="zh-CN"/>
        </w:rPr>
        <w:t>4.3</w:t>
      </w:r>
      <w:r>
        <w:rPr>
          <w:rFonts w:hint="eastAsia" w:cs="黑体"/>
          <w:color w:val="auto"/>
        </w:rPr>
        <w:t>.1</w:t>
      </w:r>
      <w:r>
        <w:rPr>
          <w:color w:val="auto"/>
        </w:rPr>
        <w:t>　电子天平：分度值0.1 mg。</w:t>
      </w:r>
    </w:p>
    <w:p w14:paraId="63AB1A99">
      <w:pPr>
        <w:rPr>
          <w:rFonts w:hint="eastAsia"/>
          <w:color w:val="auto"/>
        </w:rPr>
      </w:pPr>
      <w:r>
        <w:rPr>
          <w:rFonts w:hint="eastAsia" w:cs="黑体"/>
          <w:color w:val="auto"/>
          <w:lang w:eastAsia="zh-CN"/>
        </w:rPr>
        <w:t>4.3</w:t>
      </w:r>
      <w:r>
        <w:rPr>
          <w:rFonts w:hint="eastAsia" w:cs="黑体"/>
          <w:color w:val="auto"/>
        </w:rPr>
        <w:t>.2</w:t>
      </w:r>
      <w:r>
        <w:rPr>
          <w:color w:val="auto"/>
        </w:rPr>
        <w:t>　</w:t>
      </w:r>
      <w:r>
        <w:rPr>
          <w:rFonts w:hint="eastAsia"/>
          <w:color w:val="auto"/>
        </w:rPr>
        <w:t>电感耦合等离子体发射光谱仪。</w:t>
      </w:r>
    </w:p>
    <w:p w14:paraId="1EA50FA2">
      <w:pPr>
        <w:rPr>
          <w:rFonts w:hint="eastAsia"/>
          <w:color w:val="auto"/>
        </w:rPr>
      </w:pPr>
      <w:r>
        <w:rPr>
          <w:rFonts w:hint="eastAsia"/>
          <w:color w:val="auto"/>
        </w:rPr>
        <w:t>在仪器正常工作状态下，凡达到下列指标均可使用：</w:t>
      </w:r>
    </w:p>
    <w:p w14:paraId="5B71AA8F">
      <w:pPr>
        <w:rPr>
          <w:rFonts w:hint="eastAsia"/>
          <w:color w:val="auto"/>
        </w:rPr>
      </w:pPr>
      <w:r>
        <w:rPr>
          <w:color w:val="auto"/>
          <w:kern w:val="0"/>
        </w:rPr>
        <w:t>——</w:t>
      </w:r>
      <w:r>
        <w:rPr>
          <w:rFonts w:hint="eastAsia"/>
          <w:color w:val="auto"/>
        </w:rPr>
        <w:t>分辨率</w:t>
      </w:r>
      <w:r>
        <w:rPr>
          <w:rFonts w:hint="eastAsia"/>
          <w:color w:val="auto"/>
          <w:highlight w:val="none"/>
        </w:rPr>
        <w:t>：小于0.00</w:t>
      </w:r>
      <w:r>
        <w:rPr>
          <w:rFonts w:hint="eastAsia"/>
          <w:color w:val="auto"/>
          <w:highlight w:val="none"/>
          <w:lang w:val="en-US" w:eastAsia="zh-CN"/>
        </w:rPr>
        <w:t>7</w:t>
      </w:r>
      <w:r>
        <w:rPr>
          <w:rFonts w:ascii="Times New Roman" w:hAnsi="Times New Roman"/>
          <w:color w:val="auto"/>
          <w:highlight w:val="none"/>
        </w:rPr>
        <w:t> </w:t>
      </w:r>
      <w:r>
        <w:rPr>
          <w:rFonts w:hint="eastAsia"/>
          <w:color w:val="auto"/>
          <w:highlight w:val="none"/>
        </w:rPr>
        <w:t>nm（200</w:t>
      </w:r>
      <w:r>
        <w:rPr>
          <w:rFonts w:ascii="Times New Roman" w:hAnsi="Times New Roman"/>
          <w:color w:val="auto"/>
          <w:highlight w:val="none"/>
        </w:rPr>
        <w:t> </w:t>
      </w:r>
      <w:r>
        <w:rPr>
          <w:rFonts w:hint="eastAsia"/>
          <w:color w:val="auto"/>
          <w:highlight w:val="none"/>
        </w:rPr>
        <w:t>nm处</w:t>
      </w:r>
      <w:r>
        <w:rPr>
          <w:rFonts w:hint="eastAsia"/>
          <w:color w:val="auto"/>
        </w:rPr>
        <w:t>）；</w:t>
      </w:r>
    </w:p>
    <w:p w14:paraId="6AC02966">
      <w:pPr>
        <w:rPr>
          <w:rFonts w:hint="eastAsia"/>
          <w:color w:val="auto"/>
        </w:rPr>
      </w:pPr>
      <w:r>
        <w:rPr>
          <w:color w:val="auto"/>
          <w:kern w:val="0"/>
        </w:rPr>
        <w:t>——</w:t>
      </w:r>
      <w:r>
        <w:rPr>
          <w:rFonts w:hint="eastAsia"/>
          <w:color w:val="auto"/>
          <w:kern w:val="0"/>
        </w:rPr>
        <w:t>重复性：用1.00</w:t>
      </w:r>
      <w:r>
        <w:rPr>
          <w:rFonts w:ascii="Times New Roman" w:hAnsi="Times New Roman"/>
          <w:color w:val="auto"/>
        </w:rPr>
        <w:t> </w:t>
      </w:r>
      <w:r>
        <w:rPr>
          <w:rFonts w:hint="eastAsia"/>
          <w:color w:val="auto"/>
        </w:rPr>
        <w:t>mg/L的铜标准溶液，连续10次测量标准溶液，计算10次测量值的相对标准偏差（RSD）</w:t>
      </w:r>
      <w:r>
        <w:rPr>
          <w:rFonts w:hint="eastAsia"/>
          <w:color w:val="auto"/>
          <w:kern w:val="0"/>
        </w:rPr>
        <w:t>≤1.5%</w:t>
      </w:r>
      <w:r>
        <w:rPr>
          <w:rFonts w:hint="eastAsia"/>
          <w:color w:val="auto"/>
        </w:rPr>
        <w:t>；</w:t>
      </w:r>
    </w:p>
    <w:p w14:paraId="76367580">
      <w:pPr>
        <w:rPr>
          <w:rFonts w:hint="eastAsia"/>
          <w:color w:val="auto"/>
        </w:rPr>
      </w:pPr>
      <w:r>
        <w:rPr>
          <w:color w:val="auto"/>
          <w:kern w:val="0"/>
        </w:rPr>
        <w:t>——</w:t>
      </w:r>
      <w:r>
        <w:rPr>
          <w:rFonts w:hint="eastAsia"/>
          <w:color w:val="auto"/>
          <w:kern w:val="0"/>
        </w:rPr>
        <w:t>稳定性：用1.00</w:t>
      </w:r>
      <w:r>
        <w:rPr>
          <w:rFonts w:ascii="Times New Roman" w:hAnsi="Times New Roman"/>
          <w:color w:val="auto"/>
        </w:rPr>
        <w:t> </w:t>
      </w:r>
      <w:r>
        <w:rPr>
          <w:rFonts w:hint="eastAsia"/>
          <w:color w:val="auto"/>
        </w:rPr>
        <w:t>mg/L的铜标准溶液，在不少于2</w:t>
      </w:r>
      <w:r>
        <w:rPr>
          <w:rFonts w:ascii="Times New Roman" w:hAnsi="Times New Roman"/>
          <w:color w:val="auto"/>
        </w:rPr>
        <w:t> </w:t>
      </w:r>
      <w:r>
        <w:rPr>
          <w:rFonts w:hint="eastAsia"/>
          <w:color w:val="auto"/>
        </w:rPr>
        <w:t>h内，间隔15</w:t>
      </w:r>
      <w:r>
        <w:rPr>
          <w:rFonts w:ascii="Times New Roman" w:hAnsi="Times New Roman"/>
          <w:color w:val="auto"/>
        </w:rPr>
        <w:t> </w:t>
      </w:r>
      <w:r>
        <w:rPr>
          <w:rFonts w:hint="eastAsia"/>
          <w:color w:val="auto"/>
        </w:rPr>
        <w:t>min以上，重复6次测量标准溶液，计算6次测量值的相对标准偏差</w:t>
      </w:r>
      <w:bookmarkStart w:id="3" w:name="OLE_LINK1"/>
      <w:r>
        <w:rPr>
          <w:rFonts w:hint="eastAsia"/>
          <w:color w:val="auto"/>
        </w:rPr>
        <w:t>（RSD）</w:t>
      </w:r>
      <w:r>
        <w:rPr>
          <w:rFonts w:hint="eastAsia"/>
          <w:color w:val="auto"/>
          <w:kern w:val="0"/>
        </w:rPr>
        <w:t>≤2.0%</w:t>
      </w:r>
      <w:r>
        <w:rPr>
          <w:rFonts w:hint="eastAsia"/>
          <w:color w:val="auto"/>
        </w:rPr>
        <w:t>。</w:t>
      </w:r>
      <w:bookmarkEnd w:id="3"/>
    </w:p>
    <w:p w14:paraId="18D02A8B">
      <w:pPr>
        <w:pStyle w:val="13"/>
        <w:rPr>
          <w:rFonts w:hint="eastAsia"/>
          <w:color w:val="auto"/>
          <w:lang w:val="en-US" w:eastAsia="zh-CN"/>
        </w:rPr>
      </w:pPr>
      <w:r>
        <w:rPr>
          <w:rFonts w:hint="eastAsia"/>
          <w:color w:val="auto"/>
          <w:lang w:val="en-US" w:eastAsia="zh-CN"/>
        </w:rPr>
        <w:t>4.4　样品</w:t>
      </w:r>
    </w:p>
    <w:p w14:paraId="51B0EFF1">
      <w:pPr>
        <w:pStyle w:val="13"/>
        <w:rPr>
          <w:rFonts w:hint="eastAsia"/>
          <w:color w:val="auto"/>
          <w:lang w:val="en-US" w:eastAsia="zh-CN"/>
        </w:rPr>
      </w:pPr>
      <w:r>
        <w:rPr>
          <w:rFonts w:hint="eastAsia"/>
          <w:color w:val="auto"/>
          <w:lang w:val="en-US" w:eastAsia="zh-CN"/>
        </w:rPr>
        <w:t xml:space="preserve">4.4.1  </w:t>
      </w:r>
      <w:r>
        <w:rPr>
          <w:rFonts w:hint="eastAsia"/>
          <w:color w:val="auto"/>
        </w:rPr>
        <w:t>离子型稀土矿混合稀土氧化物样品应研磨</w:t>
      </w:r>
      <w:r>
        <w:rPr>
          <w:rFonts w:hint="eastAsia"/>
          <w:color w:val="auto"/>
          <w:lang w:val="en-US" w:eastAsia="zh-CN"/>
        </w:rPr>
        <w:t>至粒度小于0.074mm，</w:t>
      </w:r>
      <w:r>
        <w:rPr>
          <w:rFonts w:hint="eastAsia"/>
          <w:color w:val="auto"/>
        </w:rPr>
        <w:t>在105</w:t>
      </w:r>
      <w:r>
        <w:rPr>
          <w:rFonts w:ascii="Times New Roman" w:hAnsi="Times New Roman"/>
          <w:color w:val="auto"/>
        </w:rPr>
        <w:t> </w:t>
      </w:r>
      <w:r>
        <w:rPr>
          <w:rFonts w:hint="eastAsia"/>
          <w:color w:val="auto"/>
        </w:rPr>
        <w:t>℃~110</w:t>
      </w:r>
      <w:r>
        <w:rPr>
          <w:rFonts w:ascii="Times New Roman" w:hAnsi="Times New Roman"/>
          <w:color w:val="auto"/>
        </w:rPr>
        <w:t> </w:t>
      </w:r>
      <w:r>
        <w:rPr>
          <w:rFonts w:hint="eastAsia"/>
          <w:color w:val="auto"/>
        </w:rPr>
        <w:t>℃烘</w:t>
      </w:r>
      <w:r>
        <w:rPr>
          <w:rFonts w:hint="eastAsia"/>
          <w:color w:val="auto"/>
          <w:lang w:val="en-US" w:eastAsia="zh-CN"/>
        </w:rPr>
        <w:t>1</w:t>
      </w:r>
      <w:r>
        <w:rPr>
          <w:rFonts w:ascii="Times New Roman" w:hAnsi="Times New Roman"/>
          <w:color w:val="auto"/>
        </w:rPr>
        <w:t> </w:t>
      </w:r>
      <w:r>
        <w:rPr>
          <w:rFonts w:hint="eastAsia"/>
          <w:color w:val="auto"/>
        </w:rPr>
        <w:t>h</w:t>
      </w:r>
      <w:r>
        <w:rPr>
          <w:rFonts w:hint="eastAsia"/>
          <w:color w:val="auto"/>
          <w:lang w:val="en-US" w:eastAsia="zh-CN"/>
        </w:rPr>
        <w:t>后</w:t>
      </w:r>
      <w:r>
        <w:rPr>
          <w:rFonts w:hint="eastAsia"/>
          <w:color w:val="auto"/>
        </w:rPr>
        <w:t>，置于干燥器中冷却至室温，</w:t>
      </w:r>
      <w:r>
        <w:rPr>
          <w:rFonts w:hint="eastAsia"/>
          <w:color w:val="auto"/>
          <w:lang w:val="en-US" w:eastAsia="zh-CN"/>
        </w:rPr>
        <w:t>立即称量。</w:t>
      </w:r>
    </w:p>
    <w:p w14:paraId="53F78E78">
      <w:pPr>
        <w:pStyle w:val="13"/>
        <w:rPr>
          <w:rFonts w:hint="default"/>
          <w:color w:val="auto"/>
          <w:lang w:val="en-US" w:eastAsia="zh-CN"/>
        </w:rPr>
      </w:pPr>
      <w:r>
        <w:rPr>
          <w:rFonts w:hint="eastAsia"/>
          <w:color w:val="auto"/>
          <w:lang w:val="en-US" w:eastAsia="zh-CN"/>
        </w:rPr>
        <w:t xml:space="preserve">4.4.2 </w:t>
      </w:r>
      <w:r>
        <w:rPr>
          <w:rFonts w:hint="eastAsia" w:ascii="宋体" w:hAnsi="宋体" w:eastAsia="宋体" w:cs="Times New Roman"/>
          <w:color w:val="auto"/>
          <w:kern w:val="0"/>
          <w:sz w:val="21"/>
          <w:szCs w:val="20"/>
          <w:lang w:val="en-US" w:eastAsia="zh-CN" w:bidi="ar-SA"/>
        </w:rPr>
        <w:t>离子型稀土矿稀土草酸盐、稀土碳酸盐样品经 950 ℃ 灼烧至恒重后，置于干燥器中冷却至室温，研磨至粒度小于 0.074 mm</w:t>
      </w:r>
      <w:r>
        <w:rPr>
          <w:rFonts w:hint="eastAsia"/>
          <w:color w:val="auto"/>
          <w:lang w:val="en-US" w:eastAsia="zh-CN"/>
        </w:rPr>
        <w:t>，</w:t>
      </w:r>
      <w:r>
        <w:rPr>
          <w:rFonts w:hint="eastAsia"/>
          <w:color w:val="auto"/>
        </w:rPr>
        <w:t>在105</w:t>
      </w:r>
      <w:r>
        <w:rPr>
          <w:rFonts w:ascii="Times New Roman" w:hAnsi="Times New Roman"/>
          <w:color w:val="auto"/>
        </w:rPr>
        <w:t> </w:t>
      </w:r>
      <w:r>
        <w:rPr>
          <w:rFonts w:hint="eastAsia"/>
          <w:color w:val="auto"/>
        </w:rPr>
        <w:t>℃~110</w:t>
      </w:r>
      <w:r>
        <w:rPr>
          <w:rFonts w:ascii="Times New Roman" w:hAnsi="Times New Roman"/>
          <w:color w:val="auto"/>
        </w:rPr>
        <w:t> </w:t>
      </w:r>
      <w:r>
        <w:rPr>
          <w:rFonts w:hint="eastAsia"/>
          <w:color w:val="auto"/>
        </w:rPr>
        <w:t>℃烘</w:t>
      </w:r>
      <w:r>
        <w:rPr>
          <w:rFonts w:hint="eastAsia"/>
          <w:color w:val="auto"/>
          <w:lang w:val="en-US" w:eastAsia="zh-CN"/>
        </w:rPr>
        <w:t>1</w:t>
      </w:r>
      <w:r>
        <w:rPr>
          <w:rFonts w:ascii="Times New Roman" w:hAnsi="Times New Roman"/>
          <w:color w:val="auto"/>
        </w:rPr>
        <w:t> </w:t>
      </w:r>
      <w:r>
        <w:rPr>
          <w:rFonts w:hint="eastAsia"/>
          <w:color w:val="auto"/>
        </w:rPr>
        <w:t>h</w:t>
      </w:r>
      <w:r>
        <w:rPr>
          <w:rFonts w:hint="eastAsia"/>
          <w:color w:val="auto"/>
          <w:lang w:val="en-US" w:eastAsia="zh-CN"/>
        </w:rPr>
        <w:t>后</w:t>
      </w:r>
      <w:r>
        <w:rPr>
          <w:rFonts w:hint="eastAsia"/>
          <w:color w:val="auto"/>
        </w:rPr>
        <w:t>，置于干燥器中冷却至室温</w:t>
      </w:r>
      <w:r>
        <w:rPr>
          <w:rFonts w:hint="eastAsia"/>
          <w:color w:val="auto"/>
          <w:lang w:eastAsia="zh-CN"/>
        </w:rPr>
        <w:t>，</w:t>
      </w:r>
      <w:r>
        <w:rPr>
          <w:rFonts w:hint="eastAsia" w:ascii="宋体" w:hAnsi="宋体" w:eastAsia="宋体" w:cs="Times New Roman"/>
          <w:color w:val="auto"/>
          <w:kern w:val="0"/>
          <w:sz w:val="21"/>
          <w:szCs w:val="20"/>
          <w:lang w:val="en-US" w:eastAsia="zh-CN" w:bidi="ar-SA"/>
        </w:rPr>
        <w:t>立即称量。</w:t>
      </w:r>
    </w:p>
    <w:p w14:paraId="5D8B78F8">
      <w:pPr>
        <w:pStyle w:val="13"/>
        <w:rPr>
          <w:color w:val="auto"/>
        </w:rPr>
      </w:pPr>
      <w:r>
        <w:rPr>
          <w:rFonts w:hint="eastAsia"/>
          <w:color w:val="auto"/>
          <w:lang w:eastAsia="zh-CN"/>
        </w:rPr>
        <w:t>4.5</w:t>
      </w:r>
      <w:r>
        <w:rPr>
          <w:color w:val="auto"/>
        </w:rPr>
        <w:t>　试验步骤</w:t>
      </w:r>
    </w:p>
    <w:p w14:paraId="35CB77F0">
      <w:pPr>
        <w:pStyle w:val="15"/>
        <w:rPr>
          <w:color w:val="auto"/>
        </w:rPr>
      </w:pPr>
      <w:r>
        <w:rPr>
          <w:rFonts w:hint="eastAsia"/>
          <w:color w:val="auto"/>
          <w:lang w:eastAsia="zh-CN"/>
        </w:rPr>
        <w:t>4.5</w:t>
      </w:r>
      <w:r>
        <w:rPr>
          <w:color w:val="auto"/>
        </w:rPr>
        <w:t>.1　试料</w:t>
      </w:r>
    </w:p>
    <w:p w14:paraId="00CB8DAC">
      <w:pPr>
        <w:ind w:firstLine="420" w:firstLineChars="200"/>
        <w:rPr>
          <w:color w:val="auto"/>
        </w:rPr>
      </w:pPr>
      <w:r>
        <w:rPr>
          <w:rFonts w:hint="eastAsia"/>
          <w:color w:val="auto"/>
        </w:rPr>
        <w:t>称取</w:t>
      </w:r>
      <w:r>
        <w:rPr>
          <w:color w:val="auto"/>
        </w:rPr>
        <w:t>0.</w:t>
      </w:r>
      <w:r>
        <w:rPr>
          <w:rFonts w:hint="eastAsia"/>
          <w:color w:val="auto"/>
        </w:rPr>
        <w:t>1</w:t>
      </w:r>
      <w:r>
        <w:rPr>
          <w:rFonts w:ascii="Times New Roman" w:hAnsi="Times New Roman"/>
          <w:color w:val="auto"/>
        </w:rPr>
        <w:t> </w:t>
      </w:r>
      <w:r>
        <w:rPr>
          <w:color w:val="auto"/>
        </w:rPr>
        <w:t>g</w:t>
      </w:r>
      <w:r>
        <w:rPr>
          <w:rFonts w:hint="eastAsia"/>
          <w:color w:val="auto"/>
        </w:rPr>
        <w:t>试样（</w:t>
      </w:r>
      <w:r>
        <w:rPr>
          <w:rFonts w:hint="eastAsia"/>
          <w:color w:val="auto"/>
          <w:lang w:eastAsia="zh-CN"/>
        </w:rPr>
        <w:t>4.4</w:t>
      </w:r>
      <w:r>
        <w:rPr>
          <w:rFonts w:hint="eastAsia"/>
          <w:color w:val="auto"/>
        </w:rPr>
        <w:t>），精确至</w:t>
      </w:r>
      <w:r>
        <w:rPr>
          <w:color w:val="auto"/>
        </w:rPr>
        <w:t>0.0001</w:t>
      </w:r>
      <w:r>
        <w:rPr>
          <w:rFonts w:ascii="Times New Roman" w:hAnsi="Times New Roman"/>
          <w:color w:val="auto"/>
        </w:rPr>
        <w:t> </w:t>
      </w:r>
      <w:r>
        <w:rPr>
          <w:color w:val="auto"/>
        </w:rPr>
        <w:t>g</w:t>
      </w:r>
      <w:r>
        <w:rPr>
          <w:rFonts w:hint="eastAsia"/>
          <w:color w:val="auto"/>
        </w:rPr>
        <w:t>。</w:t>
      </w:r>
    </w:p>
    <w:p w14:paraId="00114F7E">
      <w:pPr>
        <w:pStyle w:val="15"/>
        <w:rPr>
          <w:color w:val="auto"/>
        </w:rPr>
      </w:pPr>
      <w:r>
        <w:rPr>
          <w:rFonts w:hint="eastAsia"/>
          <w:color w:val="auto"/>
          <w:lang w:eastAsia="zh-CN"/>
        </w:rPr>
        <w:t>4.5</w:t>
      </w:r>
      <w:r>
        <w:rPr>
          <w:color w:val="auto"/>
        </w:rPr>
        <w:t>.2　平行</w:t>
      </w:r>
      <w:r>
        <w:rPr>
          <w:rFonts w:hint="eastAsia"/>
          <w:color w:val="auto"/>
        </w:rPr>
        <w:t>试验</w:t>
      </w:r>
    </w:p>
    <w:p w14:paraId="06217F68">
      <w:pPr>
        <w:pStyle w:val="4"/>
        <w:ind w:firstLine="420" w:firstLineChars="200"/>
        <w:rPr>
          <w:color w:val="auto"/>
        </w:rPr>
      </w:pPr>
      <w:r>
        <w:rPr>
          <w:rFonts w:hint="eastAsia"/>
          <w:color w:val="auto"/>
        </w:rPr>
        <w:t>称取两份试样，进行平行测定，取其平均值。</w:t>
      </w:r>
    </w:p>
    <w:p w14:paraId="565BC9CD">
      <w:pPr>
        <w:pStyle w:val="15"/>
        <w:rPr>
          <w:color w:val="auto"/>
        </w:rPr>
      </w:pPr>
      <w:r>
        <w:rPr>
          <w:rFonts w:hint="eastAsia"/>
          <w:color w:val="auto"/>
          <w:lang w:eastAsia="zh-CN"/>
        </w:rPr>
        <w:t>4.5</w:t>
      </w:r>
      <w:r>
        <w:rPr>
          <w:color w:val="auto"/>
        </w:rPr>
        <w:t>.3　</w:t>
      </w:r>
      <w:r>
        <w:rPr>
          <w:rFonts w:hint="eastAsia"/>
          <w:color w:val="auto"/>
        </w:rPr>
        <w:t>空白试验</w:t>
      </w:r>
    </w:p>
    <w:p w14:paraId="049B50E1">
      <w:pPr>
        <w:pStyle w:val="4"/>
        <w:ind w:firstLine="420" w:firstLineChars="200"/>
        <w:rPr>
          <w:color w:val="auto"/>
        </w:rPr>
      </w:pPr>
      <w:r>
        <w:rPr>
          <w:color w:val="auto"/>
        </w:rPr>
        <w:t>随同试料做空白试验。</w:t>
      </w:r>
    </w:p>
    <w:p w14:paraId="5D06A897">
      <w:pPr>
        <w:pStyle w:val="15"/>
        <w:rPr>
          <w:color w:val="auto"/>
        </w:rPr>
      </w:pPr>
      <w:r>
        <w:rPr>
          <w:rFonts w:hint="eastAsia"/>
          <w:color w:val="auto"/>
          <w:lang w:eastAsia="zh-CN"/>
        </w:rPr>
        <w:t>4.5</w:t>
      </w:r>
      <w:r>
        <w:rPr>
          <w:color w:val="auto"/>
        </w:rPr>
        <w:t>.4　</w:t>
      </w:r>
      <w:r>
        <w:rPr>
          <w:rFonts w:hint="eastAsia"/>
          <w:color w:val="auto"/>
        </w:rPr>
        <w:t>分析试液的制备</w:t>
      </w:r>
    </w:p>
    <w:p w14:paraId="57989264">
      <w:pPr>
        <w:pStyle w:val="11"/>
        <w:ind w:firstLine="420"/>
        <w:rPr>
          <w:color w:val="auto"/>
        </w:rPr>
      </w:pPr>
      <w:r>
        <w:rPr>
          <w:rFonts w:hint="eastAsia" w:ascii="Times New Roman"/>
          <w:color w:val="auto"/>
        </w:rPr>
        <w:t>将试料（</w:t>
      </w:r>
      <w:r>
        <w:rPr>
          <w:rFonts w:hint="eastAsia" w:ascii="Times New Roman"/>
          <w:color w:val="auto"/>
          <w:lang w:eastAsia="zh-CN"/>
        </w:rPr>
        <w:t>4.5</w:t>
      </w:r>
      <w:r>
        <w:rPr>
          <w:rFonts w:hint="eastAsia" w:ascii="Times New Roman"/>
          <w:color w:val="auto"/>
        </w:rPr>
        <w:t>.1）置于聚四氟乙烯烧杯中，</w:t>
      </w:r>
      <w:r>
        <w:rPr>
          <w:rFonts w:hint="eastAsia" w:ascii="Times New Roman"/>
          <w:color w:val="auto"/>
          <w:lang w:val="en-US" w:eastAsia="zh-CN"/>
        </w:rPr>
        <w:t>加入少量水，</w:t>
      </w:r>
      <w:r>
        <w:rPr>
          <w:rFonts w:hint="eastAsia" w:ascii="Times New Roman"/>
          <w:color w:val="auto"/>
        </w:rPr>
        <w:t>加</w:t>
      </w:r>
      <w:r>
        <w:rPr>
          <w:rFonts w:hint="eastAsia" w:ascii="Times New Roman"/>
          <w:color w:val="auto"/>
          <w:lang w:val="en-US" w:eastAsia="zh-CN"/>
        </w:rPr>
        <w:t>入2</w:t>
      </w:r>
      <w:r>
        <w:rPr>
          <w:rFonts w:hint="eastAsia" w:ascii="Times New Roman"/>
          <w:color w:val="auto"/>
        </w:rPr>
        <w:t>mL</w:t>
      </w:r>
      <w:r>
        <w:rPr>
          <w:rFonts w:hint="eastAsia" w:ascii="Times New Roman"/>
          <w:color w:val="auto"/>
          <w:lang w:val="en-US" w:eastAsia="zh-CN"/>
        </w:rPr>
        <w:t>硝</w:t>
      </w:r>
      <w:r>
        <w:rPr>
          <w:rFonts w:hint="eastAsia" w:ascii="Times New Roman"/>
          <w:color w:val="auto"/>
        </w:rPr>
        <w:t>酸（</w:t>
      </w:r>
      <w:r>
        <w:rPr>
          <w:rFonts w:hint="eastAsia" w:ascii="Times New Roman"/>
          <w:color w:val="auto"/>
          <w:lang w:eastAsia="zh-CN"/>
        </w:rPr>
        <w:t>4.2</w:t>
      </w:r>
      <w:r>
        <w:rPr>
          <w:rFonts w:hint="eastAsia" w:ascii="Times New Roman"/>
          <w:color w:val="auto"/>
          <w:lang w:val="en-US" w:eastAsia="zh-CN"/>
        </w:rPr>
        <w:t>.7</w:t>
      </w:r>
      <w:r>
        <w:rPr>
          <w:rFonts w:hint="eastAsia" w:ascii="Times New Roman"/>
          <w:color w:val="auto"/>
        </w:rPr>
        <w:t>），低温加热分解3</w:t>
      </w:r>
      <w:r>
        <w:rPr>
          <w:rFonts w:hint="eastAsia" w:ascii="Times New Roman"/>
          <w:color w:val="auto"/>
          <w:lang w:val="en-US" w:eastAsia="zh-CN"/>
        </w:rPr>
        <w:t xml:space="preserve"> min-5</w:t>
      </w:r>
      <w:r>
        <w:rPr>
          <w:rFonts w:hint="eastAsia" w:ascii="Times New Roman"/>
          <w:color w:val="auto"/>
        </w:rPr>
        <w:t>min，加入</w:t>
      </w:r>
      <w:r>
        <w:rPr>
          <w:rFonts w:hint="eastAsia" w:ascii="Times New Roman"/>
          <w:color w:val="auto"/>
          <w:lang w:val="en-US" w:eastAsia="zh-CN"/>
        </w:rPr>
        <w:t xml:space="preserve">2 </w:t>
      </w:r>
      <w:r>
        <w:rPr>
          <w:rFonts w:hint="eastAsia" w:ascii="Times New Roman"/>
          <w:color w:val="auto"/>
        </w:rPr>
        <w:t>mL氢氟酸（</w:t>
      </w:r>
      <w:r>
        <w:rPr>
          <w:rFonts w:hint="eastAsia" w:ascii="Times New Roman"/>
          <w:color w:val="auto"/>
          <w:lang w:eastAsia="zh-CN"/>
        </w:rPr>
        <w:t>4.2</w:t>
      </w:r>
      <w:r>
        <w:rPr>
          <w:rFonts w:hint="eastAsia" w:ascii="Times New Roman"/>
          <w:color w:val="auto"/>
        </w:rPr>
        <w:t>.</w:t>
      </w:r>
      <w:r>
        <w:rPr>
          <w:rFonts w:hint="eastAsia" w:ascii="Times New Roman"/>
          <w:color w:val="auto"/>
          <w:lang w:val="en-US" w:eastAsia="zh-CN"/>
        </w:rPr>
        <w:t>3</w:t>
      </w:r>
      <w:r>
        <w:rPr>
          <w:rFonts w:hint="eastAsia" w:ascii="Times New Roman"/>
          <w:color w:val="auto"/>
        </w:rPr>
        <w:t>）继续分解3</w:t>
      </w:r>
      <w:r>
        <w:rPr>
          <w:rFonts w:hint="eastAsia" w:ascii="Times New Roman"/>
          <w:color w:val="auto"/>
          <w:lang w:val="en-US" w:eastAsia="zh-CN"/>
        </w:rPr>
        <w:t xml:space="preserve"> min-5 </w:t>
      </w:r>
      <w:r>
        <w:rPr>
          <w:rFonts w:hint="eastAsia" w:ascii="Times New Roman"/>
          <w:color w:val="auto"/>
        </w:rPr>
        <w:t>min，加入</w:t>
      </w:r>
      <w:r>
        <w:rPr>
          <w:rFonts w:hint="eastAsia" w:ascii="Times New Roman"/>
          <w:color w:val="auto"/>
          <w:lang w:val="en-US" w:eastAsia="zh-CN"/>
        </w:rPr>
        <w:t xml:space="preserve">3 </w:t>
      </w:r>
      <w:r>
        <w:rPr>
          <w:rFonts w:hint="eastAsia" w:ascii="Times New Roman"/>
          <w:color w:val="auto"/>
        </w:rPr>
        <w:t>mL高氯酸（</w:t>
      </w:r>
      <w:r>
        <w:rPr>
          <w:rFonts w:hint="eastAsia" w:ascii="Times New Roman"/>
          <w:color w:val="auto"/>
          <w:lang w:eastAsia="zh-CN"/>
        </w:rPr>
        <w:t>4.2</w:t>
      </w:r>
      <w:r>
        <w:rPr>
          <w:rFonts w:hint="eastAsia" w:ascii="Times New Roman"/>
          <w:color w:val="auto"/>
        </w:rPr>
        <w:t>.</w:t>
      </w:r>
      <w:r>
        <w:rPr>
          <w:rFonts w:hint="eastAsia" w:ascii="Times New Roman"/>
          <w:color w:val="auto"/>
          <w:lang w:val="en-US" w:eastAsia="zh-CN"/>
        </w:rPr>
        <w:t>4</w:t>
      </w:r>
      <w:r>
        <w:rPr>
          <w:rFonts w:hint="eastAsia" w:ascii="Times New Roman"/>
          <w:color w:val="auto"/>
        </w:rPr>
        <w:t>）冒烟并蒸</w:t>
      </w:r>
      <w:r>
        <w:rPr>
          <w:rFonts w:hint="eastAsia" w:ascii="Times New Roman"/>
          <w:color w:val="auto"/>
          <w:lang w:val="en-US" w:eastAsia="zh-CN"/>
        </w:rPr>
        <w:t>至近</w:t>
      </w:r>
      <w:r>
        <w:rPr>
          <w:rFonts w:hint="eastAsia" w:ascii="Times New Roman"/>
          <w:color w:val="auto"/>
        </w:rPr>
        <w:t>干，取下稍冷后加入</w:t>
      </w:r>
      <w:r>
        <w:rPr>
          <w:rFonts w:hint="eastAsia" w:ascii="Times New Roman"/>
          <w:color w:val="auto"/>
          <w:lang w:val="en-US" w:eastAsia="zh-CN"/>
        </w:rPr>
        <w:t xml:space="preserve">10 </w:t>
      </w:r>
      <w:r>
        <w:rPr>
          <w:rFonts w:hint="eastAsia" w:ascii="Times New Roman"/>
          <w:color w:val="auto"/>
        </w:rPr>
        <w:t>mL盐酸（</w:t>
      </w:r>
      <w:r>
        <w:rPr>
          <w:rFonts w:hint="eastAsia" w:ascii="Times New Roman"/>
          <w:color w:val="auto"/>
          <w:lang w:eastAsia="zh-CN"/>
        </w:rPr>
        <w:t>4.2</w:t>
      </w:r>
      <w:r>
        <w:rPr>
          <w:rFonts w:hint="eastAsia" w:ascii="Times New Roman"/>
          <w:color w:val="auto"/>
        </w:rPr>
        <w:t>.</w:t>
      </w:r>
      <w:r>
        <w:rPr>
          <w:rFonts w:hint="eastAsia" w:ascii="Times New Roman"/>
          <w:color w:val="auto"/>
          <w:lang w:val="en-US" w:eastAsia="zh-CN"/>
        </w:rPr>
        <w:t>6</w:t>
      </w:r>
      <w:r>
        <w:rPr>
          <w:rFonts w:hint="eastAsia" w:ascii="Times New Roman"/>
          <w:color w:val="auto"/>
        </w:rPr>
        <w:t>）</w:t>
      </w:r>
      <w:r>
        <w:rPr>
          <w:rFonts w:hint="eastAsia" w:ascii="Times New Roman"/>
          <w:color w:val="auto"/>
          <w:lang w:val="en-US" w:eastAsia="zh-CN"/>
        </w:rPr>
        <w:t>并</w:t>
      </w:r>
      <w:r>
        <w:rPr>
          <w:rFonts w:hint="eastAsia" w:ascii="Times New Roman"/>
          <w:color w:val="auto"/>
        </w:rPr>
        <w:t>滴加3~5滴过氧化氢（</w:t>
      </w:r>
      <w:r>
        <w:rPr>
          <w:rFonts w:hint="eastAsia" w:ascii="Times New Roman"/>
          <w:color w:val="auto"/>
          <w:lang w:eastAsia="zh-CN"/>
        </w:rPr>
        <w:t>4.2</w:t>
      </w:r>
      <w:r>
        <w:rPr>
          <w:rFonts w:hint="eastAsia" w:ascii="Times New Roman"/>
          <w:color w:val="auto"/>
        </w:rPr>
        <w:t>.</w:t>
      </w:r>
      <w:r>
        <w:rPr>
          <w:rFonts w:hint="eastAsia" w:ascii="Times New Roman"/>
          <w:color w:val="auto"/>
          <w:lang w:val="en-US" w:eastAsia="zh-CN"/>
        </w:rPr>
        <w:t>2</w:t>
      </w:r>
      <w:r>
        <w:rPr>
          <w:rFonts w:hint="eastAsia" w:ascii="Times New Roman"/>
          <w:color w:val="auto"/>
        </w:rPr>
        <w:t>），</w:t>
      </w:r>
      <w:r>
        <w:rPr>
          <w:rFonts w:hint="eastAsia" w:ascii="Times New Roman"/>
          <w:color w:val="auto"/>
          <w:lang w:val="en-US" w:eastAsia="zh-CN"/>
        </w:rPr>
        <w:t>低温加热至溶</w:t>
      </w:r>
      <w:r>
        <w:rPr>
          <w:rFonts w:hint="eastAsia" w:ascii="Times New Roman"/>
          <w:color w:val="auto"/>
        </w:rPr>
        <w:t>解清亮</w:t>
      </w:r>
      <w:r>
        <w:rPr>
          <w:rFonts w:hint="eastAsia" w:ascii="Times New Roman"/>
          <w:color w:val="auto"/>
          <w:lang w:eastAsia="zh-CN"/>
        </w:rPr>
        <w:t>，</w:t>
      </w:r>
      <w:r>
        <w:rPr>
          <w:rFonts w:hint="eastAsia" w:ascii="Times New Roman"/>
          <w:color w:val="auto"/>
          <w:lang w:val="en-US" w:eastAsia="zh-CN"/>
        </w:rPr>
        <w:t>将试液取下冷却至室温后</w:t>
      </w:r>
      <w:r>
        <w:rPr>
          <w:rFonts w:hint="eastAsia" w:ascii="Times New Roman"/>
          <w:color w:val="auto"/>
        </w:rPr>
        <w:t>转移到</w:t>
      </w:r>
      <w:r>
        <w:rPr>
          <w:rFonts w:hint="eastAsia" w:ascii="Times New Roman"/>
          <w:color w:val="auto"/>
          <w:lang w:val="en-US" w:eastAsia="zh-CN"/>
        </w:rPr>
        <w:t xml:space="preserve">100 </w:t>
      </w:r>
      <w:r>
        <w:rPr>
          <w:rFonts w:hint="eastAsia" w:ascii="Times New Roman"/>
          <w:color w:val="auto"/>
        </w:rPr>
        <w:t>mL容量瓶中，</w:t>
      </w:r>
      <w:r>
        <w:rPr>
          <w:rFonts w:hint="eastAsia" w:ascii="宋体" w:hAnsi="宋体" w:eastAsia="宋体" w:cs="宋体"/>
          <w:color w:val="auto"/>
          <w:szCs w:val="21"/>
        </w:rPr>
        <w:t>用水稀释至刻度，混匀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待测。</w:t>
      </w:r>
    </w:p>
    <w:p w14:paraId="1E893D49">
      <w:pPr>
        <w:pStyle w:val="15"/>
        <w:rPr>
          <w:color w:val="auto"/>
        </w:rPr>
      </w:pPr>
      <w:r>
        <w:rPr>
          <w:rFonts w:hint="eastAsia"/>
          <w:color w:val="auto"/>
          <w:lang w:eastAsia="zh-CN"/>
        </w:rPr>
        <w:t>4.5</w:t>
      </w:r>
      <w:r>
        <w:rPr>
          <w:color w:val="auto"/>
        </w:rPr>
        <w:t>.5　</w:t>
      </w:r>
      <w:r>
        <w:rPr>
          <w:rFonts w:hint="eastAsia"/>
          <w:color w:val="auto"/>
        </w:rPr>
        <w:t>标准系列溶液的配制</w:t>
      </w:r>
    </w:p>
    <w:p w14:paraId="79872E97">
      <w:pPr>
        <w:pStyle w:val="4"/>
        <w:rPr>
          <w:rFonts w:hAnsi="宋体"/>
          <w:color w:val="auto"/>
        </w:rPr>
      </w:pPr>
      <w:r>
        <w:rPr>
          <w:rFonts w:hint="eastAsia"/>
          <w:color w:val="auto"/>
          <w:lang w:eastAsia="zh-CN"/>
        </w:rPr>
        <w:t>4.5</w:t>
      </w:r>
      <w:r>
        <w:rPr>
          <w:rFonts w:hint="eastAsia"/>
          <w:color w:val="auto"/>
        </w:rPr>
        <w:t>.5.1</w:t>
      </w:r>
      <w:r>
        <w:rPr>
          <w:rFonts w:hint="eastAsia" w:hAnsi="宋体"/>
          <w:color w:val="auto"/>
        </w:rPr>
        <w:t xml:space="preserve"> </w:t>
      </w:r>
      <w:r>
        <w:rPr>
          <w:rFonts w:hint="eastAsia"/>
          <w:color w:val="auto"/>
        </w:rPr>
        <w:t>空白试验用系列标准溶液的配制</w:t>
      </w:r>
    </w:p>
    <w:p w14:paraId="13416DB7">
      <w:pPr>
        <w:pStyle w:val="11"/>
        <w:ind w:right="240" w:firstLine="420"/>
        <w:rPr>
          <w:rFonts w:ascii="Times New Roman"/>
          <w:color w:val="auto"/>
          <w:kern w:val="2"/>
          <w:szCs w:val="21"/>
        </w:rPr>
      </w:pPr>
      <w:r>
        <w:rPr>
          <w:rFonts w:ascii="Times New Roman"/>
          <w:color w:val="auto"/>
        </w:rPr>
        <w:t>按表2</w:t>
      </w:r>
      <w:r>
        <w:rPr>
          <w:rFonts w:hint="eastAsia" w:ascii="Times New Roman"/>
          <w:color w:val="auto"/>
        </w:rPr>
        <w:t xml:space="preserve"> </w:t>
      </w:r>
      <w:r>
        <w:rPr>
          <w:rFonts w:ascii="Times New Roman"/>
          <w:color w:val="auto"/>
        </w:rPr>
        <w:t>准确移取相应的</w:t>
      </w:r>
      <w:r>
        <w:rPr>
          <w:rFonts w:hint="eastAsia" w:ascii="Times New Roman"/>
          <w:color w:val="auto"/>
          <w:szCs w:val="21"/>
        </w:rPr>
        <w:t>钍</w:t>
      </w:r>
      <w:r>
        <w:rPr>
          <w:rFonts w:ascii="Times New Roman"/>
          <w:color w:val="auto"/>
          <w:szCs w:val="21"/>
        </w:rPr>
        <w:t>标准贮存溶液（</w:t>
      </w:r>
      <w:r>
        <w:rPr>
          <w:rFonts w:hint="eastAsia" w:ascii="Times New Roman"/>
          <w:color w:val="auto"/>
          <w:szCs w:val="21"/>
          <w:lang w:val="en-US" w:eastAsia="zh-CN"/>
        </w:rPr>
        <w:t>4.2</w:t>
      </w:r>
      <w:r>
        <w:rPr>
          <w:rFonts w:ascii="Times New Roman"/>
          <w:color w:val="auto"/>
          <w:szCs w:val="21"/>
        </w:rPr>
        <w:t>.</w:t>
      </w:r>
      <w:r>
        <w:rPr>
          <w:rFonts w:hint="eastAsia" w:ascii="Times New Roman"/>
          <w:color w:val="auto"/>
          <w:szCs w:val="21"/>
          <w:lang w:val="en-US" w:eastAsia="zh-CN"/>
        </w:rPr>
        <w:t>9</w:t>
      </w:r>
      <w:r>
        <w:rPr>
          <w:rFonts w:ascii="Times New Roman"/>
          <w:color w:val="auto"/>
          <w:szCs w:val="21"/>
        </w:rPr>
        <w:t>）</w:t>
      </w:r>
      <w:r>
        <w:rPr>
          <w:rFonts w:ascii="Times New Roman"/>
          <w:color w:val="auto"/>
        </w:rPr>
        <w:t>于</w:t>
      </w:r>
      <w:r>
        <w:rPr>
          <w:rFonts w:hint="eastAsia" w:ascii="Times New Roman"/>
          <w:color w:val="auto"/>
          <w:lang w:val="en-US" w:eastAsia="zh-CN"/>
        </w:rPr>
        <w:t>5</w:t>
      </w:r>
      <w:r>
        <w:rPr>
          <w:rFonts w:ascii="Times New Roman"/>
          <w:color w:val="auto"/>
        </w:rPr>
        <w:t>个100mL容量瓶中，</w:t>
      </w:r>
      <w:r>
        <w:rPr>
          <w:rFonts w:ascii="Times New Roman"/>
          <w:color w:val="auto"/>
          <w:szCs w:val="21"/>
        </w:rPr>
        <w:t>加入5</w:t>
      </w:r>
      <w:r>
        <w:rPr>
          <w:rFonts w:hint="eastAsia" w:ascii="Times New Roman"/>
          <w:color w:val="auto"/>
          <w:szCs w:val="21"/>
        </w:rPr>
        <w:t xml:space="preserve"> </w:t>
      </w:r>
      <w:r>
        <w:rPr>
          <w:rFonts w:ascii="Times New Roman"/>
          <w:color w:val="auto"/>
          <w:szCs w:val="21"/>
        </w:rPr>
        <w:t>mL盐酸（</w:t>
      </w:r>
      <w:r>
        <w:rPr>
          <w:rFonts w:hint="eastAsia" w:ascii="Times New Roman"/>
          <w:color w:val="auto"/>
          <w:szCs w:val="21"/>
          <w:lang w:val="en-US" w:eastAsia="zh-CN"/>
        </w:rPr>
        <w:t>4.2</w:t>
      </w:r>
      <w:r>
        <w:rPr>
          <w:rFonts w:ascii="Times New Roman"/>
          <w:color w:val="auto"/>
          <w:szCs w:val="21"/>
        </w:rPr>
        <w:t>.</w:t>
      </w:r>
      <w:r>
        <w:rPr>
          <w:rFonts w:hint="eastAsia" w:ascii="Times New Roman"/>
          <w:color w:val="auto"/>
          <w:szCs w:val="21"/>
          <w:lang w:val="en-US" w:eastAsia="zh-CN"/>
        </w:rPr>
        <w:t>1</w:t>
      </w:r>
      <w:r>
        <w:rPr>
          <w:rFonts w:hint="eastAsia" w:ascii="Times New Roman"/>
          <w:color w:val="auto"/>
          <w:szCs w:val="21"/>
          <w:lang w:eastAsia="zh-CN"/>
        </w:rPr>
        <w:t>）</w:t>
      </w:r>
      <w:r>
        <w:rPr>
          <w:rFonts w:ascii="Times New Roman"/>
          <w:color w:val="auto"/>
          <w:szCs w:val="21"/>
        </w:rPr>
        <w:t>，用水稀释至刻度，混匀。</w:t>
      </w:r>
      <w:r>
        <w:rPr>
          <w:rFonts w:ascii="Times New Roman"/>
          <w:color w:val="auto"/>
          <w:kern w:val="2"/>
          <w:szCs w:val="21"/>
        </w:rPr>
        <w:t>此标准系列溶液每1.00</w:t>
      </w:r>
      <w:r>
        <w:rPr>
          <w:rFonts w:ascii="Times New Roman"/>
          <w:color w:val="auto"/>
        </w:rPr>
        <w:t> </w:t>
      </w:r>
      <w:r>
        <w:rPr>
          <w:rFonts w:ascii="Times New Roman"/>
          <w:color w:val="auto"/>
          <w:kern w:val="2"/>
          <w:szCs w:val="21"/>
        </w:rPr>
        <w:t>mL含0</w:t>
      </w:r>
      <w:r>
        <w:rPr>
          <w:rFonts w:ascii="Times New Roman"/>
          <w:color w:val="auto"/>
        </w:rPr>
        <w:t> </w:t>
      </w:r>
      <w:r>
        <w:rPr>
          <w:rFonts w:ascii="Times New Roman"/>
          <w:bCs/>
          <w:color w:val="auto"/>
          <w:sz w:val="24"/>
        </w:rPr>
        <w:t>μg</w:t>
      </w:r>
      <w:r>
        <w:rPr>
          <w:rFonts w:ascii="Times New Roman"/>
          <w:color w:val="auto"/>
          <w:kern w:val="2"/>
          <w:szCs w:val="21"/>
        </w:rPr>
        <w:t>、0.50</w:t>
      </w:r>
      <w:r>
        <w:rPr>
          <w:rFonts w:ascii="Times New Roman"/>
          <w:color w:val="auto"/>
        </w:rPr>
        <w:t> </w:t>
      </w:r>
      <w:r>
        <w:rPr>
          <w:rFonts w:ascii="Times New Roman"/>
          <w:bCs/>
          <w:color w:val="auto"/>
          <w:sz w:val="24"/>
        </w:rPr>
        <w:t>μg</w:t>
      </w:r>
      <w:r>
        <w:rPr>
          <w:rFonts w:ascii="Times New Roman"/>
          <w:color w:val="auto"/>
          <w:kern w:val="2"/>
          <w:szCs w:val="21"/>
        </w:rPr>
        <w:t>、</w:t>
      </w:r>
      <w:r>
        <w:rPr>
          <w:rFonts w:hint="eastAsia" w:ascii="Times New Roman"/>
          <w:color w:val="auto"/>
          <w:kern w:val="2"/>
          <w:szCs w:val="21"/>
          <w:lang w:val="en-US" w:eastAsia="zh-CN"/>
        </w:rPr>
        <w:t>1.00</w:t>
      </w:r>
      <w:r>
        <w:rPr>
          <w:rFonts w:ascii="Times New Roman"/>
          <w:color w:val="auto"/>
        </w:rPr>
        <w:t> </w:t>
      </w:r>
      <w:r>
        <w:rPr>
          <w:rFonts w:ascii="Times New Roman"/>
          <w:bCs/>
          <w:color w:val="auto"/>
          <w:sz w:val="24"/>
        </w:rPr>
        <w:t>μg</w:t>
      </w:r>
      <w:r>
        <w:rPr>
          <w:rFonts w:hint="eastAsia" w:ascii="Times New Roman"/>
          <w:bCs/>
          <w:color w:val="auto"/>
          <w:sz w:val="24"/>
          <w:lang w:eastAsia="zh-CN"/>
        </w:rPr>
        <w:t>、</w:t>
      </w:r>
      <w:r>
        <w:rPr>
          <w:rFonts w:ascii="Times New Roman"/>
          <w:color w:val="auto"/>
          <w:kern w:val="2"/>
          <w:szCs w:val="21"/>
        </w:rPr>
        <w:t>2.00</w:t>
      </w:r>
      <w:r>
        <w:rPr>
          <w:rFonts w:ascii="Times New Roman"/>
          <w:color w:val="auto"/>
        </w:rPr>
        <w:t> </w:t>
      </w:r>
      <w:r>
        <w:rPr>
          <w:rFonts w:ascii="Times New Roman"/>
          <w:bCs/>
          <w:color w:val="auto"/>
          <w:sz w:val="24"/>
        </w:rPr>
        <w:t>μg</w:t>
      </w:r>
      <w:r>
        <w:rPr>
          <w:rFonts w:ascii="Times New Roman"/>
          <w:color w:val="auto"/>
          <w:kern w:val="2"/>
          <w:szCs w:val="21"/>
        </w:rPr>
        <w:t>、5.00</w:t>
      </w:r>
      <w:r>
        <w:rPr>
          <w:rFonts w:ascii="Times New Roman"/>
          <w:color w:val="auto"/>
        </w:rPr>
        <w:t> </w:t>
      </w:r>
      <w:r>
        <w:rPr>
          <w:rFonts w:ascii="Times New Roman"/>
          <w:bCs/>
          <w:color w:val="auto"/>
          <w:sz w:val="24"/>
        </w:rPr>
        <w:t>μg</w:t>
      </w:r>
      <w:r>
        <w:rPr>
          <w:rFonts w:ascii="Times New Roman"/>
          <w:color w:val="auto"/>
          <w:kern w:val="2"/>
          <w:szCs w:val="21"/>
        </w:rPr>
        <w:t>的</w:t>
      </w:r>
      <w:r>
        <w:rPr>
          <w:rFonts w:hint="eastAsia" w:ascii="Times New Roman"/>
          <w:color w:val="auto"/>
          <w:kern w:val="2"/>
          <w:szCs w:val="21"/>
        </w:rPr>
        <w:t>钍，此系列用于空白试验（4.</w:t>
      </w:r>
      <w:r>
        <w:rPr>
          <w:rFonts w:hint="eastAsia" w:ascii="Times New Roman"/>
          <w:color w:val="auto"/>
          <w:kern w:val="2"/>
          <w:szCs w:val="21"/>
          <w:lang w:val="en-US" w:eastAsia="zh-CN"/>
        </w:rPr>
        <w:t>5.</w:t>
      </w:r>
      <w:r>
        <w:rPr>
          <w:rFonts w:hint="eastAsia" w:ascii="Times New Roman"/>
          <w:color w:val="auto"/>
          <w:kern w:val="2"/>
          <w:szCs w:val="21"/>
        </w:rPr>
        <w:t>3）样品的测定</w:t>
      </w:r>
      <w:r>
        <w:rPr>
          <w:rFonts w:ascii="Times New Roman"/>
          <w:color w:val="auto"/>
          <w:kern w:val="2"/>
          <w:szCs w:val="21"/>
        </w:rPr>
        <w:t>。</w:t>
      </w:r>
    </w:p>
    <w:p w14:paraId="55577BCA">
      <w:pPr>
        <w:pStyle w:val="11"/>
        <w:ind w:right="240" w:firstLine="420"/>
        <w:rPr>
          <w:rFonts w:hint="eastAsia" w:ascii="宋体" w:hAnsi="宋体" w:eastAsia="宋体"/>
          <w:color w:val="auto"/>
          <w:szCs w:val="21"/>
        </w:rPr>
      </w:pPr>
    </w:p>
    <w:p w14:paraId="280957DA">
      <w:pPr>
        <w:ind w:left="0" w:leftChars="0" w:firstLine="0" w:firstLineChars="0"/>
        <w:jc w:val="center"/>
        <w:rPr>
          <w:rFonts w:hint="eastAsia" w:ascii="黑体" w:hAnsi="黑体" w:eastAsia="黑体" w:cs="黑体"/>
          <w:color w:val="auto"/>
        </w:rPr>
      </w:pPr>
      <w:r>
        <w:rPr>
          <w:rFonts w:hint="eastAsia" w:cs="黑体"/>
          <w:color w:val="auto"/>
        </w:rPr>
        <w:t>表2  空白试验用系列标准溶液移取体积</w:t>
      </w:r>
    </w:p>
    <w:p w14:paraId="7CC3D449">
      <w:pPr>
        <w:pStyle w:val="11"/>
        <w:ind w:right="240" w:firstLine="420"/>
        <w:jc w:val="center"/>
        <w:rPr>
          <w:rFonts w:ascii="Times New Roman" w:hAnsi="宋体"/>
          <w:color w:val="auto"/>
          <w:kern w:val="2"/>
          <w:szCs w:val="21"/>
        </w:rPr>
      </w:pPr>
      <w:r>
        <w:rPr>
          <w:rFonts w:hint="eastAsia" w:ascii="Times New Roman" w:hAnsi="宋体"/>
          <w:color w:val="auto"/>
          <w:kern w:val="2"/>
          <w:sz w:val="18"/>
          <w:szCs w:val="18"/>
          <w:lang w:val="en-US" w:eastAsia="zh-CN"/>
        </w:rPr>
        <w:t xml:space="preserve">                                               </w:t>
      </w:r>
      <w:r>
        <w:rPr>
          <w:rFonts w:hint="eastAsia" w:ascii="Times New Roman" w:hAnsi="宋体"/>
          <w:color w:val="auto"/>
          <w:kern w:val="2"/>
          <w:sz w:val="18"/>
          <w:szCs w:val="18"/>
        </w:rPr>
        <w:t>单位为毫升</w:t>
      </w:r>
    </w:p>
    <w:tbl>
      <w:tblPr>
        <w:tblStyle w:val="6"/>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6"/>
        <w:gridCol w:w="6817"/>
      </w:tblGrid>
      <w:tr w14:paraId="3B5F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736" w:type="dxa"/>
            <w:tcBorders>
              <w:top w:val="single" w:color="000000" w:sz="12" w:space="0"/>
              <w:left w:val="single" w:color="000000" w:sz="12" w:space="0"/>
              <w:bottom w:val="single" w:color="000000" w:sz="12" w:space="0"/>
              <w:right w:val="single" w:color="000000" w:sz="4" w:space="0"/>
            </w:tcBorders>
            <w:noWrap w:val="0"/>
            <w:vAlign w:val="center"/>
          </w:tcPr>
          <w:p w14:paraId="2C40AB3D">
            <w:pPr>
              <w:pStyle w:val="4"/>
              <w:snapToGrid w:val="0"/>
              <w:rPr>
                <w:color w:val="auto"/>
              </w:rPr>
            </w:pPr>
            <w:r>
              <w:rPr>
                <w:rFonts w:hint="eastAsia"/>
                <w:color w:val="auto"/>
              </w:rPr>
              <w:t>标液编号</w:t>
            </w:r>
          </w:p>
        </w:tc>
        <w:tc>
          <w:tcPr>
            <w:tcW w:w="6817" w:type="dxa"/>
            <w:tcBorders>
              <w:top w:val="single" w:color="000000" w:sz="12" w:space="0"/>
              <w:left w:val="single" w:color="000000" w:sz="4" w:space="0"/>
              <w:bottom w:val="single" w:color="000000" w:sz="12" w:space="0"/>
              <w:right w:val="single" w:color="000000" w:sz="4" w:space="0"/>
            </w:tcBorders>
            <w:noWrap w:val="0"/>
            <w:vAlign w:val="center"/>
          </w:tcPr>
          <w:p w14:paraId="60FB2F30">
            <w:pPr>
              <w:pStyle w:val="4"/>
              <w:snapToGrid w:val="0"/>
              <w:jc w:val="center"/>
              <w:rPr>
                <w:rFonts w:hint="eastAsia"/>
                <w:color w:val="auto"/>
              </w:rPr>
            </w:pPr>
            <w:r>
              <w:rPr>
                <w:rFonts w:hint="eastAsia"/>
                <w:color w:val="auto"/>
              </w:rPr>
              <w:t>钍标准贮存溶液（</w:t>
            </w:r>
            <w:r>
              <w:rPr>
                <w:rFonts w:hint="eastAsia"/>
                <w:color w:val="auto"/>
                <w:lang w:val="en-US" w:eastAsia="zh-CN"/>
              </w:rPr>
              <w:t>4.2</w:t>
            </w:r>
            <w:r>
              <w:rPr>
                <w:rFonts w:hint="eastAsia"/>
                <w:color w:val="auto"/>
              </w:rPr>
              <w:t>.</w:t>
            </w:r>
            <w:r>
              <w:rPr>
                <w:rFonts w:hint="eastAsia"/>
                <w:color w:val="auto"/>
                <w:lang w:val="en-US" w:eastAsia="zh-CN"/>
              </w:rPr>
              <w:t>9</w:t>
            </w:r>
            <w:r>
              <w:rPr>
                <w:rFonts w:hint="eastAsia"/>
                <w:color w:val="auto"/>
              </w:rPr>
              <w:t>）</w:t>
            </w:r>
          </w:p>
        </w:tc>
      </w:tr>
      <w:tr w14:paraId="250E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736" w:type="dxa"/>
            <w:tcBorders>
              <w:top w:val="single" w:color="000000" w:sz="12" w:space="0"/>
              <w:left w:val="single" w:color="000000" w:sz="12" w:space="0"/>
              <w:bottom w:val="single" w:color="000000" w:sz="4" w:space="0"/>
              <w:right w:val="single" w:color="000000" w:sz="4" w:space="0"/>
            </w:tcBorders>
            <w:noWrap w:val="0"/>
            <w:vAlign w:val="center"/>
          </w:tcPr>
          <w:p w14:paraId="19968CCC">
            <w:pPr>
              <w:snapToGrid w:val="0"/>
              <w:jc w:val="center"/>
              <w:rPr>
                <w:rFonts w:hint="eastAsia"/>
                <w:color w:val="auto"/>
              </w:rPr>
            </w:pPr>
            <w:r>
              <w:rPr>
                <w:rFonts w:hint="eastAsia"/>
                <w:color w:val="auto"/>
              </w:rPr>
              <w:t>1</w:t>
            </w:r>
          </w:p>
        </w:tc>
        <w:tc>
          <w:tcPr>
            <w:tcW w:w="6817" w:type="dxa"/>
            <w:tcBorders>
              <w:top w:val="single" w:color="000000" w:sz="12" w:space="0"/>
              <w:left w:val="single" w:color="000000" w:sz="4" w:space="0"/>
              <w:bottom w:val="single" w:color="000000" w:sz="4" w:space="0"/>
              <w:right w:val="single" w:color="000000" w:sz="4" w:space="0"/>
            </w:tcBorders>
            <w:noWrap w:val="0"/>
            <w:vAlign w:val="center"/>
          </w:tcPr>
          <w:p w14:paraId="46942485">
            <w:pPr>
              <w:snapToGrid w:val="0"/>
              <w:jc w:val="center"/>
              <w:rPr>
                <w:rFonts w:hint="eastAsia"/>
                <w:color w:val="auto"/>
              </w:rPr>
            </w:pPr>
            <w:r>
              <w:rPr>
                <w:rFonts w:hint="eastAsia"/>
                <w:color w:val="auto"/>
              </w:rPr>
              <w:t>0.00</w:t>
            </w:r>
          </w:p>
        </w:tc>
      </w:tr>
      <w:tr w14:paraId="23EE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736" w:type="dxa"/>
            <w:tcBorders>
              <w:top w:val="single" w:color="000000" w:sz="4" w:space="0"/>
              <w:left w:val="single" w:color="000000" w:sz="12" w:space="0"/>
              <w:bottom w:val="single" w:color="000000" w:sz="4" w:space="0"/>
              <w:right w:val="single" w:color="000000" w:sz="4" w:space="0"/>
            </w:tcBorders>
            <w:noWrap w:val="0"/>
            <w:vAlign w:val="center"/>
          </w:tcPr>
          <w:p w14:paraId="338F6731">
            <w:pPr>
              <w:snapToGrid w:val="0"/>
              <w:jc w:val="center"/>
              <w:rPr>
                <w:rFonts w:hint="eastAsia"/>
                <w:color w:val="auto"/>
              </w:rPr>
            </w:pPr>
            <w:r>
              <w:rPr>
                <w:rFonts w:hint="eastAsia"/>
                <w:color w:val="auto"/>
              </w:rPr>
              <w:t>2</w:t>
            </w:r>
          </w:p>
        </w:tc>
        <w:tc>
          <w:tcPr>
            <w:tcW w:w="6817" w:type="dxa"/>
            <w:tcBorders>
              <w:top w:val="single" w:color="000000" w:sz="4" w:space="0"/>
              <w:left w:val="single" w:color="000000" w:sz="4" w:space="0"/>
              <w:bottom w:val="single" w:color="000000" w:sz="4" w:space="0"/>
              <w:right w:val="single" w:color="000000" w:sz="4" w:space="0"/>
            </w:tcBorders>
            <w:noWrap w:val="0"/>
            <w:vAlign w:val="center"/>
          </w:tcPr>
          <w:p w14:paraId="693F492A">
            <w:pPr>
              <w:snapToGrid w:val="0"/>
              <w:jc w:val="center"/>
              <w:rPr>
                <w:rFonts w:hint="eastAsia"/>
                <w:color w:val="auto"/>
              </w:rPr>
            </w:pPr>
            <w:r>
              <w:rPr>
                <w:rFonts w:hint="eastAsia"/>
                <w:color w:val="auto"/>
              </w:rPr>
              <w:t>0.</w:t>
            </w:r>
            <w:r>
              <w:rPr>
                <w:rFonts w:hint="eastAsia"/>
                <w:color w:val="auto"/>
                <w:lang w:val="en-US" w:eastAsia="zh-CN"/>
              </w:rPr>
              <w:t>5</w:t>
            </w:r>
            <w:r>
              <w:rPr>
                <w:rFonts w:hint="eastAsia"/>
                <w:color w:val="auto"/>
              </w:rPr>
              <w:t>0</w:t>
            </w:r>
          </w:p>
        </w:tc>
      </w:tr>
      <w:tr w14:paraId="2F58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736" w:type="dxa"/>
            <w:tcBorders>
              <w:top w:val="single" w:color="000000" w:sz="4" w:space="0"/>
              <w:left w:val="single" w:color="000000" w:sz="12" w:space="0"/>
              <w:bottom w:val="single" w:color="000000" w:sz="4" w:space="0"/>
              <w:right w:val="single" w:color="000000" w:sz="4" w:space="0"/>
            </w:tcBorders>
            <w:noWrap w:val="0"/>
            <w:vAlign w:val="center"/>
          </w:tcPr>
          <w:p w14:paraId="6BD484EA">
            <w:pPr>
              <w:snapToGrid w:val="0"/>
              <w:jc w:val="center"/>
              <w:rPr>
                <w:rFonts w:hint="eastAsia"/>
                <w:color w:val="auto"/>
              </w:rPr>
            </w:pPr>
            <w:r>
              <w:rPr>
                <w:rFonts w:hint="eastAsia"/>
                <w:color w:val="auto"/>
              </w:rPr>
              <w:t>3</w:t>
            </w:r>
          </w:p>
        </w:tc>
        <w:tc>
          <w:tcPr>
            <w:tcW w:w="6817" w:type="dxa"/>
            <w:tcBorders>
              <w:top w:val="single" w:color="000000" w:sz="4" w:space="0"/>
              <w:left w:val="single" w:color="000000" w:sz="4" w:space="0"/>
              <w:bottom w:val="single" w:color="000000" w:sz="4" w:space="0"/>
              <w:right w:val="single" w:color="000000" w:sz="4" w:space="0"/>
            </w:tcBorders>
            <w:noWrap w:val="0"/>
            <w:vAlign w:val="center"/>
          </w:tcPr>
          <w:p w14:paraId="035BA387">
            <w:pPr>
              <w:snapToGrid w:val="0"/>
              <w:jc w:val="center"/>
              <w:rPr>
                <w:rFonts w:hint="eastAsia"/>
                <w:color w:val="auto"/>
              </w:rPr>
            </w:pPr>
            <w:r>
              <w:rPr>
                <w:rFonts w:hint="eastAsia"/>
                <w:color w:val="auto"/>
                <w:lang w:val="en-US" w:eastAsia="zh-CN"/>
              </w:rPr>
              <w:t>1.0</w:t>
            </w:r>
            <w:r>
              <w:rPr>
                <w:rFonts w:hint="eastAsia"/>
                <w:color w:val="auto"/>
              </w:rPr>
              <w:t>0</w:t>
            </w:r>
          </w:p>
        </w:tc>
      </w:tr>
      <w:tr w14:paraId="6A217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736" w:type="dxa"/>
            <w:tcBorders>
              <w:top w:val="single" w:color="000000" w:sz="4" w:space="0"/>
              <w:left w:val="single" w:color="000000" w:sz="12" w:space="0"/>
              <w:bottom w:val="single" w:color="000000" w:sz="4" w:space="0"/>
              <w:right w:val="single" w:color="000000" w:sz="4" w:space="0"/>
            </w:tcBorders>
            <w:noWrap w:val="0"/>
            <w:vAlign w:val="center"/>
          </w:tcPr>
          <w:p w14:paraId="590695F3">
            <w:pPr>
              <w:snapToGrid w:val="0"/>
              <w:jc w:val="center"/>
              <w:rPr>
                <w:rFonts w:hint="eastAsia"/>
                <w:color w:val="auto"/>
              </w:rPr>
            </w:pPr>
            <w:r>
              <w:rPr>
                <w:rFonts w:hint="eastAsia"/>
                <w:color w:val="auto"/>
              </w:rPr>
              <w:t>4</w:t>
            </w:r>
          </w:p>
        </w:tc>
        <w:tc>
          <w:tcPr>
            <w:tcW w:w="6817" w:type="dxa"/>
            <w:tcBorders>
              <w:top w:val="single" w:color="000000" w:sz="4" w:space="0"/>
              <w:left w:val="single" w:color="000000" w:sz="4" w:space="0"/>
              <w:bottom w:val="single" w:color="000000" w:sz="4" w:space="0"/>
              <w:right w:val="single" w:color="000000" w:sz="4" w:space="0"/>
            </w:tcBorders>
            <w:noWrap w:val="0"/>
            <w:vAlign w:val="center"/>
          </w:tcPr>
          <w:p w14:paraId="4996D173">
            <w:pPr>
              <w:snapToGrid w:val="0"/>
              <w:jc w:val="center"/>
              <w:rPr>
                <w:rFonts w:hint="eastAsia"/>
                <w:color w:val="auto"/>
              </w:rPr>
            </w:pPr>
            <w:r>
              <w:rPr>
                <w:rFonts w:hint="eastAsia"/>
                <w:color w:val="auto"/>
              </w:rPr>
              <w:t>2.00</w:t>
            </w:r>
          </w:p>
        </w:tc>
      </w:tr>
      <w:tr w14:paraId="21E5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2736" w:type="dxa"/>
            <w:tcBorders>
              <w:top w:val="single" w:color="000000" w:sz="4" w:space="0"/>
              <w:left w:val="single" w:color="000000" w:sz="12" w:space="0"/>
              <w:bottom w:val="single" w:color="000000" w:sz="4" w:space="0"/>
              <w:right w:val="single" w:color="000000" w:sz="4" w:space="0"/>
            </w:tcBorders>
            <w:noWrap w:val="0"/>
            <w:vAlign w:val="center"/>
          </w:tcPr>
          <w:p w14:paraId="179B57AF">
            <w:pPr>
              <w:snapToGrid w:val="0"/>
              <w:jc w:val="center"/>
              <w:rPr>
                <w:rFonts w:hint="eastAsia"/>
                <w:color w:val="auto"/>
              </w:rPr>
            </w:pPr>
            <w:r>
              <w:rPr>
                <w:rFonts w:hint="eastAsia"/>
                <w:color w:val="auto"/>
              </w:rPr>
              <w:t>5</w:t>
            </w:r>
          </w:p>
        </w:tc>
        <w:tc>
          <w:tcPr>
            <w:tcW w:w="6817" w:type="dxa"/>
            <w:tcBorders>
              <w:top w:val="single" w:color="000000" w:sz="4" w:space="0"/>
              <w:left w:val="single" w:color="000000" w:sz="4" w:space="0"/>
              <w:bottom w:val="single" w:color="000000" w:sz="4" w:space="0"/>
              <w:right w:val="single" w:color="000000" w:sz="4" w:space="0"/>
            </w:tcBorders>
            <w:noWrap w:val="0"/>
            <w:vAlign w:val="center"/>
          </w:tcPr>
          <w:p w14:paraId="64037F49">
            <w:pPr>
              <w:snapToGrid w:val="0"/>
              <w:jc w:val="center"/>
              <w:rPr>
                <w:rFonts w:hint="eastAsia"/>
                <w:color w:val="auto"/>
              </w:rPr>
            </w:pPr>
            <w:r>
              <w:rPr>
                <w:rFonts w:hint="eastAsia"/>
                <w:color w:val="auto"/>
              </w:rPr>
              <w:t>5.00</w:t>
            </w:r>
          </w:p>
        </w:tc>
      </w:tr>
    </w:tbl>
    <w:p w14:paraId="20B8F5EF">
      <w:pPr>
        <w:rPr>
          <w:color w:val="auto"/>
        </w:rPr>
      </w:pPr>
    </w:p>
    <w:p w14:paraId="0F2A54FC">
      <w:pPr>
        <w:pStyle w:val="4"/>
        <w:rPr>
          <w:rFonts w:hAnsi="宋体"/>
          <w:color w:val="auto"/>
        </w:rPr>
      </w:pPr>
      <w:r>
        <w:rPr>
          <w:rFonts w:hint="eastAsia"/>
          <w:color w:val="auto"/>
          <w:lang w:eastAsia="zh-CN"/>
        </w:rPr>
        <w:t>4.5</w:t>
      </w:r>
      <w:r>
        <w:rPr>
          <w:rFonts w:hint="eastAsia"/>
          <w:color w:val="auto"/>
        </w:rPr>
        <w:t>.5.2</w:t>
      </w:r>
      <w:r>
        <w:rPr>
          <w:rFonts w:hint="eastAsia" w:hAnsi="宋体"/>
          <w:color w:val="auto"/>
        </w:rPr>
        <w:t xml:space="preserve"> </w:t>
      </w:r>
      <w:r>
        <w:rPr>
          <w:rFonts w:hint="eastAsia"/>
          <w:color w:val="auto"/>
        </w:rPr>
        <w:t>分析试验用系列标准溶液的配制</w:t>
      </w:r>
    </w:p>
    <w:p w14:paraId="1958499E">
      <w:pPr>
        <w:pStyle w:val="11"/>
        <w:ind w:right="240" w:firstLine="420"/>
        <w:rPr>
          <w:rFonts w:ascii="Times New Roman"/>
          <w:color w:val="auto"/>
          <w:kern w:val="2"/>
          <w:szCs w:val="21"/>
        </w:rPr>
      </w:pPr>
      <w:r>
        <w:rPr>
          <w:rFonts w:ascii="Times New Roman"/>
          <w:color w:val="auto"/>
        </w:rPr>
        <w:t>按表3准确移取相应的</w:t>
      </w:r>
      <w:r>
        <w:rPr>
          <w:rFonts w:ascii="Times New Roman"/>
          <w:color w:val="auto"/>
          <w:szCs w:val="21"/>
        </w:rPr>
        <w:t>混合稀土氧化物标准贮存溶液（</w:t>
      </w:r>
      <w:r>
        <w:rPr>
          <w:rFonts w:hint="eastAsia" w:ascii="Times New Roman"/>
          <w:color w:val="auto"/>
          <w:szCs w:val="21"/>
          <w:lang w:val="en-US" w:eastAsia="zh-CN"/>
        </w:rPr>
        <w:t>4.2</w:t>
      </w:r>
      <w:r>
        <w:rPr>
          <w:rFonts w:ascii="Times New Roman"/>
          <w:color w:val="auto"/>
          <w:szCs w:val="21"/>
        </w:rPr>
        <w:t>.</w:t>
      </w:r>
      <w:r>
        <w:rPr>
          <w:rFonts w:hint="eastAsia" w:ascii="Times New Roman"/>
          <w:color w:val="auto"/>
          <w:szCs w:val="21"/>
          <w:lang w:val="en-US" w:eastAsia="zh-CN"/>
        </w:rPr>
        <w:t>10</w:t>
      </w:r>
      <w:r>
        <w:rPr>
          <w:rFonts w:ascii="Times New Roman"/>
          <w:color w:val="auto"/>
          <w:szCs w:val="21"/>
        </w:rPr>
        <w:t>）</w:t>
      </w:r>
      <w:r>
        <w:rPr>
          <w:rFonts w:ascii="Times New Roman"/>
          <w:color w:val="auto"/>
        </w:rPr>
        <w:t>和</w:t>
      </w:r>
      <w:r>
        <w:rPr>
          <w:rFonts w:hint="eastAsia" w:ascii="Times New Roman"/>
          <w:color w:val="auto"/>
          <w:szCs w:val="21"/>
        </w:rPr>
        <w:t>钍</w:t>
      </w:r>
      <w:r>
        <w:rPr>
          <w:rFonts w:ascii="Times New Roman"/>
          <w:color w:val="auto"/>
          <w:szCs w:val="21"/>
        </w:rPr>
        <w:t>标准贮存溶液（</w:t>
      </w:r>
      <w:r>
        <w:rPr>
          <w:rFonts w:hint="eastAsia" w:ascii="Times New Roman"/>
          <w:color w:val="auto"/>
          <w:szCs w:val="21"/>
          <w:lang w:val="en-US" w:eastAsia="zh-CN"/>
        </w:rPr>
        <w:t>4.2.9</w:t>
      </w:r>
      <w:r>
        <w:rPr>
          <w:rFonts w:ascii="Times New Roman"/>
          <w:color w:val="auto"/>
          <w:szCs w:val="21"/>
        </w:rPr>
        <w:t>）</w:t>
      </w:r>
      <w:r>
        <w:rPr>
          <w:rFonts w:ascii="Times New Roman"/>
          <w:color w:val="auto"/>
        </w:rPr>
        <w:t>于</w:t>
      </w:r>
      <w:r>
        <w:rPr>
          <w:rFonts w:hint="eastAsia" w:ascii="Times New Roman"/>
          <w:color w:val="auto"/>
        </w:rPr>
        <w:t>6</w:t>
      </w:r>
      <w:r>
        <w:rPr>
          <w:rFonts w:ascii="Times New Roman"/>
          <w:color w:val="auto"/>
        </w:rPr>
        <w:t>个100</w:t>
      </w:r>
      <w:r>
        <w:rPr>
          <w:rFonts w:hint="eastAsia" w:ascii="Times New Roman"/>
          <w:color w:val="auto"/>
        </w:rPr>
        <w:t xml:space="preserve"> </w:t>
      </w:r>
      <w:r>
        <w:rPr>
          <w:rFonts w:ascii="Times New Roman"/>
          <w:color w:val="auto"/>
        </w:rPr>
        <w:t>mL容量瓶中，</w:t>
      </w:r>
      <w:r>
        <w:rPr>
          <w:rFonts w:ascii="Times New Roman"/>
          <w:color w:val="auto"/>
          <w:szCs w:val="21"/>
        </w:rPr>
        <w:t>加入5</w:t>
      </w:r>
      <w:r>
        <w:rPr>
          <w:rFonts w:hint="eastAsia" w:ascii="Times New Roman"/>
          <w:color w:val="auto"/>
          <w:szCs w:val="21"/>
        </w:rPr>
        <w:t xml:space="preserve"> </w:t>
      </w:r>
      <w:r>
        <w:rPr>
          <w:rFonts w:ascii="Times New Roman"/>
          <w:color w:val="auto"/>
          <w:szCs w:val="21"/>
        </w:rPr>
        <w:t>mL盐酸（</w:t>
      </w:r>
      <w:r>
        <w:rPr>
          <w:rFonts w:hint="eastAsia" w:ascii="Times New Roman"/>
          <w:color w:val="auto"/>
          <w:szCs w:val="21"/>
          <w:lang w:eastAsia="zh-CN"/>
        </w:rPr>
        <w:t>4.2</w:t>
      </w:r>
      <w:r>
        <w:rPr>
          <w:rFonts w:ascii="Times New Roman"/>
          <w:color w:val="auto"/>
          <w:szCs w:val="21"/>
        </w:rPr>
        <w:t>.</w:t>
      </w:r>
      <w:r>
        <w:rPr>
          <w:rFonts w:hint="eastAsia" w:ascii="Times New Roman"/>
          <w:color w:val="auto"/>
          <w:szCs w:val="21"/>
          <w:lang w:val="en-US" w:eastAsia="zh-CN"/>
        </w:rPr>
        <w:t>1</w:t>
      </w:r>
      <w:r>
        <w:rPr>
          <w:rFonts w:ascii="Times New Roman"/>
          <w:color w:val="auto"/>
          <w:szCs w:val="21"/>
        </w:rPr>
        <w:t>），用水稀释至刻度，混匀。</w:t>
      </w:r>
      <w:r>
        <w:rPr>
          <w:rFonts w:ascii="Times New Roman"/>
          <w:color w:val="auto"/>
          <w:kern w:val="2"/>
          <w:szCs w:val="21"/>
        </w:rPr>
        <w:t>此标准系列溶液每1.00</w:t>
      </w:r>
      <w:r>
        <w:rPr>
          <w:rFonts w:ascii="Times New Roman"/>
          <w:color w:val="auto"/>
        </w:rPr>
        <w:t> </w:t>
      </w:r>
      <w:r>
        <w:rPr>
          <w:rFonts w:ascii="Times New Roman"/>
          <w:color w:val="auto"/>
          <w:kern w:val="2"/>
          <w:szCs w:val="21"/>
        </w:rPr>
        <w:t>mL含0</w:t>
      </w:r>
      <w:r>
        <w:rPr>
          <w:rFonts w:ascii="Times New Roman"/>
          <w:color w:val="auto"/>
        </w:rPr>
        <w:t> </w:t>
      </w:r>
      <w:r>
        <w:rPr>
          <w:rFonts w:ascii="Times New Roman"/>
          <w:bCs/>
          <w:color w:val="auto"/>
          <w:sz w:val="24"/>
        </w:rPr>
        <w:t>μg</w:t>
      </w:r>
      <w:r>
        <w:rPr>
          <w:rFonts w:ascii="Times New Roman"/>
          <w:color w:val="auto"/>
          <w:kern w:val="2"/>
          <w:szCs w:val="21"/>
        </w:rPr>
        <w:t>、0.50</w:t>
      </w:r>
      <w:r>
        <w:rPr>
          <w:rFonts w:ascii="Times New Roman"/>
          <w:color w:val="auto"/>
        </w:rPr>
        <w:t> </w:t>
      </w:r>
      <w:r>
        <w:rPr>
          <w:rFonts w:ascii="Times New Roman"/>
          <w:bCs/>
          <w:color w:val="auto"/>
          <w:sz w:val="24"/>
        </w:rPr>
        <w:t>μg</w:t>
      </w:r>
      <w:r>
        <w:rPr>
          <w:rFonts w:ascii="Times New Roman"/>
          <w:color w:val="auto"/>
          <w:kern w:val="2"/>
          <w:szCs w:val="21"/>
        </w:rPr>
        <w:t>、2.00</w:t>
      </w:r>
      <w:r>
        <w:rPr>
          <w:rFonts w:ascii="Times New Roman"/>
          <w:color w:val="auto"/>
        </w:rPr>
        <w:t> </w:t>
      </w:r>
      <w:r>
        <w:rPr>
          <w:rFonts w:ascii="Times New Roman"/>
          <w:bCs/>
          <w:color w:val="auto"/>
          <w:sz w:val="24"/>
        </w:rPr>
        <w:t>μg</w:t>
      </w:r>
      <w:r>
        <w:rPr>
          <w:rFonts w:ascii="Times New Roman"/>
          <w:color w:val="auto"/>
          <w:kern w:val="2"/>
          <w:szCs w:val="21"/>
        </w:rPr>
        <w:t>、5.00</w:t>
      </w:r>
      <w:r>
        <w:rPr>
          <w:rFonts w:ascii="Times New Roman"/>
          <w:color w:val="auto"/>
        </w:rPr>
        <w:t> </w:t>
      </w:r>
      <w:r>
        <w:rPr>
          <w:rFonts w:ascii="Times New Roman"/>
          <w:bCs/>
          <w:color w:val="auto"/>
          <w:sz w:val="24"/>
        </w:rPr>
        <w:t>μg</w:t>
      </w:r>
      <w:r>
        <w:rPr>
          <w:rFonts w:ascii="Times New Roman"/>
          <w:color w:val="auto"/>
          <w:kern w:val="2"/>
          <w:szCs w:val="21"/>
        </w:rPr>
        <w:t>、10.00</w:t>
      </w:r>
      <w:r>
        <w:rPr>
          <w:rFonts w:ascii="Times New Roman"/>
          <w:color w:val="auto"/>
        </w:rPr>
        <w:t> </w:t>
      </w:r>
      <w:r>
        <w:rPr>
          <w:rFonts w:ascii="Times New Roman"/>
          <w:bCs/>
          <w:color w:val="auto"/>
          <w:sz w:val="24"/>
        </w:rPr>
        <w:t>μg</w:t>
      </w:r>
      <w:r>
        <w:rPr>
          <w:rFonts w:ascii="Times New Roman"/>
          <w:color w:val="auto"/>
          <w:kern w:val="2"/>
          <w:szCs w:val="21"/>
        </w:rPr>
        <w:t>、20.00</w:t>
      </w:r>
      <w:r>
        <w:rPr>
          <w:rFonts w:ascii="Times New Roman"/>
          <w:color w:val="auto"/>
        </w:rPr>
        <w:t> </w:t>
      </w:r>
      <w:r>
        <w:rPr>
          <w:rFonts w:ascii="Times New Roman"/>
          <w:bCs/>
          <w:color w:val="auto"/>
          <w:sz w:val="24"/>
        </w:rPr>
        <w:t>μg</w:t>
      </w:r>
      <w:r>
        <w:rPr>
          <w:rFonts w:ascii="Times New Roman"/>
          <w:color w:val="auto"/>
          <w:kern w:val="2"/>
          <w:szCs w:val="21"/>
        </w:rPr>
        <w:t>的</w:t>
      </w:r>
      <w:r>
        <w:rPr>
          <w:rFonts w:hint="eastAsia" w:ascii="Times New Roman"/>
          <w:color w:val="auto"/>
          <w:kern w:val="2"/>
          <w:szCs w:val="21"/>
        </w:rPr>
        <w:t>钍，此系列用于分析试液（</w:t>
      </w:r>
      <w:r>
        <w:rPr>
          <w:rFonts w:hint="eastAsia" w:ascii="Times New Roman"/>
          <w:color w:val="auto"/>
          <w:kern w:val="2"/>
          <w:szCs w:val="21"/>
          <w:lang w:val="en-US" w:eastAsia="zh-CN"/>
        </w:rPr>
        <w:t>4.5</w:t>
      </w:r>
      <w:r>
        <w:rPr>
          <w:rFonts w:hint="eastAsia" w:ascii="Times New Roman"/>
          <w:color w:val="auto"/>
          <w:kern w:val="2"/>
          <w:szCs w:val="21"/>
        </w:rPr>
        <w:t>.4）的样品的测定</w:t>
      </w:r>
      <w:r>
        <w:rPr>
          <w:rFonts w:ascii="Times New Roman"/>
          <w:color w:val="auto"/>
          <w:kern w:val="2"/>
          <w:szCs w:val="21"/>
        </w:rPr>
        <w:t>。</w:t>
      </w:r>
    </w:p>
    <w:p w14:paraId="15982C29">
      <w:pPr>
        <w:jc w:val="center"/>
        <w:rPr>
          <w:rFonts w:hint="eastAsia"/>
          <w:color w:val="auto"/>
        </w:rPr>
      </w:pPr>
      <w:r>
        <w:rPr>
          <w:rFonts w:hint="eastAsia"/>
          <w:color w:val="auto"/>
        </w:rPr>
        <w:t>表</w:t>
      </w:r>
      <w:r>
        <w:rPr>
          <w:rFonts w:hint="eastAsia"/>
          <w:color w:val="auto"/>
          <w:lang w:val="en-US" w:eastAsia="zh-CN"/>
        </w:rPr>
        <w:t>3</w:t>
      </w:r>
      <w:r>
        <w:rPr>
          <w:rFonts w:hint="eastAsia"/>
          <w:color w:val="auto"/>
        </w:rPr>
        <w:t xml:space="preserve"> 分析试验用系列标准溶液移取体积</w:t>
      </w:r>
    </w:p>
    <w:p w14:paraId="3048D4BD">
      <w:pPr>
        <w:pStyle w:val="11"/>
        <w:ind w:right="240" w:firstLine="420"/>
        <w:jc w:val="center"/>
        <w:rPr>
          <w:rFonts w:ascii="Times New Roman" w:hAnsi="宋体"/>
          <w:color w:val="auto"/>
          <w:kern w:val="2"/>
          <w:szCs w:val="21"/>
        </w:rPr>
      </w:pPr>
      <w:r>
        <w:rPr>
          <w:rFonts w:hint="eastAsia" w:ascii="Times New Roman" w:hAnsi="宋体"/>
          <w:color w:val="auto"/>
          <w:kern w:val="2"/>
          <w:sz w:val="18"/>
          <w:szCs w:val="18"/>
        </w:rPr>
        <w:t>单位为毫升</w:t>
      </w:r>
    </w:p>
    <w:tbl>
      <w:tblPr>
        <w:tblStyle w:val="6"/>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3"/>
        <w:gridCol w:w="4967"/>
        <w:gridCol w:w="3273"/>
      </w:tblGrid>
      <w:tr w14:paraId="04AA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12" w:space="0"/>
              <w:left w:val="single" w:color="000000" w:sz="12" w:space="0"/>
              <w:bottom w:val="single" w:color="000000" w:sz="12" w:space="0"/>
              <w:right w:val="single" w:color="000000" w:sz="4" w:space="0"/>
            </w:tcBorders>
            <w:noWrap w:val="0"/>
            <w:vAlign w:val="center"/>
          </w:tcPr>
          <w:p w14:paraId="7C3C2943">
            <w:pPr>
              <w:pStyle w:val="4"/>
              <w:snapToGrid w:val="0"/>
              <w:rPr>
                <w:color w:val="auto"/>
              </w:rPr>
            </w:pPr>
            <w:r>
              <w:rPr>
                <w:rFonts w:hint="eastAsia"/>
                <w:color w:val="auto"/>
              </w:rPr>
              <w:t>标液编号</w:t>
            </w:r>
          </w:p>
        </w:tc>
        <w:tc>
          <w:tcPr>
            <w:tcW w:w="4966" w:type="dxa"/>
            <w:tcBorders>
              <w:top w:val="single" w:color="000000" w:sz="12" w:space="0"/>
              <w:left w:val="single" w:color="000000" w:sz="4" w:space="0"/>
              <w:bottom w:val="single" w:color="000000" w:sz="12" w:space="0"/>
              <w:right w:val="single" w:color="000000" w:sz="4" w:space="0"/>
            </w:tcBorders>
            <w:noWrap w:val="0"/>
            <w:vAlign w:val="center"/>
          </w:tcPr>
          <w:p w14:paraId="6AB39271">
            <w:pPr>
              <w:pStyle w:val="4"/>
              <w:snapToGrid w:val="0"/>
              <w:rPr>
                <w:rFonts w:hint="eastAsia"/>
                <w:color w:val="auto"/>
              </w:rPr>
            </w:pPr>
            <w:r>
              <w:rPr>
                <w:rFonts w:hint="eastAsia"/>
                <w:color w:val="auto"/>
              </w:rPr>
              <w:t>混合稀土氧化物标准贮存溶液（</w:t>
            </w:r>
            <w:r>
              <w:rPr>
                <w:rFonts w:hint="eastAsia"/>
                <w:color w:val="auto"/>
                <w:lang w:eastAsia="zh-CN"/>
              </w:rPr>
              <w:t>4.2</w:t>
            </w:r>
            <w:r>
              <w:rPr>
                <w:rFonts w:hint="eastAsia"/>
                <w:color w:val="auto"/>
              </w:rPr>
              <w:t>.</w:t>
            </w:r>
            <w:r>
              <w:rPr>
                <w:rFonts w:hint="eastAsia"/>
                <w:color w:val="auto"/>
                <w:lang w:val="en-US" w:eastAsia="zh-CN"/>
              </w:rPr>
              <w:t>10</w:t>
            </w:r>
            <w:r>
              <w:rPr>
                <w:rFonts w:hint="eastAsia"/>
                <w:color w:val="auto"/>
              </w:rPr>
              <w:t>）</w:t>
            </w:r>
          </w:p>
        </w:tc>
        <w:tc>
          <w:tcPr>
            <w:tcW w:w="3273" w:type="dxa"/>
            <w:tcBorders>
              <w:top w:val="single" w:color="000000" w:sz="12" w:space="0"/>
              <w:left w:val="single" w:color="000000" w:sz="4" w:space="0"/>
              <w:bottom w:val="single" w:color="000000" w:sz="12" w:space="0"/>
              <w:right w:val="single" w:color="000000" w:sz="4" w:space="0"/>
            </w:tcBorders>
            <w:noWrap w:val="0"/>
            <w:vAlign w:val="center"/>
          </w:tcPr>
          <w:p w14:paraId="7358059A">
            <w:pPr>
              <w:pStyle w:val="4"/>
              <w:snapToGrid w:val="0"/>
              <w:rPr>
                <w:rFonts w:hint="eastAsia"/>
                <w:color w:val="auto"/>
              </w:rPr>
            </w:pPr>
            <w:r>
              <w:rPr>
                <w:rFonts w:hint="eastAsia"/>
                <w:color w:val="auto"/>
              </w:rPr>
              <w:t>钍标准贮存溶液（</w:t>
            </w:r>
            <w:r>
              <w:rPr>
                <w:rFonts w:hint="eastAsia"/>
                <w:color w:val="auto"/>
                <w:lang w:val="en-US" w:eastAsia="zh-CN"/>
              </w:rPr>
              <w:t>4.2</w:t>
            </w:r>
            <w:r>
              <w:rPr>
                <w:rFonts w:hint="eastAsia"/>
                <w:color w:val="auto"/>
              </w:rPr>
              <w:t>.</w:t>
            </w:r>
            <w:r>
              <w:rPr>
                <w:rFonts w:hint="eastAsia"/>
                <w:color w:val="auto"/>
                <w:lang w:val="en-US" w:eastAsia="zh-CN"/>
              </w:rPr>
              <w:t>9</w:t>
            </w:r>
            <w:r>
              <w:rPr>
                <w:rFonts w:hint="eastAsia"/>
                <w:color w:val="auto"/>
              </w:rPr>
              <w:t>）</w:t>
            </w:r>
          </w:p>
        </w:tc>
      </w:tr>
      <w:tr w14:paraId="5D4C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12" w:space="0"/>
              <w:left w:val="single" w:color="000000" w:sz="12" w:space="0"/>
              <w:bottom w:val="single" w:color="000000" w:sz="4" w:space="0"/>
              <w:right w:val="single" w:color="000000" w:sz="4" w:space="0"/>
            </w:tcBorders>
            <w:noWrap w:val="0"/>
            <w:vAlign w:val="center"/>
          </w:tcPr>
          <w:p w14:paraId="1D05DC53">
            <w:pPr>
              <w:snapToGrid w:val="0"/>
              <w:jc w:val="center"/>
              <w:rPr>
                <w:rFonts w:hint="eastAsia"/>
                <w:color w:val="auto"/>
              </w:rPr>
            </w:pPr>
            <w:r>
              <w:rPr>
                <w:rFonts w:hint="eastAsia"/>
                <w:color w:val="auto"/>
              </w:rPr>
              <w:t>1</w:t>
            </w:r>
          </w:p>
        </w:tc>
        <w:tc>
          <w:tcPr>
            <w:tcW w:w="4966" w:type="dxa"/>
            <w:tcBorders>
              <w:top w:val="single" w:color="000000" w:sz="12" w:space="0"/>
              <w:left w:val="single" w:color="000000" w:sz="4" w:space="0"/>
              <w:bottom w:val="single" w:color="000000" w:sz="4" w:space="0"/>
              <w:right w:val="single" w:color="000000" w:sz="4" w:space="0"/>
            </w:tcBorders>
            <w:noWrap w:val="0"/>
            <w:vAlign w:val="center"/>
          </w:tcPr>
          <w:p w14:paraId="33264F91">
            <w:pPr>
              <w:snapToGrid w:val="0"/>
              <w:jc w:val="center"/>
              <w:rPr>
                <w:rFonts w:hint="eastAsia"/>
                <w:color w:val="auto"/>
              </w:rPr>
            </w:pPr>
            <w:r>
              <w:rPr>
                <w:rFonts w:hint="eastAsia"/>
                <w:color w:val="auto"/>
              </w:rPr>
              <w:t>10.00</w:t>
            </w:r>
          </w:p>
        </w:tc>
        <w:tc>
          <w:tcPr>
            <w:tcW w:w="3273" w:type="dxa"/>
            <w:tcBorders>
              <w:top w:val="single" w:color="000000" w:sz="12" w:space="0"/>
              <w:left w:val="single" w:color="000000" w:sz="4" w:space="0"/>
              <w:bottom w:val="single" w:color="000000" w:sz="4" w:space="0"/>
              <w:right w:val="single" w:color="000000" w:sz="4" w:space="0"/>
            </w:tcBorders>
            <w:noWrap w:val="0"/>
            <w:vAlign w:val="center"/>
          </w:tcPr>
          <w:p w14:paraId="75870AB5">
            <w:pPr>
              <w:snapToGrid w:val="0"/>
              <w:jc w:val="center"/>
              <w:rPr>
                <w:rFonts w:hint="eastAsia"/>
                <w:color w:val="auto"/>
              </w:rPr>
            </w:pPr>
            <w:r>
              <w:rPr>
                <w:rFonts w:hint="eastAsia"/>
                <w:color w:val="auto"/>
              </w:rPr>
              <w:t>0</w:t>
            </w:r>
          </w:p>
        </w:tc>
      </w:tr>
      <w:tr w14:paraId="2EFB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4" w:space="0"/>
              <w:left w:val="single" w:color="000000" w:sz="12" w:space="0"/>
              <w:bottom w:val="single" w:color="000000" w:sz="4" w:space="0"/>
              <w:right w:val="single" w:color="000000" w:sz="4" w:space="0"/>
            </w:tcBorders>
            <w:noWrap w:val="0"/>
            <w:vAlign w:val="center"/>
          </w:tcPr>
          <w:p w14:paraId="77B90113">
            <w:pPr>
              <w:snapToGrid w:val="0"/>
              <w:jc w:val="center"/>
              <w:rPr>
                <w:rFonts w:hint="eastAsia"/>
                <w:color w:val="auto"/>
              </w:rPr>
            </w:pPr>
            <w:r>
              <w:rPr>
                <w:rFonts w:hint="eastAsia"/>
                <w:color w:val="auto"/>
              </w:rPr>
              <w:t>2</w:t>
            </w:r>
          </w:p>
        </w:tc>
        <w:tc>
          <w:tcPr>
            <w:tcW w:w="4966" w:type="dxa"/>
            <w:tcBorders>
              <w:top w:val="single" w:color="000000" w:sz="4" w:space="0"/>
              <w:left w:val="single" w:color="000000" w:sz="4" w:space="0"/>
              <w:bottom w:val="single" w:color="000000" w:sz="4" w:space="0"/>
              <w:right w:val="single" w:color="000000" w:sz="4" w:space="0"/>
            </w:tcBorders>
            <w:noWrap w:val="0"/>
            <w:vAlign w:val="center"/>
          </w:tcPr>
          <w:p w14:paraId="5EA9A45D">
            <w:pPr>
              <w:snapToGrid w:val="0"/>
              <w:jc w:val="center"/>
              <w:rPr>
                <w:rFonts w:hint="eastAsia"/>
                <w:color w:val="auto"/>
              </w:rPr>
            </w:pPr>
            <w:r>
              <w:rPr>
                <w:rFonts w:hint="eastAsia"/>
                <w:color w:val="auto"/>
              </w:rPr>
              <w:t>10.00</w:t>
            </w:r>
          </w:p>
        </w:tc>
        <w:tc>
          <w:tcPr>
            <w:tcW w:w="3273" w:type="dxa"/>
            <w:tcBorders>
              <w:top w:val="single" w:color="000000" w:sz="4" w:space="0"/>
              <w:left w:val="single" w:color="000000" w:sz="4" w:space="0"/>
              <w:bottom w:val="single" w:color="000000" w:sz="4" w:space="0"/>
              <w:right w:val="single" w:color="000000" w:sz="4" w:space="0"/>
            </w:tcBorders>
            <w:noWrap w:val="0"/>
            <w:vAlign w:val="center"/>
          </w:tcPr>
          <w:p w14:paraId="1CFA3956">
            <w:pPr>
              <w:snapToGrid w:val="0"/>
              <w:jc w:val="center"/>
              <w:rPr>
                <w:rFonts w:hint="eastAsia"/>
                <w:color w:val="auto"/>
              </w:rPr>
            </w:pPr>
            <w:r>
              <w:rPr>
                <w:rFonts w:hint="eastAsia"/>
                <w:color w:val="auto"/>
              </w:rPr>
              <w:t>0.50</w:t>
            </w:r>
          </w:p>
        </w:tc>
      </w:tr>
      <w:tr w14:paraId="1DE0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4" w:space="0"/>
              <w:left w:val="single" w:color="000000" w:sz="12" w:space="0"/>
              <w:bottom w:val="single" w:color="000000" w:sz="4" w:space="0"/>
              <w:right w:val="single" w:color="000000" w:sz="4" w:space="0"/>
            </w:tcBorders>
            <w:noWrap w:val="0"/>
            <w:vAlign w:val="center"/>
          </w:tcPr>
          <w:p w14:paraId="5C03FC91">
            <w:pPr>
              <w:snapToGrid w:val="0"/>
              <w:jc w:val="center"/>
              <w:rPr>
                <w:rFonts w:hint="eastAsia"/>
                <w:color w:val="auto"/>
              </w:rPr>
            </w:pPr>
            <w:r>
              <w:rPr>
                <w:rFonts w:hint="eastAsia"/>
                <w:color w:val="auto"/>
              </w:rPr>
              <w:t>3</w:t>
            </w:r>
          </w:p>
        </w:tc>
        <w:tc>
          <w:tcPr>
            <w:tcW w:w="4966" w:type="dxa"/>
            <w:tcBorders>
              <w:top w:val="single" w:color="000000" w:sz="4" w:space="0"/>
              <w:left w:val="single" w:color="000000" w:sz="4" w:space="0"/>
              <w:bottom w:val="single" w:color="000000" w:sz="4" w:space="0"/>
              <w:right w:val="single" w:color="000000" w:sz="4" w:space="0"/>
            </w:tcBorders>
            <w:noWrap w:val="0"/>
            <w:vAlign w:val="center"/>
          </w:tcPr>
          <w:p w14:paraId="3BD68216">
            <w:pPr>
              <w:snapToGrid w:val="0"/>
              <w:jc w:val="center"/>
              <w:rPr>
                <w:rFonts w:hint="eastAsia"/>
                <w:color w:val="auto"/>
              </w:rPr>
            </w:pPr>
            <w:r>
              <w:rPr>
                <w:rFonts w:hint="eastAsia"/>
                <w:color w:val="auto"/>
              </w:rPr>
              <w:t>10.00</w:t>
            </w:r>
          </w:p>
        </w:tc>
        <w:tc>
          <w:tcPr>
            <w:tcW w:w="3273" w:type="dxa"/>
            <w:tcBorders>
              <w:top w:val="single" w:color="000000" w:sz="4" w:space="0"/>
              <w:left w:val="single" w:color="000000" w:sz="4" w:space="0"/>
              <w:bottom w:val="single" w:color="000000" w:sz="4" w:space="0"/>
              <w:right w:val="single" w:color="000000" w:sz="4" w:space="0"/>
            </w:tcBorders>
            <w:noWrap w:val="0"/>
            <w:vAlign w:val="center"/>
          </w:tcPr>
          <w:p w14:paraId="58A17289">
            <w:pPr>
              <w:snapToGrid w:val="0"/>
              <w:jc w:val="center"/>
              <w:rPr>
                <w:rFonts w:hint="eastAsia"/>
                <w:color w:val="auto"/>
              </w:rPr>
            </w:pPr>
            <w:r>
              <w:rPr>
                <w:rFonts w:hint="eastAsia"/>
                <w:color w:val="auto"/>
              </w:rPr>
              <w:t>2.00</w:t>
            </w:r>
          </w:p>
        </w:tc>
      </w:tr>
      <w:tr w14:paraId="1CB5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4" w:space="0"/>
              <w:left w:val="single" w:color="000000" w:sz="12" w:space="0"/>
              <w:bottom w:val="single" w:color="000000" w:sz="4" w:space="0"/>
              <w:right w:val="single" w:color="000000" w:sz="4" w:space="0"/>
            </w:tcBorders>
            <w:noWrap w:val="0"/>
            <w:vAlign w:val="center"/>
          </w:tcPr>
          <w:p w14:paraId="758DC398">
            <w:pPr>
              <w:snapToGrid w:val="0"/>
              <w:jc w:val="center"/>
              <w:rPr>
                <w:rFonts w:hint="eastAsia"/>
                <w:color w:val="auto"/>
              </w:rPr>
            </w:pPr>
            <w:r>
              <w:rPr>
                <w:rFonts w:hint="eastAsia"/>
                <w:color w:val="auto"/>
              </w:rPr>
              <w:t>4</w:t>
            </w:r>
          </w:p>
        </w:tc>
        <w:tc>
          <w:tcPr>
            <w:tcW w:w="4966" w:type="dxa"/>
            <w:tcBorders>
              <w:top w:val="single" w:color="000000" w:sz="4" w:space="0"/>
              <w:left w:val="single" w:color="000000" w:sz="4" w:space="0"/>
              <w:bottom w:val="single" w:color="000000" w:sz="4" w:space="0"/>
              <w:right w:val="single" w:color="000000" w:sz="4" w:space="0"/>
            </w:tcBorders>
            <w:noWrap w:val="0"/>
            <w:vAlign w:val="center"/>
          </w:tcPr>
          <w:p w14:paraId="3EE21E71">
            <w:pPr>
              <w:snapToGrid w:val="0"/>
              <w:jc w:val="center"/>
              <w:rPr>
                <w:rFonts w:hint="eastAsia"/>
                <w:color w:val="auto"/>
              </w:rPr>
            </w:pPr>
            <w:r>
              <w:rPr>
                <w:rFonts w:hint="eastAsia"/>
                <w:color w:val="auto"/>
              </w:rPr>
              <w:t>10.00</w:t>
            </w:r>
          </w:p>
        </w:tc>
        <w:tc>
          <w:tcPr>
            <w:tcW w:w="3273" w:type="dxa"/>
            <w:tcBorders>
              <w:top w:val="single" w:color="000000" w:sz="4" w:space="0"/>
              <w:left w:val="single" w:color="000000" w:sz="4" w:space="0"/>
              <w:bottom w:val="single" w:color="000000" w:sz="4" w:space="0"/>
              <w:right w:val="single" w:color="000000" w:sz="4" w:space="0"/>
            </w:tcBorders>
            <w:noWrap w:val="0"/>
            <w:vAlign w:val="center"/>
          </w:tcPr>
          <w:p w14:paraId="434F6479">
            <w:pPr>
              <w:snapToGrid w:val="0"/>
              <w:jc w:val="center"/>
              <w:rPr>
                <w:rFonts w:hint="eastAsia"/>
                <w:color w:val="auto"/>
              </w:rPr>
            </w:pPr>
            <w:r>
              <w:rPr>
                <w:rFonts w:hint="eastAsia"/>
                <w:color w:val="auto"/>
              </w:rPr>
              <w:t>5.00</w:t>
            </w:r>
          </w:p>
        </w:tc>
      </w:tr>
      <w:tr w14:paraId="0A09E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4" w:space="0"/>
              <w:left w:val="single" w:color="000000" w:sz="12" w:space="0"/>
              <w:bottom w:val="single" w:color="000000" w:sz="4" w:space="0"/>
              <w:right w:val="single" w:color="000000" w:sz="4" w:space="0"/>
            </w:tcBorders>
            <w:noWrap w:val="0"/>
            <w:vAlign w:val="center"/>
          </w:tcPr>
          <w:p w14:paraId="61052775">
            <w:pPr>
              <w:snapToGrid w:val="0"/>
              <w:jc w:val="center"/>
              <w:rPr>
                <w:rFonts w:hint="eastAsia"/>
                <w:color w:val="auto"/>
              </w:rPr>
            </w:pPr>
            <w:r>
              <w:rPr>
                <w:rFonts w:hint="eastAsia"/>
                <w:color w:val="auto"/>
              </w:rPr>
              <w:t>5</w:t>
            </w:r>
          </w:p>
        </w:tc>
        <w:tc>
          <w:tcPr>
            <w:tcW w:w="4966" w:type="dxa"/>
            <w:tcBorders>
              <w:top w:val="single" w:color="000000" w:sz="4" w:space="0"/>
              <w:left w:val="single" w:color="000000" w:sz="4" w:space="0"/>
              <w:bottom w:val="single" w:color="000000" w:sz="4" w:space="0"/>
              <w:right w:val="single" w:color="000000" w:sz="4" w:space="0"/>
            </w:tcBorders>
            <w:noWrap w:val="0"/>
            <w:vAlign w:val="center"/>
          </w:tcPr>
          <w:p w14:paraId="063B7907">
            <w:pPr>
              <w:snapToGrid w:val="0"/>
              <w:jc w:val="center"/>
              <w:rPr>
                <w:rFonts w:hint="eastAsia"/>
                <w:color w:val="auto"/>
              </w:rPr>
            </w:pPr>
            <w:r>
              <w:rPr>
                <w:rFonts w:hint="eastAsia"/>
                <w:color w:val="auto"/>
              </w:rPr>
              <w:t>10.00</w:t>
            </w:r>
          </w:p>
        </w:tc>
        <w:tc>
          <w:tcPr>
            <w:tcW w:w="3273" w:type="dxa"/>
            <w:tcBorders>
              <w:top w:val="single" w:color="000000" w:sz="4" w:space="0"/>
              <w:left w:val="single" w:color="000000" w:sz="4" w:space="0"/>
              <w:bottom w:val="single" w:color="000000" w:sz="4" w:space="0"/>
              <w:right w:val="single" w:color="000000" w:sz="4" w:space="0"/>
            </w:tcBorders>
            <w:noWrap w:val="0"/>
            <w:vAlign w:val="center"/>
          </w:tcPr>
          <w:p w14:paraId="0943B60B">
            <w:pPr>
              <w:snapToGrid w:val="0"/>
              <w:jc w:val="center"/>
              <w:rPr>
                <w:rFonts w:hint="default" w:eastAsia="宋体"/>
                <w:color w:val="auto"/>
                <w:lang w:val="en-US" w:eastAsia="zh-CN"/>
              </w:rPr>
            </w:pPr>
            <w:r>
              <w:rPr>
                <w:rFonts w:hint="eastAsia"/>
                <w:color w:val="auto"/>
                <w:lang w:val="en-US" w:eastAsia="zh-CN"/>
              </w:rPr>
              <w:t>10.00</w:t>
            </w:r>
          </w:p>
        </w:tc>
      </w:tr>
      <w:tr w14:paraId="2C62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13" w:type="dxa"/>
            <w:tcBorders>
              <w:top w:val="single" w:color="000000" w:sz="4" w:space="0"/>
              <w:left w:val="single" w:color="000000" w:sz="12" w:space="0"/>
              <w:bottom w:val="single" w:color="000000" w:sz="12" w:space="0"/>
              <w:right w:val="single" w:color="000000" w:sz="4" w:space="0"/>
            </w:tcBorders>
            <w:noWrap w:val="0"/>
            <w:vAlign w:val="center"/>
          </w:tcPr>
          <w:p w14:paraId="4493050D">
            <w:pPr>
              <w:snapToGrid w:val="0"/>
              <w:jc w:val="center"/>
              <w:rPr>
                <w:rFonts w:hint="eastAsia"/>
                <w:color w:val="auto"/>
              </w:rPr>
            </w:pPr>
            <w:r>
              <w:rPr>
                <w:rFonts w:hint="eastAsia"/>
                <w:color w:val="auto"/>
              </w:rPr>
              <w:t>6</w:t>
            </w:r>
          </w:p>
        </w:tc>
        <w:tc>
          <w:tcPr>
            <w:tcW w:w="4966" w:type="dxa"/>
            <w:tcBorders>
              <w:top w:val="single" w:color="000000" w:sz="4" w:space="0"/>
              <w:left w:val="single" w:color="000000" w:sz="4" w:space="0"/>
              <w:bottom w:val="single" w:color="000000" w:sz="12" w:space="0"/>
              <w:right w:val="single" w:color="000000" w:sz="4" w:space="0"/>
            </w:tcBorders>
            <w:noWrap w:val="0"/>
            <w:vAlign w:val="center"/>
          </w:tcPr>
          <w:p w14:paraId="0774DF12">
            <w:pPr>
              <w:snapToGrid w:val="0"/>
              <w:jc w:val="center"/>
              <w:rPr>
                <w:rFonts w:hint="eastAsia"/>
                <w:color w:val="auto"/>
              </w:rPr>
            </w:pPr>
            <w:r>
              <w:rPr>
                <w:rFonts w:hint="eastAsia"/>
                <w:color w:val="auto"/>
              </w:rPr>
              <w:t>10.00</w:t>
            </w:r>
          </w:p>
        </w:tc>
        <w:tc>
          <w:tcPr>
            <w:tcW w:w="3273" w:type="dxa"/>
            <w:tcBorders>
              <w:top w:val="single" w:color="000000" w:sz="4" w:space="0"/>
              <w:left w:val="single" w:color="000000" w:sz="4" w:space="0"/>
              <w:bottom w:val="single" w:color="000000" w:sz="12" w:space="0"/>
              <w:right w:val="single" w:color="000000" w:sz="4" w:space="0"/>
            </w:tcBorders>
            <w:noWrap w:val="0"/>
            <w:vAlign w:val="center"/>
          </w:tcPr>
          <w:p w14:paraId="2FAC2C71">
            <w:pPr>
              <w:snapToGrid w:val="0"/>
              <w:jc w:val="center"/>
              <w:rPr>
                <w:rFonts w:hint="default" w:eastAsia="宋体"/>
                <w:color w:val="auto"/>
                <w:lang w:val="en-US" w:eastAsia="zh-CN"/>
              </w:rPr>
            </w:pPr>
            <w:r>
              <w:rPr>
                <w:rFonts w:hint="eastAsia"/>
                <w:color w:val="auto"/>
                <w:lang w:val="en-US" w:eastAsia="zh-CN"/>
              </w:rPr>
              <w:t>20.00</w:t>
            </w:r>
          </w:p>
        </w:tc>
      </w:tr>
    </w:tbl>
    <w:p w14:paraId="4D049106">
      <w:pPr>
        <w:pStyle w:val="4"/>
        <w:rPr>
          <w:color w:val="auto"/>
        </w:rPr>
      </w:pPr>
      <w:r>
        <w:rPr>
          <w:rFonts w:hint="eastAsia"/>
          <w:color w:val="auto"/>
          <w:lang w:eastAsia="zh-CN"/>
        </w:rPr>
        <w:t>4.5</w:t>
      </w:r>
      <w:r>
        <w:rPr>
          <w:rFonts w:hint="eastAsia"/>
          <w:color w:val="auto"/>
        </w:rPr>
        <w:t>.6 工作曲线的绘制与测定</w:t>
      </w:r>
    </w:p>
    <w:p w14:paraId="3F9125CB">
      <w:pPr>
        <w:pStyle w:val="11"/>
        <w:ind w:right="240" w:firstLine="0" w:firstLineChars="0"/>
        <w:rPr>
          <w:color w:val="auto"/>
        </w:rPr>
      </w:pPr>
      <w:r>
        <w:rPr>
          <w:rFonts w:hint="eastAsia"/>
          <w:color w:val="auto"/>
          <w:lang w:eastAsia="zh-CN"/>
        </w:rPr>
        <w:t>4.5</w:t>
      </w:r>
      <w:r>
        <w:rPr>
          <w:rFonts w:hint="eastAsia"/>
          <w:color w:val="auto"/>
        </w:rPr>
        <w:t>.6.1 推荐分析谱线</w:t>
      </w:r>
    </w:p>
    <w:p w14:paraId="156A4E21">
      <w:pPr>
        <w:pStyle w:val="11"/>
        <w:spacing w:before="156" w:beforeLines="50"/>
        <w:ind w:right="240" w:firstLine="420"/>
        <w:rPr>
          <w:rFonts w:ascii="Times New Roman" w:hAnsi="宋体"/>
          <w:color w:val="auto"/>
          <w:kern w:val="2"/>
          <w:szCs w:val="21"/>
        </w:rPr>
      </w:pPr>
      <w:r>
        <w:rPr>
          <w:rFonts w:ascii="Times New Roman" w:hAnsi="宋体"/>
          <w:color w:val="auto"/>
          <w:kern w:val="2"/>
          <w:szCs w:val="21"/>
        </w:rPr>
        <w:t>推荐分析</w:t>
      </w:r>
      <w:r>
        <w:rPr>
          <w:rFonts w:hint="eastAsia" w:ascii="Times New Roman" w:hAnsi="宋体"/>
          <w:color w:val="auto"/>
          <w:kern w:val="2"/>
          <w:szCs w:val="21"/>
        </w:rPr>
        <w:t>谱线波长</w:t>
      </w:r>
      <w:r>
        <w:rPr>
          <w:rFonts w:ascii="Times New Roman" w:hAnsi="宋体"/>
          <w:color w:val="auto"/>
          <w:kern w:val="2"/>
          <w:szCs w:val="21"/>
        </w:rPr>
        <w:t>见表</w:t>
      </w:r>
      <w:r>
        <w:rPr>
          <w:rFonts w:hint="eastAsia" w:ascii="Times New Roman" w:hAnsi="宋体"/>
          <w:color w:val="auto"/>
          <w:kern w:val="2"/>
          <w:szCs w:val="21"/>
          <w:lang w:val="en-US" w:eastAsia="zh-CN"/>
        </w:rPr>
        <w:t>4</w:t>
      </w:r>
      <w:r>
        <w:rPr>
          <w:rFonts w:ascii="Times New Roman" w:hAnsi="宋体"/>
          <w:color w:val="auto"/>
          <w:kern w:val="2"/>
          <w:szCs w:val="21"/>
        </w:rPr>
        <w:t>。</w:t>
      </w:r>
    </w:p>
    <w:p w14:paraId="0E30D4C2">
      <w:pPr>
        <w:jc w:val="center"/>
        <w:rPr>
          <w:color w:val="auto"/>
        </w:rPr>
      </w:pPr>
    </w:p>
    <w:p w14:paraId="3F5AA60A">
      <w:pPr>
        <w:jc w:val="center"/>
        <w:rPr>
          <w:color w:val="auto"/>
        </w:rPr>
      </w:pPr>
    </w:p>
    <w:p w14:paraId="0B88F7C2">
      <w:pPr>
        <w:jc w:val="center"/>
        <w:rPr>
          <w:color w:val="auto"/>
        </w:rPr>
      </w:pPr>
    </w:p>
    <w:p w14:paraId="62CB1A5C">
      <w:pPr>
        <w:jc w:val="center"/>
        <w:rPr>
          <w:color w:val="auto"/>
        </w:rPr>
      </w:pPr>
      <w:r>
        <w:rPr>
          <w:color w:val="auto"/>
        </w:rPr>
        <w:t>表</w:t>
      </w:r>
      <w:r>
        <w:rPr>
          <w:rFonts w:hint="eastAsia"/>
          <w:color w:val="auto"/>
          <w:lang w:val="en-US" w:eastAsia="zh-CN"/>
        </w:rPr>
        <w:t>4</w:t>
      </w:r>
      <w:r>
        <w:rPr>
          <w:color w:val="auto"/>
        </w:rPr>
        <w:t>推荐分析谱线</w:t>
      </w:r>
      <w:r>
        <w:rPr>
          <w:rFonts w:hint="eastAsia"/>
          <w:color w:val="auto"/>
        </w:rPr>
        <w:t>波长</w:t>
      </w:r>
    </w:p>
    <w:p w14:paraId="3E79CB8A">
      <w:pPr>
        <w:jc w:val="right"/>
        <w:rPr>
          <w:color w:val="auto"/>
        </w:rPr>
      </w:pPr>
      <w:r>
        <w:rPr>
          <w:rFonts w:hint="eastAsia"/>
          <w:color w:val="auto"/>
        </w:rPr>
        <w:t>单位为纳米</w:t>
      </w: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771"/>
        <w:gridCol w:w="4800"/>
      </w:tblGrid>
      <w:tr w14:paraId="5451FF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4927" w:type="dxa"/>
            <w:noWrap w:val="0"/>
            <w:vAlign w:val="center"/>
          </w:tcPr>
          <w:p w14:paraId="0154B36C">
            <w:pPr>
              <w:pStyle w:val="11"/>
              <w:spacing w:line="360" w:lineRule="auto"/>
              <w:ind w:right="240" w:firstLine="0" w:firstLineChars="0"/>
              <w:jc w:val="center"/>
              <w:rPr>
                <w:rFonts w:ascii="Times New Roman" w:hAnsi="宋体"/>
                <w:color w:val="auto"/>
                <w:kern w:val="2"/>
                <w:szCs w:val="21"/>
              </w:rPr>
            </w:pPr>
            <w:r>
              <w:rPr>
                <w:rFonts w:hint="eastAsia" w:ascii="Times New Roman" w:hAnsi="宋体"/>
                <w:color w:val="auto"/>
                <w:kern w:val="2"/>
                <w:szCs w:val="21"/>
              </w:rPr>
              <w:t>元素</w:t>
            </w:r>
          </w:p>
        </w:tc>
        <w:tc>
          <w:tcPr>
            <w:tcW w:w="4927" w:type="dxa"/>
            <w:noWrap w:val="0"/>
            <w:vAlign w:val="center"/>
          </w:tcPr>
          <w:p w14:paraId="0A801DCA">
            <w:pPr>
              <w:pStyle w:val="11"/>
              <w:spacing w:line="360" w:lineRule="auto"/>
              <w:ind w:right="240" w:firstLine="0" w:firstLineChars="0"/>
              <w:jc w:val="center"/>
              <w:rPr>
                <w:rFonts w:ascii="Times New Roman" w:hAnsi="宋体"/>
                <w:color w:val="auto"/>
                <w:kern w:val="2"/>
                <w:szCs w:val="21"/>
              </w:rPr>
            </w:pPr>
            <w:r>
              <w:rPr>
                <w:rFonts w:hint="eastAsia" w:ascii="Times New Roman" w:hAnsi="宋体"/>
                <w:color w:val="auto"/>
                <w:kern w:val="2"/>
                <w:szCs w:val="21"/>
              </w:rPr>
              <w:t>波长</w:t>
            </w:r>
          </w:p>
        </w:tc>
      </w:tr>
      <w:tr w14:paraId="1E430C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927" w:type="dxa"/>
            <w:noWrap w:val="0"/>
            <w:vAlign w:val="center"/>
          </w:tcPr>
          <w:p w14:paraId="471DA1BC">
            <w:pPr>
              <w:pStyle w:val="11"/>
              <w:spacing w:line="360" w:lineRule="auto"/>
              <w:ind w:right="240" w:firstLine="0" w:firstLineChars="0"/>
              <w:jc w:val="center"/>
              <w:rPr>
                <w:rFonts w:ascii="Times New Roman" w:hAnsi="宋体"/>
                <w:color w:val="auto"/>
                <w:kern w:val="2"/>
                <w:szCs w:val="21"/>
              </w:rPr>
            </w:pPr>
            <w:r>
              <w:rPr>
                <w:rFonts w:hint="eastAsia"/>
                <w:color w:val="auto"/>
                <w:szCs w:val="21"/>
              </w:rPr>
              <w:t>Th</w:t>
            </w:r>
          </w:p>
        </w:tc>
        <w:tc>
          <w:tcPr>
            <w:tcW w:w="4927" w:type="dxa"/>
            <w:noWrap w:val="0"/>
            <w:vAlign w:val="center"/>
          </w:tcPr>
          <w:p w14:paraId="43FDC836">
            <w:pPr>
              <w:pStyle w:val="11"/>
              <w:spacing w:line="360" w:lineRule="auto"/>
              <w:ind w:right="240" w:firstLine="0" w:firstLineChars="0"/>
              <w:jc w:val="center"/>
              <w:rPr>
                <w:rFonts w:hint="eastAsia" w:ascii="Times New Roman" w:hAnsi="宋体"/>
                <w:color w:val="auto"/>
                <w:kern w:val="2"/>
                <w:szCs w:val="21"/>
              </w:rPr>
            </w:pPr>
            <w:r>
              <w:rPr>
                <w:rFonts w:hint="eastAsia" w:hAnsi="宋体"/>
                <w:color w:val="auto"/>
                <w:sz w:val="18"/>
                <w:szCs w:val="18"/>
              </w:rPr>
              <w:t>283.232nm，269.242nm，283.730nm</w:t>
            </w:r>
          </w:p>
        </w:tc>
      </w:tr>
    </w:tbl>
    <w:p w14:paraId="2EB024D7">
      <w:pPr>
        <w:pStyle w:val="14"/>
        <w:rPr>
          <w:rFonts w:hint="eastAsia"/>
          <w:color w:val="auto"/>
        </w:rPr>
      </w:pPr>
    </w:p>
    <w:p w14:paraId="369849D8">
      <w:pPr>
        <w:pStyle w:val="11"/>
        <w:spacing w:line="360" w:lineRule="auto"/>
        <w:ind w:right="240" w:firstLine="0" w:firstLineChars="0"/>
        <w:rPr>
          <w:rFonts w:hint="eastAsia" w:hAnsi="宋体"/>
          <w:color w:val="auto"/>
        </w:rPr>
      </w:pPr>
      <w:r>
        <w:rPr>
          <w:rFonts w:hint="eastAsia" w:hAnsi="宋体"/>
          <w:color w:val="auto"/>
          <w:lang w:eastAsia="zh-CN"/>
        </w:rPr>
        <w:t>4.5</w:t>
      </w:r>
      <w:r>
        <w:rPr>
          <w:rFonts w:hint="eastAsia" w:hAnsi="宋体"/>
          <w:color w:val="auto"/>
        </w:rPr>
        <w:t>.6.2 工作曲线的绘制</w:t>
      </w:r>
    </w:p>
    <w:p w14:paraId="1D790666">
      <w:pPr>
        <w:pStyle w:val="11"/>
        <w:ind w:right="240" w:firstLine="420"/>
        <w:rPr>
          <w:rFonts w:hint="eastAsia" w:ascii="Times New Roman"/>
          <w:color w:val="auto"/>
        </w:rPr>
      </w:pPr>
      <w:r>
        <w:rPr>
          <w:rFonts w:hint="eastAsia" w:ascii="Times New Roman"/>
          <w:color w:val="auto"/>
          <w:lang w:val="en-US" w:eastAsia="zh-CN"/>
        </w:rPr>
        <w:t>将</w:t>
      </w:r>
      <w:r>
        <w:rPr>
          <w:rFonts w:hint="eastAsia" w:ascii="Times New Roman"/>
          <w:color w:val="auto"/>
        </w:rPr>
        <w:t>系列标准溶液（</w:t>
      </w:r>
      <w:r>
        <w:rPr>
          <w:rFonts w:hint="eastAsia" w:ascii="Times New Roman"/>
          <w:color w:val="auto"/>
          <w:lang w:val="en-US" w:eastAsia="zh-CN"/>
        </w:rPr>
        <w:t>4.5</w:t>
      </w:r>
      <w:r>
        <w:rPr>
          <w:rFonts w:hint="eastAsia" w:ascii="Times New Roman"/>
          <w:color w:val="auto"/>
        </w:rPr>
        <w:t>.</w:t>
      </w:r>
      <w:r>
        <w:rPr>
          <w:rFonts w:hint="eastAsia" w:ascii="Times New Roman"/>
          <w:color w:val="auto"/>
          <w:lang w:val="en-US" w:eastAsia="zh-CN"/>
        </w:rPr>
        <w:t>5</w:t>
      </w:r>
      <w:r>
        <w:rPr>
          <w:rFonts w:hint="eastAsia" w:ascii="Times New Roman"/>
          <w:color w:val="auto"/>
        </w:rPr>
        <w:t>.1、</w:t>
      </w:r>
      <w:r>
        <w:rPr>
          <w:rFonts w:hint="eastAsia" w:ascii="Times New Roman"/>
          <w:color w:val="auto"/>
          <w:lang w:val="en-US" w:eastAsia="zh-CN"/>
        </w:rPr>
        <w:t>4.5.5</w:t>
      </w:r>
      <w:r>
        <w:rPr>
          <w:rFonts w:hint="eastAsia" w:ascii="Times New Roman"/>
          <w:color w:val="auto"/>
        </w:rPr>
        <w:t>.2）</w:t>
      </w:r>
      <w:r>
        <w:rPr>
          <w:rFonts w:hint="eastAsia" w:ascii="Times New Roman"/>
          <w:color w:val="auto"/>
          <w:lang w:eastAsia="zh-CN"/>
        </w:rPr>
        <w:t>、</w:t>
      </w:r>
      <w:r>
        <w:rPr>
          <w:rFonts w:hint="eastAsia" w:ascii="Times New Roman"/>
          <w:color w:val="auto"/>
          <w:lang w:val="en-US" w:eastAsia="zh-CN"/>
        </w:rPr>
        <w:t>空白试液（4.5.3）与分析试液（4.5.4）按仪器最佳条件与推荐分析谱线（4.5.6.1）处依次进行测定。</w:t>
      </w:r>
    </w:p>
    <w:p w14:paraId="7AA9E4B1">
      <w:pPr>
        <w:pStyle w:val="13"/>
        <w:rPr>
          <w:rFonts w:hint="default"/>
          <w:color w:val="auto"/>
          <w:lang w:val="en-US" w:eastAsia="zh-CN"/>
        </w:rPr>
      </w:pPr>
      <w:r>
        <w:rPr>
          <w:rFonts w:hint="eastAsia"/>
          <w:color w:val="auto"/>
          <w:lang w:eastAsia="zh-CN"/>
        </w:rPr>
        <w:t>4.6</w:t>
      </w:r>
      <w:r>
        <w:rPr>
          <w:color w:val="auto"/>
        </w:rPr>
        <w:t>　</w:t>
      </w:r>
      <w:r>
        <w:rPr>
          <w:rFonts w:hint="eastAsia"/>
          <w:color w:val="auto"/>
          <w:lang w:val="en-US" w:eastAsia="zh-CN"/>
        </w:rPr>
        <w:t>分析结果的计算与表述</w:t>
      </w:r>
    </w:p>
    <w:p w14:paraId="5293B1B3">
      <w:pPr>
        <w:rPr>
          <w:color w:val="auto"/>
        </w:rPr>
      </w:pPr>
      <w:r>
        <w:rPr>
          <w:rFonts w:hint="eastAsia"/>
          <w:color w:val="auto"/>
          <w:lang w:val="en-US" w:eastAsia="zh-CN"/>
        </w:rPr>
        <w:t>按式（1）计算钍的质量分数</w:t>
      </w:r>
      <w:r>
        <w:rPr>
          <w:rFonts w:hint="eastAsia"/>
          <w:color w:val="auto"/>
          <w:position w:val="-10"/>
        </w:rPr>
        <w:object>
          <v:shape id="_x0000_i1025" o:spt="75" type="#_x0000_t75" style="height:13.75pt;width:16.85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color w:val="auto"/>
        </w:rPr>
        <w:t>计，按公式（1）计算：</w:t>
      </w:r>
    </w:p>
    <w:p w14:paraId="4659B1F6">
      <w:pPr>
        <w:ind w:left="0" w:leftChars="0" w:firstLine="0" w:firstLineChars="0"/>
        <w:jc w:val="right"/>
        <w:rPr>
          <w:color w:val="auto"/>
        </w:rPr>
      </w:pPr>
      <w:r>
        <w:rPr>
          <w:rFonts w:hint="eastAsia"/>
          <w:color w:val="auto"/>
          <w:position w:val="-30"/>
        </w:rPr>
        <w:object>
          <v:shape id="_x0000_i1026" o:spt="75" type="#_x0000_t75" style="height:29.1pt;width:192.15pt;" o:ole="t" filled="f" o:preferrelative="t" stroked="f" coordsize="21600,21600">
            <v:path/>
            <v:fill on="f" focussize="0,0"/>
            <v:stroke on="f"/>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color w:val="auto"/>
        </w:rPr>
        <w:t>………………………………（1）</w:t>
      </w:r>
    </w:p>
    <w:p w14:paraId="1E0E740A">
      <w:pPr>
        <w:rPr>
          <w:iCs/>
          <w:color w:val="auto"/>
        </w:rPr>
      </w:pPr>
      <w:r>
        <w:rPr>
          <w:rFonts w:hint="eastAsia"/>
          <w:color w:val="auto"/>
        </w:rPr>
        <w:t>式中：</w:t>
      </w:r>
    </w:p>
    <w:p w14:paraId="4DA7355B">
      <w:pPr>
        <w:adjustRightInd w:val="0"/>
        <w:snapToGrid w:val="0"/>
        <w:ind w:firstLine="420"/>
        <w:rPr>
          <w:rFonts w:hint="eastAsia" w:ascii="宋体" w:hAnsi="宋体" w:cs="宋体"/>
          <w:color w:val="000000"/>
          <w:kern w:val="0"/>
          <w:szCs w:val="21"/>
        </w:rPr>
      </w:pPr>
      <w:r>
        <w:rPr>
          <w:rFonts w:hint="eastAsia" w:ascii="宋体" w:hAnsi="宋体" w:cs="宋体"/>
          <w:color w:val="000000"/>
          <w:kern w:val="0"/>
          <w:szCs w:val="21"/>
        </w:rPr>
        <w:drawing>
          <wp:inline distT="0" distB="0" distL="114300" distR="114300">
            <wp:extent cx="171450" cy="209550"/>
            <wp:effectExtent l="0" t="0" r="0" b="38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8"/>
                    <a:stretch>
                      <a:fillRect/>
                    </a:stretch>
                  </pic:blipFill>
                  <pic:spPr>
                    <a:xfrm>
                      <a:off x="0" y="0"/>
                      <a:ext cx="171450" cy="209550"/>
                    </a:xfrm>
                    <a:prstGeom prst="rect">
                      <a:avLst/>
                    </a:prstGeom>
                    <a:noFill/>
                    <a:ln>
                      <a:noFill/>
                    </a:ln>
                  </pic:spPr>
                </pic:pic>
              </a:graphicData>
            </a:graphic>
          </wp:inline>
        </w:drawing>
      </w:r>
      <w:r>
        <w:rPr>
          <w:rFonts w:hint="eastAsia" w:ascii="宋体" w:hAnsi="宋体" w:cs="宋体"/>
          <w:color w:val="000000"/>
          <w:kern w:val="0"/>
          <w:szCs w:val="21"/>
        </w:rPr>
        <w:t>——</w:t>
      </w:r>
      <w:r>
        <w:rPr>
          <w:rFonts w:hint="eastAsia" w:ascii="宋体" w:hAnsi="宋体" w:cs="宋体"/>
          <w:color w:val="000000"/>
          <w:kern w:val="0"/>
          <w:szCs w:val="21"/>
          <w:lang w:val="en-US" w:eastAsia="zh-CN"/>
        </w:rPr>
        <w:t>试样溶液中钍的</w:t>
      </w:r>
      <w:r>
        <w:rPr>
          <w:rFonts w:hint="eastAsia" w:ascii="宋体" w:hAnsi="宋体" w:cs="宋体"/>
          <w:color w:val="000000"/>
          <w:kern w:val="0"/>
          <w:szCs w:val="21"/>
        </w:rPr>
        <w:t>质量浓度，单位为微克每毫升（μg/mL）；</w:t>
      </w:r>
    </w:p>
    <w:p w14:paraId="6B13A767">
      <w:pPr>
        <w:adjustRightInd w:val="0"/>
        <w:snapToGrid w:val="0"/>
        <w:ind w:firstLine="420"/>
        <w:rPr>
          <w:rFonts w:hint="eastAsia" w:ascii="宋体" w:hAnsi="宋体" w:cs="宋体"/>
          <w:color w:val="000000"/>
          <w:kern w:val="0"/>
          <w:szCs w:val="21"/>
        </w:rPr>
      </w:pPr>
      <w:r>
        <w:rPr>
          <w:rFonts w:hint="eastAsia" w:ascii="宋体" w:hAnsi="宋体" w:cs="宋体"/>
          <w:color w:val="000000"/>
          <w:kern w:val="0"/>
          <w:szCs w:val="21"/>
        </w:rPr>
        <w:drawing>
          <wp:inline distT="0" distB="0" distL="114300" distR="114300">
            <wp:extent cx="180975" cy="228600"/>
            <wp:effectExtent l="0" t="0" r="1016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9"/>
                    <a:stretch>
                      <a:fillRect/>
                    </a:stretch>
                  </pic:blipFill>
                  <pic:spPr>
                    <a:xfrm>
                      <a:off x="0" y="0"/>
                      <a:ext cx="180975" cy="228600"/>
                    </a:xfrm>
                    <a:prstGeom prst="rect">
                      <a:avLst/>
                    </a:prstGeom>
                    <a:noFill/>
                    <a:ln>
                      <a:noFill/>
                    </a:ln>
                  </pic:spPr>
                </pic:pic>
              </a:graphicData>
            </a:graphic>
          </wp:inline>
        </w:drawing>
      </w:r>
      <w:r>
        <w:rPr>
          <w:rFonts w:hint="eastAsia" w:ascii="宋体" w:hAnsi="宋体" w:cs="宋体"/>
          <w:color w:val="000000"/>
          <w:kern w:val="0"/>
          <w:szCs w:val="21"/>
        </w:rPr>
        <w:t>——</w:t>
      </w:r>
      <w:r>
        <w:rPr>
          <w:rFonts w:hint="eastAsia" w:ascii="宋体" w:hAnsi="宋体" w:cs="宋体"/>
          <w:color w:val="000000"/>
          <w:kern w:val="0"/>
          <w:szCs w:val="21"/>
          <w:lang w:val="en-US" w:eastAsia="zh-CN"/>
        </w:rPr>
        <w:t>空白溶液中钍</w:t>
      </w:r>
      <w:r>
        <w:rPr>
          <w:rFonts w:hint="eastAsia" w:ascii="宋体" w:hAnsi="宋体" w:cs="宋体"/>
          <w:color w:val="000000"/>
          <w:kern w:val="0"/>
          <w:szCs w:val="21"/>
        </w:rPr>
        <w:t>的质量浓度，单位为微克每毫升（μg/mL）；</w:t>
      </w:r>
    </w:p>
    <w:p w14:paraId="1A397A4A">
      <w:pPr>
        <w:adjustRightInd w:val="0"/>
        <w:snapToGrid w:val="0"/>
        <w:ind w:firstLine="420"/>
        <w:rPr>
          <w:rFonts w:hint="eastAsia" w:ascii="宋体" w:hAnsi="宋体" w:cs="宋体"/>
          <w:color w:val="000000"/>
          <w:kern w:val="0"/>
          <w:szCs w:val="21"/>
        </w:rPr>
      </w:pPr>
      <w:r>
        <w:rPr>
          <w:rFonts w:hint="eastAsia" w:ascii="宋体" w:hAnsi="宋体" w:cs="宋体"/>
          <w:i/>
          <w:iCs/>
          <w:color w:val="000000"/>
          <w:kern w:val="0"/>
          <w:szCs w:val="21"/>
        </w:rPr>
        <w:t>V</w:t>
      </w:r>
      <w:r>
        <w:rPr>
          <w:rFonts w:hint="eastAsia" w:ascii="宋体" w:hAnsi="宋体" w:cs="宋体"/>
          <w:color w:val="000000"/>
          <w:kern w:val="0"/>
          <w:szCs w:val="21"/>
          <w:vertAlign w:val="subscript"/>
          <w:lang w:val="en-US" w:eastAsia="zh-CN"/>
        </w:rPr>
        <w:t>1</w:t>
      </w:r>
      <w:r>
        <w:rPr>
          <w:rFonts w:hint="eastAsia" w:ascii="宋体" w:hAnsi="宋体" w:cs="宋体"/>
          <w:color w:val="000000"/>
          <w:kern w:val="0"/>
          <w:szCs w:val="21"/>
        </w:rPr>
        <w:t>——</w:t>
      </w:r>
      <w:r>
        <w:rPr>
          <w:rFonts w:hint="eastAsia" w:ascii="宋体" w:hAnsi="宋体" w:cs="宋体"/>
          <w:color w:val="000000"/>
          <w:kern w:val="0"/>
          <w:szCs w:val="21"/>
          <w:lang w:val="en-US" w:eastAsia="zh-CN"/>
        </w:rPr>
        <w:t>测定试液的</w:t>
      </w:r>
      <w:r>
        <w:rPr>
          <w:rFonts w:hint="eastAsia" w:ascii="宋体" w:hAnsi="宋体" w:cs="宋体"/>
          <w:color w:val="000000"/>
          <w:kern w:val="0"/>
          <w:szCs w:val="21"/>
        </w:rPr>
        <w:t>体积，单位为毫升（mL）；</w:t>
      </w:r>
    </w:p>
    <w:p w14:paraId="473A32CC">
      <w:pPr>
        <w:adjustRightInd w:val="0"/>
        <w:snapToGrid w:val="0"/>
        <w:ind w:firstLine="420"/>
        <w:rPr>
          <w:rFonts w:hint="eastAsia" w:ascii="宋体" w:hAnsi="宋体" w:cs="宋体"/>
          <w:color w:val="000000"/>
          <w:kern w:val="0"/>
          <w:szCs w:val="21"/>
        </w:rPr>
      </w:pPr>
      <w:r>
        <w:rPr>
          <w:rFonts w:hint="eastAsia" w:ascii="宋体" w:hAnsi="宋体" w:cs="宋体"/>
          <w:i/>
          <w:iCs/>
          <w:color w:val="000000"/>
          <w:kern w:val="0"/>
          <w:szCs w:val="21"/>
        </w:rPr>
        <w:t>m</w:t>
      </w:r>
      <w:r>
        <w:rPr>
          <w:rFonts w:hint="eastAsia" w:ascii="宋体" w:hAnsi="宋体" w:cs="宋体"/>
          <w:color w:val="000000"/>
          <w:kern w:val="0"/>
          <w:szCs w:val="21"/>
          <w:vertAlign w:val="subscript"/>
          <w:lang w:val="en-US" w:eastAsia="zh-CN"/>
        </w:rPr>
        <w:t>1</w:t>
      </w:r>
      <w:r>
        <w:rPr>
          <w:rFonts w:hint="eastAsia" w:ascii="宋体" w:hAnsi="宋体" w:cs="宋体"/>
          <w:color w:val="000000"/>
          <w:kern w:val="0"/>
          <w:szCs w:val="21"/>
        </w:rPr>
        <w:t>——试料的质量，单位为克（g）。</w:t>
      </w:r>
    </w:p>
    <w:p w14:paraId="75FA19EE">
      <w:pPr>
        <w:adjustRightInd w:val="0"/>
        <w:snapToGrid w:val="0"/>
        <w:ind w:firstLine="420"/>
        <w:rPr>
          <w:rFonts w:hint="eastAsia" w:ascii="宋体" w:hAnsi="宋体" w:cs="宋体"/>
          <w:color w:val="000000"/>
          <w:kern w:val="0"/>
          <w:szCs w:val="21"/>
          <w:lang w:val="en-US" w:eastAsia="zh-CN"/>
        </w:rPr>
      </w:pPr>
      <w:r>
        <w:rPr>
          <w:rFonts w:hint="eastAsia" w:ascii="宋体" w:hAnsi="宋体" w:cs="宋体"/>
          <w:i/>
          <w:iCs/>
          <w:color w:val="000000"/>
          <w:kern w:val="0"/>
          <w:szCs w:val="21"/>
          <w:lang w:val="en-US" w:eastAsia="zh-CN"/>
        </w:rPr>
        <w:t>k</w:t>
      </w:r>
      <w:r>
        <w:rPr>
          <w:rFonts w:hint="eastAsia" w:ascii="宋体" w:hAnsi="宋体" w:cs="宋体"/>
          <w:color w:val="000000"/>
          <w:kern w:val="0"/>
          <w:szCs w:val="21"/>
        </w:rPr>
        <w:t>——</w:t>
      </w:r>
      <w:r>
        <w:rPr>
          <w:rFonts w:hint="eastAsia" w:ascii="宋体" w:hAnsi="宋体" w:cs="宋体"/>
          <w:color w:val="000000"/>
          <w:kern w:val="0"/>
          <w:szCs w:val="21"/>
          <w:lang w:val="en-US" w:eastAsia="zh-CN"/>
        </w:rPr>
        <w:t>换算系数，以单质表示时，</w:t>
      </w:r>
      <w:r>
        <w:rPr>
          <w:rFonts w:hint="eastAsia" w:ascii="宋体" w:hAnsi="宋体" w:cs="宋体"/>
          <w:i/>
          <w:iCs/>
          <w:color w:val="000000"/>
          <w:kern w:val="0"/>
          <w:szCs w:val="21"/>
          <w:lang w:val="en-US" w:eastAsia="zh-CN"/>
        </w:rPr>
        <w:t>k</w:t>
      </w:r>
      <w:r>
        <w:rPr>
          <w:rFonts w:hint="eastAsia" w:ascii="宋体" w:hAnsi="宋体" w:cs="宋体"/>
          <w:color w:val="000000"/>
          <w:kern w:val="0"/>
          <w:szCs w:val="21"/>
          <w:lang w:val="en-US" w:eastAsia="zh-CN"/>
        </w:rPr>
        <w:t>=1；以氧化物表示时，</w:t>
      </w:r>
      <w:r>
        <w:rPr>
          <w:rFonts w:hint="eastAsia" w:ascii="宋体" w:hAnsi="宋体" w:cs="宋体"/>
          <w:i/>
          <w:iCs/>
          <w:color w:val="000000"/>
          <w:kern w:val="0"/>
          <w:szCs w:val="21"/>
          <w:lang w:val="en-US" w:eastAsia="zh-CN"/>
        </w:rPr>
        <w:t>k</w:t>
      </w:r>
      <w:r>
        <w:rPr>
          <w:rFonts w:hint="eastAsia" w:ascii="宋体" w:hAnsi="宋体" w:cs="宋体"/>
          <w:color w:val="000000"/>
          <w:kern w:val="0"/>
          <w:szCs w:val="21"/>
          <w:lang w:val="en-US" w:eastAsia="zh-CN"/>
        </w:rPr>
        <w:t>=1.1379。</w:t>
      </w:r>
    </w:p>
    <w:p w14:paraId="1533B49A">
      <w:pPr>
        <w:pStyle w:val="13"/>
        <w:rPr>
          <w:color w:val="auto"/>
        </w:rPr>
      </w:pPr>
      <w:r>
        <w:rPr>
          <w:rFonts w:hint="eastAsia"/>
          <w:color w:val="auto"/>
          <w:lang w:eastAsia="zh-CN"/>
        </w:rPr>
        <w:t>4.7</w:t>
      </w:r>
      <w:r>
        <w:rPr>
          <w:color w:val="auto"/>
        </w:rPr>
        <w:t>　精密度</w:t>
      </w:r>
    </w:p>
    <w:p w14:paraId="1CCACEB9">
      <w:pPr>
        <w:rPr>
          <w:rFonts w:hint="eastAsia" w:ascii="宋体" w:hAnsi="宋体" w:cs="宋体"/>
          <w:color w:val="auto"/>
        </w:rPr>
      </w:pPr>
      <w:r>
        <w:rPr>
          <w:rFonts w:hint="eastAsia"/>
          <w:color w:val="auto"/>
          <w:lang w:eastAsia="zh-CN"/>
        </w:rPr>
        <w:t>4.7</w:t>
      </w:r>
      <w:r>
        <w:rPr>
          <w:color w:val="auto"/>
        </w:rPr>
        <w:t>.1　</w:t>
      </w:r>
      <w:r>
        <w:rPr>
          <w:rFonts w:hint="eastAsia"/>
          <w:color w:val="auto"/>
        </w:rPr>
        <w:t>重复性</w:t>
      </w:r>
    </w:p>
    <w:p w14:paraId="5B1B0CFD">
      <w:pPr>
        <w:ind w:firstLine="420" w:firstLineChars="200"/>
        <w:rPr>
          <w:rFonts w:hint="eastAsia"/>
          <w:color w:val="auto"/>
        </w:rPr>
      </w:pPr>
      <w:r>
        <w:rPr>
          <w:rFonts w:hint="eastAsia"/>
          <w:color w:val="auto"/>
        </w:rPr>
        <w:t>在重复性条件下获得的两次独立测试结果的的绝对差值不超过重复性限（</w:t>
      </w:r>
      <w:r>
        <w:rPr>
          <w:rFonts w:hint="eastAsia"/>
          <w:i/>
          <w:iCs/>
          <w:color w:val="auto"/>
        </w:rPr>
        <w:t>r</w:t>
      </w:r>
      <w:r>
        <w:rPr>
          <w:rFonts w:hint="eastAsia"/>
          <w:color w:val="auto"/>
        </w:rPr>
        <w:t>），超过重复性限（</w:t>
      </w:r>
      <w:r>
        <w:rPr>
          <w:rFonts w:hint="eastAsia"/>
          <w:i/>
          <w:iCs/>
          <w:color w:val="auto"/>
        </w:rPr>
        <w:t>r</w:t>
      </w:r>
      <w:r>
        <w:rPr>
          <w:rFonts w:hint="eastAsia"/>
          <w:color w:val="auto"/>
        </w:rPr>
        <w:t>）的情况不超过5%，重复性限（</w:t>
      </w:r>
      <w:r>
        <w:rPr>
          <w:rFonts w:hint="eastAsia"/>
          <w:i/>
          <w:iCs/>
          <w:color w:val="auto"/>
        </w:rPr>
        <w:t>r</w:t>
      </w:r>
      <w:r>
        <w:rPr>
          <w:rFonts w:hint="eastAsia"/>
          <w:color w:val="auto"/>
        </w:rPr>
        <w:t>）按表5数据采用线性内插法或外延法求得。</w:t>
      </w:r>
    </w:p>
    <w:p w14:paraId="04B40AD3">
      <w:pPr>
        <w:jc w:val="center"/>
        <w:rPr>
          <w:color w:val="auto"/>
        </w:rPr>
      </w:pPr>
      <w:r>
        <w:rPr>
          <w:color w:val="auto"/>
        </w:rPr>
        <w:t>表</w:t>
      </w:r>
      <w:r>
        <w:rPr>
          <w:rFonts w:hint="eastAsia" w:ascii="黑体" w:hAnsi="黑体" w:cs="黑体"/>
          <w:color w:val="auto"/>
        </w:rPr>
        <w:t>5</w:t>
      </w:r>
      <w:r>
        <w:rPr>
          <w:color w:val="auto"/>
        </w:rPr>
        <w:t>　重复性限</w:t>
      </w:r>
      <w:r>
        <w:rPr>
          <w:rFonts w:hint="eastAsia" w:ascii="黑体" w:hAnsi="黑体"/>
          <w:color w:val="auto"/>
        </w:rPr>
        <w:t>(</w:t>
      </w:r>
      <w:r>
        <w:rPr>
          <w:rFonts w:ascii="黑体" w:hAnsi="黑体"/>
          <w:i/>
          <w:color w:val="auto"/>
        </w:rPr>
        <w:t>r</w:t>
      </w:r>
      <w:r>
        <w:rPr>
          <w:rFonts w:hint="eastAsia" w:ascii="黑体" w:hAnsi="黑体"/>
          <w:color w:val="auto"/>
        </w:rPr>
        <w:t>)</w:t>
      </w:r>
    </w:p>
    <w:tbl>
      <w:tblPr>
        <w:tblStyle w:val="6"/>
        <w:tblW w:w="488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2"/>
        <w:gridCol w:w="4681"/>
      </w:tblGrid>
      <w:tr w14:paraId="7049A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497" w:type="pct"/>
            <w:tcBorders>
              <w:bottom w:val="single" w:color="auto" w:sz="12" w:space="0"/>
            </w:tcBorders>
            <w:shd w:val="clear" w:color="auto" w:fill="auto"/>
            <w:noWrap w:val="0"/>
            <w:vAlign w:val="center"/>
          </w:tcPr>
          <w:p w14:paraId="755EF65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钍</w:t>
            </w:r>
            <w:r>
              <w:rPr>
                <w:rFonts w:hint="eastAsia" w:ascii="Times New Roman" w:hAnsi="Times New Roman" w:eastAsia="宋体" w:cs="Times New Roman"/>
                <w:sz w:val="18"/>
                <w:szCs w:val="18"/>
              </w:rPr>
              <w:t>的质量分数</w:t>
            </w:r>
          </w:p>
          <w:p w14:paraId="2638CEF2">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w:t>
            </w:r>
          </w:p>
        </w:tc>
        <w:tc>
          <w:tcPr>
            <w:tcW w:w="2502" w:type="pct"/>
            <w:tcBorders>
              <w:bottom w:val="single" w:color="auto" w:sz="12" w:space="0"/>
            </w:tcBorders>
            <w:shd w:val="clear" w:color="auto" w:fill="auto"/>
            <w:noWrap w:val="0"/>
            <w:vAlign w:val="center"/>
          </w:tcPr>
          <w:p w14:paraId="4D383F26">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重复性限(r)</w:t>
            </w:r>
          </w:p>
          <w:p w14:paraId="115FA251">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w:t>
            </w:r>
          </w:p>
          <w:p w14:paraId="0D6E84A7">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w:t>
            </w:r>
          </w:p>
        </w:tc>
      </w:tr>
      <w:tr w14:paraId="0DE1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2497" w:type="pct"/>
            <w:tcBorders>
              <w:top w:val="single" w:color="auto" w:sz="12" w:space="0"/>
              <w:bottom w:val="single" w:color="auto" w:sz="6" w:space="0"/>
            </w:tcBorders>
            <w:noWrap w:val="0"/>
            <w:vAlign w:val="center"/>
          </w:tcPr>
          <w:p w14:paraId="6B44AC73">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0.15</w:t>
            </w:r>
          </w:p>
        </w:tc>
        <w:tc>
          <w:tcPr>
            <w:tcW w:w="2502" w:type="pct"/>
            <w:tcBorders>
              <w:top w:val="single" w:color="auto" w:sz="12" w:space="0"/>
              <w:bottom w:val="single" w:color="auto" w:sz="6" w:space="0"/>
            </w:tcBorders>
            <w:noWrap w:val="0"/>
            <w:vAlign w:val="center"/>
          </w:tcPr>
          <w:p w14:paraId="7E819C2B">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0.01</w:t>
            </w:r>
          </w:p>
        </w:tc>
      </w:tr>
      <w:tr w14:paraId="77A95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2497" w:type="pct"/>
            <w:tcBorders>
              <w:top w:val="single" w:color="auto" w:sz="6" w:space="0"/>
              <w:bottom w:val="single" w:color="auto" w:sz="6" w:space="0"/>
            </w:tcBorders>
            <w:noWrap w:val="0"/>
            <w:vAlign w:val="center"/>
          </w:tcPr>
          <w:p w14:paraId="201E80A7">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1.11</w:t>
            </w:r>
          </w:p>
        </w:tc>
        <w:tc>
          <w:tcPr>
            <w:tcW w:w="2502" w:type="pct"/>
            <w:tcBorders>
              <w:top w:val="single" w:color="auto" w:sz="6" w:space="0"/>
              <w:bottom w:val="single" w:color="auto" w:sz="6" w:space="0"/>
            </w:tcBorders>
            <w:noWrap w:val="0"/>
            <w:vAlign w:val="center"/>
          </w:tcPr>
          <w:p w14:paraId="4241D33A">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0.05</w:t>
            </w:r>
          </w:p>
        </w:tc>
      </w:tr>
      <w:tr w14:paraId="39B7C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2497" w:type="pct"/>
            <w:tcBorders>
              <w:top w:val="single" w:color="auto" w:sz="6" w:space="0"/>
              <w:bottom w:val="single" w:color="auto" w:sz="6" w:space="0"/>
            </w:tcBorders>
            <w:noWrap w:val="0"/>
            <w:vAlign w:val="center"/>
          </w:tcPr>
          <w:p w14:paraId="00055FDB">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2.00</w:t>
            </w:r>
          </w:p>
        </w:tc>
        <w:tc>
          <w:tcPr>
            <w:tcW w:w="2502" w:type="pct"/>
            <w:tcBorders>
              <w:top w:val="single" w:color="auto" w:sz="6" w:space="0"/>
              <w:bottom w:val="single" w:color="auto" w:sz="6" w:space="0"/>
            </w:tcBorders>
            <w:noWrap w:val="0"/>
            <w:vAlign w:val="center"/>
          </w:tcPr>
          <w:p w14:paraId="6452FCC6">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0.10</w:t>
            </w:r>
          </w:p>
        </w:tc>
      </w:tr>
    </w:tbl>
    <w:p w14:paraId="74A12AE8">
      <w:pPr>
        <w:pStyle w:val="15"/>
        <w:rPr>
          <w:color w:val="auto"/>
          <w:kern w:val="2"/>
        </w:rPr>
      </w:pPr>
      <w:r>
        <w:rPr>
          <w:rFonts w:hint="eastAsia"/>
          <w:color w:val="auto"/>
          <w:lang w:eastAsia="zh-CN"/>
        </w:rPr>
        <w:t>4.7</w:t>
      </w:r>
      <w:r>
        <w:rPr>
          <w:color w:val="auto"/>
        </w:rPr>
        <w:t>.2　</w:t>
      </w:r>
      <w:r>
        <w:rPr>
          <w:rFonts w:hint="eastAsia"/>
          <w:color w:val="auto"/>
          <w:kern w:val="2"/>
        </w:rPr>
        <w:t>再现性</w:t>
      </w:r>
    </w:p>
    <w:p w14:paraId="39C39256">
      <w:pPr>
        <w:pStyle w:val="11"/>
        <w:snapToGrid w:val="0"/>
        <w:ind w:firstLine="420"/>
        <w:rPr>
          <w:rFonts w:hint="eastAsia" w:hAnsi="宋体" w:cs="宋体"/>
          <w:color w:val="auto"/>
        </w:rPr>
      </w:pPr>
      <w:r>
        <w:rPr>
          <w:rFonts w:hint="eastAsia" w:hAnsi="宋体" w:cs="宋体"/>
          <w:color w:val="auto"/>
        </w:rPr>
        <w:t>在再现性条件下获得的两次独立测试结果的的绝对差值不大于再现性限（</w:t>
      </w:r>
      <w:r>
        <w:rPr>
          <w:rFonts w:hint="eastAsia" w:hAnsi="宋体" w:cs="宋体"/>
          <w:i/>
          <w:color w:val="auto"/>
        </w:rPr>
        <w:t>R</w:t>
      </w:r>
      <w:r>
        <w:rPr>
          <w:rFonts w:hint="eastAsia" w:hAnsi="宋体" w:cs="宋体"/>
          <w:color w:val="auto"/>
        </w:rPr>
        <w:t>），超过再现性限（</w:t>
      </w:r>
      <w:r>
        <w:rPr>
          <w:rFonts w:hint="eastAsia" w:hAnsi="宋体" w:cs="宋体"/>
          <w:i/>
          <w:color w:val="auto"/>
        </w:rPr>
        <w:t>R</w:t>
      </w:r>
      <w:r>
        <w:rPr>
          <w:rFonts w:hint="eastAsia" w:hAnsi="宋体" w:cs="宋体"/>
          <w:color w:val="auto"/>
        </w:rPr>
        <w:t>）的情况不超过5%，再现性限（</w:t>
      </w:r>
      <w:r>
        <w:rPr>
          <w:rFonts w:hint="eastAsia" w:hAnsi="宋体" w:cs="宋体"/>
          <w:i/>
          <w:color w:val="auto"/>
        </w:rPr>
        <w:t>R</w:t>
      </w:r>
      <w:r>
        <w:rPr>
          <w:rFonts w:hint="eastAsia" w:hAnsi="宋体" w:cs="宋体"/>
          <w:color w:val="auto"/>
        </w:rPr>
        <w:t>）按表6数据采用线性内插法或外延法求得。</w:t>
      </w:r>
    </w:p>
    <w:p w14:paraId="47FE3EEE">
      <w:pPr>
        <w:jc w:val="center"/>
        <w:rPr>
          <w:color w:val="auto"/>
        </w:rPr>
      </w:pPr>
      <w:r>
        <w:rPr>
          <w:color w:val="auto"/>
        </w:rPr>
        <w:t>表</w:t>
      </w:r>
      <w:r>
        <w:rPr>
          <w:rFonts w:hint="eastAsia" w:ascii="黑体" w:hAnsi="黑体" w:cs="黑体"/>
          <w:color w:val="auto"/>
        </w:rPr>
        <w:t>6</w:t>
      </w:r>
      <w:r>
        <w:rPr>
          <w:color w:val="auto"/>
        </w:rPr>
        <w:t>　再现性限</w:t>
      </w:r>
      <w:r>
        <w:rPr>
          <w:rFonts w:hint="eastAsia" w:ascii="黑体" w:hAnsi="黑体"/>
          <w:color w:val="auto"/>
        </w:rPr>
        <w:t>（</w:t>
      </w:r>
      <w:r>
        <w:rPr>
          <w:rFonts w:hint="eastAsia" w:ascii="黑体" w:hAnsi="黑体"/>
          <w:i/>
          <w:color w:val="auto"/>
        </w:rPr>
        <w:t>R</w:t>
      </w:r>
      <w:r>
        <w:rPr>
          <w:rFonts w:hint="eastAsia" w:ascii="黑体" w:hAnsi="黑体"/>
          <w:color w:val="auto"/>
        </w:rPr>
        <w:t>）</w:t>
      </w:r>
    </w:p>
    <w:tbl>
      <w:tblPr>
        <w:tblStyle w:val="6"/>
        <w:tblW w:w="488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4"/>
        <w:gridCol w:w="4679"/>
      </w:tblGrid>
      <w:tr w14:paraId="5D611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2498" w:type="pct"/>
            <w:tcBorders>
              <w:bottom w:val="single" w:color="auto" w:sz="12" w:space="0"/>
            </w:tcBorders>
            <w:shd w:val="clear" w:color="auto" w:fill="auto"/>
            <w:noWrap w:val="0"/>
            <w:vAlign w:val="center"/>
          </w:tcPr>
          <w:p w14:paraId="1D71CFC2">
            <w:pPr>
              <w:jc w:val="center"/>
              <w:rPr>
                <w:rFonts w:hint="eastAsia" w:ascii="Times New Roman" w:hAnsi="Times New Roman" w:eastAsia="宋体" w:cs="Times New Roman"/>
                <w:sz w:val="18"/>
                <w:szCs w:val="18"/>
                <w:lang w:val="en-US" w:eastAsia="zh-CN"/>
              </w:rPr>
            </w:pPr>
            <w:bookmarkStart w:id="4" w:name="_GoBack"/>
            <w:r>
              <w:rPr>
                <w:rFonts w:hint="eastAsia" w:ascii="Times New Roman" w:hAnsi="Times New Roman" w:eastAsia="宋体" w:cs="Times New Roman"/>
                <w:sz w:val="18"/>
                <w:szCs w:val="18"/>
                <w:lang w:val="en-US" w:eastAsia="zh-CN"/>
              </w:rPr>
              <w:t>钍的质量分数</w:t>
            </w:r>
          </w:p>
          <w:p w14:paraId="46F8E290">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2501" w:type="pct"/>
            <w:tcBorders>
              <w:bottom w:val="single" w:color="auto" w:sz="12" w:space="0"/>
            </w:tcBorders>
            <w:shd w:val="clear" w:color="auto" w:fill="auto"/>
            <w:noWrap w:val="0"/>
            <w:vAlign w:val="center"/>
          </w:tcPr>
          <w:p w14:paraId="7888CC4A">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再现性限(R)</w:t>
            </w:r>
          </w:p>
          <w:p w14:paraId="36756CC9">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r>
      <w:tr w14:paraId="6B1AD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2498" w:type="pct"/>
            <w:tcBorders>
              <w:top w:val="single" w:color="auto" w:sz="12" w:space="0"/>
              <w:bottom w:val="single" w:color="auto" w:sz="6" w:space="0"/>
            </w:tcBorders>
            <w:shd w:val="clear" w:color="auto" w:fill="auto"/>
            <w:noWrap w:val="0"/>
            <w:vAlign w:val="center"/>
          </w:tcPr>
          <w:p w14:paraId="7827490A">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0.15</w:t>
            </w:r>
          </w:p>
        </w:tc>
        <w:tc>
          <w:tcPr>
            <w:tcW w:w="2501" w:type="pct"/>
            <w:tcBorders>
              <w:top w:val="single" w:color="auto" w:sz="12" w:space="0"/>
              <w:bottom w:val="single" w:color="auto" w:sz="6" w:space="0"/>
            </w:tcBorders>
            <w:shd w:val="clear" w:color="auto" w:fill="auto"/>
            <w:noWrap w:val="0"/>
            <w:vAlign w:val="center"/>
          </w:tcPr>
          <w:p w14:paraId="638521C5">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0.01</w:t>
            </w:r>
          </w:p>
        </w:tc>
      </w:tr>
      <w:tr w14:paraId="2B3A3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2498" w:type="pct"/>
            <w:tcBorders>
              <w:top w:val="single" w:color="auto" w:sz="6" w:space="0"/>
              <w:bottom w:val="single" w:color="auto" w:sz="6" w:space="0"/>
            </w:tcBorders>
            <w:shd w:val="clear" w:color="auto" w:fill="auto"/>
            <w:noWrap w:val="0"/>
            <w:vAlign w:val="center"/>
          </w:tcPr>
          <w:p w14:paraId="65FD2A7D">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1.11</w:t>
            </w:r>
          </w:p>
        </w:tc>
        <w:tc>
          <w:tcPr>
            <w:tcW w:w="2501" w:type="pct"/>
            <w:tcBorders>
              <w:top w:val="single" w:color="auto" w:sz="6" w:space="0"/>
              <w:bottom w:val="single" w:color="auto" w:sz="6" w:space="0"/>
            </w:tcBorders>
            <w:shd w:val="clear" w:color="auto" w:fill="auto"/>
            <w:noWrap w:val="0"/>
            <w:vAlign w:val="center"/>
          </w:tcPr>
          <w:p w14:paraId="1684CFCE">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0.05</w:t>
            </w:r>
          </w:p>
        </w:tc>
      </w:tr>
      <w:tr w14:paraId="3C5FD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exact"/>
          <w:jc w:val="center"/>
        </w:trPr>
        <w:tc>
          <w:tcPr>
            <w:tcW w:w="2498" w:type="pct"/>
            <w:tcBorders>
              <w:top w:val="single" w:color="auto" w:sz="6" w:space="0"/>
              <w:bottom w:val="single" w:color="auto" w:sz="6" w:space="0"/>
            </w:tcBorders>
            <w:shd w:val="clear" w:color="auto" w:fill="auto"/>
            <w:noWrap w:val="0"/>
            <w:vAlign w:val="center"/>
          </w:tcPr>
          <w:p w14:paraId="0BA5DF30">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2.00</w:t>
            </w:r>
          </w:p>
        </w:tc>
        <w:tc>
          <w:tcPr>
            <w:tcW w:w="2501" w:type="pct"/>
            <w:tcBorders>
              <w:top w:val="single" w:color="auto" w:sz="6" w:space="0"/>
              <w:bottom w:val="single" w:color="auto" w:sz="6" w:space="0"/>
            </w:tcBorders>
            <w:shd w:val="clear" w:color="auto" w:fill="auto"/>
            <w:noWrap w:val="0"/>
            <w:vAlign w:val="center"/>
          </w:tcPr>
          <w:p w14:paraId="2A85FD2D">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0.10</w:t>
            </w:r>
          </w:p>
        </w:tc>
      </w:tr>
      <w:bookmarkEnd w:id="4"/>
    </w:tbl>
    <w:p w14:paraId="500FC7F5">
      <w:pPr>
        <w:pStyle w:val="11"/>
        <w:snapToGrid w:val="0"/>
        <w:ind w:firstLine="0" w:firstLineChars="0"/>
        <w:rPr>
          <w:rFonts w:hint="eastAsia" w:hAnsi="宋体" w:cs="宋体"/>
          <w:color w:val="auto"/>
        </w:rPr>
      </w:pPr>
    </w:p>
    <w:p w14:paraId="5828B23F">
      <w:pPr>
        <w:pStyle w:val="13"/>
        <w:rPr>
          <w:rFonts w:hint="eastAsia"/>
          <w:color w:val="auto"/>
        </w:rPr>
      </w:pPr>
      <w:r>
        <w:rPr>
          <w:rFonts w:hint="eastAsia"/>
          <w:color w:val="auto"/>
          <w:lang w:val="en-US" w:eastAsia="zh-CN"/>
        </w:rPr>
        <w:t>5</w:t>
      </w:r>
      <w:r>
        <w:rPr>
          <w:color w:val="auto"/>
        </w:rPr>
        <w:t>　</w:t>
      </w:r>
      <w:r>
        <w:rPr>
          <w:rFonts w:hint="eastAsia"/>
          <w:color w:val="auto"/>
          <w:lang w:val="en-US" w:eastAsia="zh-CN"/>
        </w:rPr>
        <w:t>方法2：电感耦合等离子体质谱法</w:t>
      </w:r>
    </w:p>
    <w:p w14:paraId="497FDECE">
      <w:pPr>
        <w:pStyle w:val="13"/>
        <w:rPr>
          <w:color w:val="auto"/>
        </w:rPr>
      </w:pPr>
      <w:r>
        <w:rPr>
          <w:rFonts w:hint="eastAsia"/>
          <w:color w:val="auto"/>
          <w:lang w:val="en-US" w:eastAsia="zh-CN"/>
        </w:rPr>
        <w:t>5</w:t>
      </w:r>
      <w:r>
        <w:rPr>
          <w:rFonts w:hint="eastAsia"/>
          <w:color w:val="auto"/>
        </w:rPr>
        <w:t>.1</w:t>
      </w:r>
      <w:r>
        <w:rPr>
          <w:color w:val="auto"/>
        </w:rPr>
        <w:t>　</w:t>
      </w:r>
      <w:r>
        <w:rPr>
          <w:rFonts w:hint="eastAsia"/>
          <w:color w:val="auto"/>
          <w:lang w:val="en-US" w:eastAsia="zh-CN"/>
        </w:rPr>
        <w:t>方法原理</w:t>
      </w:r>
    </w:p>
    <w:p w14:paraId="57820AA0">
      <w:pPr>
        <w:ind w:firstLine="420" w:firstLineChars="200"/>
        <w:jc w:val="left"/>
        <w:rPr>
          <w:rFonts w:ascii="Times New Roman" w:hAnsi="宋体"/>
          <w:szCs w:val="21"/>
        </w:rPr>
      </w:pPr>
      <w:r>
        <w:rPr>
          <w:rFonts w:ascii="Times New Roman" w:hAnsi="宋体" w:eastAsia="宋体" w:cs="Times New Roman"/>
          <w:kern w:val="2"/>
          <w:sz w:val="21"/>
          <w:szCs w:val="21"/>
          <w:lang w:val="en-US" w:eastAsia="zh-CN" w:bidi="ar"/>
        </w:rPr>
        <w:t>试料经</w:t>
      </w:r>
      <w:r>
        <w:rPr>
          <w:rFonts w:hint="eastAsia" w:ascii="Times New Roman" w:cs="Times New Roman"/>
          <w:kern w:val="2"/>
          <w:sz w:val="21"/>
          <w:szCs w:val="21"/>
          <w:lang w:val="en-US" w:eastAsia="zh-CN" w:bidi="ar"/>
        </w:rPr>
        <w:t>硝酸</w:t>
      </w:r>
      <w:r>
        <w:rPr>
          <w:rFonts w:ascii="Times New Roman" w:hAnsi="宋体" w:eastAsia="宋体" w:cs="Times New Roman"/>
          <w:kern w:val="2"/>
          <w:sz w:val="21"/>
          <w:szCs w:val="21"/>
          <w:lang w:val="en-US" w:eastAsia="zh-CN" w:bidi="ar"/>
        </w:rPr>
        <w:t>、</w:t>
      </w:r>
      <w:r>
        <w:rPr>
          <w:rFonts w:hint="default" w:ascii="Times New Roman" w:hAnsi="宋体" w:eastAsia="宋体" w:cs="Times New Roman"/>
          <w:kern w:val="2"/>
          <w:sz w:val="21"/>
          <w:szCs w:val="21"/>
          <w:lang w:val="en-US" w:eastAsia="zh-CN" w:bidi="ar"/>
        </w:rPr>
        <w:t>氢氟酸分解，高氯酸冒尽烟后，用硝酸溶解至清亮</w:t>
      </w:r>
      <w:r>
        <w:rPr>
          <w:rFonts w:ascii="Times New Roman" w:hAnsi="宋体"/>
          <w:szCs w:val="21"/>
        </w:rPr>
        <w:t>，以氩等离子体为离子</w:t>
      </w:r>
      <w:r>
        <w:rPr>
          <w:rFonts w:hint="eastAsia" w:hAnsi="宋体"/>
          <w:szCs w:val="21"/>
          <w:lang w:val="en-US" w:eastAsia="zh-CN"/>
        </w:rPr>
        <w:t>化</w:t>
      </w:r>
      <w:r>
        <w:rPr>
          <w:rFonts w:ascii="Times New Roman" w:hAnsi="宋体"/>
          <w:szCs w:val="21"/>
        </w:rPr>
        <w:t>源，直接</w:t>
      </w:r>
      <w:r>
        <w:rPr>
          <w:rFonts w:hint="eastAsia" w:ascii="Times New Roman" w:hAnsi="宋体"/>
          <w:szCs w:val="21"/>
        </w:rPr>
        <w:t>进行质谱</w:t>
      </w:r>
      <w:r>
        <w:rPr>
          <w:rFonts w:ascii="Times New Roman" w:hAnsi="宋体"/>
          <w:szCs w:val="21"/>
        </w:rPr>
        <w:t>测定，以内标法校正基体</w:t>
      </w:r>
      <w:r>
        <w:rPr>
          <w:rFonts w:hint="eastAsia" w:ascii="Times New Roman" w:hAnsi="宋体"/>
          <w:szCs w:val="21"/>
          <w:lang w:val="en-US" w:eastAsia="zh-CN"/>
        </w:rPr>
        <w:t>效应</w:t>
      </w:r>
      <w:r>
        <w:rPr>
          <w:rFonts w:ascii="Times New Roman" w:hAnsi="宋体"/>
          <w:szCs w:val="21"/>
        </w:rPr>
        <w:t>。</w:t>
      </w:r>
    </w:p>
    <w:p w14:paraId="2A96E875">
      <w:pPr>
        <w:pStyle w:val="13"/>
        <w:rPr>
          <w:rFonts w:hint="default"/>
          <w:color w:val="auto"/>
          <w:lang w:val="en-US" w:eastAsia="zh-CN"/>
        </w:rPr>
      </w:pPr>
      <w:r>
        <w:rPr>
          <w:rFonts w:hint="eastAsia"/>
          <w:color w:val="auto"/>
          <w:lang w:val="en-US" w:eastAsia="zh-CN"/>
        </w:rPr>
        <w:t>5.2　试剂和材料</w:t>
      </w:r>
    </w:p>
    <w:p w14:paraId="4DED9760">
      <w:pPr>
        <w:ind w:firstLine="420" w:firstLineChars="200"/>
      </w:pPr>
      <w:r>
        <w:rPr>
          <w:bCs/>
        </w:rPr>
        <w:t>除非另有说明，在分析中仅使用确认为分析纯及以上试剂和符合实验室GB/T6682规定的</w:t>
      </w:r>
      <w:r>
        <w:rPr>
          <w:rFonts w:hint="eastAsia"/>
          <w:bCs/>
          <w:lang w:val="en-US" w:eastAsia="zh-CN"/>
        </w:rPr>
        <w:t>二</w:t>
      </w:r>
      <w:r>
        <w:rPr>
          <w:bCs/>
        </w:rPr>
        <w:t>级水。液体试剂均保存于塑料瓶中。</w:t>
      </w:r>
    </w:p>
    <w:p w14:paraId="72687D55">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5.2.1  过氧化氢（30%）</w:t>
      </w:r>
    </w:p>
    <w:p w14:paraId="037D053B">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5.2.2  氢氟酸（ρ=1.13 g/mL）</w:t>
      </w:r>
    </w:p>
    <w:p w14:paraId="751567F5">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5.2.3  硝酸（1+1）</w:t>
      </w:r>
    </w:p>
    <w:p w14:paraId="5FBA966A">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5.2.4  硝酸（2+98）</w:t>
      </w:r>
    </w:p>
    <w:p w14:paraId="39E697DA">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5.2.5  高氯酸（ρ=1.76 g/mL）</w:t>
      </w:r>
    </w:p>
    <w:p w14:paraId="215FB6EC">
      <w:pPr>
        <w:pStyle w:val="11"/>
        <w:tabs>
          <w:tab w:val="center" w:pos="4201"/>
          <w:tab w:val="right" w:leader="dot" w:pos="9298"/>
        </w:tabs>
        <w:ind w:firstLine="0" w:firstLineChars="0"/>
        <w:rPr>
          <w:rFonts w:hint="default" w:hAnsi="宋体" w:cs="宋体"/>
          <w:lang w:val="en-US" w:eastAsia="zh-CN"/>
        </w:rPr>
      </w:pPr>
      <w:r>
        <w:rPr>
          <w:rFonts w:hint="eastAsia" w:hAnsi="宋体" w:cs="宋体"/>
          <w:lang w:val="en-US" w:eastAsia="zh-CN"/>
        </w:rPr>
        <w:t>5.2.6  钍标准溶液（ρ=1000µg/mL ）：有证标准溶液</w:t>
      </w:r>
    </w:p>
    <w:p w14:paraId="2F385062">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5.2.7  铀标准溶液（ρ=1000µg/mL ）：有证标准溶液</w:t>
      </w:r>
    </w:p>
    <w:p w14:paraId="4D331932">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5.2.8  铯内标溶液（ρ=1000µg/mL ）：有证标准溶液</w:t>
      </w:r>
    </w:p>
    <w:p w14:paraId="06FEFB17">
      <w:pPr>
        <w:pStyle w:val="11"/>
        <w:tabs>
          <w:tab w:val="center" w:pos="4201"/>
          <w:tab w:val="right" w:leader="dot" w:pos="9298"/>
        </w:tabs>
        <w:ind w:firstLine="0" w:firstLineChars="0"/>
        <w:rPr>
          <w:rFonts w:hint="default" w:hAnsi="宋体" w:cs="宋体"/>
          <w:lang w:val="en-US" w:eastAsia="zh-CN"/>
        </w:rPr>
      </w:pPr>
      <w:r>
        <w:rPr>
          <w:rFonts w:hint="eastAsia" w:hAnsi="宋体" w:cs="宋体"/>
          <w:lang w:val="en-US" w:eastAsia="zh-CN"/>
        </w:rPr>
        <w:t>5.2.9  铟内标溶液（ρ=1000µg/mL ）：有证标准溶液</w:t>
      </w:r>
    </w:p>
    <w:p w14:paraId="1F1DB1AD">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5.2.10  铑内标溶液（ρ=1000µg/mL ）：有证标准溶液</w:t>
      </w:r>
    </w:p>
    <w:p w14:paraId="6AA03A35">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5.2.11 钍和铀混合标准溶液（10µg/mL）：分别准确移取钍（5.2.6）和铀（5.2.7）各1mL于100mL容量瓶中，加入10mL硝酸（5.2.3），用水稀释至刻度，混匀。再逐级稀释，混匀。</w:t>
      </w:r>
    </w:p>
    <w:p w14:paraId="4EFFB872">
      <w:pPr>
        <w:pStyle w:val="11"/>
        <w:tabs>
          <w:tab w:val="center" w:pos="4201"/>
          <w:tab w:val="right" w:leader="dot" w:pos="9298"/>
        </w:tabs>
        <w:ind w:firstLine="0" w:firstLineChars="0"/>
        <w:rPr>
          <w:rFonts w:hint="default" w:hAnsi="宋体" w:cs="宋体"/>
          <w:lang w:val="en-US" w:eastAsia="zh-CN"/>
        </w:rPr>
      </w:pPr>
      <w:r>
        <w:rPr>
          <w:rFonts w:hint="eastAsia" w:hAnsi="宋体" w:cs="宋体"/>
          <w:lang w:val="en-US" w:eastAsia="zh-CN"/>
        </w:rPr>
        <w:t>5.2.12 铯、铟和铑混合标准溶液（10µg/mL）：分别移取铯、铟和铑贮存溶液（5.2.8-5.2.10）1mL于100mL容量瓶中，加入10mL硝酸（5.2.3），用水稀释至刻度，混匀。</w:t>
      </w:r>
    </w:p>
    <w:p w14:paraId="32F8BA69">
      <w:pPr>
        <w:pStyle w:val="11"/>
        <w:tabs>
          <w:tab w:val="center" w:pos="4201"/>
          <w:tab w:val="right" w:leader="dot" w:pos="9298"/>
        </w:tabs>
        <w:ind w:firstLine="0" w:firstLineChars="0"/>
        <w:rPr>
          <w:rFonts w:hint="eastAsia" w:hAnsi="宋体" w:cs="宋体"/>
          <w:lang w:val="en-US" w:eastAsia="zh-CN"/>
        </w:rPr>
      </w:pPr>
      <w:r>
        <w:rPr>
          <w:rFonts w:hint="eastAsia" w:hAnsi="宋体" w:cs="宋体"/>
          <w:lang w:val="en-US" w:eastAsia="zh-CN"/>
        </w:rPr>
        <w:t>5.2.13  氩气［φ（Ar）≥99.99%］。</w:t>
      </w:r>
    </w:p>
    <w:p w14:paraId="113AD48A">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5.3</w:t>
      </w:r>
      <w:r>
        <w:rPr>
          <w:rFonts w:hint="eastAsia" w:hAnsi="黑体" w:cs="黑体"/>
          <w:color w:val="000000"/>
        </w:rPr>
        <w:t>　仪器设备</w:t>
      </w:r>
    </w:p>
    <w:p w14:paraId="028A0837">
      <w:pPr>
        <w:ind w:firstLine="420" w:firstLineChars="200"/>
        <w:rPr>
          <w:rFonts w:hint="eastAsia" w:ascii="宋体" w:hAnsi="宋体" w:cs="宋体"/>
        </w:rPr>
      </w:pPr>
      <w:r>
        <w:rPr>
          <w:rFonts w:hint="eastAsia" w:ascii="宋体" w:hAnsi="宋体" w:cs="宋体"/>
        </w:rPr>
        <w:t>电感耦合等离子体质谱仪。</w:t>
      </w:r>
    </w:p>
    <w:p w14:paraId="600CF3DF">
      <w:pPr>
        <w:ind w:firstLine="420" w:firstLineChars="200"/>
        <w:rPr>
          <w:rFonts w:hint="eastAsia" w:ascii="宋体" w:hAnsi="宋体" w:cs="宋体"/>
          <w:lang w:val="en-US" w:eastAsia="zh-CN"/>
        </w:rPr>
      </w:pPr>
      <w:r>
        <w:rPr>
          <w:rFonts w:hint="eastAsia" w:ascii="宋体" w:hAnsi="宋体" w:cs="宋体"/>
          <w:lang w:val="en-US" w:eastAsia="zh-CN"/>
        </w:rPr>
        <w:t>在仪器最佳工作条件下，凡能达到下列指标者均可使用：</w:t>
      </w:r>
    </w:p>
    <w:p w14:paraId="368DDBC2">
      <w:pPr>
        <w:rPr>
          <w:rFonts w:hint="eastAsia" w:ascii="宋体" w:hAnsi="宋体" w:cs="宋体"/>
          <w:lang w:val="en-US" w:eastAsia="zh-CN"/>
        </w:rPr>
      </w:pPr>
      <w:r>
        <w:rPr>
          <w:rFonts w:hint="eastAsia" w:ascii="宋体" w:hAnsi="宋体" w:cs="宋体"/>
          <w:lang w:val="en-US" w:eastAsia="zh-CN"/>
        </w:rPr>
        <w:t>——应符合JJF 1159中要求的四极杆等离子体质谱仪校准项目和技术指标；</w:t>
      </w:r>
    </w:p>
    <w:p w14:paraId="15397BBB">
      <w:pPr>
        <w:rPr>
          <w:rFonts w:hint="eastAsia" w:ascii="宋体" w:hAnsi="宋体" w:cs="宋体"/>
          <w:lang w:val="en-US" w:eastAsia="zh-CN"/>
        </w:rPr>
      </w:pPr>
      <w:r>
        <w:rPr>
          <w:rFonts w:hint="eastAsia" w:ascii="宋体" w:hAnsi="宋体" w:cs="宋体"/>
          <w:lang w:val="en-US" w:eastAsia="zh-CN"/>
        </w:rPr>
        <w:t>——测量元素的同位素质量数见表</w:t>
      </w:r>
      <w:r>
        <w:rPr>
          <w:rFonts w:hint="eastAsia" w:cs="宋体"/>
          <w:lang w:val="en-US" w:eastAsia="zh-CN"/>
        </w:rPr>
        <w:t>7</w:t>
      </w:r>
      <w:r>
        <w:rPr>
          <w:rFonts w:hint="eastAsia" w:ascii="宋体" w:hAnsi="宋体" w:cs="宋体"/>
          <w:lang w:val="en-US" w:eastAsia="zh-CN"/>
        </w:rPr>
        <w:t>。</w:t>
      </w:r>
    </w:p>
    <w:p w14:paraId="19F220FB">
      <w:pPr>
        <w:jc w:val="center"/>
        <w:rPr>
          <w:rFonts w:hint="eastAsia" w:ascii="宋体" w:hAnsi="宋体" w:cs="宋体"/>
          <w:lang w:val="en-US" w:eastAsia="zh-CN"/>
        </w:rPr>
      </w:pPr>
      <w:r>
        <w:rPr>
          <w:rFonts w:hint="eastAsia" w:ascii="宋体" w:hAnsi="宋体" w:cs="宋体"/>
          <w:lang w:val="en-US" w:eastAsia="zh-CN"/>
        </w:rPr>
        <w:t>表</w:t>
      </w:r>
      <w:r>
        <w:rPr>
          <w:rFonts w:hint="eastAsia" w:cs="宋体"/>
          <w:lang w:val="en-US" w:eastAsia="zh-CN"/>
        </w:rPr>
        <w:t>7</w:t>
      </w:r>
      <w:r>
        <w:rPr>
          <w:rFonts w:hint="eastAsia" w:ascii="宋体" w:hAnsi="宋体" w:cs="宋体"/>
          <w:lang w:val="en-US" w:eastAsia="zh-CN"/>
        </w:rPr>
        <w:t xml:space="preserve"> 测量元素同位素质量数</w:t>
      </w: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784"/>
        <w:gridCol w:w="4787"/>
      </w:tblGrid>
      <w:tr w14:paraId="0CFB93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4784" w:type="dxa"/>
            <w:noWrap w:val="0"/>
            <w:vAlign w:val="center"/>
          </w:tcPr>
          <w:p w14:paraId="0F5D569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元素</w:t>
            </w:r>
          </w:p>
        </w:tc>
        <w:tc>
          <w:tcPr>
            <w:tcW w:w="4787" w:type="dxa"/>
            <w:noWrap w:val="0"/>
            <w:vAlign w:val="center"/>
          </w:tcPr>
          <w:p w14:paraId="151D698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质量数</w:t>
            </w:r>
          </w:p>
        </w:tc>
      </w:tr>
      <w:tr w14:paraId="771FA0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784" w:type="dxa"/>
            <w:noWrap w:val="0"/>
            <w:vAlign w:val="center"/>
          </w:tcPr>
          <w:p w14:paraId="0974466B">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钍</w:t>
            </w:r>
          </w:p>
        </w:tc>
        <w:tc>
          <w:tcPr>
            <w:tcW w:w="4787" w:type="dxa"/>
            <w:noWrap w:val="0"/>
            <w:vAlign w:val="center"/>
          </w:tcPr>
          <w:p w14:paraId="46A067F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232</w:t>
            </w:r>
          </w:p>
        </w:tc>
      </w:tr>
      <w:tr w14:paraId="7EB023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784" w:type="dxa"/>
            <w:noWrap w:val="0"/>
            <w:vAlign w:val="center"/>
          </w:tcPr>
          <w:p w14:paraId="6C0C6C54">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铀</w:t>
            </w:r>
          </w:p>
        </w:tc>
        <w:tc>
          <w:tcPr>
            <w:tcW w:w="4787" w:type="dxa"/>
            <w:noWrap w:val="0"/>
            <w:vAlign w:val="center"/>
          </w:tcPr>
          <w:p w14:paraId="3813D40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238</w:t>
            </w:r>
          </w:p>
        </w:tc>
      </w:tr>
      <w:tr w14:paraId="5C2A4E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784" w:type="dxa"/>
            <w:noWrap w:val="0"/>
            <w:vAlign w:val="center"/>
          </w:tcPr>
          <w:p w14:paraId="055C86C8">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铯</w:t>
            </w:r>
          </w:p>
        </w:tc>
        <w:tc>
          <w:tcPr>
            <w:tcW w:w="4787" w:type="dxa"/>
            <w:noWrap w:val="0"/>
            <w:vAlign w:val="center"/>
          </w:tcPr>
          <w:p w14:paraId="1B01D3B0">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133</w:t>
            </w:r>
          </w:p>
        </w:tc>
      </w:tr>
      <w:tr w14:paraId="0E2937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784" w:type="dxa"/>
            <w:noWrap w:val="0"/>
            <w:vAlign w:val="center"/>
          </w:tcPr>
          <w:p w14:paraId="1AC79016">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铟</w:t>
            </w:r>
          </w:p>
        </w:tc>
        <w:tc>
          <w:tcPr>
            <w:tcW w:w="4787" w:type="dxa"/>
            <w:noWrap w:val="0"/>
            <w:vAlign w:val="center"/>
          </w:tcPr>
          <w:p w14:paraId="5EA8D002">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115</w:t>
            </w:r>
          </w:p>
        </w:tc>
      </w:tr>
      <w:tr w14:paraId="76A87F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784" w:type="dxa"/>
            <w:noWrap w:val="0"/>
            <w:vAlign w:val="center"/>
          </w:tcPr>
          <w:p w14:paraId="5DFBC4C7">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铑</w:t>
            </w:r>
          </w:p>
        </w:tc>
        <w:tc>
          <w:tcPr>
            <w:tcW w:w="4787" w:type="dxa"/>
            <w:noWrap w:val="0"/>
            <w:vAlign w:val="center"/>
          </w:tcPr>
          <w:p w14:paraId="5C0DF47C">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108</w:t>
            </w:r>
          </w:p>
        </w:tc>
      </w:tr>
    </w:tbl>
    <w:p w14:paraId="5274B827">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5.4</w:t>
      </w:r>
      <w:r>
        <w:rPr>
          <w:rFonts w:hint="eastAsia" w:hAnsi="黑体" w:cs="黑体"/>
          <w:color w:val="000000"/>
        </w:rPr>
        <w:t>　样品</w:t>
      </w:r>
    </w:p>
    <w:p w14:paraId="629CCB99">
      <w:pPr>
        <w:pStyle w:val="13"/>
        <w:rPr>
          <w:rFonts w:hint="eastAsia"/>
          <w:color w:val="auto"/>
          <w:lang w:val="en-US" w:eastAsia="zh-CN"/>
        </w:rPr>
      </w:pPr>
      <w:r>
        <w:rPr>
          <w:rFonts w:hint="eastAsia"/>
          <w:color w:val="auto"/>
          <w:lang w:val="en-US" w:eastAsia="zh-CN"/>
        </w:rPr>
        <w:t xml:space="preserve">5.4.1  </w:t>
      </w:r>
      <w:r>
        <w:rPr>
          <w:rFonts w:hint="eastAsia"/>
          <w:color w:val="auto"/>
        </w:rPr>
        <w:t>离子型稀土矿混合稀土氧化物样品应研磨</w:t>
      </w:r>
      <w:r>
        <w:rPr>
          <w:rFonts w:hint="eastAsia"/>
          <w:color w:val="auto"/>
          <w:lang w:val="en-US" w:eastAsia="zh-CN"/>
        </w:rPr>
        <w:t>至粒度小于0.074mm，</w:t>
      </w:r>
      <w:r>
        <w:rPr>
          <w:rFonts w:hint="eastAsia"/>
          <w:color w:val="auto"/>
        </w:rPr>
        <w:t>在105</w:t>
      </w:r>
      <w:r>
        <w:rPr>
          <w:rFonts w:ascii="Times New Roman" w:hAnsi="Times New Roman"/>
          <w:color w:val="auto"/>
        </w:rPr>
        <w:t> </w:t>
      </w:r>
      <w:r>
        <w:rPr>
          <w:rFonts w:hint="eastAsia"/>
          <w:color w:val="auto"/>
        </w:rPr>
        <w:t>℃~110</w:t>
      </w:r>
      <w:r>
        <w:rPr>
          <w:rFonts w:ascii="Times New Roman" w:hAnsi="Times New Roman"/>
          <w:color w:val="auto"/>
        </w:rPr>
        <w:t> </w:t>
      </w:r>
      <w:r>
        <w:rPr>
          <w:rFonts w:hint="eastAsia"/>
          <w:color w:val="auto"/>
        </w:rPr>
        <w:t>℃烘</w:t>
      </w:r>
      <w:r>
        <w:rPr>
          <w:rFonts w:hint="eastAsia"/>
          <w:color w:val="auto"/>
          <w:lang w:val="en-US" w:eastAsia="zh-CN"/>
        </w:rPr>
        <w:t>1</w:t>
      </w:r>
      <w:r>
        <w:rPr>
          <w:rFonts w:ascii="Times New Roman" w:hAnsi="Times New Roman"/>
          <w:color w:val="auto"/>
        </w:rPr>
        <w:t> </w:t>
      </w:r>
      <w:r>
        <w:rPr>
          <w:rFonts w:hint="eastAsia"/>
          <w:color w:val="auto"/>
        </w:rPr>
        <w:t>h</w:t>
      </w:r>
      <w:r>
        <w:rPr>
          <w:rFonts w:hint="eastAsia"/>
          <w:color w:val="auto"/>
          <w:lang w:val="en-US" w:eastAsia="zh-CN"/>
        </w:rPr>
        <w:t>后</w:t>
      </w:r>
      <w:r>
        <w:rPr>
          <w:rFonts w:hint="eastAsia"/>
          <w:color w:val="auto"/>
        </w:rPr>
        <w:t>，置于干燥器中冷却至室温，</w:t>
      </w:r>
      <w:r>
        <w:rPr>
          <w:rFonts w:hint="eastAsia"/>
          <w:color w:val="auto"/>
          <w:lang w:val="en-US" w:eastAsia="zh-CN"/>
        </w:rPr>
        <w:t>立即称量。</w:t>
      </w:r>
    </w:p>
    <w:p w14:paraId="2F2F89EC">
      <w:pPr>
        <w:pStyle w:val="13"/>
        <w:rPr>
          <w:rFonts w:hint="default"/>
          <w:color w:val="auto"/>
          <w:lang w:val="en-US" w:eastAsia="zh-CN"/>
        </w:rPr>
      </w:pPr>
      <w:r>
        <w:rPr>
          <w:rFonts w:hint="eastAsia"/>
          <w:color w:val="auto"/>
          <w:lang w:val="en-US" w:eastAsia="zh-CN"/>
        </w:rPr>
        <w:t xml:space="preserve">5.4.2 </w:t>
      </w:r>
      <w:r>
        <w:rPr>
          <w:rFonts w:hint="eastAsia" w:ascii="宋体" w:hAnsi="宋体" w:eastAsia="宋体" w:cs="Times New Roman"/>
          <w:color w:val="auto"/>
          <w:kern w:val="0"/>
          <w:sz w:val="21"/>
          <w:szCs w:val="20"/>
          <w:lang w:val="en-US" w:eastAsia="zh-CN" w:bidi="ar-SA"/>
        </w:rPr>
        <w:t>离子型稀土矿稀土草酸盐、稀土碳酸盐样品经 950 ℃ 灼烧至恒重后，置于干燥器中冷却至室温，研磨至粒度小于 0.074 mm</w:t>
      </w:r>
      <w:r>
        <w:rPr>
          <w:rFonts w:hint="eastAsia"/>
          <w:color w:val="auto"/>
          <w:lang w:val="en-US" w:eastAsia="zh-CN"/>
        </w:rPr>
        <w:t>，</w:t>
      </w:r>
      <w:r>
        <w:rPr>
          <w:rFonts w:hint="eastAsia"/>
          <w:color w:val="auto"/>
        </w:rPr>
        <w:t>在105</w:t>
      </w:r>
      <w:r>
        <w:rPr>
          <w:rFonts w:ascii="Times New Roman" w:hAnsi="Times New Roman"/>
          <w:color w:val="auto"/>
        </w:rPr>
        <w:t> </w:t>
      </w:r>
      <w:r>
        <w:rPr>
          <w:rFonts w:hint="eastAsia"/>
          <w:color w:val="auto"/>
        </w:rPr>
        <w:t>℃~110</w:t>
      </w:r>
      <w:r>
        <w:rPr>
          <w:rFonts w:ascii="Times New Roman" w:hAnsi="Times New Roman"/>
          <w:color w:val="auto"/>
        </w:rPr>
        <w:t> </w:t>
      </w:r>
      <w:r>
        <w:rPr>
          <w:rFonts w:hint="eastAsia"/>
          <w:color w:val="auto"/>
        </w:rPr>
        <w:t>℃烘</w:t>
      </w:r>
      <w:r>
        <w:rPr>
          <w:rFonts w:hint="eastAsia"/>
          <w:color w:val="auto"/>
          <w:lang w:val="en-US" w:eastAsia="zh-CN"/>
        </w:rPr>
        <w:t>1</w:t>
      </w:r>
      <w:r>
        <w:rPr>
          <w:rFonts w:ascii="Times New Roman" w:hAnsi="Times New Roman"/>
          <w:color w:val="auto"/>
        </w:rPr>
        <w:t> </w:t>
      </w:r>
      <w:r>
        <w:rPr>
          <w:rFonts w:hint="eastAsia"/>
          <w:color w:val="auto"/>
        </w:rPr>
        <w:t>h</w:t>
      </w:r>
      <w:r>
        <w:rPr>
          <w:rFonts w:hint="eastAsia"/>
          <w:color w:val="auto"/>
          <w:lang w:val="en-US" w:eastAsia="zh-CN"/>
        </w:rPr>
        <w:t>后</w:t>
      </w:r>
      <w:r>
        <w:rPr>
          <w:rFonts w:hint="eastAsia"/>
          <w:color w:val="auto"/>
        </w:rPr>
        <w:t>，置于干燥器中冷却至室温</w:t>
      </w:r>
      <w:r>
        <w:rPr>
          <w:rFonts w:hint="eastAsia"/>
          <w:color w:val="auto"/>
          <w:lang w:eastAsia="zh-CN"/>
        </w:rPr>
        <w:t>，</w:t>
      </w:r>
      <w:r>
        <w:rPr>
          <w:rFonts w:hint="eastAsia" w:ascii="宋体" w:hAnsi="宋体" w:eastAsia="宋体" w:cs="Times New Roman"/>
          <w:color w:val="auto"/>
          <w:kern w:val="0"/>
          <w:sz w:val="21"/>
          <w:szCs w:val="20"/>
          <w:lang w:val="en-US" w:eastAsia="zh-CN" w:bidi="ar-SA"/>
        </w:rPr>
        <w:t>立即称量。</w:t>
      </w:r>
    </w:p>
    <w:p w14:paraId="5AACE096">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5.5</w:t>
      </w:r>
      <w:r>
        <w:rPr>
          <w:rFonts w:hint="eastAsia" w:hAnsi="黑体" w:cs="黑体"/>
          <w:color w:val="000000"/>
        </w:rPr>
        <w:t>　试验步骤</w:t>
      </w:r>
    </w:p>
    <w:p w14:paraId="5EB75541">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5.5</w:t>
      </w:r>
      <w:r>
        <w:rPr>
          <w:rFonts w:hint="eastAsia" w:hAnsi="黑体" w:cs="黑体"/>
          <w:color w:val="000000"/>
        </w:rPr>
        <w:t>.1　试料</w:t>
      </w:r>
    </w:p>
    <w:p w14:paraId="2D3140E9">
      <w:pPr>
        <w:ind w:firstLine="420" w:firstLineChars="200"/>
        <w:rPr>
          <w:rFonts w:ascii="宋体" w:hAnsi="宋体" w:cs="宋体"/>
        </w:rPr>
      </w:pPr>
      <w:r>
        <w:rPr>
          <w:rFonts w:hint="eastAsia" w:ascii="宋体" w:hAnsi="宋体" w:cs="宋体"/>
        </w:rPr>
        <w:t>称取0.</w:t>
      </w:r>
      <w:r>
        <w:rPr>
          <w:rFonts w:hint="eastAsia" w:ascii="宋体" w:hAnsi="宋体" w:cs="宋体"/>
          <w:lang w:val="en-US" w:eastAsia="zh-CN"/>
        </w:rPr>
        <w:t>1000</w:t>
      </w:r>
      <w:r>
        <w:rPr>
          <w:rFonts w:hint="eastAsia" w:ascii="宋体" w:hAnsi="宋体" w:cs="宋体"/>
          <w:color w:val="000000"/>
        </w:rPr>
        <w:t> </w:t>
      </w:r>
      <w:r>
        <w:rPr>
          <w:rFonts w:hint="eastAsia" w:ascii="宋体" w:hAnsi="宋体" w:cs="宋体"/>
        </w:rPr>
        <w:t>g样品（</w:t>
      </w:r>
      <w:r>
        <w:rPr>
          <w:rFonts w:hint="eastAsia" w:cs="宋体"/>
          <w:lang w:val="en-US" w:eastAsia="zh-CN"/>
        </w:rPr>
        <w:t>5.4</w:t>
      </w:r>
      <w:r>
        <w:rPr>
          <w:rFonts w:hint="eastAsia" w:ascii="宋体" w:hAnsi="宋体" w:cs="宋体"/>
        </w:rPr>
        <w:t>），精确至0.0001</w:t>
      </w:r>
      <w:r>
        <w:rPr>
          <w:rFonts w:hint="eastAsia" w:ascii="宋体" w:hAnsi="宋体" w:cs="宋体"/>
          <w:color w:val="000000"/>
        </w:rPr>
        <w:t> </w:t>
      </w:r>
      <w:r>
        <w:rPr>
          <w:rFonts w:hint="eastAsia" w:ascii="宋体" w:hAnsi="宋体" w:cs="宋体"/>
        </w:rPr>
        <w:t>g。</w:t>
      </w:r>
    </w:p>
    <w:p w14:paraId="70DD1A89">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5.5</w:t>
      </w:r>
      <w:r>
        <w:rPr>
          <w:rFonts w:hint="eastAsia" w:hAnsi="黑体" w:cs="黑体"/>
          <w:color w:val="000000"/>
        </w:rPr>
        <w:t>.2　平行试验</w:t>
      </w:r>
    </w:p>
    <w:p w14:paraId="1C7FC314">
      <w:pPr>
        <w:pStyle w:val="4"/>
        <w:adjustRightInd w:val="0"/>
        <w:snapToGrid w:val="0"/>
        <w:ind w:firstLine="420" w:firstLineChars="200"/>
        <w:rPr>
          <w:rFonts w:ascii="Times New Roman" w:hAnsi="Times New Roman"/>
          <w:szCs w:val="22"/>
        </w:rPr>
      </w:pPr>
      <w:r>
        <w:rPr>
          <w:rFonts w:hint="eastAsia" w:ascii="Times New Roman" w:hAnsi="Times New Roman"/>
          <w:szCs w:val="22"/>
          <w:lang w:val="en-US" w:eastAsia="zh-CN"/>
        </w:rPr>
        <w:t>平行做两份试验</w:t>
      </w:r>
      <w:r>
        <w:rPr>
          <w:rFonts w:hint="eastAsia" w:ascii="Times New Roman" w:hAnsi="Times New Roman"/>
          <w:szCs w:val="22"/>
        </w:rPr>
        <w:t>。</w:t>
      </w:r>
    </w:p>
    <w:p w14:paraId="7B049098">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5.5</w:t>
      </w:r>
      <w:r>
        <w:rPr>
          <w:rFonts w:hint="eastAsia" w:hAnsi="黑体" w:cs="黑体"/>
          <w:color w:val="000000"/>
        </w:rPr>
        <w:t>.3　空白试验</w:t>
      </w:r>
    </w:p>
    <w:p w14:paraId="6960A8DD">
      <w:pPr>
        <w:pStyle w:val="4"/>
        <w:adjustRightInd w:val="0"/>
        <w:snapToGrid w:val="0"/>
        <w:ind w:firstLine="420" w:firstLineChars="200"/>
        <w:rPr>
          <w:rFonts w:ascii="Times New Roman" w:hAnsi="Times New Roman"/>
          <w:szCs w:val="22"/>
        </w:rPr>
      </w:pPr>
      <w:r>
        <w:rPr>
          <w:rFonts w:ascii="Times New Roman" w:hAnsi="Times New Roman"/>
          <w:szCs w:val="22"/>
        </w:rPr>
        <w:t>随同试料做空白试验。</w:t>
      </w:r>
    </w:p>
    <w:p w14:paraId="02049853">
      <w:pPr>
        <w:pStyle w:val="13"/>
        <w:numPr>
          <w:ilvl w:val="0"/>
          <w:numId w:val="0"/>
        </w:numPr>
        <w:spacing w:before="312" w:beforeLines="100" w:after="312" w:afterLines="100"/>
        <w:rPr>
          <w:rFonts w:hint="eastAsia" w:hAnsi="黑体" w:cs="黑体"/>
          <w:color w:val="000000"/>
        </w:rPr>
      </w:pPr>
      <w:r>
        <w:rPr>
          <w:rFonts w:hint="eastAsia" w:hAnsi="黑体" w:cs="黑体"/>
          <w:color w:val="000000"/>
          <w:lang w:val="en-US" w:eastAsia="zh-CN"/>
        </w:rPr>
        <w:t>5.5</w:t>
      </w:r>
      <w:r>
        <w:rPr>
          <w:rFonts w:hint="eastAsia" w:hAnsi="黑体" w:cs="黑体"/>
          <w:color w:val="000000"/>
        </w:rPr>
        <w:t>.</w:t>
      </w:r>
      <w:r>
        <w:rPr>
          <w:rFonts w:hint="eastAsia" w:hAnsi="黑体" w:cs="黑体"/>
          <w:color w:val="000000"/>
          <w:lang w:val="en-US" w:eastAsia="zh-CN"/>
        </w:rPr>
        <w:t>4</w:t>
      </w:r>
      <w:r>
        <w:rPr>
          <w:rFonts w:hint="eastAsia" w:hAnsi="黑体" w:cs="黑体"/>
          <w:color w:val="000000"/>
        </w:rPr>
        <w:t>　标准系列溶液的配制</w:t>
      </w:r>
    </w:p>
    <w:p w14:paraId="007CEC23">
      <w:pPr>
        <w:snapToGrid w:val="0"/>
        <w:spacing w:before="156" w:beforeLines="50" w:after="156" w:afterLines="50"/>
        <w:ind w:firstLine="420" w:firstLineChars="200"/>
        <w:rPr>
          <w:rFonts w:ascii="宋体" w:hAnsi="宋体" w:cs="宋体"/>
          <w:szCs w:val="21"/>
        </w:rPr>
      </w:pPr>
      <w:r>
        <w:rPr>
          <w:rFonts w:hint="eastAsia" w:hAnsi="宋体" w:cs="宋体"/>
          <w:lang w:val="en-US" w:eastAsia="zh-CN"/>
        </w:rPr>
        <w:t>分别移取钍铀混合溶液（</w:t>
      </w:r>
      <w:r>
        <w:rPr>
          <w:rFonts w:hint="eastAsia" w:cs="宋体"/>
          <w:lang w:val="en-US" w:eastAsia="zh-CN"/>
        </w:rPr>
        <w:t>5.2</w:t>
      </w:r>
      <w:r>
        <w:rPr>
          <w:rFonts w:hint="eastAsia" w:hAnsi="宋体" w:cs="宋体"/>
          <w:lang w:val="en-US" w:eastAsia="zh-CN"/>
        </w:rPr>
        <w:t>.1</w:t>
      </w:r>
      <w:r>
        <w:rPr>
          <w:rFonts w:hint="eastAsia" w:cs="宋体"/>
          <w:lang w:val="en-US" w:eastAsia="zh-CN"/>
        </w:rPr>
        <w:t>1</w:t>
      </w:r>
      <w:r>
        <w:rPr>
          <w:rFonts w:hint="eastAsia" w:hAnsi="宋体" w:cs="宋体"/>
          <w:lang w:val="en-US" w:eastAsia="zh-CN"/>
        </w:rPr>
        <w:t>）：</w:t>
      </w:r>
      <w:r>
        <w:rPr>
          <w:rFonts w:eastAsia="宋体"/>
          <w:color w:val="000000"/>
          <w:szCs w:val="21"/>
        </w:rPr>
        <w:t>0.00 mL、</w:t>
      </w:r>
      <w:r>
        <w:rPr>
          <w:rFonts w:hint="eastAsia"/>
          <w:color w:val="000000"/>
          <w:szCs w:val="21"/>
          <w:lang w:val="en-US" w:eastAsia="zh-CN"/>
        </w:rPr>
        <w:t>0.01</w:t>
      </w:r>
      <w:r>
        <w:rPr>
          <w:rFonts w:eastAsia="宋体"/>
          <w:color w:val="000000"/>
          <w:szCs w:val="21"/>
        </w:rPr>
        <w:t xml:space="preserve"> mL</w:t>
      </w:r>
      <w:r>
        <w:rPr>
          <w:rFonts w:hint="eastAsia"/>
          <w:color w:val="000000"/>
          <w:szCs w:val="21"/>
          <w:lang w:eastAsia="zh-CN"/>
        </w:rPr>
        <w:t>、</w:t>
      </w:r>
      <w:r>
        <w:rPr>
          <w:rFonts w:hint="eastAsia"/>
          <w:color w:val="000000"/>
          <w:szCs w:val="21"/>
          <w:lang w:val="en-US" w:eastAsia="zh-CN"/>
        </w:rPr>
        <w:t>0.02</w:t>
      </w:r>
      <w:r>
        <w:rPr>
          <w:rFonts w:eastAsia="宋体"/>
          <w:color w:val="000000"/>
          <w:szCs w:val="21"/>
        </w:rPr>
        <w:t xml:space="preserve"> mL</w:t>
      </w:r>
      <w:r>
        <w:rPr>
          <w:rFonts w:hint="eastAsia"/>
          <w:color w:val="000000"/>
          <w:szCs w:val="21"/>
          <w:lang w:eastAsia="zh-CN"/>
        </w:rPr>
        <w:t>、</w:t>
      </w:r>
      <w:r>
        <w:rPr>
          <w:rFonts w:hint="eastAsia"/>
          <w:color w:val="000000"/>
          <w:szCs w:val="21"/>
          <w:lang w:val="en-US" w:eastAsia="zh-CN"/>
        </w:rPr>
        <w:t>0.1</w:t>
      </w:r>
      <w:r>
        <w:rPr>
          <w:rFonts w:eastAsia="宋体"/>
          <w:color w:val="000000"/>
          <w:szCs w:val="21"/>
        </w:rPr>
        <w:t xml:space="preserve"> mL</w:t>
      </w:r>
      <w:r>
        <w:rPr>
          <w:rFonts w:hint="eastAsia"/>
          <w:color w:val="000000"/>
          <w:szCs w:val="21"/>
          <w:lang w:eastAsia="zh-CN"/>
        </w:rPr>
        <w:t>、</w:t>
      </w:r>
      <w:r>
        <w:rPr>
          <w:rFonts w:hint="eastAsia"/>
          <w:color w:val="000000"/>
          <w:szCs w:val="21"/>
          <w:lang w:val="en-US" w:eastAsia="zh-CN"/>
        </w:rPr>
        <w:t>0.5</w:t>
      </w:r>
      <w:r>
        <w:rPr>
          <w:rFonts w:eastAsia="宋体"/>
          <w:color w:val="000000"/>
          <w:szCs w:val="21"/>
        </w:rPr>
        <w:t xml:space="preserve"> mL</w:t>
      </w:r>
      <w:r>
        <w:rPr>
          <w:rFonts w:hint="eastAsia"/>
          <w:color w:val="000000"/>
          <w:szCs w:val="21"/>
          <w:lang w:eastAsia="zh-CN"/>
        </w:rPr>
        <w:t>、</w:t>
      </w:r>
      <w:r>
        <w:rPr>
          <w:rFonts w:hint="eastAsia"/>
          <w:color w:val="000000"/>
          <w:szCs w:val="21"/>
          <w:lang w:val="en-US" w:eastAsia="zh-CN"/>
        </w:rPr>
        <w:t>1</w:t>
      </w:r>
      <w:r>
        <w:rPr>
          <w:rFonts w:eastAsia="宋体"/>
          <w:color w:val="000000"/>
          <w:szCs w:val="21"/>
        </w:rPr>
        <w:t xml:space="preserve"> mL</w:t>
      </w:r>
      <w:r>
        <w:rPr>
          <w:rFonts w:hint="eastAsia"/>
          <w:color w:val="000000"/>
          <w:szCs w:val="21"/>
          <w:lang w:eastAsia="zh-CN"/>
        </w:rPr>
        <w:t>、</w:t>
      </w:r>
      <w:r>
        <w:rPr>
          <w:rFonts w:hint="eastAsia"/>
          <w:color w:val="000000"/>
          <w:szCs w:val="21"/>
          <w:lang w:val="en-US" w:eastAsia="zh-CN"/>
        </w:rPr>
        <w:t>1.5</w:t>
      </w:r>
      <w:r>
        <w:rPr>
          <w:rFonts w:eastAsia="宋体"/>
          <w:color w:val="000000"/>
          <w:szCs w:val="21"/>
        </w:rPr>
        <w:t xml:space="preserve"> mL</w:t>
      </w:r>
      <w:r>
        <w:rPr>
          <w:rFonts w:hint="eastAsia" w:ascii="宋体" w:hAnsi="宋体" w:cs="宋体"/>
          <w:szCs w:val="21"/>
        </w:rPr>
        <w:t>于7个100 mL容量瓶中</w:t>
      </w:r>
      <w:r>
        <w:rPr>
          <w:rFonts w:hint="eastAsia" w:ascii="宋体" w:hAnsi="宋体" w:cs="宋体"/>
          <w:szCs w:val="21"/>
          <w:lang w:eastAsia="zh-CN"/>
        </w:rPr>
        <w:t>，</w:t>
      </w:r>
      <w:r>
        <w:rPr>
          <w:rFonts w:hint="eastAsia" w:ascii="宋体" w:hAnsi="宋体" w:cs="宋体"/>
          <w:szCs w:val="21"/>
          <w:lang w:val="en-US" w:eastAsia="zh-CN"/>
        </w:rPr>
        <w:t>加入1mL</w:t>
      </w:r>
      <w:r>
        <w:rPr>
          <w:rFonts w:hint="eastAsia" w:hAnsi="宋体" w:cs="宋体"/>
          <w:lang w:val="en-US" w:eastAsia="zh-CN"/>
        </w:rPr>
        <w:t>铯、铟和铑混合标准溶液（</w:t>
      </w:r>
      <w:r>
        <w:rPr>
          <w:rFonts w:hint="eastAsia" w:cs="宋体"/>
          <w:lang w:val="en-US" w:eastAsia="zh-CN"/>
        </w:rPr>
        <w:t>5.2</w:t>
      </w:r>
      <w:r>
        <w:rPr>
          <w:rFonts w:hint="eastAsia" w:hAnsi="宋体" w:cs="宋体"/>
          <w:lang w:val="en-US" w:eastAsia="zh-CN"/>
        </w:rPr>
        <w:t>.1</w:t>
      </w:r>
      <w:r>
        <w:rPr>
          <w:rFonts w:hint="eastAsia" w:cs="宋体"/>
          <w:lang w:val="en-US" w:eastAsia="zh-CN"/>
        </w:rPr>
        <w:t>2</w:t>
      </w:r>
      <w:r>
        <w:rPr>
          <w:rFonts w:hint="eastAsia" w:hAnsi="宋体" w:cs="宋体"/>
          <w:lang w:val="en-US" w:eastAsia="zh-CN"/>
        </w:rPr>
        <w:t>），</w:t>
      </w:r>
      <w:r>
        <w:rPr>
          <w:rFonts w:hint="eastAsia" w:ascii="宋体" w:hAnsi="宋体" w:cs="宋体"/>
          <w:szCs w:val="21"/>
        </w:rPr>
        <w:t>以硝酸（</w:t>
      </w:r>
      <w:r>
        <w:rPr>
          <w:rFonts w:hint="eastAsia" w:cs="宋体"/>
          <w:szCs w:val="21"/>
          <w:lang w:val="en-US" w:eastAsia="zh-CN"/>
        </w:rPr>
        <w:t>5.2</w:t>
      </w:r>
      <w:r>
        <w:rPr>
          <w:rFonts w:hint="eastAsia" w:ascii="宋体" w:hAnsi="宋体" w:cs="宋体"/>
          <w:szCs w:val="21"/>
        </w:rPr>
        <w:t>.4）定容至刻度，混匀，待测。此标准系列溶液浓度见表</w:t>
      </w:r>
      <w:r>
        <w:rPr>
          <w:rFonts w:hint="eastAsia" w:cs="宋体"/>
          <w:szCs w:val="21"/>
          <w:lang w:val="en-US" w:eastAsia="zh-CN"/>
        </w:rPr>
        <w:t>8</w:t>
      </w:r>
      <w:r>
        <w:rPr>
          <w:rFonts w:hint="eastAsia" w:ascii="宋体" w:hAnsi="宋体" w:cs="宋体"/>
          <w:szCs w:val="21"/>
        </w:rPr>
        <w:t>。</w:t>
      </w:r>
    </w:p>
    <w:p w14:paraId="58D7F5DA">
      <w:pPr>
        <w:pStyle w:val="11"/>
        <w:ind w:left="0" w:leftChars="0" w:firstLine="0" w:firstLineChars="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表</w:t>
      </w:r>
      <w:r>
        <w:rPr>
          <w:rFonts w:hint="eastAsia" w:ascii="宋体" w:hAnsi="宋体" w:eastAsia="宋体" w:cs="宋体"/>
          <w:kern w:val="2"/>
          <w:sz w:val="21"/>
          <w:szCs w:val="21"/>
          <w:lang w:val="en-US" w:eastAsia="zh-CN" w:bidi="ar-SA"/>
        </w:rPr>
        <w:t>8 系列标准溶液的配制</w:t>
      </w:r>
    </w:p>
    <w:tbl>
      <w:tblPr>
        <w:tblStyle w:val="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876"/>
        <w:gridCol w:w="1033"/>
        <w:gridCol w:w="1313"/>
        <w:gridCol w:w="1074"/>
        <w:gridCol w:w="1074"/>
        <w:gridCol w:w="1074"/>
        <w:gridCol w:w="1082"/>
      </w:tblGrid>
      <w:tr w14:paraId="0D12A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tcBorders>
              <w:bottom w:val="single" w:color="auto" w:sz="12" w:space="0"/>
            </w:tcBorders>
            <w:noWrap/>
            <w:vAlign w:val="center"/>
          </w:tcPr>
          <w:p w14:paraId="662E2B4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标准溶液编号</w:t>
            </w:r>
          </w:p>
        </w:tc>
        <w:tc>
          <w:tcPr>
            <w:tcW w:w="480" w:type="pct"/>
            <w:tcBorders>
              <w:bottom w:val="single" w:color="auto" w:sz="12" w:space="0"/>
            </w:tcBorders>
            <w:noWrap/>
            <w:vAlign w:val="center"/>
          </w:tcPr>
          <w:p w14:paraId="79A8CF3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567" w:type="pct"/>
            <w:tcBorders>
              <w:bottom w:val="single" w:color="auto" w:sz="12" w:space="0"/>
            </w:tcBorders>
            <w:noWrap/>
            <w:vAlign w:val="center"/>
          </w:tcPr>
          <w:p w14:paraId="67E4929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721" w:type="pct"/>
            <w:tcBorders>
              <w:bottom w:val="single" w:color="auto" w:sz="12" w:space="0"/>
            </w:tcBorders>
            <w:noWrap/>
            <w:vAlign w:val="center"/>
          </w:tcPr>
          <w:p w14:paraId="444094EF">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3</w:t>
            </w:r>
          </w:p>
        </w:tc>
        <w:tc>
          <w:tcPr>
            <w:tcW w:w="589" w:type="pct"/>
            <w:tcBorders>
              <w:bottom w:val="single" w:color="auto" w:sz="12" w:space="0"/>
            </w:tcBorders>
            <w:noWrap/>
            <w:vAlign w:val="center"/>
          </w:tcPr>
          <w:p w14:paraId="77D22A7F">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w:t>
            </w:r>
          </w:p>
        </w:tc>
        <w:tc>
          <w:tcPr>
            <w:tcW w:w="589" w:type="pct"/>
            <w:tcBorders>
              <w:bottom w:val="single" w:color="auto" w:sz="12" w:space="0"/>
            </w:tcBorders>
            <w:noWrap/>
            <w:vAlign w:val="center"/>
          </w:tcPr>
          <w:p w14:paraId="64B19597">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5</w:t>
            </w:r>
          </w:p>
        </w:tc>
        <w:tc>
          <w:tcPr>
            <w:tcW w:w="589" w:type="pct"/>
            <w:tcBorders>
              <w:bottom w:val="single" w:color="auto" w:sz="12" w:space="0"/>
            </w:tcBorders>
            <w:noWrap/>
            <w:vAlign w:val="center"/>
          </w:tcPr>
          <w:p w14:paraId="11E5289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589" w:type="pct"/>
            <w:tcBorders>
              <w:bottom w:val="single" w:color="auto" w:sz="12" w:space="0"/>
            </w:tcBorders>
            <w:noWrap/>
            <w:vAlign w:val="center"/>
          </w:tcPr>
          <w:p w14:paraId="50F8E56B">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r>
      <w:tr w14:paraId="0D4B8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871" w:type="pct"/>
            <w:tcBorders>
              <w:top w:val="single" w:color="auto" w:sz="12" w:space="0"/>
              <w:bottom w:val="single" w:color="auto" w:sz="12" w:space="0"/>
            </w:tcBorders>
            <w:noWrap/>
            <w:vAlign w:val="center"/>
          </w:tcPr>
          <w:p w14:paraId="186BF64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Th、U (ng/mL)</w:t>
            </w:r>
          </w:p>
        </w:tc>
        <w:tc>
          <w:tcPr>
            <w:tcW w:w="480" w:type="pct"/>
            <w:tcBorders>
              <w:top w:val="single" w:color="auto" w:sz="12" w:space="0"/>
              <w:bottom w:val="single" w:color="auto" w:sz="12" w:space="0"/>
            </w:tcBorders>
            <w:noWrap/>
            <w:vAlign w:val="center"/>
          </w:tcPr>
          <w:p w14:paraId="4E27063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567" w:type="pct"/>
            <w:tcBorders>
              <w:top w:val="single" w:color="auto" w:sz="12" w:space="0"/>
              <w:bottom w:val="single" w:color="auto" w:sz="12" w:space="0"/>
            </w:tcBorders>
            <w:noWrap/>
            <w:vAlign w:val="center"/>
          </w:tcPr>
          <w:p w14:paraId="6AA80F1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721" w:type="pct"/>
            <w:tcBorders>
              <w:top w:val="single" w:color="auto" w:sz="12" w:space="0"/>
              <w:bottom w:val="single" w:color="auto" w:sz="12" w:space="0"/>
            </w:tcBorders>
            <w:noWrap/>
            <w:vAlign w:val="center"/>
          </w:tcPr>
          <w:p w14:paraId="2CB19EC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589" w:type="pct"/>
            <w:tcBorders>
              <w:top w:val="single" w:color="auto" w:sz="12" w:space="0"/>
              <w:bottom w:val="single" w:color="auto" w:sz="12" w:space="0"/>
            </w:tcBorders>
            <w:noWrap/>
            <w:vAlign w:val="center"/>
          </w:tcPr>
          <w:p w14:paraId="6AAD8FE7">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10</w:t>
            </w:r>
          </w:p>
        </w:tc>
        <w:tc>
          <w:tcPr>
            <w:tcW w:w="589" w:type="pct"/>
            <w:tcBorders>
              <w:top w:val="single" w:color="auto" w:sz="12" w:space="0"/>
              <w:bottom w:val="single" w:color="auto" w:sz="12" w:space="0"/>
            </w:tcBorders>
            <w:noWrap/>
            <w:vAlign w:val="center"/>
          </w:tcPr>
          <w:p w14:paraId="0E385437">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w:t>
            </w:r>
          </w:p>
        </w:tc>
        <w:tc>
          <w:tcPr>
            <w:tcW w:w="589" w:type="pct"/>
            <w:tcBorders>
              <w:top w:val="single" w:color="auto" w:sz="12" w:space="0"/>
              <w:bottom w:val="single" w:color="auto" w:sz="12" w:space="0"/>
            </w:tcBorders>
            <w:noWrap/>
            <w:vAlign w:val="center"/>
          </w:tcPr>
          <w:p w14:paraId="2CCD42B0">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c>
          <w:tcPr>
            <w:tcW w:w="589" w:type="pct"/>
            <w:tcBorders>
              <w:top w:val="single" w:color="auto" w:sz="12" w:space="0"/>
              <w:bottom w:val="single" w:color="auto" w:sz="12" w:space="0"/>
            </w:tcBorders>
            <w:noWrap/>
            <w:vAlign w:val="center"/>
          </w:tcPr>
          <w:p w14:paraId="7B660BD4">
            <w:pPr>
              <w:jc w:val="center"/>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lang w:val="en-US" w:eastAsia="zh-CN"/>
              </w:rPr>
              <w:t>150</w:t>
            </w:r>
          </w:p>
        </w:tc>
      </w:tr>
      <w:tr w14:paraId="3A1E2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871" w:type="pct"/>
            <w:tcBorders>
              <w:top w:val="single" w:color="auto" w:sz="12" w:space="0"/>
              <w:bottom w:val="single" w:color="auto" w:sz="12" w:space="0"/>
            </w:tcBorders>
            <w:noWrap/>
            <w:vAlign w:val="center"/>
          </w:tcPr>
          <w:p w14:paraId="7003C84A">
            <w:pPr>
              <w:jc w:val="center"/>
              <w:rPr>
                <w:rFonts w:hint="default" w:ascii="Times New Roman" w:hAnsi="Times New Roman" w:cs="Times New Roman"/>
                <w:color w:val="auto"/>
                <w:sz w:val="21"/>
                <w:szCs w:val="21"/>
              </w:rPr>
            </w:pPr>
            <w:r>
              <w:rPr>
                <w:rFonts w:hint="eastAsia" w:ascii="宋体" w:hAnsi="宋体" w:cs="宋体"/>
              </w:rPr>
              <w:t>铯</w:t>
            </w:r>
            <w:r>
              <w:rPr>
                <w:rFonts w:hint="eastAsia" w:hAnsi="宋体" w:cs="宋体"/>
                <w:lang w:eastAsia="zh-CN"/>
              </w:rPr>
              <w:t>、</w:t>
            </w:r>
            <w:r>
              <w:rPr>
                <w:rFonts w:hint="eastAsia" w:ascii="宋体" w:hAnsi="宋体" w:eastAsia="宋体" w:cs="宋体"/>
                <w:lang w:val="en-US" w:eastAsia="zh-CN"/>
              </w:rPr>
              <w:t>铟</w:t>
            </w:r>
            <w:r>
              <w:rPr>
                <w:rFonts w:hint="eastAsia" w:hAnsi="宋体" w:cs="宋体"/>
                <w:lang w:val="en-US" w:eastAsia="zh-CN"/>
              </w:rPr>
              <w:t>和铑</w:t>
            </w:r>
            <w:r>
              <w:rPr>
                <w:rFonts w:hint="default" w:ascii="Times New Roman" w:hAnsi="Times New Roman" w:cs="Times New Roman"/>
                <w:color w:val="auto"/>
                <w:sz w:val="21"/>
                <w:szCs w:val="21"/>
              </w:rPr>
              <w:t xml:space="preserve"> (ng/mL)</w:t>
            </w:r>
          </w:p>
        </w:tc>
        <w:tc>
          <w:tcPr>
            <w:tcW w:w="480" w:type="pct"/>
            <w:tcBorders>
              <w:top w:val="single" w:color="auto" w:sz="12" w:space="0"/>
              <w:bottom w:val="single" w:color="auto" w:sz="12" w:space="0"/>
            </w:tcBorders>
            <w:noWrap/>
            <w:vAlign w:val="center"/>
          </w:tcPr>
          <w:p w14:paraId="5EEA4CE6">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567" w:type="pct"/>
            <w:tcBorders>
              <w:top w:val="single" w:color="auto" w:sz="12" w:space="0"/>
              <w:bottom w:val="single" w:color="auto" w:sz="12" w:space="0"/>
            </w:tcBorders>
            <w:noWrap/>
            <w:vAlign w:val="center"/>
          </w:tcPr>
          <w:p w14:paraId="423E62D6">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721" w:type="pct"/>
            <w:tcBorders>
              <w:top w:val="single" w:color="auto" w:sz="12" w:space="0"/>
              <w:bottom w:val="single" w:color="auto" w:sz="12" w:space="0"/>
            </w:tcBorders>
            <w:noWrap/>
            <w:vAlign w:val="center"/>
          </w:tcPr>
          <w:p w14:paraId="4257CE1D">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589" w:type="pct"/>
            <w:tcBorders>
              <w:top w:val="single" w:color="auto" w:sz="12" w:space="0"/>
              <w:bottom w:val="single" w:color="auto" w:sz="12" w:space="0"/>
            </w:tcBorders>
            <w:noWrap/>
            <w:vAlign w:val="center"/>
          </w:tcPr>
          <w:p w14:paraId="7E4066CE">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589" w:type="pct"/>
            <w:tcBorders>
              <w:top w:val="single" w:color="auto" w:sz="12" w:space="0"/>
              <w:bottom w:val="single" w:color="auto" w:sz="12" w:space="0"/>
            </w:tcBorders>
            <w:noWrap/>
            <w:vAlign w:val="center"/>
          </w:tcPr>
          <w:p w14:paraId="533A73E2">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589" w:type="pct"/>
            <w:tcBorders>
              <w:top w:val="single" w:color="auto" w:sz="12" w:space="0"/>
              <w:bottom w:val="single" w:color="auto" w:sz="12" w:space="0"/>
            </w:tcBorders>
            <w:noWrap/>
            <w:vAlign w:val="center"/>
          </w:tcPr>
          <w:p w14:paraId="644115E3">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589" w:type="pct"/>
            <w:tcBorders>
              <w:top w:val="single" w:color="auto" w:sz="12" w:space="0"/>
              <w:bottom w:val="single" w:color="auto" w:sz="12" w:space="0"/>
            </w:tcBorders>
            <w:noWrap/>
            <w:vAlign w:val="center"/>
          </w:tcPr>
          <w:p w14:paraId="0E75D9DD">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r>
      <w:tr w14:paraId="0F84B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5000" w:type="pct"/>
            <w:gridSpan w:val="8"/>
            <w:tcBorders>
              <w:top w:val="single" w:color="auto" w:sz="12" w:space="0"/>
              <w:bottom w:val="single" w:color="auto" w:sz="12" w:space="0"/>
            </w:tcBorders>
            <w:noWrap/>
            <w:vAlign w:val="center"/>
          </w:tcPr>
          <w:p w14:paraId="224BF382">
            <w:pPr>
              <w:pStyle w:val="4"/>
              <w:adjustRightInd w:val="0"/>
              <w:snapToGrid w:val="0"/>
              <w:rPr>
                <w:rFonts w:hint="default" w:cs="Times New Roman"/>
                <w:color w:val="auto"/>
                <w:sz w:val="21"/>
                <w:szCs w:val="21"/>
                <w:lang w:val="en-US" w:eastAsia="zh-CN"/>
              </w:rPr>
            </w:pPr>
            <w:r>
              <w:rPr>
                <w:rFonts w:hint="eastAsia" w:ascii="Times New Roman" w:hAnsi="Times New Roman"/>
                <w:sz w:val="18"/>
                <w:szCs w:val="18"/>
                <w:lang w:val="en-US" w:eastAsia="zh-CN"/>
              </w:rPr>
              <w:t>注：使用具有在线加入</w:t>
            </w:r>
            <w:r>
              <w:rPr>
                <w:rFonts w:hint="eastAsia" w:ascii="宋体" w:hAnsi="宋体" w:eastAsia="宋体" w:cs="宋体"/>
                <w:sz w:val="18"/>
                <w:szCs w:val="18"/>
                <w:lang w:val="en-US" w:eastAsia="zh-CN"/>
              </w:rPr>
              <w:t>铯、铟和铑混合标准溶液（5.2.12）装置的</w:t>
            </w:r>
            <w:r>
              <w:rPr>
                <w:rFonts w:hint="eastAsia" w:hAnsi="宋体"/>
                <w:sz w:val="18"/>
                <w:szCs w:val="18"/>
                <w:lang w:val="en-US" w:eastAsia="zh-CN"/>
              </w:rPr>
              <w:t>仪器，在系列标准溶液配制时不加入内标溶液。</w:t>
            </w:r>
          </w:p>
        </w:tc>
      </w:tr>
    </w:tbl>
    <w:p w14:paraId="7B995755">
      <w:pPr>
        <w:pStyle w:val="13"/>
        <w:rPr>
          <w:rFonts w:hint="eastAsia"/>
          <w:color w:val="auto"/>
          <w:lang w:val="en-US" w:eastAsia="zh-CN"/>
        </w:rPr>
      </w:pPr>
      <w:r>
        <w:rPr>
          <w:rFonts w:hint="eastAsia"/>
          <w:color w:val="auto"/>
          <w:lang w:val="en-US" w:eastAsia="zh-CN"/>
        </w:rPr>
        <w:t>5.5.5　分析试液的制备</w:t>
      </w:r>
    </w:p>
    <w:p w14:paraId="1818FC77">
      <w:pPr>
        <w:pStyle w:val="11"/>
        <w:ind w:left="0" w:leftChars="0" w:right="240" w:firstLine="0" w:firstLineChars="0"/>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lang w:val="en-US" w:eastAsia="zh-CN" w:bidi="ar"/>
        </w:rPr>
        <w:t>5.5.5.1 将</w:t>
      </w:r>
      <w:r>
        <w:rPr>
          <w:rFonts w:hint="eastAsia" w:ascii="宋体" w:hAnsi="宋体" w:eastAsia="宋体" w:cs="宋体"/>
          <w:kern w:val="2"/>
          <w:sz w:val="21"/>
          <w:szCs w:val="21"/>
          <w:u w:val="none"/>
          <w:lang w:val="en-US" w:eastAsia="zh-CN" w:bidi="ar"/>
        </w:rPr>
        <w:t>样品（5.5.1</w:t>
      </w:r>
      <w:r>
        <w:rPr>
          <w:rFonts w:hint="eastAsia" w:ascii="宋体" w:hAnsi="宋体" w:eastAsia="宋体" w:cs="宋体"/>
          <w:kern w:val="2"/>
          <w:sz w:val="21"/>
          <w:szCs w:val="21"/>
          <w:highlight w:val="none"/>
          <w:u w:val="none"/>
          <w:lang w:val="en-US" w:eastAsia="zh-CN" w:bidi="ar"/>
        </w:rPr>
        <w:t>）置于150 mL聚四氟乙烯烧杯中，加入少量水，加入</w:t>
      </w:r>
      <w:r>
        <w:rPr>
          <w:rFonts w:hint="eastAsia" w:hAnsi="宋体" w:cs="宋体"/>
          <w:kern w:val="2"/>
          <w:sz w:val="21"/>
          <w:szCs w:val="21"/>
          <w:highlight w:val="none"/>
          <w:u w:val="none"/>
          <w:lang w:val="en-US" w:eastAsia="zh-CN" w:bidi="ar"/>
        </w:rPr>
        <w:t xml:space="preserve">2 </w:t>
      </w:r>
      <w:r>
        <w:rPr>
          <w:rFonts w:hint="eastAsia" w:ascii="宋体" w:hAnsi="宋体" w:eastAsia="宋体" w:cs="宋体"/>
          <w:kern w:val="2"/>
          <w:sz w:val="21"/>
          <w:szCs w:val="21"/>
          <w:highlight w:val="none"/>
          <w:u w:val="none"/>
          <w:lang w:val="en-US" w:eastAsia="zh-CN" w:bidi="ar"/>
        </w:rPr>
        <w:t>mL硝酸（5.2.3），加热分解3min~5min，加入2mL氢氟酸（5.2.2）继续分解3min～5min，加入3mL高氯酸（5.2.5）冒烟并蒸至近干，取下稍冷后加入5mL硝酸（5.2.3）并滴加3滴～5滴过氧化氢（5.2.1），加热溶解至清亮，将试液移入100mL容量瓶中并用水稀释至</w:t>
      </w:r>
      <w:r>
        <w:rPr>
          <w:rFonts w:hint="eastAsia" w:ascii="宋体" w:hAnsi="宋体" w:eastAsia="宋体" w:cs="宋体"/>
          <w:kern w:val="2"/>
          <w:sz w:val="21"/>
          <w:szCs w:val="21"/>
          <w:highlight w:val="none"/>
          <w:lang w:val="en-US" w:eastAsia="zh-CN" w:bidi="ar"/>
        </w:rPr>
        <w:t>刻度，混匀。</w:t>
      </w:r>
    </w:p>
    <w:p w14:paraId="666DF8E2">
      <w:pPr>
        <w:pStyle w:val="11"/>
        <w:ind w:left="0" w:leftChars="0" w:right="240" w:firstLine="0" w:firstLineChars="0"/>
        <w:rPr>
          <w:rFonts w:hint="default" w:ascii="Times New Roman" w:hAnsi="宋体" w:eastAsia="宋体" w:cs="Times New Roman"/>
          <w:kern w:val="2"/>
          <w:sz w:val="21"/>
          <w:szCs w:val="21"/>
          <w:lang w:val="en-US" w:eastAsia="zh-CN" w:bidi="ar"/>
        </w:rPr>
      </w:pPr>
      <w:r>
        <w:rPr>
          <w:rFonts w:hint="eastAsia" w:ascii="宋体" w:hAnsi="宋体" w:eastAsia="宋体" w:cs="宋体"/>
          <w:kern w:val="2"/>
          <w:sz w:val="21"/>
          <w:szCs w:val="21"/>
          <w:lang w:val="en-US" w:eastAsia="zh-CN" w:bidi="ar"/>
        </w:rPr>
        <w:t>5.5.5.2 移取10 mL试液（5.5.5.1）于100 mL容量瓶中，加入1 mL铯、铟和铑混合标准溶液（</w:t>
      </w:r>
      <w:r>
        <w:rPr>
          <w:rFonts w:hint="eastAsia" w:hAnsi="宋体" w:cs="宋体"/>
          <w:kern w:val="2"/>
          <w:sz w:val="21"/>
          <w:szCs w:val="21"/>
          <w:lang w:val="en-US" w:eastAsia="zh-CN" w:bidi="ar"/>
        </w:rPr>
        <w:t>5.2</w:t>
      </w:r>
      <w:r>
        <w:rPr>
          <w:rFonts w:hint="eastAsia" w:ascii="宋体" w:hAnsi="宋体" w:eastAsia="宋体" w:cs="宋体"/>
          <w:kern w:val="2"/>
          <w:sz w:val="21"/>
          <w:szCs w:val="21"/>
          <w:lang w:val="en-US" w:eastAsia="zh-CN" w:bidi="ar"/>
        </w:rPr>
        <w:t>.1</w:t>
      </w:r>
      <w:r>
        <w:rPr>
          <w:rFonts w:hint="eastAsia" w:hAnsi="宋体" w:cs="宋体"/>
          <w:kern w:val="2"/>
          <w:sz w:val="21"/>
          <w:szCs w:val="21"/>
          <w:lang w:val="en-US" w:eastAsia="zh-CN" w:bidi="ar"/>
        </w:rPr>
        <w:t>2</w:t>
      </w:r>
      <w:r>
        <w:rPr>
          <w:rFonts w:hint="eastAsia" w:ascii="宋体" w:hAnsi="宋体" w:eastAsia="宋体" w:cs="宋体"/>
          <w:kern w:val="2"/>
          <w:sz w:val="21"/>
          <w:szCs w:val="21"/>
          <w:lang w:val="en-US" w:eastAsia="zh-CN" w:bidi="ar"/>
        </w:rPr>
        <w:t>），以硝酸（</w:t>
      </w:r>
      <w:r>
        <w:rPr>
          <w:rFonts w:hint="eastAsia" w:hAnsi="宋体" w:cs="宋体"/>
          <w:kern w:val="2"/>
          <w:sz w:val="21"/>
          <w:szCs w:val="21"/>
          <w:lang w:val="en-US" w:eastAsia="zh-CN" w:bidi="ar"/>
        </w:rPr>
        <w:t>5.2.4</w:t>
      </w:r>
      <w:r>
        <w:rPr>
          <w:rFonts w:hint="eastAsia" w:ascii="宋体" w:hAnsi="宋体" w:eastAsia="宋体" w:cs="宋体"/>
          <w:kern w:val="2"/>
          <w:sz w:val="21"/>
          <w:szCs w:val="21"/>
          <w:lang w:val="en-US" w:eastAsia="zh-CN" w:bidi="ar"/>
        </w:rPr>
        <w:t>）定容至刻度，混匀，待测。</w:t>
      </w:r>
    </w:p>
    <w:p w14:paraId="67591DA1">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5.5</w:t>
      </w:r>
      <w:r>
        <w:rPr>
          <w:rFonts w:hint="eastAsia" w:hAnsi="黑体" w:cs="黑体"/>
          <w:color w:val="000000"/>
        </w:rPr>
        <w:t>.6  测定</w:t>
      </w:r>
    </w:p>
    <w:p w14:paraId="50037332">
      <w:pPr>
        <w:pStyle w:val="13"/>
        <w:numPr>
          <w:ilvl w:val="0"/>
          <w:numId w:val="0"/>
        </w:numPr>
        <w:spacing w:before="312" w:beforeLines="100" w:after="312" w:afterLines="100"/>
        <w:rPr>
          <w:rFonts w:hint="eastAsia" w:hAnsi="黑体" w:cs="黑体"/>
          <w:color w:val="000000"/>
          <w:lang w:val="en-US" w:eastAsia="zh-CN"/>
        </w:rPr>
      </w:pPr>
      <w:r>
        <w:rPr>
          <w:rFonts w:hint="eastAsia" w:hAnsi="黑体" w:cs="黑体"/>
          <w:color w:val="000000"/>
          <w:lang w:val="en-US" w:eastAsia="zh-CN"/>
        </w:rPr>
        <w:t>5.5.6.1 标准曲线的绘制</w:t>
      </w:r>
    </w:p>
    <w:p w14:paraId="18BCE4EF">
      <w:pPr>
        <w:pStyle w:val="11"/>
        <w:ind w:left="0" w:leftChars="0" w:right="240" w:firstLine="420" w:firstLineChars="200"/>
        <w:rPr>
          <w:rFonts w:hint="default"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待电感耦合等离子体质谱仪运行稳定后，在选定的仪器工作条件下，与待测元素和内标元素质量数处，依次测定系列标准溶液（5.5.4）中待测元素和内标元素的离子流信号强度。以标准溶液中待测元素的质量浓度为横坐标，待测元素以内标元素的离子流信号强度比值为纵坐标，绘制标准曲线。各元素标准曲线相关系数应在0.9995以上，否则需重新进行标准化或重新配制标准溶液进行标准化。</w:t>
      </w:r>
    </w:p>
    <w:p w14:paraId="340A1E84">
      <w:pPr>
        <w:pStyle w:val="13"/>
        <w:numPr>
          <w:ilvl w:val="0"/>
          <w:numId w:val="0"/>
        </w:numPr>
        <w:spacing w:before="312" w:beforeLines="100" w:after="312" w:afterLines="100"/>
        <w:rPr>
          <w:rFonts w:hint="eastAsia" w:hAnsi="黑体" w:cs="黑体"/>
          <w:color w:val="000000"/>
          <w:lang w:val="en-US" w:eastAsia="zh-CN"/>
        </w:rPr>
      </w:pPr>
      <w:r>
        <w:rPr>
          <w:rFonts w:hint="eastAsia" w:hAnsi="黑体" w:cs="黑体"/>
          <w:color w:val="000000"/>
          <w:lang w:val="en-US" w:eastAsia="zh-CN"/>
        </w:rPr>
        <w:t>5.5.6.2 分析试液和空白试验液的测定</w:t>
      </w:r>
    </w:p>
    <w:p w14:paraId="2B1AAC95">
      <w:pPr>
        <w:pStyle w:val="11"/>
        <w:ind w:left="0" w:leftChars="0" w:right="240" w:firstLine="420" w:firstLineChars="200"/>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在标准曲线（5.5.6.1）符合测定的要求后，立即测定</w:t>
      </w:r>
      <w:r>
        <w:rPr>
          <w:rFonts w:hint="eastAsia"/>
          <w:color w:val="auto"/>
          <w:lang w:val="en-US" w:eastAsia="zh-CN"/>
        </w:rPr>
        <w:t>分析试液（5.5.5）</w:t>
      </w:r>
      <w:r>
        <w:rPr>
          <w:rFonts w:hint="eastAsia" w:ascii="宋体" w:hAnsi="宋体" w:eastAsia="宋体" w:cs="宋体"/>
          <w:kern w:val="2"/>
          <w:sz w:val="21"/>
          <w:szCs w:val="21"/>
          <w:u w:val="none"/>
          <w:lang w:val="en-US" w:eastAsia="zh-CN" w:bidi="ar"/>
        </w:rPr>
        <w:t>和空白试验液</w:t>
      </w:r>
      <w:r>
        <w:rPr>
          <w:rFonts w:hint="eastAsia" w:hAnsi="宋体" w:cs="宋体"/>
          <w:kern w:val="2"/>
          <w:sz w:val="21"/>
          <w:szCs w:val="21"/>
          <w:u w:val="none"/>
          <w:lang w:val="en-US" w:eastAsia="zh-CN" w:bidi="ar"/>
        </w:rPr>
        <w:t>（5.5.3）</w:t>
      </w:r>
      <w:r>
        <w:rPr>
          <w:rFonts w:hint="eastAsia" w:ascii="宋体" w:hAnsi="宋体" w:eastAsia="宋体" w:cs="宋体"/>
          <w:kern w:val="2"/>
          <w:sz w:val="21"/>
          <w:szCs w:val="21"/>
          <w:u w:val="none"/>
          <w:lang w:val="en-US" w:eastAsia="zh-CN" w:bidi="ar"/>
        </w:rPr>
        <w:t>中测定元素的离子流信号强度，仪器根据标准曲线（5.5.6.1）自动进行数据处理，计算并输出各元素含量。</w:t>
      </w:r>
    </w:p>
    <w:p w14:paraId="4904AA35">
      <w:pPr>
        <w:pStyle w:val="11"/>
        <w:ind w:left="0" w:leftChars="0" w:right="240" w:firstLine="420" w:firstLineChars="200"/>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注：使用具有在线加入混合内标溶液装置的仪器，应根据装置的加入比例，控制在线测定溶液的混合内标溶液各元素的浓度为100 ng/mL。</w:t>
      </w:r>
    </w:p>
    <w:p w14:paraId="41760933">
      <w:pPr>
        <w:pStyle w:val="13"/>
        <w:numPr>
          <w:ilvl w:val="0"/>
          <w:numId w:val="0"/>
        </w:numPr>
        <w:spacing w:before="312" w:beforeLines="100" w:after="312" w:afterLines="100"/>
        <w:rPr>
          <w:rFonts w:hint="default" w:hAnsi="黑体" w:eastAsia="黑体" w:cs="黑体"/>
          <w:color w:val="000000"/>
          <w:lang w:val="en-US" w:eastAsia="zh-CN"/>
        </w:rPr>
      </w:pPr>
      <w:r>
        <w:rPr>
          <w:rFonts w:hint="eastAsia" w:hAnsi="黑体" w:cs="黑体"/>
          <w:color w:val="000000"/>
          <w:lang w:val="en-US" w:eastAsia="zh-CN"/>
        </w:rPr>
        <w:t>5.6</w:t>
      </w:r>
      <w:r>
        <w:rPr>
          <w:rFonts w:hint="eastAsia" w:hAnsi="黑体" w:cs="黑体"/>
          <w:color w:val="000000"/>
        </w:rPr>
        <w:t>　试验数据处理</w:t>
      </w:r>
    </w:p>
    <w:p w14:paraId="69315DCE">
      <w:pPr>
        <w:pStyle w:val="11"/>
        <w:ind w:firstLine="420"/>
        <w:rPr>
          <w:rFonts w:ascii="Times New Roman"/>
          <w:kern w:val="2"/>
          <w:szCs w:val="21"/>
        </w:rPr>
      </w:pPr>
      <w:r>
        <w:rPr>
          <w:rFonts w:hint="eastAsia" w:ascii="Times New Roman"/>
        </w:rPr>
        <w:t>待测元素的质量分数</w:t>
      </w:r>
      <w:r>
        <w:rPr>
          <w:rFonts w:hint="eastAsia" w:hAnsi="宋体" w:cs="宋体"/>
          <w:i/>
          <w:iCs/>
          <w:position w:val="-10"/>
        </w:rPr>
        <w:object>
          <v:shape id="_x0000_i1027" o:spt="75" type="#_x0000_t75" style="height:17pt;width:15pt;" o:ole="t" filled="f" o:preferrelative="t" stroked="f" coordsize="21600,21600">
            <v:path/>
            <v:fill on="f" focussize="0,0"/>
            <v:stroke on="f"/>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vertAlign w:val="baseline"/>
          <w:lang w:val="en-US" w:eastAsia="zh-CN"/>
        </w:rPr>
        <w:t>计，按公式（2）计算</w:t>
      </w:r>
      <w:r>
        <w:rPr>
          <w:rFonts w:hint="eastAsia" w:ascii="Times New Roman"/>
        </w:rPr>
        <w:t>：</w:t>
      </w:r>
    </w:p>
    <w:p w14:paraId="356A7A4A">
      <w:pPr>
        <w:pStyle w:val="11"/>
        <w:ind w:left="0" w:leftChars="0" w:firstLine="0" w:firstLineChars="0"/>
        <w:jc w:val="right"/>
        <w:rPr>
          <w:rFonts w:hAnsi="宋体" w:cs="宋体"/>
          <w:position w:val="-24"/>
        </w:rPr>
      </w:pPr>
      <w:r>
        <w:rPr>
          <w:rFonts w:hint="eastAsia" w:hAnsi="宋体" w:cs="宋体"/>
          <w:i/>
          <w:iCs/>
          <w:position w:val="-30"/>
        </w:rPr>
        <w:object>
          <v:shape id="_x0000_i1028" o:spt="75" type="#_x0000_t75" style="height:36pt;width:182.85pt;" o:ole="t" filled="f" o:preferrelative="t" stroked="f" coordsize="21600,21600">
            <v:path/>
            <v:fill on="f" focussize="0,0"/>
            <v:stroke on="f"/>
            <v:imagedata r:id="rId23" o:title=""/>
            <o:lock v:ext="edit" aspectratio="t"/>
            <w10:wrap type="none"/>
            <w10:anchorlock/>
          </v:shape>
          <o:OLEObject Type="Embed" ProgID="Equation.3" ShapeID="_x0000_i1028" DrawAspect="Content" ObjectID="_1468075728" r:id="rId22">
            <o:LockedField>false</o:LockedField>
          </o:OLEObject>
        </w:object>
      </w:r>
      <w:r>
        <w:rPr>
          <w:rFonts w:ascii="Times New Roman"/>
        </w:rPr>
        <w:t>………………………………（</w:t>
      </w:r>
      <w:r>
        <w:rPr>
          <w:rFonts w:hint="eastAsia" w:ascii="Times New Roman"/>
          <w:lang w:val="en-US" w:eastAsia="zh-CN"/>
        </w:rPr>
        <w:t>2</w:t>
      </w:r>
      <w:r>
        <w:rPr>
          <w:rFonts w:ascii="Times New Roman"/>
        </w:rPr>
        <w:t>）</w:t>
      </w:r>
    </w:p>
    <w:p w14:paraId="328F71AD">
      <w:pPr>
        <w:pStyle w:val="11"/>
        <w:ind w:firstLine="420"/>
        <w:rPr>
          <w:rFonts w:ascii="Times New Roman"/>
        </w:rPr>
      </w:pPr>
      <w:r>
        <w:rPr>
          <w:rFonts w:ascii="Times New Roman"/>
        </w:rPr>
        <w:t>式中：</w:t>
      </w:r>
    </w:p>
    <w:p w14:paraId="7E9A73AF">
      <w:pPr>
        <w:adjustRightInd w:val="0"/>
        <w:snapToGrid w:val="0"/>
        <w:ind w:firstLine="420"/>
        <w:rPr>
          <w:rFonts w:ascii="宋体" w:hAnsi="宋体" w:cs="宋体"/>
          <w:szCs w:val="21"/>
        </w:rPr>
      </w:pPr>
      <w:r>
        <w:rPr>
          <w:rFonts w:hint="eastAsia" w:ascii="宋体" w:hAnsi="宋体" w:cs="宋体"/>
          <w:i/>
          <w:iCs/>
          <w:kern w:val="0"/>
          <w:szCs w:val="21"/>
        </w:rPr>
        <w:t>ρ</w:t>
      </w:r>
      <w:r>
        <w:rPr>
          <w:rFonts w:hint="eastAsia" w:cs="宋体"/>
          <w:iCs/>
          <w:kern w:val="0"/>
          <w:szCs w:val="21"/>
          <w:vertAlign w:val="subscript"/>
          <w:lang w:val="en-US" w:eastAsia="zh-CN"/>
        </w:rPr>
        <w:t>3</w:t>
      </w:r>
      <w:r>
        <w:rPr>
          <w:rFonts w:hint="eastAsia" w:ascii="宋体" w:hAnsi="宋体" w:cs="宋体"/>
          <w:i/>
          <w:kern w:val="0"/>
          <w:szCs w:val="21"/>
        </w:rPr>
        <w:t>——</w:t>
      </w:r>
      <w:r>
        <w:rPr>
          <w:rFonts w:hint="eastAsia" w:ascii="宋体" w:hAnsi="宋体" w:cs="宋体"/>
          <w:color w:val="000000"/>
          <w:kern w:val="0"/>
          <w:szCs w:val="21"/>
        </w:rPr>
        <w:t>分析试液(</w:t>
      </w:r>
      <w:r>
        <w:rPr>
          <w:rFonts w:hint="eastAsia" w:cs="宋体"/>
          <w:color w:val="000000"/>
          <w:kern w:val="0"/>
          <w:szCs w:val="21"/>
          <w:lang w:val="en-US" w:eastAsia="zh-CN"/>
        </w:rPr>
        <w:t>5.5</w:t>
      </w:r>
      <w:r>
        <w:rPr>
          <w:rFonts w:hint="eastAsia" w:ascii="宋体" w:hAnsi="宋体" w:cs="宋体"/>
          <w:color w:val="000000"/>
          <w:kern w:val="0"/>
          <w:szCs w:val="21"/>
          <w:lang w:val="en-US" w:eastAsia="zh-CN"/>
        </w:rPr>
        <w:t>.5</w:t>
      </w:r>
      <w:r>
        <w:rPr>
          <w:rFonts w:hint="eastAsia" w:ascii="宋体" w:hAnsi="宋体" w:cs="宋体"/>
          <w:color w:val="000000"/>
          <w:kern w:val="0"/>
          <w:szCs w:val="21"/>
        </w:rPr>
        <w:t>)中</w:t>
      </w:r>
      <w:r>
        <w:rPr>
          <w:rFonts w:hint="eastAsia" w:ascii="宋体" w:hAnsi="宋体" w:cs="宋体"/>
          <w:kern w:val="0"/>
          <w:szCs w:val="21"/>
        </w:rPr>
        <w:t>待测元素的质量浓度，单位为纳克每毫升（ng/mL）；</w:t>
      </w:r>
    </w:p>
    <w:p w14:paraId="7ECFF163">
      <w:pPr>
        <w:adjustRightInd w:val="0"/>
        <w:snapToGrid w:val="0"/>
        <w:ind w:left="422" w:leftChars="201"/>
        <w:rPr>
          <w:rFonts w:ascii="宋体" w:hAnsi="宋体" w:cs="宋体"/>
          <w:szCs w:val="21"/>
        </w:rPr>
      </w:pPr>
      <w:r>
        <w:rPr>
          <w:rFonts w:hint="eastAsia" w:ascii="宋体" w:hAnsi="宋体" w:cs="宋体"/>
          <w:i/>
          <w:iCs/>
          <w:kern w:val="0"/>
          <w:szCs w:val="21"/>
        </w:rPr>
        <w:t>ρ</w:t>
      </w:r>
      <w:r>
        <w:rPr>
          <w:rFonts w:hint="eastAsia" w:cs="宋体"/>
          <w:iCs/>
          <w:kern w:val="0"/>
          <w:szCs w:val="21"/>
          <w:vertAlign w:val="subscript"/>
          <w:lang w:val="en-US" w:eastAsia="zh-CN"/>
        </w:rPr>
        <w:t>2</w:t>
      </w:r>
      <w:r>
        <w:rPr>
          <w:rFonts w:hint="eastAsia" w:ascii="宋体" w:hAnsi="宋体" w:cs="宋体"/>
          <w:i/>
          <w:kern w:val="0"/>
          <w:szCs w:val="21"/>
        </w:rPr>
        <w:t>——</w:t>
      </w:r>
      <w:r>
        <w:rPr>
          <w:rFonts w:hint="eastAsia" w:ascii="宋体" w:hAnsi="宋体" w:cs="宋体"/>
          <w:kern w:val="0"/>
          <w:szCs w:val="21"/>
        </w:rPr>
        <w:t>空白</w:t>
      </w:r>
      <w:r>
        <w:rPr>
          <w:rFonts w:hint="eastAsia" w:ascii="宋体" w:hAnsi="宋体" w:cs="宋体"/>
          <w:kern w:val="0"/>
          <w:szCs w:val="21"/>
          <w:lang w:val="en-US" w:eastAsia="zh-CN"/>
        </w:rPr>
        <w:t>试验液</w:t>
      </w:r>
      <w:r>
        <w:rPr>
          <w:rFonts w:hint="eastAsia" w:ascii="宋体" w:hAnsi="宋体" w:cs="宋体"/>
          <w:color w:val="000000"/>
          <w:kern w:val="0"/>
          <w:szCs w:val="21"/>
        </w:rPr>
        <w:t>(</w:t>
      </w:r>
      <w:r>
        <w:rPr>
          <w:rFonts w:hint="eastAsia" w:cs="宋体"/>
          <w:color w:val="000000"/>
          <w:kern w:val="0"/>
          <w:szCs w:val="21"/>
          <w:lang w:val="en-US" w:eastAsia="zh-CN"/>
        </w:rPr>
        <w:t>5.5</w:t>
      </w:r>
      <w:r>
        <w:rPr>
          <w:rFonts w:hint="eastAsia" w:ascii="宋体" w:hAnsi="宋体" w:cs="宋体"/>
          <w:color w:val="000000"/>
          <w:kern w:val="0"/>
          <w:szCs w:val="21"/>
        </w:rPr>
        <w:t>.3)</w:t>
      </w:r>
      <w:r>
        <w:rPr>
          <w:rFonts w:hint="eastAsia" w:ascii="宋体" w:hAnsi="宋体" w:cs="宋体"/>
          <w:kern w:val="0"/>
          <w:szCs w:val="21"/>
        </w:rPr>
        <w:t>中待测元素的质量浓度，单位为纳克每毫升（ng/mL）；</w:t>
      </w:r>
    </w:p>
    <w:p w14:paraId="033531C7">
      <w:pPr>
        <w:adjustRightInd w:val="0"/>
        <w:snapToGrid w:val="0"/>
        <w:ind w:left="422" w:leftChars="201"/>
        <w:rPr>
          <w:rFonts w:ascii="宋体" w:hAnsi="宋体" w:cs="宋体"/>
          <w:szCs w:val="21"/>
        </w:rPr>
      </w:pPr>
      <w:r>
        <w:rPr>
          <w:rFonts w:hint="eastAsia" w:ascii="宋体" w:hAnsi="宋体" w:cs="宋体"/>
          <w:i/>
          <w:iCs/>
          <w:kern w:val="0"/>
          <w:szCs w:val="21"/>
        </w:rPr>
        <w:t>V</w:t>
      </w:r>
      <w:r>
        <w:rPr>
          <w:rFonts w:hint="eastAsia" w:cs="宋体"/>
          <w:iCs/>
          <w:kern w:val="0"/>
          <w:szCs w:val="21"/>
          <w:vertAlign w:val="subscript"/>
          <w:lang w:val="en-US" w:eastAsia="zh-CN"/>
        </w:rPr>
        <w:t>4</w:t>
      </w:r>
      <w:r>
        <w:rPr>
          <w:rFonts w:hint="eastAsia" w:ascii="宋体" w:hAnsi="宋体" w:cs="宋体"/>
          <w:i/>
          <w:kern w:val="0"/>
          <w:szCs w:val="21"/>
        </w:rPr>
        <w:t>——</w:t>
      </w:r>
      <w:r>
        <w:rPr>
          <w:rFonts w:hint="eastAsia" w:ascii="宋体" w:hAnsi="宋体" w:cs="宋体"/>
          <w:szCs w:val="21"/>
        </w:rPr>
        <w:t>被测试液体积，</w:t>
      </w:r>
      <w:r>
        <w:rPr>
          <w:rFonts w:hint="eastAsia" w:ascii="宋体" w:hAnsi="宋体" w:cs="宋体"/>
          <w:kern w:val="0"/>
          <w:szCs w:val="21"/>
        </w:rPr>
        <w:t>单位为毫升（mL）；</w:t>
      </w:r>
    </w:p>
    <w:p w14:paraId="41999AE4">
      <w:pPr>
        <w:pStyle w:val="5"/>
        <w:ind w:left="422" w:leftChars="201"/>
        <w:rPr>
          <w:rFonts w:ascii="宋体" w:hAnsi="宋体" w:cs="宋体"/>
          <w:sz w:val="21"/>
          <w:szCs w:val="21"/>
        </w:rPr>
      </w:pPr>
      <w:r>
        <w:rPr>
          <w:rFonts w:hint="eastAsia" w:ascii="宋体" w:hAnsi="宋体" w:cs="宋体"/>
          <w:i/>
          <w:iCs/>
          <w:sz w:val="21"/>
          <w:szCs w:val="21"/>
        </w:rPr>
        <w:t>V</w:t>
      </w:r>
      <w:r>
        <w:rPr>
          <w:rFonts w:hint="eastAsia" w:cs="宋体"/>
          <w:iCs/>
          <w:sz w:val="21"/>
          <w:szCs w:val="21"/>
          <w:vertAlign w:val="subscript"/>
          <w:lang w:val="en-US" w:eastAsia="zh-CN"/>
        </w:rPr>
        <w:t>2</w:t>
      </w:r>
      <w:r>
        <w:rPr>
          <w:rFonts w:hint="eastAsia" w:ascii="宋体" w:hAnsi="宋体" w:cs="宋体"/>
          <w:i/>
          <w:sz w:val="21"/>
          <w:szCs w:val="21"/>
        </w:rPr>
        <w:t>——</w:t>
      </w:r>
      <w:r>
        <w:rPr>
          <w:rFonts w:hint="eastAsia" w:ascii="宋体" w:hAnsi="宋体" w:cs="宋体"/>
          <w:sz w:val="21"/>
          <w:szCs w:val="21"/>
        </w:rPr>
        <w:t>试液总体积，单位为毫升（</w:t>
      </w:r>
      <w:r>
        <w:rPr>
          <w:rFonts w:hint="eastAsia" w:ascii="宋体" w:hAnsi="宋体" w:cs="宋体"/>
          <w:kern w:val="0"/>
          <w:sz w:val="21"/>
          <w:szCs w:val="21"/>
        </w:rPr>
        <w:t>mL</w:t>
      </w:r>
      <w:r>
        <w:rPr>
          <w:rFonts w:hint="eastAsia" w:ascii="宋体" w:hAnsi="宋体" w:cs="宋体"/>
          <w:sz w:val="21"/>
          <w:szCs w:val="21"/>
        </w:rPr>
        <w:t>）；</w:t>
      </w:r>
    </w:p>
    <w:p w14:paraId="75F1AFA3">
      <w:pPr>
        <w:ind w:firstLine="420"/>
        <w:rPr>
          <w:rFonts w:ascii="宋体" w:hAnsi="宋体" w:cs="宋体"/>
          <w:kern w:val="0"/>
          <w:szCs w:val="21"/>
        </w:rPr>
      </w:pPr>
      <w:r>
        <w:rPr>
          <w:rFonts w:hint="eastAsia" w:ascii="宋体" w:hAnsi="宋体" w:cs="宋体"/>
          <w:i/>
          <w:kern w:val="0"/>
          <w:szCs w:val="21"/>
        </w:rPr>
        <w:t>m</w:t>
      </w:r>
      <w:r>
        <w:rPr>
          <w:rFonts w:hint="eastAsia" w:cs="宋体"/>
          <w:i/>
          <w:kern w:val="0"/>
          <w:szCs w:val="21"/>
          <w:vertAlign w:val="subscript"/>
          <w:lang w:val="en-US" w:eastAsia="zh-CN"/>
        </w:rPr>
        <w:t>2</w:t>
      </w:r>
      <w:r>
        <w:rPr>
          <w:rFonts w:hint="eastAsia" w:ascii="宋体" w:hAnsi="宋体" w:cs="宋体"/>
          <w:i/>
          <w:kern w:val="0"/>
          <w:szCs w:val="21"/>
        </w:rPr>
        <w:t>——</w:t>
      </w:r>
      <w:r>
        <w:rPr>
          <w:rFonts w:hint="eastAsia" w:ascii="宋体" w:hAnsi="宋体" w:cs="宋体"/>
          <w:kern w:val="0"/>
          <w:szCs w:val="21"/>
        </w:rPr>
        <w:t>试料的质量，单位为克（g）；</w:t>
      </w:r>
    </w:p>
    <w:p w14:paraId="57EDE34A">
      <w:pPr>
        <w:pStyle w:val="11"/>
        <w:ind w:firstLine="420"/>
        <w:rPr>
          <w:rFonts w:hint="eastAsia" w:hAnsi="宋体" w:eastAsia="宋体" w:cs="宋体"/>
          <w:kern w:val="2"/>
          <w:szCs w:val="21"/>
          <w:lang w:eastAsia="zh-CN"/>
        </w:rPr>
      </w:pPr>
      <w:r>
        <w:rPr>
          <w:rFonts w:hint="eastAsia" w:hAnsi="宋体" w:cs="宋体"/>
          <w:i/>
          <w:iCs/>
          <w:szCs w:val="21"/>
        </w:rPr>
        <w:t>V</w:t>
      </w:r>
      <w:r>
        <w:rPr>
          <w:rFonts w:hint="eastAsia" w:hAnsi="宋体" w:cs="宋体"/>
          <w:iCs/>
          <w:szCs w:val="21"/>
          <w:vertAlign w:val="subscript"/>
          <w:lang w:val="en-US" w:eastAsia="zh-CN"/>
        </w:rPr>
        <w:t>3</w:t>
      </w:r>
      <w:r>
        <w:rPr>
          <w:rFonts w:hint="eastAsia" w:hAnsi="宋体" w:cs="宋体"/>
          <w:i/>
          <w:szCs w:val="21"/>
        </w:rPr>
        <w:t>——</w:t>
      </w:r>
      <w:r>
        <w:rPr>
          <w:rFonts w:hint="eastAsia" w:hAnsi="宋体" w:cs="宋体"/>
          <w:szCs w:val="21"/>
        </w:rPr>
        <w:t>分取试液体积，单位为毫升（mL)</w:t>
      </w:r>
      <w:r>
        <w:rPr>
          <w:rFonts w:hint="eastAsia" w:hAnsi="宋体" w:cs="宋体"/>
          <w:kern w:val="2"/>
          <w:szCs w:val="21"/>
          <w:lang w:eastAsia="zh-CN"/>
        </w:rPr>
        <w:t>；</w:t>
      </w:r>
    </w:p>
    <w:p w14:paraId="015F5D8F">
      <w:pPr>
        <w:pStyle w:val="11"/>
        <w:ind w:firstLine="420"/>
        <w:rPr>
          <w:rFonts w:hint="eastAsia" w:hAnsi="宋体" w:cs="宋体"/>
          <w:i w:val="0"/>
          <w:iCs/>
          <w:kern w:val="0"/>
          <w:szCs w:val="21"/>
          <w:lang w:val="en-US" w:eastAsia="zh-CN"/>
        </w:rPr>
      </w:pPr>
      <w:r>
        <w:rPr>
          <w:rFonts w:hint="eastAsia" w:hAnsi="宋体" w:cs="宋体"/>
          <w:i/>
          <w:iCs/>
          <w:kern w:val="2"/>
          <w:szCs w:val="21"/>
          <w:lang w:val="en-US" w:eastAsia="zh-CN"/>
        </w:rPr>
        <w:t>k</w:t>
      </w:r>
      <w:r>
        <w:rPr>
          <w:rFonts w:hint="eastAsia" w:ascii="宋体" w:hAnsi="宋体" w:eastAsia="宋体" w:cs="宋体"/>
          <w:i/>
          <w:kern w:val="0"/>
          <w:szCs w:val="21"/>
        </w:rPr>
        <w:t>——</w:t>
      </w:r>
      <w:r>
        <w:rPr>
          <w:rFonts w:hint="eastAsia" w:hAnsi="宋体" w:eastAsia="宋体" w:cs="宋体"/>
          <w:i w:val="0"/>
          <w:iCs/>
          <w:kern w:val="0"/>
          <w:szCs w:val="21"/>
          <w:lang w:val="en-US" w:eastAsia="zh-CN"/>
        </w:rPr>
        <w:t>换算系数</w:t>
      </w:r>
      <w:r>
        <w:rPr>
          <w:rFonts w:hint="eastAsia" w:hAnsi="宋体" w:cs="宋体"/>
          <w:i w:val="0"/>
          <w:iCs/>
          <w:kern w:val="0"/>
          <w:szCs w:val="21"/>
          <w:lang w:val="en-US" w:eastAsia="zh-CN"/>
        </w:rPr>
        <w:t>，以单质表示时，k=1；以氧化物表示时，各元素氧化物与其单质的换算系数，见表3。</w:t>
      </w:r>
    </w:p>
    <w:p w14:paraId="14EB7410">
      <w:pPr>
        <w:spacing w:before="156" w:beforeLines="50" w:line="276" w:lineRule="auto"/>
        <w:jc w:val="center"/>
        <w:rPr>
          <w:rFonts w:hint="default" w:ascii="黑体" w:hAnsi="黑体" w:eastAsia="黑体"/>
          <w:kern w:val="0"/>
          <w:szCs w:val="21"/>
          <w:lang w:val="en-US" w:eastAsia="zh-CN"/>
        </w:rPr>
      </w:pPr>
      <w:r>
        <w:rPr>
          <w:rFonts w:ascii="黑体" w:hAnsi="黑体" w:eastAsia="黑体"/>
          <w:kern w:val="0"/>
          <w:szCs w:val="21"/>
        </w:rPr>
        <w:t>表</w:t>
      </w:r>
      <w:r>
        <w:rPr>
          <w:rFonts w:hint="eastAsia" w:ascii="黑体" w:hAnsi="黑体" w:eastAsia="黑体"/>
          <w:kern w:val="0"/>
          <w:szCs w:val="21"/>
          <w:lang w:val="en-US" w:eastAsia="zh-CN"/>
        </w:rPr>
        <w:t>8</w:t>
      </w:r>
      <w:r>
        <w:rPr>
          <w:rFonts w:ascii="黑体" w:hAnsi="黑体" w:eastAsia="黑体"/>
          <w:kern w:val="0"/>
          <w:szCs w:val="21"/>
        </w:rPr>
        <w:t xml:space="preserve"> </w:t>
      </w:r>
      <w:r>
        <w:rPr>
          <w:rFonts w:hint="eastAsia" w:ascii="黑体" w:hAnsi="黑体" w:eastAsia="黑体"/>
          <w:kern w:val="0"/>
          <w:szCs w:val="21"/>
          <w:lang w:val="en-US" w:eastAsia="zh-CN"/>
        </w:rPr>
        <w:t>氧化物与单质的换算系数</w:t>
      </w: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189"/>
        <w:gridCol w:w="3190"/>
        <w:gridCol w:w="3190"/>
      </w:tblGrid>
      <w:tr w14:paraId="44BB9C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9" w:hRule="atLeast"/>
        </w:trPr>
        <w:tc>
          <w:tcPr>
            <w:tcW w:w="3189" w:type="dxa"/>
            <w:noWrap w:val="0"/>
            <w:vAlign w:val="center"/>
          </w:tcPr>
          <w:p w14:paraId="204E8C93">
            <w:pPr>
              <w:pStyle w:val="11"/>
              <w:spacing w:line="360" w:lineRule="auto"/>
              <w:ind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元素</w:t>
            </w:r>
          </w:p>
        </w:tc>
        <w:tc>
          <w:tcPr>
            <w:tcW w:w="3190" w:type="dxa"/>
            <w:noWrap w:val="0"/>
            <w:vAlign w:val="center"/>
          </w:tcPr>
          <w:p w14:paraId="1F35BDED">
            <w:pPr>
              <w:pStyle w:val="11"/>
              <w:spacing w:line="360" w:lineRule="auto"/>
              <w:ind w:firstLine="0" w:firstLineChars="0"/>
              <w:jc w:val="center"/>
              <w:rPr>
                <w:rFonts w:hint="eastAsia" w:ascii="宋体" w:hAnsi="宋体" w:eastAsia="宋体" w:cs="宋体"/>
                <w:kern w:val="2"/>
                <w:sz w:val="18"/>
                <w:szCs w:val="18"/>
                <w:lang w:val="en-US" w:eastAsia="zh-CN"/>
              </w:rPr>
            </w:pPr>
            <w:r>
              <w:rPr>
                <w:rFonts w:hint="eastAsia" w:hAnsi="宋体" w:eastAsia="宋体" w:cs="宋体"/>
                <w:sz w:val="18"/>
                <w:szCs w:val="18"/>
                <w:lang w:val="en-US" w:eastAsia="zh-CN"/>
              </w:rPr>
              <w:t>钍</w:t>
            </w:r>
          </w:p>
        </w:tc>
        <w:tc>
          <w:tcPr>
            <w:tcW w:w="3190" w:type="dxa"/>
            <w:noWrap w:val="0"/>
            <w:vAlign w:val="center"/>
          </w:tcPr>
          <w:p w14:paraId="01C915CC">
            <w:pPr>
              <w:pStyle w:val="11"/>
              <w:spacing w:line="360" w:lineRule="auto"/>
              <w:ind w:firstLine="0" w:firstLineChars="0"/>
              <w:jc w:val="center"/>
              <w:rPr>
                <w:rFonts w:hint="eastAsia" w:ascii="宋体" w:hAnsi="宋体" w:eastAsia="宋体" w:cs="宋体"/>
                <w:sz w:val="18"/>
                <w:szCs w:val="18"/>
                <w:lang w:val="en-US" w:eastAsia="zh-CN"/>
              </w:rPr>
            </w:pPr>
            <w:r>
              <w:rPr>
                <w:rFonts w:hint="eastAsia" w:hAnsi="宋体" w:eastAsia="宋体" w:cs="宋体"/>
                <w:sz w:val="18"/>
                <w:szCs w:val="18"/>
                <w:lang w:val="en-US" w:eastAsia="zh-CN"/>
              </w:rPr>
              <w:t>铀</w:t>
            </w:r>
          </w:p>
        </w:tc>
      </w:tr>
      <w:tr w14:paraId="43D485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189" w:type="dxa"/>
            <w:noWrap w:val="0"/>
            <w:vAlign w:val="center"/>
          </w:tcPr>
          <w:p w14:paraId="438B9DC5">
            <w:pPr>
              <w:pStyle w:val="11"/>
              <w:spacing w:line="360" w:lineRule="auto"/>
              <w:ind w:firstLine="0" w:firstLineChars="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k</w:t>
            </w:r>
          </w:p>
        </w:tc>
        <w:tc>
          <w:tcPr>
            <w:tcW w:w="3190" w:type="dxa"/>
            <w:noWrap w:val="0"/>
            <w:vAlign w:val="center"/>
          </w:tcPr>
          <w:p w14:paraId="2F50A9AD">
            <w:pPr>
              <w:pStyle w:val="11"/>
              <w:spacing w:line="360" w:lineRule="auto"/>
              <w:ind w:firstLine="0" w:firstLineChars="0"/>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1.1379</w:t>
            </w:r>
          </w:p>
        </w:tc>
        <w:tc>
          <w:tcPr>
            <w:tcW w:w="3190" w:type="dxa"/>
            <w:noWrap w:val="0"/>
            <w:vAlign w:val="center"/>
          </w:tcPr>
          <w:p w14:paraId="49E25FE1">
            <w:pPr>
              <w:pStyle w:val="11"/>
              <w:spacing w:line="360" w:lineRule="auto"/>
              <w:ind w:firstLine="0" w:firstLineChars="0"/>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1.1793</w:t>
            </w:r>
          </w:p>
        </w:tc>
      </w:tr>
    </w:tbl>
    <w:p w14:paraId="0B1B196D">
      <w:pPr>
        <w:adjustRightInd w:val="0"/>
        <w:snapToGrid w:val="0"/>
        <w:spacing w:before="156" w:beforeLines="50"/>
        <w:ind w:firstLine="444" w:firstLineChars="200"/>
        <w:rPr>
          <w:spacing w:val="6"/>
        </w:rPr>
      </w:pPr>
      <w:r>
        <w:rPr>
          <w:rFonts w:hint="eastAsia"/>
          <w:spacing w:val="6"/>
        </w:rPr>
        <w:t>两次平行测定结果的绝对差值不大于表</w:t>
      </w:r>
      <w:r>
        <w:rPr>
          <w:rFonts w:hint="eastAsia"/>
          <w:spacing w:val="6"/>
          <w:lang w:val="en-US" w:eastAsia="zh-CN"/>
        </w:rPr>
        <w:t>9</w:t>
      </w:r>
      <w:r>
        <w:rPr>
          <w:rFonts w:hint="eastAsia"/>
          <w:spacing w:val="6"/>
        </w:rPr>
        <w:t>中相应重复性限时，取其平均值作为测定结果，所得结果保留两位有效数字，数值修约按GB/T 8170的规定执行。</w:t>
      </w:r>
    </w:p>
    <w:p w14:paraId="24665E1B">
      <w:pPr>
        <w:pStyle w:val="13"/>
        <w:numPr>
          <w:ilvl w:val="0"/>
          <w:numId w:val="0"/>
        </w:numPr>
        <w:spacing w:before="312" w:beforeLines="100" w:after="312" w:afterLines="100"/>
        <w:rPr>
          <w:rFonts w:hAnsi="黑体" w:cs="黑体"/>
          <w:color w:val="000000"/>
        </w:rPr>
      </w:pPr>
      <w:r>
        <w:rPr>
          <w:rFonts w:hint="eastAsia" w:hAnsi="黑体" w:cs="黑体"/>
          <w:color w:val="000000"/>
          <w:lang w:val="en-US" w:eastAsia="zh-CN"/>
        </w:rPr>
        <w:t>5.7</w:t>
      </w:r>
      <w:r>
        <w:rPr>
          <w:rFonts w:hint="eastAsia" w:hAnsi="黑体" w:cs="黑体"/>
          <w:color w:val="000000"/>
        </w:rPr>
        <w:t>　精密度</w:t>
      </w:r>
    </w:p>
    <w:p w14:paraId="39EB83C9">
      <w:pPr>
        <w:pStyle w:val="15"/>
        <w:numPr>
          <w:ilvl w:val="0"/>
          <w:numId w:val="0"/>
        </w:numPr>
        <w:snapToGrid w:val="0"/>
        <w:spacing w:before="156" w:beforeLines="50" w:after="156" w:afterLines="50"/>
        <w:rPr>
          <w:rFonts w:hint="eastAsia" w:hAnsi="黑体"/>
          <w:color w:val="000000"/>
          <w:szCs w:val="22"/>
          <w:lang w:val="en-US" w:eastAsia="zh-CN"/>
        </w:rPr>
      </w:pPr>
      <w:r>
        <w:rPr>
          <w:rFonts w:hint="eastAsia" w:hAnsi="黑体"/>
          <w:color w:val="000000"/>
          <w:szCs w:val="22"/>
          <w:lang w:val="en-US" w:eastAsia="zh-CN"/>
        </w:rPr>
        <w:t>5.7.1　重复性</w:t>
      </w:r>
    </w:p>
    <w:p w14:paraId="5D35F1B0">
      <w:pPr>
        <w:snapToGrid w:val="0"/>
        <w:ind w:firstLine="420" w:firstLineChars="200"/>
        <w:rPr>
          <w:rFonts w:ascii="宋体" w:hAnsi="宋体" w:cs="宋体"/>
        </w:rPr>
      </w:pPr>
      <w:r>
        <w:rPr>
          <w:rFonts w:hint="eastAsia" w:ascii="宋体" w:hAnsi="宋体" w:cs="宋体"/>
        </w:rPr>
        <w:t>在重复性条件下获得的两次独立测试结果的的绝对差值不超过重复性限（</w:t>
      </w:r>
      <w:r>
        <w:rPr>
          <w:rFonts w:hint="eastAsia" w:ascii="宋体" w:hAnsi="宋体" w:cs="宋体"/>
          <w:i/>
          <w:iCs/>
        </w:rPr>
        <w:t>r</w:t>
      </w:r>
      <w:r>
        <w:rPr>
          <w:rFonts w:hint="eastAsia" w:ascii="宋体" w:hAnsi="宋体" w:cs="宋体"/>
        </w:rPr>
        <w:t>），超过重复性限（</w:t>
      </w:r>
      <w:r>
        <w:rPr>
          <w:rFonts w:hint="eastAsia" w:ascii="宋体" w:hAnsi="宋体" w:cs="宋体"/>
          <w:i/>
          <w:iCs/>
        </w:rPr>
        <w:t>r</w:t>
      </w:r>
      <w:r>
        <w:rPr>
          <w:rFonts w:hint="eastAsia" w:ascii="宋体" w:hAnsi="宋体" w:cs="宋体"/>
        </w:rPr>
        <w:t>）的情况不超过5%，重复性限（</w:t>
      </w:r>
      <w:r>
        <w:rPr>
          <w:rFonts w:hint="eastAsia" w:ascii="宋体" w:hAnsi="宋体" w:cs="宋体"/>
          <w:i/>
          <w:iCs/>
        </w:rPr>
        <w:t>r</w:t>
      </w:r>
      <w:r>
        <w:rPr>
          <w:rFonts w:hint="eastAsia" w:ascii="宋体" w:hAnsi="宋体" w:cs="宋体"/>
        </w:rPr>
        <w:t>）按表</w:t>
      </w:r>
      <w:r>
        <w:rPr>
          <w:rFonts w:hint="eastAsia" w:cs="宋体"/>
          <w:lang w:val="en-US" w:eastAsia="zh-CN"/>
        </w:rPr>
        <w:t>9</w:t>
      </w:r>
      <w:r>
        <w:rPr>
          <w:rFonts w:hint="eastAsia" w:ascii="宋体" w:hAnsi="宋体" w:cs="宋体"/>
        </w:rPr>
        <w:t>数据采用线性内插法或外延法求得。</w:t>
      </w:r>
    </w:p>
    <w:p w14:paraId="59964E8F">
      <w:pPr>
        <w:spacing w:before="156" w:beforeLines="50" w:after="156" w:afterLines="50" w:line="360" w:lineRule="exact"/>
        <w:jc w:val="center"/>
        <w:rPr>
          <w:rFonts w:eastAsia="黑体"/>
        </w:rPr>
      </w:pPr>
      <w:r>
        <w:rPr>
          <w:rFonts w:eastAsia="黑体"/>
        </w:rPr>
        <w:t>表</w:t>
      </w:r>
      <w:r>
        <w:rPr>
          <w:rFonts w:hint="eastAsia" w:ascii="黑体" w:hAnsi="黑体" w:eastAsia="黑体" w:cs="黑体"/>
          <w:lang w:val="en-US" w:eastAsia="zh-CN"/>
        </w:rPr>
        <w:t>9</w:t>
      </w:r>
      <w:r>
        <w:rPr>
          <w:color w:val="000000"/>
        </w:rPr>
        <w:t>　</w:t>
      </w:r>
      <w:r>
        <w:rPr>
          <w:rFonts w:eastAsia="黑体"/>
        </w:rPr>
        <w:t>重复性限</w:t>
      </w:r>
      <w:r>
        <w:rPr>
          <w:rFonts w:hint="eastAsia" w:ascii="黑体" w:hAnsi="黑体" w:eastAsia="黑体"/>
        </w:rPr>
        <w:t>(</w:t>
      </w:r>
      <w:r>
        <w:rPr>
          <w:rFonts w:ascii="黑体" w:hAnsi="黑体" w:eastAsia="黑体"/>
          <w:i/>
        </w:rPr>
        <w:t>r</w:t>
      </w:r>
      <w:r>
        <w:rPr>
          <w:rFonts w:hint="eastAsia" w:ascii="黑体" w:hAnsi="黑体" w:eastAsia="黑体"/>
        </w:rPr>
        <w:t>)</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14:paraId="07251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bottom w:val="single" w:color="auto" w:sz="12" w:space="0"/>
            </w:tcBorders>
            <w:noWrap w:val="0"/>
            <w:vAlign w:val="top"/>
          </w:tcPr>
          <w:p w14:paraId="769B46D8">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元素</w:t>
            </w:r>
          </w:p>
        </w:tc>
        <w:tc>
          <w:tcPr>
            <w:tcW w:w="1667" w:type="pct"/>
            <w:tcBorders>
              <w:bottom w:val="single" w:color="auto" w:sz="12" w:space="0"/>
            </w:tcBorders>
            <w:noWrap w:val="0"/>
            <w:vAlign w:val="top"/>
          </w:tcPr>
          <w:p w14:paraId="4579FFAA">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质量分数/%</w:t>
            </w:r>
          </w:p>
        </w:tc>
        <w:tc>
          <w:tcPr>
            <w:tcW w:w="1665" w:type="pct"/>
            <w:tcBorders>
              <w:bottom w:val="single" w:color="auto" w:sz="12" w:space="0"/>
            </w:tcBorders>
            <w:noWrap w:val="0"/>
            <w:vAlign w:val="top"/>
          </w:tcPr>
          <w:p w14:paraId="4278583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重复性限（</w:t>
            </w: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p>
        </w:tc>
      </w:tr>
      <w:tr w14:paraId="48481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restart"/>
            <w:tcBorders>
              <w:top w:val="single" w:color="auto" w:sz="12" w:space="0"/>
            </w:tcBorders>
            <w:noWrap w:val="0"/>
            <w:vAlign w:val="center"/>
          </w:tcPr>
          <w:p w14:paraId="744CA9AE">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钍</w:t>
            </w:r>
          </w:p>
        </w:tc>
        <w:tc>
          <w:tcPr>
            <w:tcW w:w="1667" w:type="pct"/>
            <w:tcBorders>
              <w:top w:val="single" w:color="auto" w:sz="12" w:space="0"/>
            </w:tcBorders>
            <w:noWrap w:val="0"/>
            <w:vAlign w:val="center"/>
          </w:tcPr>
          <w:p w14:paraId="6184F27F">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0.0028</w:t>
            </w:r>
          </w:p>
        </w:tc>
        <w:tc>
          <w:tcPr>
            <w:tcW w:w="1665" w:type="pct"/>
            <w:tcBorders>
              <w:top w:val="single" w:color="auto" w:sz="12" w:space="0"/>
            </w:tcBorders>
            <w:noWrap w:val="0"/>
            <w:vAlign w:val="center"/>
          </w:tcPr>
          <w:p w14:paraId="550B8FE7">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0.0002</w:t>
            </w:r>
          </w:p>
        </w:tc>
      </w:tr>
      <w:tr w14:paraId="06C27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177CF340">
            <w:pPr>
              <w:jc w:val="center"/>
              <w:rPr>
                <w:rFonts w:hint="eastAsia" w:ascii="Times New Roman" w:hAnsi="Times New Roman" w:eastAsia="宋体" w:cs="Times New Roman"/>
                <w:sz w:val="18"/>
                <w:szCs w:val="18"/>
              </w:rPr>
            </w:pPr>
          </w:p>
        </w:tc>
        <w:tc>
          <w:tcPr>
            <w:tcW w:w="1667" w:type="pct"/>
            <w:noWrap w:val="0"/>
            <w:vAlign w:val="center"/>
          </w:tcPr>
          <w:p w14:paraId="50EBE0CF">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0.0056</w:t>
            </w:r>
          </w:p>
        </w:tc>
        <w:tc>
          <w:tcPr>
            <w:tcW w:w="1665" w:type="pct"/>
            <w:noWrap w:val="0"/>
            <w:vAlign w:val="center"/>
          </w:tcPr>
          <w:p w14:paraId="527D42DE">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0.0003</w:t>
            </w:r>
          </w:p>
        </w:tc>
      </w:tr>
      <w:tr w14:paraId="2D550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14112DBA">
            <w:pPr>
              <w:jc w:val="center"/>
              <w:rPr>
                <w:rFonts w:hint="eastAsia" w:ascii="Times New Roman" w:hAnsi="Times New Roman" w:eastAsia="宋体" w:cs="Times New Roman"/>
                <w:sz w:val="18"/>
                <w:szCs w:val="18"/>
              </w:rPr>
            </w:pPr>
          </w:p>
        </w:tc>
        <w:tc>
          <w:tcPr>
            <w:tcW w:w="1667" w:type="pct"/>
            <w:noWrap w:val="0"/>
            <w:vAlign w:val="center"/>
          </w:tcPr>
          <w:p w14:paraId="6317675F">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0.0064</w:t>
            </w:r>
          </w:p>
        </w:tc>
        <w:tc>
          <w:tcPr>
            <w:tcW w:w="1665" w:type="pct"/>
            <w:noWrap w:val="0"/>
            <w:vAlign w:val="center"/>
          </w:tcPr>
          <w:p w14:paraId="3E61F317">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0.0004</w:t>
            </w:r>
          </w:p>
        </w:tc>
      </w:tr>
      <w:tr w14:paraId="6A91B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1151E647">
            <w:pPr>
              <w:jc w:val="center"/>
              <w:rPr>
                <w:rFonts w:hint="eastAsia" w:ascii="Times New Roman" w:hAnsi="Times New Roman" w:eastAsia="宋体" w:cs="Times New Roman"/>
                <w:sz w:val="18"/>
                <w:szCs w:val="18"/>
              </w:rPr>
            </w:pPr>
          </w:p>
        </w:tc>
        <w:tc>
          <w:tcPr>
            <w:tcW w:w="1667" w:type="pct"/>
            <w:noWrap w:val="0"/>
            <w:vAlign w:val="center"/>
          </w:tcPr>
          <w:p w14:paraId="6846954C">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0.0066</w:t>
            </w:r>
          </w:p>
        </w:tc>
        <w:tc>
          <w:tcPr>
            <w:tcW w:w="1665" w:type="pct"/>
            <w:noWrap w:val="0"/>
            <w:vAlign w:val="center"/>
          </w:tcPr>
          <w:p w14:paraId="1A8B94BC">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0.0003</w:t>
            </w:r>
          </w:p>
        </w:tc>
      </w:tr>
      <w:tr w14:paraId="725D4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336D574D">
            <w:pPr>
              <w:jc w:val="center"/>
              <w:rPr>
                <w:rFonts w:hint="eastAsia" w:ascii="Times New Roman" w:hAnsi="Times New Roman" w:eastAsia="宋体" w:cs="Times New Roman"/>
                <w:sz w:val="18"/>
                <w:szCs w:val="18"/>
              </w:rPr>
            </w:pPr>
          </w:p>
        </w:tc>
        <w:tc>
          <w:tcPr>
            <w:tcW w:w="1667" w:type="pct"/>
            <w:noWrap w:val="0"/>
            <w:vAlign w:val="center"/>
          </w:tcPr>
          <w:p w14:paraId="567D5B6E">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0.016</w:t>
            </w:r>
          </w:p>
        </w:tc>
        <w:tc>
          <w:tcPr>
            <w:tcW w:w="1665" w:type="pct"/>
            <w:noWrap w:val="0"/>
            <w:vAlign w:val="center"/>
          </w:tcPr>
          <w:p w14:paraId="6C8FC983">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0.001</w:t>
            </w:r>
          </w:p>
        </w:tc>
      </w:tr>
      <w:tr w14:paraId="75F6E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67" w:type="pct"/>
            <w:vMerge w:val="continue"/>
            <w:noWrap w:val="0"/>
            <w:vAlign w:val="center"/>
          </w:tcPr>
          <w:p w14:paraId="2AE23FE9">
            <w:pPr>
              <w:jc w:val="center"/>
              <w:rPr>
                <w:rFonts w:hint="eastAsia" w:ascii="Times New Roman" w:hAnsi="Times New Roman" w:eastAsia="宋体" w:cs="Times New Roman"/>
                <w:sz w:val="18"/>
                <w:szCs w:val="18"/>
              </w:rPr>
            </w:pPr>
          </w:p>
        </w:tc>
        <w:tc>
          <w:tcPr>
            <w:tcW w:w="1667" w:type="pct"/>
            <w:noWrap w:val="0"/>
            <w:vAlign w:val="center"/>
          </w:tcPr>
          <w:p w14:paraId="1E150B37">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0.17</w:t>
            </w:r>
          </w:p>
        </w:tc>
        <w:tc>
          <w:tcPr>
            <w:tcW w:w="1665" w:type="pct"/>
            <w:noWrap w:val="0"/>
            <w:vAlign w:val="center"/>
          </w:tcPr>
          <w:p w14:paraId="6584BE36">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0.01</w:t>
            </w:r>
          </w:p>
        </w:tc>
      </w:tr>
      <w:tr w14:paraId="5F16B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restart"/>
            <w:noWrap w:val="0"/>
            <w:vAlign w:val="center"/>
          </w:tcPr>
          <w:p w14:paraId="621AB370">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铀</w:t>
            </w:r>
          </w:p>
        </w:tc>
        <w:tc>
          <w:tcPr>
            <w:tcW w:w="1667" w:type="pct"/>
            <w:noWrap w:val="0"/>
            <w:vAlign w:val="center"/>
          </w:tcPr>
          <w:p w14:paraId="76C24003">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0.00081</w:t>
            </w:r>
          </w:p>
        </w:tc>
        <w:tc>
          <w:tcPr>
            <w:tcW w:w="1665" w:type="pct"/>
            <w:noWrap w:val="0"/>
            <w:vAlign w:val="center"/>
          </w:tcPr>
          <w:p w14:paraId="6391365C">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0.00005</w:t>
            </w:r>
          </w:p>
        </w:tc>
      </w:tr>
      <w:tr w14:paraId="3CFE6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4FCB748E">
            <w:pPr>
              <w:jc w:val="center"/>
              <w:rPr>
                <w:rFonts w:hint="eastAsia" w:ascii="Times New Roman" w:hAnsi="Times New Roman" w:eastAsia="宋体" w:cs="Times New Roman"/>
                <w:sz w:val="18"/>
                <w:szCs w:val="18"/>
              </w:rPr>
            </w:pPr>
          </w:p>
        </w:tc>
        <w:tc>
          <w:tcPr>
            <w:tcW w:w="1667" w:type="pct"/>
            <w:noWrap w:val="0"/>
            <w:vAlign w:val="center"/>
          </w:tcPr>
          <w:p w14:paraId="19C93CD2">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0.0020</w:t>
            </w:r>
          </w:p>
        </w:tc>
        <w:tc>
          <w:tcPr>
            <w:tcW w:w="1665" w:type="pct"/>
            <w:noWrap w:val="0"/>
            <w:vAlign w:val="center"/>
          </w:tcPr>
          <w:p w14:paraId="069E8FF2">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0.0001</w:t>
            </w:r>
          </w:p>
        </w:tc>
      </w:tr>
      <w:tr w14:paraId="5F923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11AA202B">
            <w:pPr>
              <w:jc w:val="center"/>
              <w:rPr>
                <w:rFonts w:hint="eastAsia" w:ascii="Times New Roman" w:hAnsi="Times New Roman" w:eastAsia="宋体" w:cs="Times New Roman"/>
                <w:sz w:val="18"/>
                <w:szCs w:val="18"/>
              </w:rPr>
            </w:pPr>
          </w:p>
        </w:tc>
        <w:tc>
          <w:tcPr>
            <w:tcW w:w="1667" w:type="pct"/>
            <w:noWrap w:val="0"/>
            <w:vAlign w:val="center"/>
          </w:tcPr>
          <w:p w14:paraId="24DE66A7">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0.0068</w:t>
            </w:r>
          </w:p>
        </w:tc>
        <w:tc>
          <w:tcPr>
            <w:tcW w:w="1665" w:type="pct"/>
            <w:noWrap w:val="0"/>
            <w:vAlign w:val="center"/>
          </w:tcPr>
          <w:p w14:paraId="203CE21D">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0.0004</w:t>
            </w:r>
          </w:p>
        </w:tc>
      </w:tr>
      <w:tr w14:paraId="5D689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77004269">
            <w:pPr>
              <w:jc w:val="center"/>
              <w:rPr>
                <w:rFonts w:hint="eastAsia" w:ascii="Times New Roman" w:hAnsi="Times New Roman" w:eastAsia="宋体" w:cs="Times New Roman"/>
                <w:sz w:val="18"/>
                <w:szCs w:val="18"/>
              </w:rPr>
            </w:pPr>
          </w:p>
        </w:tc>
        <w:tc>
          <w:tcPr>
            <w:tcW w:w="1667" w:type="pct"/>
            <w:shd w:val="clear" w:color="auto" w:fill="auto"/>
            <w:noWrap w:val="0"/>
            <w:vAlign w:val="center"/>
          </w:tcPr>
          <w:p w14:paraId="27469EB2">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0.0080</w:t>
            </w:r>
          </w:p>
        </w:tc>
        <w:tc>
          <w:tcPr>
            <w:tcW w:w="1665" w:type="pct"/>
            <w:shd w:val="clear" w:color="auto" w:fill="auto"/>
            <w:noWrap w:val="0"/>
            <w:vAlign w:val="center"/>
          </w:tcPr>
          <w:p w14:paraId="2CB4B4BF">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0.0005</w:t>
            </w:r>
          </w:p>
        </w:tc>
      </w:tr>
      <w:tr w14:paraId="1A444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3593FBC4">
            <w:pPr>
              <w:jc w:val="center"/>
              <w:rPr>
                <w:rFonts w:hint="eastAsia" w:ascii="Times New Roman" w:hAnsi="Times New Roman" w:eastAsia="宋体" w:cs="Times New Roman"/>
                <w:sz w:val="18"/>
                <w:szCs w:val="18"/>
              </w:rPr>
            </w:pPr>
          </w:p>
        </w:tc>
        <w:tc>
          <w:tcPr>
            <w:tcW w:w="1667" w:type="pct"/>
            <w:shd w:val="clear" w:color="auto" w:fill="auto"/>
            <w:noWrap w:val="0"/>
            <w:vAlign w:val="center"/>
          </w:tcPr>
          <w:p w14:paraId="0A5F6A5E">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0.014</w:t>
            </w:r>
          </w:p>
        </w:tc>
        <w:tc>
          <w:tcPr>
            <w:tcW w:w="1665" w:type="pct"/>
            <w:shd w:val="clear" w:color="auto" w:fill="auto"/>
            <w:noWrap w:val="0"/>
            <w:vAlign w:val="center"/>
          </w:tcPr>
          <w:p w14:paraId="38BC6D4A">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0.001</w:t>
            </w:r>
          </w:p>
        </w:tc>
      </w:tr>
      <w:tr w14:paraId="5955D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1667" w:type="pct"/>
            <w:vMerge w:val="continue"/>
            <w:noWrap w:val="0"/>
            <w:vAlign w:val="center"/>
          </w:tcPr>
          <w:p w14:paraId="2C02DB2A">
            <w:pPr>
              <w:jc w:val="center"/>
              <w:rPr>
                <w:rFonts w:hint="eastAsia" w:ascii="Times New Roman" w:hAnsi="Times New Roman" w:eastAsia="宋体" w:cs="Times New Roman"/>
                <w:sz w:val="18"/>
                <w:szCs w:val="18"/>
              </w:rPr>
            </w:pPr>
          </w:p>
        </w:tc>
        <w:tc>
          <w:tcPr>
            <w:tcW w:w="1667" w:type="pct"/>
            <w:shd w:val="clear" w:color="auto" w:fill="auto"/>
            <w:noWrap w:val="0"/>
            <w:vAlign w:val="center"/>
          </w:tcPr>
          <w:p w14:paraId="0DF23879">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0.020</w:t>
            </w:r>
          </w:p>
        </w:tc>
        <w:tc>
          <w:tcPr>
            <w:tcW w:w="1665" w:type="pct"/>
            <w:shd w:val="clear" w:color="auto" w:fill="auto"/>
            <w:noWrap w:val="0"/>
            <w:vAlign w:val="center"/>
          </w:tcPr>
          <w:p w14:paraId="009339B4">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0.001</w:t>
            </w:r>
          </w:p>
        </w:tc>
      </w:tr>
      <w:tr w14:paraId="25054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5000" w:type="pct"/>
            <w:gridSpan w:val="3"/>
            <w:noWrap w:val="0"/>
            <w:vAlign w:val="center"/>
          </w:tcPr>
          <w:p w14:paraId="3B90FE05">
            <w:pPr>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注：重复性限（</w:t>
            </w: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）为2.8×S</w:t>
            </w:r>
            <w:r>
              <w:rPr>
                <w:rFonts w:hint="eastAsia" w:ascii="Times New Roman" w:hAnsi="Times New Roman" w:eastAsia="宋体" w:cs="Times New Roman"/>
                <w:sz w:val="18"/>
                <w:szCs w:val="18"/>
                <w:vertAlign w:val="subscript"/>
              </w:rPr>
              <w:t>r</w:t>
            </w:r>
            <w:r>
              <w:rPr>
                <w:rFonts w:hint="eastAsia" w:ascii="Times New Roman" w:hAnsi="Times New Roman" w:eastAsia="宋体" w:cs="Times New Roman"/>
                <w:sz w:val="18"/>
                <w:szCs w:val="18"/>
              </w:rPr>
              <w:t>，S</w:t>
            </w:r>
            <w:r>
              <w:rPr>
                <w:rFonts w:hint="eastAsia" w:ascii="Times New Roman" w:hAnsi="Times New Roman" w:eastAsia="宋体" w:cs="Times New Roman"/>
                <w:sz w:val="18"/>
                <w:szCs w:val="18"/>
                <w:vertAlign w:val="subscript"/>
              </w:rPr>
              <w:t>r</w:t>
            </w:r>
            <w:r>
              <w:rPr>
                <w:rFonts w:hint="eastAsia" w:ascii="Times New Roman" w:hAnsi="Times New Roman" w:eastAsia="宋体" w:cs="Times New Roman"/>
                <w:sz w:val="18"/>
                <w:szCs w:val="18"/>
              </w:rPr>
              <w:t>为重复性标准差。</w:t>
            </w:r>
          </w:p>
        </w:tc>
      </w:tr>
    </w:tbl>
    <w:p w14:paraId="09A21731">
      <w:pPr>
        <w:pStyle w:val="15"/>
        <w:numPr>
          <w:ilvl w:val="0"/>
          <w:numId w:val="0"/>
        </w:numPr>
        <w:snapToGrid w:val="0"/>
        <w:spacing w:before="156" w:beforeLines="50" w:after="156" w:afterLines="50"/>
        <w:rPr>
          <w:rFonts w:ascii="Times New Roman"/>
          <w:kern w:val="2"/>
        </w:rPr>
      </w:pPr>
      <w:r>
        <w:rPr>
          <w:rFonts w:hint="eastAsia" w:hAnsi="黑体"/>
          <w:color w:val="000000"/>
          <w:szCs w:val="22"/>
          <w:lang w:val="en-US" w:eastAsia="zh-CN"/>
        </w:rPr>
        <w:t>5.7</w:t>
      </w:r>
      <w:r>
        <w:rPr>
          <w:rFonts w:hAnsi="黑体"/>
          <w:color w:val="000000"/>
          <w:szCs w:val="22"/>
        </w:rPr>
        <w:t>.2</w:t>
      </w:r>
      <w:r>
        <w:rPr>
          <w:rFonts w:ascii="Times New Roman"/>
        </w:rPr>
        <w:t>　</w:t>
      </w:r>
      <w:r>
        <w:rPr>
          <w:rFonts w:hint="eastAsia" w:ascii="Times New Roman"/>
          <w:kern w:val="2"/>
        </w:rPr>
        <w:t>再现性</w:t>
      </w:r>
    </w:p>
    <w:p w14:paraId="58CA6C08">
      <w:pPr>
        <w:pStyle w:val="11"/>
        <w:snapToGrid w:val="0"/>
        <w:ind w:firstLine="420"/>
        <w:rPr>
          <w:rFonts w:hAnsi="宋体" w:cs="宋体"/>
        </w:rPr>
      </w:pPr>
      <w:r>
        <w:rPr>
          <w:rFonts w:hint="eastAsia" w:hAnsi="宋体" w:cs="宋体"/>
          <w:color w:val="000000"/>
        </w:rPr>
        <w:t>在再现性条件下获得的两次独立测试结果的</w:t>
      </w:r>
      <w:r>
        <w:rPr>
          <w:rFonts w:hint="eastAsia" w:hAnsi="宋体" w:cs="宋体"/>
        </w:rPr>
        <w:t>的</w:t>
      </w:r>
      <w:r>
        <w:rPr>
          <w:rFonts w:hint="eastAsia" w:hAnsi="宋体" w:cs="宋体"/>
          <w:color w:val="000000"/>
        </w:rPr>
        <w:t>绝对差值不大于再现性限（</w:t>
      </w:r>
      <w:r>
        <w:rPr>
          <w:rFonts w:hint="eastAsia" w:hAnsi="宋体" w:cs="宋体"/>
          <w:i/>
          <w:color w:val="000000"/>
        </w:rPr>
        <w:t>R</w:t>
      </w:r>
      <w:r>
        <w:rPr>
          <w:rFonts w:hint="eastAsia" w:hAnsi="宋体" w:cs="宋体"/>
          <w:color w:val="000000"/>
        </w:rPr>
        <w:t>），超过再现性限（</w:t>
      </w:r>
      <w:r>
        <w:rPr>
          <w:rFonts w:hint="eastAsia" w:hAnsi="宋体" w:cs="宋体"/>
          <w:i/>
          <w:color w:val="000000"/>
        </w:rPr>
        <w:t>R</w:t>
      </w:r>
      <w:r>
        <w:rPr>
          <w:rFonts w:hint="eastAsia" w:hAnsi="宋体" w:cs="宋体"/>
          <w:color w:val="000000"/>
        </w:rPr>
        <w:t>）的情况不超过5%，再现性限（</w:t>
      </w:r>
      <w:r>
        <w:rPr>
          <w:rFonts w:hint="eastAsia" w:hAnsi="宋体" w:cs="宋体"/>
          <w:i/>
          <w:color w:val="000000"/>
        </w:rPr>
        <w:t>R</w:t>
      </w:r>
      <w:r>
        <w:rPr>
          <w:rFonts w:hint="eastAsia" w:hAnsi="宋体" w:cs="宋体"/>
          <w:color w:val="000000"/>
        </w:rPr>
        <w:t>）按</w:t>
      </w:r>
      <w:r>
        <w:rPr>
          <w:rFonts w:hint="eastAsia" w:hAnsi="宋体" w:cs="宋体"/>
          <w:color w:val="000000"/>
          <w:lang w:val="en-US" w:eastAsia="zh-CN"/>
        </w:rPr>
        <w:t>表10</w:t>
      </w:r>
      <w:r>
        <w:rPr>
          <w:rFonts w:hint="eastAsia" w:hAnsi="宋体" w:cs="宋体"/>
          <w:color w:val="000000"/>
        </w:rPr>
        <w:t>数据采用线性内插法或外延法求得。</w:t>
      </w:r>
    </w:p>
    <w:p w14:paraId="3E9E3F87">
      <w:pPr>
        <w:spacing w:before="156" w:beforeLines="50" w:after="156" w:afterLines="50" w:line="360" w:lineRule="exact"/>
        <w:jc w:val="center"/>
        <w:rPr>
          <w:rFonts w:eastAsia="黑体"/>
        </w:rPr>
      </w:pPr>
      <w:r>
        <w:rPr>
          <w:rFonts w:eastAsia="黑体"/>
        </w:rPr>
        <w:t>表</w:t>
      </w:r>
      <w:r>
        <w:rPr>
          <w:rFonts w:hint="eastAsia" w:ascii="黑体" w:hAnsi="黑体" w:eastAsia="黑体" w:cs="黑体"/>
          <w:lang w:val="en-US" w:eastAsia="zh-CN"/>
        </w:rPr>
        <w:t>10</w:t>
      </w:r>
      <w:r>
        <w:rPr>
          <w:color w:val="000000"/>
        </w:rPr>
        <w:t>　</w:t>
      </w:r>
      <w:r>
        <w:rPr>
          <w:rFonts w:eastAsia="黑体"/>
        </w:rPr>
        <w:t>再现性限</w:t>
      </w:r>
      <w:r>
        <w:rPr>
          <w:rFonts w:hint="eastAsia" w:ascii="黑体" w:hAnsi="黑体" w:eastAsia="黑体"/>
        </w:rPr>
        <w:t>（</w:t>
      </w:r>
      <w:r>
        <w:rPr>
          <w:rFonts w:hint="eastAsia" w:ascii="黑体" w:hAnsi="黑体" w:eastAsia="黑体"/>
          <w:i/>
        </w:rPr>
        <w:t>R</w:t>
      </w:r>
      <w:r>
        <w:rPr>
          <w:rFonts w:hint="eastAsia" w:ascii="黑体" w:hAnsi="黑体" w:eastAsia="黑体"/>
        </w:rPr>
        <w:t>）</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14:paraId="213F4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tcBorders>
              <w:bottom w:val="single" w:color="auto" w:sz="12" w:space="0"/>
            </w:tcBorders>
            <w:noWrap w:val="0"/>
            <w:vAlign w:val="top"/>
          </w:tcPr>
          <w:p w14:paraId="0A0B1A62">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元素</w:t>
            </w:r>
          </w:p>
        </w:tc>
        <w:tc>
          <w:tcPr>
            <w:tcW w:w="1667" w:type="pct"/>
            <w:tcBorders>
              <w:bottom w:val="single" w:color="auto" w:sz="12" w:space="0"/>
            </w:tcBorders>
            <w:noWrap w:val="0"/>
            <w:vAlign w:val="top"/>
          </w:tcPr>
          <w:p w14:paraId="20ACBA29">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质量分数/%</w:t>
            </w:r>
          </w:p>
        </w:tc>
        <w:tc>
          <w:tcPr>
            <w:tcW w:w="1665" w:type="pct"/>
            <w:tcBorders>
              <w:bottom w:val="single" w:color="auto" w:sz="12" w:space="0"/>
            </w:tcBorders>
            <w:noWrap w:val="0"/>
            <w:vAlign w:val="top"/>
          </w:tcPr>
          <w:p w14:paraId="7F7FF4CE">
            <w:pPr>
              <w:jc w:val="center"/>
              <w:rPr>
                <w:rFonts w:hint="eastAsia" w:ascii="Times New Roman" w:hAnsi="Times New Roman" w:eastAsia="宋体" w:cs="Times New Roman"/>
                <w:sz w:val="18"/>
                <w:szCs w:val="18"/>
              </w:rPr>
            </w:pPr>
            <w:r>
              <w:rPr>
                <w:rFonts w:hint="eastAsia"/>
                <w:lang w:val="en-US" w:eastAsia="zh-CN"/>
              </w:rPr>
              <w:t>再现性限（</w:t>
            </w:r>
            <w:r>
              <w:rPr>
                <w:rFonts w:hint="eastAsia"/>
                <w:i/>
                <w:iCs/>
                <w:lang w:val="en-US" w:eastAsia="zh-CN"/>
              </w:rPr>
              <w:t>R</w:t>
            </w:r>
            <w:r>
              <w:rPr>
                <w:rFonts w:hint="eastAsia"/>
                <w:lang w:val="en-US" w:eastAsia="zh-CN"/>
              </w:rPr>
              <w:t>）/%</w:t>
            </w:r>
          </w:p>
        </w:tc>
      </w:tr>
      <w:tr w14:paraId="7D83D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restart"/>
            <w:tcBorders>
              <w:top w:val="single" w:color="auto" w:sz="12" w:space="0"/>
            </w:tcBorders>
            <w:noWrap w:val="0"/>
            <w:vAlign w:val="center"/>
          </w:tcPr>
          <w:p w14:paraId="720A7310">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钍</w:t>
            </w:r>
          </w:p>
        </w:tc>
        <w:tc>
          <w:tcPr>
            <w:tcW w:w="1667" w:type="pct"/>
            <w:tcBorders>
              <w:top w:val="single" w:color="auto" w:sz="12" w:space="0"/>
            </w:tcBorders>
            <w:noWrap w:val="0"/>
            <w:vAlign w:val="center"/>
          </w:tcPr>
          <w:p w14:paraId="6B1ACE10">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0.0028</w:t>
            </w:r>
          </w:p>
        </w:tc>
        <w:tc>
          <w:tcPr>
            <w:tcW w:w="1665" w:type="pct"/>
            <w:tcBorders>
              <w:top w:val="single" w:color="auto" w:sz="12" w:space="0"/>
            </w:tcBorders>
            <w:noWrap w:val="0"/>
            <w:vAlign w:val="center"/>
          </w:tcPr>
          <w:p w14:paraId="1E057B73">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0.0003</w:t>
            </w:r>
          </w:p>
        </w:tc>
      </w:tr>
      <w:tr w14:paraId="1FA6C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4D78C755">
            <w:pPr>
              <w:jc w:val="center"/>
              <w:rPr>
                <w:rFonts w:hint="eastAsia" w:ascii="Times New Roman" w:hAnsi="Times New Roman" w:eastAsia="宋体" w:cs="Times New Roman"/>
                <w:sz w:val="18"/>
                <w:szCs w:val="18"/>
              </w:rPr>
            </w:pPr>
          </w:p>
        </w:tc>
        <w:tc>
          <w:tcPr>
            <w:tcW w:w="1667" w:type="pct"/>
            <w:noWrap w:val="0"/>
            <w:vAlign w:val="center"/>
          </w:tcPr>
          <w:p w14:paraId="68EB8851">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0.0056</w:t>
            </w:r>
          </w:p>
        </w:tc>
        <w:tc>
          <w:tcPr>
            <w:tcW w:w="1665" w:type="pct"/>
            <w:noWrap w:val="0"/>
            <w:vAlign w:val="center"/>
          </w:tcPr>
          <w:p w14:paraId="7416D5A8">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0.0005</w:t>
            </w:r>
          </w:p>
        </w:tc>
      </w:tr>
      <w:tr w14:paraId="7DF76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7A58A701">
            <w:pPr>
              <w:jc w:val="center"/>
              <w:rPr>
                <w:rFonts w:hint="eastAsia" w:ascii="Times New Roman" w:hAnsi="Times New Roman" w:eastAsia="宋体" w:cs="Times New Roman"/>
                <w:sz w:val="18"/>
                <w:szCs w:val="18"/>
              </w:rPr>
            </w:pPr>
          </w:p>
        </w:tc>
        <w:tc>
          <w:tcPr>
            <w:tcW w:w="1667" w:type="pct"/>
            <w:noWrap w:val="0"/>
            <w:vAlign w:val="center"/>
          </w:tcPr>
          <w:p w14:paraId="10468C89">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0.0064</w:t>
            </w:r>
          </w:p>
        </w:tc>
        <w:tc>
          <w:tcPr>
            <w:tcW w:w="1665" w:type="pct"/>
            <w:noWrap w:val="0"/>
            <w:vAlign w:val="center"/>
          </w:tcPr>
          <w:p w14:paraId="1D8586A7">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0.0009</w:t>
            </w:r>
          </w:p>
        </w:tc>
      </w:tr>
      <w:tr w14:paraId="258BB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3F6CC5B9">
            <w:pPr>
              <w:jc w:val="center"/>
              <w:rPr>
                <w:rFonts w:hint="eastAsia" w:ascii="Times New Roman" w:hAnsi="Times New Roman" w:eastAsia="宋体" w:cs="Times New Roman"/>
                <w:sz w:val="18"/>
                <w:szCs w:val="18"/>
              </w:rPr>
            </w:pPr>
          </w:p>
        </w:tc>
        <w:tc>
          <w:tcPr>
            <w:tcW w:w="1667" w:type="pct"/>
            <w:noWrap w:val="0"/>
            <w:vAlign w:val="center"/>
          </w:tcPr>
          <w:p w14:paraId="2BEBCACC">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0.0066</w:t>
            </w:r>
          </w:p>
        </w:tc>
        <w:tc>
          <w:tcPr>
            <w:tcW w:w="1665" w:type="pct"/>
            <w:noWrap w:val="0"/>
            <w:vAlign w:val="center"/>
          </w:tcPr>
          <w:p w14:paraId="361EF034">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0.0007</w:t>
            </w:r>
          </w:p>
        </w:tc>
      </w:tr>
      <w:tr w14:paraId="34341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76F8B3B9">
            <w:pPr>
              <w:jc w:val="center"/>
              <w:rPr>
                <w:rFonts w:hint="eastAsia" w:ascii="Times New Roman" w:hAnsi="Times New Roman" w:eastAsia="宋体" w:cs="Times New Roman"/>
                <w:sz w:val="18"/>
                <w:szCs w:val="18"/>
              </w:rPr>
            </w:pPr>
          </w:p>
        </w:tc>
        <w:tc>
          <w:tcPr>
            <w:tcW w:w="1667" w:type="pct"/>
            <w:noWrap w:val="0"/>
            <w:vAlign w:val="center"/>
          </w:tcPr>
          <w:p w14:paraId="7E3B7DE4">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0.016</w:t>
            </w:r>
          </w:p>
        </w:tc>
        <w:tc>
          <w:tcPr>
            <w:tcW w:w="1665" w:type="pct"/>
            <w:noWrap w:val="0"/>
            <w:vAlign w:val="center"/>
          </w:tcPr>
          <w:p w14:paraId="21416524">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0.001</w:t>
            </w:r>
          </w:p>
        </w:tc>
      </w:tr>
      <w:tr w14:paraId="02678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4AEECEBE">
            <w:pPr>
              <w:jc w:val="center"/>
              <w:rPr>
                <w:rFonts w:hint="eastAsia" w:ascii="Times New Roman" w:hAnsi="Times New Roman" w:eastAsia="宋体" w:cs="Times New Roman"/>
                <w:sz w:val="18"/>
                <w:szCs w:val="18"/>
              </w:rPr>
            </w:pPr>
          </w:p>
        </w:tc>
        <w:tc>
          <w:tcPr>
            <w:tcW w:w="1667" w:type="pct"/>
            <w:noWrap w:val="0"/>
            <w:vAlign w:val="center"/>
          </w:tcPr>
          <w:p w14:paraId="7D1E02A0">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0.17</w:t>
            </w:r>
          </w:p>
        </w:tc>
        <w:tc>
          <w:tcPr>
            <w:tcW w:w="1665" w:type="pct"/>
            <w:noWrap w:val="0"/>
            <w:vAlign w:val="center"/>
          </w:tcPr>
          <w:p w14:paraId="6ED9BF63">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0.01</w:t>
            </w:r>
          </w:p>
        </w:tc>
      </w:tr>
      <w:tr w14:paraId="155A2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restart"/>
            <w:noWrap w:val="0"/>
            <w:vAlign w:val="center"/>
          </w:tcPr>
          <w:p w14:paraId="774D53A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铀</w:t>
            </w:r>
          </w:p>
        </w:tc>
        <w:tc>
          <w:tcPr>
            <w:tcW w:w="1667" w:type="pct"/>
            <w:noWrap w:val="0"/>
            <w:vAlign w:val="center"/>
          </w:tcPr>
          <w:p w14:paraId="0A491A44">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0.00081</w:t>
            </w:r>
          </w:p>
        </w:tc>
        <w:tc>
          <w:tcPr>
            <w:tcW w:w="1665" w:type="pct"/>
            <w:noWrap w:val="0"/>
            <w:vAlign w:val="center"/>
          </w:tcPr>
          <w:p w14:paraId="2225E0DB">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0.00008</w:t>
            </w:r>
          </w:p>
        </w:tc>
      </w:tr>
      <w:tr w14:paraId="74CD0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4D3EAEBF">
            <w:pPr>
              <w:jc w:val="center"/>
              <w:rPr>
                <w:rFonts w:hint="eastAsia" w:ascii="Times New Roman" w:hAnsi="Times New Roman" w:eastAsia="宋体" w:cs="Times New Roman"/>
                <w:sz w:val="18"/>
                <w:szCs w:val="18"/>
              </w:rPr>
            </w:pPr>
          </w:p>
        </w:tc>
        <w:tc>
          <w:tcPr>
            <w:tcW w:w="1667" w:type="pct"/>
            <w:noWrap w:val="0"/>
            <w:vAlign w:val="center"/>
          </w:tcPr>
          <w:p w14:paraId="0816E053">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0.0020</w:t>
            </w:r>
          </w:p>
        </w:tc>
        <w:tc>
          <w:tcPr>
            <w:tcW w:w="1665" w:type="pct"/>
            <w:noWrap w:val="0"/>
            <w:vAlign w:val="center"/>
          </w:tcPr>
          <w:p w14:paraId="4FAA896F">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0.0002</w:t>
            </w:r>
          </w:p>
        </w:tc>
      </w:tr>
      <w:tr w14:paraId="0A9B1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726CDC6E">
            <w:pPr>
              <w:jc w:val="center"/>
              <w:rPr>
                <w:rFonts w:hint="eastAsia" w:ascii="Times New Roman" w:hAnsi="Times New Roman" w:eastAsia="宋体" w:cs="Times New Roman"/>
                <w:sz w:val="18"/>
                <w:szCs w:val="18"/>
              </w:rPr>
            </w:pPr>
          </w:p>
        </w:tc>
        <w:tc>
          <w:tcPr>
            <w:tcW w:w="1667" w:type="pct"/>
            <w:noWrap w:val="0"/>
            <w:vAlign w:val="center"/>
          </w:tcPr>
          <w:p w14:paraId="511D6B28">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0.0068</w:t>
            </w:r>
          </w:p>
        </w:tc>
        <w:tc>
          <w:tcPr>
            <w:tcW w:w="1665" w:type="pct"/>
            <w:noWrap w:val="0"/>
            <w:vAlign w:val="center"/>
          </w:tcPr>
          <w:p w14:paraId="6B9F9072">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0.0005</w:t>
            </w:r>
          </w:p>
        </w:tc>
      </w:tr>
      <w:tr w14:paraId="73A80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54E0928E">
            <w:pPr>
              <w:jc w:val="center"/>
              <w:rPr>
                <w:rFonts w:hint="eastAsia" w:ascii="Times New Roman" w:hAnsi="Times New Roman" w:eastAsia="宋体" w:cs="Times New Roman"/>
                <w:sz w:val="18"/>
                <w:szCs w:val="18"/>
              </w:rPr>
            </w:pPr>
          </w:p>
        </w:tc>
        <w:tc>
          <w:tcPr>
            <w:tcW w:w="1667" w:type="pct"/>
            <w:noWrap w:val="0"/>
            <w:vAlign w:val="center"/>
          </w:tcPr>
          <w:p w14:paraId="0A4125D3">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0.0080</w:t>
            </w:r>
          </w:p>
        </w:tc>
        <w:tc>
          <w:tcPr>
            <w:tcW w:w="1665" w:type="pct"/>
            <w:shd w:val="clear" w:color="auto" w:fill="auto"/>
            <w:noWrap w:val="0"/>
            <w:vAlign w:val="center"/>
          </w:tcPr>
          <w:p w14:paraId="3F3E28FF">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0.0010</w:t>
            </w:r>
          </w:p>
        </w:tc>
      </w:tr>
      <w:tr w14:paraId="5E792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42AE95EB">
            <w:pPr>
              <w:jc w:val="center"/>
              <w:rPr>
                <w:rFonts w:hint="eastAsia" w:ascii="Times New Roman" w:hAnsi="Times New Roman" w:eastAsia="宋体" w:cs="Times New Roman"/>
                <w:sz w:val="18"/>
                <w:szCs w:val="18"/>
              </w:rPr>
            </w:pPr>
          </w:p>
        </w:tc>
        <w:tc>
          <w:tcPr>
            <w:tcW w:w="1667" w:type="pct"/>
            <w:noWrap w:val="0"/>
            <w:vAlign w:val="center"/>
          </w:tcPr>
          <w:p w14:paraId="5993E720">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kern w:val="2"/>
                <w:sz w:val="18"/>
                <w:szCs w:val="18"/>
                <w:lang w:val="en-US" w:eastAsia="zh-CN" w:bidi="ar-SA"/>
              </w:rPr>
              <w:t>0.014</w:t>
            </w:r>
          </w:p>
        </w:tc>
        <w:tc>
          <w:tcPr>
            <w:tcW w:w="1665" w:type="pct"/>
            <w:shd w:val="clear" w:color="auto" w:fill="auto"/>
            <w:noWrap w:val="0"/>
            <w:vAlign w:val="center"/>
          </w:tcPr>
          <w:p w14:paraId="1F31CB59">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0.001</w:t>
            </w:r>
          </w:p>
        </w:tc>
      </w:tr>
      <w:tr w14:paraId="2B27E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67" w:type="pct"/>
            <w:vMerge w:val="continue"/>
            <w:noWrap w:val="0"/>
            <w:vAlign w:val="center"/>
          </w:tcPr>
          <w:p w14:paraId="0ACF4ECF">
            <w:pPr>
              <w:jc w:val="center"/>
              <w:rPr>
                <w:rFonts w:hint="eastAsia" w:ascii="Times New Roman" w:hAnsi="Times New Roman" w:eastAsia="宋体" w:cs="Times New Roman"/>
                <w:sz w:val="18"/>
                <w:szCs w:val="18"/>
              </w:rPr>
            </w:pPr>
          </w:p>
        </w:tc>
        <w:tc>
          <w:tcPr>
            <w:tcW w:w="1667" w:type="pct"/>
            <w:noWrap w:val="0"/>
            <w:vAlign w:val="center"/>
          </w:tcPr>
          <w:p w14:paraId="02F78A90">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0.020</w:t>
            </w:r>
          </w:p>
        </w:tc>
        <w:tc>
          <w:tcPr>
            <w:tcW w:w="1665" w:type="pct"/>
            <w:noWrap w:val="0"/>
            <w:vAlign w:val="center"/>
          </w:tcPr>
          <w:p w14:paraId="04269CC8">
            <w:pPr>
              <w:jc w:val="center"/>
              <w:rPr>
                <w:rFonts w:hint="eastAsia" w:ascii="Times New Roman" w:hAnsi="Times New Roman" w:eastAsia="宋体" w:cs="Times New Roman"/>
                <w:sz w:val="18"/>
                <w:szCs w:val="18"/>
              </w:rPr>
            </w:pPr>
            <w:r>
              <w:rPr>
                <w:rFonts w:hint="eastAsia" w:ascii="Times New Roman" w:hAnsi="Times New Roman" w:cs="Times New Roman"/>
                <w:sz w:val="18"/>
                <w:szCs w:val="18"/>
                <w:lang w:val="en-US" w:eastAsia="zh-CN"/>
              </w:rPr>
              <w:t>0.001</w:t>
            </w:r>
          </w:p>
        </w:tc>
      </w:tr>
      <w:tr w14:paraId="2DE67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5000" w:type="pct"/>
            <w:gridSpan w:val="3"/>
            <w:noWrap w:val="0"/>
            <w:vAlign w:val="center"/>
          </w:tcPr>
          <w:p w14:paraId="145A4139">
            <w:pPr>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注：</w:t>
            </w:r>
            <w:r>
              <w:rPr>
                <w:rFonts w:hint="eastAsia" w:ascii="Times New Roman" w:hAnsi="Times New Roman" w:eastAsia="宋体" w:cs="Times New Roman"/>
                <w:sz w:val="18"/>
                <w:szCs w:val="18"/>
                <w:lang w:val="en-US" w:eastAsia="zh-CN"/>
              </w:rPr>
              <w:t>再</w:t>
            </w:r>
            <w:r>
              <w:rPr>
                <w:rFonts w:hint="eastAsia"/>
                <w:sz w:val="18"/>
                <w:szCs w:val="18"/>
                <w:lang w:val="en-US" w:eastAsia="zh-CN"/>
              </w:rPr>
              <w:t>现性限（</w:t>
            </w:r>
            <w:r>
              <w:rPr>
                <w:rFonts w:hint="eastAsia"/>
                <w:i/>
                <w:iCs/>
                <w:sz w:val="18"/>
                <w:szCs w:val="18"/>
                <w:lang w:val="en-US" w:eastAsia="zh-CN"/>
              </w:rPr>
              <w:t>R</w:t>
            </w:r>
            <w:r>
              <w:rPr>
                <w:rFonts w:hint="eastAsia"/>
                <w:sz w:val="18"/>
                <w:szCs w:val="18"/>
                <w:lang w:val="en-US" w:eastAsia="zh-CN"/>
              </w:rPr>
              <w:t>）</w:t>
            </w:r>
            <w:r>
              <w:rPr>
                <w:rFonts w:hint="eastAsia" w:ascii="Times New Roman" w:hAnsi="Times New Roman" w:eastAsia="宋体" w:cs="Times New Roman"/>
                <w:sz w:val="18"/>
                <w:szCs w:val="18"/>
              </w:rPr>
              <w:t>为2.8×S</w:t>
            </w:r>
            <w:r>
              <w:rPr>
                <w:rFonts w:hint="eastAsia" w:ascii="Times New Roman" w:hAnsi="Times New Roman" w:eastAsia="宋体" w:cs="Times New Roman"/>
                <w:sz w:val="18"/>
                <w:szCs w:val="18"/>
                <w:vertAlign w:val="subscript"/>
              </w:rPr>
              <w:t>R</w:t>
            </w:r>
            <w:r>
              <w:rPr>
                <w:rFonts w:hint="eastAsia" w:ascii="Times New Roman" w:hAnsi="Times New Roman" w:eastAsia="宋体" w:cs="Times New Roman"/>
                <w:sz w:val="18"/>
                <w:szCs w:val="18"/>
              </w:rPr>
              <w:t>，S</w:t>
            </w:r>
            <w:r>
              <w:rPr>
                <w:rFonts w:hint="eastAsia" w:ascii="Times New Roman" w:hAnsi="Times New Roman" w:eastAsia="宋体" w:cs="Times New Roman"/>
                <w:sz w:val="18"/>
                <w:szCs w:val="18"/>
                <w:vertAlign w:val="subscript"/>
              </w:rPr>
              <w:t>R</w:t>
            </w:r>
            <w:r>
              <w:rPr>
                <w:rFonts w:hint="eastAsia" w:ascii="Times New Roman" w:hAnsi="Times New Roman" w:eastAsia="宋体" w:cs="Times New Roman"/>
                <w:sz w:val="18"/>
                <w:szCs w:val="18"/>
              </w:rPr>
              <w:t>为再现性标准差。</w:t>
            </w:r>
          </w:p>
        </w:tc>
      </w:tr>
    </w:tbl>
    <w:p w14:paraId="64F184B7">
      <w:pPr>
        <w:pStyle w:val="11"/>
        <w:snapToGrid w:val="0"/>
        <w:ind w:firstLine="0" w:firstLineChars="0"/>
        <w:rPr>
          <w:rFonts w:hAnsi="宋体" w:cs="宋体"/>
        </w:rPr>
      </w:pPr>
      <w:r>
        <mc:AlternateContent>
          <mc:Choice Requires="wps">
            <w:drawing>
              <wp:anchor distT="0" distB="0" distL="114300" distR="114300" simplePos="0" relativeHeight="251671552" behindDoc="0" locked="0" layoutInCell="1" allowOverlap="1">
                <wp:simplePos x="0" y="0"/>
                <wp:positionH relativeFrom="column">
                  <wp:posOffset>1777365</wp:posOffset>
                </wp:positionH>
                <wp:positionV relativeFrom="paragraph">
                  <wp:posOffset>221615</wp:posOffset>
                </wp:positionV>
                <wp:extent cx="2209800" cy="2540"/>
                <wp:effectExtent l="0" t="9525" r="0" b="13335"/>
                <wp:wrapNone/>
                <wp:docPr id="2" name="直接连接符 7"/>
                <wp:cNvGraphicFramePr/>
                <a:graphic xmlns:a="http://schemas.openxmlformats.org/drawingml/2006/main">
                  <a:graphicData uri="http://schemas.microsoft.com/office/word/2010/wordprocessingShape">
                    <wps:wsp>
                      <wps:cNvCnPr/>
                      <wps:spPr>
                        <a:xfrm>
                          <a:off x="2325370" y="8241030"/>
                          <a:ext cx="2209800" cy="2540"/>
                        </a:xfrm>
                        <a:prstGeom prst="line">
                          <a:avLst/>
                        </a:prstGeom>
                        <a:noFill/>
                        <a:ln w="19050" cap="flat" cmpd="sng" algn="ctr">
                          <a:solidFill>
                            <a:srgbClr val="000000"/>
                          </a:solidFill>
                          <a:prstDash val="solid"/>
                        </a:ln>
                        <a:effectLst/>
                      </wps:spPr>
                      <wps:bodyPr/>
                    </wps:wsp>
                  </a:graphicData>
                </a:graphic>
              </wp:anchor>
            </w:drawing>
          </mc:Choice>
          <mc:Fallback>
            <w:pict>
              <v:line id="直接连接符 7" o:spid="_x0000_s1026" o:spt="20" style="position:absolute;left:0pt;margin-left:139.95pt;margin-top:17.45pt;height:0.2pt;width:174pt;z-index:251671552;mso-width-relative:page;mso-height-relative:page;" filled="f" stroked="t" coordsize="21600,21600" o:gfxdata="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whLWAAAACQEAAA8AAAAAAAAAAQAgAAAAIgAAAGRycy9kb3ducmV2LnhtbFBLAQIUABQAAAAIAIdO&#10;4kAGgJqU7AEAALgDAAAOAAAAAAAAAAEAIAAAACUBAABkcnMvZTJvRG9jLnhtbFBLBQYAAAAABgAG&#10;AFkBAACDBQAAAAA=&#10;">
                <v:fill on="f" focussize="0,0"/>
                <v:stroke weight="1.5pt" color="#000000" joinstyle="round"/>
                <v:imagedata o:title=""/>
                <o:lock v:ext="edit" aspectratio="f"/>
              </v:line>
            </w:pict>
          </mc:Fallback>
        </mc:AlternateContent>
      </w:r>
    </w:p>
    <w:p w14:paraId="477B392F">
      <w:pPr>
        <w:rPr>
          <w:color w:val="auto"/>
        </w:rPr>
      </w:pPr>
    </w:p>
    <w:sectPr>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1A4DC">
    <w:pPr>
      <w:pStyle w:val="28"/>
      <w:rPr>
        <w:rStyle w:val="8"/>
      </w:rPr>
    </w:pPr>
    <w:r>
      <w:fldChar w:fldCharType="begin"/>
    </w:r>
    <w:r>
      <w:rPr>
        <w:rStyle w:val="8"/>
      </w:rPr>
      <w:instrText xml:space="preserve">PAGE  </w:instrText>
    </w:r>
    <w:r>
      <w:fldChar w:fldCharType="separate"/>
    </w:r>
    <w:r>
      <w:rPr>
        <w:rStyle w:val="8"/>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92E9">
    <w:pPr>
      <w:pStyle w:val="29"/>
      <w:rPr>
        <w:rStyle w:val="8"/>
      </w:rPr>
    </w:pPr>
    <w:r>
      <w:fldChar w:fldCharType="begin"/>
    </w:r>
    <w:r>
      <w:rPr>
        <w:rStyle w:val="8"/>
      </w:rPr>
      <w:instrText xml:space="preserve">PAGE  </w:instrText>
    </w:r>
    <w:r>
      <w:fldChar w:fldCharType="separate"/>
    </w:r>
    <w:r>
      <w:rPr>
        <w:rStyle w:val="8"/>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C896F">
    <w:pPr>
      <w:pStyle w:val="28"/>
      <w:rPr>
        <w:rStyle w:val="8"/>
      </w:rPr>
    </w:pPr>
    <w:r>
      <w:fldChar w:fldCharType="begin"/>
    </w:r>
    <w:r>
      <w:rPr>
        <w:rStyle w:val="8"/>
      </w:rPr>
      <w:instrText xml:space="preserve">PAGE  </w:instrText>
    </w:r>
    <w:r>
      <w:fldChar w:fldCharType="separate"/>
    </w:r>
    <w:r>
      <w:rPr>
        <w:rStyle w:val="8"/>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23FA">
    <w:pPr>
      <w:pStyle w:val="29"/>
      <w:jc w:val="right"/>
      <w:rPr>
        <w:rStyle w:val="8"/>
      </w:rPr>
    </w:pPr>
    <w:r>
      <w:fldChar w:fldCharType="begin"/>
    </w:r>
    <w:r>
      <w:rPr>
        <w:rStyle w:val="8"/>
      </w:rPr>
      <w:instrText xml:space="preserve">PAGE  </w:instrText>
    </w:r>
    <w:r>
      <w:fldChar w:fldCharType="separate"/>
    </w:r>
    <w:r>
      <w:rPr>
        <w:rStyle w:val="8"/>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5141">
    <w:pPr>
      <w:pStyle w:val="25"/>
    </w:pPr>
    <w:r>
      <w:t>GB/T ××××—200×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8AFD">
    <w:pPr>
      <w:pStyle w:val="26"/>
      <w:jc w:val="right"/>
      <w:rPr>
        <w:rFonts w:hint="eastAsia" w:ascii="黑体" w:hAnsi="黑体" w:eastAsia="黑体"/>
      </w:rPr>
    </w:pPr>
    <w:r>
      <w:rPr>
        <w:rFonts w:ascii="黑体" w:hAnsi="黑体" w:eastAsia="黑体"/>
      </w:rPr>
      <w:t>GB/T 18882.4—202X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15E0">
    <w:pPr>
      <w:pStyle w:val="27"/>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4802">
    <w:pPr>
      <w:pStyle w:val="25"/>
      <w:spacing w:after="0"/>
      <w:rPr>
        <w:rFonts w:hint="eastAsia" w:ascii="黑体" w:hAnsi="黑体" w:eastAsia="黑体"/>
      </w:rPr>
    </w:pPr>
    <w:r>
      <w:rPr>
        <w:rFonts w:ascii="黑体" w:hAnsi="黑体" w:eastAsia="黑体"/>
      </w:rPr>
      <w:t>GB/T 18882.</w:t>
    </w:r>
    <w:r>
      <w:rPr>
        <w:rFonts w:hint="eastAsia" w:ascii="黑体" w:hAnsi="黑体" w:eastAsia="黑体"/>
      </w:rPr>
      <w:t>X</w:t>
    </w:r>
    <w:r>
      <w:rPr>
        <w:rFonts w:ascii="黑体" w:hAnsi="黑体" w:eastAsia="黑体"/>
      </w:rPr>
      <w:t>—202</w:t>
    </w:r>
    <w:r>
      <w:rPr>
        <w:rFonts w:hint="eastAsia" w:ascii="黑体" w:hAnsi="黑体" w:eastAsia="黑体"/>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2051">
    <w:pPr>
      <w:pStyle w:val="26"/>
      <w:spacing w:after="0"/>
      <w:jc w:val="right"/>
      <w:rPr>
        <w:rFonts w:hint="eastAsia" w:ascii="黑体" w:hAnsi="黑体" w:eastAsia="黑体"/>
      </w:rPr>
    </w:pPr>
    <w:r>
      <w:rPr>
        <w:rFonts w:ascii="黑体" w:hAnsi="黑体" w:eastAsia="黑体"/>
      </w:rPr>
      <w:t>GB/T 18882.</w:t>
    </w:r>
    <w:r>
      <w:rPr>
        <w:rFonts w:hint="eastAsia" w:ascii="黑体" w:hAnsi="黑体" w:eastAsia="黑体"/>
      </w:rPr>
      <w:t>X</w:t>
    </w:r>
    <w:r>
      <w:rPr>
        <w:rFonts w:ascii="黑体" w:hAnsi="黑体" w:eastAsia="黑体"/>
      </w:rPr>
      <w:t>—202</w:t>
    </w:r>
    <w:r>
      <w:rPr>
        <w:rFonts w:hint="eastAsia" w:ascii="黑体" w:hAnsi="黑体" w:eastAsia="黑体"/>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0"/>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10" w:firstLine="0"/>
      </w:pPr>
      <w:rPr>
        <w:rFonts w:hint="eastAsia" w:ascii="黑体" w:hAnsi="Times New Roman" w:eastAsia="黑体"/>
        <w:b w:val="0"/>
        <w:i w:val="0"/>
        <w:sz w:val="21"/>
      </w:rPr>
    </w:lvl>
    <w:lvl w:ilvl="2" w:tentative="0">
      <w:start w:val="1"/>
      <w:numFmt w:val="decimal"/>
      <w:suff w:val="nothing"/>
      <w:lvlText w:val="%1%2.%3　"/>
      <w:lvlJc w:val="left"/>
      <w:pPr>
        <w:ind w:left="210" w:firstLine="0"/>
      </w:pPr>
      <w:rPr>
        <w:rFonts w:hint="eastAsia" w:ascii="黑体" w:hAnsi="Times New Roman" w:eastAsia="黑体"/>
        <w:b w:val="0"/>
        <w:i w:val="0"/>
        <w:sz w:val="21"/>
      </w:rPr>
    </w:lvl>
    <w:lvl w:ilvl="3" w:tentative="0">
      <w:start w:val="1"/>
      <w:numFmt w:val="decimal"/>
      <w:suff w:val="nothing"/>
      <w:lvlText w:val="%1%2.%3.%4　"/>
      <w:lvlJc w:val="left"/>
      <w:pPr>
        <w:ind w:left="73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21D0C"/>
    <w:rsid w:val="219A6D4B"/>
    <w:rsid w:val="2AD71AB9"/>
    <w:rsid w:val="42C5418D"/>
    <w:rsid w:val="43F324F1"/>
    <w:rsid w:val="48BE55D6"/>
    <w:rsid w:val="4C940979"/>
    <w:rsid w:val="51F323F7"/>
    <w:rsid w:val="5969680D"/>
    <w:rsid w:val="5AAD49D1"/>
    <w:rsid w:val="5B4F74FB"/>
    <w:rsid w:val="65967872"/>
    <w:rsid w:val="721C4B6C"/>
    <w:rsid w:val="73505F96"/>
    <w:rsid w:val="739B72F2"/>
    <w:rsid w:val="74D56B7B"/>
    <w:rsid w:val="7BDC7F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Times New Roman"/>
      <w:kern w:val="2"/>
      <w:sz w:val="21"/>
      <w:szCs w:val="21"/>
      <w:lang w:val="en-US" w:eastAsia="zh-CN" w:bidi="ar-SA"/>
    </w:rPr>
  </w:style>
  <w:style w:type="paragraph" w:styleId="2">
    <w:name w:val="heading 3"/>
    <w:basedOn w:val="1"/>
    <w:next w:val="1"/>
    <w:qFormat/>
    <w:uiPriority w:val="0"/>
    <w:pPr>
      <w:keepNext/>
      <w:keepLines/>
      <w:spacing w:before="260" w:after="260" w:line="416" w:lineRule="auto"/>
      <w:ind w:firstLine="482"/>
      <w:outlineLvl w:val="2"/>
    </w:pPr>
    <w:rPr>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Plain Text"/>
    <w:basedOn w:val="1"/>
    <w:qFormat/>
    <w:uiPriority w:val="0"/>
    <w:pPr>
      <w:jc w:val="both"/>
    </w:pPr>
  </w:style>
  <w:style w:type="paragraph" w:styleId="5">
    <w:name w:val="Normal (Web)"/>
    <w:basedOn w:val="1"/>
    <w:unhideWhenUsed/>
    <w:qFormat/>
    <w:uiPriority w:val="99"/>
    <w:rPr>
      <w:sz w:val="24"/>
    </w:rPr>
  </w:style>
  <w:style w:type="character" w:styleId="8">
    <w:name w:val="page number"/>
    <w:qFormat/>
    <w:uiPriority w:val="0"/>
    <w:rPr>
      <w:rFonts w:ascii="Times New Roman" w:hAnsi="Times New Roman" w:eastAsia="宋体"/>
      <w:sz w:val="18"/>
    </w:rPr>
  </w:style>
  <w:style w:type="paragraph" w:customStyle="1" w:styleId="9">
    <w:name w:val="封面正文"/>
    <w:qFormat/>
    <w:uiPriority w:val="0"/>
    <w:pPr>
      <w:jc w:val="both"/>
    </w:pPr>
    <w:rPr>
      <w:rFonts w:ascii="Times New Roman" w:hAnsi="Times New Roman" w:eastAsia="宋体" w:cs="Times New Roman"/>
      <w:lang w:val="en-US" w:eastAsia="zh-CN" w:bidi="ar-SA"/>
    </w:rPr>
  </w:style>
  <w:style w:type="paragraph" w:customStyle="1" w:styleId="1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目次、标准名称标题"/>
    <w:basedOn w:val="10"/>
    <w:next w:val="11"/>
    <w:qFormat/>
    <w:uiPriority w:val="0"/>
    <w:pPr>
      <w:numPr>
        <w:ilvl w:val="0"/>
        <w:numId w:val="0"/>
      </w:numPr>
      <w:spacing w:line="460" w:lineRule="exact"/>
    </w:pPr>
  </w:style>
  <w:style w:type="paragraph" w:customStyle="1" w:styleId="13">
    <w:name w:val="章标题"/>
    <w:next w:val="11"/>
    <w:qFormat/>
    <w:uiPriority w:val="0"/>
    <w:pPr>
      <w:tabs>
        <w:tab w:val="left" w:pos="112"/>
        <w:tab w:val="left" w:pos="360"/>
      </w:tabs>
      <w:spacing w:before="312" w:beforeLines="100" w:after="312" w:afterLines="100"/>
      <w:jc w:val="both"/>
      <w:outlineLvl w:val="1"/>
    </w:pPr>
    <w:rPr>
      <w:rFonts w:ascii="宋体" w:hAnsi="宋体" w:eastAsia="宋体" w:cs="Times New Roman"/>
      <w:color w:val="002060"/>
      <w:sz w:val="21"/>
      <w:lang w:val="en-US" w:eastAsia="zh-CN" w:bidi="ar-SA"/>
    </w:rPr>
  </w:style>
  <w:style w:type="paragraph" w:styleId="14">
    <w:name w:val="List Paragraph"/>
    <w:basedOn w:val="1"/>
    <w:qFormat/>
    <w:uiPriority w:val="34"/>
    <w:pPr>
      <w:ind w:firstLine="420" w:firstLineChars="200"/>
    </w:pPr>
  </w:style>
  <w:style w:type="paragraph" w:customStyle="1" w:styleId="15">
    <w:name w:val="一级条标题"/>
    <w:basedOn w:val="13"/>
    <w:next w:val="11"/>
    <w:qFormat/>
    <w:uiPriority w:val="0"/>
    <w:pPr>
      <w:tabs>
        <w:tab w:val="left" w:pos="1260"/>
      </w:tabs>
      <w:spacing w:before="0" w:beforeLines="0" w:after="0" w:afterLines="0"/>
      <w:outlineLvl w:val="2"/>
    </w:pPr>
    <w:rPr>
      <w:color w:val="000000"/>
      <w:szCs w:val="22"/>
    </w:rPr>
  </w:style>
  <w:style w:type="paragraph" w:customStyle="1" w:styleId="16">
    <w:name w:val="标准"/>
    <w:basedOn w:val="1"/>
    <w:qFormat/>
    <w:uiPriority w:val="0"/>
    <w:pPr>
      <w:adjustRightInd w:val="0"/>
      <w:spacing w:line="312" w:lineRule="atLeast"/>
      <w:ind w:firstLine="420" w:firstLineChars="200"/>
      <w:textAlignment w:val="baseline"/>
    </w:pPr>
    <w:rPr>
      <w:kern w:val="0"/>
      <w:szCs w:val="22"/>
    </w:rPr>
  </w:style>
  <w:style w:type="paragraph" w:customStyle="1" w:styleId="17">
    <w:name w:val="发布部门"/>
    <w:next w:val="1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8">
    <w:name w:val="实施日期"/>
    <w:basedOn w:val="19"/>
    <w:qFormat/>
    <w:uiPriority w:val="0"/>
    <w:pPr>
      <w:framePr w:hSpace="0" w:wrap="around" w:xAlign="right"/>
      <w:jc w:val="right"/>
    </w:pPr>
  </w:style>
  <w:style w:type="paragraph" w:customStyle="1" w:styleId="1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6">
    <w:name w:val="标准书眉_偶数页"/>
    <w:basedOn w:val="25"/>
    <w:next w:val="1"/>
    <w:qFormat/>
    <w:uiPriority w:val="0"/>
    <w:pPr>
      <w:jc w:val="left"/>
    </w:pPr>
  </w:style>
  <w:style w:type="paragraph" w:customStyle="1" w:styleId="27">
    <w:name w:val="标准书眉一"/>
    <w:qFormat/>
    <w:uiPriority w:val="0"/>
    <w:pPr>
      <w:jc w:val="both"/>
    </w:pPr>
    <w:rPr>
      <w:rFonts w:ascii="Times New Roman" w:hAnsi="Times New Roman" w:eastAsia="宋体" w:cs="Times New Roman"/>
      <w:lang w:val="en-US" w:eastAsia="zh-CN" w:bidi="ar-SA"/>
    </w:rPr>
  </w:style>
  <w:style w:type="paragraph" w:customStyle="1" w:styleId="2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9">
    <w:name w:val="标准书脚_偶数页"/>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image" Target="media/image4.wmf"/><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5437</Words>
  <Characters>7059</Characters>
  <Lines>0</Lines>
  <Paragraphs>0</Paragraphs>
  <TotalTime>14</TotalTime>
  <ScaleCrop>false</ScaleCrop>
  <LinksUpToDate>false</LinksUpToDate>
  <CharactersWithSpaces>7286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2026-04-05T09:44:00Z</dcterms:created>
  <dc:creator>dtdsh</dc:creator>
  <cp:lastModifiedBy>孙娜</cp:lastModifiedBy>
  <dcterms:modified xsi:type="dcterms:W3CDTF">2026-05-14T17:16:55Z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eyJoZGlkIjoiZDA2NmZlOGEzNzUzYzhiZDcwMzYzZGMzYzBhY2M3MDIiLCJ1c2VySWQiOiI2NTI5ODY5MzIifQ==</vt:lpwstr>
  </property>
  <property fmtid="{D5CDD505-2E9C-101B-9397-08002B2CF9AE}" pid="4" name="ICV">
    <vt:lpwstr>5FE9D9FA5310480DA668E6E0548F91AC_13</vt:lpwstr>
  </property>
</Properties>
</file>