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ECCC3D">
      <w:pPr>
        <w:pStyle w:val="25"/>
        <w:jc w:val="both"/>
        <w:sectPr>
          <w:headerReference r:id="rId5" w:type="first"/>
          <w:footerReference r:id="rId8" w:type="first"/>
          <w:headerReference r:id="rId3" w:type="default"/>
          <w:footerReference r:id="rId6" w:type="default"/>
          <w:headerReference r:id="rId4" w:type="even"/>
          <w:footerReference r:id="rId7" w:type="even"/>
          <w:pgSz w:w="11907" w:h="16839"/>
          <w:pgMar w:top="567" w:right="851" w:bottom="1361" w:left="1418" w:header="0" w:footer="0" w:gutter="0"/>
          <w:pgNumType w:start="1"/>
          <w:cols w:space="425" w:num="1"/>
          <w:titlePg/>
          <w:docGrid w:type="lines" w:linePitch="312" w:charSpace="0"/>
        </w:sectPr>
      </w:pPr>
      <w:bookmarkStart w:id="0" w:name="SectionMark0"/>
      <w: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8745855</wp:posOffset>
                </wp:positionV>
                <wp:extent cx="6121400" cy="0"/>
                <wp:effectExtent l="0" t="0" r="0" b="0"/>
                <wp:wrapNone/>
                <wp:docPr id="10" name="Line 192"/>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80000"/>
                          </a:solidFill>
                          <a:round/>
                        </a:ln>
                      </wps:spPr>
                      <wps:bodyPr/>
                    </wps:wsp>
                  </a:graphicData>
                </a:graphic>
              </wp:anchor>
            </w:drawing>
          </mc:Choice>
          <mc:Fallback>
            <w:pict>
              <v:line id="Line 192" o:spid="_x0000_s1026" o:spt="20" style="position:absolute;left:0pt;margin-left:0pt;margin-top:688.65pt;height:0pt;width:482pt;z-index:251668480;mso-width-relative:page;mso-height-relative:page;" filled="f" stroked="t" coordsize="21600,21600" o:gfxdata="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FJSS3HXAAAACgEAAA8AAAAAAAAAAQAgAAAAIgAAAGRycy9k&#10;b3ducmV2LnhtbFBLAQIUABQAAAAIAIdO4kAKEEBNygEAAKMDAAAOAAAAAAAAAAEAIAAAACYBAABk&#10;cnMvZTJvRG9jLnhtbFBLBQYAAAAABgAGAFkBAABiBQAAAAA=&#10;">
                <v:fill on="f" focussize="0,0"/>
                <v:stroke weight="1pt" color="#080000" joinstyle="round"/>
                <v:imagedata o:title=""/>
                <o:lock v:ext="edit" aspectratio="f"/>
              </v:line>
            </w:pict>
          </mc:Fallback>
        </mc:AlternateContent>
      </w:r>
      <w:r>
        <mc:AlternateContent>
          <mc:Choice Requires="wps">
            <w:drawing>
              <wp:anchor distT="0" distB="0" distL="114300" distR="114300" simplePos="0" relativeHeight="251671552" behindDoc="0" locked="1" layoutInCell="1" allowOverlap="1">
                <wp:simplePos x="0" y="0"/>
                <wp:positionH relativeFrom="margin">
                  <wp:posOffset>-371475</wp:posOffset>
                </wp:positionH>
                <wp:positionV relativeFrom="margin">
                  <wp:posOffset>8903970</wp:posOffset>
                </wp:positionV>
                <wp:extent cx="6120130" cy="594360"/>
                <wp:effectExtent l="0" t="0" r="0" b="0"/>
                <wp:wrapNone/>
                <wp:docPr id="870082309" name="fmFrame7"/>
                <wp:cNvGraphicFramePr/>
                <a:graphic xmlns:a="http://schemas.openxmlformats.org/drawingml/2006/main">
                  <a:graphicData uri="http://schemas.microsoft.com/office/word/2010/wordprocessingShape">
                    <wps:wsp>
                      <wps:cNvSpPr txBox="1">
                        <a:spLocks noChangeArrowheads="1"/>
                      </wps:cNvSpPr>
                      <wps:spPr bwMode="auto">
                        <a:xfrm>
                          <a:off x="0" y="0"/>
                          <a:ext cx="6120130" cy="594360"/>
                        </a:xfrm>
                        <a:prstGeom prst="rect">
                          <a:avLst/>
                        </a:prstGeom>
                        <a:solidFill>
                          <a:srgbClr val="FFFFFF"/>
                        </a:solidFill>
                        <a:ln>
                          <a:noFill/>
                        </a:ln>
                      </wps:spPr>
                      <wps:txbx>
                        <w:txbxContent>
                          <w:p w14:paraId="65E3A522">
                            <w:pPr>
                              <w:pStyle w:val="26"/>
                              <w:spacing w:line="0" w:lineRule="atLeast"/>
                              <w:ind w:firstLine="887" w:firstLineChars="200"/>
                              <w:jc w:val="both"/>
                              <w:rPr>
                                <w:color w:val="000000"/>
                                <w:spacing w:val="0"/>
                                <w:w w:val="130"/>
                                <w:szCs w:val="36"/>
                              </w:rPr>
                            </w:pPr>
                            <w:r>
                              <w:rPr>
                                <w:rFonts w:hint="eastAsia"/>
                                <w:color w:val="000000"/>
                                <w:spacing w:val="0"/>
                                <w:w w:val="130"/>
                                <w:sz w:val="34"/>
                                <w:szCs w:val="34"/>
                              </w:rPr>
                              <w:t>国 家 市 场 监 督 管 理 总 局</w:t>
                            </w:r>
                          </w:p>
                          <w:p w14:paraId="69430069">
                            <w:pPr>
                              <w:pStyle w:val="26"/>
                              <w:spacing w:line="0" w:lineRule="atLeast"/>
                              <w:ind w:right="490" w:firstLine="887" w:firstLineChars="200"/>
                              <w:jc w:val="both"/>
                              <w:rPr>
                                <w:rFonts w:hint="eastAsia" w:hAnsi="宋体"/>
                                <w:color w:val="000000"/>
                                <w:spacing w:val="0"/>
                                <w:szCs w:val="36"/>
                              </w:rPr>
                            </w:pPr>
                            <w:r>
                              <w:rPr>
                                <w:rFonts w:hint="eastAsia"/>
                                <w:color w:val="000000"/>
                                <w:spacing w:val="0"/>
                                <w:w w:val="130"/>
                                <w:sz w:val="34"/>
                                <w:szCs w:val="34"/>
                              </w:rPr>
                              <w:t xml:space="preserve">国 家 标 准 化 管 理 委 员 会   </w:t>
                            </w:r>
                            <w:r>
                              <w:rPr>
                                <w:rFonts w:hint="eastAsia" w:hAnsi="宋体"/>
                                <w:color w:val="000000"/>
                                <w:spacing w:val="0"/>
                                <w:sz w:val="44"/>
                                <w:szCs w:val="44"/>
                                <w:vertAlign w:val="superscript"/>
                              </w:rPr>
                              <w:t>发布</w:t>
                            </w:r>
                          </w:p>
                          <w:p w14:paraId="4A73AE09">
                            <w:pPr>
                              <w:rPr>
                                <w:rFonts w:hint="eastAsia"/>
                              </w:rPr>
                            </w:pPr>
                          </w:p>
                        </w:txbxContent>
                      </wps:txbx>
                      <wps:bodyPr rot="0" vert="horz" wrap="square" lIns="0" tIns="0" rIns="0" bIns="0" anchor="t" anchorCtr="0" upright="1">
                        <a:noAutofit/>
                      </wps:bodyPr>
                    </wps:wsp>
                  </a:graphicData>
                </a:graphic>
              </wp:anchor>
            </w:drawing>
          </mc:Choice>
          <mc:Fallback>
            <w:pict>
              <v:shape id="fmFrame7" o:spid="_x0000_s1026" o:spt="202" type="#_x0000_t202" style="position:absolute;left:0pt;margin-left:-29.25pt;margin-top:701.1pt;height:46.8pt;width:481.9pt;mso-position-horizontal-relative:margin;mso-position-vertical-relative:margin;z-index:251671552;mso-width-relative:page;mso-height-relative:page;" fillcolor="#FFFFFF" filled="t" stroked="f" coordsize="21600,21600" o:gfxdata="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NmB1bbAAAADQEA&#10;AA8AAAAAAAAAAQAgAAAAIgAAAGRycy9kb3ducmV2LnhtbFBLAQIUABQAAAAIAIdO4kA9awKZFwIA&#10;ADMEAAAOAAAAAAAAAAEAIAAAACoBAABkcnMvZTJvRG9jLnhtbFBLBQYAAAAABgAGAFkBAACzBQAA&#10;AAA=&#10;">
                <v:fill on="t" focussize="0,0"/>
                <v:stroke on="f"/>
                <v:imagedata o:title=""/>
                <o:lock v:ext="edit" aspectratio="f"/>
                <v:textbox inset="0mm,0mm,0mm,0mm">
                  <w:txbxContent>
                    <w:p w14:paraId="65E3A522">
                      <w:pPr>
                        <w:pStyle w:val="26"/>
                        <w:spacing w:line="0" w:lineRule="atLeast"/>
                        <w:ind w:firstLine="887" w:firstLineChars="200"/>
                        <w:jc w:val="both"/>
                        <w:rPr>
                          <w:color w:val="000000"/>
                          <w:spacing w:val="0"/>
                          <w:w w:val="130"/>
                          <w:szCs w:val="36"/>
                        </w:rPr>
                      </w:pPr>
                      <w:r>
                        <w:rPr>
                          <w:rFonts w:hint="eastAsia"/>
                          <w:color w:val="000000"/>
                          <w:spacing w:val="0"/>
                          <w:w w:val="130"/>
                          <w:sz w:val="34"/>
                          <w:szCs w:val="34"/>
                        </w:rPr>
                        <w:t>国 家 市 场 监 督 管 理 总 局</w:t>
                      </w:r>
                    </w:p>
                    <w:p w14:paraId="69430069">
                      <w:pPr>
                        <w:pStyle w:val="26"/>
                        <w:spacing w:line="0" w:lineRule="atLeast"/>
                        <w:ind w:right="490" w:firstLine="887" w:firstLineChars="200"/>
                        <w:jc w:val="both"/>
                        <w:rPr>
                          <w:rFonts w:hint="eastAsia" w:hAnsi="宋体"/>
                          <w:color w:val="000000"/>
                          <w:spacing w:val="0"/>
                          <w:szCs w:val="36"/>
                        </w:rPr>
                      </w:pPr>
                      <w:r>
                        <w:rPr>
                          <w:rFonts w:hint="eastAsia"/>
                          <w:color w:val="000000"/>
                          <w:spacing w:val="0"/>
                          <w:w w:val="130"/>
                          <w:sz w:val="34"/>
                          <w:szCs w:val="34"/>
                        </w:rPr>
                        <w:t xml:space="preserve">国 家 标 准 化 管 理 委 员 会   </w:t>
                      </w:r>
                      <w:r>
                        <w:rPr>
                          <w:rFonts w:hint="eastAsia" w:hAnsi="宋体"/>
                          <w:color w:val="000000"/>
                          <w:spacing w:val="0"/>
                          <w:sz w:val="44"/>
                          <w:szCs w:val="44"/>
                          <w:vertAlign w:val="superscript"/>
                        </w:rPr>
                        <w:t>发布</w:t>
                      </w:r>
                    </w:p>
                    <w:p w14:paraId="4A73AE09">
                      <w:pPr>
                        <w:rPr>
                          <w:rFonts w:hint="eastAsia"/>
                        </w:rPr>
                      </w:pPr>
                    </w:p>
                  </w:txbxContent>
                </v:textbox>
                <w10:anchorlock/>
              </v:shape>
            </w:pict>
          </mc:Fallback>
        </mc:AlternateContent>
      </w:r>
      <w:r>
        <mc:AlternateContent>
          <mc:Choice Requires="wps">
            <w:drawing>
              <wp:anchor distT="0" distB="0" distL="114300" distR="114300" simplePos="0" relativeHeight="251670528" behindDoc="0" locked="1" layoutInCell="1" allowOverlap="1">
                <wp:simplePos x="0" y="0"/>
                <wp:positionH relativeFrom="margin">
                  <wp:posOffset>0</wp:posOffset>
                </wp:positionH>
                <wp:positionV relativeFrom="margin">
                  <wp:posOffset>0</wp:posOffset>
                </wp:positionV>
                <wp:extent cx="2540000" cy="657860"/>
                <wp:effectExtent l="0" t="0" r="0" b="1270"/>
                <wp:wrapNone/>
                <wp:docPr id="794682975" name="fmFrame1"/>
                <wp:cNvGraphicFramePr/>
                <a:graphic xmlns:a="http://schemas.openxmlformats.org/drawingml/2006/main">
                  <a:graphicData uri="http://schemas.microsoft.com/office/word/2010/wordprocessingShape">
                    <wps:wsp>
                      <wps:cNvSpPr txBox="1">
                        <a:spLocks noChangeArrowheads="1"/>
                      </wps:cNvSpPr>
                      <wps:spPr bwMode="auto">
                        <a:xfrm>
                          <a:off x="0" y="0"/>
                          <a:ext cx="2540000" cy="657860"/>
                        </a:xfrm>
                        <a:prstGeom prst="rect">
                          <a:avLst/>
                        </a:prstGeom>
                        <a:solidFill>
                          <a:srgbClr val="FFFFFF"/>
                        </a:solidFill>
                        <a:ln>
                          <a:noFill/>
                        </a:ln>
                      </wps:spPr>
                      <wps:txbx>
                        <w:txbxContent>
                          <w:p w14:paraId="399F22A3">
                            <w:pPr>
                              <w:pStyle w:val="36"/>
                              <w:rPr>
                                <w:rFonts w:hint="eastAsia" w:ascii="黑体" w:hAnsi="黑体" w:cs="黑体"/>
                              </w:rPr>
                            </w:pPr>
                            <w:r>
                              <w:rPr>
                                <w:rFonts w:hint="eastAsia" w:ascii="黑体" w:hAnsi="黑体" w:cs="黑体"/>
                              </w:rPr>
                              <w:t>ICS 77.160</w:t>
                            </w:r>
                          </w:p>
                          <w:p w14:paraId="29009A9D">
                            <w:pPr>
                              <w:pStyle w:val="36"/>
                              <w:rPr>
                                <w:rFonts w:hint="eastAsia" w:ascii="黑体" w:hAnsi="黑体" w:cs="黑体"/>
                              </w:rPr>
                            </w:pPr>
                            <w:r>
                              <w:rPr>
                                <w:rFonts w:hint="eastAsia" w:ascii="黑体" w:hAnsi="黑体" w:cs="黑体"/>
                              </w:rPr>
                              <w:t>CCS H 10</w:t>
                            </w:r>
                          </w:p>
                        </w:txbxContent>
                      </wps:txbx>
                      <wps:bodyPr rot="0" vert="horz" wrap="square" lIns="0" tIns="0" rIns="0" bIns="0" anchor="t" anchorCtr="0" upright="1">
                        <a:noAutofit/>
                      </wps:bodyPr>
                    </wps:wsp>
                  </a:graphicData>
                </a:graphic>
              </wp:anchor>
            </w:drawing>
          </mc:Choice>
          <mc:Fallback>
            <w:pict>
              <v:shape id="fmFrame1" o:spid="_x0000_s1026" o:spt="202" type="#_x0000_t202" style="position:absolute;left:0pt;margin-left:0pt;margin-top:0pt;height:51.8pt;width:200pt;mso-position-horizontal-relative:margin;mso-position-vertical-relative:margin;z-index:251670528;mso-width-relative:page;mso-height-relative:page;" fillcolor="#FFFFFF" filled="t" stroked="f" coordsize="21600,21600" o:gfxdata="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xezL4NMAAAAFAQAADwAAAAAA&#10;AAABACAAAAAiAAAAZHJzL2Rvd25yZXYueG1sUEsBAhQAFAAAAAgAh07iQGw9nvsYAgAAMwQAAA4A&#10;AAAAAAAAAQAgAAAAIgEAAGRycy9lMm9Eb2MueG1sUEsFBgAAAAAGAAYAWQEAAKwFAAAAAA==&#10;">
                <v:fill on="t" focussize="0,0"/>
                <v:stroke on="f"/>
                <v:imagedata o:title=""/>
                <o:lock v:ext="edit" aspectratio="f"/>
                <v:textbox inset="0mm,0mm,0mm,0mm">
                  <w:txbxContent>
                    <w:p w14:paraId="399F22A3">
                      <w:pPr>
                        <w:pStyle w:val="36"/>
                        <w:rPr>
                          <w:rFonts w:hint="eastAsia" w:ascii="黑体" w:hAnsi="黑体" w:cs="黑体"/>
                        </w:rPr>
                      </w:pPr>
                      <w:r>
                        <w:rPr>
                          <w:rFonts w:hint="eastAsia" w:ascii="黑体" w:hAnsi="黑体" w:cs="黑体"/>
                        </w:rPr>
                        <w:t>ICS 77.160</w:t>
                      </w:r>
                    </w:p>
                    <w:p w14:paraId="29009A9D">
                      <w:pPr>
                        <w:pStyle w:val="36"/>
                        <w:rPr>
                          <w:rFonts w:hint="eastAsia" w:ascii="黑体" w:hAnsi="黑体" w:cs="黑体"/>
                        </w:rPr>
                      </w:pPr>
                      <w:r>
                        <w:rPr>
                          <w:rFonts w:hint="eastAsia" w:ascii="黑体" w:hAnsi="黑体" w:cs="黑体"/>
                        </w:rPr>
                        <w:t>CCS H 10</w:t>
                      </w:r>
                    </w:p>
                  </w:txbxContent>
                </v:textbox>
                <w10:anchorlock/>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-133350</wp:posOffset>
                </wp:positionH>
                <wp:positionV relativeFrom="paragraph">
                  <wp:posOffset>2052955</wp:posOffset>
                </wp:positionV>
                <wp:extent cx="6400800" cy="0"/>
                <wp:effectExtent l="0" t="0" r="0" b="0"/>
                <wp:wrapNone/>
                <wp:docPr id="11" name="Line 193"/>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ln>
                      </wps:spPr>
                      <wps:bodyPr/>
                    </wps:wsp>
                  </a:graphicData>
                </a:graphic>
              </wp:anchor>
            </w:drawing>
          </mc:Choice>
          <mc:Fallback>
            <w:pict>
              <v:line id="Line 193" o:spid="_x0000_s1026" o:spt="20" style="position:absolute;left:0pt;margin-left:-10.5pt;margin-top:161.65pt;height:0pt;width:504pt;z-index:251669504;mso-width-relative:page;mso-height-relative:page;" filled="f" stroked="t" coordsize="21600,21600" o:gfxdata="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QYrEddcAAAALAQAADwAAAAAAAAABACAAAAAiAAAAZHJz&#10;L2Rvd25yZXYueG1sUEsBAhQAFAAAAAgAh07iQA152D/MAQAAogMAAA4AAAAAAAAAAQAgAAAAJgEA&#10;AGRycy9lMm9Eb2MueG1sUEsFBgAAAAAGAAYAWQEAAGQ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6432" behindDoc="0" locked="1" layoutInCell="1" allowOverlap="1">
                <wp:simplePos x="0" y="0"/>
                <wp:positionH relativeFrom="margin">
                  <wp:posOffset>4100830</wp:posOffset>
                </wp:positionH>
                <wp:positionV relativeFrom="margin">
                  <wp:posOffset>8392160</wp:posOffset>
                </wp:positionV>
                <wp:extent cx="2019300" cy="312420"/>
                <wp:effectExtent l="0" t="0" r="0" b="0"/>
                <wp:wrapNone/>
                <wp:docPr id="8" name="fmFrame6"/>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wps:spPr>
                      <wps:txbx>
                        <w:txbxContent>
                          <w:p w14:paraId="6204C444">
                            <w:pPr>
                              <w:pStyle w:val="34"/>
                            </w:pPr>
                            <w:r>
                              <w:rPr>
                                <w:rFonts w:hint="eastAsia"/>
                              </w:rPr>
                              <w:t>202×-××-××实施</w:t>
                            </w:r>
                          </w:p>
                        </w:txbxContent>
                      </wps:txbx>
                      <wps:bodyPr rot="0" vert="horz" wrap="square" lIns="0" tIns="0" rIns="0" bIns="0" anchor="t" anchorCtr="0" upright="1">
                        <a:noAutofit/>
                      </wps:bodyPr>
                    </wps:wsp>
                  </a:graphicData>
                </a:graphic>
              </wp:anchor>
            </w:drawing>
          </mc:Choice>
          <mc:Fallback>
            <w:pict>
              <v:shape id="fmFrame6" o:spid="_x0000_s1026" o:spt="202" type="#_x0000_t202" style="position:absolute;left:0pt;margin-left:322.9pt;margin-top:660.8pt;height:24.6pt;width:159pt;mso-position-horizontal-relative:margin;mso-position-vertical-relative:margin;z-index:251666432;mso-width-relative:page;mso-height-relative:page;" fillcolor="#FFFFFF" filled="t" stroked="f" coordsize="21600,21600" o:gfxdata="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2oK59oAAAANAQAADwAAAAAAAAAB&#10;ACAAAAAiAAAAZHJzL2Rvd25yZXYueG1sUEsBAhQAFAAAAAgAh07iQDLOYOEOAgAAKwQAAA4AAAAA&#10;AAAAAQAgAAAAKQEAAGRycy9lMm9Eb2MueG1sUEsFBgAAAAAGAAYAWQEAAKkFAAAAAA==&#10;">
                <v:fill on="t" focussize="0,0"/>
                <v:stroke on="f"/>
                <v:imagedata o:title=""/>
                <o:lock v:ext="edit" aspectratio="f"/>
                <v:textbox inset="0mm,0mm,0mm,0mm">
                  <w:txbxContent>
                    <w:p w14:paraId="6204C444">
                      <w:pPr>
                        <w:pStyle w:val="34"/>
                      </w:pPr>
                      <w:r>
                        <w:rPr>
                          <w:rFonts w:hint="eastAsia"/>
                        </w:rPr>
                        <w:t>202×-××-××实施</w:t>
                      </w:r>
                    </w:p>
                  </w:txbxContent>
                </v:textbox>
                <w10:anchorlock/>
              </v:shape>
            </w:pict>
          </mc:Fallback>
        </mc:AlternateContent>
      </w:r>
      <w:r>
        <mc:AlternateContent>
          <mc:Choice Requires="wps">
            <w:drawing>
              <wp:anchor distT="0" distB="0" distL="114300" distR="114300" simplePos="0" relativeHeight="251667456" behindDoc="0" locked="1" layoutInCell="1" allowOverlap="1">
                <wp:simplePos x="0" y="0"/>
                <wp:positionH relativeFrom="margin">
                  <wp:posOffset>0</wp:posOffset>
                </wp:positionH>
                <wp:positionV relativeFrom="margin">
                  <wp:posOffset>8392160</wp:posOffset>
                </wp:positionV>
                <wp:extent cx="2019300" cy="312420"/>
                <wp:effectExtent l="0" t="0" r="0" b="0"/>
                <wp:wrapNone/>
                <wp:docPr id="6" name="fmFrame5"/>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wps:spPr>
                      <wps:txbx>
                        <w:txbxContent>
                          <w:p w14:paraId="195C1366">
                            <w:pPr>
                              <w:pStyle w:val="32"/>
                            </w:pPr>
                            <w:r>
                              <w:rPr>
                                <w:rFonts w:hint="eastAsia"/>
                              </w:rPr>
                              <w:t>202×-××-××发布</w:t>
                            </w:r>
                          </w:p>
                        </w:txbxContent>
                      </wps:txbx>
                      <wps:bodyPr rot="0" vert="horz" wrap="square" lIns="0" tIns="0" rIns="0" bIns="0" anchor="t" anchorCtr="0" upright="1">
                        <a:noAutofit/>
                      </wps:bodyPr>
                    </wps:wsp>
                  </a:graphicData>
                </a:graphic>
              </wp:anchor>
            </w:drawing>
          </mc:Choice>
          <mc:Fallback>
            <w:pict>
              <v:shape id="fmFrame5" o:spid="_x0000_s1026" o:spt="202" type="#_x0000_t202" style="position:absolute;left:0pt;margin-left:0pt;margin-top:660.8pt;height:24.6pt;width:159pt;mso-position-horizontal-relative:margin;mso-position-vertical-relative:margin;z-index:251667456;mso-width-relative:page;mso-height-relative:page;" fillcolor="#FFFFFF" filled="t" stroked="f" coordsize="21600,21600" o:gfxdata="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TqFquNcAAAAKAQAADwAAAAAAAAABACAA&#10;AAAiAAAAZHJzL2Rvd25yZXYueG1sUEsBAhQAFAAAAAgAh07iQAJ6WMEOAgAAKwQAAA4AAAAAAAAA&#10;AQAgAAAAJgEAAGRycy9lMm9Eb2MueG1sUEsFBgAAAAAGAAYAWQEAAKYFAAAAAA==&#10;">
                <v:fill on="t" focussize="0,0"/>
                <v:stroke on="f"/>
                <v:imagedata o:title=""/>
                <o:lock v:ext="edit" aspectratio="f"/>
                <v:textbox inset="0mm,0mm,0mm,0mm">
                  <w:txbxContent>
                    <w:p w14:paraId="195C1366">
                      <w:pPr>
                        <w:pStyle w:val="32"/>
                      </w:pPr>
                      <w:r>
                        <w:rPr>
                          <w:rFonts w:hint="eastAsia"/>
                        </w:rPr>
                        <w:t>202×-××-××发布</w:t>
                      </w:r>
                    </w:p>
                  </w:txbxContent>
                </v:textbox>
                <w10:anchorlock/>
              </v:shape>
            </w:pict>
          </mc:Fallback>
        </mc:AlternateContent>
      </w:r>
      <w:r>
        <mc:AlternateContent>
          <mc:Choice Requires="wps">
            <w:drawing>
              <wp:anchor distT="0" distB="0" distL="114300" distR="114300" simplePos="0" relativeHeight="251665408" behindDoc="0" locked="1" layoutInCell="1" allowOverlap="1">
                <wp:simplePos x="0" y="0"/>
                <wp:positionH relativeFrom="margin">
                  <wp:posOffset>0</wp:posOffset>
                </wp:positionH>
                <wp:positionV relativeFrom="margin">
                  <wp:posOffset>3635375</wp:posOffset>
                </wp:positionV>
                <wp:extent cx="5969000" cy="3998595"/>
                <wp:effectExtent l="0" t="0" r="0" b="0"/>
                <wp:wrapNone/>
                <wp:docPr id="5" name="fmFrame4"/>
                <wp:cNvGraphicFramePr/>
                <a:graphic xmlns:a="http://schemas.openxmlformats.org/drawingml/2006/main">
                  <a:graphicData uri="http://schemas.microsoft.com/office/word/2010/wordprocessingShape">
                    <wps:wsp>
                      <wps:cNvSpPr txBox="1">
                        <a:spLocks noChangeArrowheads="1"/>
                      </wps:cNvSpPr>
                      <wps:spPr bwMode="auto">
                        <a:xfrm>
                          <a:off x="0" y="0"/>
                          <a:ext cx="5969000" cy="3998595"/>
                        </a:xfrm>
                        <a:prstGeom prst="rect">
                          <a:avLst/>
                        </a:prstGeom>
                        <a:solidFill>
                          <a:srgbClr val="FFFFFF"/>
                        </a:solidFill>
                        <a:ln>
                          <a:noFill/>
                        </a:ln>
                      </wps:spPr>
                      <wps:txbx>
                        <w:txbxContent>
                          <w:p w14:paraId="2B0E7534">
                            <w:pPr>
                              <w:spacing w:line="640" w:lineRule="exact"/>
                              <w:jc w:val="center"/>
                              <w:rPr>
                                <w:rFonts w:hint="eastAsia" w:ascii="黑体" w:eastAsia="黑体"/>
                                <w:sz w:val="52"/>
                                <w:szCs w:val="52"/>
                              </w:rPr>
                            </w:pPr>
                            <w:r>
                              <w:rPr>
                                <w:rFonts w:hint="eastAsia" w:ascii="黑体" w:eastAsia="黑体"/>
                                <w:sz w:val="52"/>
                                <w:szCs w:val="52"/>
                              </w:rPr>
                              <w:t>烧结金属材料（不包括硬质合金）</w:t>
                            </w:r>
                          </w:p>
                          <w:p w14:paraId="64B3080E">
                            <w:pPr>
                              <w:spacing w:line="640" w:lineRule="exact"/>
                              <w:jc w:val="center"/>
                              <w:rPr>
                                <w:rFonts w:hint="eastAsia" w:ascii="黑体" w:eastAsia="黑体"/>
                                <w:sz w:val="52"/>
                                <w:szCs w:val="52"/>
                              </w:rPr>
                            </w:pPr>
                            <w:r>
                              <w:rPr>
                                <w:rFonts w:hint="eastAsia" w:ascii="黑体" w:eastAsia="黑体"/>
                                <w:sz w:val="52"/>
                                <w:szCs w:val="52"/>
                              </w:rPr>
                              <w:t>碳含量测定用化学分析样品的制备</w:t>
                            </w:r>
                          </w:p>
                          <w:p w14:paraId="4348FBD2">
                            <w:pPr>
                              <w:pStyle w:val="24"/>
                              <w:rPr>
                                <w:rFonts w:hint="eastAsia" w:ascii="黑体" w:hAnsi="黑体" w:eastAsia="黑体" w:cs="黑体"/>
                                <w:bCs/>
                                <w:szCs w:val="28"/>
                              </w:rPr>
                            </w:pPr>
                            <w:r>
                              <w:rPr>
                                <w:rFonts w:ascii="黑体" w:hAnsi="黑体" w:eastAsia="黑体" w:cs="黑体"/>
                                <w:bCs/>
                                <w:szCs w:val="28"/>
                              </w:rPr>
                              <w:t>Sintered metal materials, excluding hardmetals - Preparation of samples for chemical analysis for determination of carbon content</w:t>
                            </w:r>
                          </w:p>
                          <w:p w14:paraId="61F16EFE">
                            <w:pPr>
                              <w:pStyle w:val="24"/>
                              <w:rPr>
                                <w:rFonts w:hint="eastAsia" w:ascii="黑体" w:hAnsi="黑体" w:eastAsia="黑体" w:cs="黑体"/>
                              </w:rPr>
                            </w:pPr>
                            <w:r>
                              <w:rPr>
                                <w:rFonts w:hint="eastAsia" w:ascii="黑体" w:hAnsi="黑体" w:eastAsia="黑体" w:cs="黑体"/>
                              </w:rPr>
                              <w:t xml:space="preserve">（ISO </w:t>
                            </w:r>
                            <w:r>
                              <w:rPr>
                                <w:rFonts w:ascii="黑体" w:hAnsi="黑体" w:eastAsia="黑体" w:cs="黑体"/>
                              </w:rPr>
                              <w:t>7625</w:t>
                            </w:r>
                            <w:r>
                              <w:rPr>
                                <w:rFonts w:hint="eastAsia" w:ascii="黑体" w:hAnsi="黑体" w:eastAsia="黑体" w:cs="黑体"/>
                              </w:rPr>
                              <w:t>:201</w:t>
                            </w:r>
                            <w:r>
                              <w:rPr>
                                <w:rFonts w:ascii="黑体" w:hAnsi="黑体" w:eastAsia="黑体" w:cs="黑体"/>
                              </w:rPr>
                              <w:t>2</w:t>
                            </w:r>
                            <w:r>
                              <w:rPr>
                                <w:rFonts w:hint="eastAsia" w:ascii="黑体" w:hAnsi="黑体" w:eastAsia="黑体" w:cs="黑体"/>
                              </w:rPr>
                              <w:t>, IDT）</w:t>
                            </w:r>
                          </w:p>
                          <w:p w14:paraId="063BFFF6">
                            <w:pPr>
                              <w:pStyle w:val="24"/>
                              <w:rPr>
                                <w:rFonts w:hint="eastAsia" w:ascii="黑体" w:hAnsi="黑体" w:eastAsia="黑体" w:cs="黑体"/>
                              </w:rPr>
                            </w:pPr>
                          </w:p>
                          <w:p w14:paraId="46D7333E">
                            <w:pPr>
                              <w:jc w:val="center"/>
                              <w:rPr>
                                <w:rFonts w:hint="eastAsia"/>
                                <w:sz w:val="24"/>
                              </w:rPr>
                            </w:pPr>
                            <w:r>
                              <w:rPr>
                                <w:rFonts w:hint="eastAsia"/>
                                <w:sz w:val="24"/>
                              </w:rPr>
                              <w:t>（草案）</w:t>
                            </w:r>
                          </w:p>
                        </w:txbxContent>
                      </wps:txbx>
                      <wps:bodyPr rot="0" vert="horz" wrap="square" lIns="0" tIns="0" rIns="0" bIns="0" anchor="t" anchorCtr="0" upright="1">
                        <a:noAutofit/>
                      </wps:bodyPr>
                    </wps:wsp>
                  </a:graphicData>
                </a:graphic>
              </wp:anchor>
            </w:drawing>
          </mc:Choice>
          <mc:Fallback>
            <w:pict>
              <v:shape id="fmFrame4" o:spid="_x0000_s1026" o:spt="202" type="#_x0000_t202" style="position:absolute;left:0pt;margin-left:0pt;margin-top:286.25pt;height:314.85pt;width:470pt;mso-position-horizontal-relative:margin;mso-position-vertical-relative:margin;z-index:251665408;mso-width-relative:page;mso-height-relative:page;" fillcolor="#FFFFFF" filled="t" stroked="f" coordsize="21600,21600" o:gfxdata="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YlT2rYAAAACQEAAA8AAAAAAAAA&#10;AQAgAAAAIgAAAGRycy9kb3ducmV2LnhtbFBLAQIUABQAAAAIAIdO4kDvo0OJEQIAACwEAAAOAAAA&#10;AAAAAAEAIAAAACcBAABkcnMvZTJvRG9jLnhtbFBLBQYAAAAABgAGAFkBAACqBQAAAAA=&#10;">
                <v:fill on="t" focussize="0,0"/>
                <v:stroke on="f"/>
                <v:imagedata o:title=""/>
                <o:lock v:ext="edit" aspectratio="f"/>
                <v:textbox inset="0mm,0mm,0mm,0mm">
                  <w:txbxContent>
                    <w:p w14:paraId="2B0E7534">
                      <w:pPr>
                        <w:spacing w:line="640" w:lineRule="exact"/>
                        <w:jc w:val="center"/>
                        <w:rPr>
                          <w:rFonts w:hint="eastAsia" w:ascii="黑体" w:eastAsia="黑体"/>
                          <w:sz w:val="52"/>
                          <w:szCs w:val="52"/>
                        </w:rPr>
                      </w:pPr>
                      <w:r>
                        <w:rPr>
                          <w:rFonts w:hint="eastAsia" w:ascii="黑体" w:eastAsia="黑体"/>
                          <w:sz w:val="52"/>
                          <w:szCs w:val="52"/>
                        </w:rPr>
                        <w:t>烧结金属材料（不包括硬质合金）</w:t>
                      </w:r>
                    </w:p>
                    <w:p w14:paraId="64B3080E">
                      <w:pPr>
                        <w:spacing w:line="640" w:lineRule="exact"/>
                        <w:jc w:val="center"/>
                        <w:rPr>
                          <w:rFonts w:hint="eastAsia" w:ascii="黑体" w:eastAsia="黑体"/>
                          <w:sz w:val="52"/>
                          <w:szCs w:val="52"/>
                        </w:rPr>
                      </w:pPr>
                      <w:r>
                        <w:rPr>
                          <w:rFonts w:hint="eastAsia" w:ascii="黑体" w:eastAsia="黑体"/>
                          <w:sz w:val="52"/>
                          <w:szCs w:val="52"/>
                        </w:rPr>
                        <w:t>碳含量测定用化学分析样品的制备</w:t>
                      </w:r>
                    </w:p>
                    <w:p w14:paraId="4348FBD2">
                      <w:pPr>
                        <w:pStyle w:val="24"/>
                        <w:rPr>
                          <w:rFonts w:hint="eastAsia" w:ascii="黑体" w:hAnsi="黑体" w:eastAsia="黑体" w:cs="黑体"/>
                          <w:bCs/>
                          <w:szCs w:val="28"/>
                        </w:rPr>
                      </w:pPr>
                      <w:r>
                        <w:rPr>
                          <w:rFonts w:ascii="黑体" w:hAnsi="黑体" w:eastAsia="黑体" w:cs="黑体"/>
                          <w:bCs/>
                          <w:szCs w:val="28"/>
                        </w:rPr>
                        <w:t>Sintered metal materials, excluding hardmetals - Preparation of samples for chemical analysis for determination of carbon content</w:t>
                      </w:r>
                    </w:p>
                    <w:p w14:paraId="61F16EFE">
                      <w:pPr>
                        <w:pStyle w:val="24"/>
                        <w:rPr>
                          <w:rFonts w:hint="eastAsia" w:ascii="黑体" w:hAnsi="黑体" w:eastAsia="黑体" w:cs="黑体"/>
                        </w:rPr>
                      </w:pPr>
                      <w:r>
                        <w:rPr>
                          <w:rFonts w:hint="eastAsia" w:ascii="黑体" w:hAnsi="黑体" w:eastAsia="黑体" w:cs="黑体"/>
                        </w:rPr>
                        <w:t xml:space="preserve">（ISO </w:t>
                      </w:r>
                      <w:r>
                        <w:rPr>
                          <w:rFonts w:ascii="黑体" w:hAnsi="黑体" w:eastAsia="黑体" w:cs="黑体"/>
                        </w:rPr>
                        <w:t>7625</w:t>
                      </w:r>
                      <w:r>
                        <w:rPr>
                          <w:rFonts w:hint="eastAsia" w:ascii="黑体" w:hAnsi="黑体" w:eastAsia="黑体" w:cs="黑体"/>
                        </w:rPr>
                        <w:t>:201</w:t>
                      </w:r>
                      <w:r>
                        <w:rPr>
                          <w:rFonts w:ascii="黑体" w:hAnsi="黑体" w:eastAsia="黑体" w:cs="黑体"/>
                        </w:rPr>
                        <w:t>2</w:t>
                      </w:r>
                      <w:r>
                        <w:rPr>
                          <w:rFonts w:hint="eastAsia" w:ascii="黑体" w:hAnsi="黑体" w:eastAsia="黑体" w:cs="黑体"/>
                        </w:rPr>
                        <w:t>, IDT）</w:t>
                      </w:r>
                    </w:p>
                    <w:p w14:paraId="063BFFF6">
                      <w:pPr>
                        <w:pStyle w:val="24"/>
                        <w:rPr>
                          <w:rFonts w:hint="eastAsia" w:ascii="黑体" w:hAnsi="黑体" w:eastAsia="黑体" w:cs="黑体"/>
                        </w:rPr>
                      </w:pPr>
                    </w:p>
                    <w:p w14:paraId="46D7333E">
                      <w:pPr>
                        <w:jc w:val="center"/>
                        <w:rPr>
                          <w:rFonts w:hint="eastAsia"/>
                          <w:sz w:val="24"/>
                        </w:rPr>
                      </w:pPr>
                      <w:r>
                        <w:rPr>
                          <w:rFonts w:hint="eastAsia"/>
                          <w:sz w:val="24"/>
                        </w:rPr>
                        <w:t>（草案）</w:t>
                      </w:r>
                    </w:p>
                  </w:txbxContent>
                </v:textbox>
                <w10:anchorlock/>
              </v:shape>
            </w:pict>
          </mc:Fallback>
        </mc:AlternateContent>
      </w:r>
      <w:r>
        <mc:AlternateContent>
          <mc:Choice Requires="wps">
            <w:drawing>
              <wp:anchor distT="0" distB="0" distL="114300" distR="114300" simplePos="0" relativeHeight="251664384" behindDoc="0" locked="1" layoutInCell="1" allowOverlap="1">
                <wp:simplePos x="0" y="0"/>
                <wp:positionH relativeFrom="margin">
                  <wp:posOffset>2933700</wp:posOffset>
                </wp:positionH>
                <wp:positionV relativeFrom="margin">
                  <wp:posOffset>1451610</wp:posOffset>
                </wp:positionV>
                <wp:extent cx="3122295" cy="487680"/>
                <wp:effectExtent l="0" t="0" r="0" b="0"/>
                <wp:wrapNone/>
                <wp:docPr id="1871448442" name="fmFrame3"/>
                <wp:cNvGraphicFramePr/>
                <a:graphic xmlns:a="http://schemas.openxmlformats.org/drawingml/2006/main">
                  <a:graphicData uri="http://schemas.microsoft.com/office/word/2010/wordprocessingShape">
                    <wps:wsp>
                      <wps:cNvSpPr txBox="1">
                        <a:spLocks noChangeArrowheads="1"/>
                      </wps:cNvSpPr>
                      <wps:spPr bwMode="auto">
                        <a:xfrm>
                          <a:off x="0" y="0"/>
                          <a:ext cx="3122295" cy="487680"/>
                        </a:xfrm>
                        <a:prstGeom prst="rect">
                          <a:avLst/>
                        </a:prstGeom>
                        <a:solidFill>
                          <a:srgbClr val="FFFFFF"/>
                        </a:solidFill>
                        <a:ln>
                          <a:noFill/>
                        </a:ln>
                      </wps:spPr>
                      <wps:txbx>
                        <w:txbxContent>
                          <w:p w14:paraId="4A076A58">
                            <w:pPr>
                              <w:pStyle w:val="27"/>
                              <w:wordWrap w:val="0"/>
                              <w:spacing w:before="0" w:line="400" w:lineRule="exact"/>
                              <w:rPr>
                                <w:b/>
                                <w:lang w:val="de-DE"/>
                              </w:rPr>
                            </w:pPr>
                          </w:p>
                          <w:p w14:paraId="19877D33">
                            <w:pPr>
                              <w:pStyle w:val="27"/>
                              <w:wordWrap w:val="0"/>
                              <w:spacing w:before="0" w:line="400" w:lineRule="exact"/>
                              <w:rPr>
                                <w:rFonts w:hint="eastAsia" w:ascii="黑体" w:hAnsi="黑体" w:eastAsia="黑体" w:cs="黑体"/>
                                <w:bCs/>
                                <w:lang w:val="de-DE"/>
                              </w:rPr>
                            </w:pPr>
                            <w:r>
                              <w:rPr>
                                <w:rFonts w:hint="eastAsia" w:ascii="黑体" w:hAnsi="黑体" w:eastAsia="黑体" w:cs="黑体"/>
                                <w:bCs/>
                                <w:lang w:val="de-DE"/>
                              </w:rPr>
                              <w:t>GB/T XXXX-</w:t>
                            </w:r>
                            <w:r>
                              <w:rPr>
                                <w:rFonts w:hint="eastAsia" w:ascii="黑体" w:hAnsi="黑体" w:eastAsia="黑体" w:cs="黑体"/>
                                <w:bCs/>
                              </w:rPr>
                              <w:t>20</w:t>
                            </w:r>
                            <w:r>
                              <w:rPr>
                                <w:rFonts w:hint="eastAsia" w:ascii="黑体" w:hAnsi="黑体" w:eastAsia="黑体" w:cs="黑体"/>
                                <w:bCs/>
                                <w:lang w:val="de-DE"/>
                              </w:rPr>
                              <w:t>2X</w:t>
                            </w:r>
                            <w:r>
                              <w:rPr>
                                <w:rFonts w:hint="eastAsia" w:ascii="黑体" w:hAnsi="黑体" w:eastAsia="黑体" w:cs="黑体"/>
                                <w:bCs/>
                              </w:rPr>
                              <w:t>/</w:t>
                            </w:r>
                            <w:r>
                              <w:rPr>
                                <w:rFonts w:hint="eastAsia" w:ascii="黑体" w:hAnsi="黑体" w:eastAsia="黑体" w:cs="黑体"/>
                                <w:bCs/>
                                <w:lang w:val="de-DE"/>
                              </w:rPr>
                              <w:t xml:space="preserve">ISO </w:t>
                            </w:r>
                            <w:r>
                              <w:rPr>
                                <w:rFonts w:ascii="黑体" w:hAnsi="黑体" w:eastAsia="黑体" w:cs="黑体"/>
                                <w:bCs/>
                              </w:rPr>
                              <w:t>7625</w:t>
                            </w:r>
                            <w:r>
                              <w:rPr>
                                <w:rFonts w:hint="eastAsia" w:ascii="黑体" w:hAnsi="黑体" w:eastAsia="黑体" w:cs="黑体"/>
                                <w:bCs/>
                              </w:rPr>
                              <w:t>:201</w:t>
                            </w:r>
                            <w:r>
                              <w:rPr>
                                <w:rFonts w:ascii="黑体" w:hAnsi="黑体" w:eastAsia="黑体" w:cs="黑体"/>
                                <w:bCs/>
                              </w:rPr>
                              <w:t>2</w:t>
                            </w:r>
                          </w:p>
                          <w:p w14:paraId="7DDACF16">
                            <w:pPr>
                              <w:pStyle w:val="27"/>
                              <w:spacing w:before="0" w:line="400" w:lineRule="exact"/>
                              <w:rPr>
                                <w:rFonts w:hint="eastAsia" w:ascii="宋体" w:hAnsi="宋体"/>
                                <w:sz w:val="21"/>
                                <w:szCs w:val="21"/>
                                <w:lang w:val="de-DE"/>
                              </w:rPr>
                            </w:pPr>
                            <w:r>
                              <w:rPr>
                                <w:rFonts w:ascii="宋体" w:hAnsi="宋体"/>
                                <w:sz w:val="21"/>
                                <w:szCs w:val="21"/>
                                <w:lang w:val="de-DE"/>
                              </w:rPr>
                              <w:t>3</w:t>
                            </w:r>
                          </w:p>
                          <w:p w14:paraId="4E477CB9">
                            <w:pPr>
                              <w:pStyle w:val="27"/>
                              <w:wordWrap w:val="0"/>
                              <w:spacing w:before="0" w:line="400" w:lineRule="exact"/>
                              <w:rPr>
                                <w:rFonts w:hint="eastAsia" w:ascii="宋体" w:hAnsi="宋体"/>
                                <w:lang w:val="de-DE"/>
                              </w:rPr>
                            </w:pPr>
                          </w:p>
                          <w:p w14:paraId="27889741">
                            <w:pPr>
                              <w:pStyle w:val="27"/>
                              <w:spacing w:before="0" w:line="400" w:lineRule="exact"/>
                              <w:rPr>
                                <w:rFonts w:hint="eastAsia" w:ascii="宋体" w:hAnsi="宋体"/>
                                <w:lang w:val="de-DE"/>
                              </w:rPr>
                            </w:pPr>
                          </w:p>
                          <w:p w14:paraId="3E1F6E7B">
                            <w:pPr>
                              <w:pStyle w:val="27"/>
                              <w:spacing w:before="0" w:line="400" w:lineRule="exact"/>
                              <w:rPr>
                                <w:rFonts w:hint="eastAsia" w:ascii="宋体" w:hAnsi="宋体"/>
                                <w:lang w:val="de-DE"/>
                              </w:rPr>
                            </w:pPr>
                          </w:p>
                        </w:txbxContent>
                      </wps:txbx>
                      <wps:bodyPr rot="0" vert="horz" wrap="square" lIns="0" tIns="0" rIns="0" bIns="0" anchor="t" anchorCtr="0" upright="1">
                        <a:noAutofit/>
                      </wps:bodyPr>
                    </wps:wsp>
                  </a:graphicData>
                </a:graphic>
              </wp:anchor>
            </w:drawing>
          </mc:Choice>
          <mc:Fallback>
            <w:pict>
              <v:shape id="fmFrame3" o:spid="_x0000_s1026" o:spt="202" type="#_x0000_t202" style="position:absolute;left:0pt;margin-left:231pt;margin-top:114.3pt;height:38.4pt;width:245.85pt;mso-position-horizontal-relative:margin;mso-position-vertical-relative:margin;z-index:251664384;mso-width-relative:page;mso-height-relative:page;" fillcolor="#FFFFFF" filled="t" stroked="f" coordsize="21600,21600" o:gfxdata="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lyro02wAAAAsB&#10;AAAPAAAAAAAAAAEAIAAAACIAAABkcnMvZG93bnJldi54bWxQSwECFAAUAAAACACHTuJAEBnX2RgC&#10;AAA0BAAADgAAAAAAAAABACAAAAAqAQAAZHJzL2Uyb0RvYy54bWxQSwUGAAAAAAYABgBZAQAAtAUA&#10;AAAA&#10;">
                <v:fill on="t" focussize="0,0"/>
                <v:stroke on="f"/>
                <v:imagedata o:title=""/>
                <o:lock v:ext="edit" aspectratio="f"/>
                <v:textbox inset="0mm,0mm,0mm,0mm">
                  <w:txbxContent>
                    <w:p w14:paraId="4A076A58">
                      <w:pPr>
                        <w:pStyle w:val="27"/>
                        <w:wordWrap w:val="0"/>
                        <w:spacing w:before="0" w:line="400" w:lineRule="exact"/>
                        <w:rPr>
                          <w:b/>
                          <w:lang w:val="de-DE"/>
                        </w:rPr>
                      </w:pPr>
                    </w:p>
                    <w:p w14:paraId="19877D33">
                      <w:pPr>
                        <w:pStyle w:val="27"/>
                        <w:wordWrap w:val="0"/>
                        <w:spacing w:before="0" w:line="400" w:lineRule="exact"/>
                        <w:rPr>
                          <w:rFonts w:hint="eastAsia" w:ascii="黑体" w:hAnsi="黑体" w:eastAsia="黑体" w:cs="黑体"/>
                          <w:bCs/>
                          <w:lang w:val="de-DE"/>
                        </w:rPr>
                      </w:pPr>
                      <w:r>
                        <w:rPr>
                          <w:rFonts w:hint="eastAsia" w:ascii="黑体" w:hAnsi="黑体" w:eastAsia="黑体" w:cs="黑体"/>
                          <w:bCs/>
                          <w:lang w:val="de-DE"/>
                        </w:rPr>
                        <w:t>GB/T XXXX-</w:t>
                      </w:r>
                      <w:r>
                        <w:rPr>
                          <w:rFonts w:hint="eastAsia" w:ascii="黑体" w:hAnsi="黑体" w:eastAsia="黑体" w:cs="黑体"/>
                          <w:bCs/>
                        </w:rPr>
                        <w:t>20</w:t>
                      </w:r>
                      <w:r>
                        <w:rPr>
                          <w:rFonts w:hint="eastAsia" w:ascii="黑体" w:hAnsi="黑体" w:eastAsia="黑体" w:cs="黑体"/>
                          <w:bCs/>
                          <w:lang w:val="de-DE"/>
                        </w:rPr>
                        <w:t>2X</w:t>
                      </w:r>
                      <w:r>
                        <w:rPr>
                          <w:rFonts w:hint="eastAsia" w:ascii="黑体" w:hAnsi="黑体" w:eastAsia="黑体" w:cs="黑体"/>
                          <w:bCs/>
                        </w:rPr>
                        <w:t>/</w:t>
                      </w:r>
                      <w:r>
                        <w:rPr>
                          <w:rFonts w:hint="eastAsia" w:ascii="黑体" w:hAnsi="黑体" w:eastAsia="黑体" w:cs="黑体"/>
                          <w:bCs/>
                          <w:lang w:val="de-DE"/>
                        </w:rPr>
                        <w:t xml:space="preserve">ISO </w:t>
                      </w:r>
                      <w:r>
                        <w:rPr>
                          <w:rFonts w:ascii="黑体" w:hAnsi="黑体" w:eastAsia="黑体" w:cs="黑体"/>
                          <w:bCs/>
                        </w:rPr>
                        <w:t>7625</w:t>
                      </w:r>
                      <w:r>
                        <w:rPr>
                          <w:rFonts w:hint="eastAsia" w:ascii="黑体" w:hAnsi="黑体" w:eastAsia="黑体" w:cs="黑体"/>
                          <w:bCs/>
                        </w:rPr>
                        <w:t>:201</w:t>
                      </w:r>
                      <w:r>
                        <w:rPr>
                          <w:rFonts w:ascii="黑体" w:hAnsi="黑体" w:eastAsia="黑体" w:cs="黑体"/>
                          <w:bCs/>
                        </w:rPr>
                        <w:t>2</w:t>
                      </w:r>
                    </w:p>
                    <w:p w14:paraId="7DDACF16">
                      <w:pPr>
                        <w:pStyle w:val="27"/>
                        <w:spacing w:before="0" w:line="400" w:lineRule="exact"/>
                        <w:rPr>
                          <w:rFonts w:hint="eastAsia" w:ascii="宋体" w:hAnsi="宋体"/>
                          <w:sz w:val="21"/>
                          <w:szCs w:val="21"/>
                          <w:lang w:val="de-DE"/>
                        </w:rPr>
                      </w:pPr>
                      <w:r>
                        <w:rPr>
                          <w:rFonts w:ascii="宋体" w:hAnsi="宋体"/>
                          <w:sz w:val="21"/>
                          <w:szCs w:val="21"/>
                          <w:lang w:val="de-DE"/>
                        </w:rPr>
                        <w:t>3</w:t>
                      </w:r>
                    </w:p>
                    <w:p w14:paraId="4E477CB9">
                      <w:pPr>
                        <w:pStyle w:val="27"/>
                        <w:wordWrap w:val="0"/>
                        <w:spacing w:before="0" w:line="400" w:lineRule="exact"/>
                        <w:rPr>
                          <w:rFonts w:hint="eastAsia" w:ascii="宋体" w:hAnsi="宋体"/>
                          <w:lang w:val="de-DE"/>
                        </w:rPr>
                      </w:pPr>
                    </w:p>
                    <w:p w14:paraId="27889741">
                      <w:pPr>
                        <w:pStyle w:val="27"/>
                        <w:spacing w:before="0" w:line="400" w:lineRule="exact"/>
                        <w:rPr>
                          <w:rFonts w:hint="eastAsia" w:ascii="宋体" w:hAnsi="宋体"/>
                          <w:lang w:val="de-DE"/>
                        </w:rPr>
                      </w:pPr>
                    </w:p>
                    <w:p w14:paraId="3E1F6E7B">
                      <w:pPr>
                        <w:pStyle w:val="27"/>
                        <w:spacing w:before="0" w:line="400" w:lineRule="exact"/>
                        <w:rPr>
                          <w:rFonts w:hint="eastAsia" w:ascii="宋体" w:hAnsi="宋体"/>
                          <w:lang w:val="de-DE"/>
                        </w:rPr>
                      </w:pPr>
                    </w:p>
                  </w:txbxContent>
                </v:textbox>
                <w10:anchorlock/>
              </v:shape>
            </w:pict>
          </mc:Fallback>
        </mc:AlternateContent>
      </w:r>
      <w:r>
        <w:drawing>
          <wp:anchor distT="0" distB="0" distL="114300" distR="114300" simplePos="0" relativeHeight="251662336" behindDoc="0" locked="1" layoutInCell="1" allowOverlap="1">
            <wp:simplePos x="0" y="0"/>
            <wp:positionH relativeFrom="margin">
              <wp:posOffset>4284345</wp:posOffset>
            </wp:positionH>
            <wp:positionV relativeFrom="margin">
              <wp:posOffset>107315</wp:posOffset>
            </wp:positionV>
            <wp:extent cx="1403350" cy="720090"/>
            <wp:effectExtent l="0" t="0" r="0" b="0"/>
            <wp:wrapNone/>
            <wp:docPr id="774332138" name="图片 774332138" descr="GB"/>
            <wp:cNvGraphicFramePr/>
            <a:graphic xmlns:a="http://schemas.openxmlformats.org/drawingml/2006/main">
              <a:graphicData uri="http://schemas.openxmlformats.org/drawingml/2006/picture">
                <pic:pic xmlns:pic="http://schemas.openxmlformats.org/drawingml/2006/picture">
                  <pic:nvPicPr>
                    <pic:cNvPr id="774332138" name="图片 774332138" descr="GB"/>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403350" cy="720090"/>
                    </a:xfrm>
                    <a:prstGeom prst="rect">
                      <a:avLst/>
                    </a:prstGeom>
                    <a:noFill/>
                    <a:ln>
                      <a:noFill/>
                    </a:ln>
                  </pic:spPr>
                </pic:pic>
              </a:graphicData>
            </a:graphic>
          </wp:anchor>
        </w:drawing>
      </w:r>
      <w:r>
        <mc:AlternateContent>
          <mc:Choice Requires="wps">
            <w:drawing>
              <wp:anchor distT="0" distB="0" distL="114300" distR="114300" simplePos="0" relativeHeight="251663360" behindDoc="0" locked="1" layoutInCell="1" allowOverlap="1">
                <wp:simplePos x="0" y="0"/>
                <wp:positionH relativeFrom="margin">
                  <wp:posOffset>0</wp:posOffset>
                </wp:positionH>
                <wp:positionV relativeFrom="margin">
                  <wp:posOffset>1010920</wp:posOffset>
                </wp:positionV>
                <wp:extent cx="6120130" cy="391160"/>
                <wp:effectExtent l="0" t="0" r="0" b="0"/>
                <wp:wrapNone/>
                <wp:docPr id="1377508958" name="fmFrame2"/>
                <wp:cNvGraphicFramePr/>
                <a:graphic xmlns:a="http://schemas.openxmlformats.org/drawingml/2006/main">
                  <a:graphicData uri="http://schemas.microsoft.com/office/word/2010/wordprocessingShape">
                    <wps:wsp>
                      <wps:cNvSpPr txBox="1">
                        <a:spLocks noChangeArrowheads="1"/>
                      </wps:cNvSpPr>
                      <wps:spPr bwMode="auto">
                        <a:xfrm>
                          <a:off x="0" y="0"/>
                          <a:ext cx="6120130" cy="391160"/>
                        </a:xfrm>
                        <a:prstGeom prst="rect">
                          <a:avLst/>
                        </a:prstGeom>
                        <a:solidFill>
                          <a:srgbClr val="FFFFFF"/>
                        </a:solidFill>
                        <a:ln>
                          <a:noFill/>
                        </a:ln>
                      </wps:spPr>
                      <wps:txbx>
                        <w:txbxContent>
                          <w:p w14:paraId="27FD21C0">
                            <w:pPr>
                              <w:pStyle w:val="18"/>
                            </w:pPr>
                            <w:r>
                              <w:rPr>
                                <w:rFonts w:hint="eastAsia"/>
                              </w:rPr>
                              <w:t>中华人民共和国国家标准</w:t>
                            </w:r>
                          </w:p>
                        </w:txbxContent>
                      </wps:txbx>
                      <wps:bodyPr rot="0" vert="horz" wrap="square" lIns="0" tIns="0" rIns="0" bIns="0" anchor="t" anchorCtr="0" upright="1">
                        <a:noAutofit/>
                      </wps:bodyPr>
                    </wps:wsp>
                  </a:graphicData>
                </a:graphic>
              </wp:anchor>
            </w:drawing>
          </mc:Choice>
          <mc:Fallback>
            <w:pict>
              <v:shape id="fmFrame2" o:spid="_x0000_s1026" o:spt="202" type="#_x0000_t202" style="position:absolute;left:0pt;margin-left:0pt;margin-top:79.6pt;height:30.8pt;width:481.9pt;mso-position-horizontal-relative:margin;mso-position-vertical-relative:margin;z-index:251663360;mso-width-relative:page;mso-height-relative:page;" fillcolor="#FFFFFF" filled="t" stroked="f" coordsize="21600,21600" o:gfxdata="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Rg5HBdcAAAAIAQAADwAA&#10;AAAAAAABACAAAAAiAAAAZHJzL2Rvd25yZXYueG1sUEsBAhQAFAAAAAgAh07iQHsQgHYXAgAANAQA&#10;AA4AAAAAAAAAAQAgAAAAJgEAAGRycy9lMm9Eb2MueG1sUEsFBgAAAAAGAAYAWQEAAK8FAAAAAA==&#10;">
                <v:fill on="t" focussize="0,0"/>
                <v:stroke on="f"/>
                <v:imagedata o:title=""/>
                <o:lock v:ext="edit" aspectratio="f"/>
                <v:textbox inset="0mm,0mm,0mm,0mm">
                  <w:txbxContent>
                    <w:p w14:paraId="27FD21C0">
                      <w:pPr>
                        <w:pStyle w:val="18"/>
                      </w:pPr>
                      <w:r>
                        <w:rPr>
                          <w:rFonts w:hint="eastAsia"/>
                        </w:rPr>
                        <w:t>中华人民共和国国家标准</w:t>
                      </w:r>
                    </w:p>
                  </w:txbxContent>
                </v:textbox>
                <w10:anchorlock/>
              </v:shape>
            </w:pict>
          </mc:Fallback>
        </mc:AlternateContent>
      </w:r>
    </w:p>
    <w:bookmarkEnd w:id="0"/>
    <w:p w14:paraId="4A642CBB">
      <w:pPr>
        <w:pStyle w:val="17"/>
        <w:rPr>
          <w:rFonts w:ascii="Times New Roman"/>
        </w:rPr>
      </w:pPr>
      <w:r>
        <w:rPr>
          <w:rFonts w:ascii="Times New Roman"/>
        </w:rPr>
        <w:t>前    言</w:t>
      </w:r>
    </w:p>
    <w:p w14:paraId="0014E358">
      <w:pPr>
        <w:pStyle w:val="20"/>
        <w:ind w:firstLine="420"/>
        <w:rPr>
          <w:rFonts w:ascii="Times New Roman"/>
        </w:rPr>
      </w:pPr>
      <w:r>
        <w:rPr>
          <w:rFonts w:hint="eastAsia" w:ascii="Times New Roman"/>
        </w:rPr>
        <w:t>本文件按照</w:t>
      </w:r>
      <w:r>
        <w:rPr>
          <w:rFonts w:ascii="Times New Roman"/>
        </w:rPr>
        <w:t>GB/T 1.1-2020《标准化工作导则 第1部分：标准化文件的结构和起草规则》的规定起草。</w:t>
      </w:r>
    </w:p>
    <w:p w14:paraId="3C625F8A">
      <w:pPr>
        <w:pStyle w:val="20"/>
        <w:ind w:firstLine="420"/>
        <w:rPr>
          <w:rFonts w:ascii="Times New Roman"/>
        </w:rPr>
      </w:pPr>
      <w:r>
        <w:rPr>
          <w:rFonts w:hint="eastAsia" w:ascii="Times New Roman"/>
        </w:rPr>
        <w:t>本文件等同采用I</w:t>
      </w:r>
      <w:r>
        <w:rPr>
          <w:rFonts w:ascii="Times New Roman"/>
        </w:rPr>
        <w:t>SO 7625</w:t>
      </w:r>
      <w:r>
        <w:rPr>
          <w:rFonts w:hint="eastAsia" w:ascii="Times New Roman"/>
        </w:rPr>
        <w:t>：2</w:t>
      </w:r>
      <w:r>
        <w:rPr>
          <w:rFonts w:ascii="Times New Roman"/>
        </w:rPr>
        <w:t>012</w:t>
      </w:r>
      <w:r>
        <w:rPr>
          <w:rFonts w:hint="eastAsia" w:ascii="Times New Roman"/>
        </w:rPr>
        <w:t>《烧结金属材料</w:t>
      </w:r>
      <w:r>
        <w:rPr>
          <w:rFonts w:ascii="Times New Roman"/>
        </w:rPr>
        <w:t>(不包括硬质合金)碳含量测定</w:t>
      </w:r>
      <w:r>
        <w:rPr>
          <w:rFonts w:hint="eastAsia" w:ascii="Times New Roman"/>
        </w:rPr>
        <w:t>用化学分析样品的制备》。</w:t>
      </w:r>
    </w:p>
    <w:p w14:paraId="24F8104C">
      <w:pPr>
        <w:pStyle w:val="20"/>
        <w:ind w:firstLine="420"/>
        <w:rPr>
          <w:rFonts w:ascii="Times New Roman"/>
        </w:rPr>
      </w:pPr>
      <w:r>
        <w:rPr>
          <w:rFonts w:hint="eastAsia" w:ascii="Times New Roman"/>
        </w:rPr>
        <w:t>请注意本文件的某些内容可能涉及专利。本文件的发布机构不承担识别专利的责任。</w:t>
      </w:r>
    </w:p>
    <w:p w14:paraId="5B95E895">
      <w:pPr>
        <w:pStyle w:val="20"/>
        <w:ind w:firstLine="420"/>
        <w:rPr>
          <w:rFonts w:ascii="Times New Roman"/>
        </w:rPr>
      </w:pPr>
      <w:r>
        <w:rPr>
          <w:rFonts w:ascii="Times New Roman"/>
        </w:rPr>
        <w:t>本</w:t>
      </w:r>
      <w:r>
        <w:rPr>
          <w:rFonts w:hint="eastAsia" w:ascii="Times New Roman"/>
        </w:rPr>
        <w:t>文件</w:t>
      </w:r>
      <w:r>
        <w:rPr>
          <w:rFonts w:ascii="Times New Roman"/>
        </w:rPr>
        <w:t>由中国有色金属工业协会提出。</w:t>
      </w:r>
    </w:p>
    <w:p w14:paraId="21088614">
      <w:pPr>
        <w:pStyle w:val="20"/>
        <w:ind w:firstLine="420"/>
        <w:rPr>
          <w:rFonts w:ascii="Times New Roman"/>
        </w:rPr>
      </w:pPr>
      <w:r>
        <w:rPr>
          <w:rFonts w:ascii="Times New Roman"/>
        </w:rPr>
        <w:t>本</w:t>
      </w:r>
      <w:r>
        <w:rPr>
          <w:rFonts w:hint="eastAsia" w:ascii="Times New Roman"/>
        </w:rPr>
        <w:t>文件</w:t>
      </w:r>
      <w:r>
        <w:rPr>
          <w:rFonts w:ascii="Times New Roman"/>
        </w:rPr>
        <w:t>由全国有色金属标准化技术委员会(SAC/TC 243)归口。</w:t>
      </w:r>
    </w:p>
    <w:p w14:paraId="5F0C80F5">
      <w:pPr>
        <w:pStyle w:val="20"/>
        <w:ind w:firstLine="420"/>
        <w:rPr>
          <w:rFonts w:ascii="Times New Roman"/>
        </w:rPr>
      </w:pPr>
      <w:r>
        <w:rPr>
          <w:rFonts w:ascii="Times New Roman"/>
        </w:rPr>
        <w:t>本</w:t>
      </w:r>
      <w:r>
        <w:rPr>
          <w:rFonts w:hint="eastAsia" w:ascii="Times New Roman"/>
        </w:rPr>
        <w:t>文件</w:t>
      </w:r>
      <w:r>
        <w:rPr>
          <w:rFonts w:ascii="Times New Roman"/>
        </w:rPr>
        <w:t>起草单位：</w:t>
      </w:r>
      <w:r>
        <w:rPr>
          <w:rFonts w:hint="eastAsia" w:ascii="Times New Roman"/>
        </w:rPr>
        <w:t>钢铁研究总院有限公司、安泰天龙钨钼科技有限公司、</w:t>
      </w:r>
      <w:r>
        <w:fldChar w:fldCharType="begin"/>
      </w:r>
      <w:r>
        <w:instrText xml:space="preserve"> HYPERLINK "https://www.so.com/link?m=uE3/kcTCd8TIVbQZdnfvlOfRiS+yAexvAKFVQYRsjzwV9dNm4GGvvy9z9IT0+EUtAftbHSAQyIuyEek5jknMFpMH9nHb2WYw6asf/rSwsHIq3d6MllgXRdJI79e1EpbSh/KjuAi9EpYGL1wEKQhawBpRXILg=" \t "https://www.so.com/_blank" </w:instrText>
      </w:r>
      <w:r>
        <w:fldChar w:fldCharType="separate"/>
      </w:r>
      <w:r>
        <w:rPr>
          <w:rFonts w:ascii="Times New Roman"/>
        </w:rPr>
        <w:t>西部宝德科技股份有限公司</w:t>
      </w:r>
      <w:r>
        <w:rPr>
          <w:rFonts w:ascii="Times New Roman"/>
        </w:rPr>
        <w:fldChar w:fldCharType="end"/>
      </w:r>
      <w:r>
        <w:rPr>
          <w:rFonts w:hint="eastAsia" w:ascii="Times New Roman"/>
        </w:rPr>
        <w:t>、中南大学、东睦新材料集团股份有限公司、湖南屹林材料技术有限公司、荆门市格林美新材料有限公司。</w:t>
      </w:r>
    </w:p>
    <w:p w14:paraId="7DBC3315">
      <w:pPr>
        <w:pStyle w:val="20"/>
        <w:ind w:firstLine="420"/>
        <w:rPr>
          <w:rFonts w:ascii="Times New Roman"/>
        </w:rPr>
      </w:pPr>
      <w:r>
        <w:rPr>
          <w:rFonts w:ascii="Times New Roman"/>
        </w:rPr>
        <w:t>本</w:t>
      </w:r>
      <w:r>
        <w:rPr>
          <w:rFonts w:hint="eastAsia" w:ascii="Times New Roman"/>
        </w:rPr>
        <w:t>文件</w:t>
      </w:r>
      <w:r>
        <w:rPr>
          <w:rFonts w:ascii="Times New Roman"/>
        </w:rPr>
        <w:t>主要起草人：</w:t>
      </w:r>
      <w:r>
        <w:rPr>
          <w:rFonts w:hint="eastAsia" w:ascii="Times New Roman"/>
        </w:rPr>
        <w:t>许洁、李玲霞、张丹华、李继康、刘丹阳、张淑兰、李明、撒志远、张望成、杜育芝、许开华。</w:t>
      </w:r>
    </w:p>
    <w:p w14:paraId="3800A50A">
      <w:pPr>
        <w:rPr>
          <w:rFonts w:hint="eastAsia"/>
        </w:rPr>
      </w:pPr>
    </w:p>
    <w:p w14:paraId="0BC84694">
      <w:pPr>
        <w:rPr>
          <w:rFonts w:hint="eastAsia"/>
        </w:rPr>
      </w:pPr>
    </w:p>
    <w:p w14:paraId="1D485C5B">
      <w:pPr>
        <w:rPr>
          <w:rFonts w:hint="eastAsia"/>
        </w:rPr>
      </w:pPr>
    </w:p>
    <w:p w14:paraId="7C0BD88F">
      <w:pPr>
        <w:rPr>
          <w:rFonts w:hint="eastAsia"/>
        </w:rPr>
      </w:pPr>
    </w:p>
    <w:p w14:paraId="6D7FED6B">
      <w:pPr>
        <w:rPr>
          <w:rFonts w:hint="eastAsia"/>
        </w:rPr>
      </w:pPr>
    </w:p>
    <w:p w14:paraId="5FC40B4B">
      <w:pPr>
        <w:rPr>
          <w:rFonts w:hint="eastAsia"/>
        </w:rPr>
      </w:pPr>
    </w:p>
    <w:p w14:paraId="7EF22BF6">
      <w:pPr>
        <w:rPr>
          <w:rFonts w:hint="eastAsia"/>
        </w:rPr>
      </w:pPr>
    </w:p>
    <w:p w14:paraId="2B8D75E7">
      <w:pPr>
        <w:rPr>
          <w:rFonts w:hint="eastAsia"/>
        </w:rPr>
      </w:pPr>
    </w:p>
    <w:p w14:paraId="6CF0EA5E">
      <w:pPr>
        <w:rPr>
          <w:rFonts w:hint="eastAsia"/>
        </w:rPr>
      </w:pPr>
    </w:p>
    <w:p w14:paraId="715C14FA">
      <w:pPr>
        <w:rPr>
          <w:rFonts w:hint="eastAsia"/>
        </w:rPr>
      </w:pPr>
    </w:p>
    <w:p w14:paraId="749DAC55">
      <w:pPr>
        <w:rPr>
          <w:rFonts w:hint="eastAsia"/>
        </w:rPr>
      </w:pPr>
    </w:p>
    <w:p w14:paraId="5FE94046">
      <w:pPr>
        <w:rPr>
          <w:rFonts w:hint="eastAsia"/>
        </w:rPr>
      </w:pPr>
    </w:p>
    <w:p w14:paraId="12539FF7">
      <w:pPr>
        <w:rPr>
          <w:rFonts w:hint="eastAsia"/>
        </w:rPr>
      </w:pPr>
    </w:p>
    <w:p w14:paraId="2D2C74BD">
      <w:pPr>
        <w:rPr>
          <w:rFonts w:hint="eastAsia"/>
        </w:rPr>
      </w:pPr>
    </w:p>
    <w:p w14:paraId="1D873E5E">
      <w:pPr>
        <w:rPr>
          <w:rFonts w:hint="eastAsia"/>
        </w:rPr>
      </w:pPr>
    </w:p>
    <w:p w14:paraId="68706F77">
      <w:pPr>
        <w:rPr>
          <w:rFonts w:hint="eastAsia"/>
        </w:rPr>
      </w:pPr>
    </w:p>
    <w:p w14:paraId="3C7127D5">
      <w:pPr>
        <w:rPr>
          <w:rFonts w:hint="eastAsia"/>
        </w:rPr>
      </w:pPr>
    </w:p>
    <w:p w14:paraId="5C11FD07">
      <w:pPr>
        <w:rPr>
          <w:rFonts w:hint="eastAsia"/>
        </w:rPr>
      </w:pPr>
    </w:p>
    <w:p w14:paraId="3924EFE7">
      <w:pPr>
        <w:rPr>
          <w:rFonts w:hint="eastAsia"/>
        </w:rPr>
      </w:pPr>
    </w:p>
    <w:p w14:paraId="59143C25">
      <w:pPr>
        <w:rPr>
          <w:rFonts w:hint="eastAsia"/>
        </w:rPr>
      </w:pPr>
    </w:p>
    <w:p w14:paraId="78543F5D">
      <w:pPr>
        <w:rPr>
          <w:rFonts w:hint="eastAsia"/>
        </w:rPr>
      </w:pPr>
    </w:p>
    <w:p w14:paraId="530FD084">
      <w:pPr>
        <w:rPr>
          <w:rFonts w:hint="eastAsia"/>
        </w:rPr>
      </w:pPr>
    </w:p>
    <w:p w14:paraId="20BF2A00">
      <w:pPr>
        <w:rPr>
          <w:rFonts w:hint="eastAsia"/>
        </w:rPr>
      </w:pPr>
    </w:p>
    <w:p w14:paraId="60BB17DE">
      <w:pPr>
        <w:pStyle w:val="2"/>
        <w:ind w:firstLine="320" w:firstLineChars="100"/>
        <w:jc w:val="center"/>
        <w:rPr>
          <w:rFonts w:hint="eastAsia" w:ascii="黑体" w:hAnsi="黑体" w:eastAsia="黑体"/>
          <w:b w:val="0"/>
          <w:bCs w:val="0"/>
          <w:kern w:val="0"/>
          <w:sz w:val="32"/>
          <w:szCs w:val="32"/>
        </w:rPr>
      </w:pPr>
      <w:r>
        <w:rPr>
          <w:rFonts w:hint="eastAsia" w:ascii="黑体" w:hAnsi="黑体" w:eastAsia="黑体"/>
          <w:b w:val="0"/>
          <w:bCs w:val="0"/>
          <w:kern w:val="0"/>
          <w:sz w:val="32"/>
          <w:szCs w:val="32"/>
        </w:rPr>
        <w:t>烧结金属材料（不包括硬质合金）  碳含量测定用化学分析样品的制备</w:t>
      </w:r>
    </w:p>
    <w:p w14:paraId="048F7FA3">
      <w:pPr>
        <w:pStyle w:val="22"/>
        <w:spacing w:before="312" w:beforeLines="100" w:after="312" w:afterLines="100"/>
      </w:pPr>
      <w:r>
        <w:rPr>
          <w:rFonts w:hint="eastAsia"/>
        </w:rPr>
        <w:t>1  范围</w:t>
      </w:r>
    </w:p>
    <w:p w14:paraId="1020377B">
      <w:pPr>
        <w:ind w:firstLine="420" w:firstLineChars="200"/>
        <w:rPr>
          <w:rFonts w:hint="eastAsia" w:ascii="宋体" w:hAnsi="宋体" w:eastAsia="宋体"/>
          <w:kern w:val="0"/>
          <w:szCs w:val="21"/>
        </w:rPr>
      </w:pPr>
      <w:r>
        <w:rPr>
          <w:rFonts w:hint="eastAsia" w:ascii="宋体" w:hAnsi="宋体" w:eastAsia="宋体"/>
          <w:kern w:val="0"/>
          <w:szCs w:val="21"/>
        </w:rPr>
        <w:t>本文件描述了从一个或多个烧结部件中制备用来测定游离碳或总碳含量的样品的方法，化合碳由总碳和游离碳的差值确定。</w:t>
      </w:r>
    </w:p>
    <w:p w14:paraId="3EFD240E">
      <w:pPr>
        <w:ind w:firstLine="420" w:firstLineChars="200"/>
        <w:rPr>
          <w:rFonts w:ascii="宋体" w:hAnsi="宋体" w:eastAsia="宋体"/>
          <w:kern w:val="0"/>
          <w:szCs w:val="21"/>
        </w:rPr>
      </w:pPr>
      <w:r>
        <w:rPr>
          <w:rFonts w:hint="eastAsia" w:ascii="宋体" w:hAnsi="宋体" w:eastAsia="宋体"/>
          <w:kern w:val="0"/>
          <w:szCs w:val="21"/>
        </w:rPr>
        <w:t>本文件适用于</w:t>
      </w:r>
      <w:r>
        <w:rPr>
          <w:rFonts w:ascii="宋体" w:hAnsi="宋体" w:eastAsia="宋体"/>
          <w:kern w:val="0"/>
          <w:szCs w:val="21"/>
        </w:rPr>
        <w:t>用化学方法测定碳含量的样品的制备</w:t>
      </w:r>
      <w:r>
        <w:rPr>
          <w:rFonts w:hint="eastAsia" w:ascii="宋体" w:hAnsi="宋体" w:eastAsia="宋体"/>
          <w:kern w:val="0"/>
          <w:szCs w:val="21"/>
        </w:rPr>
        <w:t>，例如根据</w:t>
      </w:r>
      <w:r>
        <w:rPr>
          <w:rFonts w:ascii="宋体" w:hAnsi="宋体" w:eastAsia="宋体"/>
          <w:kern w:val="0"/>
          <w:szCs w:val="21"/>
        </w:rPr>
        <w:t xml:space="preserve">ISO </w:t>
      </w:r>
      <w:r>
        <w:rPr>
          <w:rFonts w:hint="eastAsia" w:ascii="宋体" w:hAnsi="宋体" w:eastAsia="宋体"/>
          <w:kern w:val="0"/>
          <w:szCs w:val="21"/>
        </w:rPr>
        <w:t>9556</w:t>
      </w:r>
      <w:r>
        <w:rPr>
          <w:rFonts w:ascii="宋体" w:hAnsi="宋体" w:eastAsia="宋体"/>
          <w:kern w:val="0"/>
          <w:szCs w:val="21"/>
        </w:rPr>
        <w:t>的规定在氧气中燃烧</w:t>
      </w:r>
      <w:r>
        <w:rPr>
          <w:rFonts w:hint="eastAsia" w:ascii="宋体" w:hAnsi="宋体" w:eastAsia="宋体"/>
          <w:kern w:val="0"/>
          <w:szCs w:val="21"/>
        </w:rPr>
        <w:t>并</w:t>
      </w:r>
      <w:r>
        <w:rPr>
          <w:rFonts w:ascii="宋体" w:hAnsi="宋体" w:eastAsia="宋体"/>
          <w:kern w:val="0"/>
          <w:szCs w:val="21"/>
        </w:rPr>
        <w:t>测量产生的二氧化碳，</w:t>
      </w:r>
      <w:r>
        <w:rPr>
          <w:rFonts w:hint="eastAsia" w:ascii="宋体" w:hAnsi="宋体" w:eastAsia="宋体"/>
          <w:kern w:val="0"/>
          <w:szCs w:val="21"/>
        </w:rPr>
        <w:t>不适用于用物理方法</w:t>
      </w:r>
      <w:r>
        <w:rPr>
          <w:rFonts w:ascii="宋体" w:hAnsi="宋体" w:eastAsia="宋体"/>
          <w:kern w:val="0"/>
          <w:szCs w:val="21"/>
        </w:rPr>
        <w:t>测定碳</w:t>
      </w:r>
      <w:r>
        <w:rPr>
          <w:rFonts w:hint="eastAsia" w:ascii="宋体" w:hAnsi="宋体" w:eastAsia="宋体"/>
          <w:kern w:val="0"/>
          <w:szCs w:val="21"/>
        </w:rPr>
        <w:t>含量</w:t>
      </w:r>
      <w:r>
        <w:rPr>
          <w:rFonts w:ascii="宋体" w:hAnsi="宋体" w:eastAsia="宋体"/>
          <w:kern w:val="0"/>
          <w:szCs w:val="21"/>
        </w:rPr>
        <w:t>的样品的制备</w:t>
      </w:r>
      <w:r>
        <w:rPr>
          <w:rFonts w:hint="eastAsia" w:ascii="宋体" w:hAnsi="宋体" w:eastAsia="宋体"/>
          <w:kern w:val="0"/>
          <w:szCs w:val="21"/>
        </w:rPr>
        <w:t>，例</w:t>
      </w:r>
      <w:r>
        <w:rPr>
          <w:rFonts w:ascii="宋体" w:hAnsi="宋体" w:eastAsia="宋体"/>
          <w:kern w:val="0"/>
          <w:szCs w:val="21"/>
        </w:rPr>
        <w:t>如金相</w:t>
      </w:r>
      <w:r>
        <w:rPr>
          <w:rFonts w:hint="eastAsia" w:ascii="宋体" w:hAnsi="宋体" w:eastAsia="宋体"/>
          <w:kern w:val="0"/>
          <w:szCs w:val="21"/>
        </w:rPr>
        <w:t>法</w:t>
      </w:r>
      <w:r>
        <w:rPr>
          <w:rFonts w:ascii="宋体" w:hAnsi="宋体" w:eastAsia="宋体"/>
          <w:kern w:val="0"/>
          <w:szCs w:val="21"/>
        </w:rPr>
        <w:t>或光谱</w:t>
      </w:r>
      <w:r>
        <w:rPr>
          <w:rFonts w:hint="eastAsia" w:ascii="宋体" w:hAnsi="宋体" w:eastAsia="宋体"/>
          <w:kern w:val="0"/>
          <w:szCs w:val="21"/>
        </w:rPr>
        <w:t>法</w:t>
      </w:r>
      <w:r>
        <w:rPr>
          <w:rFonts w:ascii="宋体" w:hAnsi="宋体" w:eastAsia="宋体"/>
          <w:kern w:val="0"/>
          <w:szCs w:val="21"/>
        </w:rPr>
        <w:t>。</w:t>
      </w:r>
    </w:p>
    <w:p w14:paraId="105CF3AC">
      <w:pPr>
        <w:pStyle w:val="22"/>
        <w:spacing w:before="312" w:beforeLines="100" w:after="312" w:afterLines="100"/>
      </w:pPr>
      <w:r>
        <w:rPr>
          <w:rFonts w:hint="eastAsia"/>
        </w:rPr>
        <w:t xml:space="preserve">2  </w:t>
      </w:r>
      <w:r>
        <w:t>规范性</w:t>
      </w:r>
      <w:r>
        <w:rPr>
          <w:rFonts w:hint="eastAsia"/>
        </w:rPr>
        <w:t>引用</w:t>
      </w:r>
      <w:r>
        <w:t>文件</w:t>
      </w:r>
    </w:p>
    <w:p w14:paraId="58FCC501">
      <w:pPr>
        <w:ind w:firstLine="420" w:firstLineChars="200"/>
        <w:rPr>
          <w:rFonts w:hint="eastAsia" w:ascii="宋体" w:hAnsi="宋体" w:eastAsia="宋体"/>
          <w:kern w:val="0"/>
          <w:szCs w:val="21"/>
        </w:rPr>
      </w:pPr>
      <w:r>
        <w:rPr>
          <w:rFonts w:hint="eastAsia" w:ascii="宋体" w:hAnsi="宋体" w:eastAsia="宋体"/>
          <w:kern w:val="0"/>
          <w:szCs w:val="21"/>
        </w:rPr>
        <w:t>下列文件中的内容通过文中的规范性引用而构成本文件必不可少的条款。其中，注明日期的引用文件，仅该日期对应的版本适用于本文件；未注明日期的引用文件，其最新版本（包括所有修订版）适用于本文件：</w:t>
      </w:r>
    </w:p>
    <w:p w14:paraId="741EA80D">
      <w:pPr>
        <w:ind w:firstLine="420" w:firstLineChars="200"/>
        <w:rPr>
          <w:rFonts w:hint="eastAsia" w:ascii="宋体" w:hAnsi="宋体" w:eastAsia="宋体"/>
          <w:kern w:val="0"/>
          <w:szCs w:val="21"/>
        </w:rPr>
      </w:pPr>
      <w:r>
        <w:rPr>
          <w:rFonts w:hint="eastAsia" w:ascii="宋体" w:hAnsi="宋体" w:eastAsia="宋体"/>
          <w:kern w:val="0"/>
          <w:szCs w:val="21"/>
        </w:rPr>
        <w:t>ISO 9556  钢铁及合金  总碳含量的测定  感应炉燃烧后红外吸收法(Steel and iron—Determination of total carbon content—Infrared absorption method after combustion in an induction furnace)</w:t>
      </w:r>
    </w:p>
    <w:p w14:paraId="5722021E">
      <w:pPr>
        <w:ind w:firstLine="360" w:firstLineChars="200"/>
        <w:rPr>
          <w:rFonts w:hint="eastAsia" w:ascii="宋体" w:hAnsi="宋体" w:eastAsia="宋体"/>
          <w:kern w:val="0"/>
          <w:sz w:val="18"/>
          <w:szCs w:val="18"/>
        </w:rPr>
      </w:pPr>
      <w:r>
        <w:rPr>
          <w:rFonts w:hint="eastAsia" w:ascii="宋体" w:hAnsi="宋体" w:eastAsia="宋体"/>
          <w:kern w:val="0"/>
          <w:sz w:val="18"/>
          <w:szCs w:val="18"/>
        </w:rPr>
        <w:t>注：GB/T 223.86  钢铁及合金  总碳含量的测定  感应炉燃烧后红外吸收法（ISO 9556:1989, IDT）</w:t>
      </w:r>
    </w:p>
    <w:p w14:paraId="4EB81B6E">
      <w:pPr>
        <w:ind w:firstLine="420" w:firstLineChars="200"/>
        <w:rPr>
          <w:rFonts w:hint="eastAsia" w:ascii="宋体" w:hAnsi="宋体" w:eastAsia="宋体"/>
          <w:kern w:val="0"/>
          <w:szCs w:val="21"/>
        </w:rPr>
      </w:pPr>
      <w:r>
        <w:rPr>
          <w:rFonts w:hint="eastAsia" w:ascii="宋体" w:hAnsi="宋体" w:eastAsia="宋体"/>
          <w:kern w:val="0"/>
          <w:szCs w:val="21"/>
        </w:rPr>
        <w:t>ISO 2</w:t>
      </w:r>
      <w:r>
        <w:rPr>
          <w:rFonts w:ascii="宋体" w:hAnsi="宋体" w:eastAsia="宋体"/>
          <w:kern w:val="0"/>
          <w:szCs w:val="21"/>
        </w:rPr>
        <w:t>7</w:t>
      </w:r>
      <w:r>
        <w:rPr>
          <w:rFonts w:hint="eastAsia" w:ascii="宋体" w:hAnsi="宋体" w:eastAsia="宋体"/>
          <w:kern w:val="0"/>
          <w:szCs w:val="21"/>
        </w:rPr>
        <w:t xml:space="preserve">38  </w:t>
      </w:r>
      <w:r>
        <w:rPr>
          <w:rFonts w:ascii="宋体" w:hAnsi="宋体" w:eastAsia="宋体"/>
          <w:kern w:val="0"/>
          <w:szCs w:val="21"/>
        </w:rPr>
        <w:t>烧结金属材料</w:t>
      </w:r>
      <w:r>
        <w:rPr>
          <w:rFonts w:hint="eastAsia" w:ascii="宋体" w:hAnsi="宋体" w:eastAsia="宋体"/>
          <w:kern w:val="0"/>
          <w:szCs w:val="21"/>
        </w:rPr>
        <w:t>（</w:t>
      </w:r>
      <w:r>
        <w:rPr>
          <w:rFonts w:ascii="宋体" w:hAnsi="宋体" w:eastAsia="宋体"/>
          <w:kern w:val="0"/>
          <w:szCs w:val="21"/>
        </w:rPr>
        <w:t>不包括硬质合金</w:t>
      </w:r>
      <w:r>
        <w:rPr>
          <w:rFonts w:hint="eastAsia" w:ascii="宋体" w:hAnsi="宋体" w:eastAsia="宋体"/>
          <w:kern w:val="0"/>
          <w:szCs w:val="21"/>
        </w:rPr>
        <w:t>）  可渗性</w:t>
      </w:r>
      <w:r>
        <w:rPr>
          <w:rFonts w:ascii="宋体" w:hAnsi="宋体" w:eastAsia="宋体"/>
          <w:kern w:val="0"/>
          <w:szCs w:val="21"/>
        </w:rPr>
        <w:t>烧结金属材</w:t>
      </w:r>
      <w:r>
        <w:rPr>
          <w:rFonts w:hint="eastAsia" w:ascii="宋体" w:hAnsi="宋体" w:eastAsia="宋体"/>
          <w:kern w:val="0"/>
          <w:szCs w:val="21"/>
        </w:rPr>
        <w:t>料  密度、</w:t>
      </w:r>
      <w:r>
        <w:rPr>
          <w:rFonts w:ascii="宋体" w:hAnsi="宋体" w:eastAsia="宋体"/>
          <w:kern w:val="0"/>
          <w:szCs w:val="21"/>
        </w:rPr>
        <w:t>含油量</w:t>
      </w:r>
      <w:r>
        <w:rPr>
          <w:rFonts w:hint="eastAsia" w:ascii="宋体" w:hAnsi="宋体" w:eastAsia="宋体"/>
          <w:kern w:val="0"/>
          <w:szCs w:val="21"/>
        </w:rPr>
        <w:t>和</w:t>
      </w:r>
      <w:r>
        <w:rPr>
          <w:rFonts w:ascii="宋体" w:hAnsi="宋体" w:eastAsia="宋体"/>
          <w:kern w:val="0"/>
          <w:szCs w:val="21"/>
        </w:rPr>
        <w:t>开孔率的测定</w:t>
      </w:r>
      <w:r>
        <w:rPr>
          <w:rFonts w:hint="eastAsia" w:ascii="宋体" w:hAnsi="宋体" w:eastAsia="宋体"/>
          <w:kern w:val="0"/>
          <w:szCs w:val="21"/>
        </w:rPr>
        <w:t>(Sintered metal materials, excluding hardmetals - Permeable sintered metal materials - Determination of density, oil content, and open porosity)</w:t>
      </w:r>
    </w:p>
    <w:p w14:paraId="08011F55">
      <w:pPr>
        <w:ind w:firstLine="360" w:firstLineChars="200"/>
        <w:rPr>
          <w:rFonts w:hint="eastAsia" w:ascii="宋体" w:hAnsi="宋体" w:eastAsia="宋体"/>
          <w:kern w:val="0"/>
          <w:sz w:val="18"/>
          <w:szCs w:val="18"/>
        </w:rPr>
      </w:pPr>
      <w:r>
        <w:rPr>
          <w:rFonts w:hint="eastAsia" w:ascii="宋体" w:hAnsi="宋体" w:eastAsia="宋体"/>
          <w:kern w:val="0"/>
          <w:sz w:val="18"/>
          <w:szCs w:val="18"/>
        </w:rPr>
        <w:t xml:space="preserve">注：GB/T 5163  </w:t>
      </w:r>
      <w:r>
        <w:rPr>
          <w:rFonts w:ascii="宋体" w:hAnsi="宋体" w:eastAsia="宋体"/>
          <w:kern w:val="0"/>
          <w:sz w:val="18"/>
          <w:szCs w:val="18"/>
        </w:rPr>
        <w:t>烧结金属材料</w:t>
      </w:r>
      <w:r>
        <w:rPr>
          <w:rFonts w:hint="eastAsia" w:ascii="宋体" w:hAnsi="宋体" w:eastAsia="宋体"/>
          <w:kern w:val="0"/>
          <w:sz w:val="18"/>
          <w:szCs w:val="18"/>
        </w:rPr>
        <w:t>（</w:t>
      </w:r>
      <w:r>
        <w:rPr>
          <w:rFonts w:ascii="宋体" w:hAnsi="宋体" w:eastAsia="宋体"/>
          <w:kern w:val="0"/>
          <w:sz w:val="18"/>
          <w:szCs w:val="18"/>
        </w:rPr>
        <w:t>不包括硬质合金</w:t>
      </w:r>
      <w:r>
        <w:rPr>
          <w:rFonts w:hint="eastAsia" w:ascii="宋体" w:hAnsi="宋体" w:eastAsia="宋体"/>
          <w:kern w:val="0"/>
          <w:sz w:val="18"/>
          <w:szCs w:val="18"/>
        </w:rPr>
        <w:t>）  可渗性</w:t>
      </w:r>
      <w:r>
        <w:rPr>
          <w:rFonts w:ascii="宋体" w:hAnsi="宋体" w:eastAsia="宋体"/>
          <w:kern w:val="0"/>
          <w:sz w:val="18"/>
          <w:szCs w:val="18"/>
        </w:rPr>
        <w:t>烧结金属材</w:t>
      </w:r>
      <w:r>
        <w:rPr>
          <w:rFonts w:hint="eastAsia" w:ascii="宋体" w:hAnsi="宋体" w:eastAsia="宋体"/>
          <w:kern w:val="0"/>
          <w:sz w:val="18"/>
          <w:szCs w:val="18"/>
        </w:rPr>
        <w:t>料  密度、</w:t>
      </w:r>
      <w:r>
        <w:rPr>
          <w:rFonts w:ascii="宋体" w:hAnsi="宋体" w:eastAsia="宋体"/>
          <w:kern w:val="0"/>
          <w:sz w:val="18"/>
          <w:szCs w:val="18"/>
        </w:rPr>
        <w:t>含油量</w:t>
      </w:r>
      <w:r>
        <w:rPr>
          <w:rFonts w:hint="eastAsia" w:ascii="宋体" w:hAnsi="宋体" w:eastAsia="宋体"/>
          <w:kern w:val="0"/>
          <w:sz w:val="18"/>
          <w:szCs w:val="18"/>
        </w:rPr>
        <w:t>和</w:t>
      </w:r>
      <w:r>
        <w:rPr>
          <w:rFonts w:ascii="宋体" w:hAnsi="宋体" w:eastAsia="宋体"/>
          <w:kern w:val="0"/>
          <w:sz w:val="18"/>
          <w:szCs w:val="18"/>
        </w:rPr>
        <w:t>开孔率的测定</w:t>
      </w:r>
      <w:r>
        <w:rPr>
          <w:rFonts w:hint="eastAsia" w:ascii="宋体" w:hAnsi="宋体" w:eastAsia="宋体"/>
          <w:kern w:val="0"/>
          <w:sz w:val="18"/>
          <w:szCs w:val="18"/>
        </w:rPr>
        <w:t>(ISO 2738, IDT)</w:t>
      </w:r>
    </w:p>
    <w:p w14:paraId="2E1BC796">
      <w:pPr>
        <w:pStyle w:val="22"/>
        <w:spacing w:before="312" w:beforeLines="100" w:after="312" w:afterLines="100"/>
      </w:pPr>
      <w:r>
        <w:rPr>
          <w:rFonts w:hint="eastAsia"/>
        </w:rPr>
        <w:t>3  术语和定义</w:t>
      </w:r>
    </w:p>
    <w:p w14:paraId="7AC498CF">
      <w:pPr>
        <w:ind w:firstLine="420" w:firstLineChars="200"/>
        <w:rPr>
          <w:rFonts w:hint="eastAsia" w:ascii="宋体" w:hAnsi="宋体" w:eastAsia="宋体"/>
          <w:kern w:val="0"/>
          <w:szCs w:val="21"/>
        </w:rPr>
      </w:pPr>
      <w:r>
        <w:rPr>
          <w:rFonts w:hint="eastAsia" w:ascii="宋体" w:hAnsi="宋体" w:eastAsia="宋体"/>
          <w:kern w:val="0"/>
          <w:szCs w:val="21"/>
        </w:rPr>
        <w:t>本文件没有需要界定的术语和定义。</w:t>
      </w:r>
    </w:p>
    <w:p w14:paraId="63273CCD">
      <w:pPr>
        <w:pStyle w:val="22"/>
        <w:spacing w:before="312" w:beforeLines="100" w:after="312" w:afterLines="100"/>
      </w:pPr>
      <w:r>
        <w:rPr>
          <w:rFonts w:hint="eastAsia"/>
        </w:rPr>
        <w:t>4  原理</w:t>
      </w:r>
    </w:p>
    <w:p w14:paraId="73546B32">
      <w:pPr>
        <w:ind w:firstLine="420" w:firstLineChars="200"/>
        <w:rPr>
          <w:rFonts w:ascii="宋体" w:hAnsi="宋体" w:eastAsia="宋体"/>
          <w:kern w:val="0"/>
          <w:szCs w:val="21"/>
        </w:rPr>
      </w:pPr>
      <w:r>
        <w:rPr>
          <w:rFonts w:hint="eastAsia" w:ascii="宋体" w:hAnsi="宋体" w:eastAsia="宋体"/>
          <w:kern w:val="0"/>
          <w:szCs w:val="21"/>
        </w:rPr>
        <w:t>采用第6章规定的步骤去除所有渗入碳或表面碳。通过</w:t>
      </w:r>
      <w:r>
        <w:rPr>
          <w:rFonts w:ascii="宋体" w:hAnsi="宋体" w:eastAsia="宋体"/>
          <w:kern w:val="0"/>
          <w:szCs w:val="21"/>
        </w:rPr>
        <w:t>破碎或</w:t>
      </w:r>
      <w:r>
        <w:rPr>
          <w:rFonts w:hint="eastAsia" w:ascii="宋体" w:hAnsi="宋体" w:eastAsia="宋体"/>
          <w:kern w:val="0"/>
          <w:szCs w:val="21"/>
        </w:rPr>
        <w:t>机械</w:t>
      </w:r>
      <w:r>
        <w:rPr>
          <w:rFonts w:ascii="宋体" w:hAnsi="宋体" w:eastAsia="宋体"/>
          <w:kern w:val="0"/>
          <w:szCs w:val="21"/>
        </w:rPr>
        <w:t>加工</w:t>
      </w:r>
      <w:r>
        <w:rPr>
          <w:rFonts w:hint="eastAsia" w:ascii="宋体" w:hAnsi="宋体" w:eastAsia="宋体"/>
          <w:kern w:val="0"/>
          <w:szCs w:val="21"/>
        </w:rPr>
        <w:t>的方法制</w:t>
      </w:r>
      <w:r>
        <w:rPr>
          <w:rFonts w:ascii="宋体" w:hAnsi="宋体" w:eastAsia="宋体"/>
          <w:kern w:val="0"/>
          <w:szCs w:val="21"/>
        </w:rPr>
        <w:t>备</w:t>
      </w:r>
      <w:r>
        <w:rPr>
          <w:rFonts w:hint="eastAsia" w:ascii="宋体" w:hAnsi="宋体" w:eastAsia="宋体"/>
          <w:kern w:val="0"/>
          <w:szCs w:val="21"/>
        </w:rPr>
        <w:t>待</w:t>
      </w:r>
      <w:r>
        <w:rPr>
          <w:rFonts w:ascii="宋体" w:hAnsi="宋体" w:eastAsia="宋体"/>
          <w:kern w:val="0"/>
          <w:szCs w:val="21"/>
        </w:rPr>
        <w:t>分析样品时，注意</w:t>
      </w:r>
      <w:r>
        <w:rPr>
          <w:rFonts w:hint="eastAsia" w:ascii="宋体" w:hAnsi="宋体" w:eastAsia="宋体"/>
          <w:kern w:val="0"/>
          <w:szCs w:val="21"/>
        </w:rPr>
        <w:t>避免损失</w:t>
      </w:r>
      <w:r>
        <w:rPr>
          <w:rFonts w:ascii="宋体" w:hAnsi="宋体" w:eastAsia="宋体"/>
          <w:kern w:val="0"/>
          <w:szCs w:val="21"/>
        </w:rPr>
        <w:t>任何游离碳。</w:t>
      </w:r>
    </w:p>
    <w:p w14:paraId="08A15E7E">
      <w:pPr>
        <w:pStyle w:val="22"/>
        <w:spacing w:before="312" w:beforeLines="100" w:after="312" w:afterLines="100"/>
      </w:pPr>
      <w:r>
        <w:rPr>
          <w:rFonts w:hint="eastAsia"/>
        </w:rPr>
        <w:t>5  材料</w:t>
      </w:r>
    </w:p>
    <w:p w14:paraId="31B2CF08">
      <w:pPr>
        <w:ind w:firstLine="420" w:firstLineChars="200"/>
        <w:rPr>
          <w:rFonts w:hint="eastAsia" w:ascii="宋体" w:hAnsi="宋体" w:eastAsia="宋体"/>
          <w:kern w:val="0"/>
          <w:szCs w:val="21"/>
        </w:rPr>
      </w:pPr>
      <w:r>
        <w:rPr>
          <w:rFonts w:ascii="宋体" w:hAnsi="宋体" w:eastAsia="宋体"/>
          <w:kern w:val="0"/>
          <w:szCs w:val="21"/>
        </w:rPr>
        <w:t>本</w:t>
      </w:r>
      <w:r>
        <w:rPr>
          <w:rFonts w:hint="eastAsia" w:ascii="宋体" w:hAnsi="宋体" w:eastAsia="宋体"/>
          <w:kern w:val="0"/>
          <w:szCs w:val="21"/>
        </w:rPr>
        <w:t>文件</w:t>
      </w:r>
      <w:r>
        <w:rPr>
          <w:rFonts w:ascii="宋体" w:hAnsi="宋体" w:eastAsia="宋体"/>
          <w:kern w:val="0"/>
          <w:szCs w:val="21"/>
        </w:rPr>
        <w:t>适用于碳</w:t>
      </w:r>
      <w:r>
        <w:rPr>
          <w:rFonts w:hint="eastAsia" w:ascii="宋体" w:hAnsi="宋体" w:eastAsia="宋体"/>
          <w:kern w:val="0"/>
          <w:szCs w:val="21"/>
        </w:rPr>
        <w:t>元素</w:t>
      </w:r>
      <w:r>
        <w:rPr>
          <w:rFonts w:ascii="宋体" w:hAnsi="宋体" w:eastAsia="宋体"/>
          <w:kern w:val="0"/>
          <w:szCs w:val="21"/>
        </w:rPr>
        <w:t>分布均匀</w:t>
      </w:r>
      <w:r>
        <w:rPr>
          <w:rFonts w:hint="eastAsia" w:ascii="宋体" w:hAnsi="宋体" w:eastAsia="宋体"/>
          <w:kern w:val="0"/>
          <w:szCs w:val="21"/>
        </w:rPr>
        <w:t>且以表1所列形态存在</w:t>
      </w:r>
      <w:r>
        <w:rPr>
          <w:rFonts w:ascii="宋体" w:hAnsi="宋体" w:eastAsia="宋体"/>
          <w:kern w:val="0"/>
          <w:szCs w:val="21"/>
        </w:rPr>
        <w:t>的</w:t>
      </w:r>
      <w:r>
        <w:rPr>
          <w:rFonts w:hint="eastAsia" w:ascii="宋体" w:hAnsi="宋体" w:eastAsia="宋体"/>
          <w:kern w:val="0"/>
          <w:szCs w:val="21"/>
        </w:rPr>
        <w:t>烧结部件</w:t>
      </w:r>
      <w:r>
        <w:rPr>
          <w:rFonts w:ascii="宋体" w:hAnsi="宋体" w:eastAsia="宋体"/>
          <w:kern w:val="0"/>
          <w:szCs w:val="21"/>
        </w:rPr>
        <w:t>。</w:t>
      </w:r>
      <w:r>
        <w:rPr>
          <w:rFonts w:hint="eastAsia" w:ascii="宋体" w:hAnsi="宋体" w:eastAsia="宋体"/>
          <w:kern w:val="0"/>
          <w:szCs w:val="21"/>
        </w:rPr>
        <w:t>不适用于碳元素在整体内分布不均匀的部件，包括表面渗碳或脱碳的部件。</w:t>
      </w:r>
    </w:p>
    <w:p w14:paraId="33BD35C8">
      <w:pPr>
        <w:ind w:firstLine="420" w:firstLineChars="200"/>
        <w:rPr>
          <w:rFonts w:ascii="宋体" w:hAnsi="宋体" w:eastAsia="宋体"/>
          <w:kern w:val="0"/>
          <w:szCs w:val="21"/>
        </w:rPr>
      </w:pPr>
      <w:r>
        <w:rPr>
          <w:rFonts w:hint="eastAsia" w:ascii="宋体" w:hAnsi="宋体" w:eastAsia="宋体"/>
          <w:kern w:val="0"/>
          <w:szCs w:val="21"/>
        </w:rPr>
        <w:t>在碳元素分布不均匀的情况下，如经表面硬化处理的部件，取样方法宜由供需双方协商一致。</w:t>
      </w:r>
    </w:p>
    <w:p w14:paraId="7CC50541">
      <w:pPr>
        <w:pStyle w:val="5"/>
        <w:jc w:val="center"/>
        <w:rPr>
          <w:rFonts w:ascii="黑体" w:hAnsi="Times New Roman" w:eastAsia="黑体" w:cs="Times New Roman"/>
          <w:b w:val="0"/>
          <w:bCs w:val="0"/>
          <w:kern w:val="0"/>
          <w:sz w:val="21"/>
          <w:szCs w:val="20"/>
        </w:rPr>
      </w:pPr>
      <w:r>
        <w:rPr>
          <w:rFonts w:hint="eastAsia" w:ascii="黑体" w:hAnsi="Times New Roman" w:eastAsia="黑体" w:cs="Times New Roman"/>
          <w:b w:val="0"/>
          <w:bCs w:val="0"/>
          <w:kern w:val="0"/>
          <w:sz w:val="21"/>
          <w:szCs w:val="20"/>
        </w:rPr>
        <w:t>表1</w:t>
      </w:r>
      <w:r>
        <w:rPr>
          <w:rFonts w:ascii="黑体" w:hAnsi="Times New Roman" w:eastAsia="黑体" w:cs="Times New Roman"/>
          <w:b w:val="0"/>
          <w:bCs w:val="0"/>
          <w:kern w:val="0"/>
          <w:sz w:val="21"/>
          <w:szCs w:val="20"/>
        </w:rPr>
        <w:t xml:space="preserve">  </w:t>
      </w:r>
      <w:r>
        <w:rPr>
          <w:rFonts w:hint="eastAsia" w:ascii="黑体" w:hAnsi="Times New Roman" w:eastAsia="黑体" w:cs="Times New Roman"/>
          <w:b w:val="0"/>
          <w:bCs w:val="0"/>
          <w:kern w:val="0"/>
          <w:sz w:val="21"/>
          <w:szCs w:val="20"/>
        </w:rPr>
        <w:t>可通过化学分析法测定的碳元素形态</w:t>
      </w:r>
    </w:p>
    <w:tbl>
      <w:tblPr>
        <w:tblStyle w:val="8"/>
        <w:tblW w:w="0" w:type="auto"/>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2"/>
        <w:gridCol w:w="3268"/>
        <w:gridCol w:w="3048"/>
      </w:tblGrid>
      <w:tr w14:paraId="74117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782" w:type="dxa"/>
            <w:vAlign w:val="center"/>
          </w:tcPr>
          <w:p w14:paraId="2D679962">
            <w:pPr>
              <w:ind w:left="-90"/>
              <w:jc w:val="center"/>
              <w:rPr>
                <w:rFonts w:hint="eastAsia" w:ascii="新宋体" w:hAnsi="新宋体" w:eastAsia="新宋体"/>
                <w:kern w:val="0"/>
                <w:szCs w:val="21"/>
              </w:rPr>
            </w:pPr>
            <w:r>
              <w:rPr>
                <w:rFonts w:ascii="新宋体" w:hAnsi="新宋体" w:eastAsia="新宋体"/>
                <w:kern w:val="0"/>
                <w:szCs w:val="21"/>
              </w:rPr>
              <w:t>碳</w:t>
            </w:r>
            <w:r>
              <w:rPr>
                <w:rFonts w:hint="eastAsia" w:ascii="新宋体" w:hAnsi="新宋体" w:eastAsia="新宋体"/>
                <w:kern w:val="0"/>
                <w:szCs w:val="21"/>
              </w:rPr>
              <w:t>元素形态</w:t>
            </w:r>
          </w:p>
        </w:tc>
        <w:tc>
          <w:tcPr>
            <w:tcW w:w="3268" w:type="dxa"/>
            <w:vAlign w:val="center"/>
          </w:tcPr>
          <w:p w14:paraId="7A74075C">
            <w:pPr>
              <w:ind w:left="-90"/>
              <w:jc w:val="center"/>
              <w:rPr>
                <w:rFonts w:hint="eastAsia" w:ascii="新宋体" w:hAnsi="新宋体" w:eastAsia="新宋体"/>
                <w:kern w:val="0"/>
                <w:szCs w:val="21"/>
              </w:rPr>
            </w:pPr>
            <w:r>
              <w:rPr>
                <w:rFonts w:ascii="新宋体" w:hAnsi="新宋体" w:eastAsia="新宋体"/>
                <w:kern w:val="0"/>
                <w:szCs w:val="21"/>
              </w:rPr>
              <w:t>典型材料</w:t>
            </w:r>
          </w:p>
        </w:tc>
        <w:tc>
          <w:tcPr>
            <w:tcW w:w="3048" w:type="dxa"/>
            <w:vAlign w:val="center"/>
          </w:tcPr>
          <w:p w14:paraId="504B4E8E">
            <w:pPr>
              <w:ind w:left="-90"/>
              <w:jc w:val="center"/>
              <w:rPr>
                <w:rFonts w:hint="eastAsia" w:ascii="新宋体" w:hAnsi="新宋体" w:eastAsia="新宋体"/>
                <w:kern w:val="0"/>
                <w:szCs w:val="21"/>
              </w:rPr>
            </w:pPr>
            <w:r>
              <w:rPr>
                <w:rFonts w:ascii="新宋体" w:hAnsi="新宋体" w:eastAsia="新宋体"/>
                <w:kern w:val="0"/>
                <w:szCs w:val="21"/>
              </w:rPr>
              <w:t>注解</w:t>
            </w:r>
          </w:p>
        </w:tc>
      </w:tr>
      <w:tr w14:paraId="2B722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82" w:type="dxa"/>
            <w:vAlign w:val="center"/>
          </w:tcPr>
          <w:p w14:paraId="5D925D18">
            <w:pPr>
              <w:ind w:left="-90"/>
              <w:jc w:val="center"/>
              <w:rPr>
                <w:rFonts w:hint="eastAsia" w:ascii="新宋体" w:hAnsi="新宋体" w:eastAsia="新宋体"/>
                <w:kern w:val="0"/>
                <w:szCs w:val="21"/>
              </w:rPr>
            </w:pPr>
            <w:r>
              <w:rPr>
                <w:rFonts w:ascii="新宋体" w:hAnsi="新宋体" w:eastAsia="新宋体"/>
                <w:kern w:val="0"/>
                <w:szCs w:val="21"/>
              </w:rPr>
              <w:t>化合碳(</w:t>
            </w:r>
            <w:r>
              <w:rPr>
                <w:rFonts w:hint="eastAsia" w:ascii="新宋体" w:hAnsi="新宋体" w:eastAsia="新宋体"/>
                <w:kern w:val="0"/>
                <w:szCs w:val="21"/>
              </w:rPr>
              <w:t>以</w:t>
            </w:r>
            <w:r>
              <w:rPr>
                <w:rFonts w:ascii="新宋体" w:hAnsi="新宋体" w:eastAsia="新宋体"/>
                <w:kern w:val="0"/>
                <w:szCs w:val="21"/>
              </w:rPr>
              <w:t>碳化物或</w:t>
            </w:r>
            <w:r>
              <w:rPr>
                <w:rFonts w:hint="eastAsia" w:ascii="新宋体" w:hAnsi="新宋体" w:eastAsia="新宋体"/>
                <w:kern w:val="0"/>
                <w:szCs w:val="21"/>
              </w:rPr>
              <w:t>固溶体形式存在</w:t>
            </w:r>
            <w:r>
              <w:rPr>
                <w:rFonts w:ascii="新宋体" w:hAnsi="新宋体" w:eastAsia="新宋体"/>
                <w:kern w:val="0"/>
                <w:szCs w:val="21"/>
              </w:rPr>
              <w:t>)</w:t>
            </w:r>
          </w:p>
        </w:tc>
        <w:tc>
          <w:tcPr>
            <w:tcW w:w="3268" w:type="dxa"/>
            <w:vAlign w:val="center"/>
          </w:tcPr>
          <w:p w14:paraId="530A563B">
            <w:pPr>
              <w:ind w:left="-90"/>
              <w:jc w:val="center"/>
              <w:rPr>
                <w:rFonts w:hint="eastAsia" w:ascii="新宋体" w:hAnsi="新宋体" w:eastAsia="新宋体"/>
                <w:kern w:val="0"/>
                <w:szCs w:val="21"/>
              </w:rPr>
            </w:pPr>
            <w:r>
              <w:rPr>
                <w:rFonts w:hint="eastAsia" w:ascii="新宋体" w:hAnsi="新宋体" w:eastAsia="新宋体"/>
                <w:kern w:val="0"/>
                <w:szCs w:val="21"/>
              </w:rPr>
              <w:t>碳钢和超级合金</w:t>
            </w:r>
          </w:p>
        </w:tc>
        <w:tc>
          <w:tcPr>
            <w:tcW w:w="3048" w:type="dxa"/>
            <w:vAlign w:val="center"/>
          </w:tcPr>
          <w:p w14:paraId="4E9B0095">
            <w:pPr>
              <w:ind w:left="-90"/>
              <w:jc w:val="center"/>
              <w:rPr>
                <w:rFonts w:hint="eastAsia" w:ascii="新宋体" w:hAnsi="新宋体" w:eastAsia="新宋体"/>
                <w:kern w:val="0"/>
                <w:szCs w:val="21"/>
              </w:rPr>
            </w:pPr>
            <w:r>
              <w:rPr>
                <w:rFonts w:hint="eastAsia" w:ascii="新宋体" w:hAnsi="新宋体" w:eastAsia="新宋体"/>
                <w:kern w:val="0"/>
                <w:szCs w:val="21"/>
              </w:rPr>
              <w:t>测定为</w:t>
            </w:r>
            <w:r>
              <w:rPr>
                <w:rFonts w:ascii="新宋体" w:hAnsi="新宋体" w:eastAsia="新宋体"/>
                <w:kern w:val="0"/>
                <w:szCs w:val="21"/>
              </w:rPr>
              <w:t>总碳和</w:t>
            </w:r>
            <w:r>
              <w:rPr>
                <w:rFonts w:hint="eastAsia" w:ascii="新宋体" w:hAnsi="新宋体" w:eastAsia="新宋体"/>
                <w:kern w:val="0"/>
                <w:szCs w:val="21"/>
              </w:rPr>
              <w:t>游离</w:t>
            </w:r>
            <w:r>
              <w:rPr>
                <w:rFonts w:ascii="新宋体" w:hAnsi="新宋体" w:eastAsia="新宋体"/>
                <w:kern w:val="0"/>
                <w:szCs w:val="21"/>
              </w:rPr>
              <w:t>碳之差</w:t>
            </w:r>
          </w:p>
        </w:tc>
      </w:tr>
      <w:tr w14:paraId="265D4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782" w:type="dxa"/>
            <w:vAlign w:val="center"/>
          </w:tcPr>
          <w:p w14:paraId="54E4A594">
            <w:pPr>
              <w:ind w:left="-90"/>
              <w:jc w:val="center"/>
              <w:rPr>
                <w:rFonts w:hint="eastAsia" w:ascii="新宋体" w:hAnsi="新宋体" w:eastAsia="新宋体"/>
                <w:kern w:val="0"/>
                <w:szCs w:val="21"/>
              </w:rPr>
            </w:pPr>
            <w:r>
              <w:rPr>
                <w:rFonts w:hint="eastAsia" w:ascii="新宋体" w:hAnsi="新宋体" w:eastAsia="新宋体"/>
                <w:kern w:val="0"/>
                <w:szCs w:val="21"/>
              </w:rPr>
              <w:t>游离</w:t>
            </w:r>
            <w:r>
              <w:rPr>
                <w:rFonts w:ascii="新宋体" w:hAnsi="新宋体" w:eastAsia="新宋体"/>
                <w:kern w:val="0"/>
                <w:szCs w:val="21"/>
              </w:rPr>
              <w:t>碳</w:t>
            </w:r>
          </w:p>
        </w:tc>
        <w:tc>
          <w:tcPr>
            <w:tcW w:w="3268" w:type="dxa"/>
            <w:vAlign w:val="center"/>
          </w:tcPr>
          <w:p w14:paraId="62B0F6CE">
            <w:pPr>
              <w:ind w:left="-90"/>
              <w:jc w:val="center"/>
              <w:rPr>
                <w:rFonts w:hint="eastAsia" w:ascii="新宋体" w:hAnsi="新宋体" w:eastAsia="新宋体"/>
                <w:kern w:val="0"/>
                <w:szCs w:val="21"/>
              </w:rPr>
            </w:pPr>
            <w:r>
              <w:rPr>
                <w:rFonts w:hint="eastAsia" w:ascii="新宋体" w:hAnsi="新宋体" w:eastAsia="新宋体"/>
                <w:kern w:val="0"/>
                <w:szCs w:val="21"/>
              </w:rPr>
              <w:t>含石墨的青铜和钢；浸有含石墨液体的材料</w:t>
            </w:r>
          </w:p>
        </w:tc>
        <w:tc>
          <w:tcPr>
            <w:tcW w:w="3048" w:type="dxa"/>
            <w:vAlign w:val="center"/>
          </w:tcPr>
          <w:p w14:paraId="39F92716">
            <w:pPr>
              <w:ind w:left="-90"/>
              <w:jc w:val="center"/>
              <w:rPr>
                <w:rFonts w:hint="eastAsia" w:ascii="新宋体" w:hAnsi="新宋体" w:eastAsia="新宋体"/>
                <w:kern w:val="0"/>
                <w:szCs w:val="21"/>
              </w:rPr>
            </w:pPr>
            <w:r>
              <w:rPr>
                <w:rFonts w:hint="eastAsia" w:ascii="新宋体" w:hAnsi="新宋体" w:eastAsia="新宋体"/>
                <w:kern w:val="0"/>
                <w:szCs w:val="21"/>
              </w:rPr>
              <w:t>通过燃烧样品中金属选择性溶解的残留物测定</w:t>
            </w:r>
          </w:p>
        </w:tc>
      </w:tr>
      <w:tr w14:paraId="3BAE3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782" w:type="dxa"/>
            <w:vAlign w:val="center"/>
          </w:tcPr>
          <w:p w14:paraId="6274A9C2">
            <w:pPr>
              <w:ind w:left="-90"/>
              <w:jc w:val="center"/>
              <w:rPr>
                <w:rFonts w:hint="eastAsia" w:ascii="新宋体" w:hAnsi="新宋体" w:eastAsia="新宋体"/>
                <w:kern w:val="0"/>
                <w:szCs w:val="21"/>
              </w:rPr>
            </w:pPr>
            <w:r>
              <w:rPr>
                <w:rFonts w:ascii="新宋体" w:hAnsi="新宋体" w:eastAsia="新宋体"/>
                <w:kern w:val="0"/>
                <w:szCs w:val="21"/>
              </w:rPr>
              <w:t>总碳</w:t>
            </w:r>
          </w:p>
        </w:tc>
        <w:tc>
          <w:tcPr>
            <w:tcW w:w="3268" w:type="dxa"/>
            <w:vAlign w:val="center"/>
          </w:tcPr>
          <w:p w14:paraId="30A17163">
            <w:pPr>
              <w:ind w:left="-90"/>
              <w:jc w:val="center"/>
              <w:rPr>
                <w:rFonts w:hint="eastAsia" w:ascii="新宋体" w:hAnsi="新宋体" w:eastAsia="新宋体"/>
                <w:kern w:val="0"/>
                <w:szCs w:val="21"/>
              </w:rPr>
            </w:pPr>
          </w:p>
        </w:tc>
        <w:tc>
          <w:tcPr>
            <w:tcW w:w="3048" w:type="dxa"/>
            <w:vAlign w:val="center"/>
          </w:tcPr>
          <w:p w14:paraId="3C87AABF">
            <w:pPr>
              <w:ind w:left="-90"/>
              <w:jc w:val="center"/>
              <w:rPr>
                <w:rFonts w:hint="eastAsia" w:ascii="新宋体" w:hAnsi="新宋体" w:eastAsia="新宋体"/>
                <w:kern w:val="0"/>
                <w:szCs w:val="21"/>
              </w:rPr>
            </w:pPr>
            <w:r>
              <w:rPr>
                <w:rFonts w:hint="eastAsia" w:ascii="新宋体" w:hAnsi="新宋体" w:eastAsia="新宋体"/>
                <w:kern w:val="0"/>
                <w:szCs w:val="21"/>
              </w:rPr>
              <w:t>通过</w:t>
            </w:r>
            <w:r>
              <w:rPr>
                <w:rFonts w:ascii="新宋体" w:hAnsi="新宋体" w:eastAsia="新宋体"/>
                <w:kern w:val="0"/>
                <w:szCs w:val="21"/>
              </w:rPr>
              <w:t>直接燃烧样品</w:t>
            </w:r>
            <w:r>
              <w:rPr>
                <w:rFonts w:hint="eastAsia" w:ascii="新宋体" w:hAnsi="新宋体" w:eastAsia="新宋体"/>
                <w:kern w:val="0"/>
                <w:szCs w:val="21"/>
              </w:rPr>
              <w:t>测</w:t>
            </w:r>
            <w:r>
              <w:rPr>
                <w:rFonts w:ascii="新宋体" w:hAnsi="新宋体" w:eastAsia="新宋体"/>
                <w:kern w:val="0"/>
                <w:szCs w:val="21"/>
              </w:rPr>
              <w:t>定</w:t>
            </w:r>
          </w:p>
        </w:tc>
      </w:tr>
    </w:tbl>
    <w:p w14:paraId="263430F8">
      <w:pPr>
        <w:rPr>
          <w:rFonts w:hint="eastAsia" w:ascii="宋体" w:hAnsi="宋体" w:eastAsia="宋体"/>
          <w:kern w:val="0"/>
          <w:szCs w:val="21"/>
        </w:rPr>
      </w:pPr>
    </w:p>
    <w:p w14:paraId="3B475AC2">
      <w:pPr>
        <w:ind w:firstLine="420" w:firstLineChars="200"/>
        <w:rPr>
          <w:rFonts w:hint="eastAsia" w:ascii="宋体" w:hAnsi="宋体" w:eastAsia="宋体"/>
          <w:kern w:val="0"/>
          <w:szCs w:val="21"/>
        </w:rPr>
      </w:pPr>
      <w:r>
        <w:rPr>
          <w:rFonts w:hint="eastAsia" w:ascii="宋体" w:hAnsi="宋体" w:eastAsia="宋体"/>
          <w:kern w:val="0"/>
          <w:szCs w:val="21"/>
        </w:rPr>
        <w:t>待分析部件的孔隙或表面存在含碳物质会干扰碳含量的测定，见表</w:t>
      </w:r>
      <w:r>
        <w:rPr>
          <w:rFonts w:ascii="宋体" w:hAnsi="宋体" w:eastAsia="宋体"/>
          <w:kern w:val="0"/>
          <w:szCs w:val="21"/>
        </w:rPr>
        <w:t>2</w:t>
      </w:r>
      <w:r>
        <w:rPr>
          <w:rFonts w:hint="eastAsia" w:ascii="宋体" w:hAnsi="宋体" w:eastAsia="宋体"/>
          <w:kern w:val="0"/>
          <w:szCs w:val="21"/>
        </w:rPr>
        <w:t>。</w:t>
      </w:r>
    </w:p>
    <w:p w14:paraId="3B7194F3">
      <w:pPr>
        <w:pStyle w:val="5"/>
        <w:jc w:val="center"/>
        <w:rPr>
          <w:rFonts w:ascii="黑体" w:hAnsi="Times New Roman" w:eastAsia="黑体" w:cs="Times New Roman"/>
          <w:b w:val="0"/>
          <w:bCs w:val="0"/>
          <w:kern w:val="0"/>
          <w:sz w:val="21"/>
          <w:szCs w:val="20"/>
        </w:rPr>
      </w:pPr>
      <w:r>
        <w:rPr>
          <w:rFonts w:hint="eastAsia" w:ascii="黑体" w:hAnsi="Times New Roman" w:eastAsia="黑体" w:cs="Times New Roman"/>
          <w:b w:val="0"/>
          <w:bCs w:val="0"/>
          <w:kern w:val="0"/>
          <w:sz w:val="21"/>
          <w:szCs w:val="20"/>
        </w:rPr>
        <w:t>表</w:t>
      </w:r>
      <w:r>
        <w:rPr>
          <w:rFonts w:ascii="黑体" w:hAnsi="Times New Roman" w:eastAsia="黑体" w:cs="Times New Roman"/>
          <w:b w:val="0"/>
          <w:bCs w:val="0"/>
          <w:kern w:val="0"/>
          <w:sz w:val="21"/>
          <w:szCs w:val="20"/>
        </w:rPr>
        <w:t>2</w:t>
      </w:r>
      <w:r>
        <w:rPr>
          <w:rFonts w:hint="eastAsia" w:ascii="黑体" w:hAnsi="Times New Roman" w:eastAsia="黑体" w:cs="Times New Roman"/>
          <w:b w:val="0"/>
          <w:bCs w:val="0"/>
          <w:kern w:val="0"/>
          <w:sz w:val="21"/>
          <w:szCs w:val="20"/>
        </w:rPr>
        <w:t>含碳物质</w:t>
      </w:r>
      <w:r>
        <w:rPr>
          <w:rFonts w:ascii="黑体" w:hAnsi="Times New Roman" w:eastAsia="黑体" w:cs="Times New Roman"/>
          <w:b w:val="0"/>
          <w:bCs w:val="0"/>
          <w:kern w:val="0"/>
          <w:sz w:val="21"/>
          <w:szCs w:val="20"/>
        </w:rPr>
        <w:t>的来源和采用化学方法测定碳</w:t>
      </w:r>
      <w:r>
        <w:rPr>
          <w:rFonts w:hint="eastAsia" w:ascii="黑体" w:hAnsi="Times New Roman" w:eastAsia="黑体" w:cs="Times New Roman"/>
          <w:b w:val="0"/>
          <w:bCs w:val="0"/>
          <w:kern w:val="0"/>
          <w:sz w:val="21"/>
          <w:szCs w:val="20"/>
        </w:rPr>
        <w:t>含量</w:t>
      </w:r>
      <w:r>
        <w:rPr>
          <w:rFonts w:ascii="黑体" w:hAnsi="Times New Roman" w:eastAsia="黑体" w:cs="Times New Roman"/>
          <w:b w:val="0"/>
          <w:bCs w:val="0"/>
          <w:kern w:val="0"/>
          <w:sz w:val="21"/>
          <w:szCs w:val="20"/>
        </w:rPr>
        <w:t>的可行性</w:t>
      </w:r>
    </w:p>
    <w:tbl>
      <w:tblPr>
        <w:tblStyle w:val="8"/>
        <w:tblW w:w="0" w:type="auto"/>
        <w:tblInd w:w="1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3161"/>
        <w:gridCol w:w="2309"/>
        <w:gridCol w:w="2110"/>
      </w:tblGrid>
      <w:tr w14:paraId="27EE5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5" w:type="dxa"/>
            <w:vAlign w:val="center"/>
          </w:tcPr>
          <w:p w14:paraId="0F6C0B44">
            <w:pPr>
              <w:ind w:left="-90"/>
              <w:jc w:val="center"/>
              <w:rPr>
                <w:rFonts w:hint="eastAsia" w:ascii="新宋体" w:hAnsi="新宋体" w:eastAsia="新宋体"/>
                <w:kern w:val="0"/>
                <w:szCs w:val="21"/>
              </w:rPr>
            </w:pPr>
            <w:r>
              <w:rPr>
                <w:rFonts w:hint="eastAsia" w:ascii="新宋体" w:hAnsi="新宋体" w:eastAsia="新宋体"/>
                <w:kern w:val="0"/>
                <w:szCs w:val="21"/>
              </w:rPr>
              <w:t>序号</w:t>
            </w:r>
          </w:p>
        </w:tc>
        <w:tc>
          <w:tcPr>
            <w:tcW w:w="3161" w:type="dxa"/>
            <w:vAlign w:val="center"/>
          </w:tcPr>
          <w:p w14:paraId="3EF8F324">
            <w:pPr>
              <w:ind w:left="-90"/>
              <w:jc w:val="center"/>
              <w:rPr>
                <w:rFonts w:hint="eastAsia" w:ascii="新宋体" w:hAnsi="新宋体" w:eastAsia="新宋体"/>
                <w:kern w:val="0"/>
                <w:szCs w:val="21"/>
              </w:rPr>
            </w:pPr>
            <w:r>
              <w:rPr>
                <w:rFonts w:hint="eastAsia" w:ascii="新宋体" w:hAnsi="新宋体" w:eastAsia="新宋体"/>
                <w:kern w:val="0"/>
                <w:szCs w:val="21"/>
              </w:rPr>
              <w:t>含碳物质</w:t>
            </w:r>
          </w:p>
        </w:tc>
        <w:tc>
          <w:tcPr>
            <w:tcW w:w="2309" w:type="dxa"/>
            <w:vAlign w:val="center"/>
          </w:tcPr>
          <w:p w14:paraId="6F9471D5">
            <w:pPr>
              <w:ind w:left="-90"/>
              <w:jc w:val="center"/>
              <w:rPr>
                <w:rFonts w:hint="eastAsia" w:ascii="新宋体" w:hAnsi="新宋体" w:eastAsia="新宋体"/>
                <w:kern w:val="0"/>
                <w:szCs w:val="21"/>
              </w:rPr>
            </w:pPr>
            <w:r>
              <w:rPr>
                <w:rFonts w:ascii="新宋体" w:hAnsi="新宋体" w:eastAsia="新宋体"/>
                <w:kern w:val="0"/>
                <w:szCs w:val="21"/>
              </w:rPr>
              <w:t>来源</w:t>
            </w:r>
          </w:p>
        </w:tc>
        <w:tc>
          <w:tcPr>
            <w:tcW w:w="2110" w:type="dxa"/>
            <w:vAlign w:val="center"/>
          </w:tcPr>
          <w:p w14:paraId="2CDFFCB4">
            <w:pPr>
              <w:ind w:left="-90"/>
              <w:jc w:val="center"/>
              <w:rPr>
                <w:rFonts w:hint="eastAsia" w:ascii="新宋体" w:hAnsi="新宋体" w:eastAsia="新宋体"/>
                <w:kern w:val="0"/>
                <w:szCs w:val="21"/>
              </w:rPr>
            </w:pPr>
            <w:r>
              <w:rPr>
                <w:rFonts w:ascii="新宋体" w:hAnsi="新宋体" w:eastAsia="新宋体"/>
                <w:kern w:val="0"/>
                <w:szCs w:val="21"/>
              </w:rPr>
              <w:t>可行性</w:t>
            </w:r>
          </w:p>
        </w:tc>
      </w:tr>
      <w:tr w14:paraId="599C9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765" w:type="dxa"/>
            <w:vAlign w:val="center"/>
          </w:tcPr>
          <w:p w14:paraId="7D863A96">
            <w:pPr>
              <w:ind w:left="-90"/>
              <w:jc w:val="center"/>
              <w:rPr>
                <w:rFonts w:hint="eastAsia" w:ascii="新宋体" w:hAnsi="新宋体" w:eastAsia="新宋体"/>
                <w:kern w:val="0"/>
                <w:szCs w:val="21"/>
              </w:rPr>
            </w:pPr>
            <w:r>
              <w:rPr>
                <w:rFonts w:hint="eastAsia" w:ascii="新宋体" w:hAnsi="新宋体" w:eastAsia="新宋体"/>
                <w:kern w:val="0"/>
                <w:szCs w:val="21"/>
              </w:rPr>
              <w:t>1</w:t>
            </w:r>
          </w:p>
        </w:tc>
        <w:tc>
          <w:tcPr>
            <w:tcW w:w="3161" w:type="dxa"/>
            <w:vAlign w:val="center"/>
          </w:tcPr>
          <w:p w14:paraId="21828D72">
            <w:pPr>
              <w:ind w:left="-90"/>
              <w:jc w:val="center"/>
              <w:rPr>
                <w:rFonts w:hint="eastAsia" w:ascii="新宋体" w:hAnsi="新宋体" w:eastAsia="新宋体"/>
                <w:kern w:val="0"/>
                <w:szCs w:val="21"/>
              </w:rPr>
            </w:pPr>
            <w:r>
              <w:rPr>
                <w:rFonts w:ascii="新宋体" w:hAnsi="新宋体" w:eastAsia="新宋体"/>
                <w:kern w:val="0"/>
                <w:szCs w:val="21"/>
              </w:rPr>
              <w:t>表面或孔隙</w:t>
            </w:r>
            <w:r>
              <w:rPr>
                <w:rFonts w:hint="eastAsia" w:ascii="新宋体" w:hAnsi="新宋体" w:eastAsia="新宋体"/>
                <w:kern w:val="0"/>
                <w:szCs w:val="21"/>
              </w:rPr>
              <w:t>内</w:t>
            </w:r>
            <w:r>
              <w:rPr>
                <w:rFonts w:ascii="新宋体" w:hAnsi="新宋体" w:eastAsia="新宋体"/>
                <w:kern w:val="0"/>
                <w:szCs w:val="21"/>
              </w:rPr>
              <w:t>的液</w:t>
            </w:r>
            <w:r>
              <w:rPr>
                <w:rFonts w:hint="eastAsia" w:ascii="新宋体" w:hAnsi="新宋体" w:eastAsia="新宋体"/>
                <w:kern w:val="0"/>
                <w:szCs w:val="21"/>
              </w:rPr>
              <w:t>态</w:t>
            </w:r>
            <w:r>
              <w:rPr>
                <w:rFonts w:ascii="新宋体" w:hAnsi="新宋体" w:eastAsia="新宋体"/>
                <w:kern w:val="0"/>
                <w:szCs w:val="21"/>
              </w:rPr>
              <w:t>或半液</w:t>
            </w:r>
            <w:r>
              <w:rPr>
                <w:rFonts w:hint="eastAsia" w:ascii="新宋体" w:hAnsi="新宋体" w:eastAsia="新宋体"/>
                <w:kern w:val="0"/>
                <w:szCs w:val="21"/>
              </w:rPr>
              <w:t>态</w:t>
            </w:r>
            <w:r>
              <w:rPr>
                <w:rFonts w:ascii="新宋体" w:hAnsi="新宋体" w:eastAsia="新宋体"/>
                <w:kern w:val="0"/>
                <w:szCs w:val="21"/>
              </w:rPr>
              <w:t>有机物</w:t>
            </w:r>
          </w:p>
        </w:tc>
        <w:tc>
          <w:tcPr>
            <w:tcW w:w="2309" w:type="dxa"/>
            <w:vAlign w:val="center"/>
          </w:tcPr>
          <w:p w14:paraId="2879191F">
            <w:pPr>
              <w:ind w:left="-90"/>
              <w:jc w:val="center"/>
              <w:rPr>
                <w:rFonts w:hint="eastAsia" w:ascii="新宋体" w:hAnsi="新宋体" w:eastAsia="新宋体"/>
                <w:kern w:val="0"/>
                <w:szCs w:val="21"/>
              </w:rPr>
            </w:pPr>
            <w:r>
              <w:rPr>
                <w:rFonts w:hint="eastAsia" w:ascii="新宋体" w:hAnsi="新宋体" w:eastAsia="新宋体"/>
                <w:color w:val="auto"/>
                <w:kern w:val="0"/>
                <w:szCs w:val="21"/>
              </w:rPr>
              <w:t>精整</w:t>
            </w:r>
            <w:r>
              <w:rPr>
                <w:rFonts w:hint="eastAsia" w:ascii="新宋体" w:hAnsi="新宋体" w:eastAsia="新宋体"/>
                <w:kern w:val="0"/>
                <w:szCs w:val="21"/>
              </w:rPr>
              <w:t>润滑剂，淬火油，浸渍润滑剂，切削液，润滑油</w:t>
            </w:r>
          </w:p>
        </w:tc>
        <w:tc>
          <w:tcPr>
            <w:tcW w:w="2110" w:type="dxa"/>
            <w:vMerge w:val="restart"/>
            <w:vAlign w:val="center"/>
          </w:tcPr>
          <w:p w14:paraId="48C57169">
            <w:pPr>
              <w:ind w:left="-90"/>
              <w:jc w:val="center"/>
              <w:rPr>
                <w:rFonts w:hint="eastAsia" w:ascii="新宋体" w:hAnsi="新宋体" w:eastAsia="新宋体"/>
                <w:kern w:val="0"/>
                <w:szCs w:val="21"/>
              </w:rPr>
            </w:pPr>
            <w:r>
              <w:rPr>
                <w:rFonts w:hint="eastAsia" w:ascii="新宋体" w:hAnsi="新宋体" w:eastAsia="新宋体"/>
                <w:kern w:val="0"/>
                <w:szCs w:val="21"/>
              </w:rPr>
              <w:t>只有通过第6</w:t>
            </w:r>
            <w:r>
              <w:rPr>
                <w:rFonts w:ascii="新宋体" w:hAnsi="新宋体" w:eastAsia="新宋体"/>
                <w:kern w:val="0"/>
                <w:szCs w:val="21"/>
              </w:rPr>
              <w:t>条所述方法</w:t>
            </w:r>
            <w:r>
              <w:rPr>
                <w:rFonts w:hint="eastAsia" w:ascii="新宋体" w:hAnsi="新宋体" w:eastAsia="新宋体"/>
                <w:kern w:val="0"/>
                <w:szCs w:val="21"/>
              </w:rPr>
              <w:t>将这些有机物</w:t>
            </w:r>
            <w:r>
              <w:rPr>
                <w:rFonts w:ascii="新宋体" w:hAnsi="新宋体" w:eastAsia="新宋体"/>
                <w:kern w:val="0"/>
                <w:szCs w:val="21"/>
              </w:rPr>
              <w:t>完全</w:t>
            </w:r>
            <w:r>
              <w:rPr>
                <w:rFonts w:hint="eastAsia" w:ascii="新宋体" w:hAnsi="新宋体" w:eastAsia="新宋体"/>
                <w:kern w:val="0"/>
                <w:szCs w:val="21"/>
              </w:rPr>
              <w:t>去除</w:t>
            </w:r>
            <w:r>
              <w:rPr>
                <w:rFonts w:ascii="新宋体" w:hAnsi="新宋体" w:eastAsia="新宋体"/>
                <w:kern w:val="0"/>
                <w:szCs w:val="21"/>
              </w:rPr>
              <w:t>，才能测定碳</w:t>
            </w:r>
            <w:r>
              <w:rPr>
                <w:rFonts w:hint="eastAsia" w:ascii="新宋体" w:hAnsi="新宋体" w:eastAsia="新宋体"/>
                <w:kern w:val="0"/>
                <w:szCs w:val="21"/>
              </w:rPr>
              <w:t>含量</w:t>
            </w:r>
          </w:p>
        </w:tc>
      </w:tr>
      <w:tr w14:paraId="5E6E1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5" w:type="dxa"/>
            <w:vAlign w:val="center"/>
          </w:tcPr>
          <w:p w14:paraId="675983E9">
            <w:pPr>
              <w:ind w:left="-90"/>
              <w:jc w:val="center"/>
              <w:rPr>
                <w:rFonts w:hint="eastAsia" w:ascii="新宋体" w:hAnsi="新宋体" w:eastAsia="新宋体"/>
                <w:kern w:val="0"/>
                <w:szCs w:val="21"/>
              </w:rPr>
            </w:pPr>
            <w:r>
              <w:rPr>
                <w:rFonts w:hint="eastAsia" w:ascii="新宋体" w:hAnsi="新宋体" w:eastAsia="新宋体"/>
                <w:kern w:val="0"/>
                <w:szCs w:val="21"/>
              </w:rPr>
              <w:t>2</w:t>
            </w:r>
          </w:p>
        </w:tc>
        <w:tc>
          <w:tcPr>
            <w:tcW w:w="3161" w:type="dxa"/>
            <w:vAlign w:val="center"/>
          </w:tcPr>
          <w:p w14:paraId="70266239">
            <w:pPr>
              <w:ind w:left="-90"/>
              <w:jc w:val="center"/>
              <w:rPr>
                <w:rFonts w:hint="eastAsia" w:ascii="新宋体" w:hAnsi="新宋体" w:eastAsia="新宋体"/>
                <w:kern w:val="0"/>
                <w:szCs w:val="21"/>
              </w:rPr>
            </w:pPr>
            <w:r>
              <w:rPr>
                <w:rFonts w:hint="eastAsia" w:ascii="新宋体" w:hAnsi="新宋体" w:eastAsia="新宋体"/>
                <w:kern w:val="0"/>
                <w:szCs w:val="21"/>
              </w:rPr>
              <w:t>蜡和蜡样物质</w:t>
            </w:r>
          </w:p>
        </w:tc>
        <w:tc>
          <w:tcPr>
            <w:tcW w:w="2309" w:type="dxa"/>
            <w:vAlign w:val="center"/>
          </w:tcPr>
          <w:p w14:paraId="0B932A15">
            <w:pPr>
              <w:ind w:left="-90"/>
              <w:jc w:val="center"/>
              <w:rPr>
                <w:rFonts w:hint="eastAsia" w:ascii="新宋体" w:hAnsi="新宋体" w:eastAsia="新宋体"/>
                <w:kern w:val="0"/>
                <w:szCs w:val="21"/>
              </w:rPr>
            </w:pPr>
            <w:r>
              <w:rPr>
                <w:rFonts w:hint="eastAsia" w:ascii="新宋体" w:hAnsi="新宋体" w:eastAsia="新宋体"/>
                <w:color w:val="auto"/>
                <w:kern w:val="0"/>
                <w:szCs w:val="21"/>
              </w:rPr>
              <w:t>精整</w:t>
            </w:r>
            <w:r>
              <w:rPr>
                <w:rFonts w:hint="eastAsia" w:ascii="新宋体" w:hAnsi="新宋体" w:eastAsia="新宋体"/>
                <w:kern w:val="0"/>
                <w:szCs w:val="21"/>
              </w:rPr>
              <w:t>润滑剂</w:t>
            </w:r>
            <w:r>
              <w:rPr>
                <w:rFonts w:ascii="新宋体" w:hAnsi="新宋体" w:eastAsia="新宋体"/>
                <w:kern w:val="0"/>
                <w:szCs w:val="21"/>
              </w:rPr>
              <w:t>,</w:t>
            </w:r>
            <w:r>
              <w:rPr>
                <w:rFonts w:hint="eastAsia" w:ascii="新宋体" w:hAnsi="新宋体" w:eastAsia="新宋体"/>
                <w:kern w:val="0"/>
                <w:szCs w:val="21"/>
              </w:rPr>
              <w:t>防</w:t>
            </w:r>
            <w:r>
              <w:rPr>
                <w:rFonts w:ascii="新宋体" w:hAnsi="新宋体" w:eastAsia="新宋体"/>
                <w:kern w:val="0"/>
                <w:szCs w:val="21"/>
              </w:rPr>
              <w:t>腐蚀</w:t>
            </w:r>
            <w:r>
              <w:rPr>
                <w:rFonts w:hint="eastAsia" w:ascii="新宋体" w:hAnsi="新宋体" w:eastAsia="新宋体"/>
                <w:kern w:val="0"/>
                <w:szCs w:val="21"/>
              </w:rPr>
              <w:t>剂</w:t>
            </w:r>
          </w:p>
        </w:tc>
        <w:tc>
          <w:tcPr>
            <w:tcW w:w="2110" w:type="dxa"/>
            <w:vMerge w:val="continue"/>
            <w:vAlign w:val="center"/>
          </w:tcPr>
          <w:p w14:paraId="27C22765">
            <w:pPr>
              <w:ind w:left="-90"/>
              <w:jc w:val="center"/>
              <w:rPr>
                <w:rFonts w:hint="eastAsia" w:ascii="新宋体" w:hAnsi="新宋体" w:eastAsia="新宋体"/>
                <w:kern w:val="0"/>
                <w:szCs w:val="21"/>
              </w:rPr>
            </w:pPr>
          </w:p>
        </w:tc>
      </w:tr>
      <w:tr w14:paraId="36229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65" w:type="dxa"/>
            <w:vAlign w:val="center"/>
          </w:tcPr>
          <w:p w14:paraId="407F9A24">
            <w:pPr>
              <w:ind w:left="-90"/>
              <w:jc w:val="center"/>
              <w:rPr>
                <w:rFonts w:hint="eastAsia" w:ascii="新宋体" w:hAnsi="新宋体" w:eastAsia="新宋体"/>
                <w:kern w:val="0"/>
                <w:szCs w:val="21"/>
              </w:rPr>
            </w:pPr>
            <w:r>
              <w:rPr>
                <w:rFonts w:hint="eastAsia" w:ascii="新宋体" w:hAnsi="新宋体" w:eastAsia="新宋体"/>
                <w:kern w:val="0"/>
                <w:szCs w:val="21"/>
              </w:rPr>
              <w:t>3</w:t>
            </w:r>
          </w:p>
        </w:tc>
        <w:tc>
          <w:tcPr>
            <w:tcW w:w="3161" w:type="dxa"/>
            <w:vAlign w:val="center"/>
          </w:tcPr>
          <w:p w14:paraId="7A493C61">
            <w:pPr>
              <w:ind w:left="-90"/>
              <w:jc w:val="center"/>
              <w:rPr>
                <w:rFonts w:hint="eastAsia" w:ascii="新宋体" w:hAnsi="新宋体" w:eastAsia="新宋体"/>
                <w:kern w:val="0"/>
                <w:szCs w:val="21"/>
              </w:rPr>
            </w:pPr>
            <w:r>
              <w:rPr>
                <w:rFonts w:hint="eastAsia" w:ascii="新宋体" w:hAnsi="新宋体" w:eastAsia="新宋体"/>
                <w:kern w:val="0"/>
                <w:szCs w:val="21"/>
              </w:rPr>
              <w:t>部件上的碳沉积物</w:t>
            </w:r>
          </w:p>
        </w:tc>
        <w:tc>
          <w:tcPr>
            <w:tcW w:w="2309" w:type="dxa"/>
            <w:vAlign w:val="center"/>
          </w:tcPr>
          <w:p w14:paraId="669E4541">
            <w:pPr>
              <w:ind w:left="-90"/>
              <w:jc w:val="center"/>
              <w:rPr>
                <w:rFonts w:hint="eastAsia" w:ascii="新宋体" w:hAnsi="新宋体" w:eastAsia="新宋体"/>
                <w:kern w:val="0"/>
                <w:szCs w:val="21"/>
              </w:rPr>
            </w:pPr>
            <w:r>
              <w:rPr>
                <w:rFonts w:hint="eastAsia" w:ascii="新宋体" w:hAnsi="新宋体" w:eastAsia="新宋体"/>
                <w:kern w:val="0"/>
                <w:szCs w:val="21"/>
              </w:rPr>
              <w:t>烧结、热处理</w:t>
            </w:r>
          </w:p>
        </w:tc>
        <w:tc>
          <w:tcPr>
            <w:tcW w:w="2110" w:type="dxa"/>
            <w:vMerge w:val="continue"/>
            <w:vAlign w:val="center"/>
          </w:tcPr>
          <w:p w14:paraId="60D3BDBB">
            <w:pPr>
              <w:ind w:left="-90"/>
              <w:jc w:val="center"/>
              <w:rPr>
                <w:rFonts w:hint="eastAsia" w:ascii="新宋体" w:hAnsi="新宋体" w:eastAsia="新宋体"/>
                <w:kern w:val="0"/>
                <w:szCs w:val="21"/>
              </w:rPr>
            </w:pPr>
          </w:p>
        </w:tc>
      </w:tr>
      <w:tr w14:paraId="18A5E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65" w:type="dxa"/>
            <w:vAlign w:val="center"/>
          </w:tcPr>
          <w:p w14:paraId="680AECE6">
            <w:pPr>
              <w:ind w:left="-90"/>
              <w:jc w:val="center"/>
              <w:rPr>
                <w:rFonts w:hint="eastAsia" w:ascii="新宋体" w:hAnsi="新宋体" w:eastAsia="新宋体"/>
                <w:kern w:val="0"/>
                <w:szCs w:val="21"/>
              </w:rPr>
            </w:pPr>
            <w:r>
              <w:rPr>
                <w:rFonts w:hint="eastAsia" w:ascii="新宋体" w:hAnsi="新宋体" w:eastAsia="新宋体"/>
                <w:kern w:val="0"/>
                <w:szCs w:val="21"/>
              </w:rPr>
              <w:t>4</w:t>
            </w:r>
          </w:p>
        </w:tc>
        <w:tc>
          <w:tcPr>
            <w:tcW w:w="3161" w:type="dxa"/>
            <w:vAlign w:val="center"/>
          </w:tcPr>
          <w:p w14:paraId="062F1F75">
            <w:pPr>
              <w:ind w:left="-90"/>
              <w:jc w:val="center"/>
              <w:rPr>
                <w:rFonts w:hint="eastAsia" w:ascii="新宋体" w:hAnsi="新宋体" w:eastAsia="新宋体"/>
                <w:kern w:val="0"/>
                <w:szCs w:val="21"/>
              </w:rPr>
            </w:pPr>
            <w:r>
              <w:rPr>
                <w:rFonts w:hint="eastAsia" w:ascii="新宋体" w:hAnsi="新宋体" w:eastAsia="新宋体"/>
                <w:kern w:val="0"/>
                <w:szCs w:val="21"/>
              </w:rPr>
              <w:t>固体有机物，如表面或孔隙中的塑料材料</w:t>
            </w:r>
          </w:p>
        </w:tc>
        <w:tc>
          <w:tcPr>
            <w:tcW w:w="2309" w:type="dxa"/>
            <w:vAlign w:val="center"/>
          </w:tcPr>
          <w:p w14:paraId="58D66E32">
            <w:pPr>
              <w:ind w:left="-90"/>
              <w:jc w:val="center"/>
              <w:rPr>
                <w:rFonts w:hint="eastAsia" w:ascii="新宋体" w:hAnsi="新宋体" w:eastAsia="新宋体"/>
                <w:kern w:val="0"/>
                <w:szCs w:val="21"/>
              </w:rPr>
            </w:pPr>
            <w:r>
              <w:rPr>
                <w:rFonts w:hint="eastAsia" w:ascii="新宋体" w:hAnsi="新宋体" w:eastAsia="新宋体"/>
                <w:kern w:val="0"/>
                <w:szCs w:val="21"/>
              </w:rPr>
              <w:t>密封材料</w:t>
            </w:r>
          </w:p>
        </w:tc>
        <w:tc>
          <w:tcPr>
            <w:tcW w:w="2110" w:type="dxa"/>
            <w:vAlign w:val="center"/>
          </w:tcPr>
          <w:p w14:paraId="354E51D3">
            <w:pPr>
              <w:ind w:left="-90"/>
              <w:jc w:val="center"/>
              <w:rPr>
                <w:rFonts w:hint="eastAsia" w:ascii="新宋体" w:hAnsi="新宋体" w:eastAsia="新宋体"/>
                <w:kern w:val="0"/>
                <w:szCs w:val="21"/>
              </w:rPr>
            </w:pPr>
            <w:r>
              <w:rPr>
                <w:rFonts w:hint="eastAsia" w:ascii="新宋体" w:hAnsi="新宋体" w:eastAsia="新宋体"/>
                <w:kern w:val="0"/>
                <w:szCs w:val="21"/>
              </w:rPr>
              <w:t>一般不可能消除这些物质，并且无法测定碳含量</w:t>
            </w:r>
          </w:p>
        </w:tc>
      </w:tr>
    </w:tbl>
    <w:p w14:paraId="2FACA116">
      <w:pPr>
        <w:pStyle w:val="22"/>
        <w:spacing w:before="312" w:beforeLines="100" w:after="312" w:afterLines="100"/>
      </w:pPr>
      <w:r>
        <w:rPr>
          <w:rFonts w:hint="eastAsia"/>
        </w:rPr>
        <w:t>6  试验</w:t>
      </w:r>
      <w:r>
        <w:t>步骤</w:t>
      </w:r>
    </w:p>
    <w:p w14:paraId="0CAC83F7">
      <w:pPr>
        <w:pStyle w:val="22"/>
        <w:spacing w:before="312" w:beforeLines="100" w:after="312" w:afterLines="100"/>
      </w:pPr>
      <w:r>
        <w:rPr>
          <w:rFonts w:hint="eastAsia"/>
        </w:rPr>
        <w:t>6</w:t>
      </w:r>
      <w:r>
        <w:t>.1</w:t>
      </w:r>
      <w:r>
        <w:rPr>
          <w:rFonts w:hint="eastAsia"/>
        </w:rPr>
        <w:t xml:space="preserve">  去除</w:t>
      </w:r>
      <w:r>
        <w:t>干扰</w:t>
      </w:r>
      <w:r>
        <w:rPr>
          <w:rFonts w:hint="eastAsia"/>
        </w:rPr>
        <w:t>性含碳物质</w:t>
      </w:r>
    </w:p>
    <w:p w14:paraId="7A2C808B">
      <w:pPr>
        <w:pStyle w:val="23"/>
        <w:ind w:left="0" w:firstLine="0" w:firstLineChars="0"/>
        <w:rPr>
          <w:rFonts w:ascii="宋体" w:hAnsi="宋体"/>
          <w:kern w:val="0"/>
          <w:szCs w:val="21"/>
        </w:rPr>
      </w:pPr>
      <w:r>
        <w:rPr>
          <w:rFonts w:hint="eastAsia" w:ascii="Times New Roman" w:hAnsi="Times New Roman" w:eastAsia="黑体"/>
        </w:rPr>
        <w:t>6</w:t>
      </w:r>
      <w:r>
        <w:rPr>
          <w:rFonts w:ascii="Times New Roman" w:hAnsi="Times New Roman" w:eastAsia="黑体"/>
        </w:rPr>
        <w:t>.1.1</w:t>
      </w:r>
      <w:r>
        <w:rPr>
          <w:rFonts w:hint="eastAsia" w:ascii="Times New Roman" w:hAnsi="Times New Roman" w:eastAsia="黑体"/>
        </w:rPr>
        <w:t xml:space="preserve">  </w:t>
      </w:r>
      <w:r>
        <w:rPr>
          <w:rFonts w:hint="eastAsia" w:ascii="宋体" w:hAnsi="宋体"/>
          <w:kern w:val="0"/>
          <w:szCs w:val="21"/>
        </w:rPr>
        <w:t>总则</w:t>
      </w:r>
    </w:p>
    <w:p w14:paraId="514F4C55">
      <w:pPr>
        <w:pStyle w:val="23"/>
        <w:ind w:left="0" w:firstLine="0" w:firstLineChars="0"/>
        <w:rPr>
          <w:rFonts w:hint="eastAsia" w:ascii="宋体" w:hAnsi="宋体"/>
          <w:kern w:val="0"/>
          <w:szCs w:val="21"/>
        </w:rPr>
      </w:pPr>
      <w:r>
        <w:rPr>
          <w:rFonts w:hint="eastAsia" w:ascii="宋体" w:hAnsi="宋体"/>
          <w:kern w:val="0"/>
          <w:szCs w:val="21"/>
        </w:rPr>
        <w:t>影响碳含量测定的含碳物质（见表2）应按6.1.2和6.1.3从待分析的部件中去除。</w:t>
      </w:r>
    </w:p>
    <w:p w14:paraId="6A303C28">
      <w:pPr>
        <w:rPr>
          <w:rFonts w:hint="eastAsia" w:ascii="宋体" w:hAnsi="宋体" w:eastAsia="宋体"/>
          <w:kern w:val="0"/>
          <w:szCs w:val="21"/>
        </w:rPr>
      </w:pPr>
      <w:r>
        <w:rPr>
          <w:rFonts w:hint="eastAsia" w:ascii="Times New Roman" w:hAnsi="Times New Roman" w:eastAsia="黑体" w:cs="Times New Roman"/>
        </w:rPr>
        <w:t>6</w:t>
      </w:r>
      <w:r>
        <w:rPr>
          <w:rFonts w:ascii="Times New Roman" w:hAnsi="Times New Roman" w:eastAsia="黑体" w:cs="Times New Roman"/>
        </w:rPr>
        <w:t>.1.2</w:t>
      </w:r>
      <w:r>
        <w:rPr>
          <w:rFonts w:hint="eastAsia" w:ascii="黑体" w:hAnsi="Times New Roman" w:eastAsia="黑体" w:cs="Times New Roman"/>
          <w:kern w:val="0"/>
          <w:szCs w:val="20"/>
        </w:rPr>
        <w:t xml:space="preserve">  </w:t>
      </w:r>
      <w:r>
        <w:rPr>
          <w:rFonts w:hint="eastAsia" w:ascii="宋体" w:hAnsi="宋体" w:eastAsia="宋体"/>
          <w:kern w:val="0"/>
          <w:szCs w:val="21"/>
        </w:rPr>
        <w:t>孔隙或表面渗透的有机物</w:t>
      </w:r>
      <w:r>
        <w:rPr>
          <w:rFonts w:ascii="宋体" w:hAnsi="宋体" w:eastAsia="宋体"/>
          <w:kern w:val="0"/>
          <w:szCs w:val="21"/>
        </w:rPr>
        <w:t>(见表2中的情况1和2)应按照ISO 2738</w:t>
      </w:r>
      <w:r>
        <w:rPr>
          <w:rFonts w:hint="eastAsia" w:ascii="宋体" w:hAnsi="宋体" w:eastAsia="宋体"/>
          <w:kern w:val="0"/>
          <w:szCs w:val="21"/>
        </w:rPr>
        <w:t>用适当的溶剂进行</w:t>
      </w:r>
      <w:bookmarkStart w:id="1" w:name="OLE_LINK1"/>
      <w:r>
        <w:rPr>
          <w:rFonts w:hint="eastAsia" w:ascii="宋体" w:hAnsi="宋体" w:eastAsia="宋体"/>
          <w:kern w:val="0"/>
          <w:szCs w:val="21"/>
        </w:rPr>
        <w:t>索氏</w:t>
      </w:r>
      <w:r>
        <w:rPr>
          <w:rFonts w:hint="eastAsia" w:ascii="宋体" w:hAnsi="宋体" w:eastAsia="宋体"/>
          <w:kern w:val="0"/>
          <w:szCs w:val="21"/>
          <w:lang w:val="en-US" w:eastAsia="zh-CN"/>
        </w:rPr>
        <w:t>萃取</w:t>
      </w:r>
      <w:r>
        <w:rPr>
          <w:rFonts w:hint="eastAsia" w:ascii="宋体" w:hAnsi="宋体" w:eastAsia="宋体"/>
          <w:kern w:val="0"/>
          <w:szCs w:val="21"/>
        </w:rPr>
        <w:t>脱脂</w:t>
      </w:r>
      <w:bookmarkEnd w:id="1"/>
      <w:r>
        <w:rPr>
          <w:rFonts w:hint="eastAsia" w:ascii="宋体" w:hAnsi="宋体" w:eastAsia="宋体"/>
          <w:kern w:val="0"/>
          <w:szCs w:val="21"/>
        </w:rPr>
        <w:t>，并</w:t>
      </w:r>
      <w:r>
        <w:rPr>
          <w:rFonts w:ascii="宋体" w:hAnsi="宋体" w:eastAsia="宋体"/>
          <w:kern w:val="0"/>
          <w:szCs w:val="21"/>
        </w:rPr>
        <w:t>注明使用的溶剂。</w:t>
      </w:r>
    </w:p>
    <w:p w14:paraId="5780BE38">
      <w:pPr>
        <w:ind w:firstLine="360" w:firstLineChars="200"/>
        <w:rPr>
          <w:rFonts w:ascii="宋体" w:hAnsi="宋体" w:eastAsia="宋体"/>
          <w:kern w:val="0"/>
          <w:sz w:val="18"/>
          <w:szCs w:val="18"/>
        </w:rPr>
      </w:pPr>
      <w:r>
        <w:rPr>
          <w:rFonts w:ascii="宋体" w:hAnsi="宋体" w:eastAsia="宋体"/>
          <w:kern w:val="0"/>
          <w:sz w:val="18"/>
          <w:szCs w:val="18"/>
        </w:rPr>
        <w:t>注</w:t>
      </w:r>
      <w:r>
        <w:rPr>
          <w:rFonts w:hint="eastAsia" w:ascii="宋体" w:hAnsi="宋体" w:eastAsia="宋体"/>
          <w:kern w:val="0"/>
          <w:sz w:val="18"/>
          <w:szCs w:val="18"/>
        </w:rPr>
        <w:t>：当浸渍液中含有细小碳颗粒，如胶体石墨时，索氏</w:t>
      </w:r>
      <w:r>
        <w:rPr>
          <w:rFonts w:hint="eastAsia" w:ascii="宋体" w:hAnsi="宋体" w:eastAsia="宋体"/>
          <w:kern w:val="0"/>
          <w:sz w:val="18"/>
          <w:szCs w:val="18"/>
          <w:lang w:val="en-US" w:eastAsia="zh-CN"/>
        </w:rPr>
        <w:t>萃取</w:t>
      </w:r>
      <w:bookmarkStart w:id="2" w:name="_GoBack"/>
      <w:bookmarkEnd w:id="2"/>
      <w:r>
        <w:rPr>
          <w:rFonts w:hint="eastAsia" w:ascii="宋体" w:hAnsi="宋体" w:eastAsia="宋体"/>
          <w:kern w:val="0"/>
          <w:sz w:val="18"/>
          <w:szCs w:val="18"/>
        </w:rPr>
        <w:t>脱脂可能无法完全去除这些颗粒。在此情况下，游离碳与总碳的测定结果无效。但如果游离碳和总碳是在脱脂后相同的一个或多个部件上测定的，则化合碳的计算结果仍有效。</w:t>
      </w:r>
    </w:p>
    <w:p w14:paraId="010E5592">
      <w:pPr>
        <w:rPr>
          <w:rFonts w:hint="eastAsia" w:ascii="微软雅黑" w:hAnsi="微软雅黑" w:eastAsia="微软雅黑" w:cs="宋体"/>
          <w:kern w:val="0"/>
          <w:sz w:val="28"/>
          <w:szCs w:val="28"/>
        </w:rPr>
      </w:pPr>
      <w:r>
        <w:rPr>
          <w:rFonts w:hint="eastAsia" w:ascii="Times New Roman" w:hAnsi="Times New Roman" w:eastAsia="黑体" w:cs="Times New Roman"/>
        </w:rPr>
        <w:t>6</w:t>
      </w:r>
      <w:r>
        <w:rPr>
          <w:rFonts w:ascii="Times New Roman" w:hAnsi="Times New Roman" w:eastAsia="黑体" w:cs="Times New Roman"/>
        </w:rPr>
        <w:t>.1.3</w:t>
      </w:r>
      <w:r>
        <w:rPr>
          <w:rFonts w:hint="eastAsia" w:ascii="Times New Roman" w:hAnsi="Times New Roman" w:eastAsia="黑体" w:cs="Times New Roman"/>
        </w:rPr>
        <w:t xml:space="preserve">  </w:t>
      </w:r>
      <w:r>
        <w:rPr>
          <w:rFonts w:hint="eastAsia" w:ascii="宋体" w:hAnsi="宋体" w:eastAsia="宋体"/>
          <w:kern w:val="0"/>
          <w:szCs w:val="21"/>
        </w:rPr>
        <w:t>表面的碳沉积物</w:t>
      </w:r>
      <w:r>
        <w:rPr>
          <w:rFonts w:ascii="宋体" w:hAnsi="宋体" w:eastAsia="宋体"/>
          <w:kern w:val="0"/>
          <w:szCs w:val="21"/>
        </w:rPr>
        <w:t>(见表2中的</w:t>
      </w:r>
      <w:r>
        <w:rPr>
          <w:rFonts w:hint="eastAsia" w:ascii="宋体" w:hAnsi="宋体" w:eastAsia="宋体"/>
          <w:kern w:val="0"/>
          <w:szCs w:val="21"/>
        </w:rPr>
        <w:t>情况</w:t>
      </w:r>
      <w:r>
        <w:rPr>
          <w:rFonts w:ascii="宋体" w:hAnsi="宋体" w:eastAsia="宋体"/>
          <w:kern w:val="0"/>
          <w:szCs w:val="21"/>
        </w:rPr>
        <w:t>3)</w:t>
      </w:r>
      <w:r>
        <w:rPr>
          <w:rFonts w:hint="eastAsia" w:ascii="宋体" w:hAnsi="宋体" w:eastAsia="宋体"/>
          <w:kern w:val="0"/>
          <w:szCs w:val="21"/>
        </w:rPr>
        <w:t>应</w:t>
      </w:r>
      <w:r>
        <w:rPr>
          <w:rFonts w:ascii="宋体" w:hAnsi="宋体" w:eastAsia="宋体"/>
          <w:kern w:val="0"/>
          <w:szCs w:val="21"/>
        </w:rPr>
        <w:t>通过机械处理去除。</w:t>
      </w:r>
    </w:p>
    <w:p w14:paraId="1DF572BF">
      <w:pPr>
        <w:pStyle w:val="22"/>
        <w:spacing w:before="312" w:beforeLines="100" w:after="312" w:afterLines="100"/>
      </w:pPr>
      <w:r>
        <w:rPr>
          <w:rFonts w:hint="eastAsia"/>
        </w:rPr>
        <w:t>6</w:t>
      </w:r>
      <w:r>
        <w:t>.2</w:t>
      </w:r>
      <w:r>
        <w:rPr>
          <w:rFonts w:hint="eastAsia"/>
        </w:rPr>
        <w:t xml:space="preserve">  </w:t>
      </w:r>
      <w:r>
        <w:t>最</w:t>
      </w:r>
      <w:r>
        <w:rPr>
          <w:rFonts w:hint="eastAsia"/>
        </w:rPr>
        <w:t>终制备</w:t>
      </w:r>
    </w:p>
    <w:p w14:paraId="6C3FBF69">
      <w:pPr>
        <w:ind w:firstLine="420" w:firstLineChars="200"/>
        <w:rPr>
          <w:rFonts w:hint="eastAsia" w:ascii="宋体" w:hAnsi="宋体" w:eastAsia="宋体"/>
          <w:kern w:val="0"/>
          <w:szCs w:val="21"/>
        </w:rPr>
      </w:pPr>
      <w:r>
        <w:rPr>
          <w:rFonts w:hint="eastAsia" w:ascii="宋体" w:hAnsi="宋体" w:eastAsia="宋体"/>
          <w:kern w:val="0"/>
          <w:szCs w:val="21"/>
        </w:rPr>
        <w:t>用于分析的样品应由尺寸适配拟采用分析方法的细小碎屑组成，可通过以下方法之一制备：</w:t>
      </w:r>
    </w:p>
    <w:p w14:paraId="649F030F">
      <w:pPr>
        <w:ind w:firstLine="420" w:firstLineChars="200"/>
        <w:rPr>
          <w:rFonts w:hint="eastAsia" w:ascii="宋体" w:hAnsi="宋体" w:eastAsia="宋体"/>
          <w:kern w:val="0"/>
          <w:szCs w:val="21"/>
        </w:rPr>
      </w:pPr>
      <w:r>
        <w:rPr>
          <w:rFonts w:ascii="宋体" w:hAnsi="宋体" w:eastAsia="宋体"/>
          <w:kern w:val="0"/>
          <w:szCs w:val="21"/>
        </w:rPr>
        <w:t>----在不</w:t>
      </w:r>
      <w:r>
        <w:rPr>
          <w:rFonts w:hint="eastAsia" w:ascii="宋体" w:hAnsi="宋体" w:eastAsia="宋体"/>
          <w:kern w:val="0"/>
          <w:szCs w:val="21"/>
        </w:rPr>
        <w:t>会</w:t>
      </w:r>
      <w:r>
        <w:rPr>
          <w:rFonts w:ascii="宋体" w:hAnsi="宋体" w:eastAsia="宋体"/>
          <w:kern w:val="0"/>
          <w:szCs w:val="21"/>
        </w:rPr>
        <w:t>改变样品成分的材料制成的研钵中粉碎；</w:t>
      </w:r>
    </w:p>
    <w:p w14:paraId="43454BDD">
      <w:pPr>
        <w:ind w:firstLine="420" w:firstLineChars="200"/>
        <w:rPr>
          <w:rFonts w:hint="eastAsia" w:ascii="宋体" w:hAnsi="宋体" w:eastAsia="宋体"/>
          <w:kern w:val="0"/>
          <w:szCs w:val="21"/>
        </w:rPr>
      </w:pPr>
      <w:r>
        <w:rPr>
          <w:rFonts w:hint="eastAsia" w:ascii="宋体" w:hAnsi="宋体" w:eastAsia="宋体"/>
          <w:kern w:val="0"/>
          <w:szCs w:val="21"/>
        </w:rPr>
        <w:t>--</w:t>
      </w:r>
      <w:r>
        <w:rPr>
          <w:rFonts w:ascii="宋体" w:hAnsi="宋体" w:eastAsia="宋体"/>
          <w:kern w:val="0"/>
          <w:szCs w:val="21"/>
        </w:rPr>
        <w:t>--钻孔、铣削或</w:t>
      </w:r>
      <w:r>
        <w:rPr>
          <w:rFonts w:hint="eastAsia" w:ascii="宋体" w:hAnsi="宋体" w:eastAsia="宋体"/>
          <w:kern w:val="0"/>
          <w:szCs w:val="21"/>
        </w:rPr>
        <w:t>车削</w:t>
      </w:r>
      <w:r>
        <w:rPr>
          <w:rFonts w:ascii="宋体" w:hAnsi="宋体" w:eastAsia="宋体"/>
          <w:kern w:val="0"/>
          <w:szCs w:val="21"/>
        </w:rPr>
        <w:t>。</w:t>
      </w:r>
      <w:r>
        <w:rPr>
          <w:rFonts w:hint="eastAsia" w:ascii="宋体" w:hAnsi="宋体" w:eastAsia="宋体"/>
          <w:kern w:val="0"/>
          <w:szCs w:val="21"/>
        </w:rPr>
        <w:t>此类加工需采用硬质合金或陶瓷工具进行干式加工。应注意避免样品过热、氧化及污染。采用钻孔方式时，应将部件完全钻透，且钻孔在部件表面分布均匀；若部件过厚，应从其两侧向中间钻孔。</w:t>
      </w:r>
    </w:p>
    <w:p w14:paraId="547C28F6">
      <w:pPr>
        <w:ind w:firstLine="420" w:firstLineChars="200"/>
        <w:rPr>
          <w:rFonts w:hint="eastAsia" w:ascii="宋体" w:hAnsi="宋体" w:eastAsia="宋体"/>
          <w:kern w:val="0"/>
          <w:szCs w:val="21"/>
        </w:rPr>
      </w:pPr>
      <w:r>
        <w:rPr>
          <w:rFonts w:hint="eastAsia" w:ascii="宋体" w:hAnsi="宋体" w:eastAsia="宋体"/>
          <w:kern w:val="0"/>
          <w:szCs w:val="21"/>
        </w:rPr>
        <w:t>若粉碎或机械加工后的碎屑含有细颗粒（如游离石墨），在处理过程中应注意避免这些颗粒流失。</w:t>
      </w:r>
    </w:p>
    <w:p w14:paraId="3A3C50BD">
      <w:pPr>
        <w:ind w:firstLine="420" w:firstLineChars="200"/>
        <w:rPr>
          <w:rFonts w:hint="eastAsia" w:ascii="宋体" w:hAnsi="宋体" w:eastAsia="宋体"/>
          <w:kern w:val="0"/>
          <w:szCs w:val="21"/>
        </w:rPr>
      </w:pPr>
      <w:r>
        <w:rPr>
          <w:rFonts w:hint="eastAsia" w:ascii="宋体" w:hAnsi="宋体" w:eastAsia="宋体"/>
          <w:kern w:val="0"/>
          <w:szCs w:val="21"/>
        </w:rPr>
        <w:t>若细颗粒难以分离，宜将整个样品分成适量测试份后分别分析，碳含量取各份测试结果的平均值。</w:t>
      </w:r>
    </w:p>
    <w:p w14:paraId="36F247AA">
      <w:pPr>
        <w:ind w:firstLine="420" w:firstLineChars="200"/>
        <w:rPr>
          <w:rFonts w:hint="eastAsia" w:ascii="宋体" w:hAnsi="宋体" w:eastAsia="宋体"/>
          <w:kern w:val="0"/>
          <w:szCs w:val="21"/>
        </w:rPr>
      </w:pPr>
      <w:r>
        <w:rPr>
          <w:rFonts w:hint="eastAsia" w:ascii="宋体" w:hAnsi="宋体" w:eastAsia="宋体"/>
          <w:kern w:val="0"/>
          <w:szCs w:val="21"/>
        </w:rPr>
        <w:t>通常应制备足量的样品，以代表一个或多个部件；待分析样品应密封保存在密闭容器中，以避免污染。</w:t>
      </w:r>
    </w:p>
    <w:p w14:paraId="07B418E8">
      <w:pPr>
        <w:pStyle w:val="22"/>
        <w:spacing w:before="312" w:beforeLines="100" w:after="312" w:afterLines="100"/>
      </w:pPr>
      <w:r>
        <w:rPr>
          <w:rFonts w:hint="eastAsia"/>
        </w:rPr>
        <w:t>7  精密度</w:t>
      </w:r>
    </w:p>
    <w:p w14:paraId="7117184F">
      <w:pPr>
        <w:ind w:firstLine="420" w:firstLineChars="200"/>
        <w:rPr>
          <w:rFonts w:hint="eastAsia"/>
        </w:rPr>
      </w:pPr>
      <w:r>
        <w:rPr>
          <w:rFonts w:hint="eastAsia" w:ascii="宋体" w:hAnsi="宋体" w:eastAsia="宋体"/>
          <w:kern w:val="0"/>
          <w:szCs w:val="21"/>
        </w:rPr>
        <w:t>当按照ISO 2738标准（如6.1.2中所述）进行脱脂处理时，如果在95%的置信水平下，除油后碳含量测定结果的重复性大于5%且再现性大于10%，则该结果被认为可疑。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A813F">
    <w:pPr>
      <w:pStyle w:val="28"/>
      <w:rPr>
        <w:rStyle w:val="10"/>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6"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978FFF">
                          <w:pPr>
                            <w:pStyle w:val="28"/>
                          </w:pPr>
                          <w:r>
                            <w:rPr>
                              <w:rStyle w:val="10"/>
                            </w:rPr>
                            <w:fldChar w:fldCharType="begin"/>
                          </w:r>
                          <w:r>
                            <w:rPr>
                              <w:rStyle w:val="10"/>
                            </w:rPr>
                            <w:instrText xml:space="preserve">PAGE  </w:instrText>
                          </w:r>
                          <w:r>
                            <w:rPr>
                              <w:rStyle w:val="10"/>
                            </w:rPr>
                            <w:fldChar w:fldCharType="separate"/>
                          </w:r>
                          <w:r>
                            <w:rPr>
                              <w:rStyle w:val="10"/>
                            </w:rPr>
                            <w:t>5</w:t>
                          </w:r>
                          <w:r>
                            <w:rPr>
                              <w:rStyle w:val="1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9"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t+nEsAgAAVg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36cSwCAABWBAAADgAAAAAAAAABACAAAAAfAQAAZHJzL2Uyb0RvYy54bWxQSwUGAAAAAAYA&#10;BgBZAQAAvQUAAAAA&#10;">
              <v:fill on="f" focussize="0,0"/>
              <v:stroke on="f" weight="0.5pt"/>
              <v:imagedata o:title=""/>
              <o:lock v:ext="edit" aspectratio="f"/>
              <v:textbox inset="0mm,0mm,0mm,0mm" style="mso-fit-shape-to-text:t;">
                <w:txbxContent>
                  <w:p w14:paraId="6A978FFF">
                    <w:pPr>
                      <w:pStyle w:val="28"/>
                    </w:pPr>
                    <w:r>
                      <w:rPr>
                        <w:rStyle w:val="10"/>
                      </w:rPr>
                      <w:fldChar w:fldCharType="begin"/>
                    </w:r>
                    <w:r>
                      <w:rPr>
                        <w:rStyle w:val="10"/>
                      </w:rPr>
                      <w:instrText xml:space="preserve">PAGE  </w:instrText>
                    </w:r>
                    <w:r>
                      <w:rPr>
                        <w:rStyle w:val="10"/>
                      </w:rPr>
                      <w:fldChar w:fldCharType="separate"/>
                    </w:r>
                    <w:r>
                      <w:rPr>
                        <w:rStyle w:val="10"/>
                      </w:rPr>
                      <w:t>5</w:t>
                    </w:r>
                    <w:r>
                      <w:rPr>
                        <w:rStyle w:val="1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D0385">
    <w:pPr>
      <w:pStyle w:val="6"/>
      <w:rPr>
        <w:rFonts w:hint="eastAsia"/>
      </w:rP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33103844"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E8C21E">
                          <w:pPr>
                            <w:pStyle w:val="6"/>
                            <w:rPr>
                              <w:rFonts w:hint="eastAsia"/>
                            </w:rPr>
                          </w:pPr>
                          <w:r>
                            <w:fldChar w:fldCharType="begin"/>
                          </w:r>
                          <w:r>
                            <w:instrText xml:space="preserve">PAGE   \* MERGEFORMAT</w:instrText>
                          </w:r>
                          <w:r>
                            <w:fldChar w:fldCharType="separate"/>
                          </w:r>
                          <w:r>
                            <w:rPr>
                              <w:lang w:val="zh-CN"/>
                            </w:rPr>
                            <w:t>II</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7"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nllJ7zUCAABeBAAADgAAAAAAAAABACAAAAAfAQAAZHJzL2Uyb0RvYy54bWxQ&#10;SwUGAAAAAAYABgBZAQAAxgUAAAAA&#10;">
              <v:fill on="f" focussize="0,0"/>
              <v:stroke on="f" weight="0.5pt"/>
              <v:imagedata o:title=""/>
              <o:lock v:ext="edit" aspectratio="f"/>
              <v:textbox inset="0mm,0mm,0mm,0mm" style="mso-fit-shape-to-text:t;">
                <w:txbxContent>
                  <w:p w14:paraId="58E8C21E">
                    <w:pPr>
                      <w:pStyle w:val="6"/>
                      <w:rPr>
                        <w:rFonts w:hint="eastAsia"/>
                      </w:rPr>
                    </w:pPr>
                    <w:r>
                      <w:fldChar w:fldCharType="begin"/>
                    </w:r>
                    <w:r>
                      <w:instrText xml:space="preserve">PAGE   \* MERGEFORMAT</w:instrText>
                    </w:r>
                    <w:r>
                      <w:fldChar w:fldCharType="separate"/>
                    </w:r>
                    <w:r>
                      <w:rPr>
                        <w:lang w:val="zh-CN"/>
                      </w:rPr>
                      <w:t>II</w:t>
                    </w:r>
                    <w:r>
                      <w:rPr>
                        <w:lang w:val="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2E257">
    <w:pPr>
      <w:pStyle w:val="6"/>
      <w:rPr>
        <w:rFonts w:hint="eastAsia"/>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57785" cy="131445"/>
              <wp:effectExtent l="0" t="0" r="0" b="0"/>
              <wp:wrapNone/>
              <wp:docPr id="28" name="文本框 8"/>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32405B">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8" o:spid="_x0000_s1026" o:spt="202" type="#_x0000_t202" style="position:absolute;left:0pt;margin-top:0pt;height:10.35pt;width:4.55pt;mso-position-horizontal:outside;mso-position-horizontal-relative:margin;mso-wrap-style:none;z-index:251660288;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rvABY0QAAAAIBAAAPAAAAAAAAAAEAIAAAACIAAABkcnMvZG93bnJldi54bWxQSwECFAAU&#10;AAAACACHTuJAaf+1JDECAABTBAAADgAAAAAAAAABACAAAAAgAQAAZHJzL2Uyb0RvYy54bWxQSwUG&#10;AAAAAAYABgBZAQAAwwUAAAAA&#10;">
              <v:fill on="f" focussize="0,0"/>
              <v:stroke on="f" weight="0.5pt"/>
              <v:imagedata o:title=""/>
              <o:lock v:ext="edit" aspectratio="f"/>
              <v:textbox inset="0mm,0mm,0mm,0mm" style="mso-fit-shape-to-text:t;">
                <w:txbxContent>
                  <w:p w14:paraId="3A32405B">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86E9C">
    <w:pPr>
      <w:pStyle w:val="29"/>
    </w:pPr>
  </w:p>
  <w:p w14:paraId="4C881E27">
    <w:pPr>
      <w:pStyle w:val="29"/>
    </w:pPr>
    <w:r>
      <w:t>GB</w:t>
    </w:r>
    <w:r>
      <w:rPr>
        <w:rFonts w:hint="eastAsia"/>
      </w:rPr>
      <w:t xml:space="preserve">/T </w:t>
    </w:r>
    <w:r>
      <w:t>XXXXX—</w:t>
    </w:r>
    <w:r>
      <w:rPr>
        <w:rFonts w:hint="eastAsia"/>
      </w:rPr>
      <w:t>20</w:t>
    </w:r>
    <w: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7464A">
    <w:pPr>
      <w:pStyle w:val="7"/>
      <w:pBdr>
        <w:bottom w:val="none" w:color="auto" w:sz="0" w:space="1"/>
      </w:pBdr>
      <w:jc w:val="both"/>
      <w:rPr>
        <w:rFonts w:hint="eastAsia" w:ascii="黑体" w:hAnsi="黑体" w:eastAsia="黑体" w:cs="黑体"/>
        <w:bCs/>
        <w:sz w:val="21"/>
        <w:szCs w:val="21"/>
      </w:rPr>
    </w:pPr>
    <w:r>
      <w:rPr>
        <w:rFonts w:hint="eastAsia" w:ascii="黑体" w:hAnsi="黑体" w:eastAsia="黑体" w:cs="黑体"/>
        <w:bCs/>
        <w:sz w:val="21"/>
        <w:szCs w:val="21"/>
        <w:lang w:val="de-DE"/>
      </w:rPr>
      <w:t xml:space="preserve">GB/T XXXX-XXXX/ISO </w:t>
    </w:r>
    <w:r>
      <w:rPr>
        <w:rFonts w:hint="eastAsia" w:ascii="黑体" w:hAnsi="黑体" w:eastAsia="黑体" w:cs="黑体"/>
        <w:bCs/>
        <w:sz w:val="21"/>
        <w:szCs w:val="21"/>
      </w:rPr>
      <w:t>4496:2017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D4F33">
    <w:pPr>
      <w:rPr>
        <w:rFonts w:hint="eastAsia"/>
      </w:rP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EA2025"/>
    <w:multiLevelType w:val="multilevel"/>
    <w:tmpl w:val="6CEA2025"/>
    <w:lvl w:ilvl="0" w:tentative="0">
      <w:start w:val="1"/>
      <w:numFmt w:val="none"/>
      <w:pStyle w:val="17"/>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851"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dkNjVlMGZlN2RiZGVlZDQxOTJjODJhZmMwYzQ4NGIifQ=="/>
  </w:docVars>
  <w:rsids>
    <w:rsidRoot w:val="005D76B3"/>
    <w:rsid w:val="0001566A"/>
    <w:rsid w:val="00040985"/>
    <w:rsid w:val="00065961"/>
    <w:rsid w:val="00080B5B"/>
    <w:rsid w:val="000937A3"/>
    <w:rsid w:val="001B665B"/>
    <w:rsid w:val="00244FF9"/>
    <w:rsid w:val="00262030"/>
    <w:rsid w:val="00265A2A"/>
    <w:rsid w:val="00285F74"/>
    <w:rsid w:val="00300867"/>
    <w:rsid w:val="00327577"/>
    <w:rsid w:val="0036445F"/>
    <w:rsid w:val="003E0C85"/>
    <w:rsid w:val="004148A3"/>
    <w:rsid w:val="004335AD"/>
    <w:rsid w:val="00466ABD"/>
    <w:rsid w:val="004D40A5"/>
    <w:rsid w:val="004F34E2"/>
    <w:rsid w:val="00525A8A"/>
    <w:rsid w:val="0055255E"/>
    <w:rsid w:val="00565762"/>
    <w:rsid w:val="005D76B3"/>
    <w:rsid w:val="005E3B7E"/>
    <w:rsid w:val="0064240F"/>
    <w:rsid w:val="00685600"/>
    <w:rsid w:val="006E7E0D"/>
    <w:rsid w:val="006E7EC3"/>
    <w:rsid w:val="006F3C38"/>
    <w:rsid w:val="00710438"/>
    <w:rsid w:val="00732893"/>
    <w:rsid w:val="00780DEB"/>
    <w:rsid w:val="007B591A"/>
    <w:rsid w:val="007C0916"/>
    <w:rsid w:val="007C163C"/>
    <w:rsid w:val="007C62D6"/>
    <w:rsid w:val="007D1C16"/>
    <w:rsid w:val="007F5DB4"/>
    <w:rsid w:val="00821FBE"/>
    <w:rsid w:val="00824872"/>
    <w:rsid w:val="0083430E"/>
    <w:rsid w:val="008F786A"/>
    <w:rsid w:val="009220E5"/>
    <w:rsid w:val="009F3F17"/>
    <w:rsid w:val="009F4AF3"/>
    <w:rsid w:val="00A31FA2"/>
    <w:rsid w:val="00A33BC6"/>
    <w:rsid w:val="00A4322A"/>
    <w:rsid w:val="00A66B25"/>
    <w:rsid w:val="00A96E23"/>
    <w:rsid w:val="00AD14C9"/>
    <w:rsid w:val="00AE6067"/>
    <w:rsid w:val="00C102AC"/>
    <w:rsid w:val="00C5358E"/>
    <w:rsid w:val="00C675BB"/>
    <w:rsid w:val="00C82519"/>
    <w:rsid w:val="00C8773F"/>
    <w:rsid w:val="00C9348D"/>
    <w:rsid w:val="00CE3613"/>
    <w:rsid w:val="00CF709F"/>
    <w:rsid w:val="00D51ED7"/>
    <w:rsid w:val="00D537CC"/>
    <w:rsid w:val="00D60DB8"/>
    <w:rsid w:val="00DB284D"/>
    <w:rsid w:val="00E17952"/>
    <w:rsid w:val="00EA7310"/>
    <w:rsid w:val="00F46D6F"/>
    <w:rsid w:val="00F70B47"/>
    <w:rsid w:val="00FF6454"/>
    <w:rsid w:val="04BA44CE"/>
    <w:rsid w:val="09001AA6"/>
    <w:rsid w:val="0B772B1F"/>
    <w:rsid w:val="0C4F589A"/>
    <w:rsid w:val="0C6531BD"/>
    <w:rsid w:val="132B0BD0"/>
    <w:rsid w:val="1EF30B63"/>
    <w:rsid w:val="21A65BD8"/>
    <w:rsid w:val="225D35EA"/>
    <w:rsid w:val="246501B2"/>
    <w:rsid w:val="28461976"/>
    <w:rsid w:val="31A41E31"/>
    <w:rsid w:val="329A44C1"/>
    <w:rsid w:val="33703FC8"/>
    <w:rsid w:val="35BD16D2"/>
    <w:rsid w:val="393D3862"/>
    <w:rsid w:val="43C70E49"/>
    <w:rsid w:val="44847BAF"/>
    <w:rsid w:val="449449D4"/>
    <w:rsid w:val="46E56E36"/>
    <w:rsid w:val="4C2B58A4"/>
    <w:rsid w:val="4EC53BB8"/>
    <w:rsid w:val="545A28A0"/>
    <w:rsid w:val="549F4411"/>
    <w:rsid w:val="54B85D25"/>
    <w:rsid w:val="5A5F79CE"/>
    <w:rsid w:val="5B7D3D04"/>
    <w:rsid w:val="5B7E1C15"/>
    <w:rsid w:val="5F8E49B5"/>
    <w:rsid w:val="62316557"/>
    <w:rsid w:val="658B43A2"/>
    <w:rsid w:val="66DA6DBE"/>
    <w:rsid w:val="688E1B8B"/>
    <w:rsid w:val="6CF80188"/>
    <w:rsid w:val="6E6960F1"/>
    <w:rsid w:val="6EFA1CA3"/>
    <w:rsid w:val="71666EEB"/>
    <w:rsid w:val="71A128C0"/>
    <w:rsid w:val="722346BF"/>
    <w:rsid w:val="74C551BB"/>
    <w:rsid w:val="74F97232"/>
    <w:rsid w:val="755421FE"/>
    <w:rsid w:val="77FD4A4E"/>
    <w:rsid w:val="78515539"/>
    <w:rsid w:val="7BFD2C9D"/>
    <w:rsid w:val="7EA87D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paragraph" w:styleId="3">
    <w:name w:val="heading 2"/>
    <w:basedOn w:val="1"/>
    <w:link w:val="14"/>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next w:val="1"/>
    <w:link w:val="15"/>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16"/>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0"/>
    <w:pPr>
      <w:tabs>
        <w:tab w:val="center" w:pos="4153"/>
        <w:tab w:val="right" w:pos="8306"/>
      </w:tabs>
      <w:snapToGrid w:val="0"/>
      <w:jc w:val="center"/>
    </w:pPr>
    <w:rPr>
      <w:sz w:val="18"/>
      <w:szCs w:val="18"/>
    </w:rPr>
  </w:style>
  <w:style w:type="character" w:styleId="10">
    <w:name w:val="page number"/>
    <w:qFormat/>
    <w:uiPriority w:val="0"/>
    <w:rPr>
      <w:rFonts w:ascii="Times New Roman" w:hAnsi="Times New Roman" w:eastAsia="宋体"/>
      <w:sz w:val="18"/>
    </w:rPr>
  </w:style>
  <w:style w:type="character" w:customStyle="1" w:styleId="11">
    <w:name w:val="页眉 字符"/>
    <w:basedOn w:val="9"/>
    <w:link w:val="7"/>
    <w:qFormat/>
    <w:uiPriority w:val="99"/>
    <w:rPr>
      <w:sz w:val="18"/>
      <w:szCs w:val="18"/>
    </w:rPr>
  </w:style>
  <w:style w:type="character" w:customStyle="1" w:styleId="12">
    <w:name w:val="页脚 字符"/>
    <w:basedOn w:val="9"/>
    <w:link w:val="6"/>
    <w:qFormat/>
    <w:uiPriority w:val="99"/>
    <w:rPr>
      <w:sz w:val="18"/>
      <w:szCs w:val="18"/>
    </w:rPr>
  </w:style>
  <w:style w:type="character" w:customStyle="1" w:styleId="13">
    <w:name w:val="标题 1 字符"/>
    <w:basedOn w:val="9"/>
    <w:link w:val="2"/>
    <w:qFormat/>
    <w:uiPriority w:val="9"/>
    <w:rPr>
      <w:b/>
      <w:bCs/>
      <w:kern w:val="44"/>
      <w:sz w:val="44"/>
      <w:szCs w:val="44"/>
    </w:rPr>
  </w:style>
  <w:style w:type="character" w:customStyle="1" w:styleId="14">
    <w:name w:val="标题 2 字符"/>
    <w:basedOn w:val="9"/>
    <w:link w:val="3"/>
    <w:qFormat/>
    <w:uiPriority w:val="9"/>
    <w:rPr>
      <w:rFonts w:ascii="宋体" w:hAnsi="宋体" w:eastAsia="宋体" w:cs="宋体"/>
      <w:b/>
      <w:bCs/>
      <w:kern w:val="0"/>
      <w:sz w:val="36"/>
      <w:szCs w:val="36"/>
    </w:rPr>
  </w:style>
  <w:style w:type="character" w:customStyle="1" w:styleId="15">
    <w:name w:val="标题 3 字符"/>
    <w:basedOn w:val="9"/>
    <w:link w:val="4"/>
    <w:qFormat/>
    <w:uiPriority w:val="9"/>
    <w:rPr>
      <w:b/>
      <w:bCs/>
      <w:sz w:val="32"/>
      <w:szCs w:val="32"/>
    </w:rPr>
  </w:style>
  <w:style w:type="character" w:customStyle="1" w:styleId="16">
    <w:name w:val="标题 4 字符"/>
    <w:basedOn w:val="9"/>
    <w:link w:val="5"/>
    <w:qFormat/>
    <w:uiPriority w:val="9"/>
    <w:rPr>
      <w:rFonts w:asciiTheme="majorHAnsi" w:hAnsiTheme="majorHAnsi" w:eastAsiaTheme="majorEastAsia" w:cstheme="majorBidi"/>
      <w:b/>
      <w:bCs/>
      <w:sz w:val="28"/>
      <w:szCs w:val="28"/>
    </w:rPr>
  </w:style>
  <w:style w:type="paragraph" w:customStyle="1" w:styleId="17">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8">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styleId="19">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段"/>
    <w:link w:val="2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1">
    <w:name w:val="段 Char"/>
    <w:basedOn w:val="9"/>
    <w:link w:val="20"/>
    <w:qFormat/>
    <w:uiPriority w:val="0"/>
    <w:rPr>
      <w:rFonts w:ascii="宋体" w:hAnsi="Times New Roman" w:eastAsia="宋体" w:cs="Times New Roman"/>
      <w:kern w:val="0"/>
      <w:szCs w:val="20"/>
    </w:rPr>
  </w:style>
  <w:style w:type="paragraph" w:customStyle="1" w:styleId="22">
    <w:name w:val="章标题"/>
    <w:next w:val="20"/>
    <w:qFormat/>
    <w:uiPriority w:val="0"/>
    <w:p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23">
    <w:name w:val="列出段落1"/>
    <w:basedOn w:val="1"/>
    <w:qFormat/>
    <w:uiPriority w:val="34"/>
    <w:pPr>
      <w:ind w:left="357" w:firstLine="420" w:firstLineChars="200"/>
    </w:pPr>
    <w:rPr>
      <w:rFonts w:ascii="Calibri" w:hAnsi="Calibri" w:eastAsia="宋体" w:cs="Times New Roman"/>
    </w:rPr>
  </w:style>
  <w:style w:type="paragraph" w:customStyle="1" w:styleId="24">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26">
    <w:name w:val="发布部门"/>
    <w:next w:val="1"/>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27">
    <w:name w:val="封面标准号2"/>
    <w:basedOn w:val="1"/>
    <w:qFormat/>
    <w:uiPriority w:val="0"/>
    <w:pPr>
      <w:framePr w:w="9138" w:h="1244" w:hRule="exact" w:wrap="around" w:vAnchor="page" w:hAnchor="margin" w:y="2908"/>
      <w:kinsoku w:val="0"/>
      <w:overflowPunct w:val="0"/>
      <w:autoSpaceDE w:val="0"/>
      <w:autoSpaceDN w:val="0"/>
      <w:adjustRightInd w:val="0"/>
      <w:spacing w:before="357" w:line="280" w:lineRule="exact"/>
      <w:jc w:val="right"/>
      <w:textAlignment w:val="center"/>
    </w:pPr>
    <w:rPr>
      <w:rFonts w:ascii="Times New Roman" w:hAnsi="Times New Roman" w:eastAsia="宋体" w:cs="Times New Roman"/>
      <w:kern w:val="0"/>
      <w:sz w:val="28"/>
      <w:szCs w:val="20"/>
    </w:rPr>
  </w:style>
  <w:style w:type="paragraph" w:customStyle="1" w:styleId="28">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29">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30">
    <w:name w:val="一级条标题"/>
    <w:next w:val="20"/>
    <w:qFormat/>
    <w:uiPriority w:val="0"/>
    <w:pPr>
      <w:outlineLvl w:val="2"/>
    </w:pPr>
    <w:rPr>
      <w:rFonts w:ascii="Times New Roman" w:hAnsi="Times New Roman" w:eastAsia="黑体" w:cs="Times New Roman"/>
      <w:sz w:val="21"/>
      <w:lang w:val="en-US" w:eastAsia="zh-CN" w:bidi="ar-SA"/>
    </w:rPr>
  </w:style>
  <w:style w:type="paragraph" w:customStyle="1" w:styleId="31">
    <w:name w:val="二级条标题"/>
    <w:basedOn w:val="30"/>
    <w:next w:val="20"/>
    <w:qFormat/>
    <w:uiPriority w:val="0"/>
    <w:pPr>
      <w:outlineLvl w:val="3"/>
    </w:pPr>
  </w:style>
  <w:style w:type="paragraph" w:customStyle="1" w:styleId="32">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33">
    <w:name w:val="三级条标题"/>
    <w:basedOn w:val="31"/>
    <w:next w:val="20"/>
    <w:qFormat/>
    <w:uiPriority w:val="0"/>
    <w:pPr>
      <w:outlineLvl w:val="4"/>
    </w:pPr>
  </w:style>
  <w:style w:type="paragraph" w:customStyle="1" w:styleId="34">
    <w:name w:val="实施日期"/>
    <w:basedOn w:val="32"/>
    <w:qFormat/>
    <w:uiPriority w:val="0"/>
    <w:pPr>
      <w:framePr w:hSpace="0" w:wrap="around" w:xAlign="right"/>
      <w:jc w:val="right"/>
    </w:pPr>
  </w:style>
  <w:style w:type="paragraph" w:customStyle="1" w:styleId="35">
    <w:name w:val="四级条标题"/>
    <w:basedOn w:val="33"/>
    <w:next w:val="20"/>
    <w:qFormat/>
    <w:uiPriority w:val="0"/>
    <w:pPr>
      <w:outlineLvl w:val="5"/>
    </w:pPr>
  </w:style>
  <w:style w:type="paragraph" w:customStyle="1" w:styleId="3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37">
    <w:name w:val="五级条标题"/>
    <w:basedOn w:val="35"/>
    <w:next w:val="20"/>
    <w:qFormat/>
    <w:uiPriority w:val="0"/>
    <w:pPr>
      <w:outlineLvl w:val="6"/>
    </w:pPr>
  </w:style>
  <w:style w:type="paragraph" w:customStyle="1" w:styleId="38">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2092</Words>
  <Characters>2427</Characters>
  <Lines>20</Lines>
  <Paragraphs>5</Paragraphs>
  <TotalTime>275</TotalTime>
  <ScaleCrop>false</ScaleCrop>
  <LinksUpToDate>false</LinksUpToDate>
  <CharactersWithSpaces>2530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2026-05-11T01:32:00Z</dcterms:created>
  <dc:creator>ametek</dc:creator>
  <cp:lastModifiedBy>我叫王小六儿。 </cp:lastModifiedBy>
  <cp:lastPrinted>2026-01-16T06:07:00Z</cp:lastPrinted>
  <dcterms:modified xsi:type="dcterms:W3CDTF">2026-05-11T08:25:47Z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03A9F93132F348DA9779AA90816531F1_13</vt:lpwstr>
  </property>
  <property fmtid="{D5CDD505-2E9C-101B-9397-08002B2CF9AE}" pid="4" name="KSOTemplateDocerSaveRecord">
    <vt:lpwstr>eyJoZGlkIjoiNjFjMDY4YjNkYjZjMzM2NDAxNTM1YjY2ZmZmMWI5M2EiLCJ1c2VySWQiOiIyMDE2NTExNTkifQ==</vt:lpwstr>
  </property>
</Properties>
</file>