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D4B330">
      <w:pPr>
        <w:pStyle w:val="54"/>
      </w:pPr>
      <w:bookmarkStart w:id="0" w:name="SectionMark0"/>
      <w:r>
        <w:t>【】‘</w:t>
      </w:r>
    </w:p>
    <w:p w14:paraId="57EAFA00">
      <w:pPr>
        <w:pStyle w:val="54"/>
      </w:pPr>
      <w:r>
        <w:br w:type="textWrapping"/>
      </w:r>
      <w:r>
        <w:drawing>
          <wp:anchor distT="0" distB="0" distL="114300" distR="114300" simplePos="0" relativeHeight="251667456" behindDoc="0" locked="1" layoutInCell="1" allowOverlap="1">
            <wp:simplePos x="0" y="0"/>
            <wp:positionH relativeFrom="margin">
              <wp:posOffset>4284345</wp:posOffset>
            </wp:positionH>
            <wp:positionV relativeFrom="margin">
              <wp:posOffset>107315</wp:posOffset>
            </wp:positionV>
            <wp:extent cx="1440180" cy="720090"/>
            <wp:effectExtent l="19050" t="0" r="762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14" cstate="print"/>
                    <a:srcRect/>
                    <a:stretch>
                      <a:fillRect/>
                    </a:stretch>
                  </pic:blipFill>
                  <pic:spPr>
                    <a:xfrm>
                      <a:off x="0" y="0"/>
                      <a:ext cx="1440180" cy="720090"/>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2273300</wp:posOffset>
                </wp:positionV>
                <wp:extent cx="6121400" cy="635"/>
                <wp:effectExtent l="0" t="0" r="0" b="0"/>
                <wp:wrapNone/>
                <wp:docPr id="11" name="Line 5"/>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9050">
                          <a:solidFill>
                            <a:srgbClr val="000000"/>
                          </a:solidFill>
                          <a:round/>
                        </a:ln>
                        <a:effectLst/>
                      </wps:spPr>
                      <wps:bodyPr/>
                    </wps:wsp>
                  </a:graphicData>
                </a:graphic>
              </wp:anchor>
            </w:drawing>
          </mc:Choice>
          <mc:Fallback>
            <w:pict>
              <v:line id="Line 5" o:spid="_x0000_s1026" o:spt="20" style="position:absolute;left:0pt;margin-left:0pt;margin-top:179pt;height:0.05pt;width:482pt;z-index:251665408;mso-width-relative:page;mso-height-relative:page;" filled="f" stroked="t" coordsize="21600,21600" o:gfxdata="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VVnTtQAAAAIAQAADwAAAAAAAAABACAAAAAiAAAA&#10;ZHJzL2Rvd25yZXYueG1sUEsBAhQAFAAAAAgAh07iQD55UYzSAQAAsQMAAA4AAAAAAAAAAQAgAAAA&#10;IwEAAGRycy9lMm9Eb2MueG1sUEsFBgAAAAAGAAYAWQEAAGc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4084320</wp:posOffset>
                </wp:positionH>
                <wp:positionV relativeFrom="margin">
                  <wp:posOffset>8089900</wp:posOffset>
                </wp:positionV>
                <wp:extent cx="2019300" cy="312420"/>
                <wp:effectExtent l="0" t="0" r="0" b="0"/>
                <wp:wrapNone/>
                <wp:docPr id="10"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3F9A12FF">
                            <w:pPr>
                              <w:pStyle w:val="24"/>
                            </w:pPr>
                            <w:r>
                              <w:rPr>
                                <w:rFonts w:hint="eastAsia" w:ascii="黑体" w:hAnsi="黑体" w:cs="黑体"/>
                              </w:rPr>
                              <w:t>202×-××-××</w:t>
                            </w:r>
                            <w:r>
                              <w:t>实施</w:t>
                            </w:r>
                          </w:p>
                          <w:p w14:paraId="14D799A8"/>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1.6pt;margin-top:637pt;height:24.6pt;width:159pt;mso-position-horizontal-relative:margin;mso-position-vertical-relative:margin;z-index:251664384;mso-width-relative:page;mso-height-relative:page;" fillcolor="#FFFFFF" filled="t" stroked="f" coordsize="21600,21600" o:gfxdata="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g/9tPZAAAADQEAAA8AAAAA&#10;AAAAAQAgAAAAIgAAAGRycy9kb3ducmV2LnhtbFBLAQIUABQAAAAIAIdO4kDmhsQcEwIAADoEAAAO&#10;AAAAAAAAAAEAIAAAACgBAABkcnMvZTJvRG9jLnhtbFBLBQYAAAAABgAGAFkBAACtBQAAAAA=&#10;">
                <v:fill on="t" focussize="0,0"/>
                <v:stroke on="f"/>
                <v:imagedata o:title=""/>
                <o:lock v:ext="edit" aspectratio="f"/>
                <v:textbox inset="0mm,0mm,0mm,0mm">
                  <w:txbxContent>
                    <w:p w14:paraId="3F9A12FF">
                      <w:pPr>
                        <w:pStyle w:val="24"/>
                      </w:pPr>
                      <w:r>
                        <w:rPr>
                          <w:rFonts w:hint="eastAsia" w:ascii="黑体" w:hAnsi="黑体" w:cs="黑体"/>
                        </w:rPr>
                        <w:t>202×-××-××</w:t>
                      </w:r>
                      <w:r>
                        <w:t>实施</w:t>
                      </w:r>
                    </w:p>
                    <w:p w14:paraId="14D799A8"/>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36830</wp:posOffset>
                </wp:positionH>
                <wp:positionV relativeFrom="margin">
                  <wp:posOffset>8042910</wp:posOffset>
                </wp:positionV>
                <wp:extent cx="2019300" cy="312420"/>
                <wp:effectExtent l="0" t="0" r="0" b="0"/>
                <wp:wrapNone/>
                <wp:docPr id="9"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46285BDE">
                            <w:pPr>
                              <w:pStyle w:val="25"/>
                            </w:pPr>
                            <w:r>
                              <w:rPr>
                                <w:rFonts w:hint="eastAsia" w:ascii="黑体" w:hAnsi="黑体" w:cs="黑体"/>
                              </w:rPr>
                              <w:t>202×-××-××</w:t>
                            </w:r>
                            <w:r>
                              <w:t>发布</w:t>
                            </w:r>
                          </w:p>
                          <w:p w14:paraId="15591DC1"/>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2.9pt;margin-top:633.3pt;height:24.6pt;width:159pt;mso-position-horizontal-relative:margin;mso-position-vertical-relative:margin;z-index:251663360;mso-width-relative:page;mso-height-relative:page;" fillcolor="#FFFFFF" filled="t" stroked="f" coordsize="21600,21600" o:gfxdata="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wbdp1wAAAAsBAAAPAAAAAAAA&#10;AAEAIAAAACIAAABkcnMvZG93bnJldi54bWxQSwECFAAUAAAACACHTuJA9Q2vRBMCAAA5BAAADgAA&#10;AAAAAAABACAAAAAmAQAAZHJzL2Uyb0RvYy54bWxQSwUGAAAAAAYABgBZAQAAqwUAAAAA&#10;">
                <v:fill on="t" focussize="0,0"/>
                <v:stroke on="f"/>
                <v:imagedata o:title=""/>
                <o:lock v:ext="edit" aspectratio="f"/>
                <v:textbox inset="0mm,0mm,0mm,0mm">
                  <w:txbxContent>
                    <w:p w14:paraId="46285BDE">
                      <w:pPr>
                        <w:pStyle w:val="25"/>
                      </w:pPr>
                      <w:r>
                        <w:rPr>
                          <w:rFonts w:hint="eastAsia" w:ascii="黑体" w:hAnsi="黑体" w:cs="黑体"/>
                        </w:rPr>
                        <w:t>202×-××-××</w:t>
                      </w:r>
                      <w:r>
                        <w:t>发布</w:t>
                      </w:r>
                    </w:p>
                    <w:p w14:paraId="15591DC1"/>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288790"/>
                <wp:effectExtent l="0" t="0" r="0" b="0"/>
                <wp:wrapNone/>
                <wp:docPr id="8"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14:paraId="5AEEAFFA">
                            <w:pPr>
                              <w:pStyle w:val="51"/>
                              <w:spacing w:before="0" w:line="240" w:lineRule="auto"/>
                              <w:rPr>
                                <w:rFonts w:hint="eastAsia" w:ascii="黑体" w:hAnsi="黑体" w:eastAsia="黑体"/>
                                <w:sz w:val="52"/>
                                <w:szCs w:val="52"/>
                              </w:rPr>
                            </w:pPr>
                            <w:r>
                              <w:rPr>
                                <w:rFonts w:hint="eastAsia" w:ascii="黑体" w:hAnsi="黑体" w:eastAsia="黑体"/>
                                <w:sz w:val="52"/>
                                <w:szCs w:val="52"/>
                              </w:rPr>
                              <w:t>烧结金属材料(不包括硬质合金)</w:t>
                            </w:r>
                          </w:p>
                          <w:p w14:paraId="11E1FC77">
                            <w:pPr>
                              <w:pStyle w:val="51"/>
                              <w:spacing w:before="0" w:line="240" w:lineRule="auto"/>
                              <w:rPr>
                                <w:rFonts w:hint="eastAsia" w:ascii="黑体" w:hAnsi="黑体" w:eastAsia="黑体"/>
                                <w:sz w:val="52"/>
                                <w:szCs w:val="52"/>
                              </w:rPr>
                            </w:pPr>
                            <w:r>
                              <w:rPr>
                                <w:rFonts w:hint="eastAsia" w:ascii="黑体" w:hAnsi="黑体" w:eastAsia="黑体"/>
                                <w:sz w:val="52"/>
                                <w:szCs w:val="52"/>
                              </w:rPr>
                              <w:t>拉伸试样</w:t>
                            </w:r>
                          </w:p>
                          <w:p w14:paraId="259F1143">
                            <w:pPr>
                              <w:pStyle w:val="51"/>
                              <w:spacing w:before="0" w:line="240" w:lineRule="atLeast"/>
                              <w:rPr>
                                <w:rFonts w:eastAsia="黑体"/>
                                <w:szCs w:val="28"/>
                              </w:rPr>
                            </w:pPr>
                            <w:r>
                              <w:rPr>
                                <w:rFonts w:eastAsia="黑体"/>
                                <w:szCs w:val="28"/>
                              </w:rPr>
                              <w:t>Sintered metal materials,</w:t>
                            </w:r>
                            <w:r>
                              <w:rPr>
                                <w:rFonts w:hint="eastAsia" w:eastAsia="黑体"/>
                                <w:szCs w:val="28"/>
                              </w:rPr>
                              <w:t xml:space="preserve"> </w:t>
                            </w:r>
                            <w:r>
                              <w:rPr>
                                <w:rFonts w:eastAsia="黑体"/>
                                <w:szCs w:val="28"/>
                              </w:rPr>
                              <w:t>excluding hardmetals ——Tensile test pieces</w:t>
                            </w:r>
                          </w:p>
                          <w:p w14:paraId="6265FB5F">
                            <w:pPr>
                              <w:pStyle w:val="51"/>
                              <w:spacing w:before="0" w:line="240" w:lineRule="atLeast"/>
                              <w:rPr>
                                <w:rFonts w:eastAsia="黑体"/>
                                <w:szCs w:val="28"/>
                              </w:rPr>
                            </w:pPr>
                            <w:r>
                              <w:rPr>
                                <w:rFonts w:ascii="黑体" w:hAnsi="黑体" w:eastAsia="黑体"/>
                              </w:rPr>
                              <w:t>（</w:t>
                            </w:r>
                            <w:r>
                              <w:rPr>
                                <w:rFonts w:hint="eastAsia" w:ascii="黑体" w:hAnsi="黑体" w:eastAsia="黑体"/>
                              </w:rPr>
                              <w:t>ISO</w:t>
                            </w:r>
                            <w:r>
                              <w:rPr>
                                <w:rFonts w:ascii="黑体" w:hAnsi="黑体" w:eastAsia="黑体"/>
                              </w:rPr>
                              <w:t xml:space="preserve"> </w:t>
                            </w:r>
                            <w:r>
                              <w:rPr>
                                <w:rFonts w:hint="eastAsia" w:ascii="黑体" w:hAnsi="黑体" w:eastAsia="黑体"/>
                              </w:rPr>
                              <w:t>2740:2023</w:t>
                            </w:r>
                            <w:r>
                              <w:rPr>
                                <w:rFonts w:ascii="黑体" w:hAnsi="黑体" w:eastAsia="黑体"/>
                              </w:rPr>
                              <w:t>，IDT）</w:t>
                            </w:r>
                          </w:p>
                          <w:p w14:paraId="7D696903">
                            <w:pPr>
                              <w:pStyle w:val="51"/>
                              <w:spacing w:before="0" w:line="240" w:lineRule="atLeast"/>
                              <w:rPr>
                                <w:rFonts w:hint="eastAsia" w:ascii="黑体" w:hAnsi="黑体" w:eastAsia="黑体" w:cs="黑体"/>
                                <w:sz w:val="21"/>
                                <w:szCs w:val="21"/>
                              </w:rPr>
                            </w:pPr>
                            <w:r>
                              <w:rPr>
                                <w:rFonts w:ascii="黑体" w:hAnsi="黑体" w:eastAsia="黑体" w:cs="黑体"/>
                                <w:sz w:val="21"/>
                                <w:szCs w:val="21"/>
                              </w:rPr>
                              <w:t>（</w:t>
                            </w:r>
                            <w:r>
                              <w:rPr>
                                <w:rFonts w:hint="eastAsia" w:ascii="黑体" w:hAnsi="黑体" w:eastAsia="黑体" w:cs="黑体"/>
                                <w:sz w:val="21"/>
                                <w:szCs w:val="21"/>
                                <w:lang w:val="en-US" w:eastAsia="zh-CN"/>
                              </w:rPr>
                              <w:t>审定</w:t>
                            </w:r>
                            <w:r>
                              <w:rPr>
                                <w:rFonts w:hint="eastAsia" w:ascii="黑体" w:hAnsi="黑体" w:eastAsia="黑体" w:cs="黑体"/>
                                <w:sz w:val="21"/>
                                <w:szCs w:val="21"/>
                              </w:rPr>
                              <w:t>稿</w:t>
                            </w:r>
                            <w:r>
                              <w:rPr>
                                <w:rFonts w:ascii="黑体" w:hAnsi="黑体" w:eastAsia="黑体" w:cs="黑体"/>
                                <w:sz w:val="21"/>
                                <w:szCs w:val="21"/>
                              </w:rPr>
                              <w:t>）</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37.7pt;width:470pt;mso-position-horizontal-relative:margin;mso-position-vertical-relative:margin;z-index:251662336;mso-width-relative:page;mso-height-relative:page;" fillcolor="#FFFFFF" filled="t" stroked="f" coordsize="21600,21600" o:gfxdata="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asv52AAAAAkBAAAPAAAA&#10;AAAAAAEAIAAAACIAAABkcnMvZG93bnJldi54bWxQSwECFAAUAAAACACHTuJAt7LgExUCAAA6BAAA&#10;DgAAAAAAAAABACAAAAAnAQAAZHJzL2Uyb0RvYy54bWxQSwUGAAAAAAYABgBZAQAArgUAAAAA&#10;">
                <v:fill on="t" focussize="0,0"/>
                <v:stroke on="f"/>
                <v:imagedata o:title=""/>
                <o:lock v:ext="edit" aspectratio="f"/>
                <v:textbox inset="0mm,0mm,0mm,0mm">
                  <w:txbxContent>
                    <w:p w14:paraId="5AEEAFFA">
                      <w:pPr>
                        <w:pStyle w:val="51"/>
                        <w:spacing w:before="0" w:line="240" w:lineRule="auto"/>
                        <w:rPr>
                          <w:rFonts w:hint="eastAsia" w:ascii="黑体" w:hAnsi="黑体" w:eastAsia="黑体"/>
                          <w:sz w:val="52"/>
                          <w:szCs w:val="52"/>
                        </w:rPr>
                      </w:pPr>
                      <w:r>
                        <w:rPr>
                          <w:rFonts w:hint="eastAsia" w:ascii="黑体" w:hAnsi="黑体" w:eastAsia="黑体"/>
                          <w:sz w:val="52"/>
                          <w:szCs w:val="52"/>
                        </w:rPr>
                        <w:t>烧结金属材料(不包括硬质合金)</w:t>
                      </w:r>
                    </w:p>
                    <w:p w14:paraId="11E1FC77">
                      <w:pPr>
                        <w:pStyle w:val="51"/>
                        <w:spacing w:before="0" w:line="240" w:lineRule="auto"/>
                        <w:rPr>
                          <w:rFonts w:hint="eastAsia" w:ascii="黑体" w:hAnsi="黑体" w:eastAsia="黑体"/>
                          <w:sz w:val="52"/>
                          <w:szCs w:val="52"/>
                        </w:rPr>
                      </w:pPr>
                      <w:r>
                        <w:rPr>
                          <w:rFonts w:hint="eastAsia" w:ascii="黑体" w:hAnsi="黑体" w:eastAsia="黑体"/>
                          <w:sz w:val="52"/>
                          <w:szCs w:val="52"/>
                        </w:rPr>
                        <w:t>拉伸试样</w:t>
                      </w:r>
                    </w:p>
                    <w:p w14:paraId="259F1143">
                      <w:pPr>
                        <w:pStyle w:val="51"/>
                        <w:spacing w:before="0" w:line="240" w:lineRule="atLeast"/>
                        <w:rPr>
                          <w:rFonts w:eastAsia="黑体"/>
                          <w:szCs w:val="28"/>
                        </w:rPr>
                      </w:pPr>
                      <w:r>
                        <w:rPr>
                          <w:rFonts w:eastAsia="黑体"/>
                          <w:szCs w:val="28"/>
                        </w:rPr>
                        <w:t>Sintered metal materials,</w:t>
                      </w:r>
                      <w:r>
                        <w:rPr>
                          <w:rFonts w:hint="eastAsia" w:eastAsia="黑体"/>
                          <w:szCs w:val="28"/>
                        </w:rPr>
                        <w:t xml:space="preserve"> </w:t>
                      </w:r>
                      <w:r>
                        <w:rPr>
                          <w:rFonts w:eastAsia="黑体"/>
                          <w:szCs w:val="28"/>
                        </w:rPr>
                        <w:t>excluding hardmetals ——Tensile test pieces</w:t>
                      </w:r>
                    </w:p>
                    <w:p w14:paraId="6265FB5F">
                      <w:pPr>
                        <w:pStyle w:val="51"/>
                        <w:spacing w:before="0" w:line="240" w:lineRule="atLeast"/>
                        <w:rPr>
                          <w:rFonts w:eastAsia="黑体"/>
                          <w:szCs w:val="28"/>
                        </w:rPr>
                      </w:pPr>
                      <w:r>
                        <w:rPr>
                          <w:rFonts w:ascii="黑体" w:hAnsi="黑体" w:eastAsia="黑体"/>
                        </w:rPr>
                        <w:t>（</w:t>
                      </w:r>
                      <w:r>
                        <w:rPr>
                          <w:rFonts w:hint="eastAsia" w:ascii="黑体" w:hAnsi="黑体" w:eastAsia="黑体"/>
                        </w:rPr>
                        <w:t>ISO</w:t>
                      </w:r>
                      <w:r>
                        <w:rPr>
                          <w:rFonts w:ascii="黑体" w:hAnsi="黑体" w:eastAsia="黑体"/>
                        </w:rPr>
                        <w:t xml:space="preserve"> </w:t>
                      </w:r>
                      <w:r>
                        <w:rPr>
                          <w:rFonts w:hint="eastAsia" w:ascii="黑体" w:hAnsi="黑体" w:eastAsia="黑体"/>
                        </w:rPr>
                        <w:t>2740:2023</w:t>
                      </w:r>
                      <w:r>
                        <w:rPr>
                          <w:rFonts w:ascii="黑体" w:hAnsi="黑体" w:eastAsia="黑体"/>
                        </w:rPr>
                        <w:t>，IDT）</w:t>
                      </w:r>
                    </w:p>
                    <w:p w14:paraId="7D696903">
                      <w:pPr>
                        <w:pStyle w:val="51"/>
                        <w:spacing w:before="0" w:line="240" w:lineRule="atLeast"/>
                        <w:rPr>
                          <w:rFonts w:hint="eastAsia" w:ascii="黑体" w:hAnsi="黑体" w:eastAsia="黑体" w:cs="黑体"/>
                          <w:sz w:val="21"/>
                          <w:szCs w:val="21"/>
                        </w:rPr>
                      </w:pPr>
                      <w:r>
                        <w:rPr>
                          <w:rFonts w:ascii="黑体" w:hAnsi="黑体" w:eastAsia="黑体" w:cs="黑体"/>
                          <w:sz w:val="21"/>
                          <w:szCs w:val="21"/>
                        </w:rPr>
                        <w:t>（</w:t>
                      </w:r>
                      <w:r>
                        <w:rPr>
                          <w:rFonts w:hint="eastAsia" w:ascii="黑体" w:hAnsi="黑体" w:eastAsia="黑体" w:cs="黑体"/>
                          <w:sz w:val="21"/>
                          <w:szCs w:val="21"/>
                          <w:lang w:val="en-US" w:eastAsia="zh-CN"/>
                        </w:rPr>
                        <w:t>审定</w:t>
                      </w:r>
                      <w:r>
                        <w:rPr>
                          <w:rFonts w:hint="eastAsia" w:ascii="黑体" w:hAnsi="黑体" w:eastAsia="黑体" w:cs="黑体"/>
                          <w:sz w:val="21"/>
                          <w:szCs w:val="21"/>
                        </w:rPr>
                        <w:t>稿</w:t>
                      </w:r>
                      <w:r>
                        <w:rPr>
                          <w:rFonts w:ascii="黑体" w:hAnsi="黑体" w:eastAsia="黑体" w:cs="黑体"/>
                          <w:sz w:val="21"/>
                          <w:szCs w:val="21"/>
                        </w:rPr>
                        <w:t>）</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175260</wp:posOffset>
                </wp:positionH>
                <wp:positionV relativeFrom="margin">
                  <wp:posOffset>1772285</wp:posOffset>
                </wp:positionV>
                <wp:extent cx="5862320" cy="732790"/>
                <wp:effectExtent l="0" t="0" r="5080" b="13970"/>
                <wp:wrapNone/>
                <wp:docPr id="7" name="fmFrame3"/>
                <wp:cNvGraphicFramePr/>
                <a:graphic xmlns:a="http://schemas.openxmlformats.org/drawingml/2006/main">
                  <a:graphicData uri="http://schemas.microsoft.com/office/word/2010/wordprocessingShape">
                    <wps:wsp>
                      <wps:cNvSpPr txBox="1">
                        <a:spLocks noChangeArrowheads="1"/>
                      </wps:cNvSpPr>
                      <wps:spPr bwMode="auto">
                        <a:xfrm>
                          <a:off x="0" y="0"/>
                          <a:ext cx="5862320" cy="732790"/>
                        </a:xfrm>
                        <a:prstGeom prst="rect">
                          <a:avLst/>
                        </a:prstGeom>
                        <a:solidFill>
                          <a:srgbClr val="FFFFFF"/>
                        </a:solidFill>
                        <a:ln>
                          <a:noFill/>
                        </a:ln>
                        <a:effectLst/>
                      </wps:spPr>
                      <wps:txbx>
                        <w:txbxContent>
                          <w:p w14:paraId="10C256A6">
                            <w:pPr>
                              <w:pStyle w:val="63"/>
                              <w:ind w:firstLine="480"/>
                              <w:rPr>
                                <w:rFonts w:hint="eastAsia" w:ascii="黑体" w:hAnsi="黑体" w:eastAsia="黑体"/>
                                <w:sz w:val="24"/>
                                <w:szCs w:val="24"/>
                              </w:rPr>
                            </w:pPr>
                            <w:r>
                              <w:rPr>
                                <w:rFonts w:ascii="黑体" w:hAnsi="黑体" w:eastAsia="黑体"/>
                                <w:sz w:val="24"/>
                                <w:szCs w:val="24"/>
                                <w:lang w:val="de-DE"/>
                              </w:rPr>
                              <w:t>GB/T</w:t>
                            </w:r>
                            <w:r>
                              <w:rPr>
                                <w:rFonts w:hint="eastAsia" w:ascii="黑体" w:hAnsi="黑体" w:eastAsia="黑体"/>
                                <w:sz w:val="24"/>
                                <w:szCs w:val="24"/>
                                <w:lang w:val="de-DE"/>
                              </w:rPr>
                              <w:t xml:space="preserve"> </w:t>
                            </w:r>
                            <w:r>
                              <w:rPr>
                                <w:rFonts w:hint="eastAsia" w:ascii="黑体" w:hAnsi="黑体" w:eastAsia="黑体"/>
                                <w:sz w:val="24"/>
                                <w:szCs w:val="24"/>
                              </w:rPr>
                              <w:t>7963</w:t>
                            </w:r>
                            <w:r>
                              <w:rPr>
                                <w:rFonts w:ascii="黑体" w:hAnsi="黑体" w:eastAsia="黑体"/>
                                <w:sz w:val="24"/>
                                <w:szCs w:val="24"/>
                                <w:lang w:val="de-DE"/>
                              </w:rPr>
                              <w:t>—20</w:t>
                            </w:r>
                            <w:r>
                              <w:rPr>
                                <w:rFonts w:hint="eastAsia" w:ascii="黑体" w:hAnsi="黑体" w:eastAsia="黑体"/>
                                <w:sz w:val="24"/>
                                <w:szCs w:val="24"/>
                                <w:lang w:val="de-DE"/>
                              </w:rPr>
                              <w:t>2</w:t>
                            </w:r>
                            <w:r>
                              <w:rPr>
                                <w:rFonts w:ascii="黑体" w:hAnsi="黑体" w:eastAsia="黑体"/>
                                <w:sz w:val="24"/>
                                <w:szCs w:val="24"/>
                                <w:lang w:val="de-DE"/>
                              </w:rPr>
                              <w:t>×/ISO</w:t>
                            </w:r>
                            <w:r>
                              <w:rPr>
                                <w:rFonts w:hint="eastAsia" w:ascii="黑体" w:hAnsi="黑体" w:eastAsia="黑体"/>
                                <w:sz w:val="24"/>
                                <w:szCs w:val="24"/>
                                <w:lang w:val="de-DE"/>
                              </w:rPr>
                              <w:t xml:space="preserve"> </w:t>
                            </w:r>
                            <w:r>
                              <w:rPr>
                                <w:rFonts w:hint="eastAsia" w:ascii="黑体" w:hAnsi="黑体" w:eastAsia="黑体"/>
                                <w:sz w:val="24"/>
                                <w:szCs w:val="24"/>
                              </w:rPr>
                              <w:t>2740</w:t>
                            </w:r>
                            <w:r>
                              <w:rPr>
                                <w:rFonts w:ascii="黑体" w:hAnsi="黑体" w:eastAsia="黑体"/>
                                <w:sz w:val="24"/>
                                <w:szCs w:val="24"/>
                                <w:lang w:val="de-DE"/>
                              </w:rPr>
                              <w:t>:</w:t>
                            </w:r>
                            <w:r>
                              <w:rPr>
                                <w:rFonts w:hint="eastAsia" w:ascii="黑体" w:hAnsi="黑体" w:eastAsia="黑体"/>
                                <w:sz w:val="24"/>
                                <w:szCs w:val="24"/>
                              </w:rPr>
                              <w:t>2023</w:t>
                            </w:r>
                          </w:p>
                          <w:p w14:paraId="0A82C69F">
                            <w:pPr>
                              <w:pStyle w:val="52"/>
                              <w:spacing w:before="0" w:beforeAutospacing="0" w:after="0" w:afterAutospacing="0"/>
                              <w:rPr>
                                <w:rFonts w:hint="eastAsia" w:ascii="黑体" w:hAnsi="黑体" w:eastAsia="黑体"/>
                                <w:sz w:val="24"/>
                                <w:szCs w:val="24"/>
                              </w:rPr>
                            </w:pPr>
                            <w:r>
                              <w:rPr>
                                <w:rFonts w:hint="eastAsia" w:ascii="黑体" w:hAnsi="黑体" w:eastAsia="黑体"/>
                                <w:sz w:val="24"/>
                                <w:szCs w:val="24"/>
                              </w:rPr>
                              <w:t>代替GB/T 7963</w:t>
                            </w:r>
                            <w:r>
                              <w:rPr>
                                <w:rFonts w:ascii="黑体" w:hAnsi="黑体" w:eastAsia="黑体"/>
                                <w:sz w:val="24"/>
                                <w:szCs w:val="24"/>
                                <w:lang w:val="de-DE"/>
                              </w:rPr>
                              <w:t>—</w:t>
                            </w:r>
                            <w:r>
                              <w:rPr>
                                <w:rFonts w:hint="eastAsia" w:ascii="黑体" w:hAnsi="黑体" w:eastAsia="黑体"/>
                                <w:sz w:val="24"/>
                                <w:szCs w:val="24"/>
                              </w:rPr>
                              <w:t>2015</w:t>
                            </w:r>
                          </w:p>
                          <w:p w14:paraId="560A6A99">
                            <w:pPr>
                              <w:pStyle w:val="52"/>
                              <w:spacing w:before="0" w:beforeAutospacing="0" w:after="0" w:afterAutospacing="0"/>
                              <w:rPr>
                                <w:rFonts w:eastAsia="黑体"/>
                              </w:rPr>
                            </w:pPr>
                          </w:p>
                          <w:p w14:paraId="68A84932">
                            <w:pPr>
                              <w:pStyle w:val="52"/>
                              <w:spacing w:before="0" w:beforeAutospacing="0" w:after="0" w:afterAutospacing="0"/>
                              <w:rPr>
                                <w:rFonts w:eastAsia="黑体"/>
                              </w:rPr>
                            </w:pPr>
                          </w:p>
                          <w:p w14:paraId="1B0CE64C">
                            <w:pPr>
                              <w:pStyle w:val="52"/>
                              <w:spacing w:before="0" w:beforeAutospacing="0" w:after="0" w:afterAutospacing="0"/>
                              <w:rPr>
                                <w:rFonts w:eastAsia="黑体"/>
                              </w:rPr>
                            </w:pPr>
                          </w:p>
                          <w:p w14:paraId="58EBB0FF">
                            <w:pPr>
                              <w:pStyle w:val="52"/>
                              <w:rPr>
                                <w:rFonts w:eastAsia="黑体"/>
                              </w:rPr>
                            </w:pPr>
                          </w:p>
                          <w:p w14:paraId="64F21A19">
                            <w:pPr>
                              <w:pStyle w:val="52"/>
                              <w:rPr>
                                <w:rFonts w:eastAsia="黑体"/>
                              </w:rPr>
                            </w:pPr>
                          </w:p>
                          <w:p w14:paraId="36E02DC3">
                            <w:pPr>
                              <w:pStyle w:val="52"/>
                              <w:rPr>
                                <w:rFonts w:eastAsia="黑体"/>
                              </w:rPr>
                            </w:pPr>
                          </w:p>
                          <w:p w14:paraId="51487545">
                            <w:pPr>
                              <w:pStyle w:val="52"/>
                              <w:rPr>
                                <w:rFonts w:eastAsia="黑体"/>
                              </w:rPr>
                            </w:pPr>
                            <w:r>
                              <w:rPr>
                                <w:rFonts w:eastAsia="黑体"/>
                              </w:rPr>
                              <w:t xml:space="preserve">    </w:t>
                            </w:r>
                          </w:p>
                          <w:p w14:paraId="63C7B354">
                            <w:pPr>
                              <w:pStyle w:val="52"/>
                              <w:rPr>
                                <w:rFonts w:eastAsia="黑体"/>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13.8pt;margin-top:139.55pt;height:57.7pt;width:461.6pt;mso-position-horizontal-relative:margin;mso-position-vertical-relative:margin;z-index:251661312;mso-width-relative:page;mso-height-relative:page;" fillcolor="#FFFFFF" filled="t" stroked="f" coordsize="21600,21600" o:gfxdata="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8qh8LaAAAACgEAAA8A&#10;AAAAAAAAAQAgAAAAIgAAAGRycy9kb3ducmV2LnhtbFBLAQIUABQAAAAIAIdO4kCnfhrjFQIAADkE&#10;AAAOAAAAAAAAAAEAIAAAACkBAABkcnMvZTJvRG9jLnhtbFBLBQYAAAAABgAGAFkBAACwBQAAAAA=&#10;">
                <v:fill on="t" focussize="0,0"/>
                <v:stroke on="f"/>
                <v:imagedata o:title=""/>
                <o:lock v:ext="edit" aspectratio="f"/>
                <v:textbox inset="0mm,0mm,0mm,0mm">
                  <w:txbxContent>
                    <w:p w14:paraId="10C256A6">
                      <w:pPr>
                        <w:pStyle w:val="63"/>
                        <w:ind w:firstLine="480"/>
                        <w:rPr>
                          <w:rFonts w:hint="eastAsia" w:ascii="黑体" w:hAnsi="黑体" w:eastAsia="黑体"/>
                          <w:sz w:val="24"/>
                          <w:szCs w:val="24"/>
                        </w:rPr>
                      </w:pPr>
                      <w:r>
                        <w:rPr>
                          <w:rFonts w:ascii="黑体" w:hAnsi="黑体" w:eastAsia="黑体"/>
                          <w:sz w:val="24"/>
                          <w:szCs w:val="24"/>
                          <w:lang w:val="de-DE"/>
                        </w:rPr>
                        <w:t>GB/T</w:t>
                      </w:r>
                      <w:r>
                        <w:rPr>
                          <w:rFonts w:hint="eastAsia" w:ascii="黑体" w:hAnsi="黑体" w:eastAsia="黑体"/>
                          <w:sz w:val="24"/>
                          <w:szCs w:val="24"/>
                          <w:lang w:val="de-DE"/>
                        </w:rPr>
                        <w:t xml:space="preserve"> </w:t>
                      </w:r>
                      <w:r>
                        <w:rPr>
                          <w:rFonts w:hint="eastAsia" w:ascii="黑体" w:hAnsi="黑体" w:eastAsia="黑体"/>
                          <w:sz w:val="24"/>
                          <w:szCs w:val="24"/>
                        </w:rPr>
                        <w:t>7963</w:t>
                      </w:r>
                      <w:r>
                        <w:rPr>
                          <w:rFonts w:ascii="黑体" w:hAnsi="黑体" w:eastAsia="黑体"/>
                          <w:sz w:val="24"/>
                          <w:szCs w:val="24"/>
                          <w:lang w:val="de-DE"/>
                        </w:rPr>
                        <w:t>—20</w:t>
                      </w:r>
                      <w:r>
                        <w:rPr>
                          <w:rFonts w:hint="eastAsia" w:ascii="黑体" w:hAnsi="黑体" w:eastAsia="黑体"/>
                          <w:sz w:val="24"/>
                          <w:szCs w:val="24"/>
                          <w:lang w:val="de-DE"/>
                        </w:rPr>
                        <w:t>2</w:t>
                      </w:r>
                      <w:r>
                        <w:rPr>
                          <w:rFonts w:ascii="黑体" w:hAnsi="黑体" w:eastAsia="黑体"/>
                          <w:sz w:val="24"/>
                          <w:szCs w:val="24"/>
                          <w:lang w:val="de-DE"/>
                        </w:rPr>
                        <w:t>×/ISO</w:t>
                      </w:r>
                      <w:r>
                        <w:rPr>
                          <w:rFonts w:hint="eastAsia" w:ascii="黑体" w:hAnsi="黑体" w:eastAsia="黑体"/>
                          <w:sz w:val="24"/>
                          <w:szCs w:val="24"/>
                          <w:lang w:val="de-DE"/>
                        </w:rPr>
                        <w:t xml:space="preserve"> </w:t>
                      </w:r>
                      <w:r>
                        <w:rPr>
                          <w:rFonts w:hint="eastAsia" w:ascii="黑体" w:hAnsi="黑体" w:eastAsia="黑体"/>
                          <w:sz w:val="24"/>
                          <w:szCs w:val="24"/>
                        </w:rPr>
                        <w:t>2740</w:t>
                      </w:r>
                      <w:r>
                        <w:rPr>
                          <w:rFonts w:ascii="黑体" w:hAnsi="黑体" w:eastAsia="黑体"/>
                          <w:sz w:val="24"/>
                          <w:szCs w:val="24"/>
                          <w:lang w:val="de-DE"/>
                        </w:rPr>
                        <w:t>:</w:t>
                      </w:r>
                      <w:r>
                        <w:rPr>
                          <w:rFonts w:hint="eastAsia" w:ascii="黑体" w:hAnsi="黑体" w:eastAsia="黑体"/>
                          <w:sz w:val="24"/>
                          <w:szCs w:val="24"/>
                        </w:rPr>
                        <w:t>2023</w:t>
                      </w:r>
                    </w:p>
                    <w:p w14:paraId="0A82C69F">
                      <w:pPr>
                        <w:pStyle w:val="52"/>
                        <w:spacing w:before="0" w:beforeAutospacing="0" w:after="0" w:afterAutospacing="0"/>
                        <w:rPr>
                          <w:rFonts w:hint="eastAsia" w:ascii="黑体" w:hAnsi="黑体" w:eastAsia="黑体"/>
                          <w:sz w:val="24"/>
                          <w:szCs w:val="24"/>
                        </w:rPr>
                      </w:pPr>
                      <w:r>
                        <w:rPr>
                          <w:rFonts w:hint="eastAsia" w:ascii="黑体" w:hAnsi="黑体" w:eastAsia="黑体"/>
                          <w:sz w:val="24"/>
                          <w:szCs w:val="24"/>
                        </w:rPr>
                        <w:t>代替GB/T 7963</w:t>
                      </w:r>
                      <w:r>
                        <w:rPr>
                          <w:rFonts w:ascii="黑体" w:hAnsi="黑体" w:eastAsia="黑体"/>
                          <w:sz w:val="24"/>
                          <w:szCs w:val="24"/>
                          <w:lang w:val="de-DE"/>
                        </w:rPr>
                        <w:t>—</w:t>
                      </w:r>
                      <w:r>
                        <w:rPr>
                          <w:rFonts w:hint="eastAsia" w:ascii="黑体" w:hAnsi="黑体" w:eastAsia="黑体"/>
                          <w:sz w:val="24"/>
                          <w:szCs w:val="24"/>
                        </w:rPr>
                        <w:t>2015</w:t>
                      </w:r>
                    </w:p>
                    <w:p w14:paraId="560A6A99">
                      <w:pPr>
                        <w:pStyle w:val="52"/>
                        <w:spacing w:before="0" w:beforeAutospacing="0" w:after="0" w:afterAutospacing="0"/>
                        <w:rPr>
                          <w:rFonts w:eastAsia="黑体"/>
                        </w:rPr>
                      </w:pPr>
                    </w:p>
                    <w:p w14:paraId="68A84932">
                      <w:pPr>
                        <w:pStyle w:val="52"/>
                        <w:spacing w:before="0" w:beforeAutospacing="0" w:after="0" w:afterAutospacing="0"/>
                        <w:rPr>
                          <w:rFonts w:eastAsia="黑体"/>
                        </w:rPr>
                      </w:pPr>
                    </w:p>
                    <w:p w14:paraId="1B0CE64C">
                      <w:pPr>
                        <w:pStyle w:val="52"/>
                        <w:spacing w:before="0" w:beforeAutospacing="0" w:after="0" w:afterAutospacing="0"/>
                        <w:rPr>
                          <w:rFonts w:eastAsia="黑体"/>
                        </w:rPr>
                      </w:pPr>
                    </w:p>
                    <w:p w14:paraId="58EBB0FF">
                      <w:pPr>
                        <w:pStyle w:val="52"/>
                        <w:rPr>
                          <w:rFonts w:eastAsia="黑体"/>
                        </w:rPr>
                      </w:pPr>
                    </w:p>
                    <w:p w14:paraId="64F21A19">
                      <w:pPr>
                        <w:pStyle w:val="52"/>
                        <w:rPr>
                          <w:rFonts w:eastAsia="黑体"/>
                        </w:rPr>
                      </w:pPr>
                    </w:p>
                    <w:p w14:paraId="36E02DC3">
                      <w:pPr>
                        <w:pStyle w:val="52"/>
                        <w:rPr>
                          <w:rFonts w:eastAsia="黑体"/>
                        </w:rPr>
                      </w:pPr>
                    </w:p>
                    <w:p w14:paraId="51487545">
                      <w:pPr>
                        <w:pStyle w:val="52"/>
                        <w:rPr>
                          <w:rFonts w:eastAsia="黑体"/>
                        </w:rPr>
                      </w:pPr>
                      <w:r>
                        <w:rPr>
                          <w:rFonts w:eastAsia="黑体"/>
                        </w:rPr>
                        <w:t xml:space="preserve">    </w:t>
                      </w:r>
                    </w:p>
                    <w:p w14:paraId="63C7B354">
                      <w:pPr>
                        <w:pStyle w:val="52"/>
                        <w:rPr>
                          <w:rFonts w:eastAsia="黑体"/>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457835"/>
                <wp:effectExtent l="0" t="0" r="0" b="0"/>
                <wp:wrapNone/>
                <wp:docPr id="6"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457835"/>
                        </a:xfrm>
                        <a:prstGeom prst="rect">
                          <a:avLst/>
                        </a:prstGeom>
                        <a:solidFill>
                          <a:srgbClr val="FFFFFF"/>
                        </a:solidFill>
                        <a:ln>
                          <a:noFill/>
                        </a:ln>
                        <a:effectLst/>
                      </wps:spPr>
                      <wps:txbx>
                        <w:txbxContent>
                          <w:p w14:paraId="0F495FF5">
                            <w:pPr>
                              <w:pStyle w:val="59"/>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6.05pt;width:481.9pt;mso-position-horizontal-relative:margin;mso-position-vertical-relative:margin;z-index:251660288;mso-width-relative:page;mso-height-relative:page;" fillcolor="#FFFFFF" filled="t" stroked="f" coordsize="21600,21600" o:gfxdata="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i0NVdcAAAAIAQAADwAAAAAA&#10;AAABACAAAAAiAAAAZHJzL2Rvd25yZXYueG1sUEsBAhQAFAAAAAgAh07iQABGvDQUAgAAOQQAAA4A&#10;AAAAAAAAAQAgAAAAJgEAAGRycy9lMm9Eb2MueG1sUEsFBgAAAAAGAAYAWQEAAKwFAAAAAA==&#10;">
                <v:fill on="t" focussize="0,0"/>
                <v:stroke on="f"/>
                <v:imagedata o:title=""/>
                <o:lock v:ext="edit" aspectratio="f"/>
                <v:textbox inset="0mm,0mm,0mm,0mm">
                  <w:txbxContent>
                    <w:p w14:paraId="0F495FF5">
                      <w:pPr>
                        <w:pStyle w:val="59"/>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28570" cy="657860"/>
                <wp:effectExtent l="0" t="0" r="0" b="0"/>
                <wp:wrapNone/>
                <wp:docPr id="5" name="fmFrame1"/>
                <wp:cNvGraphicFramePr/>
                <a:graphic xmlns:a="http://schemas.openxmlformats.org/drawingml/2006/main">
                  <a:graphicData uri="http://schemas.microsoft.com/office/word/2010/wordprocessingShape">
                    <wps:wsp>
                      <wps:cNvSpPr txBox="1">
                        <a:spLocks noChangeArrowheads="1"/>
                      </wps:cNvSpPr>
                      <wps:spPr bwMode="auto">
                        <a:xfrm>
                          <a:off x="0" y="0"/>
                          <a:ext cx="2528570" cy="657860"/>
                        </a:xfrm>
                        <a:prstGeom prst="rect">
                          <a:avLst/>
                        </a:prstGeom>
                        <a:solidFill>
                          <a:srgbClr val="FFFFFF"/>
                        </a:solidFill>
                        <a:ln>
                          <a:noFill/>
                        </a:ln>
                        <a:effectLst/>
                      </wps:spPr>
                      <wps:txbx>
                        <w:txbxContent>
                          <w:p w14:paraId="5DE0E11D">
                            <w:pPr>
                              <w:pStyle w:val="45"/>
                            </w:pPr>
                            <w:r>
                              <w:t>ICS 77.160</w:t>
                            </w:r>
                          </w:p>
                          <w:p w14:paraId="17290003">
                            <w:pPr>
                              <w:ind w:firstLine="0" w:firstLineChars="0"/>
                              <w:rPr>
                                <w:rFonts w:hint="default" w:ascii="黑体" w:hAnsi="黑体" w:eastAsia="宋体" w:cs="黑体"/>
                                <w:lang w:val="en-US" w:eastAsia="zh-CN"/>
                              </w:rPr>
                            </w:pPr>
                            <w:r>
                              <w:rPr>
                                <w:rFonts w:hint="eastAsia"/>
                              </w:rPr>
                              <w:t xml:space="preserve">CCS </w:t>
                            </w:r>
                            <w:r>
                              <w:t>H</w:t>
                            </w:r>
                            <w:r>
                              <w:rPr>
                                <w:rFonts w:hint="eastAsia"/>
                              </w:rPr>
                              <w:t xml:space="preserve"> </w:t>
                            </w:r>
                            <w:r>
                              <w:rPr>
                                <w:rFonts w:hint="eastAsia"/>
                                <w:lang w:val="en-US" w:eastAsia="zh-CN"/>
                              </w:rPr>
                              <w:t>22</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199.1pt;mso-position-horizontal-relative:margin;mso-position-vertical-relative:margin;z-index:251659264;mso-width-relative:page;mso-height-relative:page;" fillcolor="#FFFFFF" filled="t" stroked="f" coordsize="21600,21600" o:gfxdata="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7TdYdUAAAAFAQAADwAAAAAA&#10;AAABACAAAAAiAAAAZHJzL2Rvd25yZXYueG1sUEsBAhQAFAAAAAgAh07iQEZV38gWAgAAOQQAAA4A&#10;AAAAAAAAAQAgAAAAJAEAAGRycy9lMm9Eb2MueG1sUEsFBgAAAAAGAAYAWQEAAKwFAAAAAA==&#10;">
                <v:fill on="t" focussize="0,0"/>
                <v:stroke on="f"/>
                <v:imagedata o:title=""/>
                <o:lock v:ext="edit" aspectratio="f"/>
                <v:textbox inset="0mm,0mm,0mm,0mm">
                  <w:txbxContent>
                    <w:p w14:paraId="5DE0E11D">
                      <w:pPr>
                        <w:pStyle w:val="45"/>
                      </w:pPr>
                      <w:r>
                        <w:t>ICS 77.160</w:t>
                      </w:r>
                    </w:p>
                    <w:p w14:paraId="17290003">
                      <w:pPr>
                        <w:ind w:firstLine="0" w:firstLineChars="0"/>
                        <w:rPr>
                          <w:rFonts w:hint="default" w:ascii="黑体" w:hAnsi="黑体" w:eastAsia="宋体" w:cs="黑体"/>
                          <w:lang w:val="en-US" w:eastAsia="zh-CN"/>
                        </w:rPr>
                      </w:pPr>
                      <w:r>
                        <w:rPr>
                          <w:rFonts w:hint="eastAsia"/>
                        </w:rPr>
                        <w:t xml:space="preserve">CCS </w:t>
                      </w:r>
                      <w:r>
                        <w:t>H</w:t>
                      </w:r>
                      <w:r>
                        <w:rPr>
                          <w:rFonts w:hint="eastAsia"/>
                        </w:rPr>
                        <w:t xml:space="preserve"> </w:t>
                      </w:r>
                      <w:r>
                        <w:rPr>
                          <w:rFonts w:hint="eastAsia"/>
                          <w:lang w:val="en-US" w:eastAsia="zh-CN"/>
                        </w:rPr>
                        <w:t>22</w:t>
                      </w:r>
                    </w:p>
                  </w:txbxContent>
                </v:textbox>
                <w10:anchorlock/>
              </v:shape>
            </w:pict>
          </mc:Fallback>
        </mc:AlternateContent>
      </w:r>
      <w:r>
        <w:t>T</w:t>
      </w:r>
    </w:p>
    <w:p w14:paraId="6C85A95E">
      <w:pPr>
        <w:pStyle w:val="54"/>
        <w:rPr>
          <w:rFonts w:eastAsia="黑体"/>
          <w:sz w:val="32"/>
          <w:szCs w:val="32"/>
        </w:rPr>
        <w:sectPr>
          <w:footerReference r:id="rId9" w:type="first"/>
          <w:headerReference r:id="rId5" w:type="default"/>
          <w:footerReference r:id="rId7" w:type="default"/>
          <w:headerReference r:id="rId6" w:type="even"/>
          <w:footerReference r:id="rId8" w:type="even"/>
          <w:pgSz w:w="11907" w:h="16839"/>
          <w:pgMar w:top="1418" w:right="1134" w:bottom="1134" w:left="1418" w:header="1418" w:footer="851" w:gutter="0"/>
          <w:cols w:space="720" w:num="1"/>
          <w:titlePg/>
          <w:docGrid w:type="linesAndChars" w:linePitch="312" w:charSpace="0"/>
        </w:sectPr>
      </w:pPr>
      <w:r>
        <mc:AlternateContent>
          <mc:Choice Requires="wps">
            <w:drawing>
              <wp:anchor distT="0" distB="0" distL="114300" distR="114300" simplePos="0" relativeHeight="251669504" behindDoc="0" locked="0" layoutInCell="1" allowOverlap="1">
                <wp:simplePos x="0" y="0"/>
                <wp:positionH relativeFrom="column">
                  <wp:posOffset>4084320</wp:posOffset>
                </wp:positionH>
                <wp:positionV relativeFrom="paragraph">
                  <wp:posOffset>7960360</wp:posOffset>
                </wp:positionV>
                <wp:extent cx="622300" cy="438150"/>
                <wp:effectExtent l="0" t="0" r="0" b="0"/>
                <wp:wrapNone/>
                <wp:docPr id="3"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22300" cy="438150"/>
                        </a:xfrm>
                        <a:prstGeom prst="rect">
                          <a:avLst/>
                        </a:prstGeom>
                        <a:solidFill>
                          <a:srgbClr val="FFFFFF">
                            <a:alpha val="0"/>
                          </a:srgbClr>
                        </a:solidFill>
                        <a:ln w="9525">
                          <a:solidFill>
                            <a:srgbClr val="FFFFFF"/>
                          </a:solidFill>
                          <a:miter lim="800000"/>
                        </a:ln>
                        <a:effectLst/>
                      </wps:spPr>
                      <wps:txbx>
                        <w:txbxContent>
                          <w:p w14:paraId="576232FA">
                            <w:pPr>
                              <w:pStyle w:val="54"/>
                              <w:widowControl w:val="0"/>
                              <w:spacing w:line="240" w:lineRule="atLeast"/>
                              <w:jc w:val="distribute"/>
                              <w:rPr>
                                <w:rFonts w:hint="eastAsia" w:ascii="黑体" w:hAnsi="黑体" w:eastAsia="黑体"/>
                                <w:color w:val="000000"/>
                                <w:sz w:val="28"/>
                                <w:szCs w:val="28"/>
                              </w:rPr>
                            </w:pPr>
                            <w:r>
                              <w:rPr>
                                <w:rFonts w:ascii="黑体" w:hAnsi="黑体" w:eastAsia="黑体"/>
                                <w:color w:val="000000"/>
                                <w:sz w:val="28"/>
                                <w:szCs w:val="28"/>
                              </w:rPr>
                              <w:t>发布</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321.6pt;margin-top:626.8pt;height:34.5pt;width:49pt;z-index:251669504;mso-width-relative:page;mso-height-relative:page;" fillcolor="#FFFFFF" filled="t" stroked="t" coordsize="21600,21600" o:gfxdata="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kbbzXaAAAADQEAAA8AAAAAAAAAAQAg&#10;AAAAIgAAAGRycy9kb3ducmV2LnhtbFBLAQIUABQAAAAIAIdO4kBX3yoXRQIAALEEAAAOAAAAAAAA&#10;AAEAIAAAACkBAABkcnMvZTJvRG9jLnhtbFBLBQYAAAAABgAGAFkBAADgBQAAAAA=&#10;">
                <v:fill on="t" opacity="0f" focussize="0,0"/>
                <v:stroke color="#FFFFFF" miterlimit="8" joinstyle="miter"/>
                <v:imagedata o:title=""/>
                <o:lock v:ext="edit" aspectratio="f"/>
                <v:textbox>
                  <w:txbxContent>
                    <w:p w14:paraId="576232FA">
                      <w:pPr>
                        <w:pStyle w:val="54"/>
                        <w:widowControl w:val="0"/>
                        <w:spacing w:line="240" w:lineRule="atLeast"/>
                        <w:jc w:val="distribute"/>
                        <w:rPr>
                          <w:rFonts w:hint="eastAsia" w:ascii="黑体" w:hAnsi="黑体" w:eastAsia="黑体"/>
                          <w:color w:val="000000"/>
                          <w:sz w:val="28"/>
                          <w:szCs w:val="28"/>
                        </w:rPr>
                      </w:pPr>
                      <w:r>
                        <w:rPr>
                          <w:rFonts w:ascii="黑体" w:hAnsi="黑体" w:eastAsia="黑体"/>
                          <w:color w:val="000000"/>
                          <w:sz w:val="28"/>
                          <w:szCs w:val="28"/>
                        </w:rPr>
                        <w:t>发布</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1582420</wp:posOffset>
                </wp:positionH>
                <wp:positionV relativeFrom="paragraph">
                  <wp:posOffset>7872730</wp:posOffset>
                </wp:positionV>
                <wp:extent cx="2501900" cy="590550"/>
                <wp:effectExtent l="0" t="0" r="0" b="0"/>
                <wp:wrapNone/>
                <wp:docPr id="2" name="Text Box 26"/>
                <wp:cNvGraphicFramePr/>
                <a:graphic xmlns:a="http://schemas.openxmlformats.org/drawingml/2006/main">
                  <a:graphicData uri="http://schemas.microsoft.com/office/word/2010/wordprocessingShape">
                    <wps:wsp>
                      <wps:cNvSpPr txBox="1">
                        <a:spLocks noChangeArrowheads="1"/>
                      </wps:cNvSpPr>
                      <wps:spPr bwMode="auto">
                        <a:xfrm>
                          <a:off x="0" y="0"/>
                          <a:ext cx="2501900" cy="590550"/>
                        </a:xfrm>
                        <a:prstGeom prst="rect">
                          <a:avLst/>
                        </a:prstGeom>
                        <a:solidFill>
                          <a:srgbClr val="FFFFFF">
                            <a:alpha val="0"/>
                          </a:srgbClr>
                        </a:solidFill>
                        <a:ln w="9525">
                          <a:solidFill>
                            <a:srgbClr val="FFFFFF"/>
                          </a:solidFill>
                          <a:miter lim="800000"/>
                        </a:ln>
                        <a:effectLst/>
                      </wps:spPr>
                      <wps:txbx>
                        <w:txbxContent>
                          <w:p w14:paraId="5C8A1FFD">
                            <w:pPr>
                              <w:pStyle w:val="54"/>
                              <w:widowControl w:val="0"/>
                              <w:spacing w:line="400" w:lineRule="exact"/>
                              <w:jc w:val="distribute"/>
                              <w:rPr>
                                <w:b/>
                                <w:sz w:val="30"/>
                                <w:szCs w:val="30"/>
                              </w:rPr>
                            </w:pPr>
                            <w:r>
                              <w:rPr>
                                <w:b/>
                                <w:sz w:val="30"/>
                                <w:szCs w:val="30"/>
                              </w:rPr>
                              <w:t>国家市场监督管理总局</w:t>
                            </w:r>
                          </w:p>
                          <w:p w14:paraId="39FA162F">
                            <w:pPr>
                              <w:pStyle w:val="54"/>
                              <w:widowControl w:val="0"/>
                              <w:spacing w:line="400" w:lineRule="exact"/>
                              <w:jc w:val="distribute"/>
                              <w:rPr>
                                <w:b/>
                                <w:sz w:val="30"/>
                                <w:szCs w:val="30"/>
                              </w:rPr>
                            </w:pPr>
                            <w:r>
                              <w:rPr>
                                <w:b/>
                                <w:sz w:val="30"/>
                                <w:szCs w:val="30"/>
                              </w:rPr>
                              <w:t>国家标准化管理委员会</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24.6pt;margin-top:619.9pt;height:46.5pt;width:197pt;z-index:251668480;mso-width-relative:page;mso-height-relative:page;" fillcolor="#FFFFFF" filled="t" stroked="t" coordsize="21600,21600" o:gfxdata="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1h7bDaAAAADQEAAA8AAAAAAAAAAQAg&#10;AAAAIgAAAGRycy9kb3ducmV2LnhtbFBLAQIUABQAAAAIAIdO4kBn2Ko2RQIAALIEAAAOAAAAAAAA&#10;AAEAIAAAACkBAABkcnMvZTJvRG9jLnhtbFBLBQYAAAAABgAGAFkBAADgBQAAAAA=&#10;">
                <v:fill on="t" opacity="0f" focussize="0,0"/>
                <v:stroke color="#FFFFFF" miterlimit="8" joinstyle="miter"/>
                <v:imagedata o:title=""/>
                <o:lock v:ext="edit" aspectratio="f"/>
                <v:textbox>
                  <w:txbxContent>
                    <w:p w14:paraId="5C8A1FFD">
                      <w:pPr>
                        <w:pStyle w:val="54"/>
                        <w:widowControl w:val="0"/>
                        <w:spacing w:line="400" w:lineRule="exact"/>
                        <w:jc w:val="distribute"/>
                        <w:rPr>
                          <w:b/>
                          <w:sz w:val="30"/>
                          <w:szCs w:val="30"/>
                        </w:rPr>
                      </w:pPr>
                      <w:r>
                        <w:rPr>
                          <w:b/>
                          <w:sz w:val="30"/>
                          <w:szCs w:val="30"/>
                        </w:rPr>
                        <w:t>国家市场监督管理总局</w:t>
                      </w:r>
                    </w:p>
                    <w:p w14:paraId="39FA162F">
                      <w:pPr>
                        <w:pStyle w:val="54"/>
                        <w:widowControl w:val="0"/>
                        <w:spacing w:line="400" w:lineRule="exact"/>
                        <w:jc w:val="distribute"/>
                        <w:rPr>
                          <w:b/>
                          <w:sz w:val="30"/>
                          <w:szCs w:val="30"/>
                        </w:rPr>
                      </w:pPr>
                      <w:r>
                        <w:rPr>
                          <w:b/>
                          <w:sz w:val="30"/>
                          <w:szCs w:val="30"/>
                        </w:rPr>
                        <w:t>国家标准化管理委员会</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7818755</wp:posOffset>
                </wp:positionV>
                <wp:extent cx="6121400" cy="635"/>
                <wp:effectExtent l="0" t="0" r="0" b="0"/>
                <wp:wrapNone/>
                <wp:docPr id="12" name="Line 2"/>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9050">
                          <a:solidFill>
                            <a:srgbClr val="000000"/>
                          </a:solidFill>
                          <a:round/>
                        </a:ln>
                        <a:effectLst/>
                      </wps:spPr>
                      <wps:bodyPr/>
                    </wps:wsp>
                  </a:graphicData>
                </a:graphic>
              </wp:anchor>
            </w:drawing>
          </mc:Choice>
          <mc:Fallback>
            <w:pict>
              <v:line id="Line 2" o:spid="_x0000_s1026" o:spt="20" style="position:absolute;left:0pt;margin-left:1.2pt;margin-top:615.65pt;height:0.05pt;width:482pt;z-index:251666432;mso-width-relative:page;mso-height-relative:page;" filled="f" stroked="t" coordsize="21600,21600" o:gfxdata="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McV9nWAAAACwEAAA8AAAAAAAAAAQAgAAAAIgAA&#10;AGRycy9kb3ducmV2LnhtbFBLAQIUABQAAAAIAIdO4kDDioUv0QEAALEDAAAOAAAAAAAAAAEAIAAA&#10;ACUBAABkcnMvZTJvRG9jLnhtbFBLBQYAAAAABgAGAFkBAABoBQAAAAA=&#10;">
                <v:fill on="f" focussize="0,0"/>
                <v:stroke weight="1.5pt" color="#000000" joinstyle="round"/>
                <v:imagedata o:title=""/>
                <o:lock v:ext="edit" aspectratio="f"/>
              </v:line>
            </w:pict>
          </mc:Fallback>
        </mc:AlternateContent>
      </w:r>
      <w:bookmarkEnd w:id="0"/>
      <w:bookmarkStart w:id="1" w:name="SectionMark2"/>
    </w:p>
    <w:p w14:paraId="5EBF640C">
      <w:pPr>
        <w:pStyle w:val="28"/>
        <w:ind w:firstLine="0" w:firstLineChars="0"/>
        <w:jc w:val="center"/>
        <w:rPr>
          <w:rFonts w:ascii="Times New Roman" w:eastAsia="黑体"/>
          <w:sz w:val="32"/>
          <w:szCs w:val="32"/>
        </w:rPr>
      </w:pPr>
      <w:r>
        <w:rPr>
          <w:rFonts w:ascii="Times New Roman" w:eastAsia="黑体"/>
          <w:sz w:val="32"/>
          <w:szCs w:val="32"/>
        </w:rPr>
        <w:t>前</w:t>
      </w:r>
      <w:r>
        <w:rPr>
          <w:rFonts w:hint="eastAsia" w:ascii="Times New Roman" w:eastAsia="黑体"/>
          <w:sz w:val="32"/>
          <w:szCs w:val="32"/>
        </w:rPr>
        <w:t xml:space="preserve">  </w:t>
      </w:r>
      <w:r>
        <w:rPr>
          <w:rFonts w:ascii="Times New Roman" w:eastAsia="黑体"/>
          <w:sz w:val="32"/>
          <w:szCs w:val="32"/>
        </w:rPr>
        <w:t>言</w:t>
      </w:r>
    </w:p>
    <w:p w14:paraId="6F6E0596">
      <w:pPr>
        <w:pStyle w:val="28"/>
        <w:ind w:firstLine="420"/>
        <w:rPr>
          <w:rFonts w:ascii="Times New Roman"/>
          <w:szCs w:val="21"/>
        </w:rPr>
      </w:pPr>
    </w:p>
    <w:p w14:paraId="6AD9348A">
      <w:r>
        <w:rPr>
          <w:rFonts w:hint="eastAsia"/>
        </w:rPr>
        <w:t>本文件按照GB/T 1.1-2020《标准化工作导则 第1部分：标准化文件的结构和起草规则》的规定起草。</w:t>
      </w:r>
    </w:p>
    <w:p w14:paraId="29C18573">
      <w:pPr>
        <w:pStyle w:val="28"/>
        <w:ind w:firstLine="420"/>
        <w:rPr>
          <w:rFonts w:ascii="Times New Roman"/>
          <w:color w:val="000000"/>
        </w:rPr>
      </w:pPr>
      <w:r>
        <w:rPr>
          <w:rFonts w:hint="eastAsia" w:ascii="Times New Roman"/>
        </w:rPr>
        <w:t>本文件代替</w:t>
      </w:r>
      <w:r>
        <w:rPr>
          <w:rFonts w:ascii="Times New Roman"/>
        </w:rPr>
        <w:t xml:space="preserve">GB/T </w:t>
      </w:r>
      <w:r>
        <w:rPr>
          <w:rFonts w:hint="eastAsia" w:ascii="Times New Roman"/>
        </w:rPr>
        <w:t>7963</w:t>
      </w:r>
      <w:r>
        <w:rPr>
          <w:rFonts w:ascii="Times New Roman"/>
        </w:rPr>
        <w:t>-</w:t>
      </w:r>
      <w:r>
        <w:rPr>
          <w:rFonts w:hint="eastAsia" w:ascii="Times New Roman"/>
        </w:rPr>
        <w:t>2015《烧结金属材料（不包括硬质合金</w:t>
      </w:r>
      <w:r>
        <w:rPr>
          <w:rFonts w:hint="eastAsia" w:ascii="Times New Roman"/>
          <w:color w:val="000000"/>
        </w:rPr>
        <w:t>） 拉伸试样》，本文件与</w:t>
      </w:r>
      <w:r>
        <w:rPr>
          <w:rFonts w:ascii="Times New Roman"/>
          <w:color w:val="000000"/>
        </w:rPr>
        <w:t xml:space="preserve">GB/T </w:t>
      </w:r>
      <w:r>
        <w:rPr>
          <w:rFonts w:hint="eastAsia" w:ascii="Times New Roman"/>
        </w:rPr>
        <w:t>7963</w:t>
      </w:r>
      <w:r>
        <w:rPr>
          <w:rFonts w:ascii="Times New Roman"/>
          <w:color w:val="000000"/>
        </w:rPr>
        <w:t>-</w:t>
      </w:r>
      <w:r>
        <w:rPr>
          <w:rFonts w:hint="eastAsia" w:ascii="Times New Roman"/>
          <w:color w:val="000000"/>
        </w:rPr>
        <w:t>2015相比，除结构调整和编辑性改动外，主要技术变化如下：</w:t>
      </w:r>
    </w:p>
    <w:p w14:paraId="4CB7AB13">
      <w:pPr>
        <w:pStyle w:val="28"/>
        <w:ind w:firstLine="42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a</w:t>
      </w:r>
      <w:r>
        <w:rPr>
          <w:rFonts w:hint="eastAsia" w:ascii="Times New Roman"/>
          <w:color w:val="000000" w:themeColor="text1"/>
          <w14:textFill>
            <w14:solidFill>
              <w14:schemeClr w14:val="tx1"/>
            </w14:solidFill>
          </w14:textFill>
        </w:rPr>
        <w:t>）增加了新的试样形状作为图3（见5.2）；</w:t>
      </w:r>
    </w:p>
    <w:p w14:paraId="3D2ACE4C">
      <w:pPr>
        <w:pStyle w:val="28"/>
        <w:ind w:firstLine="42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b</w:t>
      </w:r>
      <w:r>
        <w:rPr>
          <w:rFonts w:hint="eastAsia" w:ascii="Times New Roman"/>
          <w:color w:val="000000" w:themeColor="text1"/>
          <w14:textFill>
            <w14:solidFill>
              <w14:schemeClr w14:val="tx1"/>
            </w14:solidFill>
          </w14:textFill>
        </w:rPr>
        <w:t>）</w:t>
      </w:r>
      <w:r>
        <w:rPr>
          <w:rFonts w:hint="eastAsia" w:ascii="Times New Roman"/>
          <w:color w:val="auto"/>
        </w:rPr>
        <w:t>增加了5.2中可选模具模腔锥度的测量单位和</w:t>
      </w:r>
      <w:r>
        <w:rPr>
          <w:rFonts w:hint="eastAsia" w:ascii="Times New Roman"/>
          <w:color w:val="auto"/>
          <w:lang w:val="en-US" w:eastAsia="zh-CN"/>
        </w:rPr>
        <w:t>对图3规格的要求</w:t>
      </w:r>
      <w:r>
        <w:rPr>
          <w:rFonts w:hint="eastAsia" w:ascii="Times New Roman"/>
          <w:color w:val="000000" w:themeColor="text1"/>
          <w14:textFill>
            <w14:solidFill>
              <w14:schemeClr w14:val="tx1"/>
            </w14:solidFill>
          </w14:textFill>
        </w:rPr>
        <w:t xml:space="preserve">（见5.2）； </w:t>
      </w:r>
    </w:p>
    <w:p w14:paraId="2E390C08">
      <w:pPr>
        <w:pStyle w:val="28"/>
        <w:ind w:firstLine="420"/>
        <w:rPr>
          <w:rFonts w:ascii="Times New Roman"/>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c</w:t>
      </w:r>
      <w:r>
        <w:rPr>
          <w:rFonts w:hint="eastAsia" w:ascii="Times New Roman"/>
          <w:color w:val="000000" w:themeColor="text1"/>
          <w14:textFill>
            <w14:solidFill>
              <w14:schemeClr w14:val="tx1"/>
            </w14:solidFill>
          </w14:textFill>
        </w:rPr>
        <w:t>）更改了图4表中A1型R</w:t>
      </w:r>
      <w:r>
        <w:rPr>
          <w:rFonts w:hint="eastAsia" w:ascii="Times New Roman"/>
          <w:color w:val="000000" w:themeColor="text1"/>
          <w:vertAlign w:val="subscript"/>
          <w14:textFill>
            <w14:solidFill>
              <w14:schemeClr w14:val="tx1"/>
            </w14:solidFill>
          </w14:textFill>
        </w:rPr>
        <w:t>1</w:t>
      </w:r>
      <w:r>
        <w:rPr>
          <w:rFonts w:hint="eastAsia" w:ascii="Times New Roman"/>
          <w:color w:val="000000" w:themeColor="text1"/>
          <w14:textFill>
            <w14:solidFill>
              <w14:schemeClr w14:val="tx1"/>
            </w14:solidFill>
          </w14:textFill>
        </w:rPr>
        <w:t>值及A2型R</w:t>
      </w:r>
      <w:r>
        <w:rPr>
          <w:rFonts w:hint="eastAsia" w:ascii="Times New Roman"/>
          <w:color w:val="000000" w:themeColor="text1"/>
          <w:vertAlign w:val="subscript"/>
          <w14:textFill>
            <w14:solidFill>
              <w14:schemeClr w14:val="tx1"/>
            </w14:solidFill>
          </w14:textFill>
        </w:rPr>
        <w:t>1</w:t>
      </w:r>
      <w:r>
        <w:rPr>
          <w:rFonts w:hint="eastAsia" w:ascii="Times New Roman"/>
          <w:color w:val="000000" w:themeColor="text1"/>
          <w14:textFill>
            <w14:solidFill>
              <w14:schemeClr w14:val="tx1"/>
            </w14:solidFill>
          </w14:textFill>
        </w:rPr>
        <w:t>值（见6，2015年版的5）；</w:t>
      </w:r>
    </w:p>
    <w:p w14:paraId="6092C5FD">
      <w:pPr>
        <w:pStyle w:val="28"/>
        <w:ind w:firstLine="420"/>
        <w:rPr>
          <w:rFonts w:ascii="Times New Roman"/>
        </w:rPr>
      </w:pPr>
      <w:r>
        <w:rPr>
          <w:rFonts w:hint="eastAsia" w:hAnsi="宋体"/>
        </w:rPr>
        <w:t>本文件等同采用</w:t>
      </w:r>
      <w:r>
        <w:rPr>
          <w:rFonts w:ascii="Times New Roman"/>
        </w:rPr>
        <w:t xml:space="preserve">ISO </w:t>
      </w:r>
      <w:r>
        <w:rPr>
          <w:rFonts w:hint="eastAsia" w:ascii="Times New Roman"/>
        </w:rPr>
        <w:t>2740:2023《烧结金属材料（不包括硬质合金</w:t>
      </w:r>
      <w:r>
        <w:rPr>
          <w:rFonts w:hint="eastAsia" w:ascii="Times New Roman"/>
          <w:color w:val="000000"/>
        </w:rPr>
        <w:t>） 拉伸试样》</w:t>
      </w:r>
      <w:r>
        <w:rPr>
          <w:rFonts w:hint="eastAsia" w:ascii="Times New Roman"/>
        </w:rPr>
        <w:t>。</w:t>
      </w:r>
    </w:p>
    <w:p w14:paraId="79C270C5">
      <w:pPr>
        <w:pStyle w:val="28"/>
        <w:ind w:firstLine="420"/>
        <w:rPr>
          <w:rFonts w:ascii="Times New Roman"/>
        </w:rPr>
      </w:pPr>
      <w:r>
        <w:rPr>
          <w:rFonts w:hint="eastAsia" w:hAnsi="宋体" w:cs="宋体"/>
          <w:szCs w:val="21"/>
        </w:rPr>
        <w:t>请注意本文件的某些内容可能涉及专利。本文件的发布机构</w:t>
      </w:r>
      <w:r>
        <w:rPr>
          <w:rFonts w:hint="eastAsia"/>
        </w:rPr>
        <w:t>包崇</w:t>
      </w:r>
      <w:r>
        <w:rPr>
          <w:rFonts w:hint="eastAsia" w:hAnsi="宋体" w:cs="宋体"/>
          <w:szCs w:val="21"/>
        </w:rPr>
        <w:t>不承担识别专利的责任。</w:t>
      </w:r>
    </w:p>
    <w:p w14:paraId="336D2B0E">
      <w:r>
        <w:rPr>
          <w:rFonts w:hint="eastAsia"/>
        </w:rPr>
        <w:t>本文件由中国有色金属工业协会提出。</w:t>
      </w:r>
    </w:p>
    <w:p w14:paraId="7E198ABA">
      <w:r>
        <w:rPr>
          <w:rFonts w:hint="eastAsia"/>
        </w:rPr>
        <w:t>本文件由全国有色金属标准化技术委员会（SAC/TC 243）归口。</w:t>
      </w:r>
    </w:p>
    <w:p w14:paraId="77065431">
      <w:r>
        <w:rPr>
          <w:rFonts w:hint="eastAsia"/>
        </w:rPr>
        <w:t>本文件起草单位：</w:t>
      </w:r>
      <w:bookmarkStart w:id="2" w:name="OLE_LINK3"/>
      <w:r>
        <w:rPr>
          <w:rFonts w:hint="eastAsia"/>
        </w:rPr>
        <w:t>西部宝德科技股份有限公司、西北有色金属研究院、东睦新材料集团股份有限公司、钢铁研究总院有限公司、</w:t>
      </w:r>
      <w:r>
        <w:rPr>
          <w:rFonts w:hint="eastAsia"/>
          <w:color w:val="auto"/>
        </w:rPr>
        <w:t>国标（北京）检验认证有限公司、中南大学、深圳艾利佳材料科技有限公司、宁夏东方钽业股份有限公司、湖南屹林材料技术有限公司、深圳北理莫斯科大学、洛阳金鹭硬质合金工具有限公司、国合通用（青岛）测试评价有限公司、</w:t>
      </w:r>
      <w:bookmarkEnd w:id="2"/>
      <w:r>
        <w:t>西北稀有金属材料研究院宁夏有限公司</w:t>
      </w:r>
      <w:r>
        <w:rPr>
          <w:rFonts w:hint="eastAsia"/>
        </w:rPr>
        <w:t>。</w:t>
      </w:r>
    </w:p>
    <w:p w14:paraId="5F0F639A">
      <w:r>
        <w:rPr>
          <w:rFonts w:hint="eastAsia"/>
        </w:rPr>
        <w:t>本文件主要起草人</w:t>
      </w:r>
      <w:bookmarkEnd w:id="1"/>
      <w:bookmarkStart w:id="3" w:name="SectionMark4"/>
      <w:r>
        <w:rPr>
          <w:rFonts w:hint="eastAsia"/>
        </w:rPr>
        <w:t>：</w:t>
      </w:r>
      <w:bookmarkStart w:id="4" w:name="OLE_LINK5"/>
      <w:r>
        <w:rPr>
          <w:rFonts w:hint="eastAsia"/>
        </w:rPr>
        <w:t>李荣、蒲博玮、官桐乐、</w:t>
      </w:r>
      <w:bookmarkStart w:id="5" w:name="OLE_LINK4"/>
      <w:r>
        <w:rPr>
          <w:rFonts w:hint="eastAsia"/>
        </w:rPr>
        <w:t>李来平、杨保军、孙泽宇</w:t>
      </w:r>
      <w:r>
        <w:rPr>
          <w:rFonts w:hint="eastAsia"/>
          <w:lang w:eastAsia="zh-CN"/>
        </w:rPr>
        <w:t>、段满堂</w:t>
      </w:r>
      <w:r>
        <w:rPr>
          <w:rFonts w:hint="eastAsia"/>
        </w:rPr>
        <w:t>、董莎莎、张洪坤、王守仁、</w:t>
      </w:r>
      <w:r>
        <w:t>余鹏</w:t>
      </w:r>
      <w:r>
        <w:rPr>
          <w:rFonts w:hint="eastAsia"/>
        </w:rPr>
        <w:t>、</w:t>
      </w:r>
      <w:r>
        <w:rPr>
          <w:rFonts w:hint="eastAsia"/>
          <w:lang w:val="en-US" w:eastAsia="zh-CN"/>
        </w:rPr>
        <w:t>王维</w:t>
      </w:r>
      <w:r>
        <w:rPr>
          <w:rFonts w:hint="eastAsia"/>
        </w:rPr>
        <w:t>、张望成、叶曙龙、</w:t>
      </w:r>
      <w:r>
        <w:t>杨跃</w:t>
      </w:r>
      <w:r>
        <w:rPr>
          <w:rFonts w:hint="eastAsia"/>
          <w:lang w:eastAsia="zh-CN"/>
        </w:rPr>
        <w:t>、王纪兴、</w:t>
      </w:r>
      <w:bookmarkEnd w:id="4"/>
      <w:bookmarkEnd w:id="5"/>
      <w:r>
        <w:rPr>
          <w:rFonts w:hint="eastAsia"/>
        </w:rPr>
        <w:t>李美岁。</w:t>
      </w:r>
    </w:p>
    <w:p w14:paraId="6C6CE981">
      <w:r>
        <w:rPr>
          <w:rFonts w:hint="eastAsia"/>
        </w:rPr>
        <w:t>本文件及其所代替文件的历次版本发布情况为：</w:t>
      </w:r>
    </w:p>
    <w:p w14:paraId="2946DC8C">
      <w:r>
        <w:rPr>
          <w:rFonts w:hint="eastAsia"/>
        </w:rPr>
        <w:t>本文件1987年首次发布为GB/T 7963-1987，2015年第一次修订，本次为第二次修订。</w:t>
      </w:r>
    </w:p>
    <w:p w14:paraId="1E87A2E1"/>
    <w:p w14:paraId="5480582C">
      <w:pPr>
        <w:sectPr>
          <w:headerReference r:id="rId10" w:type="even"/>
          <w:pgSz w:w="11907" w:h="16839"/>
          <w:pgMar w:top="1418" w:right="1134" w:bottom="1134" w:left="1418" w:header="1418" w:footer="851" w:gutter="0"/>
          <w:pgNumType w:fmt="upperRoman" w:start="1"/>
          <w:cols w:space="720" w:num="1"/>
          <w:docGrid w:type="linesAndChars" w:linePitch="312" w:charSpace="0"/>
        </w:sectPr>
      </w:pPr>
    </w:p>
    <w:p w14:paraId="14442666">
      <w:pPr>
        <w:ind w:firstLine="640"/>
        <w:jc w:val="center"/>
        <w:rPr>
          <w:rFonts w:hint="eastAsia" w:ascii="黑体" w:hAnsi="黑体" w:eastAsia="黑体"/>
          <w:color w:val="000000"/>
          <w:sz w:val="32"/>
          <w:szCs w:val="32"/>
        </w:rPr>
      </w:pPr>
      <w:bookmarkStart w:id="6" w:name="StandardName"/>
      <w:bookmarkStart w:id="7" w:name="_Toc65050653"/>
      <w:bookmarkStart w:id="8" w:name="_Toc55210702"/>
      <w:r>
        <w:rPr>
          <w:rFonts w:hint="eastAsia" w:ascii="黑体" w:hAnsi="黑体" w:eastAsia="黑体"/>
          <w:sz w:val="32"/>
          <w:szCs w:val="32"/>
        </w:rPr>
        <w:t>烧结金属材料（不包括硬质合金</w:t>
      </w:r>
      <w:r>
        <w:rPr>
          <w:rFonts w:hint="eastAsia" w:ascii="黑体" w:hAnsi="黑体" w:eastAsia="黑体"/>
          <w:color w:val="000000"/>
          <w:sz w:val="32"/>
          <w:szCs w:val="32"/>
        </w:rPr>
        <w:t>）</w:t>
      </w:r>
      <w:bookmarkEnd w:id="6"/>
      <w:r>
        <w:rPr>
          <w:rFonts w:hint="eastAsia" w:ascii="黑体" w:hAnsi="黑体" w:eastAsia="黑体"/>
          <w:color w:val="000000"/>
          <w:sz w:val="32"/>
          <w:szCs w:val="32"/>
        </w:rPr>
        <w:t xml:space="preserve">  </w:t>
      </w:r>
      <w:r>
        <w:rPr>
          <w:rFonts w:hint="eastAsia" w:ascii="黑体" w:hAnsi="黑体" w:eastAsia="黑体"/>
          <w:sz w:val="32"/>
          <w:szCs w:val="32"/>
        </w:rPr>
        <w:t>拉伸试样</w:t>
      </w:r>
    </w:p>
    <w:p w14:paraId="1581D0FA">
      <w:pPr>
        <w:pStyle w:val="38"/>
        <w:spacing w:before="312" w:beforeLines="100" w:after="312" w:afterLines="100"/>
        <w:rPr>
          <w:rFonts w:hint="eastAsia" w:hAnsi="黑体" w:cs="黑体"/>
          <w:bCs/>
        </w:rPr>
      </w:pPr>
      <w:r>
        <w:rPr>
          <w:rFonts w:hint="eastAsia" w:hAnsi="黑体" w:cs="黑体"/>
          <w:bCs/>
        </w:rPr>
        <w:t>1  范围</w:t>
      </w:r>
      <w:bookmarkEnd w:id="7"/>
      <w:bookmarkEnd w:id="8"/>
    </w:p>
    <w:p w14:paraId="303AC9F5">
      <w:pPr>
        <w:pStyle w:val="28"/>
        <w:ind w:firstLine="420"/>
      </w:pPr>
      <w:r>
        <w:rPr>
          <w:rFonts w:hint="eastAsia"/>
        </w:rPr>
        <w:t>本文件适用于所有烧结金属及合金材料，不包括硬质合金。</w:t>
      </w:r>
    </w:p>
    <w:p w14:paraId="5A628C40">
      <w:pPr>
        <w:pStyle w:val="28"/>
        <w:ind w:firstLine="420"/>
      </w:pPr>
      <w:r>
        <w:rPr>
          <w:rFonts w:hint="eastAsia"/>
        </w:rPr>
        <w:t>本文件规定：</w:t>
      </w:r>
    </w:p>
    <w:p w14:paraId="11AB61B3">
      <w:pPr>
        <w:pStyle w:val="28"/>
        <w:ind w:firstLine="420"/>
      </w:pPr>
      <w:r>
        <w:rPr>
          <w:rFonts w:hint="eastAsia"/>
        </w:rPr>
        <w:t>——用于通过压制烧结法及金属注射成型</w:t>
      </w:r>
      <w:r>
        <w:rPr>
          <w:rFonts w:hint="eastAsia" w:ascii="Times New Roman"/>
        </w:rPr>
        <w:t>-</w:t>
      </w:r>
      <w:r>
        <w:rPr>
          <w:rFonts w:hint="eastAsia"/>
        </w:rPr>
        <w:t>烧结工艺制备拉伸试样的模具型腔尺寸；</w:t>
      </w:r>
    </w:p>
    <w:p w14:paraId="76CFB976">
      <w:pPr>
        <w:pStyle w:val="28"/>
        <w:ind w:firstLine="420"/>
      </w:pPr>
      <w:r>
        <w:rPr>
          <w:rFonts w:hint="eastAsia"/>
        </w:rPr>
        <w:t>——</w:t>
      </w:r>
      <w:r>
        <w:rPr>
          <w:rFonts w:hint="eastAsia" w:ascii="Times New Roman"/>
        </w:rPr>
        <w:t>烧结和粉末锻造材料经加工拉伸试样的尺寸。</w:t>
      </w:r>
    </w:p>
    <w:p w14:paraId="1A0ACEDE">
      <w:pPr>
        <w:pStyle w:val="38"/>
        <w:spacing w:before="312" w:beforeLines="100" w:after="312" w:afterLines="100"/>
        <w:rPr>
          <w:rFonts w:hint="eastAsia" w:hAnsi="黑体" w:cs="黑体"/>
          <w:bCs/>
        </w:rPr>
      </w:pPr>
      <w:r>
        <w:rPr>
          <w:rFonts w:hint="eastAsia" w:hAnsi="黑体" w:cs="黑体"/>
          <w:bCs/>
        </w:rPr>
        <w:t>2  规范性引用文件</w:t>
      </w:r>
    </w:p>
    <w:p w14:paraId="2BAEDCD0">
      <w:r>
        <w:rPr>
          <w:rFonts w:hint="eastAsia"/>
        </w:rPr>
        <w:t>下列文件中的内容通过文中的规范性引用而构成本文件必不可少的条款。其中，注日期的引用文件，仅该日期对应的版本适用于本文件；不注日期的引用文件，其最新版本（含所有修订内容）适用于本文件。</w:t>
      </w:r>
    </w:p>
    <w:p w14:paraId="6E59D9F2">
      <w:r>
        <w:t>ISO</w:t>
      </w:r>
      <w:r>
        <w:rPr>
          <w:rFonts w:hint="eastAsia"/>
        </w:rPr>
        <w:t xml:space="preserve"> 6892-1</w:t>
      </w:r>
      <w:r>
        <w:t xml:space="preserve"> </w:t>
      </w:r>
      <w:r>
        <w:rPr>
          <w:rFonts w:hint="eastAsia"/>
        </w:rPr>
        <w:t>金属材料 拉伸试验 第1部分：室温试验方法（Metallic materials—Tensile testing—Part1:Method of test at room temperature）</w:t>
      </w:r>
    </w:p>
    <w:p w14:paraId="080B1693">
      <w:pPr>
        <w:ind w:firstLine="360"/>
      </w:pPr>
      <w:r>
        <w:rPr>
          <w:rStyle w:val="17"/>
          <w:rFonts w:hint="eastAsia" w:ascii="黑体" w:hAnsi="黑体" w:eastAsia="黑体" w:cs="黑体"/>
          <w:sz w:val="18"/>
          <w:szCs w:val="18"/>
        </w:rPr>
        <w:t>注：</w:t>
      </w:r>
      <w:r>
        <w:rPr>
          <w:rFonts w:hint="eastAsia"/>
        </w:rPr>
        <w:t>GB/T 228.1-2021 金属材料 拉伸试验 第1部分 室温试验方法（ISO 6892-1:2019，MOD）</w:t>
      </w:r>
    </w:p>
    <w:p w14:paraId="2C6DAA0B">
      <w:r>
        <w:rPr>
          <w:rFonts w:hint="eastAsia"/>
        </w:rPr>
        <w:t>ISO 7500-1 金属材料 静力单轴试验机的检验与校准 第1部分：拉力和（或）压力试验机 测力系统的检验与校准（Metallic materials—Calibration and verification of static uniaxial testing machines—Part1:Tension/compression testing machines—Calibration and verification of the force-measuring system）</w:t>
      </w:r>
    </w:p>
    <w:p w14:paraId="06213B05">
      <w:pPr>
        <w:ind w:firstLine="360"/>
      </w:pPr>
      <w:r>
        <w:rPr>
          <w:rStyle w:val="17"/>
          <w:rFonts w:hint="eastAsia" w:ascii="黑体" w:hAnsi="黑体" w:eastAsia="黑体" w:cs="黑体"/>
          <w:sz w:val="18"/>
          <w:szCs w:val="18"/>
        </w:rPr>
        <w:t>注：</w:t>
      </w:r>
      <w:r>
        <w:rPr>
          <w:rFonts w:hint="eastAsia"/>
        </w:rPr>
        <w:t>GB/T 16825.1-2022 金属材料 静力单轴试验机的检验与校准 第1部分：拉力和（或）压力试验机 测力系统的检验与校准（ISO 7500-1:2018，IDT）</w:t>
      </w:r>
    </w:p>
    <w:p w14:paraId="43E1EC2F">
      <w:pPr>
        <w:pStyle w:val="38"/>
        <w:spacing w:before="312" w:beforeLines="100" w:after="312" w:afterLines="100"/>
        <w:rPr>
          <w:rFonts w:hint="eastAsia" w:hAnsi="宋体"/>
          <w:bCs/>
        </w:rPr>
      </w:pPr>
      <w:r>
        <w:rPr>
          <w:rFonts w:hint="eastAsia" w:hAnsi="宋体"/>
          <w:bCs/>
        </w:rPr>
        <w:t>3  术语和定义</w:t>
      </w:r>
    </w:p>
    <w:p w14:paraId="4D2E97D9">
      <w:r>
        <w:rPr>
          <w:rFonts w:hint="eastAsia"/>
        </w:rPr>
        <w:t>本文件没有需要界定的术语和定义。</w:t>
      </w:r>
    </w:p>
    <w:p w14:paraId="0F843255">
      <w:pPr>
        <w:pStyle w:val="38"/>
        <w:spacing w:before="312" w:beforeLines="100" w:after="312" w:afterLines="100"/>
        <w:rPr>
          <w:rFonts w:hint="eastAsia" w:hAnsi="宋体"/>
          <w:bCs/>
        </w:rPr>
      </w:pPr>
      <w:r>
        <w:rPr>
          <w:rFonts w:hint="eastAsia" w:hAnsi="宋体"/>
          <w:bCs/>
        </w:rPr>
        <w:t>4  试验方法</w:t>
      </w:r>
    </w:p>
    <w:p w14:paraId="5D8B99D4">
      <w:pPr>
        <w:pStyle w:val="28"/>
        <w:ind w:firstLine="0" w:firstLineChars="0"/>
        <w:jc w:val="left"/>
        <w:rPr>
          <w:rFonts w:ascii="Times New Roman"/>
        </w:rPr>
      </w:pPr>
      <w:r>
        <w:rPr>
          <w:rFonts w:hint="eastAsia" w:ascii="Times New Roman"/>
        </w:rPr>
        <w:t>4.1  试样应按照ISO 6892-1进行测试，拉伸试验机应按ISO 7500-1校准至1级。</w:t>
      </w:r>
    </w:p>
    <w:p w14:paraId="4F9947A3">
      <w:pPr>
        <w:pStyle w:val="28"/>
        <w:ind w:firstLine="0" w:firstLineChars="0"/>
        <w:jc w:val="left"/>
        <w:rPr>
          <w:rFonts w:ascii="Times New Roman"/>
        </w:rPr>
      </w:pPr>
      <w:r>
        <w:rPr>
          <w:rFonts w:hint="eastAsia" w:ascii="Times New Roman"/>
        </w:rPr>
        <w:t>4.2  测试3个或3个以上试样的试验数据。</w:t>
      </w:r>
    </w:p>
    <w:p w14:paraId="465E0817">
      <w:pPr>
        <w:pStyle w:val="38"/>
        <w:spacing w:before="312" w:beforeLines="100" w:after="312" w:afterLines="100"/>
        <w:rPr>
          <w:rFonts w:hint="eastAsia" w:hAnsi="宋体"/>
          <w:bCs/>
        </w:rPr>
      </w:pPr>
      <w:r>
        <w:rPr>
          <w:rFonts w:hint="eastAsia" w:hAnsi="宋体"/>
          <w:bCs/>
        </w:rPr>
        <w:t>5  试样制备</w:t>
      </w:r>
    </w:p>
    <w:p w14:paraId="206925F6">
      <w:pPr>
        <w:pStyle w:val="37"/>
        <w:spacing w:before="156" w:after="156"/>
      </w:pPr>
      <w:r>
        <w:rPr>
          <w:rFonts w:hint="eastAsia"/>
        </w:rPr>
        <w:t>5.1  压制-烧结试样</w:t>
      </w:r>
    </w:p>
    <w:p w14:paraId="7CE20C68">
      <w:pPr>
        <w:pStyle w:val="28"/>
        <w:ind w:firstLine="420"/>
        <w:rPr>
          <w:rFonts w:ascii="Times New Roman" w:cs="宋体"/>
        </w:rPr>
      </w:pPr>
      <w:r>
        <w:rPr>
          <w:rFonts w:hint="eastAsia" w:ascii="Times New Roman"/>
        </w:rPr>
        <w:t>拉伸试样的厚度应为5mm</w:t>
      </w:r>
      <w:r>
        <w:rPr>
          <w:rFonts w:hint="eastAsia" w:ascii="Times New Roman" w:cs="宋体"/>
        </w:rPr>
        <w:t>～6.5mm。为适应金属粉末中不同的表观密度，厚度公差为1.5mm。</w:t>
      </w:r>
    </w:p>
    <w:p w14:paraId="0702DAE9">
      <w:pPr>
        <w:pStyle w:val="28"/>
        <w:ind w:firstLine="420"/>
        <w:rPr>
          <w:rFonts w:ascii="Times New Roman" w:cs="宋体"/>
        </w:rPr>
      </w:pPr>
      <w:r>
        <w:rPr>
          <w:rFonts w:hint="eastAsia" w:ascii="Times New Roman" w:cs="宋体"/>
        </w:rPr>
        <w:t>测试时，较薄的试样在夹持过程中滑动更少，且更易在标距长度的中心附近断裂。</w:t>
      </w:r>
    </w:p>
    <w:p w14:paraId="1394CA21">
      <w:pPr>
        <w:pStyle w:val="28"/>
        <w:ind w:firstLine="420"/>
        <w:rPr>
          <w:rFonts w:ascii="Times New Roman" w:cs="宋体"/>
        </w:rPr>
      </w:pPr>
      <w:r>
        <w:rPr>
          <w:rFonts w:hint="eastAsia" w:ascii="Times New Roman" w:cs="宋体"/>
        </w:rPr>
        <w:t>若需测量伸长率，可在中心线两侧对称位置以25mm间距进行浅划线标记，具体见图1a）、2a）及3a）。在标距之间，厚度变化应不大于0.04mm。标距长度应以不影响拉伸性能的方式进行标记。</w:t>
      </w:r>
    </w:p>
    <w:p w14:paraId="4E1B1147">
      <w:pPr>
        <w:pStyle w:val="28"/>
        <w:ind w:firstLine="420"/>
        <w:rPr>
          <w:rFonts w:ascii="Times New Roman" w:cs="宋体"/>
        </w:rPr>
      </w:pPr>
      <w:r>
        <w:rPr>
          <w:rFonts w:hint="eastAsia" w:ascii="Times New Roman" w:cs="宋体"/>
        </w:rPr>
        <w:t>由于在实验室条件下压制的试样棱角处可能产生微分层，</w:t>
      </w:r>
      <w:r>
        <w:rPr>
          <w:rFonts w:hint="eastAsia" w:ascii="Times New Roman" w:cs="宋体"/>
          <w:lang w:val="en-US" w:eastAsia="zh-CN"/>
        </w:rPr>
        <w:t>应</w:t>
      </w:r>
      <w:r>
        <w:rPr>
          <w:rFonts w:hint="eastAsia" w:ascii="Times New Roman" w:cs="宋体"/>
        </w:rPr>
        <w:t>对具有代表性的烧结试样进行</w:t>
      </w:r>
      <w:r>
        <w:rPr>
          <w:rFonts w:hint="eastAsia" w:ascii="Times New Roman" w:cs="宋体"/>
          <w:lang w:val="en-US" w:eastAsia="zh-CN"/>
        </w:rPr>
        <w:t>显微观察</w:t>
      </w:r>
      <w:r>
        <w:rPr>
          <w:rFonts w:hint="eastAsia" w:ascii="Times New Roman" w:cs="宋体"/>
        </w:rPr>
        <w:t>，确保不存在长度超过0.25mm的微分层。</w:t>
      </w:r>
    </w:p>
    <w:p w14:paraId="7F72C0F5">
      <w:pPr>
        <w:pStyle w:val="37"/>
        <w:spacing w:before="156" w:after="156"/>
      </w:pPr>
      <w:r>
        <w:rPr>
          <w:rFonts w:hint="eastAsia"/>
        </w:rPr>
        <w:t>5.2  模具规格</w:t>
      </w:r>
    </w:p>
    <w:p w14:paraId="706173FB">
      <w:pPr>
        <w:pStyle w:val="28"/>
        <w:ind w:firstLine="420"/>
        <w:rPr>
          <w:rFonts w:ascii="Times New Roman"/>
        </w:rPr>
      </w:pPr>
      <w:r>
        <w:rPr>
          <w:rFonts w:hint="eastAsia" w:ascii="Times New Roman"/>
          <w:color w:val="auto"/>
        </w:rPr>
        <w:t>图 1b)、图 2b)、图 3b）所示为三种允许的模腔尺寸。模具材质推荐采用硬质合金，模具表面光洁度应满足试样能正常压制成型。模具</w:t>
      </w:r>
      <w:r>
        <w:rPr>
          <w:rFonts w:hint="eastAsia" w:ascii="Times New Roman"/>
          <w:color w:val="auto"/>
          <w:lang w:val="en-US" w:eastAsia="zh-CN"/>
        </w:rPr>
        <w:t>宜</w:t>
      </w:r>
      <w:r>
        <w:rPr>
          <w:rFonts w:hint="eastAsia" w:ascii="Times New Roman"/>
          <w:color w:val="auto"/>
        </w:rPr>
        <w:t>带有微小的出口锥度，以便于脱模，避免试样产生裂纹或微分层，例如每侧为0.01mm，用作复压模具的模腔尺寸可扩大0.5%。</w:t>
      </w:r>
      <w:r>
        <w:rPr>
          <w:rFonts w:hint="eastAsia" w:ascii="Times New Roman"/>
        </w:rPr>
        <w:t>模具</w:t>
      </w:r>
      <w:r>
        <w:rPr>
          <w:rFonts w:hint="eastAsia" w:ascii="Times New Roman"/>
          <w:color w:val="auto"/>
        </w:rPr>
        <w:t>宜采</w:t>
      </w:r>
      <w:r>
        <w:rPr>
          <w:rFonts w:hint="eastAsia" w:ascii="Times New Roman"/>
        </w:rPr>
        <w:t>用收缩环提供良好支撑，以降低其内拉应力。为减少试样产生裂纹的概率，建议在脱模过程中采用上冲头压持工艺。</w:t>
      </w:r>
    </w:p>
    <w:p w14:paraId="65AB637C">
      <w:pPr>
        <w:pStyle w:val="28"/>
        <w:ind w:firstLine="420"/>
        <w:rPr>
          <w:rFonts w:ascii="Times New Roman"/>
        </w:rPr>
      </w:pPr>
      <w:r>
        <w:rPr>
          <w:rFonts w:hint="eastAsia" w:ascii="Times New Roman"/>
        </w:rPr>
        <w:t>图 1b）中的模具适用于烧结态试样。将试样的20</w:t>
      </w:r>
      <w:r>
        <w:rPr>
          <w:rFonts w:ascii="Times New Roman"/>
        </w:rPr>
        <w:t>°</w:t>
      </w:r>
      <w:r>
        <w:rPr>
          <w:rFonts w:hint="eastAsia" w:ascii="Times New Roman"/>
        </w:rPr>
        <w:t>楔形面滑入夹具上加工的匹配凹槽中，即可轻松完成装夹。图 1a）所示为该试样。</w:t>
      </w:r>
    </w:p>
    <w:p w14:paraId="7B147D43">
      <w:pPr>
        <w:pStyle w:val="28"/>
        <w:ind w:firstLine="420"/>
        <w:rPr>
          <w:rFonts w:ascii="Times New Roman"/>
        </w:rPr>
      </w:pPr>
      <w:r>
        <w:rPr>
          <w:rFonts w:hint="eastAsia" w:ascii="Times New Roman"/>
        </w:rPr>
        <w:t>图 2b）中的模具适用于烧结态试样。如图 2a)所示，带锯齿的试样通过其夹持端的凸起锯齿</w:t>
      </w:r>
      <w:r>
        <w:rPr>
          <w:rFonts w:ascii="Times New Roman"/>
        </w:rPr>
        <w:t>来卡紧</w:t>
      </w:r>
      <w:r>
        <w:rPr>
          <w:rFonts w:hint="eastAsia" w:ascii="Times New Roman"/>
        </w:rPr>
        <w:t>，以防止测试过程中发生滑动。测试时，确保夹具能正确安装到卡爪中至关重要。此外，无锯齿的光滑试样装夹时直接通过平面进行固定。</w:t>
      </w:r>
    </w:p>
    <w:p w14:paraId="5C165EC9">
      <w:pPr>
        <w:pStyle w:val="28"/>
        <w:ind w:firstLine="420"/>
        <w:rPr>
          <w:rFonts w:ascii="Times New Roman"/>
        </w:rPr>
      </w:pPr>
      <w:r>
        <w:rPr>
          <w:rFonts w:hint="eastAsia" w:ascii="Times New Roman"/>
        </w:rPr>
        <w:t>图 3b）中的模具适用于高强度材料试样，如烧结硬化或热处理材料。带锯齿的试样通过其夹持端的凸起锯齿</w:t>
      </w:r>
      <w:r>
        <w:rPr>
          <w:rFonts w:ascii="Times New Roman"/>
        </w:rPr>
        <w:t>来卡紧</w:t>
      </w:r>
      <w:r>
        <w:rPr>
          <w:rFonts w:hint="eastAsia" w:ascii="Times New Roman"/>
        </w:rPr>
        <w:t>，以防止测试过程中发生滑动。测试时，确保夹具能正确安装到卡爪中至关重要。此外，无锯齿的光滑试样装夹时直接通过平面进行固定。</w:t>
      </w:r>
    </w:p>
    <w:p w14:paraId="613F3124">
      <w:pPr>
        <w:pStyle w:val="28"/>
        <w:ind w:firstLine="420"/>
        <w:rPr>
          <w:rFonts w:ascii="Times New Roman"/>
        </w:rPr>
      </w:pPr>
      <w:r>
        <w:rPr>
          <w:rFonts w:hint="eastAsia" w:ascii="Times New Roman"/>
        </w:rPr>
        <w:t>对于烧结态材料试样制备时，最好采用图 1b)或图 2b)所示结构的模具。</w:t>
      </w:r>
      <w:r>
        <w:rPr>
          <w:rFonts w:hint="eastAsia" w:ascii="Times New Roman"/>
          <w:color w:val="auto"/>
        </w:rPr>
        <w:t>当测试相对脆性的热处理材料时，</w:t>
      </w:r>
      <w:r>
        <w:rPr>
          <w:rFonts w:hint="eastAsia" w:ascii="Times New Roman"/>
        </w:rPr>
        <w:t>试样尖角产生的约束作用可能导致其拉伸数据低于</w:t>
      </w:r>
      <w:r>
        <w:rPr>
          <w:rFonts w:ascii="Times New Roman"/>
        </w:rPr>
        <w:t>机械加工</w:t>
      </w:r>
      <w:r>
        <w:rPr>
          <w:rFonts w:hint="eastAsia" w:ascii="Times New Roman"/>
        </w:rPr>
        <w:t>拉伸试样（见图 6），此时可采用图 3a)所示的几何结构。</w:t>
      </w:r>
    </w:p>
    <w:p w14:paraId="504D100A">
      <w:pPr>
        <w:pStyle w:val="38"/>
        <w:spacing w:before="312" w:beforeLines="100" w:after="312" w:afterLines="100"/>
        <w:rPr>
          <w:rFonts w:hint="eastAsia" w:hAnsi="宋体"/>
          <w:bCs/>
        </w:rPr>
      </w:pPr>
      <w:r>
        <w:rPr>
          <w:rFonts w:hint="eastAsia" w:hAnsi="宋体"/>
          <w:bCs/>
        </w:rPr>
        <w:t>6  金属注射成型试样</w:t>
      </w:r>
    </w:p>
    <w:p w14:paraId="376D20EE">
      <w:pPr>
        <w:pStyle w:val="28"/>
        <w:ind w:firstLine="420"/>
        <w:rPr>
          <w:rFonts w:ascii="Times New Roman"/>
        </w:rPr>
      </w:pPr>
      <w:r>
        <w:rPr>
          <w:rFonts w:hint="eastAsia" w:ascii="Times New Roman"/>
        </w:rPr>
        <w:t>图 4所示为一个直径较大的金属注射成型拉伸试样(A 型)模具型腔。图 5所示为一个直径较小的金属注射成型拉伸试样(B 型)模腔。测试时，通孔中插入硬化钢销。销钉被夹持在卡爪中，并以自对准方式安装在试验机上。通孔一般是在试样烧结后钻出，不应采用成型的方式制做通孔。烧结后，大试样通孔的直径</w:t>
      </w:r>
      <w:r>
        <w:rPr>
          <w:rFonts w:hint="eastAsia" w:ascii="Times New Roman"/>
          <w:lang w:val="en-US" w:eastAsia="zh-CN"/>
        </w:rPr>
        <w:t>宜</w:t>
      </w:r>
      <w:r>
        <w:rPr>
          <w:rFonts w:hint="eastAsia" w:ascii="Times New Roman"/>
        </w:rPr>
        <w:t>选</w:t>
      </w:r>
      <w:r>
        <w:rPr>
          <w:rFonts w:hint="eastAsia" w:ascii="Times New Roman"/>
          <w:position w:val="-10"/>
        </w:rPr>
        <w:object>
          <v:shape id="_x0000_i1025" o:spt="75" type="#_x0000_t75" style="height:16pt;width:30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ascii="Times New Roman"/>
        </w:rPr>
        <w:t>mm，小试样通孔直径</w:t>
      </w:r>
      <w:r>
        <w:rPr>
          <w:rFonts w:hint="eastAsia" w:ascii="Times New Roman"/>
          <w:lang w:val="en-US" w:eastAsia="zh-CN"/>
        </w:rPr>
        <w:t>宜</w:t>
      </w:r>
      <w:r>
        <w:rPr>
          <w:rFonts w:hint="eastAsia" w:ascii="Times New Roman"/>
        </w:rPr>
        <w:t>选</w:t>
      </w:r>
      <w:r>
        <w:rPr>
          <w:rFonts w:hint="eastAsia" w:ascii="Times New Roman"/>
          <w:position w:val="-12"/>
        </w:rPr>
        <w:object>
          <v:shape id="_x0000_i1026" o:spt="75" type="#_x0000_t75" style="height:19pt;width:42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Times New Roman"/>
        </w:rPr>
        <w:t>mm。模具尺寸在烧结过程中会收缩约17%，但收缩率存在偏差是允许的。两种棒材设计均可采用。按照5.1的要求标记标距。</w:t>
      </w:r>
    </w:p>
    <w:p w14:paraId="7095275F">
      <w:pPr>
        <w:pStyle w:val="28"/>
        <w:ind w:firstLine="420"/>
        <w:rPr>
          <w:rFonts w:ascii="Times New Roman"/>
        </w:rPr>
      </w:pPr>
      <w:r>
        <w:rPr>
          <w:rFonts w:hint="eastAsia" w:ascii="Times New Roman"/>
        </w:rPr>
        <w:t>浇口、制造商标识及顶出装置位置均为可选设置，但不得位于标距长度</w:t>
      </w:r>
      <w:r>
        <w:rPr>
          <w:rFonts w:hint="eastAsia" w:ascii="Times New Roman"/>
          <w:i/>
          <w:iCs/>
        </w:rPr>
        <w:t>L</w:t>
      </w:r>
      <w:r>
        <w:rPr>
          <w:rFonts w:hint="eastAsia" w:ascii="Times New Roman"/>
          <w:vertAlign w:val="subscript"/>
        </w:rPr>
        <w:t>c</w:t>
      </w:r>
      <w:r>
        <w:rPr>
          <w:rFonts w:hint="eastAsia" w:ascii="Times New Roman"/>
        </w:rPr>
        <w:t>范围内，也不得位于装夹区域内。</w:t>
      </w:r>
    </w:p>
    <w:p w14:paraId="25144A58">
      <w:pPr>
        <w:pStyle w:val="38"/>
        <w:spacing w:before="312" w:beforeLines="100" w:after="312" w:afterLines="100"/>
        <w:rPr>
          <w:rFonts w:hint="eastAsia" w:hAnsi="宋体"/>
          <w:bCs/>
        </w:rPr>
      </w:pPr>
      <w:r>
        <w:rPr>
          <w:rFonts w:hint="eastAsia" w:hAnsi="宋体"/>
          <w:bCs/>
        </w:rPr>
        <w:t>7  机械加工试样</w:t>
      </w:r>
      <w:bookmarkEnd w:id="3"/>
    </w:p>
    <w:p w14:paraId="1674DBED">
      <w:pPr>
        <w:pStyle w:val="28"/>
        <w:ind w:firstLine="0" w:firstLineChars="0"/>
        <w:rPr>
          <w:rFonts w:ascii="Times New Roman"/>
        </w:rPr>
      </w:pPr>
      <w:r>
        <w:rPr>
          <w:rFonts w:hint="eastAsia" w:ascii="黑体" w:hAnsi="黑体" w:eastAsia="黑体"/>
        </w:rPr>
        <w:t>7.1</w:t>
      </w:r>
      <w:r>
        <w:rPr>
          <w:rFonts w:hint="eastAsia" w:ascii="Times New Roman"/>
        </w:rPr>
        <w:t xml:space="preserve">  机械加工圆头拉伸试样的尺寸如图 6所示。试样可由标准规格为 10 mm×10 mm×75 mm的冲击试棒加工而成。在标距长度范围内，公称直径的锥度为0.1 mm，即使对于相对脆性材料，通常也会导致断裂发生在标距区域内。</w:t>
      </w:r>
    </w:p>
    <w:p w14:paraId="1C25D14A">
      <w:pPr>
        <w:pStyle w:val="28"/>
        <w:ind w:firstLine="420"/>
        <w:rPr>
          <w:rFonts w:ascii="Times New Roman"/>
        </w:rPr>
      </w:pPr>
      <w:r>
        <w:rPr>
          <w:rFonts w:ascii="Times New Roman"/>
        </w:rPr>
        <w:t>若材料需在</w:t>
      </w:r>
      <w:r>
        <w:rPr>
          <w:rFonts w:hint="eastAsia" w:ascii="Times New Roman"/>
        </w:rPr>
        <w:t>研磨</w:t>
      </w:r>
      <w:r>
        <w:rPr>
          <w:rFonts w:ascii="Times New Roman"/>
        </w:rPr>
        <w:t>后进行渗碳处理，标距区域的表面孔隙应保持开放状态，以便渗碳气体进入。最终抛光需沿纵向进行（不得出现可见的环向划痕）。</w:t>
      </w:r>
    </w:p>
    <w:p w14:paraId="71DAD494">
      <w:pPr>
        <w:pStyle w:val="28"/>
        <w:ind w:firstLine="420"/>
        <w:rPr>
          <w:rFonts w:ascii="Times New Roman"/>
        </w:rPr>
      </w:pPr>
      <w:r>
        <w:rPr>
          <w:rFonts w:ascii="Times New Roman"/>
        </w:rPr>
        <w:t>试样通过可拆分的夹头装夹，夹头紧密包裹试样的20°锥形区域。测试</w:t>
      </w:r>
      <w:r>
        <w:rPr>
          <w:rFonts w:hint="eastAsia" w:ascii="Times New Roman"/>
        </w:rPr>
        <w:t>时</w:t>
      </w:r>
      <w:r>
        <w:rPr>
          <w:rFonts w:ascii="Times New Roman"/>
        </w:rPr>
        <w:t>，试样由同一锥形区域提供支撑。试样应按</w:t>
      </w:r>
      <w:r>
        <w:rPr>
          <w:rFonts w:hint="eastAsia" w:ascii="Times New Roman"/>
        </w:rPr>
        <w:t>5</w:t>
      </w:r>
      <w:r>
        <w:rPr>
          <w:rFonts w:ascii="Times New Roman"/>
        </w:rPr>
        <w:t>.1的要求标出25 mm的标距。</w:t>
      </w:r>
    </w:p>
    <w:p w14:paraId="731A23A7">
      <w:pPr>
        <w:pStyle w:val="28"/>
        <w:ind w:firstLine="420"/>
        <w:rPr>
          <w:rFonts w:ascii="Times New Roman"/>
        </w:rPr>
      </w:pPr>
      <w:r>
        <w:rPr>
          <w:rFonts w:ascii="Times New Roman"/>
        </w:rPr>
        <w:t>该试样与符合图 3a）所示的试样</w:t>
      </w:r>
      <w:r>
        <w:rPr>
          <w:rFonts w:ascii="Times New Roman"/>
          <w:color w:val="auto"/>
        </w:rPr>
        <w:t>一</w:t>
      </w:r>
      <w:r>
        <w:rPr>
          <w:rFonts w:hint="eastAsia" w:ascii="Times New Roman"/>
          <w:color w:val="auto"/>
        </w:rPr>
        <w:t>起</w:t>
      </w:r>
      <w:r>
        <w:rPr>
          <w:rFonts w:ascii="Times New Roman"/>
          <w:color w:val="auto"/>
        </w:rPr>
        <w:t>，主要推荐用于测试热处理状态下的材料</w:t>
      </w:r>
      <w:r>
        <w:rPr>
          <w:rFonts w:hint="eastAsia" w:ascii="Times New Roman"/>
          <w:color w:val="auto"/>
        </w:rPr>
        <w:t>，</w:t>
      </w:r>
      <w:r>
        <w:rPr>
          <w:rFonts w:ascii="Times New Roman"/>
          <w:color w:val="auto"/>
        </w:rPr>
        <w:t xml:space="preserve">此类材料在25 </w:t>
      </w:r>
      <w:r>
        <w:rPr>
          <w:rFonts w:hint="eastAsia" w:ascii="Times New Roman"/>
          <w:color w:val="auto"/>
        </w:rPr>
        <w:t>mm</w:t>
      </w:r>
      <w:r>
        <w:rPr>
          <w:rFonts w:ascii="Times New Roman"/>
          <w:color w:val="auto"/>
        </w:rPr>
        <w:t>标距内的断裂伸长率可能低于0.5%。无论试样</w:t>
      </w:r>
      <w:r>
        <w:rPr>
          <w:rFonts w:hint="eastAsia" w:ascii="Times New Roman"/>
          <w:color w:val="auto"/>
        </w:rPr>
        <w:t>是</w:t>
      </w:r>
      <w:r>
        <w:rPr>
          <w:rFonts w:ascii="Times New Roman"/>
          <w:color w:val="auto"/>
        </w:rPr>
        <w:t>烧结态还是热处理态，当</w:t>
      </w:r>
      <w:r>
        <w:rPr>
          <w:rFonts w:ascii="Times New Roman"/>
        </w:rPr>
        <w:t>马氏体体积分数超过 20%时，均推荐使用该试样。加工过程中会产生加工硬化现象，若试样在烧结加工后进行测试，这种硬化会降低材料的延伸率并提高屈服强度，这种情况在不锈钢中尤为明显。</w:t>
      </w:r>
    </w:p>
    <w:p w14:paraId="4CD6C177">
      <w:pPr>
        <w:pStyle w:val="28"/>
        <w:ind w:firstLine="420"/>
        <w:rPr>
          <w:rFonts w:ascii="Times New Roman"/>
        </w:rPr>
      </w:pPr>
      <w:r>
        <w:rPr>
          <w:rFonts w:ascii="Times New Roman"/>
        </w:rPr>
        <w:t>在奥氏体化和油淬过程中，常规烧结合金钢可能无法从机加工试样的表面完全硬化至中心部位。对于这类试样，可在报告中标</w:t>
      </w:r>
      <w:r>
        <w:rPr>
          <w:rFonts w:hint="eastAsia" w:ascii="Times New Roman"/>
        </w:rPr>
        <w:t>明</w:t>
      </w:r>
      <w:r>
        <w:rPr>
          <w:rFonts w:ascii="Times New Roman"/>
        </w:rPr>
        <w:t>从表面到芯部的硬度值</w:t>
      </w:r>
      <w:r>
        <w:rPr>
          <w:rFonts w:hint="eastAsia" w:ascii="Times New Roman"/>
        </w:rPr>
        <w:t>。</w:t>
      </w:r>
    </w:p>
    <w:p w14:paraId="65C8DF8D">
      <w:pPr>
        <w:pStyle w:val="28"/>
        <w:ind w:firstLine="0" w:firstLineChars="0"/>
        <w:rPr>
          <w:rFonts w:ascii="Times New Roman"/>
        </w:rPr>
      </w:pPr>
      <w:r>
        <w:rPr>
          <w:rFonts w:hint="eastAsia" w:ascii="黑体" w:hAnsi="黑体" w:eastAsia="黑体"/>
        </w:rPr>
        <w:t>7.2</w:t>
      </w:r>
      <w:r>
        <w:rPr>
          <w:rFonts w:hint="eastAsia" w:ascii="Times New Roman"/>
        </w:rPr>
        <w:t xml:space="preserve">  其他机械加工的圆柱试样应符合ISO 6892-1 标准的规定。</w:t>
      </w:r>
    </w:p>
    <w:p w14:paraId="6634FE96">
      <w:pPr>
        <w:pStyle w:val="28"/>
        <w:ind w:firstLine="420"/>
        <w:rPr>
          <w:rFonts w:ascii="Times New Roman"/>
        </w:rPr>
      </w:pPr>
      <w:r>
        <w:rPr>
          <w:rFonts w:hint="eastAsia" w:ascii="Times New Roman"/>
        </w:rPr>
        <w:t>当试样测试部分的直径小于4 mm时，测试报告中应同时给出拉伸数据和实际直径数据。并且，需要说明的是这个小直径试样获得的拉伸数据与大直径试样获得的拉伸数据没有可比性。</w:t>
      </w:r>
    </w:p>
    <w:p w14:paraId="1A179C95">
      <w:pPr>
        <w:pStyle w:val="28"/>
        <w:ind w:firstLine="420"/>
        <w:rPr>
          <w:rFonts w:ascii="Times New Roman"/>
        </w:rPr>
      </w:pPr>
      <w:r>
        <w:rPr>
          <w:rFonts w:hint="eastAsia" w:ascii="Times New Roman"/>
        </w:rPr>
        <w:t>对于烧结试样，建议使用两端各带有两个凸肩的试样。凸肩内侧的半径</w:t>
      </w:r>
      <w:r>
        <w:rPr>
          <w:rFonts w:hint="eastAsia" w:ascii="Times New Roman"/>
          <w:lang w:val="en-US" w:eastAsia="zh-CN"/>
        </w:rPr>
        <w:t>宜</w:t>
      </w:r>
      <w:r>
        <w:rPr>
          <w:rFonts w:hint="eastAsia" w:ascii="Times New Roman"/>
        </w:rPr>
        <w:t>在1.5 mm至2.5 mm之间（见图 6）。</w:t>
      </w:r>
    </w:p>
    <w:p w14:paraId="16DEBCAC">
      <w:pPr>
        <w:pStyle w:val="38"/>
        <w:spacing w:before="312" w:beforeLines="100" w:after="312" w:afterLines="100"/>
        <w:rPr>
          <w:rFonts w:hint="eastAsia" w:hAnsi="宋体"/>
          <w:bCs/>
        </w:rPr>
      </w:pPr>
      <w:r>
        <w:rPr>
          <w:rFonts w:hint="eastAsia" w:hAnsi="宋体"/>
          <w:bCs/>
        </w:rPr>
        <w:t>8  试样的标识</w:t>
      </w:r>
    </w:p>
    <w:p w14:paraId="79F8E354">
      <w:pPr>
        <w:pStyle w:val="28"/>
        <w:ind w:firstLine="464"/>
        <w:rPr>
          <w:rFonts w:ascii="Times New Roman"/>
          <w:spacing w:val="11"/>
          <w:position w:val="9"/>
          <w:szCs w:val="19"/>
        </w:rPr>
      </w:pPr>
      <w:r>
        <w:rPr>
          <w:rFonts w:ascii="Times New Roman"/>
          <w:spacing w:val="11"/>
          <w:position w:val="9"/>
          <w:szCs w:val="19"/>
        </w:rPr>
        <w:t>标识试样时，应包括以下内容：</w:t>
      </w:r>
    </w:p>
    <w:p w14:paraId="5C360D58">
      <w:pPr>
        <w:pStyle w:val="28"/>
        <w:numPr>
          <w:ilvl w:val="0"/>
          <w:numId w:val="1"/>
        </w:numPr>
        <w:ind w:firstLine="464"/>
        <w:rPr>
          <w:rFonts w:ascii="Times New Roman"/>
          <w:spacing w:val="11"/>
          <w:szCs w:val="19"/>
        </w:rPr>
      </w:pPr>
      <w:r>
        <w:rPr>
          <w:rFonts w:ascii="Times New Roman"/>
          <w:spacing w:val="11"/>
          <w:szCs w:val="19"/>
        </w:rPr>
        <w:t xml:space="preserve"> 本</w:t>
      </w:r>
      <w:r>
        <w:rPr>
          <w:rFonts w:hint="eastAsia" w:ascii="Times New Roman"/>
          <w:spacing w:val="11"/>
          <w:szCs w:val="19"/>
        </w:rPr>
        <w:t>文件</w:t>
      </w:r>
      <w:r>
        <w:rPr>
          <w:rFonts w:ascii="Times New Roman"/>
          <w:spacing w:val="11"/>
          <w:szCs w:val="19"/>
        </w:rPr>
        <w:t>编号；</w:t>
      </w:r>
    </w:p>
    <w:p w14:paraId="20AABE50">
      <w:pPr>
        <w:pStyle w:val="28"/>
        <w:numPr>
          <w:ilvl w:val="0"/>
          <w:numId w:val="1"/>
        </w:numPr>
        <w:ind w:firstLine="464"/>
        <w:rPr>
          <w:rFonts w:ascii="Times New Roman"/>
          <w:spacing w:val="11"/>
          <w:szCs w:val="19"/>
        </w:rPr>
      </w:pPr>
      <w:r>
        <w:rPr>
          <w:rFonts w:hint="eastAsia" w:ascii="Times New Roman"/>
          <w:spacing w:val="11"/>
          <w:szCs w:val="19"/>
        </w:rPr>
        <w:t xml:space="preserve"> 试样材质；</w:t>
      </w:r>
    </w:p>
    <w:p w14:paraId="5153D8A1">
      <w:pPr>
        <w:pStyle w:val="28"/>
        <w:numPr>
          <w:ilvl w:val="0"/>
          <w:numId w:val="1"/>
        </w:numPr>
        <w:ind w:firstLine="464"/>
        <w:rPr>
          <w:rFonts w:ascii="Times New Roman"/>
          <w:spacing w:val="11"/>
          <w:szCs w:val="19"/>
        </w:rPr>
      </w:pPr>
      <w:r>
        <w:rPr>
          <w:rFonts w:hint="eastAsia" w:ascii="Times New Roman"/>
          <w:spacing w:val="11"/>
          <w:szCs w:val="19"/>
        </w:rPr>
        <w:t xml:space="preserve"> 试样密度；</w:t>
      </w:r>
    </w:p>
    <w:p w14:paraId="18AA82F7">
      <w:pPr>
        <w:pStyle w:val="28"/>
        <w:numPr>
          <w:ilvl w:val="0"/>
          <w:numId w:val="1"/>
        </w:numPr>
        <w:ind w:firstLine="464"/>
        <w:rPr>
          <w:rFonts w:ascii="Times New Roman"/>
          <w:spacing w:val="11"/>
          <w:szCs w:val="19"/>
        </w:rPr>
      </w:pPr>
      <w:r>
        <w:rPr>
          <w:rFonts w:hint="eastAsia" w:ascii="Times New Roman"/>
          <w:spacing w:val="11"/>
          <w:szCs w:val="19"/>
        </w:rPr>
        <w:t xml:space="preserve"> 试样尺寸(厚度)；</w:t>
      </w:r>
    </w:p>
    <w:p w14:paraId="606EF57A">
      <w:pPr>
        <w:pStyle w:val="28"/>
        <w:numPr>
          <w:ilvl w:val="0"/>
          <w:numId w:val="1"/>
        </w:numPr>
        <w:ind w:firstLine="464"/>
        <w:rPr>
          <w:rFonts w:ascii="Times New Roman"/>
          <w:spacing w:val="11"/>
          <w:szCs w:val="19"/>
        </w:rPr>
      </w:pPr>
      <w:r>
        <w:rPr>
          <w:rFonts w:hint="eastAsia" w:ascii="Times New Roman"/>
          <w:spacing w:val="11"/>
          <w:szCs w:val="19"/>
        </w:rPr>
        <w:t xml:space="preserve"> 对于按照5.1的要求制作的压制和烧结试样时，需说明抛光处理的级别和压制模具的材质、表面光洁度；</w:t>
      </w:r>
    </w:p>
    <w:p w14:paraId="1BCC288F">
      <w:pPr>
        <w:pStyle w:val="28"/>
        <w:numPr>
          <w:ilvl w:val="0"/>
          <w:numId w:val="1"/>
        </w:numPr>
        <w:ind w:firstLine="464"/>
        <w:rPr>
          <w:rFonts w:ascii="Times New Roman"/>
          <w:spacing w:val="11"/>
          <w:szCs w:val="19"/>
        </w:rPr>
      </w:pPr>
      <w:r>
        <w:rPr>
          <w:rFonts w:hint="eastAsia" w:ascii="Times New Roman"/>
          <w:spacing w:val="11"/>
          <w:szCs w:val="19"/>
        </w:rPr>
        <w:t xml:space="preserve"> 试样的形状，即本文件中的试样图号；</w:t>
      </w:r>
    </w:p>
    <w:p w14:paraId="023CA442">
      <w:pPr>
        <w:pStyle w:val="28"/>
        <w:numPr>
          <w:ilvl w:val="0"/>
          <w:numId w:val="1"/>
        </w:numPr>
        <w:ind w:firstLine="464"/>
        <w:rPr>
          <w:rFonts w:ascii="Times New Roman"/>
          <w:spacing w:val="11"/>
          <w:szCs w:val="19"/>
        </w:rPr>
      </w:pPr>
      <w:r>
        <w:rPr>
          <w:rFonts w:hint="eastAsia" w:ascii="Times New Roman"/>
          <w:spacing w:val="11"/>
          <w:szCs w:val="19"/>
        </w:rPr>
        <w:t xml:space="preserve"> 模具的材料，即工具钢或硬质合金；</w:t>
      </w:r>
    </w:p>
    <w:p w14:paraId="6B763531">
      <w:pPr>
        <w:pStyle w:val="28"/>
        <w:numPr>
          <w:ilvl w:val="0"/>
          <w:numId w:val="1"/>
        </w:numPr>
        <w:ind w:firstLine="464"/>
        <w:rPr>
          <w:rFonts w:ascii="Times New Roman"/>
          <w:spacing w:val="11"/>
          <w:szCs w:val="19"/>
        </w:rPr>
      </w:pPr>
      <w:r>
        <w:rPr>
          <w:rFonts w:hint="eastAsia" w:ascii="Times New Roman"/>
          <w:spacing w:val="11"/>
          <w:szCs w:val="19"/>
        </w:rPr>
        <w:t xml:space="preserve"> 试样是烧结态还是热处理态；</w:t>
      </w:r>
    </w:p>
    <w:p w14:paraId="30E38201">
      <w:pPr>
        <w:pStyle w:val="28"/>
        <w:numPr>
          <w:ilvl w:val="0"/>
          <w:numId w:val="1"/>
        </w:numPr>
        <w:ind w:firstLine="464"/>
        <w:rPr>
          <w:rFonts w:ascii="Times New Roman"/>
          <w:spacing w:val="11"/>
          <w:szCs w:val="19"/>
        </w:rPr>
      </w:pPr>
      <w:r>
        <w:rPr>
          <w:rFonts w:hint="eastAsia" w:ascii="Times New Roman"/>
          <w:spacing w:val="11"/>
          <w:szCs w:val="19"/>
        </w:rPr>
        <w:t xml:space="preserve"> 试样热处理后的硬度。</w:t>
      </w:r>
    </w:p>
    <w:p w14:paraId="22FF2BD1">
      <w:pPr>
        <w:pStyle w:val="28"/>
        <w:ind w:firstLine="0" w:firstLineChars="0"/>
        <w:rPr>
          <w:rFonts w:ascii="Times New Roman"/>
          <w:spacing w:val="11"/>
          <w:szCs w:val="19"/>
        </w:rPr>
      </w:pPr>
    </w:p>
    <w:p w14:paraId="3240C765">
      <w:pPr>
        <w:pStyle w:val="28"/>
        <w:ind w:firstLine="0" w:firstLineChars="0"/>
        <w:jc w:val="right"/>
        <w:rPr>
          <w:rFonts w:ascii="Times New Roman"/>
          <w:spacing w:val="11"/>
          <w:sz w:val="18"/>
          <w:szCs w:val="18"/>
        </w:rPr>
      </w:pPr>
      <w:r>
        <w:rPr>
          <w:rFonts w:hint="eastAsia" w:ascii="Times New Roman"/>
          <w:spacing w:val="11"/>
          <w:sz w:val="18"/>
          <w:szCs w:val="18"/>
        </w:rPr>
        <w:t>单位为毫米</w:t>
      </w:r>
    </w:p>
    <w:p w14:paraId="7A2E38B1">
      <w:pPr>
        <w:pStyle w:val="28"/>
        <w:ind w:firstLine="0" w:firstLineChars="0"/>
        <w:jc w:val="center"/>
        <w:rPr>
          <w:rFonts w:ascii="Times New Roman"/>
        </w:rPr>
      </w:pPr>
      <w:r>
        <w:rPr>
          <w:rFonts w:ascii="Times New Roman"/>
        </w:rPr>
        <w:drawing>
          <wp:inline distT="0" distB="0" distL="0" distR="0">
            <wp:extent cx="2166620" cy="855980"/>
            <wp:effectExtent l="0" t="0" r="12700" b="12700"/>
            <wp:docPr id="359497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9735" name="图片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66620" cy="855980"/>
                    </a:xfrm>
                    <a:prstGeom prst="rect">
                      <a:avLst/>
                    </a:prstGeom>
                    <a:noFill/>
                    <a:ln>
                      <a:noFill/>
                    </a:ln>
                  </pic:spPr>
                </pic:pic>
              </a:graphicData>
            </a:graphic>
          </wp:inline>
        </w:drawing>
      </w:r>
    </w:p>
    <w:p w14:paraId="5A41D7AF">
      <w:pPr>
        <w:pStyle w:val="28"/>
        <w:ind w:firstLine="0" w:firstLineChars="0"/>
        <w:jc w:val="center"/>
        <w:rPr>
          <w:rFonts w:hint="eastAsia" w:ascii="黑体" w:hAnsi="黑体" w:eastAsia="黑体"/>
        </w:rPr>
      </w:pPr>
      <w:r>
        <w:rPr>
          <w:rFonts w:hint="eastAsia" w:ascii="黑体" w:hAnsi="黑体" w:eastAsia="黑体"/>
        </w:rPr>
        <w:t>a）试样</w:t>
      </w:r>
    </w:p>
    <w:p w14:paraId="2AFC384E">
      <w:pPr>
        <w:pStyle w:val="28"/>
        <w:ind w:firstLine="0" w:firstLineChars="0"/>
        <w:jc w:val="center"/>
        <w:rPr>
          <w:rFonts w:ascii="Times New Roman"/>
        </w:rPr>
      </w:pPr>
      <w:r>
        <w:rPr>
          <w:rFonts w:hint="eastAsia" w:ascii="Times New Roman"/>
        </w:rPr>
        <w:drawing>
          <wp:inline distT="0" distB="0" distL="0" distR="0">
            <wp:extent cx="2593975" cy="2352675"/>
            <wp:effectExtent l="0" t="0" r="12065" b="9525"/>
            <wp:docPr id="213211797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17973" name="图片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93975" cy="2352675"/>
                    </a:xfrm>
                    <a:prstGeom prst="rect">
                      <a:avLst/>
                    </a:prstGeom>
                    <a:noFill/>
                    <a:ln>
                      <a:noFill/>
                    </a:ln>
                  </pic:spPr>
                </pic:pic>
              </a:graphicData>
            </a:graphic>
          </wp:inline>
        </w:drawing>
      </w:r>
    </w:p>
    <w:p w14:paraId="2908D91C">
      <w:pPr>
        <w:pStyle w:val="28"/>
        <w:ind w:firstLine="0" w:firstLineChars="0"/>
        <w:jc w:val="center"/>
        <w:rPr>
          <w:rFonts w:hint="eastAsia" w:ascii="黑体" w:hAnsi="黑体" w:eastAsia="黑体"/>
        </w:rPr>
      </w:pPr>
      <w:r>
        <w:rPr>
          <w:rFonts w:hint="eastAsia" w:ascii="黑体" w:hAnsi="黑体" w:eastAsia="黑体"/>
        </w:rPr>
        <w:t>b）压制试样的模具</w:t>
      </w:r>
    </w:p>
    <w:p w14:paraId="537DD9AB">
      <w:pPr>
        <w:pStyle w:val="28"/>
        <w:ind w:firstLine="0" w:firstLineChars="0"/>
        <w:jc w:val="center"/>
        <w:rPr>
          <w:rFonts w:hint="eastAsia" w:ascii="黑体" w:hAnsi="黑体" w:eastAsia="黑体"/>
        </w:rPr>
      </w:pPr>
      <w:r>
        <w:rPr>
          <w:rFonts w:hint="eastAsia" w:ascii="黑体" w:hAnsi="黑体" w:eastAsia="黑体"/>
        </w:rPr>
        <w:t>图</w:t>
      </w:r>
      <w:r>
        <w:rPr>
          <w:rFonts w:hint="eastAsia" w:ascii="黑体" w:hAnsi="黑体" w:eastAsia="黑体"/>
          <w:lang w:val="en-US" w:eastAsia="zh-CN"/>
        </w:rPr>
        <w:t xml:space="preserve"> </w:t>
      </w:r>
      <w:r>
        <w:rPr>
          <w:rFonts w:hint="eastAsia" w:ascii="黑体" w:hAnsi="黑体" w:eastAsia="黑体"/>
        </w:rPr>
        <w:t xml:space="preserve">1  </w:t>
      </w:r>
      <w:r>
        <w:rPr>
          <w:rFonts w:hint="eastAsia" w:ascii="黑体" w:hAnsi="黑体" w:eastAsia="黑体"/>
          <w:lang w:val="en-US" w:eastAsia="zh-CN"/>
        </w:rPr>
        <w:t>用于</w:t>
      </w:r>
      <w:r>
        <w:rPr>
          <w:rFonts w:hint="eastAsia" w:ascii="黑体" w:hAnsi="黑体" w:eastAsia="黑体"/>
        </w:rPr>
        <w:t>拉伸试样和模具</w:t>
      </w:r>
      <w:r>
        <w:rPr>
          <w:rFonts w:hint="eastAsia" w:ascii="黑体" w:hAnsi="黑体" w:eastAsia="黑体"/>
          <w:lang w:eastAsia="zh-CN"/>
        </w:rPr>
        <w:t>—</w:t>
      </w:r>
      <w:r>
        <w:rPr>
          <w:rFonts w:hint="eastAsia" w:ascii="黑体" w:hAnsi="黑体" w:eastAsia="黑体"/>
        </w:rPr>
        <w:t>形状配合卡头</w:t>
      </w:r>
    </w:p>
    <w:p w14:paraId="1E144E70">
      <w:pPr>
        <w:pStyle w:val="28"/>
        <w:ind w:firstLine="0" w:firstLineChars="0"/>
        <w:rPr>
          <w:rFonts w:ascii="Times New Roman"/>
        </w:rPr>
      </w:pPr>
    </w:p>
    <w:p w14:paraId="31F9A2DD">
      <w:pPr>
        <w:pStyle w:val="28"/>
        <w:ind w:firstLine="0" w:firstLineChars="0"/>
        <w:rPr>
          <w:rFonts w:ascii="Times New Roman"/>
        </w:rPr>
      </w:pPr>
    </w:p>
    <w:p w14:paraId="2175B72F">
      <w:pPr>
        <w:pStyle w:val="28"/>
        <w:ind w:firstLine="0" w:firstLineChars="0"/>
        <w:rPr>
          <w:rFonts w:ascii="Times New Roman"/>
        </w:rPr>
      </w:pPr>
    </w:p>
    <w:p w14:paraId="0C11E5F3">
      <w:pPr>
        <w:pStyle w:val="28"/>
        <w:ind w:firstLine="0" w:firstLineChars="0"/>
        <w:jc w:val="right"/>
        <w:rPr>
          <w:rFonts w:ascii="Times New Roman"/>
          <w:sz w:val="18"/>
          <w:szCs w:val="18"/>
        </w:rPr>
      </w:pPr>
      <w:r>
        <w:rPr>
          <w:rFonts w:hint="eastAsia" w:ascii="Times New Roman"/>
          <w:sz w:val="18"/>
          <w:szCs w:val="18"/>
        </w:rPr>
        <w:t>单位为毫米</w:t>
      </w:r>
    </w:p>
    <w:p w14:paraId="25AF44CA">
      <w:pPr>
        <w:pStyle w:val="28"/>
        <w:ind w:firstLine="0" w:firstLineChars="0"/>
        <w:jc w:val="center"/>
        <w:rPr>
          <w:rFonts w:ascii="Times New Roman"/>
        </w:rPr>
      </w:pPr>
      <w:r>
        <w:rPr>
          <w:rFonts w:ascii="Times New Roman"/>
        </w:rPr>
        <w:drawing>
          <wp:inline distT="0" distB="0" distL="0" distR="0">
            <wp:extent cx="4058285" cy="2335530"/>
            <wp:effectExtent l="0" t="0" r="0" b="7620"/>
            <wp:docPr id="29234338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43385" name="图片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058285" cy="2335530"/>
                    </a:xfrm>
                    <a:prstGeom prst="rect">
                      <a:avLst/>
                    </a:prstGeom>
                    <a:noFill/>
                    <a:ln>
                      <a:noFill/>
                    </a:ln>
                  </pic:spPr>
                </pic:pic>
              </a:graphicData>
            </a:graphic>
          </wp:inline>
        </w:drawing>
      </w:r>
    </w:p>
    <w:p w14:paraId="4FEEC4FC">
      <w:pPr>
        <w:pStyle w:val="28"/>
        <w:numPr>
          <w:ilvl w:val="0"/>
          <w:numId w:val="2"/>
        </w:numPr>
        <w:ind w:firstLine="420"/>
        <w:jc w:val="center"/>
        <w:rPr>
          <w:rFonts w:hint="eastAsia" w:ascii="黑体" w:hAnsi="黑体" w:eastAsia="黑体"/>
        </w:rPr>
      </w:pPr>
      <w:r>
        <w:rPr>
          <w:rFonts w:hint="eastAsia" w:ascii="黑体" w:hAnsi="黑体" w:eastAsia="黑体"/>
        </w:rPr>
        <w:t>试样</w:t>
      </w:r>
    </w:p>
    <w:p w14:paraId="1607DBF4">
      <w:pPr>
        <w:pStyle w:val="28"/>
        <w:ind w:firstLine="0" w:firstLineChars="0"/>
        <w:jc w:val="center"/>
        <w:rPr>
          <w:rFonts w:ascii="Times New Roman"/>
        </w:rPr>
      </w:pPr>
      <w:r>
        <w:rPr>
          <w:rFonts w:ascii="Times New Roman"/>
        </w:rPr>
        <w:drawing>
          <wp:inline distT="0" distB="0" distL="0" distR="0">
            <wp:extent cx="3622675" cy="2912110"/>
            <wp:effectExtent l="0" t="0" r="0" b="2540"/>
            <wp:docPr id="167293826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8264" name="图片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22675" cy="2912110"/>
                    </a:xfrm>
                    <a:prstGeom prst="rect">
                      <a:avLst/>
                    </a:prstGeom>
                    <a:noFill/>
                    <a:ln>
                      <a:noFill/>
                    </a:ln>
                  </pic:spPr>
                </pic:pic>
              </a:graphicData>
            </a:graphic>
          </wp:inline>
        </w:drawing>
      </w:r>
    </w:p>
    <w:p w14:paraId="468DE267">
      <w:pPr>
        <w:pStyle w:val="28"/>
        <w:numPr>
          <w:ilvl w:val="0"/>
          <w:numId w:val="2"/>
        </w:numPr>
        <w:ind w:firstLine="420"/>
        <w:jc w:val="center"/>
        <w:rPr>
          <w:rFonts w:hint="eastAsia" w:ascii="黑体" w:hAnsi="黑体" w:eastAsia="黑体"/>
        </w:rPr>
      </w:pPr>
      <w:r>
        <w:rPr>
          <w:rFonts w:hint="eastAsia" w:ascii="黑体" w:hAnsi="黑体" w:eastAsia="黑体"/>
        </w:rPr>
        <w:t>压制试样的模具</w:t>
      </w:r>
    </w:p>
    <w:p w14:paraId="4C335D30">
      <w:pPr>
        <w:pStyle w:val="28"/>
        <w:ind w:left="420" w:leftChars="200" w:firstLine="0" w:firstLineChars="0"/>
        <w:jc w:val="center"/>
        <w:rPr>
          <w:rFonts w:hint="eastAsia" w:ascii="黑体" w:hAnsi="黑体" w:eastAsia="黑体"/>
        </w:rPr>
      </w:pPr>
      <w:r>
        <w:rPr>
          <w:rFonts w:hint="eastAsia" w:ascii="黑体" w:hAnsi="黑体" w:eastAsia="黑体"/>
        </w:rPr>
        <w:t xml:space="preserve">图 2  </w:t>
      </w:r>
      <w:r>
        <w:rPr>
          <w:rFonts w:hint="eastAsia" w:ascii="黑体" w:hAnsi="黑体" w:eastAsia="黑体"/>
          <w:lang w:val="en-US" w:eastAsia="zh-CN"/>
        </w:rPr>
        <w:t>用于</w:t>
      </w:r>
      <w:r>
        <w:rPr>
          <w:rFonts w:hint="eastAsia" w:ascii="黑体" w:hAnsi="黑体" w:eastAsia="黑体"/>
        </w:rPr>
        <w:t>拉伸试样和模具</w:t>
      </w:r>
      <w:r>
        <w:rPr>
          <w:rFonts w:hint="eastAsia" w:ascii="黑体" w:hAnsi="黑体" w:eastAsia="黑体"/>
          <w:lang w:eastAsia="zh-CN"/>
        </w:rPr>
        <w:t>—</w:t>
      </w:r>
      <w:bookmarkStart w:id="10" w:name="_GoBack"/>
      <w:bookmarkEnd w:id="10"/>
      <w:r>
        <w:rPr>
          <w:rFonts w:hint="eastAsia" w:ascii="黑体" w:hAnsi="黑体" w:eastAsia="黑体"/>
        </w:rPr>
        <w:t>锯齿形卡头</w:t>
      </w:r>
    </w:p>
    <w:p w14:paraId="698AD71F">
      <w:pPr>
        <w:pStyle w:val="28"/>
        <w:ind w:left="420" w:leftChars="200" w:firstLine="0" w:firstLineChars="0"/>
        <w:jc w:val="center"/>
        <w:rPr>
          <w:rFonts w:ascii="Times New Roman"/>
        </w:rPr>
      </w:pPr>
    </w:p>
    <w:p w14:paraId="0E6BB48E">
      <w:pPr>
        <w:pStyle w:val="28"/>
        <w:ind w:left="420" w:leftChars="200" w:firstLine="0" w:firstLineChars="0"/>
        <w:jc w:val="center"/>
        <w:rPr>
          <w:rFonts w:ascii="Times New Roman"/>
        </w:rPr>
      </w:pPr>
    </w:p>
    <w:p w14:paraId="54FA5B77">
      <w:pPr>
        <w:pStyle w:val="28"/>
        <w:ind w:left="420" w:leftChars="200" w:firstLine="0" w:firstLineChars="0"/>
        <w:jc w:val="center"/>
        <w:rPr>
          <w:rFonts w:ascii="Times New Roman"/>
        </w:rPr>
      </w:pPr>
    </w:p>
    <w:p w14:paraId="2393C0B2">
      <w:pPr>
        <w:pStyle w:val="28"/>
        <w:ind w:left="420" w:leftChars="200" w:firstLine="0" w:firstLineChars="0"/>
        <w:jc w:val="center"/>
        <w:rPr>
          <w:rFonts w:ascii="Times New Roman"/>
        </w:rPr>
      </w:pPr>
    </w:p>
    <w:p w14:paraId="765425AE">
      <w:pPr>
        <w:pStyle w:val="28"/>
        <w:ind w:left="420" w:leftChars="200" w:firstLine="0" w:firstLineChars="0"/>
        <w:jc w:val="center"/>
        <w:rPr>
          <w:rFonts w:ascii="Times New Roman"/>
        </w:rPr>
      </w:pPr>
    </w:p>
    <w:p w14:paraId="15368D2F">
      <w:pPr>
        <w:pStyle w:val="28"/>
        <w:ind w:left="420" w:leftChars="200" w:firstLine="0" w:firstLineChars="0"/>
        <w:jc w:val="center"/>
        <w:rPr>
          <w:rFonts w:ascii="Times New Roman"/>
        </w:rPr>
      </w:pPr>
    </w:p>
    <w:p w14:paraId="68D2F90C">
      <w:pPr>
        <w:pStyle w:val="28"/>
        <w:ind w:left="420" w:leftChars="200" w:firstLine="0" w:firstLineChars="0"/>
        <w:jc w:val="center"/>
        <w:rPr>
          <w:rFonts w:ascii="Times New Roman"/>
        </w:rPr>
      </w:pPr>
    </w:p>
    <w:p w14:paraId="00A92B50">
      <w:pPr>
        <w:pStyle w:val="28"/>
        <w:ind w:left="420" w:leftChars="200" w:firstLine="0" w:firstLineChars="0"/>
        <w:jc w:val="center"/>
        <w:rPr>
          <w:rFonts w:ascii="Times New Roman"/>
        </w:rPr>
      </w:pPr>
    </w:p>
    <w:p w14:paraId="74EF4964">
      <w:pPr>
        <w:pStyle w:val="28"/>
        <w:ind w:left="420" w:leftChars="200" w:firstLine="0" w:firstLineChars="0"/>
        <w:jc w:val="center"/>
        <w:rPr>
          <w:rFonts w:ascii="Times New Roman"/>
        </w:rPr>
      </w:pPr>
    </w:p>
    <w:p w14:paraId="1ADF7D6A">
      <w:pPr>
        <w:pStyle w:val="28"/>
        <w:ind w:left="420" w:leftChars="200" w:firstLine="0" w:firstLineChars="0"/>
        <w:jc w:val="center"/>
        <w:rPr>
          <w:rFonts w:ascii="Times New Roman"/>
        </w:rPr>
      </w:pPr>
    </w:p>
    <w:p w14:paraId="0ADB02BC">
      <w:pPr>
        <w:pStyle w:val="28"/>
        <w:ind w:left="420" w:leftChars="200" w:firstLine="0" w:firstLineChars="0"/>
        <w:jc w:val="center"/>
        <w:rPr>
          <w:rFonts w:ascii="Times New Roman"/>
        </w:rPr>
      </w:pPr>
    </w:p>
    <w:p w14:paraId="0F0494C1">
      <w:pPr>
        <w:pStyle w:val="28"/>
        <w:ind w:left="420" w:leftChars="200" w:firstLine="0" w:firstLineChars="0"/>
        <w:jc w:val="center"/>
        <w:rPr>
          <w:rFonts w:ascii="Times New Roman"/>
        </w:rPr>
      </w:pPr>
    </w:p>
    <w:p w14:paraId="69330BD3">
      <w:pPr>
        <w:pStyle w:val="28"/>
        <w:ind w:left="420" w:leftChars="200" w:firstLine="0" w:firstLineChars="0"/>
        <w:jc w:val="center"/>
        <w:rPr>
          <w:rFonts w:ascii="Times New Roman"/>
        </w:rPr>
      </w:pPr>
    </w:p>
    <w:p w14:paraId="3DCB7B44">
      <w:pPr>
        <w:pStyle w:val="28"/>
        <w:ind w:left="420" w:leftChars="200" w:firstLine="0" w:firstLineChars="0"/>
        <w:jc w:val="right"/>
        <w:rPr>
          <w:rFonts w:ascii="Times New Roman"/>
          <w:sz w:val="18"/>
          <w:szCs w:val="18"/>
        </w:rPr>
      </w:pPr>
      <w:r>
        <w:rPr>
          <w:rFonts w:hint="eastAsia" w:ascii="Times New Roman"/>
          <w:sz w:val="18"/>
          <w:szCs w:val="18"/>
        </w:rPr>
        <w:t>单位为毫米</w:t>
      </w:r>
    </w:p>
    <w:p w14:paraId="4244C0A9">
      <w:pPr>
        <w:pStyle w:val="28"/>
        <w:ind w:left="420" w:leftChars="200" w:firstLine="0" w:firstLineChars="0"/>
        <w:jc w:val="center"/>
        <w:rPr>
          <w:rFonts w:ascii="Times New Roman"/>
        </w:rPr>
      </w:pPr>
      <w:r>
        <w:rPr>
          <w:rFonts w:hint="eastAsia" w:ascii="Times New Roman"/>
        </w:rPr>
        <w:t xml:space="preserve">  </w:t>
      </w:r>
      <w:r>
        <w:rPr>
          <w:rFonts w:ascii="Times New Roman"/>
        </w:rPr>
        <w:drawing>
          <wp:inline distT="0" distB="0" distL="0" distR="0">
            <wp:extent cx="3756025" cy="1786890"/>
            <wp:effectExtent l="0" t="0" r="0" b="3810"/>
            <wp:docPr id="201493916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39162" name="图片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756025" cy="1786890"/>
                    </a:xfrm>
                    <a:prstGeom prst="rect">
                      <a:avLst/>
                    </a:prstGeom>
                    <a:noFill/>
                    <a:ln>
                      <a:noFill/>
                    </a:ln>
                  </pic:spPr>
                </pic:pic>
              </a:graphicData>
            </a:graphic>
          </wp:inline>
        </w:drawing>
      </w:r>
    </w:p>
    <w:p w14:paraId="629FEEE1">
      <w:pPr>
        <w:pStyle w:val="28"/>
        <w:ind w:left="420" w:leftChars="200" w:firstLine="0" w:firstLineChars="0"/>
        <w:jc w:val="center"/>
        <w:rPr>
          <w:rFonts w:hint="eastAsia" w:ascii="黑体" w:hAnsi="黑体" w:eastAsia="黑体"/>
        </w:rPr>
      </w:pPr>
      <w:r>
        <w:rPr>
          <w:rFonts w:hint="eastAsia" w:ascii="黑体" w:hAnsi="黑体" w:eastAsia="黑体"/>
        </w:rPr>
        <w:t>a）试样</w:t>
      </w:r>
    </w:p>
    <w:p w14:paraId="2C9C25A0">
      <w:pPr>
        <w:pStyle w:val="28"/>
        <w:ind w:left="420" w:leftChars="200" w:firstLine="0" w:firstLineChars="0"/>
        <w:jc w:val="center"/>
        <w:rPr>
          <w:rFonts w:ascii="Times New Roman"/>
        </w:rPr>
      </w:pPr>
      <w:r>
        <w:rPr>
          <w:rFonts w:hint="eastAsia" w:ascii="Times New Roman"/>
        </w:rPr>
        <w:drawing>
          <wp:inline distT="0" distB="0" distL="0" distR="0">
            <wp:extent cx="4796790" cy="3003550"/>
            <wp:effectExtent l="0" t="0" r="3810" b="6350"/>
            <wp:docPr id="20108064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06435" name="图片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796790" cy="3003550"/>
                    </a:xfrm>
                    <a:prstGeom prst="rect">
                      <a:avLst/>
                    </a:prstGeom>
                    <a:noFill/>
                    <a:ln>
                      <a:noFill/>
                    </a:ln>
                  </pic:spPr>
                </pic:pic>
              </a:graphicData>
            </a:graphic>
          </wp:inline>
        </w:drawing>
      </w:r>
    </w:p>
    <w:p w14:paraId="7D5C3693">
      <w:pPr>
        <w:pStyle w:val="28"/>
        <w:ind w:left="420" w:firstLine="0" w:firstLineChars="0"/>
        <w:jc w:val="center"/>
        <w:rPr>
          <w:rFonts w:hint="eastAsia" w:ascii="黑体" w:hAnsi="黑体" w:eastAsia="黑体"/>
        </w:rPr>
      </w:pPr>
      <w:r>
        <w:rPr>
          <w:rFonts w:hint="eastAsia" w:ascii="黑体" w:hAnsi="黑体" w:eastAsia="黑体"/>
        </w:rPr>
        <w:t>b）压制试样的模具</w:t>
      </w:r>
    </w:p>
    <w:p w14:paraId="55A6A23B">
      <w:pPr>
        <w:pStyle w:val="28"/>
        <w:ind w:firstLineChars="0"/>
        <w:rPr>
          <w:rFonts w:ascii="Times New Roman"/>
        </w:rPr>
      </w:pPr>
      <w:r>
        <w:rPr>
          <w:rFonts w:hint="eastAsia" w:ascii="Times New Roman"/>
        </w:rPr>
        <w:t>a</w:t>
      </w:r>
    </w:p>
    <w:p w14:paraId="74AAA2F2">
      <w:pPr>
        <w:pStyle w:val="28"/>
        <w:ind w:firstLineChars="0"/>
        <w:rPr>
          <w:rFonts w:ascii="Times New Roman"/>
        </w:rPr>
      </w:pPr>
      <w:r>
        <w:rPr>
          <w:rFonts w:hint="eastAsia" w:ascii="Times New Roman"/>
        </w:rPr>
        <w:t xml:space="preserve">    </w:t>
      </w:r>
      <w:r>
        <w:rPr>
          <w:rFonts w:hint="eastAsia" w:ascii="Times New Roman"/>
          <w:color w:val="auto"/>
        </w:rPr>
        <w:t>椭圆</w:t>
      </w:r>
      <m:oMath>
        <m:r>
          <m:rPr/>
          <w:rPr>
            <w:rFonts w:hint="eastAsia" w:ascii="Cambria Math" w:hAnsi="Cambria Math"/>
            <w:color w:val="auto"/>
          </w:rPr>
          <m:t>y</m:t>
        </m:r>
        <m:r>
          <m:rPr/>
          <w:rPr>
            <w:rFonts w:ascii="Cambria Math" w:hAnsi="Cambria Math"/>
            <w:color w:val="auto"/>
          </w:rPr>
          <m:t>=3</m:t>
        </m:r>
        <m:rad>
          <m:radPr>
            <m:degHide m:val="1"/>
            <m:ctrlPr>
              <w:rPr>
                <w:rFonts w:ascii="Cambria Math" w:hAnsi="Cambria Math"/>
                <w:i/>
                <w:color w:val="auto"/>
              </w:rPr>
            </m:ctrlPr>
          </m:radPr>
          <m:deg>
            <m:ctrlPr>
              <w:rPr>
                <w:rFonts w:ascii="Cambria Math" w:hAnsi="Cambria Math"/>
                <w:i/>
                <w:color w:val="auto"/>
              </w:rPr>
            </m:ctrlPr>
          </m:deg>
          <m:e>
            <m:r>
              <m:rPr/>
              <w:rPr>
                <w:rFonts w:ascii="Cambria Math" w:hAnsi="Cambria Math"/>
                <w:color w:val="auto"/>
              </w:rPr>
              <m:t>1−</m:t>
            </m:r>
            <m:sSup>
              <m:sSupPr>
                <m:ctrlPr>
                  <w:rPr>
                    <w:rFonts w:ascii="Cambria Math" w:hAnsi="Cambria Math"/>
                    <w:i/>
                    <w:color w:val="auto"/>
                  </w:rPr>
                </m:ctrlPr>
              </m:sSupPr>
              <m:e>
                <m:r>
                  <m:rPr/>
                  <w:rPr>
                    <w:rFonts w:ascii="Cambria Math" w:hAnsi="Cambria Math"/>
                    <w:color w:val="auto"/>
                  </w:rPr>
                  <m:t>(x/15)</m:t>
                </m:r>
                <m:ctrlPr>
                  <w:rPr>
                    <w:rFonts w:ascii="Cambria Math" w:hAnsi="Cambria Math"/>
                    <w:i/>
                    <w:color w:val="auto"/>
                  </w:rPr>
                </m:ctrlPr>
              </m:e>
              <m:sup>
                <m:r>
                  <m:rPr/>
                  <w:rPr>
                    <w:rFonts w:ascii="Cambria Math" w:hAnsi="Cambria Math"/>
                    <w:color w:val="auto"/>
                  </w:rPr>
                  <m:t>2</m:t>
                </m:r>
                <m:ctrlPr>
                  <w:rPr>
                    <w:rFonts w:ascii="Cambria Math" w:hAnsi="Cambria Math"/>
                    <w:i/>
                    <w:color w:val="auto"/>
                  </w:rPr>
                </m:ctrlPr>
              </m:sup>
            </m:sSup>
            <m:ctrlPr>
              <w:rPr>
                <w:rFonts w:ascii="Cambria Math" w:hAnsi="Cambria Math"/>
                <w:i/>
                <w:color w:val="auto"/>
              </w:rPr>
            </m:ctrlPr>
          </m:e>
        </m:rad>
      </m:oMath>
    </w:p>
    <w:p w14:paraId="513A253C">
      <w:pPr>
        <w:pStyle w:val="28"/>
        <w:ind w:left="420" w:leftChars="200" w:firstLine="0" w:firstLineChars="0"/>
        <w:jc w:val="center"/>
        <w:rPr>
          <w:rFonts w:hint="eastAsia" w:ascii="黑体" w:hAnsi="黑体" w:eastAsia="黑体"/>
        </w:rPr>
      </w:pPr>
      <w:r>
        <w:rPr>
          <w:rFonts w:hint="eastAsia" w:ascii="黑体" w:hAnsi="黑体" w:eastAsia="黑体"/>
        </w:rPr>
        <w:t>图 3  用于拉伸试验的试样和模具—锯齿状或光滑夹具</w:t>
      </w:r>
    </w:p>
    <w:p w14:paraId="3EB34A6F">
      <w:pPr>
        <w:pStyle w:val="28"/>
        <w:ind w:left="420" w:leftChars="200" w:firstLine="0" w:firstLineChars="0"/>
        <w:jc w:val="center"/>
        <w:rPr>
          <w:rFonts w:ascii="Times New Roman"/>
        </w:rPr>
      </w:pPr>
    </w:p>
    <w:p w14:paraId="7F3B63C8">
      <w:pPr>
        <w:pStyle w:val="28"/>
        <w:ind w:left="420" w:leftChars="200" w:firstLine="0" w:firstLineChars="0"/>
        <w:jc w:val="center"/>
        <w:rPr>
          <w:rFonts w:ascii="Times New Roman"/>
        </w:rPr>
      </w:pPr>
    </w:p>
    <w:p w14:paraId="246FD93B">
      <w:pPr>
        <w:pStyle w:val="28"/>
        <w:ind w:left="420" w:leftChars="200" w:firstLine="0" w:firstLineChars="0"/>
        <w:jc w:val="center"/>
        <w:rPr>
          <w:rFonts w:ascii="Times New Roman"/>
        </w:rPr>
      </w:pPr>
    </w:p>
    <w:p w14:paraId="71ED83B9">
      <w:pPr>
        <w:pStyle w:val="28"/>
        <w:ind w:left="420" w:leftChars="200" w:firstLine="0" w:firstLineChars="0"/>
        <w:jc w:val="center"/>
        <w:rPr>
          <w:rFonts w:ascii="Times New Roman"/>
        </w:rPr>
      </w:pPr>
    </w:p>
    <w:p w14:paraId="3FE34180">
      <w:pPr>
        <w:pStyle w:val="28"/>
        <w:ind w:left="420" w:leftChars="200" w:firstLine="0" w:firstLineChars="0"/>
        <w:jc w:val="center"/>
        <w:rPr>
          <w:rFonts w:ascii="Times New Roman"/>
        </w:rPr>
      </w:pPr>
    </w:p>
    <w:p w14:paraId="0C54978E">
      <w:pPr>
        <w:pStyle w:val="28"/>
        <w:ind w:left="420" w:leftChars="200" w:firstLine="0" w:firstLineChars="0"/>
        <w:jc w:val="center"/>
        <w:rPr>
          <w:rFonts w:ascii="Times New Roman"/>
        </w:rPr>
      </w:pPr>
    </w:p>
    <w:p w14:paraId="2446E413">
      <w:pPr>
        <w:pStyle w:val="28"/>
        <w:ind w:left="420" w:leftChars="200" w:firstLine="0" w:firstLineChars="0"/>
        <w:jc w:val="center"/>
        <w:rPr>
          <w:rFonts w:ascii="Times New Roman"/>
        </w:rPr>
      </w:pPr>
    </w:p>
    <w:p w14:paraId="4EA87D4D">
      <w:pPr>
        <w:pStyle w:val="28"/>
        <w:ind w:left="420" w:leftChars="200" w:firstLine="0" w:firstLineChars="0"/>
        <w:jc w:val="center"/>
        <w:rPr>
          <w:rFonts w:ascii="Times New Roman"/>
        </w:rPr>
      </w:pPr>
    </w:p>
    <w:p w14:paraId="30DBC8FE">
      <w:pPr>
        <w:pStyle w:val="28"/>
        <w:ind w:left="420" w:leftChars="200" w:firstLine="0" w:firstLineChars="0"/>
        <w:jc w:val="center"/>
        <w:rPr>
          <w:rFonts w:ascii="Times New Roman"/>
        </w:rPr>
      </w:pPr>
    </w:p>
    <w:p w14:paraId="7ABA7FD4">
      <w:pPr>
        <w:pStyle w:val="28"/>
        <w:ind w:left="420" w:leftChars="200" w:firstLine="0" w:firstLineChars="0"/>
        <w:jc w:val="center"/>
        <w:rPr>
          <w:rFonts w:ascii="Times New Roman"/>
        </w:rPr>
      </w:pPr>
    </w:p>
    <w:p w14:paraId="5FC6D3C3">
      <w:pPr>
        <w:pStyle w:val="28"/>
        <w:ind w:left="420" w:leftChars="200" w:firstLine="0" w:firstLineChars="0"/>
        <w:jc w:val="center"/>
        <w:rPr>
          <w:rFonts w:ascii="Times New Roman"/>
        </w:rPr>
      </w:pPr>
    </w:p>
    <w:p w14:paraId="69B6C178">
      <w:pPr>
        <w:pStyle w:val="28"/>
        <w:ind w:left="420" w:leftChars="200" w:firstLine="0" w:firstLineChars="0"/>
        <w:jc w:val="right"/>
        <w:rPr>
          <w:rFonts w:ascii="Times New Roman"/>
          <w:sz w:val="18"/>
          <w:szCs w:val="18"/>
        </w:rPr>
      </w:pPr>
      <w:r>
        <w:rPr>
          <w:rFonts w:hint="eastAsia" w:ascii="Times New Roman"/>
          <w:sz w:val="18"/>
          <w:szCs w:val="18"/>
        </w:rPr>
        <w:t>单位为毫米</w:t>
      </w:r>
    </w:p>
    <w:p w14:paraId="23290C6F">
      <w:pPr>
        <w:pStyle w:val="28"/>
        <w:ind w:left="420" w:leftChars="200" w:firstLine="0" w:firstLineChars="0"/>
        <w:jc w:val="center"/>
        <w:rPr>
          <w:rFonts w:ascii="Times New Roman"/>
        </w:rPr>
      </w:pPr>
      <w:r>
        <w:rPr>
          <w:rFonts w:ascii="Times New Roman"/>
        </w:rPr>
        <w:drawing>
          <wp:inline distT="0" distB="0" distL="114300" distR="114300">
            <wp:extent cx="3855720" cy="1554480"/>
            <wp:effectExtent l="0" t="0" r="0" b="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pic:cNvPicPr>
                      <a:picLocks noChangeAspect="1"/>
                    </pic:cNvPicPr>
                  </pic:nvPicPr>
                  <pic:blipFill>
                    <a:blip r:embed="rId25"/>
                    <a:stretch>
                      <a:fillRect/>
                    </a:stretch>
                  </pic:blipFill>
                  <pic:spPr>
                    <a:xfrm>
                      <a:off x="0" y="0"/>
                      <a:ext cx="3855720" cy="1554480"/>
                    </a:xfrm>
                    <a:prstGeom prst="rect">
                      <a:avLst/>
                    </a:prstGeom>
                    <a:noFill/>
                    <a:ln>
                      <a:noFill/>
                    </a:ln>
                  </pic:spPr>
                </pic:pic>
              </a:graphicData>
            </a:graphic>
          </wp:inline>
        </w:drawing>
      </w:r>
    </w:p>
    <w:p w14:paraId="78CED11E">
      <w:pPr>
        <w:pStyle w:val="28"/>
        <w:ind w:left="420" w:leftChars="200" w:firstLine="0" w:firstLineChars="0"/>
        <w:rPr>
          <w:rFonts w:ascii="Times New Roman"/>
          <w:color w:val="auto"/>
          <w:sz w:val="18"/>
          <w:szCs w:val="18"/>
        </w:rPr>
      </w:pPr>
      <w:bookmarkStart w:id="9" w:name="OLE_LINK2"/>
      <w:r>
        <w:rPr>
          <w:rFonts w:hint="eastAsia" w:ascii="Times New Roman"/>
          <w:color w:val="auto"/>
          <w:sz w:val="18"/>
          <w:szCs w:val="18"/>
        </w:rPr>
        <w:t>标引符号说明：</w:t>
      </w:r>
    </w:p>
    <w:bookmarkEnd w:id="9"/>
    <w:p w14:paraId="31396116">
      <w:pPr>
        <w:pStyle w:val="28"/>
        <w:ind w:left="420" w:leftChars="200" w:firstLine="0" w:firstLineChars="0"/>
        <w:rPr>
          <w:rFonts w:ascii="Times New Roman"/>
          <w:color w:val="auto"/>
          <w:sz w:val="18"/>
          <w:szCs w:val="18"/>
        </w:rPr>
      </w:pPr>
      <w:r>
        <w:rPr>
          <w:rFonts w:hint="eastAsia" w:ascii="Times New Roman"/>
          <w:color w:val="auto"/>
          <w:sz w:val="18"/>
          <w:szCs w:val="18"/>
        </w:rPr>
        <w:t xml:space="preserve"> </w:t>
      </w:r>
      <w:r>
        <w:rPr>
          <w:rFonts w:hint="eastAsia" w:ascii="Times New Roman"/>
          <w:color w:val="auto"/>
          <w:sz w:val="18"/>
          <w:szCs w:val="18"/>
          <w:vertAlign w:val="superscript"/>
        </w:rPr>
        <w:t>a</w:t>
      </w:r>
      <w:r>
        <w:rPr>
          <w:rFonts w:hint="eastAsia" w:ascii="Times New Roman"/>
          <w:color w:val="auto"/>
          <w:sz w:val="18"/>
          <w:szCs w:val="18"/>
        </w:rPr>
        <w:t xml:space="preserve"> 适用于标距长度</w:t>
      </w:r>
      <w:r>
        <w:rPr>
          <w:rFonts w:hint="eastAsia" w:ascii="Times New Roman"/>
          <w:i/>
          <w:iCs/>
          <w:color w:val="auto"/>
          <w:sz w:val="18"/>
          <w:szCs w:val="18"/>
        </w:rPr>
        <w:t>L</w:t>
      </w:r>
      <w:r>
        <w:rPr>
          <w:rFonts w:hint="eastAsia" w:ascii="Times New Roman"/>
          <w:color w:val="auto"/>
          <w:sz w:val="18"/>
          <w:szCs w:val="18"/>
          <w:vertAlign w:val="subscript"/>
        </w:rPr>
        <w:t>c</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944"/>
        <w:gridCol w:w="944"/>
        <w:gridCol w:w="945"/>
        <w:gridCol w:w="945"/>
        <w:gridCol w:w="945"/>
        <w:gridCol w:w="945"/>
        <w:gridCol w:w="945"/>
        <w:gridCol w:w="945"/>
        <w:gridCol w:w="947"/>
      </w:tblGrid>
      <w:tr w14:paraId="5843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Merge w:val="restart"/>
            <w:vAlign w:val="center"/>
          </w:tcPr>
          <w:p w14:paraId="120074E6">
            <w:pPr>
              <w:pStyle w:val="28"/>
              <w:ind w:firstLine="0" w:firstLineChars="0"/>
              <w:jc w:val="center"/>
              <w:rPr>
                <w:rFonts w:ascii="Times New Roman"/>
              </w:rPr>
            </w:pPr>
            <w:r>
              <w:rPr>
                <w:rFonts w:hint="eastAsia" w:ascii="Times New Roman"/>
              </w:rPr>
              <w:t>试样</w:t>
            </w:r>
          </w:p>
          <w:p w14:paraId="014E6622">
            <w:pPr>
              <w:pStyle w:val="28"/>
              <w:ind w:firstLine="0" w:firstLineChars="0"/>
              <w:jc w:val="center"/>
              <w:rPr>
                <w:rFonts w:ascii="Times New Roman"/>
              </w:rPr>
            </w:pPr>
            <w:r>
              <w:rPr>
                <w:rFonts w:hint="eastAsia" w:ascii="Times New Roman"/>
              </w:rPr>
              <w:t>类型</w:t>
            </w:r>
          </w:p>
        </w:tc>
        <w:tc>
          <w:tcPr>
            <w:tcW w:w="493" w:type="pct"/>
            <w:vAlign w:val="center"/>
          </w:tcPr>
          <w:p w14:paraId="37B0D15C">
            <w:pPr>
              <w:pStyle w:val="28"/>
              <w:ind w:firstLine="0" w:firstLineChars="0"/>
              <w:jc w:val="center"/>
              <w:rPr>
                <w:rFonts w:ascii="Times New Roman"/>
                <w:i/>
                <w:iCs/>
              </w:rPr>
            </w:pPr>
            <w:r>
              <w:rPr>
                <w:rFonts w:hint="eastAsia" w:ascii="Times New Roman"/>
                <w:i/>
                <w:iCs/>
              </w:rPr>
              <w:t>b</w:t>
            </w:r>
          </w:p>
        </w:tc>
        <w:tc>
          <w:tcPr>
            <w:tcW w:w="493" w:type="pct"/>
            <w:vAlign w:val="center"/>
          </w:tcPr>
          <w:p w14:paraId="155C9A4E">
            <w:pPr>
              <w:pStyle w:val="28"/>
              <w:ind w:firstLine="0" w:firstLineChars="0"/>
              <w:jc w:val="center"/>
              <w:rPr>
                <w:rFonts w:ascii="Times New Roman"/>
                <w:i/>
                <w:iCs/>
              </w:rPr>
            </w:pPr>
            <w:r>
              <w:rPr>
                <w:rFonts w:hint="eastAsia" w:ascii="Times New Roman"/>
                <w:i/>
                <w:iCs/>
              </w:rPr>
              <w:t>c</w:t>
            </w:r>
          </w:p>
        </w:tc>
        <w:tc>
          <w:tcPr>
            <w:tcW w:w="493" w:type="pct"/>
            <w:vAlign w:val="center"/>
          </w:tcPr>
          <w:p w14:paraId="1C986626">
            <w:pPr>
              <w:pStyle w:val="28"/>
              <w:ind w:firstLine="0" w:firstLineChars="0"/>
              <w:jc w:val="center"/>
              <w:rPr>
                <w:rFonts w:ascii="Times New Roman"/>
                <w:i/>
                <w:iCs/>
              </w:rPr>
            </w:pPr>
            <w:r>
              <w:rPr>
                <w:rFonts w:hint="eastAsia" w:ascii="Times New Roman"/>
                <w:i/>
                <w:iCs/>
              </w:rPr>
              <w:t>L</w:t>
            </w:r>
            <w:r>
              <w:rPr>
                <w:rFonts w:hint="eastAsia" w:ascii="Times New Roman"/>
                <w:vertAlign w:val="subscript"/>
              </w:rPr>
              <w:t>c</w:t>
            </w:r>
          </w:p>
        </w:tc>
        <w:tc>
          <w:tcPr>
            <w:tcW w:w="493" w:type="pct"/>
            <w:vAlign w:val="center"/>
          </w:tcPr>
          <w:p w14:paraId="1D93820B">
            <w:pPr>
              <w:pStyle w:val="28"/>
              <w:ind w:firstLine="0" w:firstLineChars="0"/>
              <w:jc w:val="center"/>
              <w:rPr>
                <w:rFonts w:ascii="Times New Roman"/>
                <w:i/>
                <w:iCs/>
              </w:rPr>
            </w:pPr>
            <w:r>
              <w:rPr>
                <w:rFonts w:hint="eastAsia" w:ascii="Times New Roman"/>
                <w:i/>
                <w:iCs/>
              </w:rPr>
              <w:t>L</w:t>
            </w:r>
            <w:r>
              <w:rPr>
                <w:rFonts w:hint="eastAsia" w:ascii="Times New Roman"/>
                <w:vertAlign w:val="subscript"/>
              </w:rPr>
              <w:t>d</w:t>
            </w:r>
          </w:p>
        </w:tc>
        <w:tc>
          <w:tcPr>
            <w:tcW w:w="493" w:type="pct"/>
            <w:vAlign w:val="center"/>
          </w:tcPr>
          <w:p w14:paraId="3EF0A95A">
            <w:pPr>
              <w:pStyle w:val="28"/>
              <w:ind w:firstLine="0" w:firstLineChars="0"/>
              <w:jc w:val="center"/>
              <w:rPr>
                <w:rFonts w:ascii="Times New Roman"/>
                <w:i/>
                <w:iCs/>
              </w:rPr>
            </w:pPr>
            <w:r>
              <w:rPr>
                <w:rFonts w:hint="eastAsia" w:ascii="Times New Roman"/>
                <w:i/>
                <w:iCs/>
              </w:rPr>
              <w:t>L</w:t>
            </w:r>
            <w:r>
              <w:rPr>
                <w:rFonts w:hint="eastAsia" w:ascii="Times New Roman"/>
                <w:vertAlign w:val="subscript"/>
              </w:rPr>
              <w:t>t</w:t>
            </w:r>
          </w:p>
        </w:tc>
        <w:tc>
          <w:tcPr>
            <w:tcW w:w="493" w:type="pct"/>
            <w:vAlign w:val="center"/>
          </w:tcPr>
          <w:p w14:paraId="319DB4DE">
            <w:pPr>
              <w:pStyle w:val="28"/>
              <w:ind w:firstLine="0" w:firstLineChars="0"/>
              <w:jc w:val="center"/>
              <w:rPr>
                <w:rFonts w:ascii="Times New Roman" w:cs="宋体"/>
                <w:i/>
                <w:iCs/>
              </w:rPr>
            </w:pPr>
            <w:r>
              <w:rPr>
                <w:rFonts w:ascii="Times New Roman"/>
                <w:i/>
                <w:iCs/>
              </w:rPr>
              <w:t>ω</w:t>
            </w:r>
          </w:p>
        </w:tc>
        <w:tc>
          <w:tcPr>
            <w:tcW w:w="493" w:type="pct"/>
            <w:vAlign w:val="center"/>
          </w:tcPr>
          <w:p w14:paraId="0A3073F4">
            <w:pPr>
              <w:pStyle w:val="28"/>
              <w:ind w:firstLine="0" w:firstLineChars="0"/>
              <w:jc w:val="center"/>
              <w:rPr>
                <w:rFonts w:ascii="Times New Roman"/>
                <w:i/>
                <w:iCs/>
              </w:rPr>
            </w:pPr>
            <w:r>
              <w:rPr>
                <w:rFonts w:hint="eastAsia" w:ascii="Times New Roman"/>
                <w:i/>
                <w:iCs/>
              </w:rPr>
              <w:t>R</w:t>
            </w:r>
            <w:r>
              <w:rPr>
                <w:rFonts w:hint="eastAsia" w:ascii="Times New Roman"/>
                <w:vertAlign w:val="subscript"/>
              </w:rPr>
              <w:t>1</w:t>
            </w:r>
          </w:p>
        </w:tc>
        <w:tc>
          <w:tcPr>
            <w:tcW w:w="493" w:type="pct"/>
            <w:vAlign w:val="center"/>
          </w:tcPr>
          <w:p w14:paraId="7FDD202B">
            <w:pPr>
              <w:pStyle w:val="28"/>
              <w:ind w:firstLine="0" w:firstLineChars="0"/>
              <w:jc w:val="center"/>
              <w:rPr>
                <w:rFonts w:ascii="Times New Roman"/>
                <w:i/>
                <w:iCs/>
              </w:rPr>
            </w:pPr>
            <w:r>
              <w:rPr>
                <w:rFonts w:hint="eastAsia" w:ascii="Times New Roman"/>
                <w:i/>
                <w:iCs/>
              </w:rPr>
              <w:t>R</w:t>
            </w:r>
            <w:r>
              <w:rPr>
                <w:rFonts w:hint="eastAsia" w:ascii="Times New Roman"/>
                <w:vertAlign w:val="subscript"/>
              </w:rPr>
              <w:t>2</w:t>
            </w:r>
          </w:p>
        </w:tc>
        <w:tc>
          <w:tcPr>
            <w:tcW w:w="494" w:type="pct"/>
            <w:vAlign w:val="center"/>
          </w:tcPr>
          <w:p w14:paraId="61280B3A">
            <w:pPr>
              <w:pStyle w:val="28"/>
              <w:ind w:firstLine="0" w:firstLineChars="0"/>
              <w:jc w:val="center"/>
              <w:rPr>
                <w:rFonts w:ascii="Times New Roman"/>
                <w:i/>
                <w:iCs/>
              </w:rPr>
            </w:pPr>
            <w:r>
              <w:rPr>
                <w:rFonts w:hint="eastAsia" w:ascii="Times New Roman"/>
                <w:i/>
                <w:iCs/>
              </w:rPr>
              <w:t>D</w:t>
            </w:r>
          </w:p>
        </w:tc>
      </w:tr>
      <w:tr w14:paraId="3DE5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pct"/>
            <w:vMerge w:val="continue"/>
            <w:vAlign w:val="center"/>
          </w:tcPr>
          <w:p w14:paraId="36AECC09">
            <w:pPr>
              <w:pStyle w:val="28"/>
              <w:ind w:firstLine="0" w:firstLineChars="0"/>
              <w:jc w:val="center"/>
              <w:rPr>
                <w:rFonts w:ascii="Times New Roman"/>
              </w:rPr>
            </w:pPr>
          </w:p>
        </w:tc>
        <w:tc>
          <w:tcPr>
            <w:tcW w:w="493" w:type="pct"/>
            <w:vAlign w:val="center"/>
          </w:tcPr>
          <w:p w14:paraId="6AD644C4">
            <w:pPr>
              <w:pStyle w:val="28"/>
              <w:ind w:firstLine="0" w:firstLineChars="0"/>
              <w:jc w:val="center"/>
              <w:rPr>
                <w:rFonts w:ascii="Times New Roman"/>
              </w:rPr>
            </w:pPr>
            <w:r>
              <w:rPr>
                <w:rFonts w:hint="eastAsia" w:ascii="Times New Roman" w:cs="宋体"/>
              </w:rPr>
              <w:t>±</w:t>
            </w:r>
            <w:r>
              <w:rPr>
                <w:rFonts w:hint="eastAsia" w:ascii="Times New Roman"/>
              </w:rPr>
              <w:t>0.1</w:t>
            </w:r>
          </w:p>
        </w:tc>
        <w:tc>
          <w:tcPr>
            <w:tcW w:w="493" w:type="pct"/>
            <w:vAlign w:val="center"/>
          </w:tcPr>
          <w:p w14:paraId="391908B1">
            <w:pPr>
              <w:pStyle w:val="28"/>
              <w:ind w:firstLine="0" w:firstLineChars="0"/>
              <w:jc w:val="center"/>
              <w:rPr>
                <w:rFonts w:ascii="Times New Roman"/>
              </w:rPr>
            </w:pPr>
            <w:r>
              <w:rPr>
                <w:rFonts w:hint="eastAsia" w:ascii="Times New Roman" w:cs="宋体"/>
              </w:rPr>
              <w:t>±</w:t>
            </w:r>
            <w:r>
              <w:rPr>
                <w:rFonts w:hint="eastAsia" w:ascii="Times New Roman"/>
              </w:rPr>
              <w:t>0.1</w:t>
            </w:r>
          </w:p>
        </w:tc>
        <w:tc>
          <w:tcPr>
            <w:tcW w:w="493" w:type="pct"/>
            <w:vAlign w:val="center"/>
          </w:tcPr>
          <w:p w14:paraId="106F40F3">
            <w:pPr>
              <w:pStyle w:val="28"/>
              <w:ind w:firstLine="0" w:firstLineChars="0"/>
              <w:jc w:val="center"/>
              <w:rPr>
                <w:rFonts w:ascii="Times New Roman"/>
              </w:rPr>
            </w:pPr>
            <w:r>
              <w:rPr>
                <w:rFonts w:hint="eastAsia" w:ascii="Times New Roman" w:cs="宋体"/>
              </w:rPr>
              <w:t>±</w:t>
            </w:r>
            <w:r>
              <w:rPr>
                <w:rFonts w:hint="eastAsia" w:ascii="Times New Roman"/>
              </w:rPr>
              <w:t>0.2</w:t>
            </w:r>
          </w:p>
        </w:tc>
        <w:tc>
          <w:tcPr>
            <w:tcW w:w="493" w:type="pct"/>
            <w:vAlign w:val="center"/>
          </w:tcPr>
          <w:p w14:paraId="171B6B2B">
            <w:pPr>
              <w:pStyle w:val="28"/>
              <w:ind w:firstLine="0" w:firstLineChars="0"/>
              <w:jc w:val="center"/>
              <w:rPr>
                <w:rFonts w:ascii="Times New Roman"/>
              </w:rPr>
            </w:pPr>
            <w:r>
              <w:rPr>
                <w:rFonts w:hint="eastAsia" w:ascii="Times New Roman" w:cs="宋体"/>
              </w:rPr>
              <w:t>±</w:t>
            </w:r>
            <w:r>
              <w:rPr>
                <w:rFonts w:hint="eastAsia" w:ascii="Times New Roman"/>
              </w:rPr>
              <w:t>0.2</w:t>
            </w:r>
          </w:p>
        </w:tc>
        <w:tc>
          <w:tcPr>
            <w:tcW w:w="493" w:type="pct"/>
            <w:vAlign w:val="center"/>
          </w:tcPr>
          <w:p w14:paraId="11EB0FA4">
            <w:pPr>
              <w:pStyle w:val="28"/>
              <w:ind w:firstLine="0" w:firstLineChars="0"/>
              <w:jc w:val="center"/>
              <w:rPr>
                <w:rFonts w:ascii="Times New Roman"/>
              </w:rPr>
            </w:pPr>
            <w:r>
              <w:rPr>
                <w:rFonts w:hint="eastAsia" w:ascii="Times New Roman" w:cs="宋体"/>
              </w:rPr>
              <w:t>±</w:t>
            </w:r>
            <w:r>
              <w:rPr>
                <w:rFonts w:hint="eastAsia" w:ascii="Times New Roman"/>
              </w:rPr>
              <w:t>0.5</w:t>
            </w:r>
          </w:p>
        </w:tc>
        <w:tc>
          <w:tcPr>
            <w:tcW w:w="493" w:type="pct"/>
            <w:vAlign w:val="center"/>
          </w:tcPr>
          <w:p w14:paraId="01C3B0D8">
            <w:pPr>
              <w:pStyle w:val="28"/>
              <w:ind w:firstLine="0" w:firstLineChars="0"/>
              <w:jc w:val="center"/>
              <w:rPr>
                <w:rFonts w:ascii="Times New Roman"/>
              </w:rPr>
            </w:pPr>
            <w:r>
              <w:rPr>
                <w:rFonts w:hint="eastAsia" w:ascii="Times New Roman"/>
              </w:rPr>
              <w:t>0.1</w:t>
            </w:r>
          </w:p>
        </w:tc>
        <w:tc>
          <w:tcPr>
            <w:tcW w:w="493" w:type="pct"/>
            <w:vAlign w:val="center"/>
          </w:tcPr>
          <w:p w14:paraId="4B63ECAA">
            <w:pPr>
              <w:pStyle w:val="28"/>
              <w:ind w:firstLine="0" w:firstLineChars="0"/>
              <w:jc w:val="center"/>
              <w:rPr>
                <w:rFonts w:ascii="Times New Roman"/>
              </w:rPr>
            </w:pPr>
            <w:r>
              <w:rPr>
                <w:rFonts w:hint="eastAsia" w:ascii="Times New Roman" w:cs="宋体"/>
              </w:rPr>
              <w:t>±</w:t>
            </w:r>
            <w:r>
              <w:rPr>
                <w:rFonts w:hint="eastAsia" w:ascii="Times New Roman"/>
              </w:rPr>
              <w:t>0.5</w:t>
            </w:r>
          </w:p>
        </w:tc>
        <w:tc>
          <w:tcPr>
            <w:tcW w:w="493" w:type="pct"/>
            <w:vAlign w:val="center"/>
          </w:tcPr>
          <w:p w14:paraId="537B1751">
            <w:pPr>
              <w:pStyle w:val="28"/>
              <w:ind w:firstLine="0" w:firstLineChars="0"/>
              <w:jc w:val="center"/>
              <w:rPr>
                <w:rFonts w:ascii="Times New Roman"/>
              </w:rPr>
            </w:pPr>
            <w:r>
              <w:rPr>
                <w:rFonts w:hint="eastAsia" w:ascii="Times New Roman" w:cs="宋体"/>
              </w:rPr>
              <w:t>±</w:t>
            </w:r>
            <w:r>
              <w:rPr>
                <w:rFonts w:hint="eastAsia" w:ascii="Times New Roman"/>
              </w:rPr>
              <w:t>0.5</w:t>
            </w:r>
          </w:p>
        </w:tc>
        <w:tc>
          <w:tcPr>
            <w:tcW w:w="494" w:type="pct"/>
            <w:vAlign w:val="center"/>
          </w:tcPr>
          <w:p w14:paraId="343A5BF0">
            <w:pPr>
              <w:pStyle w:val="28"/>
              <w:ind w:firstLine="0" w:firstLineChars="0"/>
              <w:jc w:val="center"/>
              <w:rPr>
                <w:rFonts w:ascii="Times New Roman"/>
              </w:rPr>
            </w:pPr>
            <w:r>
              <w:rPr>
                <w:rFonts w:hint="eastAsia" w:ascii="Times New Roman" w:cs="宋体"/>
              </w:rPr>
              <w:t>±</w:t>
            </w:r>
            <w:r>
              <w:rPr>
                <w:rFonts w:hint="eastAsia" w:ascii="Times New Roman"/>
              </w:rPr>
              <w:t>0.1</w:t>
            </w:r>
          </w:p>
        </w:tc>
      </w:tr>
      <w:tr w14:paraId="1E94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350452E8">
            <w:pPr>
              <w:pStyle w:val="28"/>
              <w:ind w:firstLine="0" w:firstLineChars="0"/>
              <w:jc w:val="center"/>
              <w:rPr>
                <w:rFonts w:ascii="Times New Roman"/>
              </w:rPr>
            </w:pPr>
            <w:r>
              <w:rPr>
                <w:rFonts w:hint="eastAsia" w:ascii="Times New Roman"/>
              </w:rPr>
              <w:t>A1</w:t>
            </w:r>
          </w:p>
        </w:tc>
        <w:tc>
          <w:tcPr>
            <w:tcW w:w="493" w:type="pct"/>
            <w:vAlign w:val="center"/>
          </w:tcPr>
          <w:p w14:paraId="01ED6EDE">
            <w:pPr>
              <w:pStyle w:val="28"/>
              <w:ind w:firstLine="0" w:firstLineChars="0"/>
              <w:jc w:val="center"/>
              <w:rPr>
                <w:rFonts w:ascii="Times New Roman" w:cs="宋体"/>
              </w:rPr>
            </w:pPr>
            <w:r>
              <w:rPr>
                <w:rFonts w:ascii="Times New Roman"/>
                <w:i/>
                <w:iCs/>
              </w:rPr>
              <w:t>ϕ</w:t>
            </w:r>
            <w:r>
              <w:rPr>
                <w:rFonts w:hint="eastAsia" w:ascii="Times New Roman" w:cs="宋体"/>
              </w:rPr>
              <w:t>5.82</w:t>
            </w:r>
          </w:p>
        </w:tc>
        <w:tc>
          <w:tcPr>
            <w:tcW w:w="493" w:type="pct"/>
            <w:vAlign w:val="center"/>
          </w:tcPr>
          <w:p w14:paraId="0CC2F34C">
            <w:pPr>
              <w:pStyle w:val="28"/>
              <w:ind w:firstLine="0" w:firstLineChars="0"/>
              <w:jc w:val="center"/>
              <w:rPr>
                <w:rFonts w:ascii="Times New Roman"/>
              </w:rPr>
            </w:pPr>
            <w:r>
              <w:rPr>
                <w:rFonts w:ascii="Times New Roman"/>
                <w:i/>
                <w:iCs/>
              </w:rPr>
              <w:t>ϕ</w:t>
            </w:r>
            <w:r>
              <w:rPr>
                <w:rFonts w:hint="eastAsia" w:ascii="Times New Roman"/>
              </w:rPr>
              <w:t>5.87</w:t>
            </w:r>
          </w:p>
        </w:tc>
        <w:tc>
          <w:tcPr>
            <w:tcW w:w="493" w:type="pct"/>
            <w:vAlign w:val="center"/>
          </w:tcPr>
          <w:p w14:paraId="2DFC6A61">
            <w:pPr>
              <w:pStyle w:val="28"/>
              <w:ind w:firstLine="0" w:firstLineChars="0"/>
              <w:jc w:val="center"/>
              <w:rPr>
                <w:rFonts w:ascii="Times New Roman"/>
              </w:rPr>
            </w:pPr>
            <w:r>
              <w:rPr>
                <w:rFonts w:hint="eastAsia" w:ascii="Times New Roman"/>
              </w:rPr>
              <w:t>30.5</w:t>
            </w:r>
          </w:p>
        </w:tc>
        <w:tc>
          <w:tcPr>
            <w:tcW w:w="493" w:type="pct"/>
            <w:vAlign w:val="center"/>
          </w:tcPr>
          <w:p w14:paraId="4789C573">
            <w:pPr>
              <w:pStyle w:val="28"/>
              <w:ind w:firstLine="0" w:firstLineChars="0"/>
              <w:jc w:val="center"/>
              <w:rPr>
                <w:rFonts w:ascii="Times New Roman"/>
              </w:rPr>
            </w:pPr>
            <w:r>
              <w:rPr>
                <w:rFonts w:hint="eastAsia" w:ascii="Times New Roman"/>
              </w:rPr>
              <w:t>31.75</w:t>
            </w:r>
          </w:p>
        </w:tc>
        <w:tc>
          <w:tcPr>
            <w:tcW w:w="493" w:type="pct"/>
            <w:vAlign w:val="center"/>
          </w:tcPr>
          <w:p w14:paraId="0B689C8B">
            <w:pPr>
              <w:pStyle w:val="28"/>
              <w:ind w:firstLine="0" w:firstLineChars="0"/>
              <w:jc w:val="center"/>
              <w:rPr>
                <w:rFonts w:ascii="Times New Roman"/>
              </w:rPr>
            </w:pPr>
            <w:r>
              <w:rPr>
                <w:rFonts w:hint="eastAsia" w:ascii="Times New Roman"/>
              </w:rPr>
              <w:t>94</w:t>
            </w:r>
          </w:p>
        </w:tc>
        <w:tc>
          <w:tcPr>
            <w:tcW w:w="493" w:type="pct"/>
            <w:vAlign w:val="center"/>
          </w:tcPr>
          <w:p w14:paraId="474A2E80">
            <w:pPr>
              <w:pStyle w:val="28"/>
              <w:ind w:firstLine="0" w:firstLineChars="0"/>
              <w:jc w:val="center"/>
              <w:rPr>
                <w:rFonts w:ascii="Times New Roman"/>
              </w:rPr>
            </w:pPr>
            <w:r>
              <w:rPr>
                <w:rFonts w:hint="eastAsia" w:ascii="Times New Roman"/>
              </w:rPr>
              <w:t>5.85</w:t>
            </w:r>
          </w:p>
        </w:tc>
        <w:tc>
          <w:tcPr>
            <w:tcW w:w="493" w:type="pct"/>
            <w:vAlign w:val="center"/>
          </w:tcPr>
          <w:p w14:paraId="03E6D293">
            <w:pPr>
              <w:pStyle w:val="28"/>
              <w:ind w:firstLine="0" w:firstLineChars="0"/>
              <w:jc w:val="center"/>
              <w:rPr>
                <w:rFonts w:ascii="Times New Roman"/>
              </w:rPr>
            </w:pPr>
            <w:r>
              <w:rPr>
                <w:rFonts w:hint="eastAsia" w:ascii="Times New Roman"/>
              </w:rPr>
              <w:t>R12.5</w:t>
            </w:r>
          </w:p>
        </w:tc>
        <w:tc>
          <w:tcPr>
            <w:tcW w:w="493" w:type="pct"/>
            <w:vAlign w:val="center"/>
          </w:tcPr>
          <w:p w14:paraId="4928FE5C">
            <w:pPr>
              <w:pStyle w:val="28"/>
              <w:ind w:firstLine="0" w:firstLineChars="0"/>
              <w:jc w:val="center"/>
              <w:rPr>
                <w:rFonts w:ascii="Times New Roman"/>
              </w:rPr>
            </w:pPr>
            <w:r>
              <w:rPr>
                <w:rFonts w:hint="eastAsia" w:ascii="Times New Roman"/>
              </w:rPr>
              <w:t>R38</w:t>
            </w:r>
          </w:p>
        </w:tc>
        <w:tc>
          <w:tcPr>
            <w:tcW w:w="494" w:type="pct"/>
            <w:vAlign w:val="center"/>
          </w:tcPr>
          <w:p w14:paraId="44B2E8A9">
            <w:pPr>
              <w:pStyle w:val="28"/>
              <w:ind w:firstLine="0" w:firstLineChars="0"/>
              <w:jc w:val="center"/>
              <w:rPr>
                <w:rFonts w:ascii="Times New Roman"/>
              </w:rPr>
            </w:pPr>
            <w:r>
              <w:rPr>
                <w:rFonts w:ascii="Times New Roman"/>
                <w:i/>
                <w:iCs/>
              </w:rPr>
              <w:t>ϕ</w:t>
            </w:r>
            <w:r>
              <w:rPr>
                <w:rFonts w:hint="eastAsia" w:ascii="Times New Roman"/>
              </w:rPr>
              <w:t>7.85</w:t>
            </w:r>
          </w:p>
        </w:tc>
      </w:tr>
      <w:tr w14:paraId="1C07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424DDA5B">
            <w:pPr>
              <w:pStyle w:val="28"/>
              <w:ind w:firstLine="0" w:firstLineChars="0"/>
              <w:jc w:val="center"/>
              <w:rPr>
                <w:rFonts w:ascii="Times New Roman"/>
              </w:rPr>
            </w:pPr>
            <w:r>
              <w:rPr>
                <w:rFonts w:hint="eastAsia" w:ascii="Times New Roman"/>
              </w:rPr>
              <w:t>A2</w:t>
            </w:r>
          </w:p>
        </w:tc>
        <w:tc>
          <w:tcPr>
            <w:tcW w:w="493" w:type="pct"/>
            <w:vAlign w:val="center"/>
          </w:tcPr>
          <w:p w14:paraId="3FBEA049">
            <w:pPr>
              <w:pStyle w:val="28"/>
              <w:ind w:firstLine="0" w:firstLineChars="0"/>
              <w:jc w:val="center"/>
              <w:rPr>
                <w:rFonts w:ascii="Times New Roman"/>
              </w:rPr>
            </w:pPr>
            <w:r>
              <w:rPr>
                <w:rFonts w:ascii="Times New Roman"/>
                <w:i/>
                <w:iCs/>
              </w:rPr>
              <w:t>ϕ</w:t>
            </w:r>
            <w:r>
              <w:rPr>
                <w:rFonts w:hint="eastAsia" w:ascii="Times New Roman"/>
              </w:rPr>
              <w:t>3.8</w:t>
            </w:r>
          </w:p>
        </w:tc>
        <w:tc>
          <w:tcPr>
            <w:tcW w:w="493" w:type="pct"/>
            <w:vAlign w:val="center"/>
          </w:tcPr>
          <w:p w14:paraId="0F17F873">
            <w:pPr>
              <w:pStyle w:val="28"/>
              <w:ind w:firstLine="0" w:firstLineChars="0"/>
              <w:jc w:val="center"/>
              <w:rPr>
                <w:rFonts w:ascii="Times New Roman"/>
              </w:rPr>
            </w:pPr>
            <w:r>
              <w:rPr>
                <w:rFonts w:ascii="Times New Roman"/>
                <w:i/>
                <w:iCs/>
              </w:rPr>
              <w:t>ϕ</w:t>
            </w:r>
            <w:r>
              <w:rPr>
                <w:rFonts w:hint="eastAsia" w:ascii="Times New Roman"/>
              </w:rPr>
              <w:t>3.85</w:t>
            </w:r>
          </w:p>
        </w:tc>
        <w:tc>
          <w:tcPr>
            <w:tcW w:w="493" w:type="pct"/>
            <w:vAlign w:val="center"/>
          </w:tcPr>
          <w:p w14:paraId="25A304C8">
            <w:pPr>
              <w:pStyle w:val="28"/>
              <w:ind w:firstLine="0" w:firstLineChars="0"/>
              <w:jc w:val="center"/>
              <w:rPr>
                <w:rFonts w:ascii="Times New Roman"/>
              </w:rPr>
            </w:pPr>
            <w:r>
              <w:rPr>
                <w:rFonts w:hint="eastAsia" w:ascii="Times New Roman"/>
              </w:rPr>
              <w:t>30.5</w:t>
            </w:r>
          </w:p>
        </w:tc>
        <w:tc>
          <w:tcPr>
            <w:tcW w:w="493" w:type="pct"/>
            <w:vAlign w:val="center"/>
          </w:tcPr>
          <w:p w14:paraId="79FB3E8D">
            <w:pPr>
              <w:pStyle w:val="28"/>
              <w:ind w:firstLine="0" w:firstLineChars="0"/>
              <w:jc w:val="center"/>
              <w:rPr>
                <w:rFonts w:ascii="Times New Roman"/>
              </w:rPr>
            </w:pPr>
            <w:r>
              <w:rPr>
                <w:rFonts w:hint="eastAsia" w:ascii="Times New Roman"/>
              </w:rPr>
              <w:t>27.5</w:t>
            </w:r>
          </w:p>
        </w:tc>
        <w:tc>
          <w:tcPr>
            <w:tcW w:w="493" w:type="pct"/>
            <w:vAlign w:val="center"/>
          </w:tcPr>
          <w:p w14:paraId="369B9585">
            <w:pPr>
              <w:pStyle w:val="28"/>
              <w:ind w:firstLine="0" w:firstLineChars="0"/>
              <w:jc w:val="center"/>
              <w:rPr>
                <w:rFonts w:ascii="Times New Roman"/>
              </w:rPr>
            </w:pPr>
            <w:r>
              <w:rPr>
                <w:rFonts w:hint="eastAsia" w:ascii="Times New Roman"/>
              </w:rPr>
              <w:t>85.5</w:t>
            </w:r>
          </w:p>
        </w:tc>
        <w:tc>
          <w:tcPr>
            <w:tcW w:w="493" w:type="pct"/>
            <w:vAlign w:val="center"/>
          </w:tcPr>
          <w:p w14:paraId="09C3D12F">
            <w:pPr>
              <w:pStyle w:val="28"/>
              <w:ind w:firstLine="0" w:firstLineChars="0"/>
              <w:jc w:val="center"/>
              <w:rPr>
                <w:rFonts w:ascii="Times New Roman"/>
              </w:rPr>
            </w:pPr>
            <w:r>
              <w:rPr>
                <w:rFonts w:hint="eastAsia" w:ascii="Times New Roman"/>
              </w:rPr>
              <w:t>3.85</w:t>
            </w:r>
          </w:p>
        </w:tc>
        <w:tc>
          <w:tcPr>
            <w:tcW w:w="493" w:type="pct"/>
            <w:vAlign w:val="center"/>
          </w:tcPr>
          <w:p w14:paraId="383C9E97">
            <w:pPr>
              <w:pStyle w:val="28"/>
              <w:ind w:firstLine="0" w:firstLineChars="0"/>
              <w:jc w:val="center"/>
              <w:rPr>
                <w:rFonts w:ascii="Times New Roman"/>
              </w:rPr>
            </w:pPr>
            <w:r>
              <w:rPr>
                <w:rFonts w:hint="eastAsia" w:ascii="Times New Roman"/>
              </w:rPr>
              <w:t>R11.5</w:t>
            </w:r>
          </w:p>
        </w:tc>
        <w:tc>
          <w:tcPr>
            <w:tcW w:w="493" w:type="pct"/>
            <w:vAlign w:val="center"/>
          </w:tcPr>
          <w:p w14:paraId="089CC846">
            <w:pPr>
              <w:pStyle w:val="28"/>
              <w:ind w:firstLine="0" w:firstLineChars="0"/>
              <w:jc w:val="center"/>
              <w:rPr>
                <w:rFonts w:ascii="Times New Roman"/>
              </w:rPr>
            </w:pPr>
            <w:r>
              <w:rPr>
                <w:rFonts w:hint="eastAsia" w:ascii="Times New Roman"/>
              </w:rPr>
              <w:t>R23</w:t>
            </w:r>
          </w:p>
        </w:tc>
        <w:tc>
          <w:tcPr>
            <w:tcW w:w="494" w:type="pct"/>
            <w:vAlign w:val="center"/>
          </w:tcPr>
          <w:p w14:paraId="01BBC880">
            <w:pPr>
              <w:pStyle w:val="28"/>
              <w:ind w:firstLine="0" w:firstLineChars="0"/>
              <w:jc w:val="center"/>
              <w:rPr>
                <w:rFonts w:ascii="Times New Roman"/>
              </w:rPr>
            </w:pPr>
            <w:r>
              <w:rPr>
                <w:rFonts w:ascii="Times New Roman"/>
                <w:i/>
                <w:iCs/>
              </w:rPr>
              <w:t>ϕ</w:t>
            </w:r>
            <w:r>
              <w:rPr>
                <w:rFonts w:hint="eastAsia" w:ascii="Times New Roman"/>
              </w:rPr>
              <w:t>6</w:t>
            </w:r>
          </w:p>
        </w:tc>
      </w:tr>
    </w:tbl>
    <w:p w14:paraId="68508CFA">
      <w:pPr>
        <w:pStyle w:val="28"/>
        <w:spacing w:before="156" w:beforeLines="50"/>
        <w:ind w:firstLine="0" w:firstLineChars="0"/>
        <w:jc w:val="center"/>
        <w:rPr>
          <w:rFonts w:hint="eastAsia" w:ascii="黑体" w:hAnsi="黑体" w:eastAsia="黑体"/>
        </w:rPr>
      </w:pPr>
      <w:r>
        <w:rPr>
          <w:rFonts w:hint="eastAsia" w:ascii="黑体" w:hAnsi="黑体" w:eastAsia="黑体"/>
        </w:rPr>
        <w:t>图 4  金属注射成型A型拉伸试样的模腔</w:t>
      </w:r>
    </w:p>
    <w:p w14:paraId="753D32BA">
      <w:pPr>
        <w:pStyle w:val="28"/>
        <w:spacing w:before="156" w:beforeLines="50"/>
        <w:ind w:firstLine="0" w:firstLineChars="0"/>
        <w:jc w:val="right"/>
        <w:rPr>
          <w:rFonts w:ascii="Times New Roman"/>
          <w:sz w:val="18"/>
          <w:szCs w:val="18"/>
        </w:rPr>
      </w:pPr>
      <w:r>
        <w:rPr>
          <w:rFonts w:hint="eastAsia" w:ascii="Times New Roman"/>
          <w:sz w:val="18"/>
          <w:szCs w:val="18"/>
        </w:rPr>
        <w:t>单位为毫米</w:t>
      </w:r>
    </w:p>
    <w:p w14:paraId="47CFF697">
      <w:pPr>
        <w:pStyle w:val="28"/>
        <w:spacing w:before="156" w:beforeLines="50"/>
        <w:ind w:firstLine="0" w:firstLineChars="0"/>
        <w:jc w:val="center"/>
        <w:rPr>
          <w:rFonts w:ascii="Times New Roman"/>
        </w:rPr>
      </w:pPr>
      <w:r>
        <w:rPr>
          <w:rFonts w:ascii="Times New Roman"/>
        </w:rPr>
        <w:drawing>
          <wp:inline distT="0" distB="0" distL="0" distR="0">
            <wp:extent cx="3776980" cy="2609850"/>
            <wp:effectExtent l="0" t="0" r="0" b="0"/>
            <wp:docPr id="5188056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5623" name="图片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76980" cy="2609850"/>
                    </a:xfrm>
                    <a:prstGeom prst="rect">
                      <a:avLst/>
                    </a:prstGeom>
                    <a:noFill/>
                    <a:ln>
                      <a:noFill/>
                    </a:ln>
                  </pic:spPr>
                </pic:pic>
              </a:graphicData>
            </a:graphic>
          </wp:inline>
        </w:drawing>
      </w:r>
    </w:p>
    <w:p w14:paraId="1033E3CA">
      <w:pPr>
        <w:pStyle w:val="28"/>
        <w:ind w:left="420" w:leftChars="200" w:firstLine="0" w:firstLineChars="0"/>
        <w:rPr>
          <w:rFonts w:ascii="Times New Roman"/>
          <w:sz w:val="18"/>
          <w:szCs w:val="18"/>
        </w:rPr>
      </w:pPr>
      <w:r>
        <w:rPr>
          <w:rFonts w:hint="eastAsia" w:ascii="Times New Roman"/>
          <w:sz w:val="18"/>
          <w:szCs w:val="18"/>
        </w:rPr>
        <w:t>标引符号说明：</w:t>
      </w:r>
    </w:p>
    <w:p w14:paraId="31B66332">
      <w:pPr>
        <w:pStyle w:val="28"/>
        <w:spacing w:before="156" w:beforeLines="50"/>
        <w:ind w:firstLine="360"/>
        <w:rPr>
          <w:rFonts w:ascii="Times New Roman"/>
          <w:sz w:val="18"/>
          <w:szCs w:val="18"/>
        </w:rPr>
      </w:pPr>
      <w:r>
        <w:rPr>
          <w:rFonts w:hint="eastAsia" w:ascii="Times New Roman"/>
          <w:sz w:val="18"/>
          <w:szCs w:val="18"/>
        </w:rPr>
        <w:t>1——分型面。</w:t>
      </w:r>
    </w:p>
    <w:p w14:paraId="3D085273">
      <w:pPr>
        <w:pStyle w:val="28"/>
        <w:spacing w:before="156" w:beforeLines="50"/>
        <w:ind w:firstLine="420"/>
        <w:jc w:val="center"/>
        <w:rPr>
          <w:rFonts w:hint="eastAsia" w:ascii="黑体" w:hAnsi="黑体" w:eastAsia="黑体"/>
        </w:rPr>
      </w:pPr>
      <w:r>
        <w:rPr>
          <w:rFonts w:hint="eastAsia" w:ascii="黑体" w:hAnsi="黑体" w:eastAsia="黑体"/>
        </w:rPr>
        <w:t>图 5  金属注射成型B型拉伸试样的模腔</w:t>
      </w:r>
    </w:p>
    <w:p w14:paraId="034FE517">
      <w:pPr>
        <w:pStyle w:val="28"/>
        <w:spacing w:before="156" w:beforeLines="50"/>
        <w:ind w:firstLine="420"/>
        <w:jc w:val="center"/>
        <w:rPr>
          <w:rFonts w:ascii="Times New Roman"/>
        </w:rPr>
      </w:pPr>
    </w:p>
    <w:p w14:paraId="2B1458A2">
      <w:pPr>
        <w:pStyle w:val="28"/>
        <w:spacing w:before="156" w:beforeLines="50"/>
        <w:ind w:firstLine="420"/>
        <w:jc w:val="center"/>
        <w:rPr>
          <w:rFonts w:ascii="Times New Roman"/>
        </w:rPr>
      </w:pPr>
    </w:p>
    <w:p w14:paraId="4698F7F3">
      <w:pPr>
        <w:pStyle w:val="28"/>
        <w:spacing w:before="156" w:beforeLines="50"/>
        <w:ind w:firstLine="420"/>
        <w:jc w:val="center"/>
        <w:rPr>
          <w:rFonts w:ascii="Times New Roman"/>
        </w:rPr>
      </w:pPr>
    </w:p>
    <w:p w14:paraId="756CFF7D">
      <w:pPr>
        <w:pStyle w:val="28"/>
        <w:spacing w:before="156" w:beforeLines="50"/>
        <w:ind w:firstLine="420"/>
        <w:jc w:val="center"/>
        <w:rPr>
          <w:rFonts w:ascii="Times New Roman"/>
        </w:rPr>
      </w:pPr>
    </w:p>
    <w:p w14:paraId="719252EC">
      <w:pPr>
        <w:pStyle w:val="28"/>
        <w:spacing w:before="156" w:beforeLines="50"/>
        <w:ind w:firstLine="360"/>
        <w:jc w:val="right"/>
        <w:rPr>
          <w:rFonts w:ascii="Times New Roman"/>
          <w:sz w:val="18"/>
          <w:szCs w:val="18"/>
        </w:rPr>
      </w:pPr>
      <w:r>
        <w:rPr>
          <w:rFonts w:hint="eastAsia" w:ascii="Times New Roman"/>
          <w:sz w:val="18"/>
          <w:szCs w:val="18"/>
        </w:rPr>
        <w:t>单位为毫米</w:t>
      </w:r>
    </w:p>
    <w:p w14:paraId="158412F6">
      <w:pPr>
        <w:pStyle w:val="28"/>
        <w:spacing w:before="156" w:beforeLines="50"/>
        <w:ind w:firstLine="420"/>
        <w:jc w:val="center"/>
        <w:rPr>
          <w:rFonts w:ascii="Times New Roman"/>
        </w:rPr>
      </w:pPr>
      <w:r>
        <w:rPr>
          <w:rFonts w:ascii="Times New Roman"/>
        </w:rPr>
        <w:drawing>
          <wp:inline distT="0" distB="0" distL="0" distR="0">
            <wp:extent cx="5401945" cy="2208530"/>
            <wp:effectExtent l="0" t="0" r="8255" b="1270"/>
            <wp:docPr id="62576227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62272" name="图片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01945" cy="2208530"/>
                    </a:xfrm>
                    <a:prstGeom prst="rect">
                      <a:avLst/>
                    </a:prstGeom>
                    <a:noFill/>
                    <a:ln>
                      <a:noFill/>
                    </a:ln>
                  </pic:spPr>
                </pic:pic>
              </a:graphicData>
            </a:graphic>
          </wp:inline>
        </w:drawing>
      </w:r>
    </w:p>
    <w:p w14:paraId="5BF688FA">
      <w:pPr>
        <w:pStyle w:val="28"/>
        <w:ind w:left="420" w:leftChars="200" w:firstLine="0" w:firstLineChars="0"/>
        <w:rPr>
          <w:rFonts w:ascii="Times New Roman"/>
          <w:sz w:val="18"/>
          <w:szCs w:val="18"/>
        </w:rPr>
      </w:pPr>
      <w:r>
        <w:rPr>
          <w:rFonts w:hint="eastAsia" w:ascii="Times New Roman"/>
          <w:sz w:val="18"/>
          <w:szCs w:val="18"/>
        </w:rPr>
        <w:t>标引符号说明：</w:t>
      </w:r>
    </w:p>
    <w:p w14:paraId="2B2326CC">
      <w:pPr>
        <w:pStyle w:val="28"/>
        <w:spacing w:before="156" w:beforeLines="50"/>
        <w:ind w:firstLine="360"/>
        <w:rPr>
          <w:rFonts w:ascii="Times New Roman"/>
          <w:sz w:val="18"/>
          <w:szCs w:val="18"/>
        </w:rPr>
      </w:pPr>
      <w:r>
        <w:rPr>
          <w:rFonts w:hint="eastAsia" w:ascii="Times New Roman"/>
          <w:sz w:val="18"/>
          <w:szCs w:val="18"/>
        </w:rPr>
        <w:t>1——端头；</w:t>
      </w:r>
    </w:p>
    <w:p w14:paraId="7E943466">
      <w:pPr>
        <w:pStyle w:val="28"/>
        <w:spacing w:before="156" w:beforeLines="50"/>
        <w:ind w:firstLine="360"/>
        <w:rPr>
          <w:rFonts w:ascii="Times New Roman"/>
          <w:sz w:val="18"/>
          <w:szCs w:val="18"/>
        </w:rPr>
      </w:pPr>
      <w:r>
        <w:rPr>
          <w:rFonts w:hint="eastAsia" w:ascii="Times New Roman"/>
          <w:sz w:val="18"/>
          <w:szCs w:val="18"/>
          <w:vertAlign w:val="superscript"/>
        </w:rPr>
        <w:t>a</w:t>
      </w:r>
      <w:r>
        <w:rPr>
          <w:rFonts w:hint="eastAsia" w:ascii="Times New Roman"/>
          <w:sz w:val="18"/>
          <w:szCs w:val="18"/>
        </w:rPr>
        <w:t>——中心孔。</w:t>
      </w:r>
    </w:p>
    <w:p w14:paraId="16AB3A86">
      <w:pPr>
        <w:pStyle w:val="28"/>
        <w:spacing w:before="156" w:beforeLines="50"/>
        <w:ind w:firstLine="420"/>
        <w:jc w:val="center"/>
        <w:rPr>
          <w:rFonts w:hint="eastAsia" w:ascii="黑体" w:hAnsi="黑体" w:eastAsia="黑体"/>
        </w:rPr>
      </w:pPr>
      <w:r>
        <w:rPr>
          <w:rFonts w:hint="eastAsia" w:ascii="黑体" w:hAnsi="黑体" w:eastAsia="黑体"/>
        </w:rPr>
        <w:t>图 6  机械加工的拉伸试样</w:t>
      </w:r>
    </w:p>
    <w:sectPr>
      <w:footerReference r:id="rId12" w:type="default"/>
      <w:headerReference r:id="rId11" w:type="even"/>
      <w:pgSz w:w="11907" w:h="16839"/>
      <w:pgMar w:top="1418" w:right="1134" w:bottom="1134" w:left="1418" w:header="1418" w:footer="1134"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1554">
    <w:pPr>
      <w:pStyle w:val="8"/>
      <w:ind w:right="210" w:firstLine="360"/>
      <w:rPr>
        <w:rStyle w:val="16"/>
        <w:rFonts w:hint="eastAsia" w:asciiTheme="minorEastAsia" w:hAnsiTheme="minorEastAsia" w:eastAsiaTheme="minorEastAsia"/>
      </w:rPr>
    </w:pPr>
    <w:r>
      <w:rPr>
        <w:rStyle w:val="16"/>
        <w:rFonts w:hint="eastAsia" w:asciiTheme="minorEastAsia" w:hAnsiTheme="minorEastAsia" w:eastAsiaTheme="minorEastAsia"/>
      </w:rPr>
      <w:t>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315403"/>
    </w:sdtPr>
    <w:sdtContent>
      <w:p w14:paraId="09E03C3B">
        <w:pPr>
          <w:pStyle w:val="8"/>
          <w:ind w:right="210" w:firstLine="360"/>
        </w:pPr>
        <w:r>
          <w:fldChar w:fldCharType="begin"/>
        </w:r>
        <w:r>
          <w:instrText xml:space="preserve"> PAGE   \* MERGEFORMAT </w:instrText>
        </w:r>
        <w:r>
          <w:fldChar w:fldCharType="separate"/>
        </w:r>
        <w:r>
          <w:rPr>
            <w:lang w:val="zh-CN"/>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9025">
    <w:pPr>
      <w:pStyle w:val="8"/>
      <w:ind w:right="21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315401"/>
    </w:sdtPr>
    <w:sdtContent>
      <w:p w14:paraId="4F5B8C6A">
        <w:pPr>
          <w:pStyle w:val="8"/>
          <w:ind w:right="210" w:firstLine="360"/>
        </w:pPr>
        <w:r>
          <w:fldChar w:fldCharType="begin"/>
        </w:r>
        <w:r>
          <w:instrText xml:space="preserve"> PAGE   \* MERGEFORMAT </w:instrText>
        </w:r>
        <w:r>
          <w:fldChar w:fldCharType="separate"/>
        </w:r>
        <w:r>
          <w:rPr>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F8A38">
    <w:pPr>
      <w:pStyle w:val="49"/>
      <w:rPr>
        <w:rFonts w:eastAsia="黑体"/>
      </w:rPr>
    </w:pPr>
    <w:r>
      <w:rPr>
        <w:rFonts w:ascii="黑体" w:hAnsi="黑体" w:eastAsia="黑体"/>
      </w:rPr>
      <w:t xml:space="preserve">GB/T </w:t>
    </w:r>
    <w:r>
      <w:rPr>
        <w:rFonts w:hint="eastAsia" w:ascii="黑体" w:hAnsi="黑体" w:eastAsia="黑体"/>
      </w:rPr>
      <w:t>7963-</w:t>
    </w:r>
    <w:r>
      <w:rPr>
        <w:rFonts w:ascii="黑体" w:hAnsi="黑体" w:eastAsia="黑体"/>
      </w:rPr>
      <w:t>202</w:t>
    </w:r>
    <w:r>
      <w:rPr>
        <w:rFonts w:hint="eastAsia" w:ascii="黑体" w:hAnsi="黑体" w:eastAsia="黑体"/>
      </w:rPr>
      <w:t>×</w:t>
    </w:r>
    <w:r>
      <w:rPr>
        <w:rFonts w:ascii="黑体" w:hAnsi="黑体" w:eastAsia="黑体"/>
      </w:rPr>
      <w:t xml:space="preserve">/ISO </w:t>
    </w:r>
    <w:r>
      <w:rPr>
        <w:rFonts w:hint="eastAsia" w:ascii="黑体" w:hAnsi="黑体" w:eastAsia="黑体"/>
      </w:rPr>
      <w:t>2740</w:t>
    </w:r>
    <w:r>
      <w:rPr>
        <w:rFonts w:ascii="黑体" w:hAnsi="黑体" w:eastAsia="黑体"/>
      </w:rPr>
      <w:t>:</w:t>
    </w:r>
    <w:r>
      <w:rPr>
        <w:rFonts w:hint="eastAsia" w:ascii="黑体" w:hAnsi="黑体" w:eastAsia="黑体"/>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BB07">
    <w:r>
      <w:t>GB/T 5159</w:t>
    </w:r>
    <w:r>
      <w:rPr>
        <w:rFonts w:hint="eastAsia"/>
      </w:rPr>
      <w:t>-</w:t>
    </w:r>
    <w:r>
      <w:t>202</w:t>
    </w:r>
    <w:r>
      <w:rPr>
        <w:rFonts w:hint="eastAsia"/>
      </w:rPr>
      <w:t>×</w:t>
    </w:r>
    <w:r>
      <w:t>/ISO 4492:2017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45F5">
    <w:r>
      <w:t>GB/T 5159</w:t>
    </w:r>
    <w:r>
      <w:rPr>
        <w:rFonts w:hint="eastAsia"/>
      </w:rPr>
      <w:t>-</w:t>
    </w:r>
    <w:r>
      <w:t>202</w:t>
    </w:r>
    <w:r>
      <w:rPr>
        <w:rFonts w:hint="eastAsia"/>
      </w:rPr>
      <w:t>×</w:t>
    </w:r>
    <w:r>
      <w:t>/ISO 4492:2017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6587">
    <w:r>
      <w:t xml:space="preserve">GB/T </w:t>
    </w:r>
    <w:r>
      <w:rPr>
        <w:rFonts w:hint="eastAsia"/>
      </w:rPr>
      <w:t>7963</w:t>
    </w:r>
    <w:r>
      <w:t xml:space="preserve">-202×/ISO </w:t>
    </w:r>
    <w:r>
      <w:rPr>
        <w:rFonts w:hint="eastAsia"/>
      </w:rPr>
      <w:t>2740</w:t>
    </w:r>
    <w:r>
      <w:t>:</w:t>
    </w:r>
    <w:r>
      <w:rPr>
        <w:rFonts w:hint="eastAsia"/>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9DD40"/>
    <w:multiLevelType w:val="singleLevel"/>
    <w:tmpl w:val="C8C9DD40"/>
    <w:lvl w:ilvl="0" w:tentative="0">
      <w:start w:val="1"/>
      <w:numFmt w:val="lowerLetter"/>
      <w:suff w:val="nothing"/>
      <w:lvlText w:val="%1）"/>
      <w:lvlJc w:val="left"/>
    </w:lvl>
  </w:abstractNum>
  <w:abstractNum w:abstractNumId="1">
    <w:nsid w:val="1CD361E7"/>
    <w:multiLevelType w:val="singleLevel"/>
    <w:tmpl w:val="1CD361E7"/>
    <w:lvl w:ilvl="0" w:tentative="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OTVjNzUzNWVlNGE3YjI4M2Y5NTNiNTgzNWFjNzQifQ=="/>
  </w:docVars>
  <w:rsids>
    <w:rsidRoot w:val="00172A27"/>
    <w:rsid w:val="00000E16"/>
    <w:rsid w:val="00007BBA"/>
    <w:rsid w:val="000125A0"/>
    <w:rsid w:val="00012CFC"/>
    <w:rsid w:val="00013A6A"/>
    <w:rsid w:val="00013BDF"/>
    <w:rsid w:val="00016667"/>
    <w:rsid w:val="00016DCE"/>
    <w:rsid w:val="00017C2E"/>
    <w:rsid w:val="00021D65"/>
    <w:rsid w:val="00025511"/>
    <w:rsid w:val="000314FD"/>
    <w:rsid w:val="00032B9F"/>
    <w:rsid w:val="000335B8"/>
    <w:rsid w:val="000356D7"/>
    <w:rsid w:val="0004164E"/>
    <w:rsid w:val="00042D43"/>
    <w:rsid w:val="00043578"/>
    <w:rsid w:val="00044FDA"/>
    <w:rsid w:val="00045538"/>
    <w:rsid w:val="000457C4"/>
    <w:rsid w:val="00046F28"/>
    <w:rsid w:val="00046F42"/>
    <w:rsid w:val="00046FC1"/>
    <w:rsid w:val="000506BD"/>
    <w:rsid w:val="0005142F"/>
    <w:rsid w:val="000520E1"/>
    <w:rsid w:val="00053CA6"/>
    <w:rsid w:val="00055789"/>
    <w:rsid w:val="0005672F"/>
    <w:rsid w:val="00056B37"/>
    <w:rsid w:val="00057837"/>
    <w:rsid w:val="0006095F"/>
    <w:rsid w:val="0006246B"/>
    <w:rsid w:val="00062FBB"/>
    <w:rsid w:val="00064154"/>
    <w:rsid w:val="00064DFF"/>
    <w:rsid w:val="00064FB6"/>
    <w:rsid w:val="00065599"/>
    <w:rsid w:val="00065B72"/>
    <w:rsid w:val="0006624A"/>
    <w:rsid w:val="0006640B"/>
    <w:rsid w:val="00066B49"/>
    <w:rsid w:val="00066E21"/>
    <w:rsid w:val="00067BD9"/>
    <w:rsid w:val="000711C4"/>
    <w:rsid w:val="0007419A"/>
    <w:rsid w:val="000757C9"/>
    <w:rsid w:val="000758BF"/>
    <w:rsid w:val="00077A1A"/>
    <w:rsid w:val="00077A85"/>
    <w:rsid w:val="00077BDE"/>
    <w:rsid w:val="00080916"/>
    <w:rsid w:val="0008138E"/>
    <w:rsid w:val="00085CCF"/>
    <w:rsid w:val="000876B6"/>
    <w:rsid w:val="00087D89"/>
    <w:rsid w:val="00091A25"/>
    <w:rsid w:val="00095560"/>
    <w:rsid w:val="000975C5"/>
    <w:rsid w:val="000A0360"/>
    <w:rsid w:val="000A1BAC"/>
    <w:rsid w:val="000A207C"/>
    <w:rsid w:val="000A297D"/>
    <w:rsid w:val="000A2B58"/>
    <w:rsid w:val="000A444F"/>
    <w:rsid w:val="000A5D6D"/>
    <w:rsid w:val="000A671C"/>
    <w:rsid w:val="000A78CE"/>
    <w:rsid w:val="000A7D96"/>
    <w:rsid w:val="000B0472"/>
    <w:rsid w:val="000B13F8"/>
    <w:rsid w:val="000B4727"/>
    <w:rsid w:val="000B5961"/>
    <w:rsid w:val="000B653C"/>
    <w:rsid w:val="000B7073"/>
    <w:rsid w:val="000C024F"/>
    <w:rsid w:val="000C1E06"/>
    <w:rsid w:val="000C2701"/>
    <w:rsid w:val="000C3DDB"/>
    <w:rsid w:val="000C54DA"/>
    <w:rsid w:val="000C573A"/>
    <w:rsid w:val="000C7112"/>
    <w:rsid w:val="000C7DCC"/>
    <w:rsid w:val="000D0F61"/>
    <w:rsid w:val="000D1BE7"/>
    <w:rsid w:val="000D2401"/>
    <w:rsid w:val="000D29A9"/>
    <w:rsid w:val="000D2C49"/>
    <w:rsid w:val="000D3BF7"/>
    <w:rsid w:val="000E1B93"/>
    <w:rsid w:val="000E3575"/>
    <w:rsid w:val="000E4AA2"/>
    <w:rsid w:val="000E6163"/>
    <w:rsid w:val="000E6895"/>
    <w:rsid w:val="000F1835"/>
    <w:rsid w:val="000F2502"/>
    <w:rsid w:val="000F4F28"/>
    <w:rsid w:val="000F793D"/>
    <w:rsid w:val="00101AFB"/>
    <w:rsid w:val="00102FE1"/>
    <w:rsid w:val="0010676A"/>
    <w:rsid w:val="00111094"/>
    <w:rsid w:val="001127D4"/>
    <w:rsid w:val="00113561"/>
    <w:rsid w:val="00113683"/>
    <w:rsid w:val="00113B5C"/>
    <w:rsid w:val="00116D83"/>
    <w:rsid w:val="00116EAC"/>
    <w:rsid w:val="00117F4D"/>
    <w:rsid w:val="00120AF9"/>
    <w:rsid w:val="00124018"/>
    <w:rsid w:val="00126960"/>
    <w:rsid w:val="00127A3F"/>
    <w:rsid w:val="001303FB"/>
    <w:rsid w:val="00133268"/>
    <w:rsid w:val="00133D73"/>
    <w:rsid w:val="00136066"/>
    <w:rsid w:val="001373AD"/>
    <w:rsid w:val="00137C04"/>
    <w:rsid w:val="00142A7E"/>
    <w:rsid w:val="001432A4"/>
    <w:rsid w:val="001448E2"/>
    <w:rsid w:val="00144B03"/>
    <w:rsid w:val="00147163"/>
    <w:rsid w:val="00147C75"/>
    <w:rsid w:val="0015264E"/>
    <w:rsid w:val="00153025"/>
    <w:rsid w:val="0015328B"/>
    <w:rsid w:val="00153797"/>
    <w:rsid w:val="00154A14"/>
    <w:rsid w:val="001552B5"/>
    <w:rsid w:val="00155B4A"/>
    <w:rsid w:val="00163643"/>
    <w:rsid w:val="0016375D"/>
    <w:rsid w:val="00165987"/>
    <w:rsid w:val="00172A27"/>
    <w:rsid w:val="001741CC"/>
    <w:rsid w:val="001754DB"/>
    <w:rsid w:val="00176172"/>
    <w:rsid w:val="00180C2C"/>
    <w:rsid w:val="0018131C"/>
    <w:rsid w:val="00183C31"/>
    <w:rsid w:val="00185B43"/>
    <w:rsid w:val="00186520"/>
    <w:rsid w:val="001872AA"/>
    <w:rsid w:val="0019102A"/>
    <w:rsid w:val="00193D07"/>
    <w:rsid w:val="00196F81"/>
    <w:rsid w:val="00197188"/>
    <w:rsid w:val="001A0269"/>
    <w:rsid w:val="001A1A68"/>
    <w:rsid w:val="001A2B37"/>
    <w:rsid w:val="001A32D3"/>
    <w:rsid w:val="001A3329"/>
    <w:rsid w:val="001B0FEE"/>
    <w:rsid w:val="001B140C"/>
    <w:rsid w:val="001B2E32"/>
    <w:rsid w:val="001B318C"/>
    <w:rsid w:val="001B3700"/>
    <w:rsid w:val="001B3C8A"/>
    <w:rsid w:val="001B68A1"/>
    <w:rsid w:val="001C1308"/>
    <w:rsid w:val="001C40DF"/>
    <w:rsid w:val="001C4333"/>
    <w:rsid w:val="001C591F"/>
    <w:rsid w:val="001C5FA3"/>
    <w:rsid w:val="001C7710"/>
    <w:rsid w:val="001C791D"/>
    <w:rsid w:val="001D138E"/>
    <w:rsid w:val="001D2F1D"/>
    <w:rsid w:val="001D4E82"/>
    <w:rsid w:val="001D4EBD"/>
    <w:rsid w:val="001E639A"/>
    <w:rsid w:val="001E70B7"/>
    <w:rsid w:val="001E75F9"/>
    <w:rsid w:val="001F1EFC"/>
    <w:rsid w:val="001F2140"/>
    <w:rsid w:val="001F4009"/>
    <w:rsid w:val="001F5782"/>
    <w:rsid w:val="001F6922"/>
    <w:rsid w:val="001F6FEF"/>
    <w:rsid w:val="00200A1B"/>
    <w:rsid w:val="00201026"/>
    <w:rsid w:val="00202DD9"/>
    <w:rsid w:val="00203590"/>
    <w:rsid w:val="00205381"/>
    <w:rsid w:val="00205AF2"/>
    <w:rsid w:val="00205C28"/>
    <w:rsid w:val="00206896"/>
    <w:rsid w:val="002100C3"/>
    <w:rsid w:val="002101B5"/>
    <w:rsid w:val="00211DE3"/>
    <w:rsid w:val="00212F3E"/>
    <w:rsid w:val="00213174"/>
    <w:rsid w:val="00213734"/>
    <w:rsid w:val="002158A7"/>
    <w:rsid w:val="0021610E"/>
    <w:rsid w:val="00217184"/>
    <w:rsid w:val="00217A08"/>
    <w:rsid w:val="002215EB"/>
    <w:rsid w:val="002223C1"/>
    <w:rsid w:val="00223625"/>
    <w:rsid w:val="002254CC"/>
    <w:rsid w:val="00226254"/>
    <w:rsid w:val="00226448"/>
    <w:rsid w:val="00226D90"/>
    <w:rsid w:val="002313A8"/>
    <w:rsid w:val="00234554"/>
    <w:rsid w:val="00235854"/>
    <w:rsid w:val="0023673B"/>
    <w:rsid w:val="0024088A"/>
    <w:rsid w:val="002414CE"/>
    <w:rsid w:val="00242F36"/>
    <w:rsid w:val="002441BB"/>
    <w:rsid w:val="00244621"/>
    <w:rsid w:val="002449B1"/>
    <w:rsid w:val="00245C26"/>
    <w:rsid w:val="00247FA2"/>
    <w:rsid w:val="00250008"/>
    <w:rsid w:val="00250CF1"/>
    <w:rsid w:val="00250DB1"/>
    <w:rsid w:val="002556C3"/>
    <w:rsid w:val="00260FB5"/>
    <w:rsid w:val="0026202C"/>
    <w:rsid w:val="00262598"/>
    <w:rsid w:val="00262C92"/>
    <w:rsid w:val="00263D34"/>
    <w:rsid w:val="00271D3F"/>
    <w:rsid w:val="00271DDF"/>
    <w:rsid w:val="00272574"/>
    <w:rsid w:val="002737BD"/>
    <w:rsid w:val="0027421B"/>
    <w:rsid w:val="0027421E"/>
    <w:rsid w:val="00275B4A"/>
    <w:rsid w:val="00276DCD"/>
    <w:rsid w:val="002772B9"/>
    <w:rsid w:val="00281C99"/>
    <w:rsid w:val="0028227D"/>
    <w:rsid w:val="002830CB"/>
    <w:rsid w:val="00284C95"/>
    <w:rsid w:val="00286364"/>
    <w:rsid w:val="0028645A"/>
    <w:rsid w:val="0028745D"/>
    <w:rsid w:val="00287709"/>
    <w:rsid w:val="002914C6"/>
    <w:rsid w:val="0029152B"/>
    <w:rsid w:val="00291B13"/>
    <w:rsid w:val="00291C54"/>
    <w:rsid w:val="00293CC4"/>
    <w:rsid w:val="00294493"/>
    <w:rsid w:val="00294775"/>
    <w:rsid w:val="002A1259"/>
    <w:rsid w:val="002A1408"/>
    <w:rsid w:val="002A1F50"/>
    <w:rsid w:val="002A2527"/>
    <w:rsid w:val="002A2A8F"/>
    <w:rsid w:val="002A2AB5"/>
    <w:rsid w:val="002A5083"/>
    <w:rsid w:val="002B1FE4"/>
    <w:rsid w:val="002B52C1"/>
    <w:rsid w:val="002B545C"/>
    <w:rsid w:val="002B6AEA"/>
    <w:rsid w:val="002C117B"/>
    <w:rsid w:val="002C1459"/>
    <w:rsid w:val="002C41B6"/>
    <w:rsid w:val="002C7697"/>
    <w:rsid w:val="002D17D3"/>
    <w:rsid w:val="002D53C6"/>
    <w:rsid w:val="002D5A7F"/>
    <w:rsid w:val="002D7735"/>
    <w:rsid w:val="002E0D4D"/>
    <w:rsid w:val="002E337A"/>
    <w:rsid w:val="002E44C3"/>
    <w:rsid w:val="002E6DD3"/>
    <w:rsid w:val="002E713B"/>
    <w:rsid w:val="002E7802"/>
    <w:rsid w:val="002F4895"/>
    <w:rsid w:val="002F557D"/>
    <w:rsid w:val="002F661E"/>
    <w:rsid w:val="002F69A1"/>
    <w:rsid w:val="002F6A47"/>
    <w:rsid w:val="002F77C9"/>
    <w:rsid w:val="002F799C"/>
    <w:rsid w:val="003010F2"/>
    <w:rsid w:val="00301608"/>
    <w:rsid w:val="003023C1"/>
    <w:rsid w:val="00302D9E"/>
    <w:rsid w:val="003037BA"/>
    <w:rsid w:val="00304C71"/>
    <w:rsid w:val="003100E4"/>
    <w:rsid w:val="00313CF4"/>
    <w:rsid w:val="00313F0B"/>
    <w:rsid w:val="00316E94"/>
    <w:rsid w:val="00317190"/>
    <w:rsid w:val="00320568"/>
    <w:rsid w:val="003207B9"/>
    <w:rsid w:val="00321EBE"/>
    <w:rsid w:val="00322161"/>
    <w:rsid w:val="00323573"/>
    <w:rsid w:val="00330AD4"/>
    <w:rsid w:val="00331A2D"/>
    <w:rsid w:val="003325BF"/>
    <w:rsid w:val="003334E7"/>
    <w:rsid w:val="00333746"/>
    <w:rsid w:val="00335AF0"/>
    <w:rsid w:val="00336A67"/>
    <w:rsid w:val="00337EDC"/>
    <w:rsid w:val="00342328"/>
    <w:rsid w:val="00343263"/>
    <w:rsid w:val="003434F1"/>
    <w:rsid w:val="00346A64"/>
    <w:rsid w:val="00347102"/>
    <w:rsid w:val="00351477"/>
    <w:rsid w:val="00353143"/>
    <w:rsid w:val="0035400D"/>
    <w:rsid w:val="003550D5"/>
    <w:rsid w:val="00357004"/>
    <w:rsid w:val="00361E87"/>
    <w:rsid w:val="00362269"/>
    <w:rsid w:val="0036409E"/>
    <w:rsid w:val="0036433B"/>
    <w:rsid w:val="00364DAD"/>
    <w:rsid w:val="00365B4B"/>
    <w:rsid w:val="0036620A"/>
    <w:rsid w:val="003708F6"/>
    <w:rsid w:val="00370EF4"/>
    <w:rsid w:val="00371016"/>
    <w:rsid w:val="003710CA"/>
    <w:rsid w:val="003712EC"/>
    <w:rsid w:val="0037350F"/>
    <w:rsid w:val="00373B9B"/>
    <w:rsid w:val="00375D80"/>
    <w:rsid w:val="00381BC0"/>
    <w:rsid w:val="003823E8"/>
    <w:rsid w:val="003829CA"/>
    <w:rsid w:val="00382DC7"/>
    <w:rsid w:val="003845AD"/>
    <w:rsid w:val="00384E58"/>
    <w:rsid w:val="00390374"/>
    <w:rsid w:val="00390988"/>
    <w:rsid w:val="003919BC"/>
    <w:rsid w:val="00394045"/>
    <w:rsid w:val="00395BD2"/>
    <w:rsid w:val="003A04C5"/>
    <w:rsid w:val="003A0735"/>
    <w:rsid w:val="003A3041"/>
    <w:rsid w:val="003A4C13"/>
    <w:rsid w:val="003A513B"/>
    <w:rsid w:val="003A70F7"/>
    <w:rsid w:val="003B0208"/>
    <w:rsid w:val="003B049D"/>
    <w:rsid w:val="003B1058"/>
    <w:rsid w:val="003B399D"/>
    <w:rsid w:val="003B55FC"/>
    <w:rsid w:val="003B5C5C"/>
    <w:rsid w:val="003B68A6"/>
    <w:rsid w:val="003B7A8B"/>
    <w:rsid w:val="003B7B3C"/>
    <w:rsid w:val="003C0A74"/>
    <w:rsid w:val="003C1860"/>
    <w:rsid w:val="003C1B7A"/>
    <w:rsid w:val="003C2F56"/>
    <w:rsid w:val="003C37CC"/>
    <w:rsid w:val="003C4C15"/>
    <w:rsid w:val="003C56A6"/>
    <w:rsid w:val="003C6590"/>
    <w:rsid w:val="003C6B75"/>
    <w:rsid w:val="003C7167"/>
    <w:rsid w:val="003C7D6D"/>
    <w:rsid w:val="003D015A"/>
    <w:rsid w:val="003D0596"/>
    <w:rsid w:val="003D0884"/>
    <w:rsid w:val="003D3CBA"/>
    <w:rsid w:val="003D3F72"/>
    <w:rsid w:val="003D3F98"/>
    <w:rsid w:val="003D69C3"/>
    <w:rsid w:val="003E0D74"/>
    <w:rsid w:val="003E51D1"/>
    <w:rsid w:val="003E7204"/>
    <w:rsid w:val="003F0DCD"/>
    <w:rsid w:val="003F183F"/>
    <w:rsid w:val="003F1CBC"/>
    <w:rsid w:val="003F31FE"/>
    <w:rsid w:val="003F3212"/>
    <w:rsid w:val="003F3690"/>
    <w:rsid w:val="003F4590"/>
    <w:rsid w:val="003F51CA"/>
    <w:rsid w:val="003F56EF"/>
    <w:rsid w:val="003F58F9"/>
    <w:rsid w:val="00400B0B"/>
    <w:rsid w:val="004013E8"/>
    <w:rsid w:val="00402886"/>
    <w:rsid w:val="0040463D"/>
    <w:rsid w:val="004062BF"/>
    <w:rsid w:val="00406F44"/>
    <w:rsid w:val="00411EA1"/>
    <w:rsid w:val="0041247F"/>
    <w:rsid w:val="00413984"/>
    <w:rsid w:val="00414D69"/>
    <w:rsid w:val="00414DE2"/>
    <w:rsid w:val="00421DD9"/>
    <w:rsid w:val="004228E4"/>
    <w:rsid w:val="00424D2A"/>
    <w:rsid w:val="00426179"/>
    <w:rsid w:val="004302CD"/>
    <w:rsid w:val="0043114D"/>
    <w:rsid w:val="004314AB"/>
    <w:rsid w:val="00432672"/>
    <w:rsid w:val="0043398B"/>
    <w:rsid w:val="00434917"/>
    <w:rsid w:val="00435BFD"/>
    <w:rsid w:val="00437F75"/>
    <w:rsid w:val="00440DAA"/>
    <w:rsid w:val="0044112E"/>
    <w:rsid w:val="004419F7"/>
    <w:rsid w:val="0044234F"/>
    <w:rsid w:val="00442D9C"/>
    <w:rsid w:val="00443C64"/>
    <w:rsid w:val="00445153"/>
    <w:rsid w:val="004464C7"/>
    <w:rsid w:val="00446C5D"/>
    <w:rsid w:val="00447EF0"/>
    <w:rsid w:val="00452B15"/>
    <w:rsid w:val="0045321A"/>
    <w:rsid w:val="00455865"/>
    <w:rsid w:val="0045683E"/>
    <w:rsid w:val="00456F28"/>
    <w:rsid w:val="004576C0"/>
    <w:rsid w:val="00457887"/>
    <w:rsid w:val="004604CF"/>
    <w:rsid w:val="00460939"/>
    <w:rsid w:val="00461262"/>
    <w:rsid w:val="004616A8"/>
    <w:rsid w:val="004616F4"/>
    <w:rsid w:val="00461AD7"/>
    <w:rsid w:val="00462CCE"/>
    <w:rsid w:val="0046448A"/>
    <w:rsid w:val="004667EF"/>
    <w:rsid w:val="00467662"/>
    <w:rsid w:val="004676FC"/>
    <w:rsid w:val="00467792"/>
    <w:rsid w:val="00467DA1"/>
    <w:rsid w:val="004734AA"/>
    <w:rsid w:val="00476E21"/>
    <w:rsid w:val="00476F21"/>
    <w:rsid w:val="00477CAF"/>
    <w:rsid w:val="00480B4A"/>
    <w:rsid w:val="00483180"/>
    <w:rsid w:val="00483B34"/>
    <w:rsid w:val="00483D3A"/>
    <w:rsid w:val="00486461"/>
    <w:rsid w:val="00491E86"/>
    <w:rsid w:val="00492E8C"/>
    <w:rsid w:val="00494087"/>
    <w:rsid w:val="0049434D"/>
    <w:rsid w:val="00494E93"/>
    <w:rsid w:val="004960EB"/>
    <w:rsid w:val="00496D28"/>
    <w:rsid w:val="004A027F"/>
    <w:rsid w:val="004A1191"/>
    <w:rsid w:val="004A14EB"/>
    <w:rsid w:val="004A4F02"/>
    <w:rsid w:val="004A60A5"/>
    <w:rsid w:val="004A7C8C"/>
    <w:rsid w:val="004B171E"/>
    <w:rsid w:val="004B2003"/>
    <w:rsid w:val="004B33D9"/>
    <w:rsid w:val="004B3789"/>
    <w:rsid w:val="004B3D6E"/>
    <w:rsid w:val="004B448E"/>
    <w:rsid w:val="004B5C07"/>
    <w:rsid w:val="004B5EAB"/>
    <w:rsid w:val="004B69A0"/>
    <w:rsid w:val="004B6A2E"/>
    <w:rsid w:val="004B7EEC"/>
    <w:rsid w:val="004C005E"/>
    <w:rsid w:val="004C026A"/>
    <w:rsid w:val="004C0C29"/>
    <w:rsid w:val="004C12B2"/>
    <w:rsid w:val="004C189C"/>
    <w:rsid w:val="004C20AD"/>
    <w:rsid w:val="004C2638"/>
    <w:rsid w:val="004C34F7"/>
    <w:rsid w:val="004C47FD"/>
    <w:rsid w:val="004C55C1"/>
    <w:rsid w:val="004C5C13"/>
    <w:rsid w:val="004C616C"/>
    <w:rsid w:val="004C6286"/>
    <w:rsid w:val="004C672F"/>
    <w:rsid w:val="004C7CBA"/>
    <w:rsid w:val="004D0068"/>
    <w:rsid w:val="004D0C56"/>
    <w:rsid w:val="004D18CE"/>
    <w:rsid w:val="004D251E"/>
    <w:rsid w:val="004D4ECD"/>
    <w:rsid w:val="004D5A23"/>
    <w:rsid w:val="004D705C"/>
    <w:rsid w:val="004E00DF"/>
    <w:rsid w:val="004E2C11"/>
    <w:rsid w:val="004E3F8C"/>
    <w:rsid w:val="004E40CD"/>
    <w:rsid w:val="004E5721"/>
    <w:rsid w:val="004E626F"/>
    <w:rsid w:val="004E7BC0"/>
    <w:rsid w:val="004F0101"/>
    <w:rsid w:val="004F127C"/>
    <w:rsid w:val="004F1649"/>
    <w:rsid w:val="004F336B"/>
    <w:rsid w:val="004F3B9E"/>
    <w:rsid w:val="004F4F99"/>
    <w:rsid w:val="004F56DA"/>
    <w:rsid w:val="004F5FAE"/>
    <w:rsid w:val="004F6FCF"/>
    <w:rsid w:val="00501668"/>
    <w:rsid w:val="00501F0E"/>
    <w:rsid w:val="00502910"/>
    <w:rsid w:val="00504284"/>
    <w:rsid w:val="0050450B"/>
    <w:rsid w:val="00504EA7"/>
    <w:rsid w:val="00506871"/>
    <w:rsid w:val="00510714"/>
    <w:rsid w:val="0051203F"/>
    <w:rsid w:val="00512203"/>
    <w:rsid w:val="00512696"/>
    <w:rsid w:val="005140AB"/>
    <w:rsid w:val="00516489"/>
    <w:rsid w:val="0051663E"/>
    <w:rsid w:val="00517955"/>
    <w:rsid w:val="00520666"/>
    <w:rsid w:val="00521813"/>
    <w:rsid w:val="00521B68"/>
    <w:rsid w:val="00521D53"/>
    <w:rsid w:val="005222EA"/>
    <w:rsid w:val="005247AF"/>
    <w:rsid w:val="00525528"/>
    <w:rsid w:val="005258A0"/>
    <w:rsid w:val="0052686C"/>
    <w:rsid w:val="005315A9"/>
    <w:rsid w:val="00532472"/>
    <w:rsid w:val="005329DA"/>
    <w:rsid w:val="005331A2"/>
    <w:rsid w:val="0053384D"/>
    <w:rsid w:val="00535E1C"/>
    <w:rsid w:val="005363B1"/>
    <w:rsid w:val="005373F1"/>
    <w:rsid w:val="005379BA"/>
    <w:rsid w:val="005469FD"/>
    <w:rsid w:val="00546C61"/>
    <w:rsid w:val="00547BA4"/>
    <w:rsid w:val="00550DDA"/>
    <w:rsid w:val="00551E50"/>
    <w:rsid w:val="00551EA2"/>
    <w:rsid w:val="00553B2D"/>
    <w:rsid w:val="00554171"/>
    <w:rsid w:val="00554246"/>
    <w:rsid w:val="00554ED2"/>
    <w:rsid w:val="005557E7"/>
    <w:rsid w:val="00555E9B"/>
    <w:rsid w:val="00555EB2"/>
    <w:rsid w:val="00556B00"/>
    <w:rsid w:val="00556E79"/>
    <w:rsid w:val="00561CFA"/>
    <w:rsid w:val="00562243"/>
    <w:rsid w:val="005638CF"/>
    <w:rsid w:val="00564A35"/>
    <w:rsid w:val="00566040"/>
    <w:rsid w:val="00570A14"/>
    <w:rsid w:val="00570CDE"/>
    <w:rsid w:val="005720F1"/>
    <w:rsid w:val="0057415D"/>
    <w:rsid w:val="0057433D"/>
    <w:rsid w:val="005766EE"/>
    <w:rsid w:val="005804F6"/>
    <w:rsid w:val="00581EFE"/>
    <w:rsid w:val="00582235"/>
    <w:rsid w:val="00582D37"/>
    <w:rsid w:val="00583669"/>
    <w:rsid w:val="00583A36"/>
    <w:rsid w:val="00583DCE"/>
    <w:rsid w:val="005852B1"/>
    <w:rsid w:val="0058574D"/>
    <w:rsid w:val="00585E7A"/>
    <w:rsid w:val="00586365"/>
    <w:rsid w:val="00586AAD"/>
    <w:rsid w:val="00587BC2"/>
    <w:rsid w:val="00590966"/>
    <w:rsid w:val="005945F2"/>
    <w:rsid w:val="00595B54"/>
    <w:rsid w:val="00595C7A"/>
    <w:rsid w:val="00596471"/>
    <w:rsid w:val="005A0D45"/>
    <w:rsid w:val="005A0EAA"/>
    <w:rsid w:val="005A12AE"/>
    <w:rsid w:val="005A1792"/>
    <w:rsid w:val="005A3A95"/>
    <w:rsid w:val="005A4245"/>
    <w:rsid w:val="005A6D84"/>
    <w:rsid w:val="005A75BD"/>
    <w:rsid w:val="005B07A8"/>
    <w:rsid w:val="005B087E"/>
    <w:rsid w:val="005B0B16"/>
    <w:rsid w:val="005B0ED3"/>
    <w:rsid w:val="005B240A"/>
    <w:rsid w:val="005B30D4"/>
    <w:rsid w:val="005B48A0"/>
    <w:rsid w:val="005B574B"/>
    <w:rsid w:val="005B6072"/>
    <w:rsid w:val="005B6468"/>
    <w:rsid w:val="005B74F0"/>
    <w:rsid w:val="005B7D03"/>
    <w:rsid w:val="005C1D13"/>
    <w:rsid w:val="005C1E03"/>
    <w:rsid w:val="005C2AE8"/>
    <w:rsid w:val="005C5E50"/>
    <w:rsid w:val="005C5F0C"/>
    <w:rsid w:val="005C6AFD"/>
    <w:rsid w:val="005C7482"/>
    <w:rsid w:val="005D0AFC"/>
    <w:rsid w:val="005D0EDD"/>
    <w:rsid w:val="005D2A6E"/>
    <w:rsid w:val="005D316D"/>
    <w:rsid w:val="005D3B3F"/>
    <w:rsid w:val="005D42A0"/>
    <w:rsid w:val="005D5401"/>
    <w:rsid w:val="005D755B"/>
    <w:rsid w:val="005D7927"/>
    <w:rsid w:val="005D7A13"/>
    <w:rsid w:val="005E0179"/>
    <w:rsid w:val="005E1A5B"/>
    <w:rsid w:val="005E1DED"/>
    <w:rsid w:val="005E1FAB"/>
    <w:rsid w:val="005E3257"/>
    <w:rsid w:val="005E38DB"/>
    <w:rsid w:val="005E39CB"/>
    <w:rsid w:val="005E3AE3"/>
    <w:rsid w:val="005E3E47"/>
    <w:rsid w:val="005E5159"/>
    <w:rsid w:val="005E7014"/>
    <w:rsid w:val="005E7BF4"/>
    <w:rsid w:val="005F033D"/>
    <w:rsid w:val="005F16C8"/>
    <w:rsid w:val="005F1FB2"/>
    <w:rsid w:val="005F2585"/>
    <w:rsid w:val="005F2D6E"/>
    <w:rsid w:val="005F4291"/>
    <w:rsid w:val="005F64DC"/>
    <w:rsid w:val="005F67B2"/>
    <w:rsid w:val="005F6BA7"/>
    <w:rsid w:val="0060154D"/>
    <w:rsid w:val="00601DAE"/>
    <w:rsid w:val="00602700"/>
    <w:rsid w:val="00602DEF"/>
    <w:rsid w:val="006034CC"/>
    <w:rsid w:val="0060576B"/>
    <w:rsid w:val="00606907"/>
    <w:rsid w:val="00607556"/>
    <w:rsid w:val="0060787C"/>
    <w:rsid w:val="006103E8"/>
    <w:rsid w:val="00610685"/>
    <w:rsid w:val="00611C2E"/>
    <w:rsid w:val="00611F75"/>
    <w:rsid w:val="006127CB"/>
    <w:rsid w:val="0061338C"/>
    <w:rsid w:val="00614975"/>
    <w:rsid w:val="00617697"/>
    <w:rsid w:val="00620386"/>
    <w:rsid w:val="006205F2"/>
    <w:rsid w:val="00621545"/>
    <w:rsid w:val="00622DDE"/>
    <w:rsid w:val="0062308D"/>
    <w:rsid w:val="00624A77"/>
    <w:rsid w:val="00625CBB"/>
    <w:rsid w:val="006265E5"/>
    <w:rsid w:val="006314A6"/>
    <w:rsid w:val="00631AA2"/>
    <w:rsid w:val="00631AFF"/>
    <w:rsid w:val="00632212"/>
    <w:rsid w:val="006324D6"/>
    <w:rsid w:val="00632EB4"/>
    <w:rsid w:val="00634833"/>
    <w:rsid w:val="00635790"/>
    <w:rsid w:val="0063674F"/>
    <w:rsid w:val="00641D81"/>
    <w:rsid w:val="00643543"/>
    <w:rsid w:val="00643E1B"/>
    <w:rsid w:val="00644139"/>
    <w:rsid w:val="00644F36"/>
    <w:rsid w:val="00644FE6"/>
    <w:rsid w:val="00645DFE"/>
    <w:rsid w:val="00646360"/>
    <w:rsid w:val="00646A98"/>
    <w:rsid w:val="00647078"/>
    <w:rsid w:val="00652642"/>
    <w:rsid w:val="00655EA1"/>
    <w:rsid w:val="006561F6"/>
    <w:rsid w:val="00656928"/>
    <w:rsid w:val="00660250"/>
    <w:rsid w:val="00660C44"/>
    <w:rsid w:val="00661911"/>
    <w:rsid w:val="006635C6"/>
    <w:rsid w:val="00664B63"/>
    <w:rsid w:val="0066594C"/>
    <w:rsid w:val="00670AC2"/>
    <w:rsid w:val="006743A5"/>
    <w:rsid w:val="00675C75"/>
    <w:rsid w:val="00676186"/>
    <w:rsid w:val="006768E5"/>
    <w:rsid w:val="00680AF3"/>
    <w:rsid w:val="00680F7E"/>
    <w:rsid w:val="006818EF"/>
    <w:rsid w:val="006821A5"/>
    <w:rsid w:val="00683871"/>
    <w:rsid w:val="00683956"/>
    <w:rsid w:val="00684230"/>
    <w:rsid w:val="00687405"/>
    <w:rsid w:val="00690215"/>
    <w:rsid w:val="0069021E"/>
    <w:rsid w:val="00690391"/>
    <w:rsid w:val="0069045B"/>
    <w:rsid w:val="00690768"/>
    <w:rsid w:val="00690D73"/>
    <w:rsid w:val="00694CAE"/>
    <w:rsid w:val="006A1F0B"/>
    <w:rsid w:val="006A62B0"/>
    <w:rsid w:val="006A6E75"/>
    <w:rsid w:val="006A70D2"/>
    <w:rsid w:val="006A75AB"/>
    <w:rsid w:val="006B03CE"/>
    <w:rsid w:val="006B236F"/>
    <w:rsid w:val="006B3637"/>
    <w:rsid w:val="006B3A26"/>
    <w:rsid w:val="006C1167"/>
    <w:rsid w:val="006C1AC9"/>
    <w:rsid w:val="006C2F79"/>
    <w:rsid w:val="006C3A6B"/>
    <w:rsid w:val="006C41F9"/>
    <w:rsid w:val="006C6DFC"/>
    <w:rsid w:val="006D0444"/>
    <w:rsid w:val="006D2C34"/>
    <w:rsid w:val="006D3977"/>
    <w:rsid w:val="006D4170"/>
    <w:rsid w:val="006D4FD8"/>
    <w:rsid w:val="006D5B5F"/>
    <w:rsid w:val="006D7602"/>
    <w:rsid w:val="006D763C"/>
    <w:rsid w:val="006D7890"/>
    <w:rsid w:val="006D7A48"/>
    <w:rsid w:val="006E0A43"/>
    <w:rsid w:val="006E0D53"/>
    <w:rsid w:val="006E1094"/>
    <w:rsid w:val="006E1280"/>
    <w:rsid w:val="006E292E"/>
    <w:rsid w:val="006E3BC8"/>
    <w:rsid w:val="006E44C9"/>
    <w:rsid w:val="006E4B2D"/>
    <w:rsid w:val="006E52B8"/>
    <w:rsid w:val="006E5FD1"/>
    <w:rsid w:val="006E77EB"/>
    <w:rsid w:val="006F0D25"/>
    <w:rsid w:val="006F21AB"/>
    <w:rsid w:val="006F33E4"/>
    <w:rsid w:val="006F460A"/>
    <w:rsid w:val="006F4ABE"/>
    <w:rsid w:val="006F5584"/>
    <w:rsid w:val="006F56B5"/>
    <w:rsid w:val="006F7F63"/>
    <w:rsid w:val="007002BD"/>
    <w:rsid w:val="00701850"/>
    <w:rsid w:val="007019A1"/>
    <w:rsid w:val="00702592"/>
    <w:rsid w:val="00703046"/>
    <w:rsid w:val="00705628"/>
    <w:rsid w:val="00705891"/>
    <w:rsid w:val="0071207E"/>
    <w:rsid w:val="00713399"/>
    <w:rsid w:val="0071514D"/>
    <w:rsid w:val="00715905"/>
    <w:rsid w:val="00723818"/>
    <w:rsid w:val="00723A33"/>
    <w:rsid w:val="00724126"/>
    <w:rsid w:val="0072687B"/>
    <w:rsid w:val="00726F5A"/>
    <w:rsid w:val="00727D9F"/>
    <w:rsid w:val="00731BC8"/>
    <w:rsid w:val="00732D13"/>
    <w:rsid w:val="00733795"/>
    <w:rsid w:val="007341EC"/>
    <w:rsid w:val="00736481"/>
    <w:rsid w:val="00740777"/>
    <w:rsid w:val="00740D80"/>
    <w:rsid w:val="007416B7"/>
    <w:rsid w:val="007434F5"/>
    <w:rsid w:val="0074525B"/>
    <w:rsid w:val="007460C7"/>
    <w:rsid w:val="0074688B"/>
    <w:rsid w:val="00751DE2"/>
    <w:rsid w:val="0075416B"/>
    <w:rsid w:val="007553C6"/>
    <w:rsid w:val="00756359"/>
    <w:rsid w:val="00756519"/>
    <w:rsid w:val="007574BE"/>
    <w:rsid w:val="00757BB6"/>
    <w:rsid w:val="00760345"/>
    <w:rsid w:val="0076396F"/>
    <w:rsid w:val="00763D15"/>
    <w:rsid w:val="00773095"/>
    <w:rsid w:val="007736DE"/>
    <w:rsid w:val="00773D2A"/>
    <w:rsid w:val="00774F07"/>
    <w:rsid w:val="00775546"/>
    <w:rsid w:val="00780408"/>
    <w:rsid w:val="007807F3"/>
    <w:rsid w:val="00780999"/>
    <w:rsid w:val="00786905"/>
    <w:rsid w:val="00786DFF"/>
    <w:rsid w:val="007876EB"/>
    <w:rsid w:val="00791606"/>
    <w:rsid w:val="0079189F"/>
    <w:rsid w:val="00791A63"/>
    <w:rsid w:val="00791E8B"/>
    <w:rsid w:val="00793307"/>
    <w:rsid w:val="00793365"/>
    <w:rsid w:val="00794234"/>
    <w:rsid w:val="0079683D"/>
    <w:rsid w:val="007A03D2"/>
    <w:rsid w:val="007A2BE6"/>
    <w:rsid w:val="007A3866"/>
    <w:rsid w:val="007A5238"/>
    <w:rsid w:val="007A669F"/>
    <w:rsid w:val="007A699F"/>
    <w:rsid w:val="007A72F1"/>
    <w:rsid w:val="007B044B"/>
    <w:rsid w:val="007B31C8"/>
    <w:rsid w:val="007B4917"/>
    <w:rsid w:val="007B764E"/>
    <w:rsid w:val="007C0F12"/>
    <w:rsid w:val="007C196F"/>
    <w:rsid w:val="007C2F0D"/>
    <w:rsid w:val="007C4D8F"/>
    <w:rsid w:val="007C77F1"/>
    <w:rsid w:val="007C7D1D"/>
    <w:rsid w:val="007D1BF7"/>
    <w:rsid w:val="007D2FDE"/>
    <w:rsid w:val="007D4F28"/>
    <w:rsid w:val="007D52D0"/>
    <w:rsid w:val="007D6395"/>
    <w:rsid w:val="007D6945"/>
    <w:rsid w:val="007D6BAC"/>
    <w:rsid w:val="007E0199"/>
    <w:rsid w:val="007E1E92"/>
    <w:rsid w:val="007E538E"/>
    <w:rsid w:val="007F1E8C"/>
    <w:rsid w:val="007F26CB"/>
    <w:rsid w:val="007F5ECB"/>
    <w:rsid w:val="007F5FE1"/>
    <w:rsid w:val="007F688C"/>
    <w:rsid w:val="007F69BF"/>
    <w:rsid w:val="007F6AD8"/>
    <w:rsid w:val="00801083"/>
    <w:rsid w:val="008026BE"/>
    <w:rsid w:val="00806782"/>
    <w:rsid w:val="00814DF5"/>
    <w:rsid w:val="00814E20"/>
    <w:rsid w:val="0081599C"/>
    <w:rsid w:val="00816536"/>
    <w:rsid w:val="0081668E"/>
    <w:rsid w:val="00816A40"/>
    <w:rsid w:val="008172DB"/>
    <w:rsid w:val="00817B12"/>
    <w:rsid w:val="008206F3"/>
    <w:rsid w:val="00822835"/>
    <w:rsid w:val="00824FD0"/>
    <w:rsid w:val="008257F1"/>
    <w:rsid w:val="00826857"/>
    <w:rsid w:val="00826F0D"/>
    <w:rsid w:val="00830207"/>
    <w:rsid w:val="00830EA5"/>
    <w:rsid w:val="00831E8F"/>
    <w:rsid w:val="00842E0C"/>
    <w:rsid w:val="00843D81"/>
    <w:rsid w:val="00843F61"/>
    <w:rsid w:val="00845492"/>
    <w:rsid w:val="0085544B"/>
    <w:rsid w:val="0085580A"/>
    <w:rsid w:val="00856A41"/>
    <w:rsid w:val="00861DAB"/>
    <w:rsid w:val="00862AD0"/>
    <w:rsid w:val="0086390A"/>
    <w:rsid w:val="0086690C"/>
    <w:rsid w:val="00866D3B"/>
    <w:rsid w:val="0087317E"/>
    <w:rsid w:val="0087465C"/>
    <w:rsid w:val="00874768"/>
    <w:rsid w:val="0087478F"/>
    <w:rsid w:val="00874C7B"/>
    <w:rsid w:val="00875671"/>
    <w:rsid w:val="00875778"/>
    <w:rsid w:val="00876E6B"/>
    <w:rsid w:val="0088114C"/>
    <w:rsid w:val="008816AB"/>
    <w:rsid w:val="00884160"/>
    <w:rsid w:val="008855A1"/>
    <w:rsid w:val="00887EDF"/>
    <w:rsid w:val="00887F8B"/>
    <w:rsid w:val="00890513"/>
    <w:rsid w:val="00891B40"/>
    <w:rsid w:val="00891E1C"/>
    <w:rsid w:val="0089252E"/>
    <w:rsid w:val="00892DDD"/>
    <w:rsid w:val="00893087"/>
    <w:rsid w:val="008948BC"/>
    <w:rsid w:val="00895311"/>
    <w:rsid w:val="00895847"/>
    <w:rsid w:val="00897395"/>
    <w:rsid w:val="008A00FD"/>
    <w:rsid w:val="008A093A"/>
    <w:rsid w:val="008A3344"/>
    <w:rsid w:val="008A53E7"/>
    <w:rsid w:val="008A69BE"/>
    <w:rsid w:val="008A69C6"/>
    <w:rsid w:val="008A6E51"/>
    <w:rsid w:val="008A70BA"/>
    <w:rsid w:val="008A710F"/>
    <w:rsid w:val="008A756F"/>
    <w:rsid w:val="008A785D"/>
    <w:rsid w:val="008B0884"/>
    <w:rsid w:val="008B0AC5"/>
    <w:rsid w:val="008B2A16"/>
    <w:rsid w:val="008B48CE"/>
    <w:rsid w:val="008B5C9E"/>
    <w:rsid w:val="008C05D4"/>
    <w:rsid w:val="008C09A6"/>
    <w:rsid w:val="008C1A60"/>
    <w:rsid w:val="008C2758"/>
    <w:rsid w:val="008C2EFD"/>
    <w:rsid w:val="008C3F32"/>
    <w:rsid w:val="008C47CA"/>
    <w:rsid w:val="008C678C"/>
    <w:rsid w:val="008C6FA0"/>
    <w:rsid w:val="008C7B27"/>
    <w:rsid w:val="008D1925"/>
    <w:rsid w:val="008D1A89"/>
    <w:rsid w:val="008D1E20"/>
    <w:rsid w:val="008D3B4A"/>
    <w:rsid w:val="008D502D"/>
    <w:rsid w:val="008D6F77"/>
    <w:rsid w:val="008D779E"/>
    <w:rsid w:val="008E0089"/>
    <w:rsid w:val="008E1244"/>
    <w:rsid w:val="008E194F"/>
    <w:rsid w:val="008E22AC"/>
    <w:rsid w:val="008E2463"/>
    <w:rsid w:val="008E34F4"/>
    <w:rsid w:val="008E353D"/>
    <w:rsid w:val="008E38E2"/>
    <w:rsid w:val="008E40BF"/>
    <w:rsid w:val="008E470A"/>
    <w:rsid w:val="008E5D41"/>
    <w:rsid w:val="008E5E37"/>
    <w:rsid w:val="008E6524"/>
    <w:rsid w:val="008E7BAE"/>
    <w:rsid w:val="008E7BDE"/>
    <w:rsid w:val="008E7F72"/>
    <w:rsid w:val="008F2498"/>
    <w:rsid w:val="008F3044"/>
    <w:rsid w:val="008F3C31"/>
    <w:rsid w:val="0090232D"/>
    <w:rsid w:val="00902AF5"/>
    <w:rsid w:val="00902D3F"/>
    <w:rsid w:val="0090431F"/>
    <w:rsid w:val="0090663C"/>
    <w:rsid w:val="009074ED"/>
    <w:rsid w:val="00907A67"/>
    <w:rsid w:val="00910D93"/>
    <w:rsid w:val="00911596"/>
    <w:rsid w:val="0091228D"/>
    <w:rsid w:val="00912DCA"/>
    <w:rsid w:val="00912F08"/>
    <w:rsid w:val="009139B4"/>
    <w:rsid w:val="009147AA"/>
    <w:rsid w:val="00914A63"/>
    <w:rsid w:val="00915166"/>
    <w:rsid w:val="00916795"/>
    <w:rsid w:val="00917952"/>
    <w:rsid w:val="00917B37"/>
    <w:rsid w:val="00920B80"/>
    <w:rsid w:val="00920C1E"/>
    <w:rsid w:val="00921438"/>
    <w:rsid w:val="0092164F"/>
    <w:rsid w:val="00921C85"/>
    <w:rsid w:val="00922F29"/>
    <w:rsid w:val="009231D7"/>
    <w:rsid w:val="0092353D"/>
    <w:rsid w:val="00923933"/>
    <w:rsid w:val="00923D02"/>
    <w:rsid w:val="009246DC"/>
    <w:rsid w:val="00924773"/>
    <w:rsid w:val="00927652"/>
    <w:rsid w:val="00930F7A"/>
    <w:rsid w:val="00931B8F"/>
    <w:rsid w:val="009322C3"/>
    <w:rsid w:val="00932D0D"/>
    <w:rsid w:val="00932E57"/>
    <w:rsid w:val="0093593D"/>
    <w:rsid w:val="00940192"/>
    <w:rsid w:val="009409F2"/>
    <w:rsid w:val="00941942"/>
    <w:rsid w:val="00942F3F"/>
    <w:rsid w:val="0094334A"/>
    <w:rsid w:val="00946AF1"/>
    <w:rsid w:val="00950000"/>
    <w:rsid w:val="00950DF0"/>
    <w:rsid w:val="009512AF"/>
    <w:rsid w:val="0095389B"/>
    <w:rsid w:val="00954BF6"/>
    <w:rsid w:val="009555E7"/>
    <w:rsid w:val="009569C1"/>
    <w:rsid w:val="00956D85"/>
    <w:rsid w:val="00956F34"/>
    <w:rsid w:val="00957957"/>
    <w:rsid w:val="009633D2"/>
    <w:rsid w:val="00965200"/>
    <w:rsid w:val="00965454"/>
    <w:rsid w:val="0096564A"/>
    <w:rsid w:val="00965B85"/>
    <w:rsid w:val="0097203E"/>
    <w:rsid w:val="00972A35"/>
    <w:rsid w:val="00973D44"/>
    <w:rsid w:val="00973F38"/>
    <w:rsid w:val="0097463E"/>
    <w:rsid w:val="00974DF7"/>
    <w:rsid w:val="009757D6"/>
    <w:rsid w:val="00976752"/>
    <w:rsid w:val="0097718E"/>
    <w:rsid w:val="00977958"/>
    <w:rsid w:val="00981FCB"/>
    <w:rsid w:val="0098225E"/>
    <w:rsid w:val="00983C2B"/>
    <w:rsid w:val="0098442D"/>
    <w:rsid w:val="0098777F"/>
    <w:rsid w:val="00990832"/>
    <w:rsid w:val="009908F7"/>
    <w:rsid w:val="00994E46"/>
    <w:rsid w:val="00995683"/>
    <w:rsid w:val="009960C0"/>
    <w:rsid w:val="009966CE"/>
    <w:rsid w:val="00997403"/>
    <w:rsid w:val="00997C30"/>
    <w:rsid w:val="00997E28"/>
    <w:rsid w:val="009A1F81"/>
    <w:rsid w:val="009A26D4"/>
    <w:rsid w:val="009A2DB0"/>
    <w:rsid w:val="009A3929"/>
    <w:rsid w:val="009A43E7"/>
    <w:rsid w:val="009A47B0"/>
    <w:rsid w:val="009A5BDB"/>
    <w:rsid w:val="009A6C1A"/>
    <w:rsid w:val="009A7417"/>
    <w:rsid w:val="009A799E"/>
    <w:rsid w:val="009B021B"/>
    <w:rsid w:val="009B0D0F"/>
    <w:rsid w:val="009B13E5"/>
    <w:rsid w:val="009B3013"/>
    <w:rsid w:val="009B349A"/>
    <w:rsid w:val="009B3A2E"/>
    <w:rsid w:val="009B44BA"/>
    <w:rsid w:val="009B4D31"/>
    <w:rsid w:val="009B4FE7"/>
    <w:rsid w:val="009B6798"/>
    <w:rsid w:val="009B6DB0"/>
    <w:rsid w:val="009C2236"/>
    <w:rsid w:val="009C2291"/>
    <w:rsid w:val="009C3C0A"/>
    <w:rsid w:val="009C4094"/>
    <w:rsid w:val="009C463A"/>
    <w:rsid w:val="009C77D0"/>
    <w:rsid w:val="009D1005"/>
    <w:rsid w:val="009D1487"/>
    <w:rsid w:val="009D2429"/>
    <w:rsid w:val="009D2EB5"/>
    <w:rsid w:val="009D30FB"/>
    <w:rsid w:val="009D43BC"/>
    <w:rsid w:val="009D4C3F"/>
    <w:rsid w:val="009D65F0"/>
    <w:rsid w:val="009D7539"/>
    <w:rsid w:val="009D7778"/>
    <w:rsid w:val="009E2559"/>
    <w:rsid w:val="009E2C16"/>
    <w:rsid w:val="009E33C4"/>
    <w:rsid w:val="009E3438"/>
    <w:rsid w:val="009E36FA"/>
    <w:rsid w:val="009E5DE1"/>
    <w:rsid w:val="009E7640"/>
    <w:rsid w:val="009E77C8"/>
    <w:rsid w:val="009F0996"/>
    <w:rsid w:val="009F2A87"/>
    <w:rsid w:val="009F4F5E"/>
    <w:rsid w:val="00A018B2"/>
    <w:rsid w:val="00A01A78"/>
    <w:rsid w:val="00A01FE4"/>
    <w:rsid w:val="00A024AF"/>
    <w:rsid w:val="00A068DE"/>
    <w:rsid w:val="00A1117E"/>
    <w:rsid w:val="00A11B4F"/>
    <w:rsid w:val="00A13944"/>
    <w:rsid w:val="00A13B1E"/>
    <w:rsid w:val="00A15432"/>
    <w:rsid w:val="00A16BAB"/>
    <w:rsid w:val="00A207B6"/>
    <w:rsid w:val="00A2181A"/>
    <w:rsid w:val="00A2389E"/>
    <w:rsid w:val="00A2452A"/>
    <w:rsid w:val="00A251EE"/>
    <w:rsid w:val="00A25764"/>
    <w:rsid w:val="00A25D19"/>
    <w:rsid w:val="00A304E0"/>
    <w:rsid w:val="00A31002"/>
    <w:rsid w:val="00A317E7"/>
    <w:rsid w:val="00A31A8A"/>
    <w:rsid w:val="00A33A7D"/>
    <w:rsid w:val="00A33E57"/>
    <w:rsid w:val="00A3434B"/>
    <w:rsid w:val="00A35703"/>
    <w:rsid w:val="00A35978"/>
    <w:rsid w:val="00A36A19"/>
    <w:rsid w:val="00A36B54"/>
    <w:rsid w:val="00A36E7D"/>
    <w:rsid w:val="00A403F3"/>
    <w:rsid w:val="00A415B3"/>
    <w:rsid w:val="00A4194D"/>
    <w:rsid w:val="00A42AFE"/>
    <w:rsid w:val="00A42CBE"/>
    <w:rsid w:val="00A42EDE"/>
    <w:rsid w:val="00A436E6"/>
    <w:rsid w:val="00A43961"/>
    <w:rsid w:val="00A507CE"/>
    <w:rsid w:val="00A510BA"/>
    <w:rsid w:val="00A53844"/>
    <w:rsid w:val="00A53854"/>
    <w:rsid w:val="00A54F97"/>
    <w:rsid w:val="00A5551B"/>
    <w:rsid w:val="00A55CC6"/>
    <w:rsid w:val="00A568C1"/>
    <w:rsid w:val="00A64D54"/>
    <w:rsid w:val="00A6515B"/>
    <w:rsid w:val="00A655E8"/>
    <w:rsid w:val="00A65898"/>
    <w:rsid w:val="00A65BF0"/>
    <w:rsid w:val="00A666D8"/>
    <w:rsid w:val="00A670DE"/>
    <w:rsid w:val="00A70AC6"/>
    <w:rsid w:val="00A7184B"/>
    <w:rsid w:val="00A72911"/>
    <w:rsid w:val="00A7292F"/>
    <w:rsid w:val="00A72AC0"/>
    <w:rsid w:val="00A72C9C"/>
    <w:rsid w:val="00A75903"/>
    <w:rsid w:val="00A80370"/>
    <w:rsid w:val="00A82C4C"/>
    <w:rsid w:val="00A83064"/>
    <w:rsid w:val="00A83AA0"/>
    <w:rsid w:val="00A85E2D"/>
    <w:rsid w:val="00A86387"/>
    <w:rsid w:val="00A86D41"/>
    <w:rsid w:val="00A87349"/>
    <w:rsid w:val="00A87E68"/>
    <w:rsid w:val="00A90334"/>
    <w:rsid w:val="00A924F5"/>
    <w:rsid w:val="00A95B8E"/>
    <w:rsid w:val="00A96738"/>
    <w:rsid w:val="00A979CD"/>
    <w:rsid w:val="00AA0B95"/>
    <w:rsid w:val="00AA0C42"/>
    <w:rsid w:val="00AA1F53"/>
    <w:rsid w:val="00AA3957"/>
    <w:rsid w:val="00AA40AD"/>
    <w:rsid w:val="00AB4A0F"/>
    <w:rsid w:val="00AB60DE"/>
    <w:rsid w:val="00AB65CB"/>
    <w:rsid w:val="00AB7ACC"/>
    <w:rsid w:val="00AC0015"/>
    <w:rsid w:val="00AC2C5E"/>
    <w:rsid w:val="00AC6CEB"/>
    <w:rsid w:val="00AC7D27"/>
    <w:rsid w:val="00AD146D"/>
    <w:rsid w:val="00AD1E06"/>
    <w:rsid w:val="00AD21B5"/>
    <w:rsid w:val="00AD2AB8"/>
    <w:rsid w:val="00AD6FA1"/>
    <w:rsid w:val="00AD75C9"/>
    <w:rsid w:val="00AE0846"/>
    <w:rsid w:val="00AE09C3"/>
    <w:rsid w:val="00AE0EBB"/>
    <w:rsid w:val="00AE1C31"/>
    <w:rsid w:val="00AE24CF"/>
    <w:rsid w:val="00AE26D7"/>
    <w:rsid w:val="00AE3A00"/>
    <w:rsid w:val="00AE4B6C"/>
    <w:rsid w:val="00AE544E"/>
    <w:rsid w:val="00AE7413"/>
    <w:rsid w:val="00AF26DD"/>
    <w:rsid w:val="00AF3589"/>
    <w:rsid w:val="00AF41CA"/>
    <w:rsid w:val="00AF4A7E"/>
    <w:rsid w:val="00AF561A"/>
    <w:rsid w:val="00B0085F"/>
    <w:rsid w:val="00B013EB"/>
    <w:rsid w:val="00B01D5C"/>
    <w:rsid w:val="00B02B1B"/>
    <w:rsid w:val="00B0413F"/>
    <w:rsid w:val="00B04BC3"/>
    <w:rsid w:val="00B0722D"/>
    <w:rsid w:val="00B10127"/>
    <w:rsid w:val="00B117F9"/>
    <w:rsid w:val="00B125A6"/>
    <w:rsid w:val="00B12675"/>
    <w:rsid w:val="00B12DE3"/>
    <w:rsid w:val="00B130F8"/>
    <w:rsid w:val="00B1354D"/>
    <w:rsid w:val="00B13A19"/>
    <w:rsid w:val="00B154A9"/>
    <w:rsid w:val="00B20F61"/>
    <w:rsid w:val="00B21413"/>
    <w:rsid w:val="00B22770"/>
    <w:rsid w:val="00B22DB9"/>
    <w:rsid w:val="00B240F7"/>
    <w:rsid w:val="00B25456"/>
    <w:rsid w:val="00B26C04"/>
    <w:rsid w:val="00B26C71"/>
    <w:rsid w:val="00B30535"/>
    <w:rsid w:val="00B30942"/>
    <w:rsid w:val="00B323EB"/>
    <w:rsid w:val="00B32A0A"/>
    <w:rsid w:val="00B32AB9"/>
    <w:rsid w:val="00B338FA"/>
    <w:rsid w:val="00B34408"/>
    <w:rsid w:val="00B34A1D"/>
    <w:rsid w:val="00B35DB0"/>
    <w:rsid w:val="00B371CA"/>
    <w:rsid w:val="00B37645"/>
    <w:rsid w:val="00B37D2B"/>
    <w:rsid w:val="00B40A2A"/>
    <w:rsid w:val="00B47D9F"/>
    <w:rsid w:val="00B514D4"/>
    <w:rsid w:val="00B526BA"/>
    <w:rsid w:val="00B53614"/>
    <w:rsid w:val="00B54E61"/>
    <w:rsid w:val="00B57450"/>
    <w:rsid w:val="00B60972"/>
    <w:rsid w:val="00B61713"/>
    <w:rsid w:val="00B6374C"/>
    <w:rsid w:val="00B6388D"/>
    <w:rsid w:val="00B64B85"/>
    <w:rsid w:val="00B654F9"/>
    <w:rsid w:val="00B65DB2"/>
    <w:rsid w:val="00B6743C"/>
    <w:rsid w:val="00B67A50"/>
    <w:rsid w:val="00B72492"/>
    <w:rsid w:val="00B7254A"/>
    <w:rsid w:val="00B72CB5"/>
    <w:rsid w:val="00B73568"/>
    <w:rsid w:val="00B75405"/>
    <w:rsid w:val="00B75672"/>
    <w:rsid w:val="00B769DD"/>
    <w:rsid w:val="00B805E0"/>
    <w:rsid w:val="00B82BD5"/>
    <w:rsid w:val="00B8399C"/>
    <w:rsid w:val="00B84525"/>
    <w:rsid w:val="00B86A7B"/>
    <w:rsid w:val="00B877F2"/>
    <w:rsid w:val="00B87BF7"/>
    <w:rsid w:val="00B87E16"/>
    <w:rsid w:val="00B87FB1"/>
    <w:rsid w:val="00B957EC"/>
    <w:rsid w:val="00BA20B2"/>
    <w:rsid w:val="00BA2B86"/>
    <w:rsid w:val="00BA3C0B"/>
    <w:rsid w:val="00BA4B47"/>
    <w:rsid w:val="00BA5556"/>
    <w:rsid w:val="00BA5923"/>
    <w:rsid w:val="00BA719D"/>
    <w:rsid w:val="00BA729C"/>
    <w:rsid w:val="00BB1267"/>
    <w:rsid w:val="00BB5D48"/>
    <w:rsid w:val="00BB7C3E"/>
    <w:rsid w:val="00BB7EC8"/>
    <w:rsid w:val="00BB7FEE"/>
    <w:rsid w:val="00BC1A5A"/>
    <w:rsid w:val="00BC282C"/>
    <w:rsid w:val="00BC31C5"/>
    <w:rsid w:val="00BC31F1"/>
    <w:rsid w:val="00BC3954"/>
    <w:rsid w:val="00BC48FA"/>
    <w:rsid w:val="00BC6F18"/>
    <w:rsid w:val="00BD00B3"/>
    <w:rsid w:val="00BD14AF"/>
    <w:rsid w:val="00BD3FF0"/>
    <w:rsid w:val="00BD404B"/>
    <w:rsid w:val="00BD4C60"/>
    <w:rsid w:val="00BD5579"/>
    <w:rsid w:val="00BD5789"/>
    <w:rsid w:val="00BE024C"/>
    <w:rsid w:val="00BE0464"/>
    <w:rsid w:val="00BE048A"/>
    <w:rsid w:val="00BE189B"/>
    <w:rsid w:val="00BE1D7A"/>
    <w:rsid w:val="00BE258F"/>
    <w:rsid w:val="00BE324B"/>
    <w:rsid w:val="00BE3532"/>
    <w:rsid w:val="00BE406C"/>
    <w:rsid w:val="00BE67A7"/>
    <w:rsid w:val="00BF2251"/>
    <w:rsid w:val="00BF325A"/>
    <w:rsid w:val="00BF3BEA"/>
    <w:rsid w:val="00BF4690"/>
    <w:rsid w:val="00BF532A"/>
    <w:rsid w:val="00BF5400"/>
    <w:rsid w:val="00BF552F"/>
    <w:rsid w:val="00C0008E"/>
    <w:rsid w:val="00C014AD"/>
    <w:rsid w:val="00C0796C"/>
    <w:rsid w:val="00C07C0B"/>
    <w:rsid w:val="00C10D48"/>
    <w:rsid w:val="00C12955"/>
    <w:rsid w:val="00C13387"/>
    <w:rsid w:val="00C144A0"/>
    <w:rsid w:val="00C1562C"/>
    <w:rsid w:val="00C15EA9"/>
    <w:rsid w:val="00C15ED4"/>
    <w:rsid w:val="00C20124"/>
    <w:rsid w:val="00C209B5"/>
    <w:rsid w:val="00C20B22"/>
    <w:rsid w:val="00C22160"/>
    <w:rsid w:val="00C225E8"/>
    <w:rsid w:val="00C22A66"/>
    <w:rsid w:val="00C22FA0"/>
    <w:rsid w:val="00C233B3"/>
    <w:rsid w:val="00C233F8"/>
    <w:rsid w:val="00C255AC"/>
    <w:rsid w:val="00C2650A"/>
    <w:rsid w:val="00C269EF"/>
    <w:rsid w:val="00C26D29"/>
    <w:rsid w:val="00C307F6"/>
    <w:rsid w:val="00C311C9"/>
    <w:rsid w:val="00C3279B"/>
    <w:rsid w:val="00C3354B"/>
    <w:rsid w:val="00C34613"/>
    <w:rsid w:val="00C34F9C"/>
    <w:rsid w:val="00C40232"/>
    <w:rsid w:val="00C40B5D"/>
    <w:rsid w:val="00C415C6"/>
    <w:rsid w:val="00C41745"/>
    <w:rsid w:val="00C41EB3"/>
    <w:rsid w:val="00C42D7B"/>
    <w:rsid w:val="00C45698"/>
    <w:rsid w:val="00C47206"/>
    <w:rsid w:val="00C47C27"/>
    <w:rsid w:val="00C50398"/>
    <w:rsid w:val="00C50E0F"/>
    <w:rsid w:val="00C51055"/>
    <w:rsid w:val="00C52145"/>
    <w:rsid w:val="00C524EC"/>
    <w:rsid w:val="00C54C07"/>
    <w:rsid w:val="00C54ED6"/>
    <w:rsid w:val="00C558DF"/>
    <w:rsid w:val="00C55D3C"/>
    <w:rsid w:val="00C569F9"/>
    <w:rsid w:val="00C57C61"/>
    <w:rsid w:val="00C60B88"/>
    <w:rsid w:val="00C61BC8"/>
    <w:rsid w:val="00C61D8A"/>
    <w:rsid w:val="00C61FDA"/>
    <w:rsid w:val="00C6217F"/>
    <w:rsid w:val="00C632F8"/>
    <w:rsid w:val="00C6514A"/>
    <w:rsid w:val="00C651F5"/>
    <w:rsid w:val="00C663FB"/>
    <w:rsid w:val="00C7114F"/>
    <w:rsid w:val="00C7126D"/>
    <w:rsid w:val="00C715DF"/>
    <w:rsid w:val="00C71781"/>
    <w:rsid w:val="00C7224A"/>
    <w:rsid w:val="00C73734"/>
    <w:rsid w:val="00C73C49"/>
    <w:rsid w:val="00C75724"/>
    <w:rsid w:val="00C7614D"/>
    <w:rsid w:val="00C801C6"/>
    <w:rsid w:val="00C83187"/>
    <w:rsid w:val="00C83878"/>
    <w:rsid w:val="00C91EB4"/>
    <w:rsid w:val="00C927CF"/>
    <w:rsid w:val="00C93463"/>
    <w:rsid w:val="00C934E3"/>
    <w:rsid w:val="00C97D40"/>
    <w:rsid w:val="00C97E9E"/>
    <w:rsid w:val="00CA2A24"/>
    <w:rsid w:val="00CA2AF7"/>
    <w:rsid w:val="00CA3AD2"/>
    <w:rsid w:val="00CA3F15"/>
    <w:rsid w:val="00CA4A94"/>
    <w:rsid w:val="00CA66A0"/>
    <w:rsid w:val="00CA7C6A"/>
    <w:rsid w:val="00CB1E3F"/>
    <w:rsid w:val="00CB78AB"/>
    <w:rsid w:val="00CC0EC0"/>
    <w:rsid w:val="00CC12DF"/>
    <w:rsid w:val="00CC1EC5"/>
    <w:rsid w:val="00CC2249"/>
    <w:rsid w:val="00CC399A"/>
    <w:rsid w:val="00CC430D"/>
    <w:rsid w:val="00CC4583"/>
    <w:rsid w:val="00CC55A5"/>
    <w:rsid w:val="00CC55EA"/>
    <w:rsid w:val="00CC6DA3"/>
    <w:rsid w:val="00CC7A05"/>
    <w:rsid w:val="00CC7A13"/>
    <w:rsid w:val="00CD1B33"/>
    <w:rsid w:val="00CD34C7"/>
    <w:rsid w:val="00CD442B"/>
    <w:rsid w:val="00CE0CE5"/>
    <w:rsid w:val="00CE149A"/>
    <w:rsid w:val="00CE2EE5"/>
    <w:rsid w:val="00CE2F77"/>
    <w:rsid w:val="00CE3078"/>
    <w:rsid w:val="00CE3236"/>
    <w:rsid w:val="00CE4F03"/>
    <w:rsid w:val="00CE5BBC"/>
    <w:rsid w:val="00CE5CE0"/>
    <w:rsid w:val="00CF1030"/>
    <w:rsid w:val="00CF2807"/>
    <w:rsid w:val="00CF470F"/>
    <w:rsid w:val="00CF5375"/>
    <w:rsid w:val="00CF7472"/>
    <w:rsid w:val="00CF7BB0"/>
    <w:rsid w:val="00CF7CD7"/>
    <w:rsid w:val="00D00242"/>
    <w:rsid w:val="00D00BF7"/>
    <w:rsid w:val="00D03B7D"/>
    <w:rsid w:val="00D04CF4"/>
    <w:rsid w:val="00D05AD4"/>
    <w:rsid w:val="00D06E5C"/>
    <w:rsid w:val="00D136F2"/>
    <w:rsid w:val="00D136FE"/>
    <w:rsid w:val="00D139C1"/>
    <w:rsid w:val="00D13ABD"/>
    <w:rsid w:val="00D147C2"/>
    <w:rsid w:val="00D15BC4"/>
    <w:rsid w:val="00D16EEB"/>
    <w:rsid w:val="00D21070"/>
    <w:rsid w:val="00D214EA"/>
    <w:rsid w:val="00D22CAF"/>
    <w:rsid w:val="00D26FBF"/>
    <w:rsid w:val="00D26FE8"/>
    <w:rsid w:val="00D3043B"/>
    <w:rsid w:val="00D30931"/>
    <w:rsid w:val="00D3181F"/>
    <w:rsid w:val="00D3270C"/>
    <w:rsid w:val="00D33092"/>
    <w:rsid w:val="00D33AA1"/>
    <w:rsid w:val="00D34B4F"/>
    <w:rsid w:val="00D371D3"/>
    <w:rsid w:val="00D37C12"/>
    <w:rsid w:val="00D40721"/>
    <w:rsid w:val="00D4102F"/>
    <w:rsid w:val="00D4265C"/>
    <w:rsid w:val="00D43111"/>
    <w:rsid w:val="00D45CA7"/>
    <w:rsid w:val="00D469D4"/>
    <w:rsid w:val="00D53360"/>
    <w:rsid w:val="00D54188"/>
    <w:rsid w:val="00D558DE"/>
    <w:rsid w:val="00D570BE"/>
    <w:rsid w:val="00D603B0"/>
    <w:rsid w:val="00D60F63"/>
    <w:rsid w:val="00D61419"/>
    <w:rsid w:val="00D62D47"/>
    <w:rsid w:val="00D62FD4"/>
    <w:rsid w:val="00D652EC"/>
    <w:rsid w:val="00D66139"/>
    <w:rsid w:val="00D67611"/>
    <w:rsid w:val="00D676BC"/>
    <w:rsid w:val="00D67F66"/>
    <w:rsid w:val="00D70776"/>
    <w:rsid w:val="00D769C6"/>
    <w:rsid w:val="00D76B8B"/>
    <w:rsid w:val="00D76FC9"/>
    <w:rsid w:val="00D8095A"/>
    <w:rsid w:val="00D81A52"/>
    <w:rsid w:val="00D82064"/>
    <w:rsid w:val="00D820C0"/>
    <w:rsid w:val="00D90F1C"/>
    <w:rsid w:val="00D9191C"/>
    <w:rsid w:val="00D9313F"/>
    <w:rsid w:val="00D93648"/>
    <w:rsid w:val="00D954DF"/>
    <w:rsid w:val="00DA0D91"/>
    <w:rsid w:val="00DA42CD"/>
    <w:rsid w:val="00DA60C2"/>
    <w:rsid w:val="00DA6C42"/>
    <w:rsid w:val="00DA74F9"/>
    <w:rsid w:val="00DB0409"/>
    <w:rsid w:val="00DB2B32"/>
    <w:rsid w:val="00DB424B"/>
    <w:rsid w:val="00DB52F9"/>
    <w:rsid w:val="00DB5A13"/>
    <w:rsid w:val="00DB7A93"/>
    <w:rsid w:val="00DC01C5"/>
    <w:rsid w:val="00DC22A2"/>
    <w:rsid w:val="00DC2B5F"/>
    <w:rsid w:val="00DC52F5"/>
    <w:rsid w:val="00DD01FF"/>
    <w:rsid w:val="00DD27EC"/>
    <w:rsid w:val="00DD3C2B"/>
    <w:rsid w:val="00DD4177"/>
    <w:rsid w:val="00DD4332"/>
    <w:rsid w:val="00DD4367"/>
    <w:rsid w:val="00DD4584"/>
    <w:rsid w:val="00DD4E1F"/>
    <w:rsid w:val="00DD6EDF"/>
    <w:rsid w:val="00DE1021"/>
    <w:rsid w:val="00DE1480"/>
    <w:rsid w:val="00DE14B3"/>
    <w:rsid w:val="00DE5148"/>
    <w:rsid w:val="00DE6A61"/>
    <w:rsid w:val="00DE786A"/>
    <w:rsid w:val="00DE7E6D"/>
    <w:rsid w:val="00DF0E9E"/>
    <w:rsid w:val="00DF1DF6"/>
    <w:rsid w:val="00DF2708"/>
    <w:rsid w:val="00DF3F1D"/>
    <w:rsid w:val="00DF46BA"/>
    <w:rsid w:val="00DF4DBB"/>
    <w:rsid w:val="00DF61E8"/>
    <w:rsid w:val="00DF6AF4"/>
    <w:rsid w:val="00E00580"/>
    <w:rsid w:val="00E0305B"/>
    <w:rsid w:val="00E038F2"/>
    <w:rsid w:val="00E04CFF"/>
    <w:rsid w:val="00E05BD1"/>
    <w:rsid w:val="00E06B1D"/>
    <w:rsid w:val="00E072B2"/>
    <w:rsid w:val="00E07D00"/>
    <w:rsid w:val="00E102E2"/>
    <w:rsid w:val="00E10312"/>
    <w:rsid w:val="00E13283"/>
    <w:rsid w:val="00E1363F"/>
    <w:rsid w:val="00E138A4"/>
    <w:rsid w:val="00E14715"/>
    <w:rsid w:val="00E14CDA"/>
    <w:rsid w:val="00E1784A"/>
    <w:rsid w:val="00E17E7A"/>
    <w:rsid w:val="00E218B4"/>
    <w:rsid w:val="00E220F9"/>
    <w:rsid w:val="00E227F2"/>
    <w:rsid w:val="00E22E5B"/>
    <w:rsid w:val="00E2370C"/>
    <w:rsid w:val="00E2523B"/>
    <w:rsid w:val="00E260CD"/>
    <w:rsid w:val="00E261D4"/>
    <w:rsid w:val="00E30AEB"/>
    <w:rsid w:val="00E328E2"/>
    <w:rsid w:val="00E3353A"/>
    <w:rsid w:val="00E33A6F"/>
    <w:rsid w:val="00E33BE8"/>
    <w:rsid w:val="00E41246"/>
    <w:rsid w:val="00E41AED"/>
    <w:rsid w:val="00E42F97"/>
    <w:rsid w:val="00E454C6"/>
    <w:rsid w:val="00E4593B"/>
    <w:rsid w:val="00E45E96"/>
    <w:rsid w:val="00E47AF0"/>
    <w:rsid w:val="00E50573"/>
    <w:rsid w:val="00E50AD8"/>
    <w:rsid w:val="00E522CC"/>
    <w:rsid w:val="00E533EE"/>
    <w:rsid w:val="00E55B69"/>
    <w:rsid w:val="00E574F4"/>
    <w:rsid w:val="00E60A08"/>
    <w:rsid w:val="00E613B0"/>
    <w:rsid w:val="00E64BF2"/>
    <w:rsid w:val="00E65538"/>
    <w:rsid w:val="00E66CB1"/>
    <w:rsid w:val="00E71377"/>
    <w:rsid w:val="00E81564"/>
    <w:rsid w:val="00E822ED"/>
    <w:rsid w:val="00E86007"/>
    <w:rsid w:val="00E8734B"/>
    <w:rsid w:val="00E87F3E"/>
    <w:rsid w:val="00E91D76"/>
    <w:rsid w:val="00E91DBF"/>
    <w:rsid w:val="00E91EB0"/>
    <w:rsid w:val="00E92629"/>
    <w:rsid w:val="00E93BB7"/>
    <w:rsid w:val="00E94D75"/>
    <w:rsid w:val="00E97291"/>
    <w:rsid w:val="00EA0597"/>
    <w:rsid w:val="00EA1D82"/>
    <w:rsid w:val="00EA4CDE"/>
    <w:rsid w:val="00EA5270"/>
    <w:rsid w:val="00EA5708"/>
    <w:rsid w:val="00EA790F"/>
    <w:rsid w:val="00EB0D4D"/>
    <w:rsid w:val="00EB2298"/>
    <w:rsid w:val="00EB27DA"/>
    <w:rsid w:val="00EB28BE"/>
    <w:rsid w:val="00EB2F68"/>
    <w:rsid w:val="00EB5C17"/>
    <w:rsid w:val="00EB609D"/>
    <w:rsid w:val="00EB6126"/>
    <w:rsid w:val="00EC00CB"/>
    <w:rsid w:val="00EC2877"/>
    <w:rsid w:val="00EC45FA"/>
    <w:rsid w:val="00EC6968"/>
    <w:rsid w:val="00EC7146"/>
    <w:rsid w:val="00EC742A"/>
    <w:rsid w:val="00EC7F27"/>
    <w:rsid w:val="00ED0485"/>
    <w:rsid w:val="00ED0B70"/>
    <w:rsid w:val="00ED1BFA"/>
    <w:rsid w:val="00ED2102"/>
    <w:rsid w:val="00ED2BEF"/>
    <w:rsid w:val="00ED4019"/>
    <w:rsid w:val="00ED4570"/>
    <w:rsid w:val="00ED49E4"/>
    <w:rsid w:val="00ED547A"/>
    <w:rsid w:val="00EE0485"/>
    <w:rsid w:val="00EE362B"/>
    <w:rsid w:val="00EE4A2E"/>
    <w:rsid w:val="00EE7FF6"/>
    <w:rsid w:val="00EF0016"/>
    <w:rsid w:val="00EF0D0C"/>
    <w:rsid w:val="00EF1115"/>
    <w:rsid w:val="00EF153D"/>
    <w:rsid w:val="00EF1E73"/>
    <w:rsid w:val="00EF1EF6"/>
    <w:rsid w:val="00F00E7E"/>
    <w:rsid w:val="00F03CB8"/>
    <w:rsid w:val="00F041DD"/>
    <w:rsid w:val="00F045CD"/>
    <w:rsid w:val="00F04AB7"/>
    <w:rsid w:val="00F05608"/>
    <w:rsid w:val="00F063FB"/>
    <w:rsid w:val="00F11B7A"/>
    <w:rsid w:val="00F14EA6"/>
    <w:rsid w:val="00F15BF9"/>
    <w:rsid w:val="00F1765C"/>
    <w:rsid w:val="00F205A7"/>
    <w:rsid w:val="00F20E68"/>
    <w:rsid w:val="00F22072"/>
    <w:rsid w:val="00F220E3"/>
    <w:rsid w:val="00F2275E"/>
    <w:rsid w:val="00F22F35"/>
    <w:rsid w:val="00F23203"/>
    <w:rsid w:val="00F2497B"/>
    <w:rsid w:val="00F24D5C"/>
    <w:rsid w:val="00F25135"/>
    <w:rsid w:val="00F2634D"/>
    <w:rsid w:val="00F26BC9"/>
    <w:rsid w:val="00F32E01"/>
    <w:rsid w:val="00F32F00"/>
    <w:rsid w:val="00F32F11"/>
    <w:rsid w:val="00F33C75"/>
    <w:rsid w:val="00F35406"/>
    <w:rsid w:val="00F36A42"/>
    <w:rsid w:val="00F4033D"/>
    <w:rsid w:val="00F41B95"/>
    <w:rsid w:val="00F434EE"/>
    <w:rsid w:val="00F46C61"/>
    <w:rsid w:val="00F470FF"/>
    <w:rsid w:val="00F47130"/>
    <w:rsid w:val="00F475E8"/>
    <w:rsid w:val="00F51235"/>
    <w:rsid w:val="00F53428"/>
    <w:rsid w:val="00F53477"/>
    <w:rsid w:val="00F551F8"/>
    <w:rsid w:val="00F566D7"/>
    <w:rsid w:val="00F573A7"/>
    <w:rsid w:val="00F602E7"/>
    <w:rsid w:val="00F6037A"/>
    <w:rsid w:val="00F61488"/>
    <w:rsid w:val="00F61CBD"/>
    <w:rsid w:val="00F62924"/>
    <w:rsid w:val="00F62AB7"/>
    <w:rsid w:val="00F64475"/>
    <w:rsid w:val="00F64A58"/>
    <w:rsid w:val="00F66AD9"/>
    <w:rsid w:val="00F70EF7"/>
    <w:rsid w:val="00F713B5"/>
    <w:rsid w:val="00F74A13"/>
    <w:rsid w:val="00F779E7"/>
    <w:rsid w:val="00F801EC"/>
    <w:rsid w:val="00F81040"/>
    <w:rsid w:val="00F829B0"/>
    <w:rsid w:val="00F83224"/>
    <w:rsid w:val="00F83446"/>
    <w:rsid w:val="00F84078"/>
    <w:rsid w:val="00F84F7F"/>
    <w:rsid w:val="00F86F1E"/>
    <w:rsid w:val="00F903E6"/>
    <w:rsid w:val="00F91065"/>
    <w:rsid w:val="00F92EFD"/>
    <w:rsid w:val="00F957E6"/>
    <w:rsid w:val="00FA1069"/>
    <w:rsid w:val="00FA19AF"/>
    <w:rsid w:val="00FA1EFF"/>
    <w:rsid w:val="00FA3F91"/>
    <w:rsid w:val="00FA4555"/>
    <w:rsid w:val="00FB0C5A"/>
    <w:rsid w:val="00FB1059"/>
    <w:rsid w:val="00FB17FF"/>
    <w:rsid w:val="00FB2721"/>
    <w:rsid w:val="00FB744D"/>
    <w:rsid w:val="00FB7EEF"/>
    <w:rsid w:val="00FC025B"/>
    <w:rsid w:val="00FC0B35"/>
    <w:rsid w:val="00FC155C"/>
    <w:rsid w:val="00FC1A61"/>
    <w:rsid w:val="00FC1B74"/>
    <w:rsid w:val="00FC2B7C"/>
    <w:rsid w:val="00FC340D"/>
    <w:rsid w:val="00FC3916"/>
    <w:rsid w:val="00FC5163"/>
    <w:rsid w:val="00FC625D"/>
    <w:rsid w:val="00FC7B2F"/>
    <w:rsid w:val="00FD0744"/>
    <w:rsid w:val="00FD1A42"/>
    <w:rsid w:val="00FD377D"/>
    <w:rsid w:val="00FD431F"/>
    <w:rsid w:val="00FD548F"/>
    <w:rsid w:val="00FD5BEB"/>
    <w:rsid w:val="00FD66DC"/>
    <w:rsid w:val="00FE1D12"/>
    <w:rsid w:val="00FE282F"/>
    <w:rsid w:val="00FE2B3F"/>
    <w:rsid w:val="00FE3DC0"/>
    <w:rsid w:val="00FE5A1E"/>
    <w:rsid w:val="00FE5A48"/>
    <w:rsid w:val="00FE6992"/>
    <w:rsid w:val="00FF284B"/>
    <w:rsid w:val="00FF3EB6"/>
    <w:rsid w:val="00FF5E5B"/>
    <w:rsid w:val="00FF640C"/>
    <w:rsid w:val="00FF6C41"/>
    <w:rsid w:val="03451AAA"/>
    <w:rsid w:val="037D6142"/>
    <w:rsid w:val="03B86720"/>
    <w:rsid w:val="03C400B8"/>
    <w:rsid w:val="061F1453"/>
    <w:rsid w:val="06534D84"/>
    <w:rsid w:val="078F7797"/>
    <w:rsid w:val="10527D2F"/>
    <w:rsid w:val="10545A22"/>
    <w:rsid w:val="119E697D"/>
    <w:rsid w:val="128C4A10"/>
    <w:rsid w:val="12C444B8"/>
    <w:rsid w:val="15FE2DFF"/>
    <w:rsid w:val="1635775C"/>
    <w:rsid w:val="16F615E1"/>
    <w:rsid w:val="176C18A3"/>
    <w:rsid w:val="17F81389"/>
    <w:rsid w:val="18FC7EB0"/>
    <w:rsid w:val="18FF3400"/>
    <w:rsid w:val="19D56A37"/>
    <w:rsid w:val="1AA2738A"/>
    <w:rsid w:val="1AED2CFB"/>
    <w:rsid w:val="1F2E7CED"/>
    <w:rsid w:val="242B03F0"/>
    <w:rsid w:val="26595F21"/>
    <w:rsid w:val="26753BA5"/>
    <w:rsid w:val="268564DD"/>
    <w:rsid w:val="27DA4607"/>
    <w:rsid w:val="28BA7F95"/>
    <w:rsid w:val="2CD37A85"/>
    <w:rsid w:val="2DDA130D"/>
    <w:rsid w:val="301D7B37"/>
    <w:rsid w:val="30267C75"/>
    <w:rsid w:val="3062163D"/>
    <w:rsid w:val="30F675F6"/>
    <w:rsid w:val="315665D0"/>
    <w:rsid w:val="31885390"/>
    <w:rsid w:val="321B1FB3"/>
    <w:rsid w:val="32BD6FFF"/>
    <w:rsid w:val="338B61CC"/>
    <w:rsid w:val="35FE5964"/>
    <w:rsid w:val="36AA33F6"/>
    <w:rsid w:val="39383BF7"/>
    <w:rsid w:val="3AD44EE6"/>
    <w:rsid w:val="3AEC78C1"/>
    <w:rsid w:val="3B3616FD"/>
    <w:rsid w:val="407D1B7C"/>
    <w:rsid w:val="4105229D"/>
    <w:rsid w:val="41894042"/>
    <w:rsid w:val="422E312E"/>
    <w:rsid w:val="43866F99"/>
    <w:rsid w:val="45C83899"/>
    <w:rsid w:val="47282841"/>
    <w:rsid w:val="48D309A8"/>
    <w:rsid w:val="499E6DEB"/>
    <w:rsid w:val="4A437992"/>
    <w:rsid w:val="4D61085B"/>
    <w:rsid w:val="50C23D07"/>
    <w:rsid w:val="50F934A0"/>
    <w:rsid w:val="543416BF"/>
    <w:rsid w:val="55E464CD"/>
    <w:rsid w:val="56312D95"/>
    <w:rsid w:val="56E33B0F"/>
    <w:rsid w:val="57A25D43"/>
    <w:rsid w:val="593276E3"/>
    <w:rsid w:val="5C313BAE"/>
    <w:rsid w:val="607E735B"/>
    <w:rsid w:val="619D6B1E"/>
    <w:rsid w:val="61D3513B"/>
    <w:rsid w:val="68142C42"/>
    <w:rsid w:val="68A55EB5"/>
    <w:rsid w:val="697F6F91"/>
    <w:rsid w:val="69FD14B4"/>
    <w:rsid w:val="6C591948"/>
    <w:rsid w:val="6D394EF9"/>
    <w:rsid w:val="6E0077C5"/>
    <w:rsid w:val="6F0F157E"/>
    <w:rsid w:val="70213F99"/>
    <w:rsid w:val="70812E3F"/>
    <w:rsid w:val="718801FD"/>
    <w:rsid w:val="728000EB"/>
    <w:rsid w:val="746B2982"/>
    <w:rsid w:val="747D1B6F"/>
    <w:rsid w:val="74E7348C"/>
    <w:rsid w:val="75220020"/>
    <w:rsid w:val="75CC79AF"/>
    <w:rsid w:val="766F54E7"/>
    <w:rsid w:val="76AE550C"/>
    <w:rsid w:val="77C74EAF"/>
    <w:rsid w:val="7E41445B"/>
    <w:rsid w:val="7E4436FD"/>
    <w:rsid w:val="7EB1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20" w:firstLineChars="200"/>
      <w:jc w:val="both"/>
    </w:pPr>
    <w:rPr>
      <w:rFonts w:ascii="Times New Roman" w:hAnsi="Times New Roman" w:eastAsia="宋体" w:cs="宋体"/>
      <w:kern w:val="2"/>
      <w:sz w:val="21"/>
      <w:szCs w:val="21"/>
      <w:lang w:val="en-US" w:eastAsia="zh-CN" w:bidi="ar-SA"/>
    </w:rPr>
  </w:style>
  <w:style w:type="paragraph" w:styleId="2">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Date"/>
    <w:basedOn w:val="1"/>
    <w:next w:val="1"/>
    <w:link w:val="22"/>
    <w:autoRedefine/>
    <w:qFormat/>
    <w:uiPriority w:val="0"/>
    <w:pPr>
      <w:ind w:left="100" w:leftChars="2500"/>
    </w:pPr>
  </w:style>
  <w:style w:type="paragraph" w:styleId="7">
    <w:name w:val="Balloon Text"/>
    <w:basedOn w:val="1"/>
    <w:qFormat/>
    <w:uiPriority w:val="0"/>
    <w:rPr>
      <w:sz w:val="18"/>
    </w:rPr>
  </w:style>
  <w:style w:type="paragraph" w:styleId="8">
    <w:name w:val="footer"/>
    <w:basedOn w:val="1"/>
    <w:link w:val="19"/>
    <w:autoRedefine/>
    <w:qFormat/>
    <w:uiPriority w:val="99"/>
    <w:pPr>
      <w:tabs>
        <w:tab w:val="center" w:pos="4153"/>
        <w:tab w:val="right" w:pos="8306"/>
      </w:tabs>
      <w:snapToGrid w:val="0"/>
      <w:ind w:right="100" w:rightChars="100"/>
      <w:jc w:val="right"/>
    </w:pPr>
    <w:rPr>
      <w:sz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rPr>
  </w:style>
  <w:style w:type="paragraph" w:styleId="10">
    <w:name w:val="footnote text"/>
    <w:basedOn w:val="1"/>
    <w:autoRedefine/>
    <w:qFormat/>
    <w:uiPriority w:val="0"/>
    <w:pPr>
      <w:snapToGrid w:val="0"/>
      <w:jc w:val="left"/>
    </w:pPr>
    <w:rPr>
      <w:sz w:val="18"/>
    </w:rPr>
  </w:style>
  <w:style w:type="paragraph" w:styleId="11">
    <w:name w:val="annotation subject"/>
    <w:basedOn w:val="4"/>
    <w:next w:val="4"/>
    <w:autoRedefine/>
    <w:qFormat/>
    <w:uiPriority w:val="0"/>
    <w:rPr>
      <w:b/>
    </w:rPr>
  </w:style>
  <w:style w:type="paragraph" w:styleId="12">
    <w:name w:val="Body Text First Indent"/>
    <w:basedOn w:val="5"/>
    <w:autoRedefine/>
    <w:qFormat/>
    <w:uiPriority w:val="0"/>
    <w:pPr>
      <w:adjustRightInd w:val="0"/>
      <w:spacing w:after="0"/>
      <w:jc w:val="left"/>
      <w:textAlignment w:val="baseline"/>
    </w:pPr>
    <w:rPr>
      <w:rFonts w:ascii="宋体" w:hAnsi="宋体"/>
      <w:kern w:val="0"/>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rPr>
      <w:rFonts w:ascii="Times New Roman" w:hAnsi="Times New Roman" w:eastAsia="宋体"/>
      <w:sz w:val="18"/>
    </w:rPr>
  </w:style>
  <w:style w:type="character" w:styleId="17">
    <w:name w:val="annotation reference"/>
    <w:autoRedefine/>
    <w:qFormat/>
    <w:uiPriority w:val="0"/>
    <w:rPr>
      <w:sz w:val="21"/>
    </w:rPr>
  </w:style>
  <w:style w:type="character" w:styleId="18">
    <w:name w:val="footnote reference"/>
    <w:autoRedefine/>
    <w:qFormat/>
    <w:uiPriority w:val="0"/>
    <w:rPr>
      <w:vertAlign w:val="superscript"/>
    </w:rPr>
  </w:style>
  <w:style w:type="character" w:customStyle="1" w:styleId="19">
    <w:name w:val="页脚 字符"/>
    <w:link w:val="8"/>
    <w:autoRedefine/>
    <w:qFormat/>
    <w:uiPriority w:val="99"/>
    <w:rPr>
      <w:kern w:val="2"/>
      <w:sz w:val="18"/>
    </w:rPr>
  </w:style>
  <w:style w:type="character" w:customStyle="1" w:styleId="20">
    <w:name w:val="页眉 字符"/>
    <w:link w:val="9"/>
    <w:autoRedefine/>
    <w:qFormat/>
    <w:uiPriority w:val="99"/>
    <w:rPr>
      <w:kern w:val="2"/>
      <w:sz w:val="18"/>
    </w:rPr>
  </w:style>
  <w:style w:type="character" w:customStyle="1" w:styleId="21">
    <w:name w:val="发布"/>
    <w:autoRedefine/>
    <w:qFormat/>
    <w:uiPriority w:val="0"/>
    <w:rPr>
      <w:rFonts w:ascii="黑体" w:eastAsia="黑体"/>
      <w:spacing w:val="22"/>
      <w:w w:val="100"/>
      <w:position w:val="3"/>
      <w:sz w:val="28"/>
    </w:rPr>
  </w:style>
  <w:style w:type="character" w:customStyle="1" w:styleId="22">
    <w:name w:val="日期 字符"/>
    <w:link w:val="6"/>
    <w:autoRedefine/>
    <w:qFormat/>
    <w:uiPriority w:val="0"/>
    <w:rPr>
      <w:kern w:val="2"/>
      <w:sz w:val="21"/>
    </w:rPr>
  </w:style>
  <w:style w:type="character" w:customStyle="1" w:styleId="23">
    <w:name w:val="标题 3 字符"/>
    <w:link w:val="2"/>
    <w:autoRedefine/>
    <w:semiHidden/>
    <w:qFormat/>
    <w:uiPriority w:val="0"/>
    <w:rPr>
      <w:b/>
      <w:bCs/>
      <w:kern w:val="2"/>
      <w:sz w:val="32"/>
      <w:szCs w:val="32"/>
    </w:rPr>
  </w:style>
  <w:style w:type="paragraph" w:customStyle="1" w:styleId="24">
    <w:name w:val="实施日期"/>
    <w:basedOn w:val="25"/>
    <w:qFormat/>
    <w:uiPriority w:val="0"/>
    <w:pPr>
      <w:jc w:val="right"/>
    </w:pPr>
  </w:style>
  <w:style w:type="paragraph" w:customStyle="1" w:styleId="25">
    <w:name w:val="发布日期"/>
    <w:autoRedefine/>
    <w:qFormat/>
    <w:uiPriority w:val="99"/>
    <w:rPr>
      <w:rFonts w:ascii="Times New Roman" w:hAnsi="Times New Roman" w:eastAsia="黑体" w:cs="Times New Roman"/>
      <w:sz w:val="28"/>
      <w:lang w:val="en-US" w:eastAsia="zh-CN" w:bidi="ar-SA"/>
    </w:rPr>
  </w:style>
  <w:style w:type="paragraph" w:customStyle="1" w:styleId="26">
    <w:name w:val="_Style 37"/>
    <w:basedOn w:val="1"/>
    <w:next w:val="5"/>
    <w:autoRedefine/>
    <w:qFormat/>
    <w:uiPriority w:val="0"/>
    <w:pPr>
      <w:spacing w:after="120"/>
    </w:pPr>
  </w:style>
  <w:style w:type="paragraph" w:customStyle="1" w:styleId="27">
    <w:name w:val="正文表标题"/>
    <w:next w:val="28"/>
    <w:autoRedefine/>
    <w:qFormat/>
    <w:uiPriority w:val="0"/>
    <w:pPr>
      <w:ind w:left="4680"/>
      <w:jc w:val="center"/>
    </w:pPr>
    <w:rPr>
      <w:rFonts w:ascii="黑体" w:hAnsi="Times New Roman" w:eastAsia="黑体" w:cs="Times New Roman"/>
      <w:sz w:val="21"/>
      <w:lang w:val="en-US" w:eastAsia="zh-CN" w:bidi="ar-SA"/>
    </w:rPr>
  </w:style>
  <w:style w:type="paragraph" w:customStyle="1" w:styleId="28">
    <w:name w:val="段"/>
    <w:link w:val="64"/>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0">
    <w:name w:val="附录五级条标题"/>
    <w:basedOn w:val="31"/>
    <w:next w:val="28"/>
    <w:autoRedefine/>
    <w:qFormat/>
    <w:uiPriority w:val="0"/>
    <w:pPr>
      <w:outlineLvl w:val="6"/>
    </w:pPr>
  </w:style>
  <w:style w:type="paragraph" w:customStyle="1" w:styleId="31">
    <w:name w:val="附录四级条标题"/>
    <w:basedOn w:val="32"/>
    <w:next w:val="28"/>
    <w:autoRedefine/>
    <w:qFormat/>
    <w:uiPriority w:val="0"/>
    <w:pPr>
      <w:outlineLvl w:val="5"/>
    </w:pPr>
  </w:style>
  <w:style w:type="paragraph" w:customStyle="1" w:styleId="32">
    <w:name w:val="附录三级条标题"/>
    <w:basedOn w:val="33"/>
    <w:next w:val="28"/>
    <w:autoRedefine/>
    <w:qFormat/>
    <w:uiPriority w:val="0"/>
    <w:pPr>
      <w:outlineLvl w:val="4"/>
    </w:pPr>
  </w:style>
  <w:style w:type="paragraph" w:customStyle="1" w:styleId="33">
    <w:name w:val="附录二级条标题"/>
    <w:basedOn w:val="34"/>
    <w:next w:val="28"/>
    <w:autoRedefine/>
    <w:qFormat/>
    <w:uiPriority w:val="0"/>
    <w:pPr>
      <w:outlineLvl w:val="3"/>
    </w:pPr>
  </w:style>
  <w:style w:type="paragraph" w:customStyle="1" w:styleId="34">
    <w:name w:val="附录一级条标题"/>
    <w:basedOn w:val="35"/>
    <w:next w:val="28"/>
    <w:autoRedefine/>
    <w:qFormat/>
    <w:uiPriority w:val="0"/>
    <w:pPr>
      <w:autoSpaceDN w:val="0"/>
      <w:spacing w:beforeLines="0" w:afterLines="0"/>
      <w:outlineLvl w:val="2"/>
    </w:pPr>
  </w:style>
  <w:style w:type="paragraph" w:customStyle="1" w:styleId="35">
    <w:name w:val="附录章标题"/>
    <w:next w:val="2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6">
    <w:name w:val="二级条标题"/>
    <w:basedOn w:val="37"/>
    <w:next w:val="28"/>
    <w:qFormat/>
    <w:uiPriority w:val="99"/>
    <w:pPr>
      <w:outlineLvl w:val="3"/>
    </w:pPr>
  </w:style>
  <w:style w:type="paragraph" w:customStyle="1" w:styleId="37">
    <w:name w:val="一级条标题"/>
    <w:basedOn w:val="38"/>
    <w:next w:val="28"/>
    <w:autoRedefine/>
    <w:qFormat/>
    <w:uiPriority w:val="99"/>
    <w:pPr>
      <w:spacing w:before="50" w:after="50"/>
      <w:jc w:val="left"/>
      <w:outlineLvl w:val="2"/>
    </w:pPr>
  </w:style>
  <w:style w:type="paragraph" w:customStyle="1" w:styleId="38">
    <w:name w:val="章标题"/>
    <w:next w:val="28"/>
    <w:autoRedefine/>
    <w:qFormat/>
    <w:uiPriority w:val="99"/>
    <w:pPr>
      <w:spacing w:beforeLines="50" w:afterLines="50"/>
      <w:jc w:val="both"/>
      <w:outlineLvl w:val="1"/>
    </w:pPr>
    <w:rPr>
      <w:rFonts w:ascii="黑体" w:hAnsi="Times New Roman" w:eastAsia="黑体" w:cs="Times New Roman"/>
      <w:sz w:val="21"/>
      <w:lang w:val="en-US" w:eastAsia="zh-CN" w:bidi="ar-SA"/>
    </w:rPr>
  </w:style>
  <w:style w:type="paragraph" w:customStyle="1" w:styleId="3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1">
    <w:name w:val="目次、标准名称标题"/>
    <w:basedOn w:val="42"/>
    <w:next w:val="28"/>
    <w:autoRedefine/>
    <w:qFormat/>
    <w:uiPriority w:val="0"/>
    <w:pPr>
      <w:spacing w:line="460" w:lineRule="exact"/>
    </w:pPr>
  </w:style>
  <w:style w:type="paragraph" w:customStyle="1" w:styleId="42">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三级条标题"/>
    <w:basedOn w:val="36"/>
    <w:next w:val="28"/>
    <w:autoRedefine/>
    <w:qFormat/>
    <w:uiPriority w:val="0"/>
    <w:pPr>
      <w:outlineLvl w:val="4"/>
    </w:pPr>
  </w:style>
  <w:style w:type="paragraph" w:customStyle="1" w:styleId="44">
    <w:name w:val="四级条标题"/>
    <w:basedOn w:val="43"/>
    <w:next w:val="28"/>
    <w:autoRedefine/>
    <w:qFormat/>
    <w:uiPriority w:val="0"/>
    <w:pPr>
      <w:outlineLvl w:val="5"/>
    </w:pPr>
  </w:style>
  <w:style w:type="paragraph" w:customStyle="1" w:styleId="45">
    <w:name w:val="文献分类号"/>
    <w:qFormat/>
    <w:uiPriority w:val="99"/>
    <w:pPr>
      <w:widowControl w:val="0"/>
      <w:textAlignment w:val="center"/>
    </w:pPr>
    <w:rPr>
      <w:rFonts w:ascii="Times New Roman" w:hAnsi="Times New Roman" w:eastAsia="黑体" w:cs="Times New Roman"/>
      <w:sz w:val="21"/>
      <w:lang w:val="en-US" w:eastAsia="zh-CN" w:bidi="ar-SA"/>
    </w:rPr>
  </w:style>
  <w:style w:type="paragraph" w:customStyle="1" w:styleId="46">
    <w:name w:val="五级条标题"/>
    <w:basedOn w:val="44"/>
    <w:next w:val="28"/>
    <w:qFormat/>
    <w:uiPriority w:val="0"/>
    <w:pPr>
      <w:outlineLvl w:val="6"/>
    </w:pPr>
  </w:style>
  <w:style w:type="paragraph" w:customStyle="1" w:styleId="47">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8">
    <w:name w:val="标准书眉_偶数页"/>
    <w:basedOn w:val="49"/>
    <w:next w:val="1"/>
    <w:qFormat/>
    <w:uiPriority w:val="0"/>
    <w:pPr>
      <w:tabs>
        <w:tab w:val="center" w:pos="4154"/>
        <w:tab w:val="right" w:pos="8306"/>
      </w:tabs>
      <w:jc w:val="left"/>
    </w:pPr>
  </w:style>
  <w:style w:type="paragraph" w:customStyle="1" w:styleId="4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0">
    <w:name w:val="篇"/>
    <w:basedOn w:val="1"/>
    <w:next w:val="1"/>
    <w:qFormat/>
    <w:uiPriority w:val="0"/>
    <w:pPr>
      <w:adjustRightInd w:val="0"/>
      <w:spacing w:line="360" w:lineRule="atLeast"/>
      <w:jc w:val="center"/>
      <w:textAlignment w:val="baseline"/>
    </w:pPr>
    <w:rPr>
      <w:rFonts w:eastAsia="黑体"/>
      <w:kern w:val="0"/>
      <w:sz w:val="24"/>
    </w:rPr>
  </w:style>
  <w:style w:type="paragraph" w:customStyle="1" w:styleId="5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2">
    <w:name w:val="封面标准号1"/>
    <w:autoRedefine/>
    <w:qFormat/>
    <w:uiPriority w:val="0"/>
    <w:pPr>
      <w:widowControl w:val="0"/>
      <w:kinsoku w:val="0"/>
      <w:overflowPunct w:val="0"/>
      <w:autoSpaceDE w:val="0"/>
      <w:autoSpaceDN w:val="0"/>
      <w:spacing w:before="100" w:beforeAutospacing="1" w:after="100" w:afterAutospacing="1"/>
      <w:jc w:val="right"/>
      <w:textAlignment w:val="center"/>
    </w:pPr>
    <w:rPr>
      <w:rFonts w:ascii="Times New Roman" w:hAnsi="Times New Roman" w:eastAsia="宋体" w:cs="Times New Roman"/>
      <w:sz w:val="28"/>
      <w:lang w:val="en-US" w:eastAsia="zh-CN" w:bidi="ar-SA"/>
    </w:rPr>
  </w:style>
  <w:style w:type="paragraph" w:customStyle="1" w:styleId="5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封面正文"/>
    <w:autoRedefine/>
    <w:qFormat/>
    <w:uiPriority w:val="0"/>
    <w:pPr>
      <w:jc w:val="both"/>
    </w:pPr>
    <w:rPr>
      <w:rFonts w:ascii="Times New Roman" w:hAnsi="Times New Roman" w:eastAsia="宋体" w:cs="Times New Roman"/>
      <w:lang w:val="en-US" w:eastAsia="zh-CN" w:bidi="ar-SA"/>
    </w:rPr>
  </w:style>
  <w:style w:type="paragraph" w:customStyle="1" w:styleId="55">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6">
    <w:name w:val="附录标识"/>
    <w:basedOn w:val="42"/>
    <w:autoRedefine/>
    <w:qFormat/>
    <w:uiPriority w:val="0"/>
    <w:pPr>
      <w:tabs>
        <w:tab w:val="left" w:pos="6405"/>
      </w:tabs>
      <w:spacing w:after="200"/>
    </w:pPr>
    <w:rPr>
      <w:sz w:val="21"/>
    </w:rPr>
  </w:style>
  <w:style w:type="paragraph" w:customStyle="1" w:styleId="57">
    <w:name w:val="发布部门"/>
    <w:next w:val="28"/>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58">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59">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60">
    <w:name w:val="标准书眉一"/>
    <w:autoRedefine/>
    <w:qFormat/>
    <w:uiPriority w:val="0"/>
    <w:pPr>
      <w:jc w:val="both"/>
    </w:pPr>
    <w:rPr>
      <w:rFonts w:ascii="Times New Roman" w:hAnsi="Times New Roman" w:eastAsia="宋体" w:cs="Times New Roman"/>
      <w:lang w:val="en-US" w:eastAsia="zh-CN" w:bidi="ar-SA"/>
    </w:rPr>
  </w:style>
  <w:style w:type="character" w:styleId="61">
    <w:name w:val="Placeholder Text"/>
    <w:basedOn w:val="15"/>
    <w:autoRedefine/>
    <w:unhideWhenUsed/>
    <w:qFormat/>
    <w:uiPriority w:val="99"/>
    <w:rPr>
      <w:color w:val="808080"/>
    </w:rPr>
  </w:style>
  <w:style w:type="character" w:customStyle="1" w:styleId="62">
    <w:name w:val="apple-converted-space"/>
    <w:basedOn w:val="15"/>
    <w:autoRedefine/>
    <w:qFormat/>
    <w:uiPriority w:val="0"/>
  </w:style>
  <w:style w:type="paragraph" w:customStyle="1" w:styleId="63">
    <w:name w:val="封面标准号2"/>
    <w:basedOn w:val="1"/>
    <w:autoRedefine/>
    <w:qFormat/>
    <w:uiPriority w:val="99"/>
    <w:pPr>
      <w:kinsoku w:val="0"/>
      <w:overflowPunct w:val="0"/>
      <w:autoSpaceDE w:val="0"/>
      <w:autoSpaceDN w:val="0"/>
      <w:adjustRightInd w:val="0"/>
      <w:spacing w:before="357" w:line="280" w:lineRule="exact"/>
      <w:jc w:val="right"/>
      <w:textAlignment w:val="center"/>
    </w:pPr>
    <w:rPr>
      <w:kern w:val="0"/>
      <w:sz w:val="28"/>
    </w:rPr>
  </w:style>
  <w:style w:type="character" w:customStyle="1" w:styleId="64">
    <w:name w:val="段 Char Char"/>
    <w:link w:val="28"/>
    <w:autoRedefine/>
    <w:qFormat/>
    <w:locked/>
    <w:uiPriority w:val="99"/>
    <w:rPr>
      <w:rFonts w:ascii="宋体"/>
      <w:sz w:val="21"/>
    </w:rPr>
  </w:style>
  <w:style w:type="character" w:customStyle="1" w:styleId="65">
    <w:name w:val="short_text"/>
    <w:autoRedefine/>
    <w:qFormat/>
    <w:uiPriority w:val="99"/>
    <w:rPr>
      <w:rFonts w:cs="Times New Roman"/>
    </w:rPr>
  </w:style>
  <w:style w:type="paragraph" w:styleId="66">
    <w:name w:val="List Paragraph"/>
    <w:basedOn w:val="1"/>
    <w:autoRedefine/>
    <w:qFormat/>
    <w:uiPriority w:val="99"/>
  </w:style>
  <w:style w:type="paragraph" w:customStyle="1" w:styleId="67">
    <w:name w:val="终结线"/>
    <w:basedOn w:val="1"/>
    <w:autoRedefine/>
    <w:qFormat/>
    <w:uiPriority w:val="99"/>
    <w:pPr>
      <w:framePr w:hSpace="181" w:vSpace="181" w:wrap="around" w:vAnchor="text" w:hAnchor="margin" w:xAlign="center" w:y="285"/>
    </w:pPr>
    <w:rPr>
      <w:szCs w:val="24"/>
    </w:rPr>
  </w:style>
  <w:style w:type="paragraph" w:customStyle="1" w:styleId="68">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2.emf"/><Relationship Id="rId26" Type="http://schemas.openxmlformats.org/officeDocument/2006/relationships/image" Target="media/image11.emf"/><Relationship Id="rId25" Type="http://schemas.openxmlformats.org/officeDocument/2006/relationships/image" Target="media/image10.png"/><Relationship Id="rId24" Type="http://schemas.openxmlformats.org/officeDocument/2006/relationships/image" Target="media/image9.emf"/><Relationship Id="rId23" Type="http://schemas.openxmlformats.org/officeDocument/2006/relationships/image" Target="media/image8.emf"/><Relationship Id="rId22" Type="http://schemas.openxmlformats.org/officeDocument/2006/relationships/image" Target="media/image7.emf"/><Relationship Id="rId21" Type="http://schemas.openxmlformats.org/officeDocument/2006/relationships/image" Target="media/image6.emf"/><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9D81B-7069-4EE3-959A-05A84DBB8899}">
  <ds:schemaRefs/>
</ds:datastoreItem>
</file>

<file path=docProps/app.xml><?xml version="1.0" encoding="utf-8"?>
<Properties xmlns="http://schemas.openxmlformats.org/officeDocument/2006/extended-properties" xmlns:vt="http://schemas.openxmlformats.org/officeDocument/2006/docPropsVTypes">
  <Template>Normal</Template>
  <Company>mgl</Company>
  <Pages>11</Pages>
  <Words>3129</Words>
  <Characters>3701</Characters>
  <Lines>124</Lines>
  <Paragraphs>151</Paragraphs>
  <TotalTime>5</TotalTime>
  <ScaleCrop>false</ScaleCrop>
  <LinksUpToDate>false</LinksUpToDate>
  <CharactersWithSpaces>3857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2025-12-24T22:13:00Z</dcterms:created>
  <dc:creator>mgl</dc:creator>
  <cp:lastModifiedBy>Verp迷途的羔羊</cp:lastModifiedBy>
  <cp:lastPrinted>2021-03-26T08:07:00Z</cp:lastPrinted>
  <dcterms:modified xsi:type="dcterms:W3CDTF">2026-05-06T05:54:31Z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13F055EA54C54CF68E7437F5F2A7011D_13</vt:lpwstr>
  </property>
  <property fmtid="{D5CDD505-2E9C-101B-9397-08002B2CF9AE}" pid="4" name="KSOTemplateDocerSaveRecord">
    <vt:lpwstr>eyJoZGlkIjoiMjE4OTVjNzUzNWVlNGE3YjI4M2Y5NTNiNTgzNWFjNzQiLCJ1c2VySWQiOiI0ODgwNTk1NjAifQ==</vt:lpwstr>
  </property>
</Properties>
</file>