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C874F">
      <w:pPr>
        <w:widowControl w:val="0"/>
        <w:spacing w:line="500" w:lineRule="exact"/>
        <w:jc w:val="center"/>
        <w:rPr>
          <w:b/>
          <w:bCs/>
          <w:sz w:val="32"/>
          <w:szCs w:val="32"/>
        </w:rPr>
      </w:pPr>
    </w:p>
    <w:p w14:paraId="1F3FCA3A">
      <w:pPr>
        <w:widowControl w:val="0"/>
        <w:jc w:val="center"/>
        <w:outlineLvl w:val="0"/>
        <w:rPr>
          <w:b/>
          <w:bCs/>
          <w:sz w:val="48"/>
          <w:szCs w:val="48"/>
        </w:rPr>
      </w:pPr>
    </w:p>
    <w:p w14:paraId="6D3DD574">
      <w:pPr>
        <w:widowControl w:val="0"/>
        <w:jc w:val="center"/>
        <w:outlineLvl w:val="0"/>
        <w:rPr>
          <w:b/>
          <w:bCs/>
          <w:sz w:val="48"/>
          <w:szCs w:val="48"/>
        </w:rPr>
      </w:pPr>
    </w:p>
    <w:p w14:paraId="7832C0CB">
      <w:pPr>
        <w:widowControl w:val="0"/>
        <w:jc w:val="center"/>
        <w:outlineLvl w:val="0"/>
        <w:rPr>
          <w:b/>
          <w:bCs/>
          <w:sz w:val="48"/>
          <w:szCs w:val="48"/>
        </w:rPr>
      </w:pPr>
    </w:p>
    <w:p w14:paraId="4E1B1D1D">
      <w:pPr>
        <w:widowControl w:val="0"/>
        <w:jc w:val="center"/>
        <w:outlineLvl w:val="0"/>
        <w:rPr>
          <w:rFonts w:hint="eastAsia" w:ascii="黑体" w:hAnsi="黑体" w:eastAsia="黑体"/>
          <w:bCs/>
          <w:sz w:val="48"/>
          <w:szCs w:val="48"/>
        </w:rPr>
      </w:pPr>
      <w:r>
        <w:rPr>
          <w:rFonts w:hint="eastAsia" w:ascii="黑体" w:hAnsi="黑体" w:eastAsia="黑体"/>
          <w:bCs/>
          <w:sz w:val="48"/>
          <w:szCs w:val="48"/>
        </w:rPr>
        <w:t>烧结金属材料(不包括硬质合金)</w:t>
      </w:r>
    </w:p>
    <w:p w14:paraId="0138B4A3">
      <w:pPr>
        <w:widowControl w:val="0"/>
        <w:jc w:val="center"/>
        <w:outlineLvl w:val="0"/>
        <w:rPr>
          <w:rFonts w:hint="eastAsia" w:ascii="黑体" w:hAnsi="黑体" w:eastAsia="黑体"/>
          <w:bCs/>
          <w:sz w:val="48"/>
          <w:szCs w:val="48"/>
          <w:lang w:eastAsia="zh-CN"/>
        </w:rPr>
      </w:pPr>
      <w:r>
        <w:rPr>
          <w:rFonts w:hint="eastAsia" w:ascii="黑体" w:hAnsi="黑体" w:eastAsia="黑体"/>
          <w:bCs/>
          <w:sz w:val="48"/>
          <w:szCs w:val="48"/>
        </w:rPr>
        <w:t>拉伸</w:t>
      </w:r>
      <w:r>
        <w:rPr>
          <w:rFonts w:hint="eastAsia" w:ascii="黑体" w:hAnsi="黑体" w:eastAsia="黑体"/>
          <w:bCs/>
          <w:sz w:val="48"/>
          <w:szCs w:val="48"/>
          <w:lang w:eastAsia="zh-CN"/>
        </w:rPr>
        <w:t>试样</w:t>
      </w:r>
    </w:p>
    <w:p w14:paraId="77766F2F">
      <w:pPr>
        <w:jc w:val="center"/>
        <w:rPr>
          <w:b/>
          <w:sz w:val="44"/>
        </w:rPr>
      </w:pPr>
    </w:p>
    <w:p w14:paraId="15945118">
      <w:pPr>
        <w:jc w:val="center"/>
        <w:rPr>
          <w:rFonts w:hint="eastAsia" w:ascii="黑体" w:hAnsi="黑体" w:eastAsia="黑体"/>
          <w:sz w:val="48"/>
          <w:szCs w:val="48"/>
        </w:rPr>
      </w:pPr>
      <w:r>
        <w:rPr>
          <w:rFonts w:hint="eastAsia" w:ascii="黑体" w:hAnsi="黑体" w:eastAsia="黑体"/>
          <w:sz w:val="48"/>
          <w:szCs w:val="48"/>
        </w:rPr>
        <w:t>编</w:t>
      </w:r>
    </w:p>
    <w:p w14:paraId="75F7BDD6">
      <w:pPr>
        <w:jc w:val="center"/>
        <w:rPr>
          <w:rFonts w:hint="eastAsia" w:ascii="黑体" w:hAnsi="黑体" w:eastAsia="黑体"/>
          <w:sz w:val="48"/>
          <w:szCs w:val="48"/>
        </w:rPr>
      </w:pPr>
      <w:r>
        <w:rPr>
          <w:rFonts w:hint="eastAsia" w:ascii="黑体" w:hAnsi="黑体" w:eastAsia="黑体"/>
          <w:sz w:val="48"/>
          <w:szCs w:val="48"/>
        </w:rPr>
        <w:t>制</w:t>
      </w:r>
    </w:p>
    <w:p w14:paraId="3C3ABCD1">
      <w:pPr>
        <w:jc w:val="center"/>
        <w:rPr>
          <w:rFonts w:hint="eastAsia" w:ascii="黑体" w:hAnsi="黑体" w:eastAsia="黑体"/>
          <w:sz w:val="48"/>
          <w:szCs w:val="48"/>
        </w:rPr>
      </w:pPr>
      <w:r>
        <w:rPr>
          <w:rFonts w:hint="eastAsia" w:ascii="黑体" w:hAnsi="黑体" w:eastAsia="黑体"/>
          <w:sz w:val="48"/>
          <w:szCs w:val="48"/>
        </w:rPr>
        <w:t>说</w:t>
      </w:r>
    </w:p>
    <w:p w14:paraId="346A845B">
      <w:pPr>
        <w:jc w:val="center"/>
        <w:rPr>
          <w:rFonts w:hint="eastAsia" w:ascii="黑体" w:hAnsi="黑体" w:eastAsia="黑体"/>
          <w:sz w:val="44"/>
        </w:rPr>
      </w:pPr>
      <w:r>
        <w:rPr>
          <w:rFonts w:hint="eastAsia" w:ascii="黑体" w:hAnsi="黑体" w:eastAsia="黑体"/>
          <w:sz w:val="48"/>
          <w:szCs w:val="48"/>
        </w:rPr>
        <w:t>明</w:t>
      </w:r>
    </w:p>
    <w:p w14:paraId="75645625">
      <w:pPr>
        <w:widowControl w:val="0"/>
        <w:spacing w:line="500" w:lineRule="exact"/>
        <w:jc w:val="center"/>
        <w:rPr>
          <w:rFonts w:hint="eastAsia" w:ascii="黑体" w:hAnsi="黑体" w:eastAsia="黑体"/>
        </w:rPr>
      </w:pPr>
    </w:p>
    <w:p w14:paraId="2549C766">
      <w:pPr>
        <w:widowControl w:val="0"/>
        <w:jc w:val="center"/>
        <w:rPr>
          <w:b/>
          <w:bCs/>
          <w:sz w:val="48"/>
          <w:szCs w:val="48"/>
        </w:rPr>
      </w:pPr>
      <w:r>
        <w:rPr>
          <w:rFonts w:ascii="黑体" w:hAnsi="黑体" w:eastAsia="黑体"/>
          <w:sz w:val="48"/>
          <w:szCs w:val="48"/>
        </w:rPr>
        <w:t>（</w:t>
      </w:r>
      <w:r>
        <w:rPr>
          <w:rFonts w:hint="eastAsia" w:ascii="黑体" w:hAnsi="黑体" w:eastAsia="黑体"/>
          <w:sz w:val="48"/>
          <w:szCs w:val="48"/>
          <w:lang w:val="en-US" w:eastAsia="zh-CN"/>
        </w:rPr>
        <w:t>审定</w:t>
      </w:r>
      <w:r>
        <w:rPr>
          <w:rFonts w:hint="eastAsia" w:ascii="黑体" w:hAnsi="黑体" w:eastAsia="黑体"/>
          <w:sz w:val="48"/>
          <w:szCs w:val="48"/>
        </w:rPr>
        <w:t>稿</w:t>
      </w:r>
      <w:r>
        <w:rPr>
          <w:rFonts w:ascii="黑体" w:hAnsi="黑体" w:eastAsia="黑体"/>
          <w:sz w:val="48"/>
          <w:szCs w:val="48"/>
        </w:rPr>
        <w:t>）</w:t>
      </w:r>
    </w:p>
    <w:p w14:paraId="1A735492">
      <w:pPr>
        <w:widowControl w:val="0"/>
        <w:spacing w:line="500" w:lineRule="exact"/>
      </w:pPr>
    </w:p>
    <w:p w14:paraId="55802793">
      <w:pPr>
        <w:widowControl w:val="0"/>
        <w:spacing w:line="500" w:lineRule="exact"/>
        <w:jc w:val="both"/>
      </w:pPr>
    </w:p>
    <w:p w14:paraId="307B17A2">
      <w:pPr>
        <w:widowControl w:val="0"/>
        <w:spacing w:line="500" w:lineRule="exact"/>
        <w:jc w:val="both"/>
      </w:pPr>
    </w:p>
    <w:p w14:paraId="7D466489">
      <w:pPr>
        <w:widowControl w:val="0"/>
        <w:spacing w:line="500" w:lineRule="exact"/>
        <w:jc w:val="both"/>
      </w:pPr>
    </w:p>
    <w:p w14:paraId="108BCEF0">
      <w:pPr>
        <w:widowControl w:val="0"/>
        <w:spacing w:line="500" w:lineRule="exact"/>
        <w:jc w:val="both"/>
      </w:pPr>
    </w:p>
    <w:p w14:paraId="5E8E87B4">
      <w:pPr>
        <w:widowControl w:val="0"/>
        <w:jc w:val="center"/>
        <w:outlineLvl w:val="0"/>
        <w:rPr>
          <w:bCs/>
          <w:sz w:val="44"/>
          <w:szCs w:val="44"/>
        </w:rPr>
      </w:pPr>
      <w:r>
        <w:rPr>
          <w:bCs/>
          <w:sz w:val="44"/>
          <w:szCs w:val="44"/>
        </w:rPr>
        <w:t>202</w:t>
      </w:r>
      <w:r>
        <w:rPr>
          <w:rFonts w:hint="eastAsia"/>
          <w:bCs/>
          <w:sz w:val="44"/>
          <w:szCs w:val="44"/>
        </w:rPr>
        <w:t>6</w:t>
      </w:r>
      <w:r>
        <w:rPr>
          <w:bCs/>
          <w:sz w:val="44"/>
          <w:szCs w:val="44"/>
        </w:rPr>
        <w:t>年</w:t>
      </w:r>
      <w:r>
        <w:rPr>
          <w:rFonts w:hint="eastAsia"/>
          <w:bCs/>
          <w:sz w:val="44"/>
          <w:szCs w:val="44"/>
          <w:lang w:val="en-US" w:eastAsia="zh-CN"/>
        </w:rPr>
        <w:t>5</w:t>
      </w:r>
      <w:r>
        <w:rPr>
          <w:bCs/>
          <w:sz w:val="44"/>
          <w:szCs w:val="44"/>
        </w:rPr>
        <w:t>月</w:t>
      </w:r>
    </w:p>
    <w:p w14:paraId="1CF8FF47">
      <w:pPr>
        <w:tabs>
          <w:tab w:val="center" w:pos="4932"/>
        </w:tabs>
        <w:rPr>
          <w:sz w:val="44"/>
          <w:szCs w:val="44"/>
        </w:rPr>
        <w:sectPr>
          <w:footerReference r:id="rId5" w:type="even"/>
          <w:pgSz w:w="11906" w:h="16838"/>
          <w:pgMar w:top="1134" w:right="1021" w:bottom="1134" w:left="1021" w:header="992" w:footer="720" w:gutter="0"/>
          <w:pgNumType w:start="1"/>
          <w:cols w:space="720" w:num="1"/>
          <w:titlePg/>
          <w:docGrid w:linePitch="326" w:charSpace="0"/>
        </w:sectPr>
      </w:pPr>
      <w:r>
        <w:rPr>
          <w:sz w:val="44"/>
          <w:szCs w:val="44"/>
        </w:rPr>
        <w:tab/>
      </w:r>
    </w:p>
    <w:p w14:paraId="1765F613">
      <w:pPr>
        <w:pStyle w:val="2"/>
        <w:spacing w:before="312" w:after="312"/>
      </w:pPr>
      <w:r>
        <w:t>工作简况</w:t>
      </w:r>
    </w:p>
    <w:p w14:paraId="3D9E01FB">
      <w:pPr>
        <w:pStyle w:val="3"/>
        <w:spacing w:before="156" w:after="156"/>
      </w:pPr>
      <w:r>
        <w:t>任务来源</w:t>
      </w:r>
    </w:p>
    <w:p w14:paraId="71BED42B">
      <w:pPr>
        <w:ind w:firstLine="420" w:firstLineChars="200"/>
      </w:pPr>
      <w:r>
        <w:rPr>
          <w:rFonts w:hint="eastAsia"/>
        </w:rPr>
        <w:t>根据国家标准化管理委员会《关于下达2025年第七批推荐性国家标准计划及相关标准外文版计划的通知》（国标委发[2025] 43号）文件精神，国家标准《烧结金属材料（不包括硬质合金） 拉伸试样》由TC243（全国有色金属标准化技术委员会）归口，TC243SC4（全国有色金属标准化技术委员会粉末冶金分会）执行，由西部宝德科技股份有限公司、西北有色金属研究院、东睦新材料集团股份有限公司、钢铁研究总院有限公司</w:t>
      </w:r>
      <w:r>
        <w:rPr>
          <w:rFonts w:hint="eastAsia"/>
          <w:lang w:val="en-US" w:eastAsia="zh-CN"/>
        </w:rPr>
        <w:t>等</w:t>
      </w:r>
      <w:r>
        <w:rPr>
          <w:rFonts w:hint="eastAsia"/>
        </w:rPr>
        <w:t>牵头起草。项目计划编号为20253694-T-610，批复研制周期12个月。</w:t>
      </w:r>
    </w:p>
    <w:p w14:paraId="40DE7B98">
      <w:pPr>
        <w:pStyle w:val="3"/>
        <w:spacing w:before="156" w:after="156"/>
      </w:pPr>
      <w:r>
        <w:rPr>
          <w:rFonts w:hint="eastAsia"/>
          <w:lang w:val="en-US" w:eastAsia="zh-CN"/>
        </w:rPr>
        <w:t>制定背景</w:t>
      </w:r>
      <w:bookmarkStart w:id="3" w:name="_GoBack"/>
      <w:bookmarkEnd w:id="3"/>
    </w:p>
    <w:p w14:paraId="2A25547C">
      <w:pPr>
        <w:ind w:firstLine="420" w:firstLineChars="200"/>
        <w:rPr>
          <w:rFonts w:hint="default"/>
          <w:lang w:val="en-US" w:eastAsia="zh-CN"/>
        </w:rPr>
      </w:pPr>
      <w:r>
        <w:rPr>
          <w:rFonts w:hint="eastAsia"/>
        </w:rPr>
        <w:t>烧结金属材料（不包括硬质合金）广泛应用于过滤分离、航空航天、机械制造、汽车工业等多个领域，拉伸性能是评价该类材料力学特性的核心指标之一，而标准化的拉伸试样是保证测试结果准确性、可比性和公正性的基础。原国家标准GB/T 7963-2015实施以来，为行业内材料性能测试提供了重要依据，但随着国际标准ISO 2740:2023的发布实施，以及我国烧结金属材料行业在生产工艺（如金属注射成型技术的广泛应用）、材料类型（如高强度烧结硬化材料、特种合金材料）等方面的快速发展，原标准已不能完全满足当前行业技术需求和国际接轨要求。因此，本次修订旨在等同采用ISO 2740:2023，吸收国际先进技术成果，完善试样类型、模具规格等技术内容，进一步规范烧结金属材料拉伸试样的制备和使用，为行业高质量发展提供技术支撑。</w:t>
      </w:r>
    </w:p>
    <w:p w14:paraId="39021D24">
      <w:pPr>
        <w:pStyle w:val="3"/>
        <w:spacing w:before="156" w:after="156"/>
      </w:pPr>
      <w:r>
        <w:rPr>
          <w:rFonts w:hint="eastAsia"/>
          <w:lang w:val="en-US" w:eastAsia="zh-CN"/>
        </w:rPr>
        <w:t>起草单位情况</w:t>
      </w:r>
    </w:p>
    <w:p w14:paraId="45E4B61C">
      <w:pPr>
        <w:pStyle w:val="4"/>
        <w:keepNext w:val="0"/>
        <w:keepLines w:val="0"/>
        <w:pageBreakBefore w:val="0"/>
        <w:widowControl/>
        <w:kinsoku/>
        <w:wordWrap/>
        <w:overflowPunct/>
        <w:topLinePunct w:val="0"/>
        <w:autoSpaceDE/>
        <w:autoSpaceDN/>
        <w:bidi w:val="0"/>
        <w:adjustRightInd/>
        <w:snapToGrid/>
        <w:spacing w:before="156" w:afterLines="0"/>
        <w:textAlignment w:val="auto"/>
        <w:rPr>
          <w:rFonts w:hint="default"/>
          <w:lang w:val="en-US" w:eastAsia="zh-CN"/>
        </w:rPr>
      </w:pPr>
      <w:r>
        <w:rPr>
          <w:rFonts w:hint="eastAsia"/>
        </w:rPr>
        <w:t>西部宝德科技股份有限公司</w:t>
      </w:r>
    </w:p>
    <w:p w14:paraId="18221564">
      <w:pPr>
        <w:ind w:firstLine="420" w:firstLineChars="200"/>
        <w:rPr>
          <w:rFonts w:hint="eastAsia"/>
        </w:rPr>
      </w:pPr>
      <w:r>
        <w:rPr>
          <w:rFonts w:hint="eastAsia"/>
        </w:rPr>
        <w:t>西部宝德科技股份有限公司（简称西部宝德）原身为西北有色金属研究院粉末冶金厂，经转制成立西部宝德粉末冶金有限责任公司，2015年新三板上市更名为西部宝德科技股份有限公司。西部宝德长期专注于烧结金属多孔材料及元件、过滤分离设备及系统的设计开发和生产制造，公司产品广泛应用于能源化工、航空航天、精细化工、生物医药、半导体、核工业等领域。西部宝德拥有金属粉末、多孔金属材料、多孔金属陶瓷复合材料、多孔膜材料等完整生产线，包括模压机、全自动压片机、冷等静压机、粉末轧机、流延设备、喷涂设备、不同规格及气氛的烧结炉等生产设备，具有多孔材料性能检测仪、气体渗透法孔径分析仪、万能试验机等多孔材料测试设备，拥有1000m</w:t>
      </w:r>
      <w:r>
        <w:rPr>
          <w:rFonts w:hint="eastAsia"/>
          <w:vertAlign w:val="superscript"/>
        </w:rPr>
        <w:t>2</w:t>
      </w:r>
      <w:r>
        <w:rPr>
          <w:rFonts w:hint="eastAsia"/>
        </w:rPr>
        <w:t>的烧结多孔材料专用实验室，为金属多孔材料的研究、中试及生产提供基础条件，也为本标准的开展提供了有力的技术保障和设备保障；同时，西部宝德与多家检测单位建立了长期友好的合作关系，能最大程度满足各类材料性能表征的需要。</w:t>
      </w:r>
    </w:p>
    <w:p w14:paraId="1EF3AECA">
      <w:pPr>
        <w:pStyle w:val="4"/>
        <w:keepNext w:val="0"/>
        <w:keepLines w:val="0"/>
        <w:pageBreakBefore w:val="0"/>
        <w:widowControl/>
        <w:kinsoku/>
        <w:wordWrap/>
        <w:overflowPunct/>
        <w:topLinePunct w:val="0"/>
        <w:autoSpaceDE/>
        <w:autoSpaceDN/>
        <w:bidi w:val="0"/>
        <w:adjustRightInd/>
        <w:snapToGrid/>
        <w:spacing w:beforeLines="0" w:afterLines="0"/>
        <w:textAlignment w:val="auto"/>
        <w:rPr>
          <w:rFonts w:hint="eastAsia"/>
        </w:rPr>
      </w:pPr>
      <w:r>
        <w:rPr>
          <w:rFonts w:hint="eastAsia"/>
        </w:rPr>
        <w:t>西北有色金属研究院</w:t>
      </w:r>
    </w:p>
    <w:p w14:paraId="4660D0C5">
      <w:pPr>
        <w:ind w:firstLine="420" w:firstLineChars="200"/>
      </w:pPr>
      <w:r>
        <w:rPr>
          <w:rFonts w:hint="eastAsia"/>
        </w:rPr>
        <w:t>西北有色金属研究院（以下简称西北院）始建于1965年，1999年作为国家首批转制的242家科研院所之一转制为中央直属大型科技企业，2000年划归陕西省管理。经过50多年的发展，西北院已成为一个具有较强科技实力的集研究、中试、产业化三位一体的大型科技集团，包括14个研究所和中心、21个国家级和53个省级中试和创新平台，陆续孵化成立了45家高新技术产业公司（其中上市公司7家），研究领域覆盖钛合金材料、超导材料、核材料、难熔金属材料、金属复合材料、金属纤维材料及多孔材料、电子材料、生物材料、压力加工、爆炸复合、粉末冶金、表面技术、焊接技术、应用化学、材料物理等多个学科，为我国核工业、航天、航空、舰船、兵器、电子、化工、医药等领域配套了大量的有色金属新材料，屡获用户单位和上级部门表彰。</w:t>
      </w:r>
    </w:p>
    <w:p w14:paraId="38EA0F58">
      <w:pPr>
        <w:pStyle w:val="4"/>
        <w:keepNext w:val="0"/>
        <w:keepLines w:val="0"/>
        <w:pageBreakBefore w:val="0"/>
        <w:widowControl/>
        <w:kinsoku/>
        <w:wordWrap/>
        <w:overflowPunct/>
        <w:topLinePunct w:val="0"/>
        <w:autoSpaceDE/>
        <w:autoSpaceDN/>
        <w:bidi w:val="0"/>
        <w:adjustRightInd/>
        <w:snapToGrid/>
        <w:spacing w:beforeLines="0" w:afterLines="0"/>
        <w:textAlignment w:val="auto"/>
        <w:rPr>
          <w:rFonts w:hint="eastAsia"/>
        </w:rPr>
      </w:pPr>
      <w:r>
        <w:rPr>
          <w:rFonts w:hint="eastAsia"/>
        </w:rPr>
        <w:t>东睦新材料集团股份有限公司</w:t>
      </w:r>
    </w:p>
    <w:p w14:paraId="40DFA89E">
      <w:pPr>
        <w:ind w:firstLine="420" w:firstLineChars="200"/>
        <w:rPr>
          <w:rFonts w:hint="eastAsia"/>
        </w:rPr>
      </w:pPr>
      <w:r>
        <w:rPr>
          <w:rFonts w:hint="eastAsia"/>
        </w:rPr>
        <w:t>东睦新材料集团股份有限公司是目前国内最大的粉末冶金机械零件制造企业之一，是“国家重点高新企业”。公司目前拥有八家控股子公司或全资子公司，2010年末公司的净资产6.77亿元人民币，总资产超过14.0亿元人民币，总产能超过45,000吨/年。产品广泛应用于轿车、摩托车、冰箱和空调压缩机、电动工具、家用电器等行业，其中部分产品出口到美国、日本和欧洲等国家和地区。公司具有五十多年的粉末冶金专业生产经验，拥有包括CNC成形压机在内的一整套国际先进的粉末冶金生产设备和技术；同时，公司十分重视科技进步和新产品开发，建立了“宁波粉末冶金工程技术中心（省级）”和“宁波市区模具中心”，能自制各种粉末冶金模具，生产各种粉末冶金零件。</w:t>
      </w:r>
    </w:p>
    <w:p w14:paraId="7F7D0958">
      <w:pPr>
        <w:pStyle w:val="4"/>
        <w:keepNext w:val="0"/>
        <w:keepLines w:val="0"/>
        <w:pageBreakBefore w:val="0"/>
        <w:widowControl/>
        <w:kinsoku/>
        <w:wordWrap/>
        <w:overflowPunct/>
        <w:topLinePunct w:val="0"/>
        <w:autoSpaceDE/>
        <w:autoSpaceDN/>
        <w:bidi w:val="0"/>
        <w:adjustRightInd/>
        <w:snapToGrid/>
        <w:spacing w:beforeLines="0" w:afterLines="0"/>
        <w:textAlignment w:val="auto"/>
        <w:rPr>
          <w:rFonts w:hint="eastAsia"/>
        </w:rPr>
      </w:pPr>
      <w:r>
        <w:rPr>
          <w:rFonts w:hint="eastAsia"/>
        </w:rPr>
        <w:t>钢铁研究总院有限公司</w:t>
      </w:r>
    </w:p>
    <w:p w14:paraId="0B35EE96">
      <w:pPr>
        <w:ind w:firstLine="420" w:firstLineChars="200"/>
      </w:pPr>
      <w:r>
        <w:rPr>
          <w:rFonts w:hint="eastAsia"/>
        </w:rPr>
        <w:t>钢铁研究总院有限公司是我国金属新材料研发基地、行业共性关键技术创新基地和冶金分析测试权威机构，承担了我国冶金行业85%以上国防军工新材料研发任务和50%以上共性关键技术研发任务，先后研制了近千种高技术新材料，满足了我国国防军工重点型号、国民经济重大工程建设需求。围绕材料品质提升、产品用户技术、冶金工艺及装备技术等领域，开发了一批新产品、新工艺、新技术、新装备，为能源石化、交通建筑、海洋工程、机械电子等提供了强力材料技术支撑，引领了冶金及用户行业转型升级和创新发展。</w:t>
      </w:r>
    </w:p>
    <w:p w14:paraId="501EE516">
      <w:pPr>
        <w:pStyle w:val="4"/>
        <w:keepNext w:val="0"/>
        <w:keepLines w:val="0"/>
        <w:pageBreakBefore w:val="0"/>
        <w:widowControl/>
        <w:kinsoku/>
        <w:wordWrap/>
        <w:overflowPunct/>
        <w:topLinePunct w:val="0"/>
        <w:autoSpaceDE/>
        <w:autoSpaceDN/>
        <w:bidi w:val="0"/>
        <w:adjustRightInd/>
        <w:snapToGrid/>
        <w:spacing w:beforeLines="0" w:afterLines="0"/>
        <w:textAlignment w:val="auto"/>
        <w:rPr>
          <w:rFonts w:hint="eastAsia"/>
        </w:rPr>
      </w:pPr>
      <w:r>
        <w:rPr>
          <w:rFonts w:hint="eastAsia"/>
        </w:rPr>
        <w:t>国标（北京）检验认证有限公司</w:t>
      </w:r>
    </w:p>
    <w:p w14:paraId="2F0E9BE1">
      <w:pPr>
        <w:ind w:firstLine="420" w:firstLineChars="200"/>
      </w:pPr>
      <w:r>
        <w:rPr>
          <w:rFonts w:hint="eastAsia"/>
        </w:rPr>
        <w:t>国标（北京）检验认证有限公司是中国有色金属和电子材料方面权威的第三方检验认证服务机构、中国有色金属行业测试评价技术开发的骨干单位和分析测试标准的主要起草单位之一。管理运营着国家有色金属及电子材料分析测试中心、国家有色金属质量检验检测中心、国家新材料测试评价平台有色金属材料行业中心等9个国家级平台/中心/实验室、以及中关村开放实验室等5个省部级平台/实验室。国标检验持有CNAS、CMA、CAL、NTC、NADCAP等多项资质，主要从事金属和金属材料、有色金属矿物的化学成分、组织结构分析、物理性能测试、力学性能测试、无损探伤检测、失效分析等测试评价服务，培训、咨询、认证等技术服务在北京、西安、德阳、深圳等全国四地建立24000余平方米的综合实验室，检测仪器设备近1500台套，硬件装备处于国际领先水平。</w:t>
      </w:r>
    </w:p>
    <w:p w14:paraId="7D4EE6CC">
      <w:pPr>
        <w:pStyle w:val="4"/>
        <w:keepNext w:val="0"/>
        <w:keepLines w:val="0"/>
        <w:pageBreakBefore w:val="0"/>
        <w:widowControl/>
        <w:kinsoku/>
        <w:wordWrap/>
        <w:overflowPunct/>
        <w:topLinePunct w:val="0"/>
        <w:autoSpaceDE/>
        <w:autoSpaceDN/>
        <w:bidi w:val="0"/>
        <w:adjustRightInd/>
        <w:snapToGrid/>
        <w:spacing w:beforeLines="0" w:afterLines="0"/>
        <w:textAlignment w:val="auto"/>
        <w:rPr>
          <w:rFonts w:hint="eastAsia"/>
        </w:rPr>
      </w:pPr>
      <w:r>
        <w:rPr>
          <w:rFonts w:hint="eastAsia"/>
        </w:rPr>
        <w:t>中南大学</w:t>
      </w:r>
    </w:p>
    <w:p w14:paraId="3FB4B667">
      <w:pPr>
        <w:ind w:firstLine="420" w:firstLineChars="200"/>
      </w:pPr>
      <w:r>
        <w:rPr>
          <w:rFonts w:hint="eastAsia"/>
        </w:rPr>
        <w:t>中南大学（Central South University，英文缩写为CSU），位于湖南省长沙市，是中华人民共和国教育部直属的全国重点大学，中央直管高校。是国家“211工程”首批重点建设高校，国家“985工程”部省重点共建高水平大学、国家“2011计划”首批牵头高校，2017年9月入选世界一流大学建设高校，2022年2月入选第二轮“双一流”建设高校。教育部“强基计划”首批试点高校，全国首批试点开展八年制医学教育（本博连读）的五所大学之一。</w:t>
      </w:r>
    </w:p>
    <w:p w14:paraId="6D65A788">
      <w:pPr>
        <w:pStyle w:val="4"/>
        <w:keepNext w:val="0"/>
        <w:keepLines w:val="0"/>
        <w:pageBreakBefore w:val="0"/>
        <w:widowControl/>
        <w:kinsoku/>
        <w:wordWrap/>
        <w:overflowPunct/>
        <w:topLinePunct w:val="0"/>
        <w:autoSpaceDE/>
        <w:autoSpaceDN/>
        <w:bidi w:val="0"/>
        <w:adjustRightInd/>
        <w:snapToGrid/>
        <w:spacing w:beforeLines="0" w:afterLines="0"/>
        <w:textAlignment w:val="auto"/>
        <w:rPr>
          <w:rFonts w:hint="eastAsia"/>
        </w:rPr>
      </w:pPr>
      <w:r>
        <w:rPr>
          <w:rFonts w:hint="eastAsia"/>
        </w:rPr>
        <w:t>深圳艾利佳材料科技有限公司</w:t>
      </w:r>
    </w:p>
    <w:p w14:paraId="12C6598C">
      <w:pPr>
        <w:ind w:firstLine="420" w:firstLineChars="200"/>
      </w:pPr>
      <w:r>
        <w:rPr>
          <w:rFonts w:hint="eastAsia"/>
        </w:rPr>
        <w:t>深圳艾利佳材料科技有限公司成立于2016年，创始人余鹏、顾道敏，公司位于深圳市市宝安区，是一家致力于粉末金属注射成型结构件研发、生产、销售的国家专精特新小巨人企业。公司是一家技术导向的民营企业。主要从事金属和陶瓷粉末注射成型技术的研发与应用。实现高精度、形状复杂零部件的大批量生产，应用在电子、汽车、医疗、五金、机械、军工、航天等行业。艾利佳掌握各种不同材料的粉末注射成型技术，可生产的材料包括铁基、不锈钢、钛合金、铝合金、钨合金、陶瓷以及一些新型复合材料等。</w:t>
      </w:r>
    </w:p>
    <w:p w14:paraId="0BFE8370">
      <w:pPr>
        <w:pStyle w:val="4"/>
        <w:keepNext w:val="0"/>
        <w:keepLines w:val="0"/>
        <w:pageBreakBefore w:val="0"/>
        <w:widowControl/>
        <w:kinsoku/>
        <w:wordWrap/>
        <w:overflowPunct/>
        <w:topLinePunct w:val="0"/>
        <w:autoSpaceDE/>
        <w:autoSpaceDN/>
        <w:bidi w:val="0"/>
        <w:adjustRightInd/>
        <w:snapToGrid/>
        <w:spacing w:beforeLines="0" w:afterLines="0"/>
        <w:textAlignment w:val="auto"/>
        <w:rPr>
          <w:rFonts w:hint="eastAsia"/>
        </w:rPr>
      </w:pPr>
      <w:r>
        <w:rPr>
          <w:rFonts w:hint="eastAsia"/>
        </w:rPr>
        <w:t>宁夏东方钽业股份有限公司</w:t>
      </w:r>
    </w:p>
    <w:p w14:paraId="5E661850">
      <w:pPr>
        <w:ind w:firstLine="420" w:firstLineChars="200"/>
      </w:pPr>
      <w:r>
        <w:rPr>
          <w:rFonts w:hint="eastAsia"/>
        </w:rPr>
        <w:t>宁夏东方钽业股份有限公司是集科研、生产与技术开发为一体的国有大型稀有金属企业，是国内最大的钽、铌产品生产基地，科技先导型钽、铌研究中心，具有从钽铌湿法冶炼到材料加工的全流程企业；是国家重点高新技术企业、国家首批创新型企业、国家863成果产业化基地、全国专利工作试点企业和国家级企业技术中心；是国际钽铌研究中心（TIC）执委单位；是世界钽工业三强之一。几十年来承担了我国金属材料领域600多项省部级及以上科研和产业化项目，100多项成果获国家级、省部级科技进步奖。</w:t>
      </w:r>
    </w:p>
    <w:p w14:paraId="38A8F6B5">
      <w:pPr>
        <w:pStyle w:val="4"/>
        <w:keepNext w:val="0"/>
        <w:keepLines w:val="0"/>
        <w:pageBreakBefore w:val="0"/>
        <w:widowControl/>
        <w:kinsoku/>
        <w:wordWrap/>
        <w:overflowPunct/>
        <w:topLinePunct w:val="0"/>
        <w:autoSpaceDE/>
        <w:autoSpaceDN/>
        <w:bidi w:val="0"/>
        <w:adjustRightInd/>
        <w:snapToGrid/>
        <w:spacing w:beforeLines="0" w:afterLines="0"/>
        <w:textAlignment w:val="auto"/>
        <w:rPr>
          <w:rFonts w:hint="eastAsia"/>
        </w:rPr>
      </w:pPr>
      <w:bookmarkStart w:id="0" w:name="OLE_LINK4"/>
      <w:r>
        <w:rPr>
          <w:rFonts w:hint="eastAsia"/>
        </w:rPr>
        <w:t>湖南屹林材料技术有限公司</w:t>
      </w:r>
    </w:p>
    <w:p w14:paraId="0DBFA7B5">
      <w:pPr>
        <w:ind w:firstLine="420" w:firstLineChars="200"/>
      </w:pPr>
      <w:r>
        <w:rPr>
          <w:rFonts w:hint="eastAsia"/>
        </w:rPr>
        <w:t>湖南屹林材料技术有限公司</w:t>
      </w:r>
      <w:bookmarkEnd w:id="0"/>
      <w:r>
        <w:rPr>
          <w:rFonts w:hint="eastAsia"/>
        </w:rPr>
        <w:t>成立于2011年，是国家专精特新“小巨人”企业、国家高新技术企业，深耕新材料领域14年，专注为高端装备制造产业提供高端减摩/耐磨材料解决方案。建有湖南省企业技术中心、湖南省专家工作站等省级科技创新平台，与中南大学共建有产学研基地。公司主要聚焦自润滑材料、碳陶复合材料、碳铜复合材料、粉末冶金精密部件四大体系，应用于工程机械、消费医疗、轨道交通、液压设备领域。核心产品技术达到国际先进水平，重载粉末冶金滑动轴承获“世界粉末冶金大赛2017年度产品奖”，磁悬浮列车碳陶滑橇获评“湖南省制造业单项冠军产品”。</w:t>
      </w:r>
    </w:p>
    <w:p w14:paraId="026A8B99">
      <w:pPr>
        <w:pStyle w:val="4"/>
        <w:keepNext w:val="0"/>
        <w:keepLines w:val="0"/>
        <w:pageBreakBefore w:val="0"/>
        <w:widowControl/>
        <w:kinsoku/>
        <w:wordWrap/>
        <w:overflowPunct/>
        <w:topLinePunct w:val="0"/>
        <w:autoSpaceDE/>
        <w:autoSpaceDN/>
        <w:bidi w:val="0"/>
        <w:adjustRightInd/>
        <w:snapToGrid/>
        <w:spacing w:beforeLines="0" w:afterLines="0"/>
        <w:textAlignment w:val="auto"/>
        <w:rPr>
          <w:rFonts w:hint="eastAsia"/>
        </w:rPr>
      </w:pPr>
      <w:bookmarkStart w:id="1" w:name="OLE_LINK5"/>
      <w:r>
        <w:rPr>
          <w:rFonts w:hint="eastAsia"/>
        </w:rPr>
        <w:t>深圳北理莫斯科大学</w:t>
      </w:r>
    </w:p>
    <w:p w14:paraId="0C917AC9">
      <w:pPr>
        <w:ind w:firstLine="420" w:firstLineChars="200"/>
      </w:pPr>
      <w:r>
        <w:rPr>
          <w:rFonts w:hint="eastAsia"/>
        </w:rPr>
        <w:t>深圳北理莫斯科大学</w:t>
      </w:r>
      <w:bookmarkEnd w:id="1"/>
      <w:r>
        <w:rPr>
          <w:rFonts w:hint="eastAsia"/>
        </w:rPr>
        <w:t>是由深圳市人民政府、北京理工大学和莫斯科国立罗蒙诺索夫大学合作设立的具有独立法人资格的中外合作大学，面向国家和区域重大需求，开展高水平科学研究与创新型人才培养。学校材料科学与工程学科入选广东省高水平大学重点建设学科和省级一流本科专业建设点，具备较为完善的科研平台和实验条件。学校现有教学科研人员500余人，汇聚众多中外高层次人才，在材料科学与工程领域承担了多项国家级和省部级科研项目，形成了稳定的研究方向和持续的科研产出。</w:t>
      </w:r>
    </w:p>
    <w:p w14:paraId="03E47CE0">
      <w:pPr>
        <w:pStyle w:val="4"/>
        <w:keepNext w:val="0"/>
        <w:keepLines w:val="0"/>
        <w:pageBreakBefore w:val="0"/>
        <w:widowControl/>
        <w:kinsoku/>
        <w:wordWrap/>
        <w:overflowPunct/>
        <w:topLinePunct w:val="0"/>
        <w:autoSpaceDE/>
        <w:autoSpaceDN/>
        <w:bidi w:val="0"/>
        <w:adjustRightInd/>
        <w:snapToGrid/>
        <w:spacing w:beforeLines="0" w:afterLines="0"/>
        <w:textAlignment w:val="auto"/>
        <w:rPr>
          <w:rFonts w:hint="eastAsia"/>
        </w:rPr>
      </w:pPr>
      <w:bookmarkStart w:id="2" w:name="_Hlk219749550"/>
      <w:r>
        <w:rPr>
          <w:rFonts w:hint="eastAsia"/>
        </w:rPr>
        <w:t>洛阳金鹭硬质合金工具有限公司</w:t>
      </w:r>
    </w:p>
    <w:p w14:paraId="5DDC083D">
      <w:pPr>
        <w:ind w:firstLine="420" w:firstLineChars="200"/>
        <w:rPr>
          <w:rFonts w:hint="eastAsia"/>
        </w:rPr>
      </w:pPr>
      <w:r>
        <w:rPr>
          <w:rFonts w:hint="eastAsia"/>
        </w:rPr>
        <w:t>洛阳金鹭硬质合金工具有限公司</w:t>
      </w:r>
      <w:bookmarkEnd w:id="2"/>
      <w:r>
        <w:rPr>
          <w:rFonts w:hint="eastAsia"/>
        </w:rPr>
        <w:t>，成立于2012年，是国有上市公司厦门钨业股份有限公司100%投资的“金鹭”系硬质合金骨干企业。公司注册资金10.5亿元人民币，一期投资13亿元人民币。主要从事钨粉末产品、硬面材料产品、硬质合金顶锤、硬质合金辊环、复合片基体、凿岩工程工具等钨系列产品的生产与销售。自公司成立以来，公司坚持走专业化、精细化发展道路，生产的“金鹭”系列产品以安全可靠的品质、完善的售后服务体系迅速赢得市场；客户遍布全球二十多个工业发达国家和地区。公司以“使员工实现价值，让用户满意，实现共赢发展”为使命，以技术创新和管理创新为引领，专注解决耐磨、破碎、压制等工业难题，努力打造世界一流的凿岩工程工具、硬质合金、硬面材料制造商和服务商。</w:t>
      </w:r>
    </w:p>
    <w:p w14:paraId="5F6C02B4">
      <w:pPr>
        <w:pStyle w:val="4"/>
        <w:keepNext w:val="0"/>
        <w:keepLines w:val="0"/>
        <w:pageBreakBefore w:val="0"/>
        <w:widowControl/>
        <w:kinsoku/>
        <w:wordWrap/>
        <w:overflowPunct/>
        <w:topLinePunct w:val="0"/>
        <w:autoSpaceDE/>
        <w:autoSpaceDN/>
        <w:bidi w:val="0"/>
        <w:adjustRightInd/>
        <w:snapToGrid/>
        <w:spacing w:beforeLines="0" w:afterLines="0"/>
        <w:textAlignment w:val="auto"/>
        <w:rPr>
          <w:rFonts w:hint="eastAsia"/>
        </w:rPr>
      </w:pPr>
      <w:r>
        <w:rPr>
          <w:rFonts w:hint="eastAsia"/>
        </w:rPr>
        <w:t>西北稀有金属材料研究院宁夏有限公司</w:t>
      </w:r>
    </w:p>
    <w:p w14:paraId="1FAFC9F5">
      <w:pPr>
        <w:ind w:firstLine="420" w:firstLineChars="200"/>
        <w:rPr>
          <w:rFonts w:hint="eastAsia"/>
        </w:rPr>
      </w:pPr>
      <w:r>
        <w:rPr>
          <w:rFonts w:hint="eastAsia"/>
        </w:rPr>
        <w:t>西北稀有金属材料研究院宁夏有限公司主要从事金属铍及铍合金的科研、生产和销售，产品广泛应用于航天航空、核工业等高新技术领域，是我国最大的铍及铍合金材料研究和生产基地，是我国国防军工唯一定点采购相关产品的单位</w:t>
      </w:r>
      <w:r>
        <w:rPr>
          <w:rFonts w:hint="eastAsia"/>
          <w:lang w:eastAsia="zh-CN"/>
        </w:rPr>
        <w:t>，是</w:t>
      </w:r>
      <w:r>
        <w:rPr>
          <w:rFonts w:hint="eastAsia"/>
        </w:rPr>
        <w:t>国家高新技术企业，宁夏材料行业的骨干型企业。建有稀有金属特种材料国家重点实验室、宁夏特种材料重点实验室、稀有金属铍材行业重点实验室和宁夏回族自治区稀有金属铍及铍合金研发创新团队等研发创新平台。先后承担完成了近百项国家和自治区下达的铍及铍合金科研生产任务，形</w:t>
      </w:r>
      <w:r>
        <w:rPr>
          <w:rFonts w:hint="eastAsia"/>
          <w:lang w:eastAsia="zh-CN"/>
        </w:rPr>
        <w:t>成了</w:t>
      </w:r>
      <w:r>
        <w:rPr>
          <w:rFonts w:hint="eastAsia"/>
        </w:rPr>
        <w:t>扎实的技术基础，在载人飞船、原子能空间反应堆、舰船、卫星等重大项目中多次受到中共中央、国务院、中央军委的表彰。</w:t>
      </w:r>
    </w:p>
    <w:p w14:paraId="28DF66E5">
      <w:pPr>
        <w:ind w:firstLine="420" w:firstLineChars="200"/>
      </w:pPr>
      <w:r>
        <w:rPr>
          <w:rFonts w:hint="eastAsia"/>
        </w:rPr>
        <w:t>西部宝</w:t>
      </w:r>
      <w:r>
        <w:rPr>
          <w:rFonts w:hint="eastAsia"/>
          <w:lang w:val="en-US" w:eastAsia="zh-CN"/>
        </w:rPr>
        <w:t>德</w:t>
      </w:r>
      <w:r>
        <w:rPr>
          <w:rFonts w:hint="eastAsia"/>
        </w:rPr>
        <w:t>负责样品的收集和分发，分析方法的实验研究，样品测试结果的收集和处理，试验报告和标准文件、编制说明的撰写。东睦新材料集团股份有限公司</w:t>
      </w:r>
      <w:r>
        <w:rPr>
          <w:rFonts w:hint="eastAsia"/>
          <w:lang w:val="en-US" w:eastAsia="zh-CN"/>
        </w:rPr>
        <w:t>负责</w:t>
      </w:r>
      <w:r>
        <w:rPr>
          <w:rFonts w:hint="eastAsia"/>
        </w:rPr>
        <w:t>标准测试样品</w:t>
      </w:r>
      <w:r>
        <w:rPr>
          <w:rFonts w:hint="eastAsia"/>
          <w:lang w:val="en-US" w:eastAsia="zh-CN"/>
        </w:rPr>
        <w:t>的</w:t>
      </w:r>
      <w:r>
        <w:rPr>
          <w:rFonts w:hint="eastAsia"/>
        </w:rPr>
        <w:t>制备和提供</w:t>
      </w:r>
      <w:r>
        <w:rPr>
          <w:rFonts w:hint="eastAsia"/>
          <w:lang w:eastAsia="zh-CN"/>
        </w:rPr>
        <w:t>，</w:t>
      </w:r>
      <w:r>
        <w:rPr>
          <w:rFonts w:hint="eastAsia"/>
        </w:rPr>
        <w:t>西北有色金属研究院、钢铁研究总院有限公司、国标（北京）检验认证有限公司、中南大学等负责分析方法的实验研究与讨论以及一、二验工作。</w:t>
      </w:r>
      <w:r>
        <w:t>各起草人在本文件编制过程中的工作职责见表1所示：</w:t>
      </w:r>
    </w:p>
    <w:p w14:paraId="1D7B2002">
      <w:pPr>
        <w:pStyle w:val="11"/>
        <w:spacing w:before="156" w:after="156"/>
        <w:rPr>
          <w:szCs w:val="21"/>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rPr>
          <w:rFonts w:hint="eastAsia"/>
        </w:rPr>
        <w:t xml:space="preserve">  </w:t>
      </w:r>
      <w:r>
        <w:rPr>
          <w:bCs/>
          <w:szCs w:val="21"/>
        </w:rPr>
        <w:t>各起草人及其工作职责</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255"/>
        <w:gridCol w:w="5598"/>
      </w:tblGrid>
      <w:tr w14:paraId="422AF5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1787A4C7">
            <w:pPr>
              <w:spacing w:line="240" w:lineRule="auto"/>
              <w:jc w:val="center"/>
              <w:rPr>
                <w:szCs w:val="21"/>
              </w:rPr>
            </w:pPr>
            <w:r>
              <w:rPr>
                <w:szCs w:val="21"/>
              </w:rPr>
              <w:t>起草人姓名</w:t>
            </w:r>
          </w:p>
        </w:tc>
        <w:tc>
          <w:tcPr>
            <w:tcW w:w="2840" w:type="pct"/>
            <w:vAlign w:val="center"/>
          </w:tcPr>
          <w:p w14:paraId="49C914AC">
            <w:pPr>
              <w:spacing w:line="240" w:lineRule="auto"/>
              <w:jc w:val="center"/>
              <w:rPr>
                <w:szCs w:val="21"/>
              </w:rPr>
            </w:pPr>
            <w:r>
              <w:rPr>
                <w:szCs w:val="21"/>
              </w:rPr>
              <w:t>工作职责</w:t>
            </w:r>
          </w:p>
        </w:tc>
      </w:tr>
      <w:tr w14:paraId="174766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050718FD">
            <w:pPr>
              <w:spacing w:line="240" w:lineRule="auto"/>
              <w:jc w:val="center"/>
              <w:rPr>
                <w:szCs w:val="21"/>
              </w:rPr>
            </w:pPr>
            <w:r>
              <w:rPr>
                <w:rFonts w:hint="eastAsia"/>
                <w:szCs w:val="21"/>
              </w:rPr>
              <w:t>李荣、蒲博玮、</w:t>
            </w:r>
            <w:r>
              <w:rPr>
                <w:rFonts w:hint="eastAsia"/>
              </w:rPr>
              <w:t>官桐乐、李来平</w:t>
            </w:r>
          </w:p>
        </w:tc>
        <w:tc>
          <w:tcPr>
            <w:tcW w:w="2840" w:type="pct"/>
            <w:vAlign w:val="center"/>
          </w:tcPr>
          <w:p w14:paraId="7C5656A8">
            <w:pPr>
              <w:spacing w:line="240" w:lineRule="auto"/>
              <w:jc w:val="center"/>
              <w:rPr>
                <w:szCs w:val="21"/>
              </w:rPr>
            </w:pPr>
            <w:r>
              <w:rPr>
                <w:szCs w:val="21"/>
              </w:rPr>
              <w:t>负责样品收集、标准文本起草、标准编制说明撰写，意见汇总处理，参加标准讨论和审定会议</w:t>
            </w:r>
          </w:p>
        </w:tc>
      </w:tr>
      <w:tr w14:paraId="63FF90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2931B6D2">
            <w:pPr>
              <w:spacing w:line="240" w:lineRule="auto"/>
              <w:jc w:val="center"/>
              <w:rPr>
                <w:szCs w:val="21"/>
              </w:rPr>
            </w:pPr>
            <w:r>
              <w:rPr>
                <w:rFonts w:hint="eastAsia"/>
              </w:rPr>
              <w:t>杨保军</w:t>
            </w:r>
          </w:p>
        </w:tc>
        <w:tc>
          <w:tcPr>
            <w:tcW w:w="2840" w:type="pct"/>
            <w:vAlign w:val="center"/>
          </w:tcPr>
          <w:p w14:paraId="733F71D9">
            <w:pPr>
              <w:spacing w:line="240" w:lineRule="auto"/>
              <w:jc w:val="center"/>
              <w:rPr>
                <w:szCs w:val="21"/>
              </w:rPr>
            </w:pPr>
            <w:r>
              <w:rPr>
                <w:szCs w:val="21"/>
              </w:rPr>
              <w:t>提供测试数据；对标准文本提出修改意见</w:t>
            </w:r>
            <w:r>
              <w:rPr>
                <w:rFonts w:hint="eastAsia"/>
                <w:szCs w:val="21"/>
              </w:rPr>
              <w:t>。</w:t>
            </w:r>
          </w:p>
        </w:tc>
      </w:tr>
      <w:tr w14:paraId="7095E4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5E5E7758">
            <w:pPr>
              <w:spacing w:line="240" w:lineRule="auto"/>
              <w:jc w:val="center"/>
              <w:rPr>
                <w:rFonts w:hint="eastAsia" w:eastAsia="宋体"/>
                <w:lang w:eastAsia="zh-CN"/>
              </w:rPr>
            </w:pPr>
            <w:r>
              <w:rPr>
                <w:rFonts w:hint="eastAsia"/>
              </w:rPr>
              <w:t>孙泽宇</w:t>
            </w:r>
            <w:r>
              <w:rPr>
                <w:rFonts w:hint="eastAsia"/>
                <w:lang w:eastAsia="zh-CN"/>
              </w:rPr>
              <w:t>、段满堂</w:t>
            </w:r>
          </w:p>
        </w:tc>
        <w:tc>
          <w:tcPr>
            <w:tcW w:w="2840" w:type="pct"/>
            <w:vAlign w:val="center"/>
          </w:tcPr>
          <w:p w14:paraId="691548C7">
            <w:pPr>
              <w:spacing w:line="240" w:lineRule="auto"/>
              <w:jc w:val="center"/>
              <w:rPr>
                <w:rFonts w:hint="default" w:eastAsia="宋体"/>
                <w:szCs w:val="21"/>
                <w:lang w:val="en-US" w:eastAsia="zh-CN"/>
              </w:rPr>
            </w:pPr>
            <w:r>
              <w:rPr>
                <w:rFonts w:hint="eastAsia"/>
                <w:szCs w:val="21"/>
                <w:lang w:val="en-US" w:eastAsia="zh-CN"/>
              </w:rPr>
              <w:t>制备和提供标准测试样品</w:t>
            </w:r>
          </w:p>
        </w:tc>
      </w:tr>
      <w:tr w14:paraId="42131A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4159529B">
            <w:pPr>
              <w:spacing w:line="240" w:lineRule="auto"/>
              <w:jc w:val="center"/>
            </w:pPr>
            <w:r>
              <w:rPr>
                <w:rFonts w:hint="eastAsia"/>
              </w:rPr>
              <w:t>董莎莎</w:t>
            </w:r>
          </w:p>
        </w:tc>
        <w:tc>
          <w:tcPr>
            <w:tcW w:w="2840" w:type="pct"/>
            <w:vAlign w:val="center"/>
          </w:tcPr>
          <w:p w14:paraId="1AC2E68B">
            <w:pPr>
              <w:spacing w:line="240" w:lineRule="auto"/>
              <w:jc w:val="center"/>
              <w:rPr>
                <w:szCs w:val="21"/>
              </w:rPr>
            </w:pPr>
            <w:r>
              <w:rPr>
                <w:szCs w:val="21"/>
              </w:rPr>
              <w:t>提供测试数据；对标准文本提出修改意见</w:t>
            </w:r>
            <w:r>
              <w:rPr>
                <w:rFonts w:hint="eastAsia"/>
                <w:szCs w:val="21"/>
              </w:rPr>
              <w:t>。</w:t>
            </w:r>
          </w:p>
        </w:tc>
      </w:tr>
      <w:tr w14:paraId="2EEB2F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71FF5A76">
            <w:pPr>
              <w:spacing w:line="240" w:lineRule="auto"/>
              <w:jc w:val="center"/>
            </w:pPr>
            <w:r>
              <w:rPr>
                <w:rFonts w:hint="eastAsia"/>
              </w:rPr>
              <w:t>张洪坤</w:t>
            </w:r>
          </w:p>
        </w:tc>
        <w:tc>
          <w:tcPr>
            <w:tcW w:w="2840" w:type="pct"/>
            <w:vAlign w:val="center"/>
          </w:tcPr>
          <w:p w14:paraId="6C3E590D">
            <w:pPr>
              <w:spacing w:line="240" w:lineRule="auto"/>
              <w:jc w:val="center"/>
              <w:rPr>
                <w:szCs w:val="21"/>
              </w:rPr>
            </w:pPr>
            <w:r>
              <w:rPr>
                <w:szCs w:val="21"/>
              </w:rPr>
              <w:t>提供测试数据；对标准文本提出修改意见</w:t>
            </w:r>
            <w:r>
              <w:rPr>
                <w:rFonts w:hint="eastAsia"/>
                <w:szCs w:val="21"/>
              </w:rPr>
              <w:t>。</w:t>
            </w:r>
          </w:p>
        </w:tc>
      </w:tr>
      <w:tr w14:paraId="1C9C31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0F78CBC9">
            <w:pPr>
              <w:spacing w:line="240" w:lineRule="auto"/>
              <w:jc w:val="center"/>
            </w:pPr>
            <w:r>
              <w:rPr>
                <w:rFonts w:hint="eastAsia"/>
              </w:rPr>
              <w:t>王守仁</w:t>
            </w:r>
          </w:p>
        </w:tc>
        <w:tc>
          <w:tcPr>
            <w:tcW w:w="2840" w:type="pct"/>
            <w:vAlign w:val="center"/>
          </w:tcPr>
          <w:p w14:paraId="282E8B21">
            <w:pPr>
              <w:spacing w:line="240" w:lineRule="auto"/>
              <w:jc w:val="center"/>
              <w:rPr>
                <w:szCs w:val="21"/>
              </w:rPr>
            </w:pPr>
            <w:r>
              <w:rPr>
                <w:szCs w:val="21"/>
              </w:rPr>
              <w:t>提供测试数据；对标准文本提出修改意见</w:t>
            </w:r>
            <w:r>
              <w:rPr>
                <w:rFonts w:hint="eastAsia"/>
                <w:szCs w:val="21"/>
              </w:rPr>
              <w:t>。</w:t>
            </w:r>
          </w:p>
        </w:tc>
      </w:tr>
      <w:tr w14:paraId="4EDBAE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2F2F63E2">
            <w:pPr>
              <w:spacing w:line="240" w:lineRule="auto"/>
              <w:jc w:val="center"/>
              <w:rPr>
                <w:rFonts w:hint="eastAsia" w:eastAsia="宋体"/>
                <w:lang w:eastAsia="zh-CN"/>
              </w:rPr>
            </w:pPr>
            <w:r>
              <w:rPr>
                <w:rFonts w:hint="eastAsia"/>
                <w:lang w:val="en-US" w:eastAsia="zh-CN"/>
              </w:rPr>
              <w:t>王维</w:t>
            </w:r>
          </w:p>
        </w:tc>
        <w:tc>
          <w:tcPr>
            <w:tcW w:w="2840" w:type="pct"/>
            <w:vAlign w:val="center"/>
          </w:tcPr>
          <w:p w14:paraId="4817A9D8">
            <w:pPr>
              <w:spacing w:line="240" w:lineRule="auto"/>
              <w:jc w:val="center"/>
              <w:rPr>
                <w:szCs w:val="21"/>
              </w:rPr>
            </w:pPr>
            <w:r>
              <w:rPr>
                <w:szCs w:val="21"/>
              </w:rPr>
              <w:t>提供测试数据；对标准文本提出修改意见</w:t>
            </w:r>
            <w:r>
              <w:rPr>
                <w:rFonts w:hint="eastAsia"/>
                <w:szCs w:val="21"/>
              </w:rPr>
              <w:t>。</w:t>
            </w:r>
          </w:p>
        </w:tc>
      </w:tr>
      <w:tr w14:paraId="2EF3E3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5CAFB488">
            <w:pPr>
              <w:spacing w:line="240" w:lineRule="auto"/>
              <w:jc w:val="center"/>
            </w:pPr>
            <w:r>
              <w:rPr>
                <w:rFonts w:hint="eastAsia"/>
              </w:rPr>
              <w:t>余鹏</w:t>
            </w:r>
          </w:p>
        </w:tc>
        <w:tc>
          <w:tcPr>
            <w:tcW w:w="2840" w:type="pct"/>
            <w:vAlign w:val="center"/>
          </w:tcPr>
          <w:p w14:paraId="5BADA085">
            <w:pPr>
              <w:spacing w:line="240" w:lineRule="auto"/>
              <w:jc w:val="center"/>
              <w:rPr>
                <w:szCs w:val="21"/>
              </w:rPr>
            </w:pPr>
            <w:r>
              <w:rPr>
                <w:szCs w:val="21"/>
              </w:rPr>
              <w:t>提供测试数据；对标准文本提出修改意见</w:t>
            </w:r>
            <w:r>
              <w:rPr>
                <w:rFonts w:hint="eastAsia"/>
                <w:szCs w:val="21"/>
              </w:rPr>
              <w:t>。</w:t>
            </w:r>
          </w:p>
        </w:tc>
      </w:tr>
      <w:tr w14:paraId="25DD2A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48A717BD">
            <w:pPr>
              <w:spacing w:line="240" w:lineRule="auto"/>
              <w:jc w:val="center"/>
            </w:pPr>
            <w:r>
              <w:rPr>
                <w:rFonts w:hint="eastAsia"/>
              </w:rPr>
              <w:t>叶曙龙</w:t>
            </w:r>
          </w:p>
        </w:tc>
        <w:tc>
          <w:tcPr>
            <w:tcW w:w="2840" w:type="pct"/>
            <w:vAlign w:val="center"/>
          </w:tcPr>
          <w:p w14:paraId="4D468806">
            <w:pPr>
              <w:spacing w:line="240" w:lineRule="auto"/>
              <w:jc w:val="center"/>
              <w:rPr>
                <w:szCs w:val="21"/>
              </w:rPr>
            </w:pPr>
            <w:r>
              <w:rPr>
                <w:szCs w:val="21"/>
              </w:rPr>
              <w:t>提供测试数据；对标准文本提出修改意见</w:t>
            </w:r>
            <w:r>
              <w:rPr>
                <w:rFonts w:hint="eastAsia"/>
                <w:szCs w:val="21"/>
              </w:rPr>
              <w:t>。</w:t>
            </w:r>
          </w:p>
        </w:tc>
      </w:tr>
      <w:tr w14:paraId="75D351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30AB559C">
            <w:pPr>
              <w:spacing w:line="240" w:lineRule="auto"/>
              <w:jc w:val="center"/>
            </w:pPr>
            <w:r>
              <w:rPr>
                <w:rFonts w:hint="eastAsia"/>
              </w:rPr>
              <w:t>张望成</w:t>
            </w:r>
          </w:p>
        </w:tc>
        <w:tc>
          <w:tcPr>
            <w:tcW w:w="2840" w:type="pct"/>
            <w:vAlign w:val="center"/>
          </w:tcPr>
          <w:p w14:paraId="38001285">
            <w:pPr>
              <w:spacing w:line="240" w:lineRule="auto"/>
              <w:jc w:val="center"/>
              <w:rPr>
                <w:szCs w:val="21"/>
              </w:rPr>
            </w:pPr>
            <w:r>
              <w:rPr>
                <w:szCs w:val="21"/>
              </w:rPr>
              <w:t>提供测试数据；对标准文本提出修改意见</w:t>
            </w:r>
            <w:r>
              <w:rPr>
                <w:rFonts w:hint="eastAsia"/>
                <w:szCs w:val="21"/>
              </w:rPr>
              <w:t>。</w:t>
            </w:r>
          </w:p>
        </w:tc>
      </w:tr>
      <w:tr w14:paraId="580610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1A7C6020">
            <w:pPr>
              <w:spacing w:line="240" w:lineRule="auto"/>
              <w:jc w:val="center"/>
              <w:rPr>
                <w:rFonts w:hint="eastAsia"/>
              </w:rPr>
            </w:pPr>
            <w:r>
              <w:rPr>
                <w:rFonts w:hint="eastAsia"/>
              </w:rPr>
              <w:t>杨跃</w:t>
            </w:r>
          </w:p>
        </w:tc>
        <w:tc>
          <w:tcPr>
            <w:tcW w:w="2840" w:type="pct"/>
            <w:vAlign w:val="center"/>
          </w:tcPr>
          <w:p w14:paraId="64C28532">
            <w:pPr>
              <w:spacing w:line="240" w:lineRule="auto"/>
              <w:jc w:val="center"/>
              <w:rPr>
                <w:szCs w:val="21"/>
              </w:rPr>
            </w:pPr>
            <w:r>
              <w:rPr>
                <w:szCs w:val="21"/>
              </w:rPr>
              <w:t>提供测试数据；对标准文本提出修改意见</w:t>
            </w:r>
            <w:r>
              <w:rPr>
                <w:rFonts w:hint="eastAsia"/>
                <w:szCs w:val="21"/>
              </w:rPr>
              <w:t>。</w:t>
            </w:r>
          </w:p>
        </w:tc>
      </w:tr>
      <w:tr w14:paraId="5FC9C2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399E6A15">
            <w:pPr>
              <w:spacing w:line="240" w:lineRule="auto"/>
              <w:jc w:val="center"/>
              <w:rPr>
                <w:rFonts w:hint="eastAsia"/>
              </w:rPr>
            </w:pPr>
            <w:r>
              <w:rPr>
                <w:rFonts w:hint="eastAsia"/>
              </w:rPr>
              <w:t>王纪兴</w:t>
            </w:r>
          </w:p>
        </w:tc>
        <w:tc>
          <w:tcPr>
            <w:tcW w:w="2840" w:type="pct"/>
            <w:vAlign w:val="center"/>
          </w:tcPr>
          <w:p w14:paraId="2674B534">
            <w:pPr>
              <w:spacing w:line="240" w:lineRule="auto"/>
              <w:jc w:val="center"/>
              <w:rPr>
                <w:szCs w:val="21"/>
              </w:rPr>
            </w:pPr>
            <w:r>
              <w:rPr>
                <w:szCs w:val="21"/>
              </w:rPr>
              <w:t>提供测试数据；对标准文本提出修改意见</w:t>
            </w:r>
            <w:r>
              <w:rPr>
                <w:rFonts w:hint="eastAsia"/>
                <w:szCs w:val="21"/>
              </w:rPr>
              <w:t>。</w:t>
            </w:r>
          </w:p>
        </w:tc>
      </w:tr>
      <w:tr w14:paraId="022AEB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2159" w:type="pct"/>
            <w:vAlign w:val="center"/>
          </w:tcPr>
          <w:p w14:paraId="15B605D0">
            <w:pPr>
              <w:spacing w:line="240" w:lineRule="auto"/>
              <w:jc w:val="center"/>
              <w:rPr>
                <w:rFonts w:hint="eastAsia"/>
              </w:rPr>
            </w:pPr>
            <w:r>
              <w:rPr>
                <w:rFonts w:hint="eastAsia"/>
              </w:rPr>
              <w:t>李美岁</w:t>
            </w:r>
          </w:p>
        </w:tc>
        <w:tc>
          <w:tcPr>
            <w:tcW w:w="2840" w:type="pct"/>
            <w:vAlign w:val="center"/>
          </w:tcPr>
          <w:p w14:paraId="61DEFC73">
            <w:pPr>
              <w:spacing w:line="240" w:lineRule="auto"/>
              <w:jc w:val="center"/>
              <w:rPr>
                <w:szCs w:val="21"/>
              </w:rPr>
            </w:pPr>
            <w:r>
              <w:rPr>
                <w:szCs w:val="21"/>
              </w:rPr>
              <w:t>提供测试数据；对标准文本提出修改意见</w:t>
            </w:r>
            <w:r>
              <w:rPr>
                <w:rFonts w:hint="eastAsia"/>
                <w:szCs w:val="21"/>
              </w:rPr>
              <w:t>。</w:t>
            </w:r>
          </w:p>
        </w:tc>
      </w:tr>
    </w:tbl>
    <w:p w14:paraId="46F53ADA">
      <w:pPr>
        <w:pStyle w:val="3"/>
        <w:spacing w:before="156" w:after="156"/>
      </w:pPr>
      <w:r>
        <w:t>主要工作过程</w:t>
      </w:r>
    </w:p>
    <w:p w14:paraId="48DF84E7">
      <w:pPr>
        <w:ind w:firstLine="420" w:firstLineChars="200"/>
      </w:pPr>
      <w:r>
        <w:rPr>
          <w:rFonts w:hint="eastAsia"/>
        </w:rPr>
        <w:t>西部宝德</w:t>
      </w:r>
      <w:r>
        <w:t>在接到</w:t>
      </w:r>
      <w:r>
        <w:rPr>
          <w:rFonts w:hint="eastAsia"/>
        </w:rPr>
        <w:t>修订</w:t>
      </w:r>
      <w:r>
        <w:t>任务后，立即组织骨干人员成立了标准编制组，制定了该标准的研究内容、技术路线、任务分工和进度安排。</w:t>
      </w:r>
    </w:p>
    <w:p w14:paraId="41FA653D">
      <w:pPr>
        <w:pStyle w:val="4"/>
        <w:spacing w:before="156" w:after="156"/>
      </w:pPr>
      <w:r>
        <w:t>立项阶段</w:t>
      </w:r>
    </w:p>
    <w:p w14:paraId="3E0AAE66">
      <w:pPr>
        <w:ind w:firstLine="420" w:firstLineChars="200"/>
      </w:pPr>
      <w:r>
        <w:t>20</w:t>
      </w:r>
      <w:r>
        <w:rPr>
          <w:rFonts w:hint="eastAsia"/>
        </w:rPr>
        <w:t>24</w:t>
      </w:r>
      <w:r>
        <w:t>年</w:t>
      </w:r>
      <w:r>
        <w:rPr>
          <w:rFonts w:hint="eastAsia"/>
        </w:rPr>
        <w:t>11</w:t>
      </w:r>
      <w:r>
        <w:t>月</w:t>
      </w:r>
      <w:r>
        <w:rPr>
          <w:rFonts w:hint="eastAsia"/>
        </w:rPr>
        <w:t>20日</w:t>
      </w:r>
      <w:r>
        <w:t>，</w:t>
      </w:r>
      <w:r>
        <w:rPr>
          <w:rFonts w:hint="eastAsia"/>
        </w:rPr>
        <w:t>西部宝德科技股份有限公司</w:t>
      </w:r>
      <w:r>
        <w:t>向全国有色金属标准化技术委员会粉末冶金分会</w:t>
      </w:r>
      <w:r>
        <w:rPr>
          <w:rFonts w:hint="eastAsia"/>
        </w:rPr>
        <w:t>（</w:t>
      </w:r>
      <w:r>
        <w:t>SAC/TC243/SC4</w:t>
      </w:r>
      <w:r>
        <w:rPr>
          <w:rFonts w:hint="eastAsia"/>
        </w:rPr>
        <w:t>）</w:t>
      </w:r>
      <w:r>
        <w:t>提交国家标准</w:t>
      </w:r>
      <w:r>
        <w:rPr>
          <w:rFonts w:hint="eastAsia"/>
        </w:rPr>
        <w:t>《烧结金属材料（不包括硬质合金） 拉伸试样》</w:t>
      </w:r>
      <w:r>
        <w:t>项目建议书。</w:t>
      </w:r>
    </w:p>
    <w:p w14:paraId="3AD165B5">
      <w:pPr>
        <w:ind w:firstLine="420" w:firstLineChars="200"/>
      </w:pPr>
      <w:r>
        <w:t>20</w:t>
      </w:r>
      <w:r>
        <w:rPr>
          <w:rFonts w:hint="eastAsia"/>
        </w:rPr>
        <w:t>25</w:t>
      </w:r>
      <w:r>
        <w:t>年</w:t>
      </w:r>
      <w:r>
        <w:rPr>
          <w:rFonts w:hint="eastAsia"/>
        </w:rPr>
        <w:t>8</w:t>
      </w:r>
      <w:r>
        <w:t>月</w:t>
      </w:r>
      <w:r>
        <w:rPr>
          <w:rFonts w:hint="eastAsia"/>
        </w:rPr>
        <w:t>6</w:t>
      </w:r>
      <w:r>
        <w:t>日，国家标准化管理委员会印发</w:t>
      </w:r>
      <w:r>
        <w:rPr>
          <w:rFonts w:hint="eastAsia"/>
        </w:rPr>
        <w:t>《关于下达2025年第七批推荐性国家标准计划及相关标准外文版计划的通知》（国标委发[2025] 43号）</w:t>
      </w:r>
      <w:r>
        <w:t>，国家标准</w:t>
      </w:r>
      <w:r>
        <w:rPr>
          <w:rFonts w:hint="eastAsia"/>
        </w:rPr>
        <w:t>《烧结金属材料（不包括硬质合金） 拉伸试样》</w:t>
      </w:r>
      <w:r>
        <w:t>立项成功</w:t>
      </w:r>
      <w:r>
        <w:rPr>
          <w:rFonts w:hint="eastAsia"/>
        </w:rPr>
        <w:t>。</w:t>
      </w:r>
    </w:p>
    <w:p w14:paraId="0E37A4C0">
      <w:pPr>
        <w:pStyle w:val="4"/>
        <w:spacing w:before="156" w:after="156"/>
      </w:pPr>
      <w:r>
        <w:rPr>
          <w:rFonts w:hint="eastAsia"/>
        </w:rPr>
        <w:t>起草阶段</w:t>
      </w:r>
    </w:p>
    <w:p w14:paraId="07B824FB">
      <w:pPr>
        <w:ind w:firstLine="420" w:firstLineChars="200"/>
      </w:pPr>
      <w:r>
        <w:rPr>
          <w:rFonts w:hint="eastAsia"/>
        </w:rPr>
        <w:t>2025年11月，全国有色金属标准化技术委员会在杭州召开工作会议，会议对《烧结金属材料（不包括硬质合金） 拉伸试样》进行了任务落实。</w:t>
      </w:r>
    </w:p>
    <w:p w14:paraId="3E6F72BF">
      <w:pPr>
        <w:ind w:firstLine="420" w:firstLineChars="200"/>
      </w:pPr>
      <w:r>
        <w:rPr>
          <w:rFonts w:hint="eastAsia"/>
        </w:rPr>
        <w:t>西部宝德科技股份有限公司接到《烧结金属材料（不包括硬质合金） 拉伸试样》修订任务后，立即组织相关技术人员成立了标准修订编制组，进行相关资料的查询与收集工作，制订工作计划和进度安排。编制组首先对ISO 2740:2023标准进行了翻译，并对重点内容进行了熟悉，同时收集、分析、研究了国内外相关技术资料和标准资料，与参编单位一起开展与标准修订相关的测试工作，在此基础上于2026年1月形成了标准的讨论稿和编制说明。</w:t>
      </w:r>
    </w:p>
    <w:p w14:paraId="5491E0C1">
      <w:pPr>
        <w:ind w:firstLine="420" w:firstLineChars="200"/>
      </w:pPr>
      <w:r>
        <w:rPr>
          <w:rFonts w:hint="eastAsia"/>
        </w:rPr>
        <w:t>2026年1月19日-21日，全国有色金属标准化技术委员会组织在珠海召开工作会议。参编单位西北有色金属研究院、钢铁研究总院有限公司、中南大学等多家单位的代表对《烧结金属材料（不包括硬质合金） 拉伸试样》标准的讨论稿和编制说明进行了充分、细致的讨论。标准编制组根据与会专家提出的修改意见，对标准讨论稿重新进行了翻译，并针对实验方案进行了验证，对测试结果进行了分析，于2026年1月形成了标准的征求意见稿、编制说明。</w:t>
      </w:r>
    </w:p>
    <w:p w14:paraId="7B681E02">
      <w:pPr>
        <w:pStyle w:val="4"/>
        <w:spacing w:before="156" w:after="156"/>
      </w:pPr>
      <w:r>
        <w:rPr>
          <w:rFonts w:hint="eastAsia"/>
        </w:rPr>
        <w:t>征求意见阶段</w:t>
      </w:r>
    </w:p>
    <w:p w14:paraId="55EEF862">
      <w:pPr>
        <w:ind w:firstLine="420" w:firstLineChars="200"/>
      </w:pPr>
      <w:r>
        <w:rPr>
          <w:rFonts w:hint="eastAsia"/>
          <w:szCs w:val="21"/>
        </w:rPr>
        <w:t>2026年3月17日至2026年XX月XX日，全国有色金属标准化技术委员会将征求意见资料在国家标准化管理委员会的“公共信息服务平台”上挂网，向社会公开征求意见。征求意见的单位包括主要生产、销售、使用、科研、检验等单位及大专院校，征求意见单位广泛且具有代表性，征求意见时间大于60天。</w:t>
      </w:r>
    </w:p>
    <w:p w14:paraId="6388E8D3">
      <w:pPr>
        <w:ind w:firstLine="420" w:firstLineChars="200"/>
      </w:pPr>
      <w:r>
        <w:rPr>
          <w:rFonts w:hint="eastAsia"/>
          <w:szCs w:val="21"/>
        </w:rPr>
        <w:t>2026年4月21日，</w:t>
      </w:r>
      <w:r>
        <w:rPr>
          <w:rFonts w:hint="eastAsia"/>
        </w:rPr>
        <w:t>全国有色金属标准化技术委员会组织在重庆市召开工作会议。自贡硬质合金有限责任公司、</w:t>
      </w:r>
      <w:r>
        <w:rPr>
          <w:rFonts w:hint="eastAsia"/>
          <w:lang w:val="en-US" w:eastAsia="zh-CN"/>
        </w:rPr>
        <w:t>钢铁研究总院</w:t>
      </w:r>
      <w:r>
        <w:rPr>
          <w:rFonts w:hint="eastAsia"/>
        </w:rPr>
        <w:t>等多家单位的专家</w:t>
      </w:r>
      <w:r>
        <w:t>代表</w:t>
      </w:r>
      <w:r>
        <w:rPr>
          <w:rFonts w:hint="eastAsia"/>
        </w:rPr>
        <w:t>参加了会议。与会专家对本标准预审稿和编制说明进行了</w:t>
      </w:r>
      <w:r>
        <w:t>对</w:t>
      </w:r>
      <w:r>
        <w:rPr>
          <w:rFonts w:hint="eastAsia"/>
        </w:rPr>
        <w:t>认真、细致</w:t>
      </w:r>
      <w:r>
        <w:t>的讨论</w:t>
      </w:r>
      <w:r>
        <w:rPr>
          <w:rFonts w:hint="eastAsia"/>
        </w:rPr>
        <w:t>，提出了修改意见和建议。根据与会专家</w:t>
      </w:r>
      <w:r>
        <w:t>提出</w:t>
      </w:r>
      <w:r>
        <w:rPr>
          <w:rFonts w:hint="eastAsia"/>
        </w:rPr>
        <w:t>的</w:t>
      </w:r>
      <w:r>
        <w:t>修改意见</w:t>
      </w:r>
      <w:r>
        <w:rPr>
          <w:rFonts w:hint="eastAsia"/>
        </w:rPr>
        <w:t>，标准编制组对标准文本进行了修改，形成了标准送审稿、编制说明及征求意见稿意见汇总处理表。</w:t>
      </w:r>
    </w:p>
    <w:p w14:paraId="0A83A50C">
      <w:pPr>
        <w:pStyle w:val="4"/>
        <w:spacing w:before="156" w:after="156"/>
      </w:pPr>
      <w:r>
        <w:t>审查阶段</w:t>
      </w:r>
    </w:p>
    <w:p w14:paraId="775F63DF">
      <w:pPr>
        <w:widowControl w:val="0"/>
        <w:ind w:firstLine="420" w:firstLineChars="200"/>
        <w:rPr>
          <w:szCs w:val="21"/>
        </w:rPr>
      </w:pPr>
      <w:r>
        <w:rPr>
          <w:rFonts w:hint="eastAsia"/>
          <w:szCs w:val="21"/>
        </w:rPr>
        <w:t>......</w:t>
      </w:r>
    </w:p>
    <w:p w14:paraId="218749CA">
      <w:pPr>
        <w:pStyle w:val="4"/>
        <w:spacing w:before="156" w:after="156"/>
      </w:pPr>
      <w:r>
        <w:t>报批阶段</w:t>
      </w:r>
    </w:p>
    <w:p w14:paraId="5E2693E3">
      <w:pPr>
        <w:widowControl w:val="0"/>
        <w:ind w:firstLine="420" w:firstLineChars="200"/>
        <w:rPr>
          <w:szCs w:val="21"/>
        </w:rPr>
      </w:pPr>
      <w:r>
        <w:rPr>
          <w:rFonts w:hint="eastAsia"/>
          <w:szCs w:val="21"/>
        </w:rPr>
        <w:t>......</w:t>
      </w:r>
    </w:p>
    <w:p w14:paraId="09044C93">
      <w:pPr>
        <w:pStyle w:val="2"/>
        <w:spacing w:before="312" w:after="312"/>
      </w:pPr>
      <w:r>
        <w:rPr>
          <w:rFonts w:hint="eastAsia"/>
        </w:rPr>
        <w:t>标准编制原则、主要内容</w:t>
      </w:r>
      <w:r>
        <w:rPr>
          <w:rFonts w:hint="eastAsia"/>
          <w:lang w:val="en-US" w:eastAsia="zh-CN"/>
        </w:rPr>
        <w:t>与论</w:t>
      </w:r>
      <w:r>
        <w:rPr>
          <w:rFonts w:hint="eastAsia"/>
        </w:rPr>
        <w:t>据</w:t>
      </w:r>
    </w:p>
    <w:p w14:paraId="04FA6678">
      <w:pPr>
        <w:pStyle w:val="3"/>
        <w:spacing w:before="156" w:after="156"/>
      </w:pPr>
      <w:r>
        <w:rPr>
          <w:rFonts w:hint="eastAsia"/>
        </w:rPr>
        <w:t>标准修订原则</w:t>
      </w:r>
    </w:p>
    <w:p w14:paraId="1539AC83">
      <w:pPr>
        <w:ind w:firstLine="420" w:firstLineChars="200"/>
      </w:pPr>
      <w:r>
        <w:rPr>
          <w:rFonts w:hint="eastAsia"/>
        </w:rPr>
        <w:t>标准负责起草单位在任务落实会上征求了与会专家和代表的意见，确定了修订的方案和标准起草原则：</w:t>
      </w:r>
    </w:p>
    <w:p w14:paraId="609BE9CA">
      <w:pPr>
        <w:ind w:firstLine="420" w:firstLineChars="200"/>
      </w:pPr>
      <w:r>
        <w:rPr>
          <w:rFonts w:hint="eastAsia"/>
        </w:rPr>
        <w:t>1）合规性：严格依据《中华人民共和国标准化法》等国家相关法律、法规，遵循标准化工作的相关规定；</w:t>
      </w:r>
    </w:p>
    <w:p w14:paraId="5864E02B">
      <w:pPr>
        <w:ind w:firstLine="420" w:firstLineChars="200"/>
      </w:pPr>
      <w:r>
        <w:rPr>
          <w:rFonts w:hint="eastAsia"/>
        </w:rPr>
        <w:t>2）适用性和先进性：紧密结合我国烧结金属材料行业的生产实际、检测需求和技术发展水平，等同采用国际标准ISO 2740:2023，吸收国际先进技术成果，确保标准既符合行业当前应用需求，又具有一定的前瞻性；</w:t>
      </w:r>
    </w:p>
    <w:p w14:paraId="30F8C024">
      <w:pPr>
        <w:ind w:firstLine="420" w:firstLineChars="200"/>
      </w:pPr>
      <w:r>
        <w:rPr>
          <w:rFonts w:hint="eastAsia"/>
        </w:rPr>
        <w:t>3）规范性：按照 GB/T 1.1-2020《标准化工作导则 第 1 部分：标准的结构和编写》的规定编写，保证标准文本的结构清晰、逻辑严谨、表述规范；</w:t>
      </w:r>
    </w:p>
    <w:p w14:paraId="51EFFBD8">
      <w:pPr>
        <w:ind w:firstLine="420" w:firstLineChars="200"/>
      </w:pPr>
      <w:r>
        <w:rPr>
          <w:rFonts w:hint="eastAsia"/>
        </w:rPr>
        <w:t>4）一致性：本文件等同采用ISO 2740:2023。</w:t>
      </w:r>
    </w:p>
    <w:p w14:paraId="7E9D7458">
      <w:pPr>
        <w:pStyle w:val="3"/>
        <w:spacing w:before="156" w:after="156"/>
      </w:pPr>
      <w:r>
        <w:rPr>
          <w:rFonts w:hint="eastAsia"/>
        </w:rPr>
        <w:t>标准修订的主要内容</w:t>
      </w:r>
    </w:p>
    <w:p w14:paraId="79853CDD">
      <w:pPr>
        <w:ind w:firstLine="420" w:firstLineChars="200"/>
      </w:pPr>
      <w:r>
        <w:rPr>
          <w:rFonts w:hint="eastAsia"/>
        </w:rPr>
        <w:t>本文件代替GB/T 7963-2015《烧结金属材料（不包括硬质合金） 拉伸试样》，本文件与GB/T 7963-2015相比，除结构调整和编辑性改动外，主要技术变化如下：</w:t>
      </w:r>
    </w:p>
    <w:p w14:paraId="014FF1C7">
      <w:pPr>
        <w:ind w:firstLine="420" w:firstLineChars="200"/>
        <w:rPr>
          <w:rFonts w:hint="eastAsia"/>
        </w:rPr>
      </w:pPr>
      <w:r>
        <w:rPr>
          <w:rFonts w:hint="eastAsia"/>
          <w:lang w:val="en-US" w:eastAsia="zh-CN"/>
        </w:rPr>
        <w:t>a</w:t>
      </w:r>
      <w:r>
        <w:rPr>
          <w:rFonts w:hint="eastAsia"/>
        </w:rPr>
        <w:t>）增加了新的试样形状作为图3（见5.2）；</w:t>
      </w:r>
    </w:p>
    <w:p w14:paraId="13C39241">
      <w:pPr>
        <w:ind w:firstLine="420" w:firstLineChars="200"/>
        <w:rPr>
          <w:rFonts w:hint="eastAsia"/>
        </w:rPr>
      </w:pPr>
      <w:r>
        <w:rPr>
          <w:rFonts w:hint="eastAsia"/>
          <w:lang w:val="en-US" w:eastAsia="zh-CN"/>
        </w:rPr>
        <w:t>b</w:t>
      </w:r>
      <w:r>
        <w:rPr>
          <w:rFonts w:hint="eastAsia"/>
        </w:rPr>
        <w:t xml:space="preserve">）增加了5.2中可选模具模腔锥度的测量单位和对图3规格的要求（见5.2）； </w:t>
      </w:r>
    </w:p>
    <w:p w14:paraId="38943A0A">
      <w:pPr>
        <w:ind w:firstLine="420" w:firstLineChars="200"/>
        <w:rPr>
          <w:rFonts w:hint="eastAsia"/>
        </w:rPr>
      </w:pPr>
      <w:r>
        <w:rPr>
          <w:rFonts w:hint="eastAsia"/>
          <w:lang w:val="en-US" w:eastAsia="zh-CN"/>
        </w:rPr>
        <w:t>c</w:t>
      </w:r>
      <w:r>
        <w:rPr>
          <w:rFonts w:hint="eastAsia"/>
        </w:rPr>
        <w:t>）更改了图4表中A1型R1值及A2型R1值（见6，2015年版的5）；</w:t>
      </w:r>
    </w:p>
    <w:p w14:paraId="078916CD">
      <w:pPr>
        <w:pStyle w:val="2"/>
        <w:bidi w:val="0"/>
        <w:ind w:left="432" w:leftChars="0" w:hanging="432" w:firstLineChars="0"/>
        <w:rPr>
          <w:rFonts w:hint="default"/>
          <w:lang w:val="en-US" w:eastAsia="zh-CN"/>
        </w:rPr>
      </w:pPr>
      <w:r>
        <w:rPr>
          <w:rFonts w:hint="eastAsia"/>
          <w:lang w:val="en-US" w:eastAsia="zh-CN"/>
        </w:rPr>
        <w:t>试验验证的分析、综述报告，技术经济论证，预期的经济效益、社会效益和生态效益</w:t>
      </w:r>
    </w:p>
    <w:p w14:paraId="3134D8D6">
      <w:pPr>
        <w:pStyle w:val="3"/>
        <w:spacing w:before="156" w:after="156"/>
        <w:rPr>
          <w:rFonts w:hint="eastAsia"/>
        </w:rPr>
      </w:pPr>
      <w:r>
        <w:rPr>
          <w:rFonts w:hint="eastAsia"/>
        </w:rPr>
        <w:t>验证程序</w:t>
      </w:r>
    </w:p>
    <w:p w14:paraId="536F6920">
      <w:pPr>
        <w:ind w:firstLine="420" w:firstLineChars="200"/>
      </w:pPr>
      <w:r>
        <w:rPr>
          <w:rFonts w:hint="eastAsia"/>
        </w:rPr>
        <w:t>为系统验证GB/T 7963—202X《烧结金属材料（不包括硬质合金） 拉伸试样》中压制</w:t>
      </w:r>
      <w:r>
        <w:rPr>
          <w:rFonts w:hint="eastAsia"/>
          <w:lang w:val="en-US" w:eastAsia="zh-CN"/>
        </w:rPr>
        <w:t>-</w:t>
      </w:r>
      <w:r>
        <w:rPr>
          <w:rFonts w:hint="eastAsia"/>
        </w:rPr>
        <w:t>烧结高强度材料试样</w:t>
      </w:r>
      <w:r>
        <w:rPr>
          <w:rFonts w:hint="eastAsia"/>
          <w:lang w:eastAsia="zh-CN"/>
        </w:rPr>
        <w:t>（</w:t>
      </w:r>
      <w:r>
        <w:rPr>
          <w:rFonts w:hint="eastAsia"/>
          <w:lang w:val="en-US" w:eastAsia="zh-CN"/>
        </w:rPr>
        <w:t>图3</w:t>
      </w:r>
      <w:r>
        <w:rPr>
          <w:rFonts w:hint="eastAsia"/>
          <w:lang w:eastAsia="zh-CN"/>
        </w:rPr>
        <w:t>）</w:t>
      </w:r>
      <w:r>
        <w:rPr>
          <w:rFonts w:hint="eastAsia"/>
        </w:rPr>
        <w:t>、金属注射成型试样</w:t>
      </w:r>
      <w:r>
        <w:rPr>
          <w:rFonts w:hint="eastAsia"/>
          <w:lang w:val="en-US" w:eastAsia="zh-CN"/>
        </w:rPr>
        <w:t>A2型（图4）</w:t>
      </w:r>
      <w:r>
        <w:rPr>
          <w:rFonts w:hint="eastAsia"/>
        </w:rPr>
        <w:t>、机械加工试样</w:t>
      </w:r>
      <w:r>
        <w:rPr>
          <w:rFonts w:hint="eastAsia"/>
          <w:lang w:eastAsia="zh-CN"/>
        </w:rPr>
        <w:t>（</w:t>
      </w:r>
      <w:r>
        <w:rPr>
          <w:rFonts w:hint="eastAsia"/>
        </w:rPr>
        <w:t>图6</w:t>
      </w:r>
      <w:r>
        <w:rPr>
          <w:rFonts w:hint="eastAsia"/>
          <w:lang w:eastAsia="zh-CN"/>
        </w:rPr>
        <w:t>）</w:t>
      </w:r>
      <w:r>
        <w:rPr>
          <w:rFonts w:hint="eastAsia"/>
        </w:rPr>
        <w:t>的模腔尺寸、试样结构及夹持方式设计的科学性、合理性与适用性，本次验证试验严格按照统一方案开展：</w:t>
      </w:r>
    </w:p>
    <w:p w14:paraId="7420D33A">
      <w:pPr>
        <w:ind w:firstLine="420" w:firstLineChars="200"/>
      </w:pPr>
      <w:r>
        <w:rPr>
          <w:rFonts w:hint="eastAsia"/>
        </w:rPr>
        <w:t>1）验证目标：验证三类试样模腔尺寸、试样尺寸、过渡结构、夹持方式是否合理，确保断裂位置可控、测试数据准确、方法可重复、结果可再现。</w:t>
      </w:r>
    </w:p>
    <w:p w14:paraId="2A5459C6">
      <w:pPr>
        <w:ind w:firstLine="420" w:firstLineChars="200"/>
      </w:pPr>
      <w:r>
        <w:rPr>
          <w:rFonts w:hint="eastAsia"/>
        </w:rPr>
        <w:t>2）试验依据：GB/T 7963—202X（草案）、ISO 6892-1、ISO 7500-1、GB/T 228.1-2021、GB/T 16825.1-2022；</w:t>
      </w:r>
    </w:p>
    <w:p w14:paraId="6525CAC5">
      <w:pPr>
        <w:ind w:firstLine="420" w:firstLineChars="200"/>
        <w:rPr>
          <w:rFonts w:hint="eastAsia"/>
        </w:rPr>
      </w:pPr>
      <w:r>
        <w:rPr>
          <w:rFonts w:hint="eastAsia"/>
        </w:rPr>
        <w:t>3）试样制备：</w:t>
      </w:r>
    </w:p>
    <w:p w14:paraId="0104C498">
      <w:pPr>
        <w:keepNext w:val="0"/>
        <w:keepLines w:val="0"/>
        <w:pageBreakBefore w:val="0"/>
        <w:widowControl/>
        <w:numPr>
          <w:ilvl w:val="0"/>
          <w:numId w:val="7"/>
        </w:numPr>
        <w:kinsoku/>
        <w:wordWrap/>
        <w:overflowPunct/>
        <w:topLinePunct w:val="0"/>
        <w:autoSpaceDE/>
        <w:autoSpaceDN/>
        <w:bidi w:val="0"/>
        <w:adjustRightInd/>
        <w:snapToGrid/>
        <w:ind w:left="0" w:leftChars="0" w:firstLine="420" w:firstLineChars="200"/>
        <w:textAlignment w:val="auto"/>
      </w:pPr>
      <w:r>
        <w:rPr>
          <w:rFonts w:hint="eastAsia"/>
        </w:rPr>
        <w:t>图3压制</w:t>
      </w:r>
      <w:r>
        <w:rPr>
          <w:rFonts w:hint="eastAsia"/>
          <w:lang w:val="en-US" w:eastAsia="zh-CN"/>
        </w:rPr>
        <w:t>-</w:t>
      </w:r>
      <w:r>
        <w:rPr>
          <w:rFonts w:hint="eastAsia"/>
        </w:rPr>
        <w:t>烧结试样：采用铁基高强度合金，为标准规定的高强度</w:t>
      </w:r>
      <w:r>
        <w:rPr>
          <w:rFonts w:hint="eastAsia"/>
          <w:lang w:val="en-US" w:eastAsia="zh-CN"/>
        </w:rPr>
        <w:t>或</w:t>
      </w:r>
      <w:r>
        <w:rPr>
          <w:rFonts w:hint="eastAsia"/>
        </w:rPr>
        <w:t>热处理材料试样</w:t>
      </w:r>
      <w:r>
        <w:rPr>
          <w:rFonts w:hint="eastAsia"/>
          <w:lang w:eastAsia="zh-CN"/>
        </w:rPr>
        <w:t>。</w:t>
      </w:r>
    </w:p>
    <w:p w14:paraId="47D709DC">
      <w:pPr>
        <w:keepNext w:val="0"/>
        <w:keepLines w:val="0"/>
        <w:pageBreakBefore w:val="0"/>
        <w:widowControl/>
        <w:numPr>
          <w:ilvl w:val="0"/>
          <w:numId w:val="7"/>
        </w:numPr>
        <w:kinsoku/>
        <w:wordWrap/>
        <w:overflowPunct/>
        <w:topLinePunct w:val="0"/>
        <w:autoSpaceDE/>
        <w:autoSpaceDN/>
        <w:bidi w:val="0"/>
        <w:adjustRightInd/>
        <w:snapToGrid/>
        <w:ind w:left="0" w:leftChars="0" w:firstLine="420" w:firstLineChars="200"/>
        <w:textAlignment w:val="auto"/>
      </w:pPr>
      <w:r>
        <w:rPr>
          <w:rFonts w:hint="eastAsia"/>
        </w:rPr>
        <w:t>图4金属注射成型试样A2型：按标准模腔成型，烧结后钻孔，适用于MIM工艺小尺寸试样</w:t>
      </w:r>
      <w:r>
        <w:rPr>
          <w:rFonts w:hint="eastAsia"/>
          <w:lang w:eastAsia="zh-CN"/>
        </w:rPr>
        <w:t>，</w:t>
      </w:r>
      <w:r>
        <w:rPr>
          <w:rFonts w:hint="eastAsia"/>
          <w:lang w:val="en-US" w:eastAsia="zh-CN"/>
        </w:rPr>
        <w:t>材质选用316L。</w:t>
      </w:r>
    </w:p>
    <w:p w14:paraId="7502F1C0">
      <w:pPr>
        <w:keepNext w:val="0"/>
        <w:keepLines w:val="0"/>
        <w:pageBreakBefore w:val="0"/>
        <w:widowControl/>
        <w:numPr>
          <w:ilvl w:val="0"/>
          <w:numId w:val="7"/>
        </w:numPr>
        <w:kinsoku/>
        <w:wordWrap/>
        <w:overflowPunct/>
        <w:topLinePunct w:val="0"/>
        <w:autoSpaceDE/>
        <w:autoSpaceDN/>
        <w:bidi w:val="0"/>
        <w:adjustRightInd/>
        <w:snapToGrid/>
        <w:ind w:left="0" w:leftChars="0" w:firstLine="420" w:firstLineChars="200"/>
        <w:textAlignment w:val="auto"/>
      </w:pPr>
      <w:r>
        <w:rPr>
          <w:rFonts w:hint="eastAsia"/>
        </w:rPr>
        <w:t>图6机械加工试样：标距25mm，标距锥度0.1mm，凸肩内侧半径2.0mm，适用于机加工与热处理材料</w:t>
      </w:r>
      <w:r>
        <w:rPr>
          <w:rFonts w:hint="eastAsia"/>
          <w:lang w:eastAsia="zh-CN"/>
        </w:rPr>
        <w:t>，</w:t>
      </w:r>
      <w:r>
        <w:rPr>
          <w:rFonts w:hint="eastAsia"/>
          <w:lang w:val="en-US" w:eastAsia="zh-CN"/>
        </w:rPr>
        <w:t>材质选用45#钢。</w:t>
      </w:r>
    </w:p>
    <w:p w14:paraId="2EF6AF85">
      <w:pPr>
        <w:ind w:firstLine="420" w:firstLineChars="200"/>
      </w:pPr>
      <w:r>
        <w:rPr>
          <w:rFonts w:hint="eastAsia"/>
        </w:rPr>
        <w:t>4）有效性判定：试样断裂位置位于标距范围内为有效数据；断裂在标距外、夹持端或发生滑脱均判定无效。</w:t>
      </w:r>
    </w:p>
    <w:p w14:paraId="48B852EA">
      <w:pPr>
        <w:ind w:firstLine="420" w:firstLineChars="200"/>
      </w:pPr>
      <w:r>
        <w:rPr>
          <w:rFonts w:hint="eastAsia"/>
        </w:rPr>
        <w:t>5）数据处理：计算平均值、标准差，开展重复性、再现性分析；因中南大学拉伸速率为1mm/min，与统一试验速率1.5mm/min不符，其图6试样断后伸长率数据不纳入统计。</w:t>
      </w:r>
    </w:p>
    <w:p w14:paraId="7430636A">
      <w:pPr>
        <w:pStyle w:val="3"/>
        <w:spacing w:before="156" w:after="156"/>
        <w:rPr>
          <w:rFonts w:hint="eastAsia"/>
        </w:rPr>
      </w:pPr>
      <w:r>
        <w:rPr>
          <w:rFonts w:hint="eastAsia"/>
        </w:rPr>
        <w:t>试验条件</w:t>
      </w:r>
    </w:p>
    <w:p w14:paraId="7F62DB5B">
      <w:pPr>
        <w:ind w:firstLine="420" w:firstLineChars="200"/>
      </w:pPr>
      <w:r>
        <w:rPr>
          <w:rFonts w:hint="eastAsia"/>
        </w:rPr>
        <w:t>1）测试设备：各单位拉伸试验机均按ISO 7500-1校准至1级（在校准有效期内），配备精度0.01mm的千分尺、与试样匹配的可拆分夹头；</w:t>
      </w:r>
    </w:p>
    <w:p w14:paraId="0E862A06">
      <w:pPr>
        <w:ind w:firstLine="420" w:firstLineChars="200"/>
        <w:rPr>
          <w:rFonts w:hint="eastAsia" w:eastAsia="宋体"/>
          <w:lang w:eastAsia="zh-CN"/>
        </w:rPr>
      </w:pPr>
      <w:r>
        <w:rPr>
          <w:rFonts w:hint="eastAsia"/>
        </w:rPr>
        <w:t>2）试样参数：室温，拉伸速度统一采用1.5mm/min</w:t>
      </w:r>
      <w:r>
        <w:rPr>
          <w:rFonts w:hint="eastAsia"/>
          <w:lang w:eastAsia="zh-CN"/>
        </w:rPr>
        <w:t>。</w:t>
      </w:r>
    </w:p>
    <w:p w14:paraId="4C06D450">
      <w:pPr>
        <w:ind w:firstLine="420" w:firstLineChars="200"/>
      </w:pPr>
      <w:r>
        <w:rPr>
          <w:rFonts w:hint="eastAsia"/>
        </w:rPr>
        <w:t>3）试样状态：所有试样均按标准规定工艺制备，尺寸偏差在标准允许范围内，表面无明显缺陷、毛刺与环向划痕。</w:t>
      </w:r>
    </w:p>
    <w:p w14:paraId="3D0BDA61">
      <w:pPr>
        <w:pStyle w:val="3"/>
        <w:spacing w:before="156" w:after="156"/>
        <w:rPr>
          <w:rFonts w:hint="eastAsia"/>
        </w:rPr>
      </w:pPr>
      <w:r>
        <w:rPr>
          <w:rFonts w:hint="eastAsia"/>
          <w:lang w:val="en-US" w:eastAsia="zh-CN"/>
        </w:rPr>
        <w:t>试验验证分析</w:t>
      </w:r>
    </w:p>
    <w:p w14:paraId="1DB546B9">
      <w:pPr>
        <w:pStyle w:val="4"/>
        <w:spacing w:before="156" w:after="156"/>
        <w:rPr>
          <w:rFonts w:hint="default"/>
          <w:lang w:val="en-US" w:eastAsia="zh-CN"/>
        </w:rPr>
      </w:pPr>
      <w:r>
        <w:rPr>
          <w:rFonts w:hint="eastAsia"/>
          <w:lang w:val="en-US" w:eastAsia="zh-CN"/>
        </w:rPr>
        <w:t>压制-烧结试样</w:t>
      </w:r>
    </w:p>
    <w:p w14:paraId="0AC58280">
      <w:pPr>
        <w:ind w:firstLine="420" w:firstLineChars="200"/>
        <w:rPr>
          <w:rFonts w:hint="eastAsia"/>
          <w:lang w:val="en-US" w:eastAsia="zh-CN"/>
        </w:rPr>
      </w:pPr>
      <w:r>
        <w:rPr>
          <w:rFonts w:hint="eastAsia"/>
        </w:rPr>
        <w:t>该试样为高强度低塑性材料，屈服平台不明显，塑性指标测量误差大，仅采集抗拉强度，不采集屈服强度及断后伸长率。</w:t>
      </w:r>
      <w:r>
        <w:rPr>
          <w:rFonts w:hint="eastAsia"/>
          <w:lang w:val="en-US" w:eastAsia="zh-CN"/>
        </w:rPr>
        <w:t>有7家单位参与验证，结果如下：</w:t>
      </w:r>
    </w:p>
    <w:p w14:paraId="194623B0">
      <w:pPr>
        <w:pStyle w:val="11"/>
        <w:spacing w:before="156" w:after="156"/>
        <w:rPr>
          <w:rFonts w:hint="eastAsia"/>
          <w:lang w:val="en-US" w:eastAsia="zh-CN"/>
        </w:rPr>
      </w:pPr>
      <w:r>
        <w:rPr>
          <w:rFonts w:hint="eastAsia"/>
        </w:rPr>
        <w:t xml:space="preserve">表2  </w:t>
      </w:r>
      <w:r>
        <w:rPr>
          <w:rFonts w:hint="eastAsia"/>
          <w:lang w:val="en-US" w:eastAsia="zh-CN"/>
        </w:rPr>
        <w:t>压制-烧结试样</w:t>
      </w:r>
      <w:r>
        <w:rPr>
          <w:rFonts w:hint="eastAsia"/>
        </w:rPr>
        <w:t>试验数据</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2001"/>
        <w:gridCol w:w="1231"/>
        <w:gridCol w:w="1232"/>
        <w:gridCol w:w="1232"/>
        <w:gridCol w:w="1232"/>
        <w:gridCol w:w="1232"/>
      </w:tblGrid>
      <w:tr w14:paraId="15CF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14:paraId="67FDA796">
            <w:pPr>
              <w:jc w:val="center"/>
              <w:rPr>
                <w:rFonts w:hint="default"/>
                <w:vertAlign w:val="baseline"/>
                <w:lang w:val="en-US" w:eastAsia="zh-CN"/>
              </w:rPr>
            </w:pPr>
            <w:r>
              <w:rPr>
                <w:rFonts w:hint="eastAsia"/>
                <w:lang w:val="en-US" w:eastAsia="zh-CN"/>
              </w:rPr>
              <w:t>测试单位</w:t>
            </w:r>
          </w:p>
        </w:tc>
        <w:tc>
          <w:tcPr>
            <w:tcW w:w="2001" w:type="dxa"/>
            <w:vAlign w:val="center"/>
          </w:tcPr>
          <w:p w14:paraId="217A9EF1">
            <w:pPr>
              <w:jc w:val="center"/>
              <w:rPr>
                <w:rFonts w:hint="default"/>
                <w:vertAlign w:val="baseline"/>
                <w:lang w:val="en-US" w:eastAsia="zh-CN"/>
              </w:rPr>
            </w:pPr>
            <w:r>
              <w:rPr>
                <w:rFonts w:hint="eastAsia"/>
              </w:rPr>
              <w:t>试样编号</w:t>
            </w:r>
          </w:p>
        </w:tc>
        <w:tc>
          <w:tcPr>
            <w:tcW w:w="1231" w:type="dxa"/>
            <w:vAlign w:val="center"/>
          </w:tcPr>
          <w:p w14:paraId="68DDD5B1">
            <w:pPr>
              <w:jc w:val="center"/>
              <w:rPr>
                <w:rFonts w:hint="default"/>
                <w:vertAlign w:val="baseline"/>
                <w:lang w:val="en-US" w:eastAsia="zh-CN"/>
              </w:rPr>
            </w:pPr>
            <w:r>
              <w:rPr>
                <w:rFonts w:hint="eastAsia"/>
              </w:rPr>
              <w:t>标距（mm）</w:t>
            </w:r>
          </w:p>
        </w:tc>
        <w:tc>
          <w:tcPr>
            <w:tcW w:w="1232" w:type="dxa"/>
            <w:vAlign w:val="center"/>
          </w:tcPr>
          <w:p w14:paraId="39BD3B54">
            <w:pPr>
              <w:jc w:val="center"/>
              <w:rPr>
                <w:rFonts w:hint="default"/>
                <w:vertAlign w:val="baseline"/>
                <w:lang w:val="en-US" w:eastAsia="zh-CN"/>
              </w:rPr>
            </w:pPr>
            <w:r>
              <w:rPr>
                <w:rFonts w:hint="eastAsia"/>
              </w:rPr>
              <w:t>试样实际厚度（mm）</w:t>
            </w:r>
          </w:p>
        </w:tc>
        <w:tc>
          <w:tcPr>
            <w:tcW w:w="1232" w:type="dxa"/>
            <w:vAlign w:val="center"/>
          </w:tcPr>
          <w:p w14:paraId="02FA10B3">
            <w:pPr>
              <w:jc w:val="center"/>
              <w:rPr>
                <w:rFonts w:hint="default"/>
                <w:vertAlign w:val="baseline"/>
                <w:lang w:val="en-US" w:eastAsia="zh-CN"/>
              </w:rPr>
            </w:pPr>
            <w:r>
              <w:rPr>
                <w:rFonts w:hint="eastAsia"/>
              </w:rPr>
              <w:t>最大拉力（KN）</w:t>
            </w:r>
          </w:p>
        </w:tc>
        <w:tc>
          <w:tcPr>
            <w:tcW w:w="1232" w:type="dxa"/>
            <w:vAlign w:val="center"/>
          </w:tcPr>
          <w:p w14:paraId="0EB8380A">
            <w:pPr>
              <w:jc w:val="center"/>
              <w:rPr>
                <w:rFonts w:hint="default"/>
                <w:vertAlign w:val="baseline"/>
                <w:lang w:val="en-US" w:eastAsia="zh-CN"/>
              </w:rPr>
            </w:pPr>
            <w:r>
              <w:rPr>
                <w:rFonts w:hint="eastAsia"/>
              </w:rPr>
              <w:t>抗拉强度（MPa）</w:t>
            </w:r>
          </w:p>
        </w:tc>
        <w:tc>
          <w:tcPr>
            <w:tcW w:w="1232" w:type="dxa"/>
            <w:vAlign w:val="center"/>
          </w:tcPr>
          <w:p w14:paraId="49CECF81">
            <w:pPr>
              <w:jc w:val="center"/>
              <w:rPr>
                <w:rFonts w:hint="default"/>
                <w:vertAlign w:val="baseline"/>
                <w:lang w:val="en-US" w:eastAsia="zh-CN"/>
              </w:rPr>
            </w:pPr>
            <w:r>
              <w:rPr>
                <w:rFonts w:hint="default"/>
                <w:vertAlign w:val="baseline"/>
                <w:lang w:val="en-US" w:eastAsia="zh-CN"/>
              </w:rPr>
              <w:t>断裂位置</w:t>
            </w:r>
          </w:p>
        </w:tc>
      </w:tr>
      <w:tr w14:paraId="3FA9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vAlign w:val="center"/>
          </w:tcPr>
          <w:p w14:paraId="4B7A2C53">
            <w:pPr>
              <w:jc w:val="center"/>
              <w:rPr>
                <w:rFonts w:hint="default"/>
                <w:vertAlign w:val="baseline"/>
                <w:lang w:val="en-US" w:eastAsia="zh-CN"/>
              </w:rPr>
            </w:pPr>
            <w:r>
              <w:rPr>
                <w:rFonts w:hint="eastAsia"/>
                <w:lang w:val="en-US" w:eastAsia="zh-CN"/>
              </w:rPr>
              <w:t>国标（北京）</w:t>
            </w:r>
          </w:p>
        </w:tc>
        <w:tc>
          <w:tcPr>
            <w:tcW w:w="2001" w:type="dxa"/>
            <w:vAlign w:val="center"/>
          </w:tcPr>
          <w:p w14:paraId="3044822B">
            <w:pPr>
              <w:jc w:val="center"/>
              <w:rPr>
                <w:rFonts w:hint="default"/>
                <w:vertAlign w:val="baseline"/>
                <w:lang w:val="en-US" w:eastAsia="zh-CN"/>
              </w:rPr>
            </w:pPr>
            <w:r>
              <w:rPr>
                <w:rFonts w:hint="default"/>
                <w:vertAlign w:val="baseline"/>
                <w:lang w:val="en-US" w:eastAsia="zh-CN"/>
              </w:rPr>
              <w:t>GB7963-M3-GJ-01</w:t>
            </w:r>
          </w:p>
        </w:tc>
        <w:tc>
          <w:tcPr>
            <w:tcW w:w="1231" w:type="dxa"/>
            <w:vAlign w:val="center"/>
          </w:tcPr>
          <w:p w14:paraId="0632ED2D">
            <w:pPr>
              <w:jc w:val="center"/>
              <w:rPr>
                <w:rFonts w:hint="default"/>
                <w:vertAlign w:val="baseline"/>
                <w:lang w:val="en-US" w:eastAsia="zh-CN"/>
              </w:rPr>
            </w:pPr>
            <w:r>
              <w:rPr>
                <w:rFonts w:hint="eastAsia"/>
                <w:vertAlign w:val="baseline"/>
                <w:lang w:val="en-US" w:eastAsia="zh-CN"/>
              </w:rPr>
              <w:t>25.0</w:t>
            </w:r>
          </w:p>
        </w:tc>
        <w:tc>
          <w:tcPr>
            <w:tcW w:w="1232" w:type="dxa"/>
            <w:vAlign w:val="center"/>
          </w:tcPr>
          <w:p w14:paraId="2F1F8EEE">
            <w:pPr>
              <w:jc w:val="center"/>
              <w:rPr>
                <w:rFonts w:hint="default"/>
                <w:vertAlign w:val="baseline"/>
                <w:lang w:val="en-US" w:eastAsia="zh-CN"/>
              </w:rPr>
            </w:pPr>
            <w:r>
              <w:rPr>
                <w:rFonts w:hint="default"/>
                <w:vertAlign w:val="baseline"/>
                <w:lang w:val="en-US" w:eastAsia="zh-CN"/>
              </w:rPr>
              <w:t>6.01</w:t>
            </w:r>
          </w:p>
        </w:tc>
        <w:tc>
          <w:tcPr>
            <w:tcW w:w="1232" w:type="dxa"/>
            <w:vAlign w:val="center"/>
          </w:tcPr>
          <w:p w14:paraId="54C7367B">
            <w:pPr>
              <w:jc w:val="center"/>
              <w:rPr>
                <w:rFonts w:hint="default"/>
                <w:vertAlign w:val="baseline"/>
                <w:lang w:val="en-US" w:eastAsia="zh-CN"/>
              </w:rPr>
            </w:pPr>
            <w:r>
              <w:rPr>
                <w:rFonts w:hint="eastAsia"/>
                <w:vertAlign w:val="baseline"/>
                <w:lang w:val="en-US" w:eastAsia="zh-CN"/>
              </w:rPr>
              <w:t>22.2</w:t>
            </w:r>
          </w:p>
        </w:tc>
        <w:tc>
          <w:tcPr>
            <w:tcW w:w="1232" w:type="dxa"/>
            <w:vAlign w:val="center"/>
          </w:tcPr>
          <w:p w14:paraId="7C56A733">
            <w:pPr>
              <w:jc w:val="center"/>
              <w:rPr>
                <w:rFonts w:hint="default"/>
                <w:vertAlign w:val="baseline"/>
                <w:lang w:val="en-US" w:eastAsia="zh-CN"/>
              </w:rPr>
            </w:pPr>
            <w:r>
              <w:rPr>
                <w:rFonts w:hint="eastAsia"/>
                <w:vertAlign w:val="baseline"/>
                <w:lang w:val="en-US" w:eastAsia="zh-CN"/>
              </w:rPr>
              <w:t>760</w:t>
            </w:r>
          </w:p>
        </w:tc>
        <w:tc>
          <w:tcPr>
            <w:tcW w:w="1232" w:type="dxa"/>
            <w:vAlign w:val="center"/>
          </w:tcPr>
          <w:p w14:paraId="4B76990E">
            <w:pPr>
              <w:jc w:val="center"/>
              <w:rPr>
                <w:rFonts w:hint="default"/>
                <w:vertAlign w:val="baseline"/>
                <w:lang w:val="en-US" w:eastAsia="zh-CN"/>
              </w:rPr>
            </w:pPr>
            <w:r>
              <w:t>标距内</w:t>
            </w:r>
          </w:p>
        </w:tc>
      </w:tr>
      <w:tr w14:paraId="28F1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14:paraId="24BFD884">
            <w:pPr>
              <w:jc w:val="center"/>
              <w:rPr>
                <w:rFonts w:hint="default"/>
                <w:vertAlign w:val="baseline"/>
                <w:lang w:val="en-US" w:eastAsia="zh-CN"/>
              </w:rPr>
            </w:pPr>
          </w:p>
        </w:tc>
        <w:tc>
          <w:tcPr>
            <w:tcW w:w="2001" w:type="dxa"/>
            <w:vAlign w:val="center"/>
          </w:tcPr>
          <w:p w14:paraId="1C0AB082">
            <w:pPr>
              <w:jc w:val="center"/>
              <w:rPr>
                <w:rFonts w:hint="default"/>
                <w:vertAlign w:val="baseline"/>
                <w:lang w:val="en-US" w:eastAsia="zh-CN"/>
              </w:rPr>
            </w:pPr>
            <w:r>
              <w:rPr>
                <w:rFonts w:hint="default"/>
                <w:vertAlign w:val="baseline"/>
                <w:lang w:val="en-US" w:eastAsia="zh-CN"/>
              </w:rPr>
              <w:t>GB7963-M3-GJ-0</w:t>
            </w:r>
            <w:r>
              <w:rPr>
                <w:rFonts w:hint="eastAsia"/>
                <w:vertAlign w:val="baseline"/>
                <w:lang w:val="en-US" w:eastAsia="zh-CN"/>
              </w:rPr>
              <w:t>2</w:t>
            </w:r>
          </w:p>
        </w:tc>
        <w:tc>
          <w:tcPr>
            <w:tcW w:w="1231" w:type="dxa"/>
            <w:vAlign w:val="center"/>
          </w:tcPr>
          <w:p w14:paraId="4DE7DD1D">
            <w:pPr>
              <w:jc w:val="center"/>
              <w:rPr>
                <w:rFonts w:hint="default"/>
                <w:vertAlign w:val="baseline"/>
                <w:lang w:val="en-US" w:eastAsia="zh-CN"/>
              </w:rPr>
            </w:pPr>
            <w:r>
              <w:rPr>
                <w:rFonts w:hint="eastAsia"/>
                <w:vertAlign w:val="baseline"/>
                <w:lang w:val="en-US" w:eastAsia="zh-CN"/>
              </w:rPr>
              <w:t>25.0</w:t>
            </w:r>
          </w:p>
        </w:tc>
        <w:tc>
          <w:tcPr>
            <w:tcW w:w="1232" w:type="dxa"/>
            <w:vAlign w:val="center"/>
          </w:tcPr>
          <w:p w14:paraId="1BC48C42">
            <w:pPr>
              <w:jc w:val="center"/>
              <w:rPr>
                <w:rFonts w:hint="default"/>
                <w:vertAlign w:val="baseline"/>
                <w:lang w:val="en-US" w:eastAsia="zh-CN"/>
              </w:rPr>
            </w:pPr>
            <w:r>
              <w:rPr>
                <w:rFonts w:hint="eastAsia"/>
                <w:vertAlign w:val="baseline"/>
                <w:lang w:val="en-US" w:eastAsia="zh-CN"/>
              </w:rPr>
              <w:t>5.96</w:t>
            </w:r>
          </w:p>
        </w:tc>
        <w:tc>
          <w:tcPr>
            <w:tcW w:w="1232" w:type="dxa"/>
            <w:vAlign w:val="center"/>
          </w:tcPr>
          <w:p w14:paraId="149FC26E">
            <w:pPr>
              <w:jc w:val="center"/>
              <w:rPr>
                <w:rFonts w:hint="default"/>
                <w:vertAlign w:val="baseline"/>
                <w:lang w:val="en-US" w:eastAsia="zh-CN"/>
              </w:rPr>
            </w:pPr>
            <w:r>
              <w:rPr>
                <w:rFonts w:hint="eastAsia"/>
                <w:vertAlign w:val="baseline"/>
                <w:lang w:val="en-US" w:eastAsia="zh-CN"/>
              </w:rPr>
              <w:t>23.1</w:t>
            </w:r>
          </w:p>
        </w:tc>
        <w:tc>
          <w:tcPr>
            <w:tcW w:w="1232" w:type="dxa"/>
            <w:vAlign w:val="center"/>
          </w:tcPr>
          <w:p w14:paraId="2659459D">
            <w:pPr>
              <w:jc w:val="center"/>
              <w:rPr>
                <w:rFonts w:hint="default"/>
                <w:vertAlign w:val="baseline"/>
                <w:lang w:val="en-US" w:eastAsia="zh-CN"/>
              </w:rPr>
            </w:pPr>
            <w:r>
              <w:rPr>
                <w:rFonts w:hint="eastAsia"/>
                <w:vertAlign w:val="baseline"/>
                <w:lang w:val="en-US" w:eastAsia="zh-CN"/>
              </w:rPr>
              <w:t>804</w:t>
            </w:r>
          </w:p>
        </w:tc>
        <w:tc>
          <w:tcPr>
            <w:tcW w:w="1232" w:type="dxa"/>
            <w:vAlign w:val="center"/>
          </w:tcPr>
          <w:p w14:paraId="5114C10C">
            <w:pPr>
              <w:jc w:val="center"/>
              <w:rPr>
                <w:rFonts w:hint="default"/>
                <w:vertAlign w:val="baseline"/>
                <w:lang w:val="en-US" w:eastAsia="zh-CN"/>
              </w:rPr>
            </w:pPr>
            <w:r>
              <w:t>标距内</w:t>
            </w:r>
          </w:p>
        </w:tc>
      </w:tr>
      <w:tr w14:paraId="133F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14:paraId="14F692A9">
            <w:pPr>
              <w:jc w:val="center"/>
              <w:rPr>
                <w:rFonts w:hint="default"/>
                <w:vertAlign w:val="baseline"/>
                <w:lang w:val="en-US" w:eastAsia="zh-CN"/>
              </w:rPr>
            </w:pPr>
          </w:p>
        </w:tc>
        <w:tc>
          <w:tcPr>
            <w:tcW w:w="2001" w:type="dxa"/>
            <w:vAlign w:val="center"/>
          </w:tcPr>
          <w:p w14:paraId="48EE1EE9">
            <w:pPr>
              <w:jc w:val="center"/>
              <w:rPr>
                <w:rFonts w:hint="default"/>
                <w:vertAlign w:val="baseline"/>
                <w:lang w:val="en-US" w:eastAsia="zh-CN"/>
              </w:rPr>
            </w:pPr>
            <w:r>
              <w:rPr>
                <w:rFonts w:hint="default"/>
                <w:vertAlign w:val="baseline"/>
                <w:lang w:val="en-US" w:eastAsia="zh-CN"/>
              </w:rPr>
              <w:t>GB7963-M3-GJ-03</w:t>
            </w:r>
          </w:p>
        </w:tc>
        <w:tc>
          <w:tcPr>
            <w:tcW w:w="1231" w:type="dxa"/>
            <w:vAlign w:val="center"/>
          </w:tcPr>
          <w:p w14:paraId="6A2C8A35">
            <w:pPr>
              <w:jc w:val="center"/>
              <w:rPr>
                <w:rFonts w:hint="default"/>
                <w:vertAlign w:val="baseline"/>
                <w:lang w:val="en-US" w:eastAsia="zh-CN"/>
              </w:rPr>
            </w:pPr>
            <w:r>
              <w:rPr>
                <w:rFonts w:hint="eastAsia"/>
                <w:vertAlign w:val="baseline"/>
                <w:lang w:val="en-US" w:eastAsia="zh-CN"/>
              </w:rPr>
              <w:t>25.0</w:t>
            </w:r>
          </w:p>
        </w:tc>
        <w:tc>
          <w:tcPr>
            <w:tcW w:w="1232" w:type="dxa"/>
            <w:vAlign w:val="center"/>
          </w:tcPr>
          <w:p w14:paraId="2CFBD880">
            <w:pPr>
              <w:jc w:val="center"/>
              <w:rPr>
                <w:rFonts w:hint="default"/>
                <w:vertAlign w:val="baseline"/>
                <w:lang w:val="en-US" w:eastAsia="zh-CN"/>
              </w:rPr>
            </w:pPr>
            <w:r>
              <w:rPr>
                <w:rFonts w:hint="eastAsia"/>
                <w:vertAlign w:val="baseline"/>
                <w:lang w:val="en-US" w:eastAsia="zh-CN"/>
              </w:rPr>
              <w:t>5.94</w:t>
            </w:r>
          </w:p>
        </w:tc>
        <w:tc>
          <w:tcPr>
            <w:tcW w:w="1232" w:type="dxa"/>
            <w:vAlign w:val="center"/>
          </w:tcPr>
          <w:p w14:paraId="7326E253">
            <w:pPr>
              <w:jc w:val="center"/>
              <w:rPr>
                <w:rFonts w:hint="default"/>
                <w:vertAlign w:val="baseline"/>
                <w:lang w:val="en-US" w:eastAsia="zh-CN"/>
              </w:rPr>
            </w:pPr>
            <w:r>
              <w:rPr>
                <w:rFonts w:hint="eastAsia"/>
                <w:vertAlign w:val="baseline"/>
                <w:lang w:val="en-US" w:eastAsia="zh-CN"/>
              </w:rPr>
              <w:t>21.7</w:t>
            </w:r>
          </w:p>
        </w:tc>
        <w:tc>
          <w:tcPr>
            <w:tcW w:w="1232" w:type="dxa"/>
            <w:vAlign w:val="center"/>
          </w:tcPr>
          <w:p w14:paraId="2F5CE869">
            <w:pPr>
              <w:jc w:val="center"/>
              <w:rPr>
                <w:rFonts w:hint="default"/>
                <w:vertAlign w:val="baseline"/>
                <w:lang w:val="en-US" w:eastAsia="zh-CN"/>
              </w:rPr>
            </w:pPr>
            <w:r>
              <w:rPr>
                <w:rFonts w:hint="eastAsia"/>
                <w:vertAlign w:val="baseline"/>
                <w:lang w:val="en-US" w:eastAsia="zh-CN"/>
              </w:rPr>
              <w:t>757</w:t>
            </w:r>
          </w:p>
        </w:tc>
        <w:tc>
          <w:tcPr>
            <w:tcW w:w="1232" w:type="dxa"/>
            <w:vAlign w:val="center"/>
          </w:tcPr>
          <w:p w14:paraId="1E61E284">
            <w:pPr>
              <w:jc w:val="center"/>
              <w:rPr>
                <w:rFonts w:hint="default"/>
                <w:vertAlign w:val="baseline"/>
                <w:lang w:val="en-US" w:eastAsia="zh-CN"/>
              </w:rPr>
            </w:pPr>
            <w:r>
              <w:t>标距内</w:t>
            </w:r>
          </w:p>
        </w:tc>
      </w:tr>
      <w:tr w14:paraId="7202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vAlign w:val="center"/>
          </w:tcPr>
          <w:p w14:paraId="687BFBBF">
            <w:pPr>
              <w:jc w:val="center"/>
              <w:rPr>
                <w:rFonts w:hint="default"/>
                <w:vertAlign w:val="baseline"/>
                <w:lang w:val="en-US" w:eastAsia="zh-CN"/>
              </w:rPr>
            </w:pPr>
            <w:r>
              <w:rPr>
                <w:rFonts w:hint="default"/>
                <w:vertAlign w:val="baseline"/>
                <w:lang w:val="en-US" w:eastAsia="zh-CN"/>
              </w:rPr>
              <w:t>宁夏东方钽业</w:t>
            </w:r>
          </w:p>
        </w:tc>
        <w:tc>
          <w:tcPr>
            <w:tcW w:w="2001" w:type="dxa"/>
            <w:vAlign w:val="center"/>
          </w:tcPr>
          <w:p w14:paraId="6B1D9A0A">
            <w:pPr>
              <w:jc w:val="center"/>
              <w:rPr>
                <w:rFonts w:hint="default"/>
                <w:vertAlign w:val="baseline"/>
                <w:lang w:val="en-US" w:eastAsia="zh-CN"/>
              </w:rPr>
            </w:pPr>
            <w:r>
              <w:rPr>
                <w:rFonts w:hint="default"/>
                <w:vertAlign w:val="baseline"/>
                <w:lang w:val="en-US" w:eastAsia="zh-CN"/>
              </w:rPr>
              <w:t>GB7963-M3-DF-0</w:t>
            </w:r>
            <w:r>
              <w:rPr>
                <w:rFonts w:hint="eastAsia"/>
                <w:vertAlign w:val="baseline"/>
                <w:lang w:val="en-US" w:eastAsia="zh-CN"/>
              </w:rPr>
              <w:t>1</w:t>
            </w:r>
          </w:p>
        </w:tc>
        <w:tc>
          <w:tcPr>
            <w:tcW w:w="1231" w:type="dxa"/>
            <w:vAlign w:val="center"/>
          </w:tcPr>
          <w:p w14:paraId="064ED946">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7CF65DBC">
            <w:pPr>
              <w:jc w:val="center"/>
              <w:rPr>
                <w:rFonts w:hint="default"/>
                <w:vertAlign w:val="baseline"/>
                <w:lang w:val="en-US" w:eastAsia="zh-CN"/>
              </w:rPr>
            </w:pPr>
            <w:r>
              <w:rPr>
                <w:rFonts w:hint="eastAsia"/>
                <w:vertAlign w:val="baseline"/>
                <w:lang w:val="en-US" w:eastAsia="zh-CN"/>
              </w:rPr>
              <w:t>5.85</w:t>
            </w:r>
          </w:p>
        </w:tc>
        <w:tc>
          <w:tcPr>
            <w:tcW w:w="1232" w:type="dxa"/>
            <w:vAlign w:val="center"/>
          </w:tcPr>
          <w:p w14:paraId="44D45CF6">
            <w:pPr>
              <w:jc w:val="center"/>
              <w:rPr>
                <w:rFonts w:hint="default"/>
                <w:vertAlign w:val="baseline"/>
                <w:lang w:val="en-US" w:eastAsia="zh-CN"/>
              </w:rPr>
            </w:pPr>
            <w:r>
              <w:rPr>
                <w:rFonts w:hint="eastAsia"/>
                <w:vertAlign w:val="baseline"/>
                <w:lang w:val="en-US" w:eastAsia="zh-CN"/>
              </w:rPr>
              <w:t>23.3</w:t>
            </w:r>
          </w:p>
        </w:tc>
        <w:tc>
          <w:tcPr>
            <w:tcW w:w="1232" w:type="dxa"/>
            <w:vAlign w:val="center"/>
          </w:tcPr>
          <w:p w14:paraId="68CE994B">
            <w:pPr>
              <w:jc w:val="center"/>
              <w:rPr>
                <w:rFonts w:hint="default"/>
                <w:vertAlign w:val="baseline"/>
                <w:lang w:val="en-US" w:eastAsia="zh-CN"/>
              </w:rPr>
            </w:pPr>
            <w:r>
              <w:rPr>
                <w:rFonts w:hint="eastAsia"/>
                <w:vertAlign w:val="baseline"/>
                <w:lang w:val="en-US" w:eastAsia="zh-CN"/>
              </w:rPr>
              <w:t>834</w:t>
            </w:r>
          </w:p>
        </w:tc>
        <w:tc>
          <w:tcPr>
            <w:tcW w:w="1232" w:type="dxa"/>
            <w:vAlign w:val="center"/>
          </w:tcPr>
          <w:p w14:paraId="1D93FC7A">
            <w:pPr>
              <w:jc w:val="center"/>
            </w:pPr>
            <w:r>
              <w:t>标距内</w:t>
            </w:r>
          </w:p>
        </w:tc>
      </w:tr>
      <w:tr w14:paraId="5758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14:paraId="2F0E44A1">
            <w:pPr>
              <w:jc w:val="center"/>
              <w:rPr>
                <w:rFonts w:hint="default"/>
                <w:vertAlign w:val="baseline"/>
                <w:lang w:val="en-US" w:eastAsia="zh-CN"/>
              </w:rPr>
            </w:pPr>
          </w:p>
        </w:tc>
        <w:tc>
          <w:tcPr>
            <w:tcW w:w="2001" w:type="dxa"/>
            <w:vAlign w:val="center"/>
          </w:tcPr>
          <w:p w14:paraId="29A65FA7">
            <w:pPr>
              <w:jc w:val="center"/>
              <w:rPr>
                <w:rFonts w:hint="default"/>
                <w:vertAlign w:val="baseline"/>
                <w:lang w:val="en-US" w:eastAsia="zh-CN"/>
              </w:rPr>
            </w:pPr>
            <w:r>
              <w:rPr>
                <w:rFonts w:hint="default"/>
                <w:vertAlign w:val="baseline"/>
                <w:lang w:val="en-US" w:eastAsia="zh-CN"/>
              </w:rPr>
              <w:t>GB7963-M3-DF-02</w:t>
            </w:r>
          </w:p>
        </w:tc>
        <w:tc>
          <w:tcPr>
            <w:tcW w:w="1231" w:type="dxa"/>
            <w:vAlign w:val="center"/>
          </w:tcPr>
          <w:p w14:paraId="36293563">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2D0C64E8">
            <w:pPr>
              <w:jc w:val="center"/>
              <w:rPr>
                <w:rFonts w:hint="default"/>
                <w:vertAlign w:val="baseline"/>
                <w:lang w:val="en-US" w:eastAsia="zh-CN"/>
              </w:rPr>
            </w:pPr>
            <w:r>
              <w:rPr>
                <w:rFonts w:hint="eastAsia"/>
                <w:vertAlign w:val="baseline"/>
                <w:lang w:val="en-US" w:eastAsia="zh-CN"/>
              </w:rPr>
              <w:t>5.93</w:t>
            </w:r>
          </w:p>
        </w:tc>
        <w:tc>
          <w:tcPr>
            <w:tcW w:w="1232" w:type="dxa"/>
            <w:vAlign w:val="center"/>
          </w:tcPr>
          <w:p w14:paraId="276499A2">
            <w:pPr>
              <w:jc w:val="center"/>
              <w:rPr>
                <w:rFonts w:hint="default"/>
                <w:vertAlign w:val="baseline"/>
                <w:lang w:val="en-US" w:eastAsia="zh-CN"/>
              </w:rPr>
            </w:pPr>
            <w:r>
              <w:rPr>
                <w:rFonts w:hint="eastAsia"/>
                <w:vertAlign w:val="baseline"/>
                <w:lang w:val="en-US" w:eastAsia="zh-CN"/>
              </w:rPr>
              <w:t>22.5</w:t>
            </w:r>
          </w:p>
        </w:tc>
        <w:tc>
          <w:tcPr>
            <w:tcW w:w="1232" w:type="dxa"/>
            <w:vAlign w:val="center"/>
          </w:tcPr>
          <w:p w14:paraId="4018A6BF">
            <w:pPr>
              <w:jc w:val="center"/>
              <w:rPr>
                <w:rFonts w:hint="default"/>
                <w:vertAlign w:val="baseline"/>
                <w:lang w:val="en-US" w:eastAsia="zh-CN"/>
              </w:rPr>
            </w:pPr>
            <w:r>
              <w:rPr>
                <w:rFonts w:hint="eastAsia"/>
                <w:vertAlign w:val="baseline"/>
                <w:lang w:val="en-US" w:eastAsia="zh-CN"/>
              </w:rPr>
              <w:t>799</w:t>
            </w:r>
          </w:p>
        </w:tc>
        <w:tc>
          <w:tcPr>
            <w:tcW w:w="1232" w:type="dxa"/>
            <w:vAlign w:val="center"/>
          </w:tcPr>
          <w:p w14:paraId="27CAB710">
            <w:pPr>
              <w:jc w:val="center"/>
            </w:pPr>
            <w:r>
              <w:t>标距内</w:t>
            </w:r>
          </w:p>
        </w:tc>
      </w:tr>
      <w:tr w14:paraId="0AA3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14:paraId="2EF4C912">
            <w:pPr>
              <w:jc w:val="center"/>
              <w:rPr>
                <w:rFonts w:hint="default"/>
                <w:vertAlign w:val="baseline"/>
                <w:lang w:val="en-US" w:eastAsia="zh-CN"/>
              </w:rPr>
            </w:pPr>
          </w:p>
        </w:tc>
        <w:tc>
          <w:tcPr>
            <w:tcW w:w="2001" w:type="dxa"/>
            <w:vAlign w:val="center"/>
          </w:tcPr>
          <w:p w14:paraId="790AE6A1">
            <w:pPr>
              <w:jc w:val="center"/>
              <w:rPr>
                <w:rFonts w:hint="default"/>
                <w:vertAlign w:val="baseline"/>
                <w:lang w:val="en-US" w:eastAsia="zh-CN"/>
              </w:rPr>
            </w:pPr>
            <w:r>
              <w:rPr>
                <w:rFonts w:hint="default"/>
                <w:vertAlign w:val="baseline"/>
                <w:lang w:val="en-US" w:eastAsia="zh-CN"/>
              </w:rPr>
              <w:t>GB7963-M3-DF-0</w:t>
            </w:r>
            <w:r>
              <w:rPr>
                <w:rFonts w:hint="eastAsia"/>
                <w:vertAlign w:val="baseline"/>
                <w:lang w:val="en-US" w:eastAsia="zh-CN"/>
              </w:rPr>
              <w:t>3</w:t>
            </w:r>
          </w:p>
        </w:tc>
        <w:tc>
          <w:tcPr>
            <w:tcW w:w="1231" w:type="dxa"/>
            <w:vAlign w:val="center"/>
          </w:tcPr>
          <w:p w14:paraId="1DD5EE5F">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722EC137">
            <w:pPr>
              <w:jc w:val="center"/>
              <w:rPr>
                <w:rFonts w:hint="default"/>
                <w:vertAlign w:val="baseline"/>
                <w:lang w:val="en-US" w:eastAsia="zh-CN"/>
              </w:rPr>
            </w:pPr>
            <w:r>
              <w:rPr>
                <w:rFonts w:hint="eastAsia"/>
                <w:vertAlign w:val="baseline"/>
                <w:lang w:val="en-US" w:eastAsia="zh-CN"/>
              </w:rPr>
              <w:t>5.92</w:t>
            </w:r>
          </w:p>
        </w:tc>
        <w:tc>
          <w:tcPr>
            <w:tcW w:w="1232" w:type="dxa"/>
            <w:vAlign w:val="center"/>
          </w:tcPr>
          <w:p w14:paraId="00A504FE">
            <w:pPr>
              <w:jc w:val="center"/>
              <w:rPr>
                <w:rFonts w:hint="default"/>
                <w:vertAlign w:val="baseline"/>
                <w:lang w:val="en-US" w:eastAsia="zh-CN"/>
              </w:rPr>
            </w:pPr>
            <w:r>
              <w:rPr>
                <w:rFonts w:hint="eastAsia"/>
                <w:vertAlign w:val="baseline"/>
                <w:lang w:val="en-US" w:eastAsia="zh-CN"/>
              </w:rPr>
              <w:t>23.1</w:t>
            </w:r>
          </w:p>
        </w:tc>
        <w:tc>
          <w:tcPr>
            <w:tcW w:w="1232" w:type="dxa"/>
            <w:vAlign w:val="center"/>
          </w:tcPr>
          <w:p w14:paraId="7D6C8A2B">
            <w:pPr>
              <w:jc w:val="center"/>
              <w:rPr>
                <w:rFonts w:hint="default"/>
                <w:vertAlign w:val="baseline"/>
                <w:lang w:val="en-US" w:eastAsia="zh-CN"/>
              </w:rPr>
            </w:pPr>
            <w:r>
              <w:rPr>
                <w:rFonts w:hint="eastAsia"/>
                <w:vertAlign w:val="baseline"/>
                <w:lang w:val="en-US" w:eastAsia="zh-CN"/>
              </w:rPr>
              <w:t>818</w:t>
            </w:r>
          </w:p>
        </w:tc>
        <w:tc>
          <w:tcPr>
            <w:tcW w:w="1232" w:type="dxa"/>
            <w:vAlign w:val="center"/>
          </w:tcPr>
          <w:p w14:paraId="074D5689">
            <w:pPr>
              <w:jc w:val="center"/>
            </w:pPr>
            <w:r>
              <w:t>标距内</w:t>
            </w:r>
          </w:p>
        </w:tc>
      </w:tr>
      <w:tr w14:paraId="39EB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vAlign w:val="center"/>
          </w:tcPr>
          <w:p w14:paraId="1F978D7F">
            <w:pPr>
              <w:jc w:val="center"/>
              <w:rPr>
                <w:rFonts w:hint="default"/>
                <w:vertAlign w:val="baseline"/>
                <w:lang w:val="en-US" w:eastAsia="zh-CN"/>
              </w:rPr>
            </w:pPr>
            <w:r>
              <w:rPr>
                <w:rFonts w:hint="default"/>
                <w:vertAlign w:val="baseline"/>
                <w:lang w:val="en-US" w:eastAsia="zh-CN"/>
              </w:rPr>
              <w:t>深圳艾利佳</w:t>
            </w:r>
          </w:p>
        </w:tc>
        <w:tc>
          <w:tcPr>
            <w:tcW w:w="2001" w:type="dxa"/>
            <w:vAlign w:val="center"/>
          </w:tcPr>
          <w:p w14:paraId="0A6C8FB8">
            <w:pPr>
              <w:jc w:val="center"/>
              <w:rPr>
                <w:rFonts w:hint="default"/>
                <w:vertAlign w:val="baseline"/>
                <w:lang w:val="en-US" w:eastAsia="zh-CN"/>
              </w:rPr>
            </w:pPr>
            <w:r>
              <w:rPr>
                <w:rFonts w:hint="default"/>
                <w:vertAlign w:val="baseline"/>
                <w:lang w:val="en-US" w:eastAsia="zh-CN"/>
              </w:rPr>
              <w:t>GB7963-M3-ALJ-01</w:t>
            </w:r>
          </w:p>
        </w:tc>
        <w:tc>
          <w:tcPr>
            <w:tcW w:w="1231" w:type="dxa"/>
            <w:vAlign w:val="center"/>
          </w:tcPr>
          <w:p w14:paraId="3EFDCDF4">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2B69D878">
            <w:pPr>
              <w:jc w:val="center"/>
              <w:rPr>
                <w:rFonts w:hint="default"/>
                <w:vertAlign w:val="baseline"/>
                <w:lang w:val="en-US" w:eastAsia="zh-CN"/>
              </w:rPr>
            </w:pPr>
            <w:r>
              <w:rPr>
                <w:rFonts w:hint="eastAsia"/>
                <w:vertAlign w:val="baseline"/>
                <w:lang w:val="en-US" w:eastAsia="zh-CN"/>
              </w:rPr>
              <w:t>5.98</w:t>
            </w:r>
          </w:p>
        </w:tc>
        <w:tc>
          <w:tcPr>
            <w:tcW w:w="1232" w:type="dxa"/>
            <w:vAlign w:val="center"/>
          </w:tcPr>
          <w:p w14:paraId="4267F15F">
            <w:pPr>
              <w:jc w:val="center"/>
              <w:rPr>
                <w:rFonts w:hint="default"/>
                <w:vertAlign w:val="baseline"/>
                <w:lang w:val="en-US" w:eastAsia="zh-CN"/>
              </w:rPr>
            </w:pPr>
            <w:r>
              <w:rPr>
                <w:rFonts w:hint="eastAsia"/>
                <w:vertAlign w:val="baseline"/>
                <w:lang w:val="en-US" w:eastAsia="zh-CN"/>
              </w:rPr>
              <w:t>23.2</w:t>
            </w:r>
          </w:p>
        </w:tc>
        <w:tc>
          <w:tcPr>
            <w:tcW w:w="1232" w:type="dxa"/>
            <w:vAlign w:val="center"/>
          </w:tcPr>
          <w:p w14:paraId="4C2518E1">
            <w:pPr>
              <w:jc w:val="center"/>
              <w:rPr>
                <w:rFonts w:hint="default"/>
                <w:vertAlign w:val="baseline"/>
                <w:lang w:val="en-US" w:eastAsia="zh-CN"/>
              </w:rPr>
            </w:pPr>
            <w:r>
              <w:rPr>
                <w:rFonts w:hint="eastAsia"/>
                <w:vertAlign w:val="baseline"/>
                <w:lang w:val="en-US" w:eastAsia="zh-CN"/>
              </w:rPr>
              <w:t>787</w:t>
            </w:r>
          </w:p>
        </w:tc>
        <w:tc>
          <w:tcPr>
            <w:tcW w:w="1232" w:type="dxa"/>
            <w:vAlign w:val="center"/>
          </w:tcPr>
          <w:p w14:paraId="11D0208A">
            <w:pPr>
              <w:jc w:val="center"/>
            </w:pPr>
            <w:r>
              <w:t>标距内</w:t>
            </w:r>
          </w:p>
        </w:tc>
      </w:tr>
      <w:tr w14:paraId="4344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14:paraId="05720706">
            <w:pPr>
              <w:jc w:val="center"/>
              <w:rPr>
                <w:rFonts w:hint="default"/>
                <w:vertAlign w:val="baseline"/>
                <w:lang w:val="en-US" w:eastAsia="zh-CN"/>
              </w:rPr>
            </w:pPr>
          </w:p>
        </w:tc>
        <w:tc>
          <w:tcPr>
            <w:tcW w:w="2001" w:type="dxa"/>
            <w:vAlign w:val="center"/>
          </w:tcPr>
          <w:p w14:paraId="7EFB1061">
            <w:pPr>
              <w:jc w:val="center"/>
              <w:rPr>
                <w:rFonts w:hint="default"/>
                <w:vertAlign w:val="baseline"/>
                <w:lang w:val="en-US" w:eastAsia="zh-CN"/>
              </w:rPr>
            </w:pPr>
            <w:r>
              <w:rPr>
                <w:rFonts w:hint="default"/>
                <w:vertAlign w:val="baseline"/>
                <w:lang w:val="en-US" w:eastAsia="zh-CN"/>
              </w:rPr>
              <w:t>GB7963-M3-ALJ-</w:t>
            </w:r>
            <w:r>
              <w:rPr>
                <w:rFonts w:hint="eastAsia"/>
                <w:vertAlign w:val="baseline"/>
                <w:lang w:val="en-US" w:eastAsia="zh-CN"/>
              </w:rPr>
              <w:t>02</w:t>
            </w:r>
          </w:p>
        </w:tc>
        <w:tc>
          <w:tcPr>
            <w:tcW w:w="1231" w:type="dxa"/>
            <w:vAlign w:val="center"/>
          </w:tcPr>
          <w:p w14:paraId="40F3CCB8">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708A3C3C">
            <w:pPr>
              <w:jc w:val="center"/>
              <w:rPr>
                <w:rFonts w:hint="default"/>
                <w:vertAlign w:val="baseline"/>
                <w:lang w:val="en-US" w:eastAsia="zh-CN"/>
              </w:rPr>
            </w:pPr>
            <w:r>
              <w:rPr>
                <w:rFonts w:hint="eastAsia"/>
                <w:vertAlign w:val="baseline"/>
                <w:lang w:val="en-US" w:eastAsia="zh-CN"/>
              </w:rPr>
              <w:t>5.96</w:t>
            </w:r>
          </w:p>
        </w:tc>
        <w:tc>
          <w:tcPr>
            <w:tcW w:w="1232" w:type="dxa"/>
            <w:vAlign w:val="center"/>
          </w:tcPr>
          <w:p w14:paraId="3828996A">
            <w:pPr>
              <w:jc w:val="center"/>
              <w:rPr>
                <w:rFonts w:hint="default"/>
                <w:vertAlign w:val="baseline"/>
                <w:lang w:val="en-US" w:eastAsia="zh-CN"/>
              </w:rPr>
            </w:pPr>
            <w:r>
              <w:rPr>
                <w:rFonts w:hint="eastAsia"/>
                <w:vertAlign w:val="baseline"/>
                <w:lang w:val="en-US" w:eastAsia="zh-CN"/>
              </w:rPr>
              <w:t>22.1</w:t>
            </w:r>
          </w:p>
        </w:tc>
        <w:tc>
          <w:tcPr>
            <w:tcW w:w="1232" w:type="dxa"/>
            <w:vAlign w:val="center"/>
          </w:tcPr>
          <w:p w14:paraId="061F2869">
            <w:pPr>
              <w:jc w:val="center"/>
              <w:rPr>
                <w:rFonts w:hint="default"/>
                <w:vertAlign w:val="baseline"/>
                <w:lang w:val="en-US" w:eastAsia="zh-CN"/>
              </w:rPr>
            </w:pPr>
            <w:r>
              <w:rPr>
                <w:rFonts w:hint="eastAsia"/>
                <w:vertAlign w:val="baseline"/>
                <w:lang w:val="en-US" w:eastAsia="zh-CN"/>
              </w:rPr>
              <w:t>749</w:t>
            </w:r>
          </w:p>
        </w:tc>
        <w:tc>
          <w:tcPr>
            <w:tcW w:w="1232" w:type="dxa"/>
            <w:vAlign w:val="center"/>
          </w:tcPr>
          <w:p w14:paraId="250CF3F0">
            <w:pPr>
              <w:jc w:val="center"/>
            </w:pPr>
            <w:r>
              <w:t>标距内</w:t>
            </w:r>
          </w:p>
        </w:tc>
      </w:tr>
      <w:tr w14:paraId="246C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14:paraId="7A15E50C">
            <w:pPr>
              <w:jc w:val="center"/>
              <w:rPr>
                <w:rFonts w:hint="default"/>
                <w:vertAlign w:val="baseline"/>
                <w:lang w:val="en-US" w:eastAsia="zh-CN"/>
              </w:rPr>
            </w:pPr>
          </w:p>
        </w:tc>
        <w:tc>
          <w:tcPr>
            <w:tcW w:w="2001" w:type="dxa"/>
            <w:vAlign w:val="center"/>
          </w:tcPr>
          <w:p w14:paraId="0BBD463D">
            <w:pPr>
              <w:jc w:val="center"/>
              <w:rPr>
                <w:rFonts w:hint="default"/>
                <w:vertAlign w:val="baseline"/>
                <w:lang w:val="en-US" w:eastAsia="zh-CN"/>
              </w:rPr>
            </w:pPr>
            <w:r>
              <w:rPr>
                <w:rFonts w:hint="default"/>
                <w:vertAlign w:val="baseline"/>
                <w:lang w:val="en-US" w:eastAsia="zh-CN"/>
              </w:rPr>
              <w:t>GB7963-M3-ALJ-</w:t>
            </w:r>
            <w:r>
              <w:rPr>
                <w:rFonts w:hint="eastAsia"/>
                <w:vertAlign w:val="baseline"/>
                <w:lang w:val="en-US" w:eastAsia="zh-CN"/>
              </w:rPr>
              <w:t>03</w:t>
            </w:r>
          </w:p>
        </w:tc>
        <w:tc>
          <w:tcPr>
            <w:tcW w:w="1231" w:type="dxa"/>
            <w:vAlign w:val="center"/>
          </w:tcPr>
          <w:p w14:paraId="1ABC2223">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69F48FBE">
            <w:pPr>
              <w:jc w:val="center"/>
              <w:rPr>
                <w:rFonts w:hint="default"/>
                <w:vertAlign w:val="baseline"/>
                <w:lang w:val="en-US" w:eastAsia="zh-CN"/>
              </w:rPr>
            </w:pPr>
            <w:r>
              <w:rPr>
                <w:rFonts w:hint="eastAsia"/>
                <w:vertAlign w:val="baseline"/>
                <w:lang w:val="en-US" w:eastAsia="zh-CN"/>
              </w:rPr>
              <w:t>5.98</w:t>
            </w:r>
          </w:p>
        </w:tc>
        <w:tc>
          <w:tcPr>
            <w:tcW w:w="1232" w:type="dxa"/>
            <w:vAlign w:val="center"/>
          </w:tcPr>
          <w:p w14:paraId="3B019811">
            <w:pPr>
              <w:jc w:val="center"/>
              <w:rPr>
                <w:rFonts w:hint="default"/>
                <w:vertAlign w:val="baseline"/>
                <w:lang w:val="en-US" w:eastAsia="zh-CN"/>
              </w:rPr>
            </w:pPr>
            <w:r>
              <w:rPr>
                <w:rFonts w:hint="eastAsia"/>
                <w:vertAlign w:val="baseline"/>
                <w:lang w:val="en-US" w:eastAsia="zh-CN"/>
              </w:rPr>
              <w:t>20.7</w:t>
            </w:r>
          </w:p>
        </w:tc>
        <w:tc>
          <w:tcPr>
            <w:tcW w:w="1232" w:type="dxa"/>
            <w:vAlign w:val="center"/>
          </w:tcPr>
          <w:p w14:paraId="03232BBF">
            <w:pPr>
              <w:jc w:val="center"/>
              <w:rPr>
                <w:rFonts w:hint="default"/>
                <w:vertAlign w:val="baseline"/>
                <w:lang w:val="en-US" w:eastAsia="zh-CN"/>
              </w:rPr>
            </w:pPr>
            <w:r>
              <w:rPr>
                <w:rFonts w:hint="eastAsia"/>
                <w:vertAlign w:val="baseline"/>
                <w:lang w:val="en-US" w:eastAsia="zh-CN"/>
              </w:rPr>
              <w:t>701</w:t>
            </w:r>
          </w:p>
        </w:tc>
        <w:tc>
          <w:tcPr>
            <w:tcW w:w="1232" w:type="dxa"/>
            <w:vAlign w:val="center"/>
          </w:tcPr>
          <w:p w14:paraId="1F75AA52">
            <w:pPr>
              <w:jc w:val="center"/>
            </w:pPr>
            <w:r>
              <w:t>标距内</w:t>
            </w:r>
          </w:p>
        </w:tc>
      </w:tr>
      <w:tr w14:paraId="2034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vAlign w:val="center"/>
          </w:tcPr>
          <w:p w14:paraId="0D28C1FF">
            <w:pPr>
              <w:jc w:val="center"/>
              <w:rPr>
                <w:rFonts w:hint="default"/>
                <w:vertAlign w:val="baseline"/>
                <w:lang w:val="en-US" w:eastAsia="zh-CN"/>
              </w:rPr>
            </w:pPr>
            <w:r>
              <w:rPr>
                <w:rFonts w:hint="eastAsia"/>
                <w:vertAlign w:val="baseline"/>
                <w:lang w:val="en-US" w:eastAsia="zh-CN"/>
              </w:rPr>
              <w:t>西北稀有院（宁夏）</w:t>
            </w:r>
          </w:p>
        </w:tc>
        <w:tc>
          <w:tcPr>
            <w:tcW w:w="2001" w:type="dxa"/>
            <w:vAlign w:val="center"/>
          </w:tcPr>
          <w:p w14:paraId="26C40890">
            <w:pPr>
              <w:jc w:val="center"/>
              <w:rPr>
                <w:rFonts w:hint="default"/>
                <w:vertAlign w:val="baseline"/>
                <w:lang w:val="en-US" w:eastAsia="zh-CN"/>
              </w:rPr>
            </w:pPr>
            <w:r>
              <w:rPr>
                <w:rFonts w:hint="default"/>
                <w:vertAlign w:val="baseline"/>
                <w:lang w:val="en-US" w:eastAsia="zh-CN"/>
              </w:rPr>
              <w:t>GB7963-M3-XY-01</w:t>
            </w:r>
          </w:p>
        </w:tc>
        <w:tc>
          <w:tcPr>
            <w:tcW w:w="1231" w:type="dxa"/>
            <w:vAlign w:val="center"/>
          </w:tcPr>
          <w:p w14:paraId="29D5F8B7">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0DB2CCBA">
            <w:pPr>
              <w:jc w:val="center"/>
              <w:rPr>
                <w:rFonts w:hint="default"/>
                <w:vertAlign w:val="baseline"/>
                <w:lang w:val="en-US" w:eastAsia="zh-CN"/>
              </w:rPr>
            </w:pPr>
            <w:r>
              <w:rPr>
                <w:rFonts w:hint="eastAsia"/>
                <w:vertAlign w:val="baseline"/>
                <w:lang w:val="en-US" w:eastAsia="zh-CN"/>
              </w:rPr>
              <w:t>6.06</w:t>
            </w:r>
          </w:p>
        </w:tc>
        <w:tc>
          <w:tcPr>
            <w:tcW w:w="1232" w:type="dxa"/>
            <w:vAlign w:val="center"/>
          </w:tcPr>
          <w:p w14:paraId="1E2F71BA">
            <w:pPr>
              <w:jc w:val="center"/>
              <w:rPr>
                <w:rFonts w:hint="default"/>
                <w:vertAlign w:val="baseline"/>
                <w:lang w:val="en-US" w:eastAsia="zh-CN"/>
              </w:rPr>
            </w:pPr>
            <w:r>
              <w:rPr>
                <w:rFonts w:hint="eastAsia"/>
                <w:vertAlign w:val="baseline"/>
                <w:lang w:val="en-US" w:eastAsia="zh-CN"/>
              </w:rPr>
              <w:t>21.8</w:t>
            </w:r>
          </w:p>
        </w:tc>
        <w:tc>
          <w:tcPr>
            <w:tcW w:w="1232" w:type="dxa"/>
            <w:vAlign w:val="center"/>
          </w:tcPr>
          <w:p w14:paraId="3F7D1D01">
            <w:pPr>
              <w:jc w:val="center"/>
              <w:rPr>
                <w:rFonts w:hint="default"/>
                <w:vertAlign w:val="baseline"/>
                <w:lang w:val="en-US" w:eastAsia="zh-CN"/>
              </w:rPr>
            </w:pPr>
            <w:r>
              <w:rPr>
                <w:rFonts w:hint="eastAsia"/>
                <w:vertAlign w:val="baseline"/>
                <w:lang w:val="en-US" w:eastAsia="zh-CN"/>
              </w:rPr>
              <w:t>736</w:t>
            </w:r>
          </w:p>
        </w:tc>
        <w:tc>
          <w:tcPr>
            <w:tcW w:w="1232" w:type="dxa"/>
            <w:vAlign w:val="center"/>
          </w:tcPr>
          <w:p w14:paraId="605A22DD">
            <w:pPr>
              <w:jc w:val="center"/>
            </w:pPr>
            <w:r>
              <w:t>标距内</w:t>
            </w:r>
          </w:p>
        </w:tc>
      </w:tr>
      <w:tr w14:paraId="0273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14:paraId="3C0D6C14">
            <w:pPr>
              <w:jc w:val="center"/>
              <w:rPr>
                <w:rFonts w:hint="default"/>
                <w:vertAlign w:val="baseline"/>
                <w:lang w:val="en-US" w:eastAsia="zh-CN"/>
              </w:rPr>
            </w:pPr>
          </w:p>
        </w:tc>
        <w:tc>
          <w:tcPr>
            <w:tcW w:w="2001" w:type="dxa"/>
            <w:vAlign w:val="center"/>
          </w:tcPr>
          <w:p w14:paraId="60F947EC">
            <w:pPr>
              <w:jc w:val="center"/>
              <w:rPr>
                <w:rFonts w:hint="default"/>
                <w:vertAlign w:val="baseline"/>
                <w:lang w:val="en-US" w:eastAsia="zh-CN"/>
              </w:rPr>
            </w:pPr>
            <w:r>
              <w:rPr>
                <w:rFonts w:hint="default"/>
                <w:vertAlign w:val="baseline"/>
                <w:lang w:val="en-US" w:eastAsia="zh-CN"/>
              </w:rPr>
              <w:t>GB7963-M3-XY-0</w:t>
            </w:r>
            <w:r>
              <w:rPr>
                <w:rFonts w:hint="eastAsia"/>
                <w:vertAlign w:val="baseline"/>
                <w:lang w:val="en-US" w:eastAsia="zh-CN"/>
              </w:rPr>
              <w:t>2</w:t>
            </w:r>
          </w:p>
        </w:tc>
        <w:tc>
          <w:tcPr>
            <w:tcW w:w="1231" w:type="dxa"/>
            <w:vAlign w:val="center"/>
          </w:tcPr>
          <w:p w14:paraId="3EFC69FD">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7C2F3136">
            <w:pPr>
              <w:jc w:val="center"/>
              <w:rPr>
                <w:rFonts w:hint="default"/>
                <w:vertAlign w:val="baseline"/>
                <w:lang w:val="en-US" w:eastAsia="zh-CN"/>
              </w:rPr>
            </w:pPr>
            <w:r>
              <w:rPr>
                <w:rFonts w:hint="eastAsia"/>
                <w:vertAlign w:val="baseline"/>
                <w:lang w:val="en-US" w:eastAsia="zh-CN"/>
              </w:rPr>
              <w:t>6.03</w:t>
            </w:r>
          </w:p>
        </w:tc>
        <w:tc>
          <w:tcPr>
            <w:tcW w:w="1232" w:type="dxa"/>
            <w:vAlign w:val="center"/>
          </w:tcPr>
          <w:p w14:paraId="11A91E9C">
            <w:pPr>
              <w:jc w:val="center"/>
              <w:rPr>
                <w:rFonts w:hint="default"/>
                <w:vertAlign w:val="baseline"/>
                <w:lang w:val="en-US" w:eastAsia="zh-CN"/>
              </w:rPr>
            </w:pPr>
            <w:r>
              <w:rPr>
                <w:rFonts w:hint="eastAsia"/>
                <w:vertAlign w:val="baseline"/>
                <w:lang w:val="en-US" w:eastAsia="zh-CN"/>
              </w:rPr>
              <w:t>23.0</w:t>
            </w:r>
          </w:p>
        </w:tc>
        <w:tc>
          <w:tcPr>
            <w:tcW w:w="1232" w:type="dxa"/>
            <w:vAlign w:val="center"/>
          </w:tcPr>
          <w:p w14:paraId="4B621178">
            <w:pPr>
              <w:jc w:val="center"/>
              <w:rPr>
                <w:rFonts w:hint="default"/>
                <w:vertAlign w:val="baseline"/>
                <w:lang w:val="en-US" w:eastAsia="zh-CN"/>
              </w:rPr>
            </w:pPr>
            <w:r>
              <w:rPr>
                <w:rFonts w:hint="eastAsia"/>
                <w:vertAlign w:val="baseline"/>
                <w:lang w:val="en-US" w:eastAsia="zh-CN"/>
              </w:rPr>
              <w:t>779</w:t>
            </w:r>
          </w:p>
        </w:tc>
        <w:tc>
          <w:tcPr>
            <w:tcW w:w="1232" w:type="dxa"/>
            <w:vAlign w:val="center"/>
          </w:tcPr>
          <w:p w14:paraId="78AF4607">
            <w:pPr>
              <w:jc w:val="center"/>
            </w:pPr>
            <w:r>
              <w:t>标距内</w:t>
            </w:r>
          </w:p>
        </w:tc>
      </w:tr>
      <w:tr w14:paraId="0F68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14:paraId="16810EF5">
            <w:pPr>
              <w:jc w:val="center"/>
              <w:rPr>
                <w:rFonts w:hint="default"/>
                <w:vertAlign w:val="baseline"/>
                <w:lang w:val="en-US" w:eastAsia="zh-CN"/>
              </w:rPr>
            </w:pPr>
          </w:p>
        </w:tc>
        <w:tc>
          <w:tcPr>
            <w:tcW w:w="2001" w:type="dxa"/>
            <w:vAlign w:val="center"/>
          </w:tcPr>
          <w:p w14:paraId="3FA4A835">
            <w:pPr>
              <w:jc w:val="center"/>
              <w:rPr>
                <w:rFonts w:hint="default"/>
                <w:vertAlign w:val="baseline"/>
                <w:lang w:val="en-US" w:eastAsia="zh-CN"/>
              </w:rPr>
            </w:pPr>
            <w:r>
              <w:rPr>
                <w:rFonts w:hint="default"/>
                <w:vertAlign w:val="baseline"/>
                <w:lang w:val="en-US" w:eastAsia="zh-CN"/>
              </w:rPr>
              <w:t>GB7963-M3-XY-0</w:t>
            </w:r>
            <w:r>
              <w:rPr>
                <w:rFonts w:hint="eastAsia"/>
                <w:vertAlign w:val="baseline"/>
                <w:lang w:val="en-US" w:eastAsia="zh-CN"/>
              </w:rPr>
              <w:t>3</w:t>
            </w:r>
          </w:p>
        </w:tc>
        <w:tc>
          <w:tcPr>
            <w:tcW w:w="1231" w:type="dxa"/>
            <w:vAlign w:val="center"/>
          </w:tcPr>
          <w:p w14:paraId="41188127">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017683A8">
            <w:pPr>
              <w:jc w:val="center"/>
              <w:rPr>
                <w:rFonts w:hint="default"/>
                <w:vertAlign w:val="baseline"/>
                <w:lang w:val="en-US" w:eastAsia="zh-CN"/>
              </w:rPr>
            </w:pPr>
            <w:r>
              <w:rPr>
                <w:rFonts w:hint="eastAsia"/>
                <w:vertAlign w:val="baseline"/>
                <w:lang w:val="en-US" w:eastAsia="zh-CN"/>
              </w:rPr>
              <w:t>5.96</w:t>
            </w:r>
          </w:p>
        </w:tc>
        <w:tc>
          <w:tcPr>
            <w:tcW w:w="1232" w:type="dxa"/>
            <w:vAlign w:val="center"/>
          </w:tcPr>
          <w:p w14:paraId="0BE8FF45">
            <w:pPr>
              <w:jc w:val="center"/>
              <w:rPr>
                <w:rFonts w:hint="default"/>
                <w:vertAlign w:val="baseline"/>
                <w:lang w:val="en-US" w:eastAsia="zh-CN"/>
              </w:rPr>
            </w:pPr>
            <w:r>
              <w:rPr>
                <w:rFonts w:hint="eastAsia"/>
                <w:vertAlign w:val="baseline"/>
                <w:lang w:val="en-US" w:eastAsia="zh-CN"/>
              </w:rPr>
              <w:t>22.5</w:t>
            </w:r>
          </w:p>
        </w:tc>
        <w:tc>
          <w:tcPr>
            <w:tcW w:w="1232" w:type="dxa"/>
            <w:vAlign w:val="center"/>
          </w:tcPr>
          <w:p w14:paraId="5E355681">
            <w:pPr>
              <w:jc w:val="center"/>
              <w:rPr>
                <w:rFonts w:hint="default"/>
                <w:vertAlign w:val="baseline"/>
                <w:lang w:val="en-US" w:eastAsia="zh-CN"/>
              </w:rPr>
            </w:pPr>
            <w:r>
              <w:rPr>
                <w:rFonts w:hint="eastAsia"/>
                <w:vertAlign w:val="baseline"/>
                <w:lang w:val="en-US" w:eastAsia="zh-CN"/>
              </w:rPr>
              <w:t>773</w:t>
            </w:r>
          </w:p>
        </w:tc>
        <w:tc>
          <w:tcPr>
            <w:tcW w:w="1232" w:type="dxa"/>
            <w:vAlign w:val="center"/>
          </w:tcPr>
          <w:p w14:paraId="55A5EEBE">
            <w:pPr>
              <w:jc w:val="center"/>
            </w:pPr>
            <w:r>
              <w:t>标距内</w:t>
            </w:r>
          </w:p>
        </w:tc>
      </w:tr>
      <w:tr w14:paraId="454B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vAlign w:val="center"/>
          </w:tcPr>
          <w:p w14:paraId="56030E83">
            <w:pPr>
              <w:jc w:val="center"/>
              <w:rPr>
                <w:rFonts w:hint="default"/>
                <w:vertAlign w:val="baseline"/>
                <w:lang w:val="en-US" w:eastAsia="zh-CN"/>
              </w:rPr>
            </w:pPr>
            <w:r>
              <w:rPr>
                <w:rFonts w:hint="eastAsia"/>
                <w:vertAlign w:val="baseline"/>
                <w:lang w:val="en-US" w:eastAsia="zh-CN"/>
              </w:rPr>
              <w:t>西北有色院</w:t>
            </w:r>
          </w:p>
        </w:tc>
        <w:tc>
          <w:tcPr>
            <w:tcW w:w="2001" w:type="dxa"/>
            <w:vAlign w:val="center"/>
          </w:tcPr>
          <w:p w14:paraId="4A95E767">
            <w:pPr>
              <w:jc w:val="center"/>
              <w:rPr>
                <w:rFonts w:hint="default"/>
                <w:vertAlign w:val="baseline"/>
                <w:lang w:val="en-US" w:eastAsia="zh-CN"/>
              </w:rPr>
            </w:pPr>
            <w:r>
              <w:rPr>
                <w:rFonts w:hint="default"/>
                <w:vertAlign w:val="baseline"/>
                <w:lang w:val="en-US" w:eastAsia="zh-CN"/>
              </w:rPr>
              <w:t>GB7963-M3-M-01</w:t>
            </w:r>
          </w:p>
        </w:tc>
        <w:tc>
          <w:tcPr>
            <w:tcW w:w="1231" w:type="dxa"/>
            <w:vAlign w:val="center"/>
          </w:tcPr>
          <w:p w14:paraId="713B9351">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2F470004">
            <w:pPr>
              <w:jc w:val="center"/>
              <w:rPr>
                <w:rFonts w:hint="default"/>
                <w:vertAlign w:val="baseline"/>
                <w:lang w:val="en-US" w:eastAsia="zh-CN"/>
              </w:rPr>
            </w:pPr>
            <w:r>
              <w:rPr>
                <w:rFonts w:hint="eastAsia"/>
                <w:vertAlign w:val="baseline"/>
                <w:lang w:val="en-US" w:eastAsia="zh-CN"/>
              </w:rPr>
              <w:t>5.95</w:t>
            </w:r>
          </w:p>
        </w:tc>
        <w:tc>
          <w:tcPr>
            <w:tcW w:w="1232" w:type="dxa"/>
            <w:vAlign w:val="center"/>
          </w:tcPr>
          <w:p w14:paraId="0D332054">
            <w:pPr>
              <w:jc w:val="center"/>
              <w:rPr>
                <w:rFonts w:hint="default"/>
                <w:vertAlign w:val="baseline"/>
                <w:lang w:val="en-US" w:eastAsia="zh-CN"/>
              </w:rPr>
            </w:pPr>
            <w:r>
              <w:rPr>
                <w:rFonts w:hint="eastAsia"/>
                <w:vertAlign w:val="baseline"/>
                <w:lang w:val="en-US" w:eastAsia="zh-CN"/>
              </w:rPr>
              <w:t>21.6</w:t>
            </w:r>
          </w:p>
        </w:tc>
        <w:tc>
          <w:tcPr>
            <w:tcW w:w="1232" w:type="dxa"/>
            <w:vAlign w:val="center"/>
          </w:tcPr>
          <w:p w14:paraId="0F873BDE">
            <w:pPr>
              <w:jc w:val="center"/>
              <w:rPr>
                <w:rFonts w:hint="default"/>
                <w:vertAlign w:val="baseline"/>
                <w:lang w:val="en-US" w:eastAsia="zh-CN"/>
              </w:rPr>
            </w:pPr>
            <w:r>
              <w:rPr>
                <w:rFonts w:hint="eastAsia"/>
                <w:vertAlign w:val="baseline"/>
                <w:lang w:val="en-US" w:eastAsia="zh-CN"/>
              </w:rPr>
              <w:t>733</w:t>
            </w:r>
          </w:p>
        </w:tc>
        <w:tc>
          <w:tcPr>
            <w:tcW w:w="1232" w:type="dxa"/>
            <w:vAlign w:val="center"/>
          </w:tcPr>
          <w:p w14:paraId="74A5FE64">
            <w:pPr>
              <w:jc w:val="center"/>
            </w:pPr>
            <w:r>
              <w:t>标距内</w:t>
            </w:r>
          </w:p>
        </w:tc>
      </w:tr>
      <w:tr w14:paraId="1773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14:paraId="655208B3">
            <w:pPr>
              <w:jc w:val="center"/>
              <w:rPr>
                <w:rFonts w:hint="default"/>
                <w:vertAlign w:val="baseline"/>
                <w:lang w:val="en-US" w:eastAsia="zh-CN"/>
              </w:rPr>
            </w:pPr>
          </w:p>
        </w:tc>
        <w:tc>
          <w:tcPr>
            <w:tcW w:w="2001" w:type="dxa"/>
            <w:vAlign w:val="center"/>
          </w:tcPr>
          <w:p w14:paraId="07E67A39">
            <w:pPr>
              <w:jc w:val="center"/>
              <w:rPr>
                <w:rFonts w:hint="default"/>
                <w:vertAlign w:val="baseline"/>
                <w:lang w:val="en-US" w:eastAsia="zh-CN"/>
              </w:rPr>
            </w:pPr>
            <w:r>
              <w:rPr>
                <w:rFonts w:hint="default"/>
                <w:vertAlign w:val="baseline"/>
                <w:lang w:val="en-US" w:eastAsia="zh-CN"/>
              </w:rPr>
              <w:t>GB7963-M3-M-0</w:t>
            </w:r>
            <w:r>
              <w:rPr>
                <w:rFonts w:hint="eastAsia"/>
                <w:vertAlign w:val="baseline"/>
                <w:lang w:val="en-US" w:eastAsia="zh-CN"/>
              </w:rPr>
              <w:t>2</w:t>
            </w:r>
          </w:p>
        </w:tc>
        <w:tc>
          <w:tcPr>
            <w:tcW w:w="1231" w:type="dxa"/>
            <w:vAlign w:val="center"/>
          </w:tcPr>
          <w:p w14:paraId="6F398E7E">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01107829">
            <w:pPr>
              <w:jc w:val="center"/>
              <w:rPr>
                <w:rFonts w:hint="default"/>
                <w:vertAlign w:val="baseline"/>
                <w:lang w:val="en-US" w:eastAsia="zh-CN"/>
              </w:rPr>
            </w:pPr>
            <w:r>
              <w:rPr>
                <w:rFonts w:hint="eastAsia"/>
                <w:vertAlign w:val="baseline"/>
                <w:lang w:val="en-US" w:eastAsia="zh-CN"/>
              </w:rPr>
              <w:t>5.96</w:t>
            </w:r>
          </w:p>
        </w:tc>
        <w:tc>
          <w:tcPr>
            <w:tcW w:w="1232" w:type="dxa"/>
            <w:vAlign w:val="center"/>
          </w:tcPr>
          <w:p w14:paraId="259D9399">
            <w:pPr>
              <w:jc w:val="center"/>
              <w:rPr>
                <w:rFonts w:hint="default"/>
                <w:vertAlign w:val="baseline"/>
                <w:lang w:val="en-US" w:eastAsia="zh-CN"/>
              </w:rPr>
            </w:pPr>
            <w:r>
              <w:rPr>
                <w:rFonts w:hint="eastAsia"/>
                <w:vertAlign w:val="baseline"/>
                <w:lang w:val="en-US" w:eastAsia="zh-CN"/>
              </w:rPr>
              <w:t>23.0</w:t>
            </w:r>
          </w:p>
        </w:tc>
        <w:tc>
          <w:tcPr>
            <w:tcW w:w="1232" w:type="dxa"/>
            <w:vAlign w:val="center"/>
          </w:tcPr>
          <w:p w14:paraId="7F6328C2">
            <w:pPr>
              <w:jc w:val="center"/>
              <w:rPr>
                <w:rFonts w:hint="default"/>
                <w:vertAlign w:val="baseline"/>
                <w:lang w:val="en-US" w:eastAsia="zh-CN"/>
              </w:rPr>
            </w:pPr>
            <w:r>
              <w:rPr>
                <w:rFonts w:hint="eastAsia"/>
                <w:vertAlign w:val="baseline"/>
                <w:lang w:val="en-US" w:eastAsia="zh-CN"/>
              </w:rPr>
              <w:t>774</w:t>
            </w:r>
          </w:p>
        </w:tc>
        <w:tc>
          <w:tcPr>
            <w:tcW w:w="1232" w:type="dxa"/>
            <w:vAlign w:val="center"/>
          </w:tcPr>
          <w:p w14:paraId="68D48189">
            <w:pPr>
              <w:jc w:val="center"/>
            </w:pPr>
            <w:r>
              <w:t>标距内</w:t>
            </w:r>
          </w:p>
        </w:tc>
      </w:tr>
      <w:tr w14:paraId="0897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14:paraId="325FD80D">
            <w:pPr>
              <w:jc w:val="center"/>
              <w:rPr>
                <w:rFonts w:hint="default"/>
                <w:vertAlign w:val="baseline"/>
                <w:lang w:val="en-US" w:eastAsia="zh-CN"/>
              </w:rPr>
            </w:pPr>
          </w:p>
        </w:tc>
        <w:tc>
          <w:tcPr>
            <w:tcW w:w="2001" w:type="dxa"/>
            <w:vAlign w:val="center"/>
          </w:tcPr>
          <w:p w14:paraId="7435200C">
            <w:pPr>
              <w:jc w:val="center"/>
              <w:rPr>
                <w:rFonts w:hint="default"/>
                <w:vertAlign w:val="baseline"/>
                <w:lang w:val="en-US" w:eastAsia="zh-CN"/>
              </w:rPr>
            </w:pPr>
            <w:r>
              <w:rPr>
                <w:rFonts w:hint="default"/>
                <w:vertAlign w:val="baseline"/>
                <w:lang w:val="en-US" w:eastAsia="zh-CN"/>
              </w:rPr>
              <w:t>GB7963-M3-M-0</w:t>
            </w:r>
            <w:r>
              <w:rPr>
                <w:rFonts w:hint="eastAsia"/>
                <w:vertAlign w:val="baseline"/>
                <w:lang w:val="en-US" w:eastAsia="zh-CN"/>
              </w:rPr>
              <w:t>3</w:t>
            </w:r>
          </w:p>
        </w:tc>
        <w:tc>
          <w:tcPr>
            <w:tcW w:w="1231" w:type="dxa"/>
            <w:vAlign w:val="center"/>
          </w:tcPr>
          <w:p w14:paraId="7DA7A7E5">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5008EC51">
            <w:pPr>
              <w:jc w:val="center"/>
              <w:rPr>
                <w:rFonts w:hint="default"/>
                <w:vertAlign w:val="baseline"/>
                <w:lang w:val="en-US" w:eastAsia="zh-CN"/>
              </w:rPr>
            </w:pPr>
            <w:r>
              <w:rPr>
                <w:rFonts w:hint="eastAsia"/>
                <w:vertAlign w:val="baseline"/>
                <w:lang w:val="en-US" w:eastAsia="zh-CN"/>
              </w:rPr>
              <w:t>6.02</w:t>
            </w:r>
          </w:p>
        </w:tc>
        <w:tc>
          <w:tcPr>
            <w:tcW w:w="1232" w:type="dxa"/>
            <w:vAlign w:val="center"/>
          </w:tcPr>
          <w:p w14:paraId="0E56F309">
            <w:pPr>
              <w:jc w:val="center"/>
              <w:rPr>
                <w:rFonts w:hint="default"/>
                <w:vertAlign w:val="baseline"/>
                <w:lang w:val="en-US" w:eastAsia="zh-CN"/>
              </w:rPr>
            </w:pPr>
            <w:r>
              <w:rPr>
                <w:rFonts w:hint="eastAsia"/>
                <w:vertAlign w:val="baseline"/>
                <w:lang w:val="en-US" w:eastAsia="zh-CN"/>
              </w:rPr>
              <w:t>22.1</w:t>
            </w:r>
          </w:p>
        </w:tc>
        <w:tc>
          <w:tcPr>
            <w:tcW w:w="1232" w:type="dxa"/>
            <w:vAlign w:val="center"/>
          </w:tcPr>
          <w:p w14:paraId="0753DB84">
            <w:pPr>
              <w:jc w:val="center"/>
              <w:rPr>
                <w:rFonts w:hint="default"/>
                <w:vertAlign w:val="baseline"/>
                <w:lang w:val="en-US" w:eastAsia="zh-CN"/>
              </w:rPr>
            </w:pPr>
            <w:r>
              <w:rPr>
                <w:rFonts w:hint="eastAsia"/>
                <w:vertAlign w:val="baseline"/>
                <w:lang w:val="en-US" w:eastAsia="zh-CN"/>
              </w:rPr>
              <w:t>736</w:t>
            </w:r>
          </w:p>
        </w:tc>
        <w:tc>
          <w:tcPr>
            <w:tcW w:w="1232" w:type="dxa"/>
            <w:vAlign w:val="center"/>
          </w:tcPr>
          <w:p w14:paraId="54FDB1A3">
            <w:pPr>
              <w:jc w:val="center"/>
            </w:pPr>
            <w:r>
              <w:t>标距内</w:t>
            </w:r>
          </w:p>
        </w:tc>
      </w:tr>
      <w:tr w14:paraId="7884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vAlign w:val="center"/>
          </w:tcPr>
          <w:p w14:paraId="34A1F646">
            <w:pPr>
              <w:jc w:val="center"/>
              <w:rPr>
                <w:rFonts w:hint="default"/>
                <w:vertAlign w:val="baseline"/>
                <w:lang w:val="en-US" w:eastAsia="zh-CN"/>
              </w:rPr>
            </w:pPr>
            <w:r>
              <w:rPr>
                <w:rFonts w:hint="default"/>
                <w:vertAlign w:val="baseline"/>
                <w:lang w:val="en-US" w:eastAsia="zh-CN"/>
              </w:rPr>
              <w:t>深圳北理莫斯科大学</w:t>
            </w:r>
          </w:p>
        </w:tc>
        <w:tc>
          <w:tcPr>
            <w:tcW w:w="2001" w:type="dxa"/>
            <w:vAlign w:val="center"/>
          </w:tcPr>
          <w:p w14:paraId="58B6E1BB">
            <w:pPr>
              <w:jc w:val="center"/>
              <w:rPr>
                <w:rFonts w:hint="default"/>
                <w:vertAlign w:val="baseline"/>
                <w:lang w:val="en-US" w:eastAsia="zh-CN"/>
              </w:rPr>
            </w:pPr>
            <w:r>
              <w:rPr>
                <w:rFonts w:hint="default"/>
                <w:vertAlign w:val="baseline"/>
                <w:lang w:val="en-US" w:eastAsia="zh-CN"/>
              </w:rPr>
              <w:t>GB7963-M3-BM-01</w:t>
            </w:r>
          </w:p>
        </w:tc>
        <w:tc>
          <w:tcPr>
            <w:tcW w:w="1231" w:type="dxa"/>
            <w:vAlign w:val="center"/>
          </w:tcPr>
          <w:p w14:paraId="422181CE">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171E5E69">
            <w:pPr>
              <w:jc w:val="center"/>
              <w:rPr>
                <w:rFonts w:hint="default"/>
                <w:vertAlign w:val="baseline"/>
                <w:lang w:val="en-US" w:eastAsia="zh-CN"/>
              </w:rPr>
            </w:pPr>
            <w:r>
              <w:rPr>
                <w:rFonts w:hint="eastAsia"/>
                <w:vertAlign w:val="baseline"/>
                <w:lang w:val="en-US" w:eastAsia="zh-CN"/>
              </w:rPr>
              <w:t>5.96</w:t>
            </w:r>
          </w:p>
        </w:tc>
        <w:tc>
          <w:tcPr>
            <w:tcW w:w="1232" w:type="dxa"/>
            <w:vAlign w:val="center"/>
          </w:tcPr>
          <w:p w14:paraId="497034AA">
            <w:pPr>
              <w:jc w:val="center"/>
              <w:rPr>
                <w:rFonts w:hint="default"/>
                <w:vertAlign w:val="baseline"/>
                <w:lang w:val="en-US" w:eastAsia="zh-CN"/>
              </w:rPr>
            </w:pPr>
            <w:r>
              <w:rPr>
                <w:rFonts w:hint="eastAsia"/>
                <w:vertAlign w:val="baseline"/>
                <w:lang w:val="en-US" w:eastAsia="zh-CN"/>
              </w:rPr>
              <w:t>18.3</w:t>
            </w:r>
          </w:p>
        </w:tc>
        <w:tc>
          <w:tcPr>
            <w:tcW w:w="1232" w:type="dxa"/>
            <w:vAlign w:val="center"/>
          </w:tcPr>
          <w:p w14:paraId="5F62B2E6">
            <w:pPr>
              <w:jc w:val="center"/>
              <w:rPr>
                <w:rFonts w:hint="default"/>
                <w:vertAlign w:val="baseline"/>
                <w:lang w:val="en-US" w:eastAsia="zh-CN"/>
              </w:rPr>
            </w:pPr>
            <w:r>
              <w:rPr>
                <w:rFonts w:hint="eastAsia"/>
                <w:vertAlign w:val="baseline"/>
                <w:lang w:val="en-US" w:eastAsia="zh-CN"/>
              </w:rPr>
              <w:t>628</w:t>
            </w:r>
          </w:p>
        </w:tc>
        <w:tc>
          <w:tcPr>
            <w:tcW w:w="1232" w:type="dxa"/>
            <w:vAlign w:val="center"/>
          </w:tcPr>
          <w:p w14:paraId="0067A2CD">
            <w:pPr>
              <w:jc w:val="center"/>
            </w:pPr>
            <w:r>
              <w:t>标距内</w:t>
            </w:r>
          </w:p>
        </w:tc>
      </w:tr>
      <w:tr w14:paraId="1D81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14:paraId="6956376A">
            <w:pPr>
              <w:jc w:val="center"/>
              <w:rPr>
                <w:rFonts w:hint="default"/>
                <w:vertAlign w:val="baseline"/>
                <w:lang w:val="en-US" w:eastAsia="zh-CN"/>
              </w:rPr>
            </w:pPr>
          </w:p>
        </w:tc>
        <w:tc>
          <w:tcPr>
            <w:tcW w:w="2001" w:type="dxa"/>
            <w:vAlign w:val="center"/>
          </w:tcPr>
          <w:p w14:paraId="1915F993">
            <w:pPr>
              <w:jc w:val="center"/>
              <w:rPr>
                <w:rFonts w:hint="default"/>
                <w:vertAlign w:val="baseline"/>
                <w:lang w:val="en-US" w:eastAsia="zh-CN"/>
              </w:rPr>
            </w:pPr>
            <w:r>
              <w:rPr>
                <w:rFonts w:hint="default"/>
                <w:vertAlign w:val="baseline"/>
                <w:lang w:val="en-US" w:eastAsia="zh-CN"/>
              </w:rPr>
              <w:t>GB7963-M3-BM-0</w:t>
            </w:r>
            <w:r>
              <w:rPr>
                <w:rFonts w:hint="eastAsia"/>
                <w:vertAlign w:val="baseline"/>
                <w:lang w:val="en-US" w:eastAsia="zh-CN"/>
              </w:rPr>
              <w:t>2</w:t>
            </w:r>
          </w:p>
        </w:tc>
        <w:tc>
          <w:tcPr>
            <w:tcW w:w="1231" w:type="dxa"/>
            <w:vAlign w:val="center"/>
          </w:tcPr>
          <w:p w14:paraId="004FF608">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0D29EBAD">
            <w:pPr>
              <w:jc w:val="center"/>
              <w:rPr>
                <w:rFonts w:hint="default"/>
                <w:vertAlign w:val="baseline"/>
                <w:lang w:val="en-US" w:eastAsia="zh-CN"/>
              </w:rPr>
            </w:pPr>
            <w:r>
              <w:rPr>
                <w:rFonts w:hint="eastAsia"/>
                <w:vertAlign w:val="baseline"/>
                <w:lang w:val="en-US" w:eastAsia="zh-CN"/>
              </w:rPr>
              <w:t>6.02</w:t>
            </w:r>
          </w:p>
        </w:tc>
        <w:tc>
          <w:tcPr>
            <w:tcW w:w="1232" w:type="dxa"/>
            <w:vAlign w:val="center"/>
          </w:tcPr>
          <w:p w14:paraId="0D9F60DB">
            <w:pPr>
              <w:jc w:val="center"/>
              <w:rPr>
                <w:rFonts w:hint="default"/>
                <w:vertAlign w:val="baseline"/>
                <w:lang w:val="en-US" w:eastAsia="zh-CN"/>
              </w:rPr>
            </w:pPr>
            <w:r>
              <w:rPr>
                <w:rFonts w:hint="eastAsia"/>
                <w:vertAlign w:val="baseline"/>
                <w:lang w:val="en-US" w:eastAsia="zh-CN"/>
              </w:rPr>
              <w:t>22.9</w:t>
            </w:r>
          </w:p>
        </w:tc>
        <w:tc>
          <w:tcPr>
            <w:tcW w:w="1232" w:type="dxa"/>
            <w:vAlign w:val="center"/>
          </w:tcPr>
          <w:p w14:paraId="0413F35A">
            <w:pPr>
              <w:jc w:val="center"/>
              <w:rPr>
                <w:rFonts w:hint="default"/>
                <w:vertAlign w:val="baseline"/>
                <w:lang w:val="en-US" w:eastAsia="zh-CN"/>
              </w:rPr>
            </w:pPr>
            <w:r>
              <w:rPr>
                <w:rFonts w:hint="eastAsia"/>
                <w:vertAlign w:val="baseline"/>
                <w:lang w:val="en-US" w:eastAsia="zh-CN"/>
              </w:rPr>
              <w:t>773</w:t>
            </w:r>
          </w:p>
        </w:tc>
        <w:tc>
          <w:tcPr>
            <w:tcW w:w="1232" w:type="dxa"/>
            <w:vAlign w:val="center"/>
          </w:tcPr>
          <w:p w14:paraId="157CFF77">
            <w:pPr>
              <w:jc w:val="center"/>
            </w:pPr>
            <w:r>
              <w:t>标距内</w:t>
            </w:r>
          </w:p>
        </w:tc>
      </w:tr>
      <w:tr w14:paraId="4E06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14:paraId="47E3C5ED">
            <w:pPr>
              <w:jc w:val="center"/>
              <w:rPr>
                <w:rFonts w:hint="default"/>
                <w:vertAlign w:val="baseline"/>
                <w:lang w:val="en-US" w:eastAsia="zh-CN"/>
              </w:rPr>
            </w:pPr>
          </w:p>
        </w:tc>
        <w:tc>
          <w:tcPr>
            <w:tcW w:w="2001" w:type="dxa"/>
            <w:vAlign w:val="center"/>
          </w:tcPr>
          <w:p w14:paraId="08CEF928">
            <w:pPr>
              <w:jc w:val="center"/>
              <w:rPr>
                <w:rFonts w:hint="default"/>
                <w:vertAlign w:val="baseline"/>
                <w:lang w:val="en-US" w:eastAsia="zh-CN"/>
              </w:rPr>
            </w:pPr>
            <w:r>
              <w:rPr>
                <w:rFonts w:hint="default"/>
                <w:vertAlign w:val="baseline"/>
                <w:lang w:val="en-US" w:eastAsia="zh-CN"/>
              </w:rPr>
              <w:t>GB7963-M3-BM-0</w:t>
            </w:r>
            <w:r>
              <w:rPr>
                <w:rFonts w:hint="eastAsia"/>
                <w:vertAlign w:val="baseline"/>
                <w:lang w:val="en-US" w:eastAsia="zh-CN"/>
              </w:rPr>
              <w:t>3</w:t>
            </w:r>
          </w:p>
        </w:tc>
        <w:tc>
          <w:tcPr>
            <w:tcW w:w="1231" w:type="dxa"/>
            <w:vAlign w:val="center"/>
          </w:tcPr>
          <w:p w14:paraId="545ED6A0">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4224CF36">
            <w:pPr>
              <w:jc w:val="center"/>
              <w:rPr>
                <w:rFonts w:hint="default"/>
                <w:vertAlign w:val="baseline"/>
                <w:lang w:val="en-US" w:eastAsia="zh-CN"/>
              </w:rPr>
            </w:pPr>
            <w:r>
              <w:rPr>
                <w:rFonts w:hint="eastAsia"/>
                <w:vertAlign w:val="baseline"/>
                <w:lang w:val="en-US" w:eastAsia="zh-CN"/>
              </w:rPr>
              <w:t>5.97</w:t>
            </w:r>
          </w:p>
        </w:tc>
        <w:tc>
          <w:tcPr>
            <w:tcW w:w="1232" w:type="dxa"/>
            <w:vAlign w:val="center"/>
          </w:tcPr>
          <w:p w14:paraId="13A224E4">
            <w:pPr>
              <w:jc w:val="center"/>
              <w:rPr>
                <w:rFonts w:hint="default"/>
                <w:vertAlign w:val="baseline"/>
                <w:lang w:val="en-US" w:eastAsia="zh-CN"/>
              </w:rPr>
            </w:pPr>
            <w:r>
              <w:rPr>
                <w:rFonts w:hint="eastAsia"/>
                <w:vertAlign w:val="baseline"/>
                <w:lang w:val="en-US" w:eastAsia="zh-CN"/>
              </w:rPr>
              <w:t>23.7</w:t>
            </w:r>
          </w:p>
        </w:tc>
        <w:tc>
          <w:tcPr>
            <w:tcW w:w="1232" w:type="dxa"/>
            <w:vAlign w:val="center"/>
          </w:tcPr>
          <w:p w14:paraId="594B3867">
            <w:pPr>
              <w:jc w:val="center"/>
              <w:rPr>
                <w:rFonts w:hint="default"/>
                <w:vertAlign w:val="baseline"/>
                <w:lang w:val="en-US" w:eastAsia="zh-CN"/>
              </w:rPr>
            </w:pPr>
            <w:r>
              <w:rPr>
                <w:rFonts w:hint="eastAsia"/>
                <w:vertAlign w:val="baseline"/>
                <w:lang w:val="en-US" w:eastAsia="zh-CN"/>
              </w:rPr>
              <w:t>809</w:t>
            </w:r>
          </w:p>
        </w:tc>
        <w:tc>
          <w:tcPr>
            <w:tcW w:w="1232" w:type="dxa"/>
            <w:vAlign w:val="center"/>
          </w:tcPr>
          <w:p w14:paraId="38129AEF">
            <w:pPr>
              <w:jc w:val="center"/>
            </w:pPr>
            <w:r>
              <w:t>标距内</w:t>
            </w:r>
          </w:p>
        </w:tc>
      </w:tr>
      <w:tr w14:paraId="6069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vAlign w:val="center"/>
          </w:tcPr>
          <w:p w14:paraId="6DA2B5F8">
            <w:pPr>
              <w:jc w:val="center"/>
              <w:rPr>
                <w:rFonts w:hint="default"/>
                <w:vertAlign w:val="baseline"/>
                <w:lang w:val="en-US" w:eastAsia="zh-CN"/>
              </w:rPr>
            </w:pPr>
            <w:r>
              <w:rPr>
                <w:rFonts w:hint="eastAsia"/>
                <w:vertAlign w:val="baseline"/>
                <w:lang w:val="en-US" w:eastAsia="zh-CN"/>
              </w:rPr>
              <w:t>西部宝德</w:t>
            </w:r>
          </w:p>
        </w:tc>
        <w:tc>
          <w:tcPr>
            <w:tcW w:w="2001" w:type="dxa"/>
            <w:vAlign w:val="center"/>
          </w:tcPr>
          <w:p w14:paraId="10972F00">
            <w:pPr>
              <w:jc w:val="center"/>
              <w:rPr>
                <w:rFonts w:hint="default"/>
                <w:vertAlign w:val="baseline"/>
                <w:lang w:val="en-US" w:eastAsia="zh-CN"/>
              </w:rPr>
            </w:pPr>
            <w:r>
              <w:rPr>
                <w:rFonts w:hint="default"/>
                <w:vertAlign w:val="baseline"/>
                <w:lang w:val="en-US" w:eastAsia="zh-CN"/>
              </w:rPr>
              <w:t>GB7963-M3-BD-0</w:t>
            </w:r>
            <w:r>
              <w:rPr>
                <w:rFonts w:hint="eastAsia"/>
                <w:vertAlign w:val="baseline"/>
                <w:lang w:val="en-US" w:eastAsia="zh-CN"/>
              </w:rPr>
              <w:t>1</w:t>
            </w:r>
          </w:p>
        </w:tc>
        <w:tc>
          <w:tcPr>
            <w:tcW w:w="1231" w:type="dxa"/>
            <w:vAlign w:val="center"/>
          </w:tcPr>
          <w:p w14:paraId="56871167">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44B6E350">
            <w:pPr>
              <w:jc w:val="center"/>
              <w:rPr>
                <w:rFonts w:hint="default"/>
                <w:vertAlign w:val="baseline"/>
                <w:lang w:val="en-US" w:eastAsia="zh-CN"/>
              </w:rPr>
            </w:pPr>
            <w:r>
              <w:rPr>
                <w:rFonts w:hint="eastAsia"/>
                <w:vertAlign w:val="baseline"/>
                <w:lang w:val="en-US" w:eastAsia="zh-CN"/>
              </w:rPr>
              <w:t>6.00</w:t>
            </w:r>
          </w:p>
        </w:tc>
        <w:tc>
          <w:tcPr>
            <w:tcW w:w="1232" w:type="dxa"/>
            <w:vAlign w:val="center"/>
          </w:tcPr>
          <w:p w14:paraId="78E060CD">
            <w:pPr>
              <w:jc w:val="center"/>
              <w:rPr>
                <w:rFonts w:hint="default"/>
                <w:vertAlign w:val="baseline"/>
                <w:lang w:val="en-US" w:eastAsia="zh-CN"/>
              </w:rPr>
            </w:pPr>
            <w:r>
              <w:rPr>
                <w:rFonts w:hint="eastAsia"/>
                <w:vertAlign w:val="baseline"/>
                <w:lang w:val="en-US" w:eastAsia="zh-CN"/>
              </w:rPr>
              <w:t>23.8</w:t>
            </w:r>
          </w:p>
        </w:tc>
        <w:tc>
          <w:tcPr>
            <w:tcW w:w="1232" w:type="dxa"/>
            <w:vAlign w:val="center"/>
          </w:tcPr>
          <w:p w14:paraId="2AFFD100">
            <w:pPr>
              <w:jc w:val="center"/>
              <w:rPr>
                <w:rFonts w:hint="default"/>
                <w:vertAlign w:val="baseline"/>
                <w:lang w:val="en-US" w:eastAsia="zh-CN"/>
              </w:rPr>
            </w:pPr>
            <w:r>
              <w:rPr>
                <w:rFonts w:hint="eastAsia"/>
                <w:vertAlign w:val="baseline"/>
                <w:lang w:val="en-US" w:eastAsia="zh-CN"/>
              </w:rPr>
              <w:t>798</w:t>
            </w:r>
          </w:p>
        </w:tc>
        <w:tc>
          <w:tcPr>
            <w:tcW w:w="1232" w:type="dxa"/>
            <w:vAlign w:val="center"/>
          </w:tcPr>
          <w:p w14:paraId="18EFE364">
            <w:pPr>
              <w:jc w:val="center"/>
            </w:pPr>
            <w:r>
              <w:t>标距内</w:t>
            </w:r>
          </w:p>
        </w:tc>
      </w:tr>
      <w:tr w14:paraId="7CA6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14:paraId="74544C37">
            <w:pPr>
              <w:jc w:val="center"/>
              <w:rPr>
                <w:rFonts w:hint="default"/>
                <w:vertAlign w:val="baseline"/>
                <w:lang w:val="en-US" w:eastAsia="zh-CN"/>
              </w:rPr>
            </w:pPr>
          </w:p>
        </w:tc>
        <w:tc>
          <w:tcPr>
            <w:tcW w:w="2001" w:type="dxa"/>
            <w:vAlign w:val="center"/>
          </w:tcPr>
          <w:p w14:paraId="300CF543">
            <w:pPr>
              <w:jc w:val="center"/>
              <w:rPr>
                <w:rFonts w:hint="default"/>
                <w:vertAlign w:val="baseline"/>
                <w:lang w:val="en-US" w:eastAsia="zh-CN"/>
              </w:rPr>
            </w:pPr>
            <w:r>
              <w:rPr>
                <w:rFonts w:hint="default"/>
                <w:vertAlign w:val="baseline"/>
                <w:lang w:val="en-US" w:eastAsia="zh-CN"/>
              </w:rPr>
              <w:t>GB7963-M3-BD-02</w:t>
            </w:r>
          </w:p>
        </w:tc>
        <w:tc>
          <w:tcPr>
            <w:tcW w:w="1231" w:type="dxa"/>
            <w:vAlign w:val="center"/>
          </w:tcPr>
          <w:p w14:paraId="51378973">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45E3CD45">
            <w:pPr>
              <w:jc w:val="center"/>
              <w:rPr>
                <w:rFonts w:hint="default"/>
                <w:vertAlign w:val="baseline"/>
                <w:lang w:val="en-US" w:eastAsia="zh-CN"/>
              </w:rPr>
            </w:pPr>
            <w:r>
              <w:rPr>
                <w:rFonts w:hint="eastAsia"/>
                <w:vertAlign w:val="baseline"/>
                <w:lang w:val="en-US" w:eastAsia="zh-CN"/>
              </w:rPr>
              <w:t>5.98</w:t>
            </w:r>
          </w:p>
        </w:tc>
        <w:tc>
          <w:tcPr>
            <w:tcW w:w="1232" w:type="dxa"/>
            <w:vAlign w:val="center"/>
          </w:tcPr>
          <w:p w14:paraId="23FE3ACA">
            <w:pPr>
              <w:jc w:val="center"/>
              <w:rPr>
                <w:rFonts w:hint="default"/>
                <w:vertAlign w:val="baseline"/>
                <w:lang w:val="en-US" w:eastAsia="zh-CN"/>
              </w:rPr>
            </w:pPr>
            <w:r>
              <w:rPr>
                <w:rFonts w:hint="eastAsia"/>
                <w:vertAlign w:val="baseline"/>
                <w:lang w:val="en-US" w:eastAsia="zh-CN"/>
              </w:rPr>
              <w:t>21.5</w:t>
            </w:r>
          </w:p>
        </w:tc>
        <w:tc>
          <w:tcPr>
            <w:tcW w:w="1232" w:type="dxa"/>
            <w:vAlign w:val="center"/>
          </w:tcPr>
          <w:p w14:paraId="5027B332">
            <w:pPr>
              <w:jc w:val="center"/>
              <w:rPr>
                <w:rFonts w:hint="default"/>
                <w:vertAlign w:val="baseline"/>
                <w:lang w:val="en-US" w:eastAsia="zh-CN"/>
              </w:rPr>
            </w:pPr>
            <w:r>
              <w:rPr>
                <w:rFonts w:hint="eastAsia"/>
                <w:vertAlign w:val="baseline"/>
                <w:lang w:val="en-US" w:eastAsia="zh-CN"/>
              </w:rPr>
              <w:t>728</w:t>
            </w:r>
          </w:p>
        </w:tc>
        <w:tc>
          <w:tcPr>
            <w:tcW w:w="1232" w:type="dxa"/>
            <w:vAlign w:val="center"/>
          </w:tcPr>
          <w:p w14:paraId="4974B1D5">
            <w:pPr>
              <w:jc w:val="center"/>
            </w:pPr>
            <w:r>
              <w:t>标距内</w:t>
            </w:r>
          </w:p>
        </w:tc>
      </w:tr>
      <w:tr w14:paraId="6BB5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14:paraId="67AD9AD2">
            <w:pPr>
              <w:jc w:val="center"/>
              <w:rPr>
                <w:rFonts w:hint="default"/>
                <w:vertAlign w:val="baseline"/>
                <w:lang w:val="en-US" w:eastAsia="zh-CN"/>
              </w:rPr>
            </w:pPr>
          </w:p>
        </w:tc>
        <w:tc>
          <w:tcPr>
            <w:tcW w:w="2001" w:type="dxa"/>
            <w:vAlign w:val="center"/>
          </w:tcPr>
          <w:p w14:paraId="6D0A9282">
            <w:pPr>
              <w:jc w:val="center"/>
              <w:rPr>
                <w:rFonts w:hint="default"/>
                <w:vertAlign w:val="baseline"/>
                <w:lang w:val="en-US" w:eastAsia="zh-CN"/>
              </w:rPr>
            </w:pPr>
            <w:r>
              <w:rPr>
                <w:rFonts w:hint="default"/>
                <w:vertAlign w:val="baseline"/>
                <w:lang w:val="en-US" w:eastAsia="zh-CN"/>
              </w:rPr>
              <w:t>GB7963-M3-BD-</w:t>
            </w:r>
            <w:r>
              <w:rPr>
                <w:rFonts w:hint="eastAsia"/>
                <w:vertAlign w:val="baseline"/>
                <w:lang w:val="en-US" w:eastAsia="zh-CN"/>
              </w:rPr>
              <w:t>03</w:t>
            </w:r>
          </w:p>
        </w:tc>
        <w:tc>
          <w:tcPr>
            <w:tcW w:w="1231" w:type="dxa"/>
            <w:vAlign w:val="center"/>
          </w:tcPr>
          <w:p w14:paraId="7742DEB8">
            <w:pPr>
              <w:jc w:val="center"/>
              <w:rPr>
                <w:rFonts w:hint="eastAsia"/>
                <w:vertAlign w:val="baseline"/>
                <w:lang w:val="en-US" w:eastAsia="zh-CN"/>
              </w:rPr>
            </w:pPr>
            <w:r>
              <w:rPr>
                <w:rFonts w:hint="eastAsia"/>
                <w:vertAlign w:val="baseline"/>
                <w:lang w:val="en-US" w:eastAsia="zh-CN"/>
              </w:rPr>
              <w:t>25.0</w:t>
            </w:r>
          </w:p>
        </w:tc>
        <w:tc>
          <w:tcPr>
            <w:tcW w:w="1232" w:type="dxa"/>
            <w:vAlign w:val="center"/>
          </w:tcPr>
          <w:p w14:paraId="0790AF64">
            <w:pPr>
              <w:jc w:val="center"/>
              <w:rPr>
                <w:rFonts w:hint="default"/>
                <w:vertAlign w:val="baseline"/>
                <w:lang w:val="en-US" w:eastAsia="zh-CN"/>
              </w:rPr>
            </w:pPr>
            <w:r>
              <w:rPr>
                <w:rFonts w:hint="eastAsia"/>
                <w:vertAlign w:val="baseline"/>
                <w:lang w:val="en-US" w:eastAsia="zh-CN"/>
              </w:rPr>
              <w:t>6.04</w:t>
            </w:r>
          </w:p>
        </w:tc>
        <w:tc>
          <w:tcPr>
            <w:tcW w:w="1232" w:type="dxa"/>
            <w:vAlign w:val="center"/>
          </w:tcPr>
          <w:p w14:paraId="42FD63CA">
            <w:pPr>
              <w:jc w:val="center"/>
              <w:rPr>
                <w:rFonts w:hint="default"/>
                <w:vertAlign w:val="baseline"/>
                <w:lang w:val="en-US" w:eastAsia="zh-CN"/>
              </w:rPr>
            </w:pPr>
            <w:r>
              <w:rPr>
                <w:rFonts w:hint="eastAsia"/>
                <w:vertAlign w:val="baseline"/>
                <w:lang w:val="en-US" w:eastAsia="zh-CN"/>
              </w:rPr>
              <w:t>21.4</w:t>
            </w:r>
          </w:p>
        </w:tc>
        <w:tc>
          <w:tcPr>
            <w:tcW w:w="1232" w:type="dxa"/>
            <w:vAlign w:val="center"/>
          </w:tcPr>
          <w:p w14:paraId="61E78542">
            <w:pPr>
              <w:jc w:val="center"/>
              <w:rPr>
                <w:rFonts w:hint="default"/>
                <w:vertAlign w:val="baseline"/>
                <w:lang w:val="en-US" w:eastAsia="zh-CN"/>
              </w:rPr>
            </w:pPr>
            <w:r>
              <w:rPr>
                <w:rFonts w:hint="eastAsia"/>
                <w:vertAlign w:val="baseline"/>
                <w:lang w:val="en-US" w:eastAsia="zh-CN"/>
              </w:rPr>
              <w:t>720</w:t>
            </w:r>
          </w:p>
        </w:tc>
        <w:tc>
          <w:tcPr>
            <w:tcW w:w="1232" w:type="dxa"/>
            <w:vAlign w:val="center"/>
          </w:tcPr>
          <w:p w14:paraId="4609FBE9">
            <w:pPr>
              <w:jc w:val="center"/>
            </w:pPr>
            <w:r>
              <w:t>标距内</w:t>
            </w:r>
          </w:p>
        </w:tc>
      </w:tr>
    </w:tbl>
    <w:p w14:paraId="77A20827">
      <w:pPr>
        <w:keepNext w:val="0"/>
        <w:keepLines w:val="0"/>
        <w:pageBreakBefore w:val="0"/>
        <w:widowControl/>
        <w:kinsoku/>
        <w:wordWrap/>
        <w:overflowPunct/>
        <w:topLinePunct w:val="0"/>
        <w:autoSpaceDE/>
        <w:autoSpaceDN/>
        <w:bidi w:val="0"/>
        <w:adjustRightInd/>
        <w:snapToGrid/>
        <w:spacing w:before="157" w:beforeLines="50"/>
        <w:ind w:firstLine="420" w:firstLineChars="200"/>
        <w:textAlignment w:val="auto"/>
        <w:rPr>
          <w:rFonts w:hint="default"/>
          <w:lang w:val="en-US" w:eastAsia="zh-CN"/>
        </w:rPr>
      </w:pPr>
      <w:r>
        <w:rPr>
          <w:rFonts w:hint="default"/>
          <w:lang w:val="en-US" w:eastAsia="zh-CN"/>
        </w:rPr>
        <w:t>试样厚度控制在5.85~6.06mm，完全符合标准5~6.5mm的尺寸要求，模腔脱模锥度设计合理，压制‑烧结后无分层、裂纹；20个有效试样</w:t>
      </w:r>
      <w:r>
        <w:rPr>
          <w:rFonts w:hint="eastAsia"/>
          <w:lang w:val="en-US" w:eastAsia="zh-CN"/>
        </w:rPr>
        <w:t>均</w:t>
      </w:r>
      <w:r>
        <w:rPr>
          <w:rFonts w:hint="default"/>
          <w:lang w:val="en-US" w:eastAsia="zh-CN"/>
        </w:rPr>
        <w:t>在标距内断裂，无夹持端应力集中断裂，证明标距长度、夹持过渡结构设计精准，可稳定引导断裂在有效测试区域。</w:t>
      </w:r>
    </w:p>
    <w:p w14:paraId="73A58FC3">
      <w:pPr>
        <w:pStyle w:val="11"/>
        <w:spacing w:before="156" w:after="156"/>
        <w:rPr>
          <w:rFonts w:hint="default" w:eastAsia="黑体"/>
          <w:lang w:val="en-US" w:eastAsia="zh-CN"/>
        </w:rPr>
      </w:pPr>
      <w:r>
        <w:rPr>
          <w:rFonts w:hint="eastAsia"/>
        </w:rPr>
        <w:t>表</w:t>
      </w:r>
      <w:r>
        <w:rPr>
          <w:rFonts w:hint="eastAsia"/>
          <w:lang w:val="en-US" w:eastAsia="zh-CN"/>
        </w:rPr>
        <w:t>3</w:t>
      </w:r>
      <w:r>
        <w:rPr>
          <w:rFonts w:hint="eastAsia"/>
        </w:rPr>
        <w:t xml:space="preserve">  </w:t>
      </w:r>
      <w:r>
        <w:rPr>
          <w:rFonts w:hint="eastAsia"/>
          <w:lang w:val="en-US" w:eastAsia="zh-CN"/>
        </w:rPr>
        <w:t>压制-烧结试样数据统计</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269"/>
        <w:gridCol w:w="1200"/>
        <w:gridCol w:w="1329"/>
        <w:gridCol w:w="2464"/>
        <w:gridCol w:w="2514"/>
      </w:tblGrid>
      <w:tr w14:paraId="188F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14:paraId="68C45878">
            <w:pPr>
              <w:jc w:val="center"/>
              <w:rPr>
                <w:rFonts w:hint="default"/>
                <w:vertAlign w:val="baseline"/>
                <w:lang w:val="en-US" w:eastAsia="zh-CN"/>
              </w:rPr>
            </w:pPr>
            <w:r>
              <w:rPr>
                <w:rFonts w:hint="eastAsia"/>
                <w:vertAlign w:val="baseline"/>
                <w:lang w:val="en-US" w:eastAsia="zh-CN"/>
              </w:rPr>
              <w:t>测试指标</w:t>
            </w:r>
          </w:p>
        </w:tc>
        <w:tc>
          <w:tcPr>
            <w:tcW w:w="1269" w:type="dxa"/>
            <w:vAlign w:val="center"/>
          </w:tcPr>
          <w:p w14:paraId="7C9D0239">
            <w:pPr>
              <w:jc w:val="center"/>
              <w:rPr>
                <w:rFonts w:hint="default"/>
                <w:vertAlign w:val="baseline"/>
                <w:lang w:val="en-US" w:eastAsia="zh-CN"/>
              </w:rPr>
            </w:pPr>
            <w:r>
              <w:rPr>
                <w:rFonts w:hint="eastAsia"/>
                <w:vertAlign w:val="baseline"/>
                <w:lang w:val="en-US" w:eastAsia="zh-CN"/>
              </w:rPr>
              <w:t>有效试样数</w:t>
            </w:r>
          </w:p>
        </w:tc>
        <w:tc>
          <w:tcPr>
            <w:tcW w:w="1200" w:type="dxa"/>
            <w:vAlign w:val="center"/>
          </w:tcPr>
          <w:p w14:paraId="3368F12A">
            <w:pPr>
              <w:jc w:val="center"/>
              <w:rPr>
                <w:rFonts w:hint="default"/>
                <w:vertAlign w:val="baseline"/>
                <w:lang w:val="en-US" w:eastAsia="zh-CN"/>
              </w:rPr>
            </w:pPr>
            <w:r>
              <w:rPr>
                <w:rFonts w:hint="eastAsia"/>
                <w:vertAlign w:val="baseline"/>
                <w:lang w:val="en-US" w:eastAsia="zh-CN"/>
              </w:rPr>
              <w:t>平均值（MPa）</w:t>
            </w:r>
          </w:p>
        </w:tc>
        <w:tc>
          <w:tcPr>
            <w:tcW w:w="1329" w:type="dxa"/>
            <w:vAlign w:val="center"/>
          </w:tcPr>
          <w:p w14:paraId="4862D60E">
            <w:pPr>
              <w:jc w:val="center"/>
              <w:rPr>
                <w:rFonts w:hint="default"/>
                <w:vertAlign w:val="baseline"/>
                <w:lang w:val="en-US" w:eastAsia="zh-CN"/>
              </w:rPr>
            </w:pPr>
            <w:r>
              <w:rPr>
                <w:rFonts w:hint="eastAsia"/>
                <w:vertAlign w:val="baseline"/>
                <w:lang w:val="en-US" w:eastAsia="zh-CN"/>
              </w:rPr>
              <w:t>标准差（MPa）</w:t>
            </w:r>
          </w:p>
        </w:tc>
        <w:tc>
          <w:tcPr>
            <w:tcW w:w="0" w:type="auto"/>
            <w:vAlign w:val="center"/>
          </w:tcPr>
          <w:p w14:paraId="128E2747">
            <w:pPr>
              <w:jc w:val="center"/>
              <w:rPr>
                <w:rFonts w:hint="default"/>
                <w:vertAlign w:val="baseline"/>
                <w:lang w:val="en-US" w:eastAsia="zh-CN"/>
              </w:rPr>
            </w:pPr>
            <w:r>
              <w:rPr>
                <w:rFonts w:hint="default"/>
                <w:vertAlign w:val="baseline"/>
                <w:lang w:val="en-US" w:eastAsia="zh-CN"/>
              </w:rPr>
              <w:t>室内重复性变异系数CVr（%）</w:t>
            </w:r>
          </w:p>
        </w:tc>
        <w:tc>
          <w:tcPr>
            <w:tcW w:w="0" w:type="auto"/>
            <w:vAlign w:val="center"/>
          </w:tcPr>
          <w:p w14:paraId="5EF83A4C">
            <w:pPr>
              <w:jc w:val="center"/>
              <w:rPr>
                <w:rFonts w:hint="default"/>
                <w:vertAlign w:val="baseline"/>
                <w:lang w:val="en-US" w:eastAsia="zh-CN"/>
              </w:rPr>
            </w:pPr>
            <w:r>
              <w:rPr>
                <w:rFonts w:hint="default"/>
                <w:vertAlign w:val="baseline"/>
                <w:lang w:val="en-US" w:eastAsia="zh-CN"/>
              </w:rPr>
              <w:t>室间再现性变异系数CVR（%）</w:t>
            </w:r>
          </w:p>
        </w:tc>
      </w:tr>
      <w:tr w14:paraId="68F2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center"/>
          </w:tcPr>
          <w:p w14:paraId="005855A7">
            <w:pPr>
              <w:jc w:val="center"/>
              <w:rPr>
                <w:rFonts w:hint="default"/>
                <w:vertAlign w:val="baseline"/>
                <w:lang w:val="en-US" w:eastAsia="zh-CN"/>
              </w:rPr>
            </w:pPr>
            <w:r>
              <w:rPr>
                <w:rFonts w:hint="eastAsia"/>
                <w:vertAlign w:val="baseline"/>
                <w:lang w:val="en-US" w:eastAsia="zh-CN"/>
              </w:rPr>
              <w:t>抗拉强度</w:t>
            </w:r>
          </w:p>
        </w:tc>
        <w:tc>
          <w:tcPr>
            <w:tcW w:w="1269" w:type="dxa"/>
            <w:vAlign w:val="center"/>
          </w:tcPr>
          <w:p w14:paraId="0E085E69">
            <w:pPr>
              <w:jc w:val="center"/>
              <w:rPr>
                <w:rFonts w:hint="default"/>
                <w:vertAlign w:val="baseline"/>
                <w:lang w:val="en-US" w:eastAsia="zh-CN"/>
              </w:rPr>
            </w:pPr>
            <w:r>
              <w:rPr>
                <w:rFonts w:hint="eastAsia"/>
                <w:vertAlign w:val="baseline"/>
                <w:lang w:val="en-US" w:eastAsia="zh-CN"/>
              </w:rPr>
              <w:t>20</w:t>
            </w:r>
          </w:p>
        </w:tc>
        <w:tc>
          <w:tcPr>
            <w:tcW w:w="1200" w:type="dxa"/>
            <w:vAlign w:val="center"/>
          </w:tcPr>
          <w:p w14:paraId="61DA0D7E">
            <w:pPr>
              <w:jc w:val="center"/>
              <w:rPr>
                <w:rFonts w:hint="default"/>
                <w:vertAlign w:val="baseline"/>
                <w:lang w:val="en-US" w:eastAsia="zh-CN"/>
              </w:rPr>
            </w:pPr>
            <w:r>
              <w:rPr>
                <w:rFonts w:hint="eastAsia"/>
                <w:vertAlign w:val="baseline"/>
                <w:lang w:val="en-US" w:eastAsia="zh-CN"/>
              </w:rPr>
              <w:t>773.4</w:t>
            </w:r>
          </w:p>
        </w:tc>
        <w:tc>
          <w:tcPr>
            <w:tcW w:w="1329" w:type="dxa"/>
            <w:vAlign w:val="center"/>
          </w:tcPr>
          <w:p w14:paraId="6B9586F6">
            <w:pPr>
              <w:jc w:val="center"/>
              <w:rPr>
                <w:rFonts w:hint="default"/>
                <w:vertAlign w:val="baseline"/>
                <w:lang w:val="en-US" w:eastAsia="zh-CN"/>
              </w:rPr>
            </w:pPr>
            <w:r>
              <w:rPr>
                <w:rFonts w:hint="eastAsia"/>
                <w:vertAlign w:val="baseline"/>
                <w:lang w:val="en-US" w:eastAsia="zh-CN"/>
              </w:rPr>
              <w:t>37.1</w:t>
            </w:r>
          </w:p>
        </w:tc>
        <w:tc>
          <w:tcPr>
            <w:tcW w:w="0" w:type="auto"/>
            <w:vAlign w:val="center"/>
          </w:tcPr>
          <w:p w14:paraId="76AF61A4">
            <w:pPr>
              <w:jc w:val="center"/>
              <w:rPr>
                <w:rFonts w:hint="default"/>
                <w:vertAlign w:val="baseline"/>
                <w:lang w:val="en-US" w:eastAsia="zh-CN"/>
              </w:rPr>
            </w:pPr>
            <w:r>
              <w:rPr>
                <w:rFonts w:hint="default" w:ascii="Times New Roman" w:hAnsi="Times New Roman" w:cs="Times New Roman"/>
                <w:vertAlign w:val="baseline"/>
                <w:lang w:val="en-US" w:eastAsia="zh-CN"/>
              </w:rPr>
              <w:t>≤</w:t>
            </w:r>
            <w:r>
              <w:rPr>
                <w:rFonts w:hint="eastAsia" w:cs="Times New Roman"/>
                <w:vertAlign w:val="baseline"/>
                <w:lang w:val="en-US" w:eastAsia="zh-CN"/>
              </w:rPr>
              <w:t>3.2</w:t>
            </w:r>
          </w:p>
        </w:tc>
        <w:tc>
          <w:tcPr>
            <w:tcW w:w="0" w:type="auto"/>
            <w:vAlign w:val="center"/>
          </w:tcPr>
          <w:p w14:paraId="31728787">
            <w:pPr>
              <w:jc w:val="center"/>
              <w:rPr>
                <w:rFonts w:hint="default"/>
                <w:vertAlign w:val="baseline"/>
                <w:lang w:val="en-US" w:eastAsia="zh-CN"/>
              </w:rPr>
            </w:pPr>
            <w:r>
              <w:rPr>
                <w:rFonts w:hint="eastAsia"/>
                <w:vertAlign w:val="baseline"/>
                <w:lang w:val="en-US" w:eastAsia="zh-CN"/>
              </w:rPr>
              <w:t>4.80</w:t>
            </w:r>
          </w:p>
        </w:tc>
      </w:tr>
    </w:tbl>
    <w:p w14:paraId="1088F207">
      <w:pPr>
        <w:keepNext w:val="0"/>
        <w:keepLines w:val="0"/>
        <w:pageBreakBefore w:val="0"/>
        <w:widowControl/>
        <w:kinsoku/>
        <w:wordWrap/>
        <w:overflowPunct/>
        <w:topLinePunct w:val="0"/>
        <w:autoSpaceDE/>
        <w:autoSpaceDN/>
        <w:bidi w:val="0"/>
        <w:adjustRightInd/>
        <w:snapToGrid/>
        <w:spacing w:before="157" w:beforeLines="50"/>
        <w:ind w:firstLine="420" w:firstLineChars="200"/>
        <w:textAlignment w:val="auto"/>
        <w:rPr>
          <w:rFonts w:hint="eastAsia"/>
          <w:lang w:val="en-US" w:eastAsia="zh-CN"/>
        </w:rPr>
      </w:pPr>
      <w:r>
        <w:rPr>
          <w:rFonts w:hint="default"/>
          <w:lang w:val="en-US" w:eastAsia="zh-CN"/>
        </w:rPr>
        <w:t>压制‑烧结试样数据统计</w:t>
      </w:r>
      <w:r>
        <w:rPr>
          <w:rFonts w:hint="eastAsia"/>
          <w:lang w:val="en-US" w:eastAsia="zh-CN"/>
        </w:rPr>
        <w:t>如表3所示，</w:t>
      </w:r>
      <w:r>
        <w:rPr>
          <w:rFonts w:hint="default"/>
          <w:lang w:val="en-US" w:eastAsia="zh-CN"/>
        </w:rPr>
        <w:t>室内重复性变异系数≤3.2%，同一实验室测试数据波动极小，源于模腔尺寸统一、试样压制厚度均匀、装夹定位一致；室间再现性变异系数4.80%，低于烧结材料行业8%的阈值，不同实验室均可通过标准模腔制备合格试样，验证了尺寸设计的跨实验室普适性。</w:t>
      </w:r>
    </w:p>
    <w:p w14:paraId="7C4A918C">
      <w:pPr>
        <w:pStyle w:val="4"/>
        <w:spacing w:before="156" w:after="156"/>
        <w:rPr>
          <w:rFonts w:hint="eastAsia"/>
          <w:lang w:val="en-US" w:eastAsia="zh-CN"/>
        </w:rPr>
      </w:pPr>
      <w:r>
        <w:rPr>
          <w:rFonts w:hint="eastAsia"/>
          <w:lang w:val="en-US" w:eastAsia="zh-CN"/>
        </w:rPr>
        <w:t>金属注射成型试样（A2型）</w:t>
      </w:r>
    </w:p>
    <w:p w14:paraId="3BE85A83">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该试样为金属注射成型试样A2型，有4家单位参与测试，结果如下：</w:t>
      </w:r>
    </w:p>
    <w:p w14:paraId="7916A2BF">
      <w:pPr>
        <w:pStyle w:val="11"/>
        <w:spacing w:before="156" w:after="156"/>
        <w:rPr>
          <w:rFonts w:hint="default"/>
          <w:lang w:val="en-US" w:eastAsia="zh-CN"/>
        </w:rPr>
      </w:pPr>
      <w:r>
        <w:rPr>
          <w:rFonts w:hint="eastAsia"/>
        </w:rPr>
        <w:t>表</w:t>
      </w:r>
      <w:r>
        <w:rPr>
          <w:rFonts w:hint="eastAsia"/>
          <w:lang w:val="en-US" w:eastAsia="zh-CN"/>
        </w:rPr>
        <w:t>4</w:t>
      </w:r>
      <w:r>
        <w:rPr>
          <w:rFonts w:hint="eastAsia"/>
        </w:rPr>
        <w:t xml:space="preserve">  </w:t>
      </w:r>
      <w:r>
        <w:rPr>
          <w:rFonts w:hint="eastAsia"/>
          <w:lang w:val="en-US" w:eastAsia="zh-CN"/>
        </w:rPr>
        <w:t>金属注射成型试样试验数据</w:t>
      </w:r>
    </w:p>
    <w:tbl>
      <w:tblPr>
        <w:tblStyle w:val="21"/>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954"/>
        <w:gridCol w:w="983"/>
        <w:gridCol w:w="1063"/>
        <w:gridCol w:w="1063"/>
        <w:gridCol w:w="1120"/>
        <w:gridCol w:w="1131"/>
        <w:gridCol w:w="1051"/>
        <w:gridCol w:w="952"/>
      </w:tblGrid>
      <w:tr w14:paraId="639C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Align w:val="center"/>
          </w:tcPr>
          <w:p w14:paraId="52E93D4C">
            <w:pPr>
              <w:jc w:val="center"/>
              <w:rPr>
                <w:rFonts w:hint="default" w:eastAsia="宋体"/>
                <w:lang w:val="en-US" w:eastAsia="zh-CN"/>
              </w:rPr>
            </w:pPr>
            <w:r>
              <w:rPr>
                <w:rFonts w:hint="eastAsia"/>
                <w:lang w:val="en-US" w:eastAsia="zh-CN"/>
              </w:rPr>
              <w:t>测试单位</w:t>
            </w:r>
          </w:p>
        </w:tc>
        <w:tc>
          <w:tcPr>
            <w:tcW w:w="1954" w:type="dxa"/>
            <w:vAlign w:val="center"/>
          </w:tcPr>
          <w:p w14:paraId="2C3E6F82">
            <w:pPr>
              <w:jc w:val="center"/>
            </w:pPr>
            <w:r>
              <w:rPr>
                <w:rFonts w:hint="eastAsia"/>
              </w:rPr>
              <w:t>试样编号</w:t>
            </w:r>
          </w:p>
        </w:tc>
        <w:tc>
          <w:tcPr>
            <w:tcW w:w="983" w:type="dxa"/>
            <w:vAlign w:val="center"/>
          </w:tcPr>
          <w:p w14:paraId="1AF65003">
            <w:pPr>
              <w:jc w:val="center"/>
            </w:pPr>
            <w:r>
              <w:rPr>
                <w:rFonts w:hint="eastAsia"/>
              </w:rPr>
              <w:t>标距（mm）</w:t>
            </w:r>
          </w:p>
        </w:tc>
        <w:tc>
          <w:tcPr>
            <w:tcW w:w="1063" w:type="dxa"/>
            <w:vAlign w:val="center"/>
          </w:tcPr>
          <w:p w14:paraId="0E2A5362">
            <w:pPr>
              <w:jc w:val="center"/>
            </w:pPr>
            <w:r>
              <w:rPr>
                <w:rFonts w:hint="eastAsia"/>
              </w:rPr>
              <w:t>实际直径（mm）</w:t>
            </w:r>
          </w:p>
        </w:tc>
        <w:tc>
          <w:tcPr>
            <w:tcW w:w="1063" w:type="dxa"/>
            <w:vAlign w:val="center"/>
          </w:tcPr>
          <w:p w14:paraId="10D63B96">
            <w:pPr>
              <w:jc w:val="center"/>
            </w:pPr>
            <w:r>
              <w:rPr>
                <w:rFonts w:hint="eastAsia"/>
              </w:rPr>
              <w:t>最大拉力（KN）</w:t>
            </w:r>
          </w:p>
        </w:tc>
        <w:tc>
          <w:tcPr>
            <w:tcW w:w="1120" w:type="dxa"/>
            <w:vAlign w:val="center"/>
          </w:tcPr>
          <w:p w14:paraId="788DB5D3">
            <w:pPr>
              <w:jc w:val="center"/>
            </w:pPr>
            <w:r>
              <w:rPr>
                <w:rFonts w:hint="eastAsia"/>
              </w:rPr>
              <w:t>屈服强度（MPa）</w:t>
            </w:r>
          </w:p>
        </w:tc>
        <w:tc>
          <w:tcPr>
            <w:tcW w:w="1131" w:type="dxa"/>
            <w:vAlign w:val="center"/>
          </w:tcPr>
          <w:p w14:paraId="7D13ED49">
            <w:pPr>
              <w:jc w:val="center"/>
            </w:pPr>
            <w:r>
              <w:rPr>
                <w:rFonts w:hint="eastAsia"/>
              </w:rPr>
              <w:t>抗拉强度（MPa）</w:t>
            </w:r>
          </w:p>
        </w:tc>
        <w:tc>
          <w:tcPr>
            <w:tcW w:w="1051" w:type="dxa"/>
            <w:vAlign w:val="center"/>
          </w:tcPr>
          <w:p w14:paraId="51944771">
            <w:pPr>
              <w:jc w:val="center"/>
            </w:pPr>
            <w:r>
              <w:rPr>
                <w:rFonts w:hint="eastAsia"/>
              </w:rPr>
              <w:t>断裂伸长率（%）</w:t>
            </w:r>
          </w:p>
        </w:tc>
        <w:tc>
          <w:tcPr>
            <w:tcW w:w="952" w:type="dxa"/>
            <w:vAlign w:val="center"/>
          </w:tcPr>
          <w:p w14:paraId="113F8361">
            <w:pPr>
              <w:jc w:val="center"/>
            </w:pPr>
            <w:r>
              <w:t>断裂</w:t>
            </w:r>
          </w:p>
          <w:p w14:paraId="309FEA03">
            <w:pPr>
              <w:jc w:val="center"/>
            </w:pPr>
            <w:r>
              <w:t>位置</w:t>
            </w:r>
          </w:p>
        </w:tc>
      </w:tr>
      <w:tr w14:paraId="0DA6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restart"/>
            <w:vAlign w:val="center"/>
          </w:tcPr>
          <w:p w14:paraId="7B5BBF44">
            <w:pPr>
              <w:jc w:val="center"/>
              <w:rPr>
                <w:rFonts w:hint="eastAsia" w:eastAsia="宋体"/>
                <w:lang w:val="en-US" w:eastAsia="zh-CN"/>
              </w:rPr>
            </w:pPr>
            <w:r>
              <w:rPr>
                <w:rFonts w:hint="eastAsia"/>
                <w:lang w:val="en-US" w:eastAsia="zh-CN"/>
              </w:rPr>
              <w:t>钢研院</w:t>
            </w:r>
          </w:p>
        </w:tc>
        <w:tc>
          <w:tcPr>
            <w:tcW w:w="1954" w:type="dxa"/>
            <w:vAlign w:val="center"/>
          </w:tcPr>
          <w:p w14:paraId="54447645">
            <w:pPr>
              <w:jc w:val="center"/>
            </w:pPr>
            <w:r>
              <w:rPr>
                <w:rFonts w:hint="eastAsia"/>
              </w:rPr>
              <w:t>GB7963-M4-GY-01</w:t>
            </w:r>
          </w:p>
        </w:tc>
        <w:tc>
          <w:tcPr>
            <w:tcW w:w="983" w:type="dxa"/>
            <w:vAlign w:val="center"/>
          </w:tcPr>
          <w:p w14:paraId="53B3DB25">
            <w:pPr>
              <w:jc w:val="center"/>
            </w:pPr>
            <w:r>
              <w:t>25.0</w:t>
            </w:r>
          </w:p>
        </w:tc>
        <w:tc>
          <w:tcPr>
            <w:tcW w:w="1063" w:type="dxa"/>
            <w:vAlign w:val="center"/>
          </w:tcPr>
          <w:p w14:paraId="6818AF79">
            <w:pPr>
              <w:jc w:val="center"/>
              <w:rPr>
                <w:rFonts w:hint="default" w:eastAsia="宋体"/>
                <w:lang w:val="en-US" w:eastAsia="zh-CN"/>
              </w:rPr>
            </w:pPr>
            <w:r>
              <w:rPr>
                <w:rFonts w:hint="eastAsia"/>
                <w:lang w:val="en-US" w:eastAsia="zh-CN"/>
              </w:rPr>
              <w:t>3.21</w:t>
            </w:r>
          </w:p>
        </w:tc>
        <w:tc>
          <w:tcPr>
            <w:tcW w:w="1063" w:type="dxa"/>
            <w:vAlign w:val="center"/>
          </w:tcPr>
          <w:p w14:paraId="342D0E92">
            <w:pPr>
              <w:jc w:val="center"/>
              <w:rPr>
                <w:rFonts w:hint="default" w:eastAsia="宋体"/>
                <w:lang w:val="en-US" w:eastAsia="zh-CN"/>
              </w:rPr>
            </w:pPr>
            <w:r>
              <w:rPr>
                <w:rFonts w:hint="eastAsia"/>
                <w:lang w:val="en-US" w:eastAsia="zh-CN"/>
              </w:rPr>
              <w:t>4.58</w:t>
            </w:r>
          </w:p>
        </w:tc>
        <w:tc>
          <w:tcPr>
            <w:tcW w:w="1120" w:type="dxa"/>
            <w:vAlign w:val="center"/>
          </w:tcPr>
          <w:p w14:paraId="31892941">
            <w:pPr>
              <w:jc w:val="center"/>
              <w:rPr>
                <w:rFonts w:hint="default" w:eastAsia="宋体"/>
                <w:lang w:val="en-US" w:eastAsia="zh-CN"/>
              </w:rPr>
            </w:pPr>
            <w:r>
              <w:rPr>
                <w:rFonts w:hint="eastAsia"/>
                <w:lang w:val="en-US" w:eastAsia="zh-CN"/>
              </w:rPr>
              <w:t>174</w:t>
            </w:r>
          </w:p>
        </w:tc>
        <w:tc>
          <w:tcPr>
            <w:tcW w:w="1131" w:type="dxa"/>
            <w:vAlign w:val="center"/>
          </w:tcPr>
          <w:p w14:paraId="0FDFFB29">
            <w:pPr>
              <w:jc w:val="center"/>
              <w:rPr>
                <w:rFonts w:hint="default" w:eastAsia="宋体"/>
                <w:lang w:val="en-US" w:eastAsia="zh-CN"/>
              </w:rPr>
            </w:pPr>
            <w:r>
              <w:rPr>
                <w:rFonts w:hint="eastAsia"/>
                <w:lang w:val="en-US" w:eastAsia="zh-CN"/>
              </w:rPr>
              <w:t>566</w:t>
            </w:r>
          </w:p>
        </w:tc>
        <w:tc>
          <w:tcPr>
            <w:tcW w:w="1051" w:type="dxa"/>
            <w:vAlign w:val="center"/>
          </w:tcPr>
          <w:p w14:paraId="71A1C7B4">
            <w:pPr>
              <w:jc w:val="center"/>
              <w:rPr>
                <w:rFonts w:hint="default" w:eastAsia="宋体"/>
                <w:lang w:val="en-US" w:eastAsia="zh-CN"/>
              </w:rPr>
            </w:pPr>
            <w:r>
              <w:rPr>
                <w:rFonts w:hint="eastAsia"/>
                <w:lang w:val="en-US" w:eastAsia="zh-CN"/>
              </w:rPr>
              <w:t>77.0</w:t>
            </w:r>
          </w:p>
        </w:tc>
        <w:tc>
          <w:tcPr>
            <w:tcW w:w="952" w:type="dxa"/>
            <w:vAlign w:val="center"/>
          </w:tcPr>
          <w:p w14:paraId="0953C2E6">
            <w:pPr>
              <w:jc w:val="center"/>
            </w:pPr>
            <w:r>
              <w:t>标距内</w:t>
            </w:r>
          </w:p>
        </w:tc>
      </w:tr>
      <w:tr w14:paraId="508D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57" w:type="dxa"/>
            <w:vMerge w:val="continue"/>
            <w:vAlign w:val="center"/>
          </w:tcPr>
          <w:p w14:paraId="770FD9F6">
            <w:pPr>
              <w:jc w:val="center"/>
            </w:pPr>
          </w:p>
        </w:tc>
        <w:tc>
          <w:tcPr>
            <w:tcW w:w="1954" w:type="dxa"/>
            <w:vAlign w:val="center"/>
          </w:tcPr>
          <w:p w14:paraId="11340372">
            <w:pPr>
              <w:jc w:val="center"/>
              <w:rPr>
                <w:rFonts w:hint="default" w:eastAsia="宋体"/>
                <w:lang w:val="en-US" w:eastAsia="zh-CN"/>
              </w:rPr>
            </w:pPr>
            <w:r>
              <w:rPr>
                <w:rFonts w:hint="eastAsia"/>
              </w:rPr>
              <w:t>GB7963-M4-GY-</w:t>
            </w:r>
            <w:r>
              <w:rPr>
                <w:rFonts w:hint="eastAsia"/>
                <w:lang w:val="en-US" w:eastAsia="zh-CN"/>
              </w:rPr>
              <w:t>02</w:t>
            </w:r>
          </w:p>
        </w:tc>
        <w:tc>
          <w:tcPr>
            <w:tcW w:w="983" w:type="dxa"/>
            <w:vAlign w:val="center"/>
          </w:tcPr>
          <w:p w14:paraId="3896D00A">
            <w:pPr>
              <w:jc w:val="center"/>
            </w:pPr>
            <w:r>
              <w:t>25.0</w:t>
            </w:r>
          </w:p>
        </w:tc>
        <w:tc>
          <w:tcPr>
            <w:tcW w:w="1063" w:type="dxa"/>
            <w:vAlign w:val="center"/>
          </w:tcPr>
          <w:p w14:paraId="46C633BE">
            <w:pPr>
              <w:jc w:val="center"/>
              <w:rPr>
                <w:rFonts w:hint="default" w:eastAsia="宋体"/>
                <w:lang w:val="en-US" w:eastAsia="zh-CN"/>
              </w:rPr>
            </w:pPr>
            <w:r>
              <w:rPr>
                <w:rFonts w:hint="eastAsia"/>
                <w:lang w:val="en-US" w:eastAsia="zh-CN"/>
              </w:rPr>
              <w:t>3.23</w:t>
            </w:r>
          </w:p>
        </w:tc>
        <w:tc>
          <w:tcPr>
            <w:tcW w:w="1063" w:type="dxa"/>
            <w:vAlign w:val="center"/>
          </w:tcPr>
          <w:p w14:paraId="33777D98">
            <w:pPr>
              <w:jc w:val="center"/>
              <w:rPr>
                <w:rFonts w:hint="default" w:eastAsia="宋体"/>
                <w:lang w:val="en-US" w:eastAsia="zh-CN"/>
              </w:rPr>
            </w:pPr>
            <w:r>
              <w:rPr>
                <w:rFonts w:hint="eastAsia"/>
                <w:lang w:val="en-US" w:eastAsia="zh-CN"/>
              </w:rPr>
              <w:t>4.53</w:t>
            </w:r>
          </w:p>
        </w:tc>
        <w:tc>
          <w:tcPr>
            <w:tcW w:w="1120" w:type="dxa"/>
            <w:vAlign w:val="center"/>
          </w:tcPr>
          <w:p w14:paraId="37EB2E2C">
            <w:pPr>
              <w:jc w:val="center"/>
              <w:rPr>
                <w:rFonts w:hint="default" w:eastAsia="宋体"/>
                <w:lang w:val="en-US" w:eastAsia="zh-CN"/>
              </w:rPr>
            </w:pPr>
            <w:r>
              <w:rPr>
                <w:rFonts w:hint="eastAsia"/>
                <w:lang w:val="en-US" w:eastAsia="zh-CN"/>
              </w:rPr>
              <w:t>174</w:t>
            </w:r>
          </w:p>
        </w:tc>
        <w:tc>
          <w:tcPr>
            <w:tcW w:w="1131" w:type="dxa"/>
            <w:vAlign w:val="center"/>
          </w:tcPr>
          <w:p w14:paraId="5354707D">
            <w:pPr>
              <w:jc w:val="center"/>
              <w:rPr>
                <w:rFonts w:hint="default" w:eastAsia="宋体"/>
                <w:lang w:val="en-US" w:eastAsia="zh-CN"/>
              </w:rPr>
            </w:pPr>
            <w:r>
              <w:rPr>
                <w:rFonts w:hint="eastAsia"/>
                <w:lang w:val="en-US" w:eastAsia="zh-CN"/>
              </w:rPr>
              <w:t>553</w:t>
            </w:r>
          </w:p>
        </w:tc>
        <w:tc>
          <w:tcPr>
            <w:tcW w:w="1051" w:type="dxa"/>
            <w:vAlign w:val="center"/>
          </w:tcPr>
          <w:p w14:paraId="392ED0AD">
            <w:pPr>
              <w:jc w:val="center"/>
              <w:rPr>
                <w:rFonts w:hint="default" w:eastAsia="宋体"/>
                <w:lang w:val="en-US" w:eastAsia="zh-CN"/>
              </w:rPr>
            </w:pPr>
            <w:r>
              <w:rPr>
                <w:rFonts w:hint="eastAsia"/>
                <w:lang w:val="en-US" w:eastAsia="zh-CN"/>
              </w:rPr>
              <w:t>75.5</w:t>
            </w:r>
          </w:p>
        </w:tc>
        <w:tc>
          <w:tcPr>
            <w:tcW w:w="952" w:type="dxa"/>
            <w:vAlign w:val="center"/>
          </w:tcPr>
          <w:p w14:paraId="18881B2E">
            <w:pPr>
              <w:jc w:val="center"/>
            </w:pPr>
            <w:r>
              <w:t>标距内</w:t>
            </w:r>
          </w:p>
        </w:tc>
      </w:tr>
      <w:tr w14:paraId="0833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vAlign w:val="center"/>
          </w:tcPr>
          <w:p w14:paraId="50A1E3A7">
            <w:pPr>
              <w:jc w:val="center"/>
            </w:pPr>
          </w:p>
        </w:tc>
        <w:tc>
          <w:tcPr>
            <w:tcW w:w="1954" w:type="dxa"/>
            <w:vAlign w:val="center"/>
          </w:tcPr>
          <w:p w14:paraId="79C8615B">
            <w:pPr>
              <w:jc w:val="center"/>
              <w:rPr>
                <w:rFonts w:hint="default" w:eastAsia="宋体"/>
                <w:lang w:val="en-US" w:eastAsia="zh-CN"/>
              </w:rPr>
            </w:pPr>
            <w:r>
              <w:rPr>
                <w:rFonts w:hint="eastAsia"/>
              </w:rPr>
              <w:t>GB7963-M4-GY-</w:t>
            </w:r>
            <w:r>
              <w:rPr>
                <w:rFonts w:hint="eastAsia"/>
                <w:lang w:val="en-US" w:eastAsia="zh-CN"/>
              </w:rPr>
              <w:t>03</w:t>
            </w:r>
          </w:p>
        </w:tc>
        <w:tc>
          <w:tcPr>
            <w:tcW w:w="983" w:type="dxa"/>
            <w:vAlign w:val="center"/>
          </w:tcPr>
          <w:p w14:paraId="4AFDE109">
            <w:pPr>
              <w:jc w:val="center"/>
            </w:pPr>
            <w:r>
              <w:t>25.0</w:t>
            </w:r>
          </w:p>
        </w:tc>
        <w:tc>
          <w:tcPr>
            <w:tcW w:w="1063" w:type="dxa"/>
            <w:vAlign w:val="center"/>
          </w:tcPr>
          <w:p w14:paraId="6ECD17ED">
            <w:pPr>
              <w:jc w:val="center"/>
              <w:rPr>
                <w:rFonts w:hint="default" w:eastAsia="宋体"/>
                <w:lang w:val="en-US" w:eastAsia="zh-CN"/>
              </w:rPr>
            </w:pPr>
            <w:r>
              <w:rPr>
                <w:rFonts w:hint="eastAsia"/>
                <w:lang w:val="en-US" w:eastAsia="zh-CN"/>
              </w:rPr>
              <w:t>3.23</w:t>
            </w:r>
          </w:p>
        </w:tc>
        <w:tc>
          <w:tcPr>
            <w:tcW w:w="1063" w:type="dxa"/>
            <w:vAlign w:val="center"/>
          </w:tcPr>
          <w:p w14:paraId="32CDFDAF">
            <w:pPr>
              <w:jc w:val="center"/>
              <w:rPr>
                <w:rFonts w:hint="default" w:eastAsia="宋体"/>
                <w:lang w:val="en-US" w:eastAsia="zh-CN"/>
              </w:rPr>
            </w:pPr>
            <w:r>
              <w:rPr>
                <w:rFonts w:hint="eastAsia"/>
                <w:lang w:val="en-US" w:eastAsia="zh-CN"/>
              </w:rPr>
              <w:t>4.56</w:t>
            </w:r>
          </w:p>
        </w:tc>
        <w:tc>
          <w:tcPr>
            <w:tcW w:w="1120" w:type="dxa"/>
            <w:vAlign w:val="center"/>
          </w:tcPr>
          <w:p w14:paraId="6876CFD3">
            <w:pPr>
              <w:jc w:val="center"/>
              <w:rPr>
                <w:rFonts w:hint="default" w:eastAsia="宋体"/>
                <w:lang w:val="en-US" w:eastAsia="zh-CN"/>
              </w:rPr>
            </w:pPr>
            <w:r>
              <w:rPr>
                <w:rFonts w:hint="eastAsia"/>
                <w:lang w:val="en-US" w:eastAsia="zh-CN"/>
              </w:rPr>
              <w:t>180</w:t>
            </w:r>
          </w:p>
        </w:tc>
        <w:tc>
          <w:tcPr>
            <w:tcW w:w="1131" w:type="dxa"/>
            <w:vAlign w:val="center"/>
          </w:tcPr>
          <w:p w14:paraId="58855F80">
            <w:pPr>
              <w:jc w:val="center"/>
              <w:rPr>
                <w:rFonts w:hint="default" w:eastAsia="宋体"/>
                <w:lang w:val="en-US" w:eastAsia="zh-CN"/>
              </w:rPr>
            </w:pPr>
            <w:r>
              <w:rPr>
                <w:rFonts w:hint="eastAsia"/>
                <w:lang w:val="en-US" w:eastAsia="zh-CN"/>
              </w:rPr>
              <w:t>557</w:t>
            </w:r>
          </w:p>
        </w:tc>
        <w:tc>
          <w:tcPr>
            <w:tcW w:w="1051" w:type="dxa"/>
            <w:vAlign w:val="center"/>
          </w:tcPr>
          <w:p w14:paraId="0128A5F8">
            <w:pPr>
              <w:jc w:val="center"/>
              <w:rPr>
                <w:rFonts w:hint="default" w:eastAsia="宋体"/>
                <w:lang w:val="en-US" w:eastAsia="zh-CN"/>
              </w:rPr>
            </w:pPr>
            <w:r>
              <w:rPr>
                <w:rFonts w:hint="eastAsia"/>
                <w:lang w:val="en-US" w:eastAsia="zh-CN"/>
              </w:rPr>
              <w:t>77.0</w:t>
            </w:r>
          </w:p>
        </w:tc>
        <w:tc>
          <w:tcPr>
            <w:tcW w:w="952" w:type="dxa"/>
            <w:vAlign w:val="center"/>
          </w:tcPr>
          <w:p w14:paraId="6DD640C2">
            <w:pPr>
              <w:jc w:val="center"/>
            </w:pPr>
            <w:r>
              <w:t>标距内</w:t>
            </w:r>
          </w:p>
        </w:tc>
      </w:tr>
      <w:tr w14:paraId="34CD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restart"/>
            <w:vAlign w:val="center"/>
          </w:tcPr>
          <w:p w14:paraId="13F06DDA">
            <w:pPr>
              <w:jc w:val="center"/>
            </w:pPr>
            <w:r>
              <w:rPr>
                <w:rFonts w:hint="eastAsia"/>
                <w:color w:val="auto"/>
              </w:rPr>
              <w:t>洛阳金鹭</w:t>
            </w:r>
          </w:p>
        </w:tc>
        <w:tc>
          <w:tcPr>
            <w:tcW w:w="1954" w:type="dxa"/>
            <w:vAlign w:val="center"/>
          </w:tcPr>
          <w:p w14:paraId="0D2EADE8">
            <w:pPr>
              <w:jc w:val="center"/>
              <w:rPr>
                <w:rFonts w:hint="eastAsia"/>
              </w:rPr>
            </w:pPr>
            <w:r>
              <w:rPr>
                <w:rFonts w:hint="eastAsia"/>
              </w:rPr>
              <w:t>GB7963-M4-JL-01</w:t>
            </w:r>
          </w:p>
        </w:tc>
        <w:tc>
          <w:tcPr>
            <w:tcW w:w="983" w:type="dxa"/>
            <w:vAlign w:val="center"/>
          </w:tcPr>
          <w:p w14:paraId="080FF111">
            <w:pPr>
              <w:jc w:val="center"/>
            </w:pPr>
            <w:r>
              <w:t>25.0</w:t>
            </w:r>
          </w:p>
        </w:tc>
        <w:tc>
          <w:tcPr>
            <w:tcW w:w="1063" w:type="dxa"/>
            <w:vAlign w:val="center"/>
          </w:tcPr>
          <w:p w14:paraId="73C89775">
            <w:pPr>
              <w:jc w:val="center"/>
              <w:rPr>
                <w:rFonts w:hint="default"/>
                <w:lang w:val="en-US" w:eastAsia="zh-CN"/>
              </w:rPr>
            </w:pPr>
            <w:r>
              <w:rPr>
                <w:rFonts w:hint="eastAsia"/>
                <w:lang w:val="en-US" w:eastAsia="zh-CN"/>
              </w:rPr>
              <w:t>3.24</w:t>
            </w:r>
          </w:p>
        </w:tc>
        <w:tc>
          <w:tcPr>
            <w:tcW w:w="1063" w:type="dxa"/>
            <w:vAlign w:val="center"/>
          </w:tcPr>
          <w:p w14:paraId="127B93C0">
            <w:pPr>
              <w:jc w:val="center"/>
              <w:rPr>
                <w:rFonts w:hint="default"/>
                <w:lang w:val="en-US" w:eastAsia="zh-CN"/>
              </w:rPr>
            </w:pPr>
            <w:r>
              <w:rPr>
                <w:rFonts w:hint="eastAsia"/>
                <w:lang w:val="en-US" w:eastAsia="zh-CN"/>
              </w:rPr>
              <w:t>4.56</w:t>
            </w:r>
          </w:p>
        </w:tc>
        <w:tc>
          <w:tcPr>
            <w:tcW w:w="1120" w:type="dxa"/>
            <w:vAlign w:val="center"/>
          </w:tcPr>
          <w:p w14:paraId="2F0A7B64">
            <w:pPr>
              <w:jc w:val="center"/>
              <w:rPr>
                <w:rFonts w:hint="default"/>
                <w:lang w:val="en-US" w:eastAsia="zh-CN"/>
              </w:rPr>
            </w:pPr>
            <w:r>
              <w:rPr>
                <w:rFonts w:hint="eastAsia"/>
                <w:lang w:val="en-US" w:eastAsia="zh-CN"/>
              </w:rPr>
              <w:t>183</w:t>
            </w:r>
          </w:p>
        </w:tc>
        <w:tc>
          <w:tcPr>
            <w:tcW w:w="1131" w:type="dxa"/>
            <w:vAlign w:val="center"/>
          </w:tcPr>
          <w:p w14:paraId="7F3DB7AE">
            <w:pPr>
              <w:jc w:val="center"/>
              <w:rPr>
                <w:rFonts w:hint="default"/>
                <w:lang w:val="en-US" w:eastAsia="zh-CN"/>
              </w:rPr>
            </w:pPr>
            <w:r>
              <w:rPr>
                <w:rFonts w:hint="eastAsia"/>
                <w:lang w:val="en-US" w:eastAsia="zh-CN"/>
              </w:rPr>
              <w:t>553</w:t>
            </w:r>
          </w:p>
        </w:tc>
        <w:tc>
          <w:tcPr>
            <w:tcW w:w="1051" w:type="dxa"/>
            <w:vAlign w:val="center"/>
          </w:tcPr>
          <w:p w14:paraId="4D98DA36">
            <w:pPr>
              <w:jc w:val="center"/>
              <w:rPr>
                <w:rFonts w:hint="default"/>
                <w:lang w:val="en-US" w:eastAsia="zh-CN"/>
              </w:rPr>
            </w:pPr>
            <w:r>
              <w:rPr>
                <w:rFonts w:hint="eastAsia"/>
                <w:lang w:val="en-US" w:eastAsia="zh-CN"/>
              </w:rPr>
              <w:t>73.8</w:t>
            </w:r>
          </w:p>
        </w:tc>
        <w:tc>
          <w:tcPr>
            <w:tcW w:w="952" w:type="dxa"/>
            <w:vAlign w:val="center"/>
          </w:tcPr>
          <w:p w14:paraId="6FF6D399">
            <w:pPr>
              <w:jc w:val="center"/>
            </w:pPr>
            <w:r>
              <w:t>标距内</w:t>
            </w:r>
          </w:p>
        </w:tc>
      </w:tr>
      <w:tr w14:paraId="25F2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vAlign w:val="center"/>
          </w:tcPr>
          <w:p w14:paraId="0BAEF025">
            <w:pPr>
              <w:jc w:val="center"/>
            </w:pPr>
          </w:p>
        </w:tc>
        <w:tc>
          <w:tcPr>
            <w:tcW w:w="1954" w:type="dxa"/>
            <w:vAlign w:val="center"/>
          </w:tcPr>
          <w:p w14:paraId="5FD60A5A">
            <w:pPr>
              <w:jc w:val="center"/>
              <w:rPr>
                <w:rFonts w:hint="eastAsia" w:eastAsia="宋体"/>
                <w:lang w:eastAsia="zh-CN"/>
              </w:rPr>
            </w:pPr>
            <w:r>
              <w:rPr>
                <w:rFonts w:hint="eastAsia"/>
              </w:rPr>
              <w:t>GB7963-M4-JL-0</w:t>
            </w:r>
            <w:r>
              <w:rPr>
                <w:rFonts w:hint="eastAsia"/>
                <w:lang w:val="en-US" w:eastAsia="zh-CN"/>
              </w:rPr>
              <w:t>2</w:t>
            </w:r>
          </w:p>
        </w:tc>
        <w:tc>
          <w:tcPr>
            <w:tcW w:w="983" w:type="dxa"/>
            <w:vAlign w:val="center"/>
          </w:tcPr>
          <w:p w14:paraId="00449B83">
            <w:pPr>
              <w:jc w:val="center"/>
            </w:pPr>
            <w:r>
              <w:t>25.0</w:t>
            </w:r>
          </w:p>
        </w:tc>
        <w:tc>
          <w:tcPr>
            <w:tcW w:w="1063" w:type="dxa"/>
            <w:vAlign w:val="center"/>
          </w:tcPr>
          <w:p w14:paraId="53B94865">
            <w:pPr>
              <w:jc w:val="center"/>
              <w:rPr>
                <w:rFonts w:hint="default"/>
                <w:lang w:val="en-US" w:eastAsia="zh-CN"/>
              </w:rPr>
            </w:pPr>
            <w:r>
              <w:rPr>
                <w:rFonts w:hint="eastAsia"/>
                <w:lang w:val="en-US" w:eastAsia="zh-CN"/>
              </w:rPr>
              <w:t>3.14</w:t>
            </w:r>
          </w:p>
        </w:tc>
        <w:tc>
          <w:tcPr>
            <w:tcW w:w="1063" w:type="dxa"/>
            <w:vAlign w:val="center"/>
          </w:tcPr>
          <w:p w14:paraId="68C93271">
            <w:pPr>
              <w:jc w:val="center"/>
              <w:rPr>
                <w:rFonts w:hint="default"/>
                <w:lang w:val="en-US" w:eastAsia="zh-CN"/>
              </w:rPr>
            </w:pPr>
            <w:r>
              <w:rPr>
                <w:rFonts w:hint="eastAsia"/>
                <w:lang w:val="en-US" w:eastAsia="zh-CN"/>
              </w:rPr>
              <w:t>4.25</w:t>
            </w:r>
          </w:p>
        </w:tc>
        <w:tc>
          <w:tcPr>
            <w:tcW w:w="1120" w:type="dxa"/>
            <w:vAlign w:val="center"/>
          </w:tcPr>
          <w:p w14:paraId="5100F906">
            <w:pPr>
              <w:jc w:val="center"/>
              <w:rPr>
                <w:rFonts w:hint="default"/>
                <w:lang w:val="en-US" w:eastAsia="zh-CN"/>
              </w:rPr>
            </w:pPr>
            <w:r>
              <w:rPr>
                <w:rFonts w:hint="eastAsia"/>
                <w:lang w:val="en-US" w:eastAsia="zh-CN"/>
              </w:rPr>
              <w:t>193</w:t>
            </w:r>
          </w:p>
        </w:tc>
        <w:tc>
          <w:tcPr>
            <w:tcW w:w="1131" w:type="dxa"/>
            <w:vAlign w:val="center"/>
          </w:tcPr>
          <w:p w14:paraId="2C15C1D0">
            <w:pPr>
              <w:jc w:val="center"/>
              <w:rPr>
                <w:rFonts w:hint="default"/>
                <w:lang w:val="en-US" w:eastAsia="zh-CN"/>
              </w:rPr>
            </w:pPr>
            <w:r>
              <w:rPr>
                <w:rFonts w:hint="eastAsia"/>
                <w:lang w:val="en-US" w:eastAsia="zh-CN"/>
              </w:rPr>
              <w:t>549</w:t>
            </w:r>
          </w:p>
        </w:tc>
        <w:tc>
          <w:tcPr>
            <w:tcW w:w="1051" w:type="dxa"/>
            <w:vAlign w:val="center"/>
          </w:tcPr>
          <w:p w14:paraId="5EDC593A">
            <w:pPr>
              <w:jc w:val="center"/>
              <w:rPr>
                <w:rFonts w:hint="default"/>
                <w:lang w:val="en-US" w:eastAsia="zh-CN"/>
              </w:rPr>
            </w:pPr>
            <w:r>
              <w:rPr>
                <w:rFonts w:hint="eastAsia"/>
                <w:lang w:val="en-US" w:eastAsia="zh-CN"/>
              </w:rPr>
              <w:t>74.9</w:t>
            </w:r>
          </w:p>
        </w:tc>
        <w:tc>
          <w:tcPr>
            <w:tcW w:w="952" w:type="dxa"/>
            <w:vAlign w:val="center"/>
          </w:tcPr>
          <w:p w14:paraId="4C558A73">
            <w:pPr>
              <w:jc w:val="center"/>
            </w:pPr>
            <w:r>
              <w:t>标距内</w:t>
            </w:r>
          </w:p>
        </w:tc>
      </w:tr>
      <w:tr w14:paraId="0C7C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vAlign w:val="center"/>
          </w:tcPr>
          <w:p w14:paraId="6D7344E9">
            <w:pPr>
              <w:jc w:val="center"/>
            </w:pPr>
          </w:p>
        </w:tc>
        <w:tc>
          <w:tcPr>
            <w:tcW w:w="1954" w:type="dxa"/>
            <w:vAlign w:val="center"/>
          </w:tcPr>
          <w:p w14:paraId="31BC81E6">
            <w:pPr>
              <w:jc w:val="center"/>
              <w:rPr>
                <w:rFonts w:hint="eastAsia" w:eastAsia="宋体"/>
                <w:lang w:eastAsia="zh-CN"/>
              </w:rPr>
            </w:pPr>
            <w:r>
              <w:rPr>
                <w:rFonts w:hint="eastAsia"/>
              </w:rPr>
              <w:t>GB7963-M4-JL-0</w:t>
            </w:r>
            <w:r>
              <w:rPr>
                <w:rFonts w:hint="eastAsia"/>
                <w:lang w:val="en-US" w:eastAsia="zh-CN"/>
              </w:rPr>
              <w:t>3</w:t>
            </w:r>
          </w:p>
        </w:tc>
        <w:tc>
          <w:tcPr>
            <w:tcW w:w="983" w:type="dxa"/>
            <w:vAlign w:val="center"/>
          </w:tcPr>
          <w:p w14:paraId="5AB07DAB">
            <w:pPr>
              <w:jc w:val="center"/>
            </w:pPr>
            <w:r>
              <w:t>25.0</w:t>
            </w:r>
          </w:p>
        </w:tc>
        <w:tc>
          <w:tcPr>
            <w:tcW w:w="1063" w:type="dxa"/>
            <w:vAlign w:val="center"/>
          </w:tcPr>
          <w:p w14:paraId="1C5C271C">
            <w:pPr>
              <w:jc w:val="center"/>
              <w:rPr>
                <w:rFonts w:hint="default"/>
                <w:lang w:val="en-US" w:eastAsia="zh-CN"/>
              </w:rPr>
            </w:pPr>
            <w:r>
              <w:rPr>
                <w:rFonts w:hint="eastAsia"/>
                <w:lang w:val="en-US" w:eastAsia="zh-CN"/>
              </w:rPr>
              <w:t>3.18</w:t>
            </w:r>
          </w:p>
        </w:tc>
        <w:tc>
          <w:tcPr>
            <w:tcW w:w="1063" w:type="dxa"/>
            <w:vAlign w:val="center"/>
          </w:tcPr>
          <w:p w14:paraId="1D3FE77E">
            <w:pPr>
              <w:jc w:val="center"/>
              <w:rPr>
                <w:rFonts w:hint="default"/>
                <w:lang w:val="en-US" w:eastAsia="zh-CN"/>
              </w:rPr>
            </w:pPr>
            <w:r>
              <w:rPr>
                <w:rFonts w:hint="eastAsia"/>
                <w:lang w:val="en-US" w:eastAsia="zh-CN"/>
              </w:rPr>
              <w:t>4.58</w:t>
            </w:r>
          </w:p>
        </w:tc>
        <w:tc>
          <w:tcPr>
            <w:tcW w:w="1120" w:type="dxa"/>
            <w:vAlign w:val="center"/>
          </w:tcPr>
          <w:p w14:paraId="697FDA79">
            <w:pPr>
              <w:jc w:val="center"/>
              <w:rPr>
                <w:rFonts w:hint="default"/>
                <w:lang w:val="en-US" w:eastAsia="zh-CN"/>
              </w:rPr>
            </w:pPr>
            <w:r>
              <w:rPr>
                <w:rFonts w:hint="eastAsia"/>
                <w:lang w:val="en-US" w:eastAsia="zh-CN"/>
              </w:rPr>
              <w:t>199</w:t>
            </w:r>
          </w:p>
        </w:tc>
        <w:tc>
          <w:tcPr>
            <w:tcW w:w="1131" w:type="dxa"/>
            <w:vAlign w:val="center"/>
          </w:tcPr>
          <w:p w14:paraId="266A4F4D">
            <w:pPr>
              <w:jc w:val="center"/>
              <w:rPr>
                <w:rFonts w:hint="default"/>
                <w:lang w:val="en-US" w:eastAsia="zh-CN"/>
              </w:rPr>
            </w:pPr>
            <w:r>
              <w:rPr>
                <w:rFonts w:hint="eastAsia"/>
                <w:lang w:val="en-US" w:eastAsia="zh-CN"/>
              </w:rPr>
              <w:t>577</w:t>
            </w:r>
          </w:p>
        </w:tc>
        <w:tc>
          <w:tcPr>
            <w:tcW w:w="1051" w:type="dxa"/>
            <w:vAlign w:val="center"/>
          </w:tcPr>
          <w:p w14:paraId="7F1173A7">
            <w:pPr>
              <w:jc w:val="center"/>
              <w:rPr>
                <w:rFonts w:hint="default"/>
                <w:lang w:val="en-US" w:eastAsia="zh-CN"/>
              </w:rPr>
            </w:pPr>
            <w:r>
              <w:rPr>
                <w:rFonts w:hint="eastAsia"/>
                <w:lang w:val="en-US" w:eastAsia="zh-CN"/>
              </w:rPr>
              <w:t>78.1</w:t>
            </w:r>
          </w:p>
        </w:tc>
        <w:tc>
          <w:tcPr>
            <w:tcW w:w="952" w:type="dxa"/>
            <w:vAlign w:val="center"/>
          </w:tcPr>
          <w:p w14:paraId="0EDB575D">
            <w:pPr>
              <w:jc w:val="center"/>
            </w:pPr>
            <w:r>
              <w:t>标距内</w:t>
            </w:r>
          </w:p>
        </w:tc>
      </w:tr>
      <w:tr w14:paraId="790D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restart"/>
            <w:vAlign w:val="center"/>
          </w:tcPr>
          <w:p w14:paraId="306D8DBF">
            <w:pPr>
              <w:jc w:val="center"/>
            </w:pPr>
            <w:r>
              <w:rPr>
                <w:rFonts w:hint="eastAsia"/>
              </w:rPr>
              <w:t>中南大学</w:t>
            </w:r>
          </w:p>
        </w:tc>
        <w:tc>
          <w:tcPr>
            <w:tcW w:w="1954" w:type="dxa"/>
            <w:vAlign w:val="center"/>
          </w:tcPr>
          <w:p w14:paraId="542D102F">
            <w:pPr>
              <w:jc w:val="center"/>
              <w:rPr>
                <w:rFonts w:hint="eastAsia"/>
              </w:rPr>
            </w:pPr>
            <w:r>
              <w:rPr>
                <w:rFonts w:hint="eastAsia"/>
              </w:rPr>
              <w:t>GB7963-M4-ZN-01</w:t>
            </w:r>
          </w:p>
        </w:tc>
        <w:tc>
          <w:tcPr>
            <w:tcW w:w="983" w:type="dxa"/>
            <w:vAlign w:val="center"/>
          </w:tcPr>
          <w:p w14:paraId="751D6D64">
            <w:pPr>
              <w:jc w:val="center"/>
            </w:pPr>
            <w:r>
              <w:t>25.0</w:t>
            </w:r>
          </w:p>
        </w:tc>
        <w:tc>
          <w:tcPr>
            <w:tcW w:w="1063" w:type="dxa"/>
            <w:vAlign w:val="center"/>
          </w:tcPr>
          <w:p w14:paraId="6C8C9D4D">
            <w:pPr>
              <w:jc w:val="center"/>
              <w:rPr>
                <w:rFonts w:hint="default"/>
                <w:lang w:val="en-US" w:eastAsia="zh-CN"/>
              </w:rPr>
            </w:pPr>
            <w:r>
              <w:rPr>
                <w:rFonts w:hint="eastAsia"/>
                <w:lang w:val="en-US" w:eastAsia="zh-CN"/>
              </w:rPr>
              <w:t>3.25</w:t>
            </w:r>
          </w:p>
        </w:tc>
        <w:tc>
          <w:tcPr>
            <w:tcW w:w="1063" w:type="dxa"/>
            <w:vAlign w:val="center"/>
          </w:tcPr>
          <w:p w14:paraId="48C2D6DC">
            <w:pPr>
              <w:jc w:val="center"/>
              <w:rPr>
                <w:rFonts w:hint="default"/>
                <w:lang w:val="en-US" w:eastAsia="zh-CN"/>
              </w:rPr>
            </w:pPr>
            <w:r>
              <w:rPr>
                <w:rFonts w:hint="eastAsia"/>
                <w:lang w:val="en-US" w:eastAsia="zh-CN"/>
              </w:rPr>
              <w:t>4.63</w:t>
            </w:r>
          </w:p>
        </w:tc>
        <w:tc>
          <w:tcPr>
            <w:tcW w:w="1120" w:type="dxa"/>
            <w:vAlign w:val="center"/>
          </w:tcPr>
          <w:p w14:paraId="3FFE164D">
            <w:pPr>
              <w:jc w:val="center"/>
              <w:rPr>
                <w:rFonts w:hint="default"/>
                <w:lang w:val="en-US" w:eastAsia="zh-CN"/>
              </w:rPr>
            </w:pPr>
            <w:r>
              <w:rPr>
                <w:rFonts w:hint="eastAsia"/>
                <w:lang w:val="en-US" w:eastAsia="zh-CN"/>
              </w:rPr>
              <w:t>201</w:t>
            </w:r>
          </w:p>
        </w:tc>
        <w:tc>
          <w:tcPr>
            <w:tcW w:w="1131" w:type="dxa"/>
            <w:vAlign w:val="center"/>
          </w:tcPr>
          <w:p w14:paraId="59A7C65E">
            <w:pPr>
              <w:jc w:val="center"/>
              <w:rPr>
                <w:rFonts w:hint="default"/>
                <w:lang w:val="en-US" w:eastAsia="zh-CN"/>
              </w:rPr>
            </w:pPr>
            <w:r>
              <w:rPr>
                <w:rFonts w:hint="eastAsia"/>
                <w:lang w:val="en-US" w:eastAsia="zh-CN"/>
              </w:rPr>
              <w:t>558</w:t>
            </w:r>
          </w:p>
        </w:tc>
        <w:tc>
          <w:tcPr>
            <w:tcW w:w="1051" w:type="dxa"/>
            <w:vAlign w:val="center"/>
          </w:tcPr>
          <w:p w14:paraId="595CCEEC">
            <w:pPr>
              <w:jc w:val="center"/>
              <w:rPr>
                <w:rFonts w:hint="default"/>
                <w:lang w:val="en-US" w:eastAsia="zh-CN"/>
              </w:rPr>
            </w:pPr>
            <w:r>
              <w:rPr>
                <w:rFonts w:hint="eastAsia"/>
                <w:lang w:val="en-US" w:eastAsia="zh-CN"/>
              </w:rPr>
              <w:t>89.7</w:t>
            </w:r>
          </w:p>
        </w:tc>
        <w:tc>
          <w:tcPr>
            <w:tcW w:w="952" w:type="dxa"/>
            <w:vAlign w:val="center"/>
          </w:tcPr>
          <w:p w14:paraId="7DF01D73">
            <w:pPr>
              <w:jc w:val="center"/>
            </w:pPr>
            <w:r>
              <w:t>标距内</w:t>
            </w:r>
          </w:p>
        </w:tc>
      </w:tr>
      <w:tr w14:paraId="576B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vAlign w:val="center"/>
          </w:tcPr>
          <w:p w14:paraId="450CA247">
            <w:pPr>
              <w:jc w:val="center"/>
            </w:pPr>
          </w:p>
        </w:tc>
        <w:tc>
          <w:tcPr>
            <w:tcW w:w="1954" w:type="dxa"/>
            <w:vAlign w:val="center"/>
          </w:tcPr>
          <w:p w14:paraId="0B6E84FE">
            <w:pPr>
              <w:jc w:val="center"/>
              <w:rPr>
                <w:rFonts w:hint="default" w:eastAsia="宋体"/>
                <w:lang w:val="en-US" w:eastAsia="zh-CN"/>
              </w:rPr>
            </w:pPr>
            <w:r>
              <w:rPr>
                <w:rFonts w:hint="eastAsia"/>
              </w:rPr>
              <w:t>GB7963-M4-ZN-</w:t>
            </w:r>
            <w:r>
              <w:rPr>
                <w:rFonts w:hint="eastAsia"/>
                <w:lang w:val="en-US" w:eastAsia="zh-CN"/>
              </w:rPr>
              <w:t>02</w:t>
            </w:r>
          </w:p>
        </w:tc>
        <w:tc>
          <w:tcPr>
            <w:tcW w:w="983" w:type="dxa"/>
            <w:vAlign w:val="center"/>
          </w:tcPr>
          <w:p w14:paraId="4636A4EE">
            <w:pPr>
              <w:jc w:val="center"/>
            </w:pPr>
            <w:r>
              <w:t>25.0</w:t>
            </w:r>
          </w:p>
        </w:tc>
        <w:tc>
          <w:tcPr>
            <w:tcW w:w="1063" w:type="dxa"/>
            <w:vAlign w:val="center"/>
          </w:tcPr>
          <w:p w14:paraId="66258DB8">
            <w:pPr>
              <w:jc w:val="center"/>
              <w:rPr>
                <w:rFonts w:hint="default"/>
                <w:lang w:val="en-US" w:eastAsia="zh-CN"/>
              </w:rPr>
            </w:pPr>
            <w:r>
              <w:rPr>
                <w:rFonts w:hint="eastAsia"/>
                <w:lang w:val="en-US" w:eastAsia="zh-CN"/>
              </w:rPr>
              <w:t>3.23</w:t>
            </w:r>
          </w:p>
        </w:tc>
        <w:tc>
          <w:tcPr>
            <w:tcW w:w="1063" w:type="dxa"/>
            <w:vAlign w:val="center"/>
          </w:tcPr>
          <w:p w14:paraId="1C3E851F">
            <w:pPr>
              <w:jc w:val="center"/>
              <w:rPr>
                <w:rFonts w:hint="default"/>
                <w:lang w:val="en-US" w:eastAsia="zh-CN"/>
              </w:rPr>
            </w:pPr>
            <w:r>
              <w:rPr>
                <w:rFonts w:hint="eastAsia"/>
                <w:lang w:val="en-US" w:eastAsia="zh-CN"/>
              </w:rPr>
              <w:t>4.59</w:t>
            </w:r>
          </w:p>
        </w:tc>
        <w:tc>
          <w:tcPr>
            <w:tcW w:w="1120" w:type="dxa"/>
            <w:vAlign w:val="center"/>
          </w:tcPr>
          <w:p w14:paraId="3F955F5B">
            <w:pPr>
              <w:jc w:val="center"/>
              <w:rPr>
                <w:rFonts w:hint="default"/>
                <w:lang w:val="en-US" w:eastAsia="zh-CN"/>
              </w:rPr>
            </w:pPr>
            <w:r>
              <w:rPr>
                <w:rFonts w:hint="eastAsia"/>
                <w:lang w:val="en-US" w:eastAsia="zh-CN"/>
              </w:rPr>
              <w:t>182</w:t>
            </w:r>
          </w:p>
        </w:tc>
        <w:tc>
          <w:tcPr>
            <w:tcW w:w="1131" w:type="dxa"/>
            <w:vAlign w:val="center"/>
          </w:tcPr>
          <w:p w14:paraId="01BE02A9">
            <w:pPr>
              <w:jc w:val="center"/>
              <w:rPr>
                <w:rFonts w:hint="default"/>
                <w:lang w:val="en-US" w:eastAsia="zh-CN"/>
              </w:rPr>
            </w:pPr>
            <w:r>
              <w:rPr>
                <w:rFonts w:hint="eastAsia"/>
                <w:lang w:val="en-US" w:eastAsia="zh-CN"/>
              </w:rPr>
              <w:t>560</w:t>
            </w:r>
          </w:p>
        </w:tc>
        <w:tc>
          <w:tcPr>
            <w:tcW w:w="1051" w:type="dxa"/>
            <w:vAlign w:val="center"/>
          </w:tcPr>
          <w:p w14:paraId="71829667">
            <w:pPr>
              <w:jc w:val="center"/>
              <w:rPr>
                <w:rFonts w:hint="default"/>
                <w:lang w:val="en-US" w:eastAsia="zh-CN"/>
              </w:rPr>
            </w:pPr>
            <w:r>
              <w:rPr>
                <w:rFonts w:hint="eastAsia"/>
                <w:lang w:val="en-US" w:eastAsia="zh-CN"/>
              </w:rPr>
              <w:t>89.5</w:t>
            </w:r>
          </w:p>
        </w:tc>
        <w:tc>
          <w:tcPr>
            <w:tcW w:w="952" w:type="dxa"/>
            <w:vAlign w:val="center"/>
          </w:tcPr>
          <w:p w14:paraId="2D85B05E">
            <w:pPr>
              <w:jc w:val="center"/>
            </w:pPr>
            <w:r>
              <w:t>标距内</w:t>
            </w:r>
          </w:p>
        </w:tc>
      </w:tr>
      <w:tr w14:paraId="3D90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vAlign w:val="center"/>
          </w:tcPr>
          <w:p w14:paraId="32751A63">
            <w:pPr>
              <w:jc w:val="center"/>
            </w:pPr>
          </w:p>
        </w:tc>
        <w:tc>
          <w:tcPr>
            <w:tcW w:w="1954" w:type="dxa"/>
            <w:vAlign w:val="center"/>
          </w:tcPr>
          <w:p w14:paraId="7FE43E3D">
            <w:pPr>
              <w:jc w:val="center"/>
              <w:rPr>
                <w:rFonts w:hint="default" w:eastAsia="宋体"/>
                <w:lang w:val="en-US" w:eastAsia="zh-CN"/>
              </w:rPr>
            </w:pPr>
            <w:r>
              <w:rPr>
                <w:rFonts w:hint="eastAsia"/>
              </w:rPr>
              <w:t>GB7963-M4-ZN-</w:t>
            </w:r>
            <w:r>
              <w:rPr>
                <w:rFonts w:hint="eastAsia"/>
                <w:lang w:val="en-US" w:eastAsia="zh-CN"/>
              </w:rPr>
              <w:t>03</w:t>
            </w:r>
          </w:p>
        </w:tc>
        <w:tc>
          <w:tcPr>
            <w:tcW w:w="983" w:type="dxa"/>
            <w:vAlign w:val="center"/>
          </w:tcPr>
          <w:p w14:paraId="7C550B2B">
            <w:pPr>
              <w:jc w:val="center"/>
            </w:pPr>
            <w:r>
              <w:t>25.0</w:t>
            </w:r>
          </w:p>
        </w:tc>
        <w:tc>
          <w:tcPr>
            <w:tcW w:w="1063" w:type="dxa"/>
            <w:vAlign w:val="center"/>
          </w:tcPr>
          <w:p w14:paraId="1F3A089D">
            <w:pPr>
              <w:jc w:val="center"/>
              <w:rPr>
                <w:rFonts w:hint="default"/>
                <w:lang w:val="en-US" w:eastAsia="zh-CN"/>
              </w:rPr>
            </w:pPr>
            <w:r>
              <w:rPr>
                <w:rFonts w:hint="eastAsia"/>
                <w:lang w:val="en-US" w:eastAsia="zh-CN"/>
              </w:rPr>
              <w:t>3.23</w:t>
            </w:r>
          </w:p>
        </w:tc>
        <w:tc>
          <w:tcPr>
            <w:tcW w:w="1063" w:type="dxa"/>
            <w:vAlign w:val="center"/>
          </w:tcPr>
          <w:p w14:paraId="358773B8">
            <w:pPr>
              <w:jc w:val="center"/>
              <w:rPr>
                <w:rFonts w:hint="default"/>
                <w:lang w:val="en-US" w:eastAsia="zh-CN"/>
              </w:rPr>
            </w:pPr>
            <w:r>
              <w:rPr>
                <w:rFonts w:hint="eastAsia"/>
                <w:lang w:val="en-US" w:eastAsia="zh-CN"/>
              </w:rPr>
              <w:t>4.66</w:t>
            </w:r>
          </w:p>
        </w:tc>
        <w:tc>
          <w:tcPr>
            <w:tcW w:w="1120" w:type="dxa"/>
            <w:vAlign w:val="center"/>
          </w:tcPr>
          <w:p w14:paraId="0E19D1B8">
            <w:pPr>
              <w:jc w:val="center"/>
              <w:rPr>
                <w:rFonts w:hint="default"/>
                <w:lang w:val="en-US" w:eastAsia="zh-CN"/>
              </w:rPr>
            </w:pPr>
            <w:r>
              <w:rPr>
                <w:rFonts w:hint="eastAsia"/>
                <w:lang w:val="en-US" w:eastAsia="zh-CN"/>
              </w:rPr>
              <w:t>200</w:t>
            </w:r>
          </w:p>
        </w:tc>
        <w:tc>
          <w:tcPr>
            <w:tcW w:w="1131" w:type="dxa"/>
            <w:vAlign w:val="center"/>
          </w:tcPr>
          <w:p w14:paraId="7A38F757">
            <w:pPr>
              <w:jc w:val="center"/>
              <w:rPr>
                <w:rFonts w:hint="default"/>
                <w:lang w:val="en-US" w:eastAsia="zh-CN"/>
              </w:rPr>
            </w:pPr>
            <w:r>
              <w:rPr>
                <w:rFonts w:hint="eastAsia"/>
                <w:lang w:val="en-US" w:eastAsia="zh-CN"/>
              </w:rPr>
              <w:t>569</w:t>
            </w:r>
          </w:p>
        </w:tc>
        <w:tc>
          <w:tcPr>
            <w:tcW w:w="1051" w:type="dxa"/>
            <w:vAlign w:val="center"/>
          </w:tcPr>
          <w:p w14:paraId="13C2DA72">
            <w:pPr>
              <w:jc w:val="center"/>
              <w:rPr>
                <w:rFonts w:hint="default"/>
                <w:lang w:val="en-US" w:eastAsia="zh-CN"/>
              </w:rPr>
            </w:pPr>
            <w:r>
              <w:rPr>
                <w:rFonts w:hint="eastAsia"/>
                <w:lang w:val="en-US" w:eastAsia="zh-CN"/>
              </w:rPr>
              <w:t>91.0</w:t>
            </w:r>
          </w:p>
        </w:tc>
        <w:tc>
          <w:tcPr>
            <w:tcW w:w="952" w:type="dxa"/>
            <w:vAlign w:val="center"/>
          </w:tcPr>
          <w:p w14:paraId="49F4E495">
            <w:pPr>
              <w:jc w:val="center"/>
            </w:pPr>
            <w:r>
              <w:t>标距内</w:t>
            </w:r>
          </w:p>
        </w:tc>
      </w:tr>
      <w:tr w14:paraId="0EB7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restart"/>
            <w:vAlign w:val="center"/>
          </w:tcPr>
          <w:p w14:paraId="01F58845">
            <w:pPr>
              <w:jc w:val="center"/>
            </w:pPr>
            <w:r>
              <w:rPr>
                <w:rFonts w:hint="eastAsia"/>
              </w:rPr>
              <w:t>国合通用（青岛）</w:t>
            </w:r>
          </w:p>
        </w:tc>
        <w:tc>
          <w:tcPr>
            <w:tcW w:w="1954" w:type="dxa"/>
            <w:vAlign w:val="center"/>
          </w:tcPr>
          <w:p w14:paraId="21D9AD31">
            <w:pPr>
              <w:jc w:val="center"/>
              <w:rPr>
                <w:rFonts w:hint="eastAsia"/>
              </w:rPr>
            </w:pPr>
            <w:r>
              <w:rPr>
                <w:rFonts w:hint="eastAsia"/>
              </w:rPr>
              <w:t>GB7963-M4-</w:t>
            </w:r>
            <w:r>
              <w:rPr>
                <w:rFonts w:hint="eastAsia"/>
                <w:lang w:val="en-US" w:eastAsia="zh-CN"/>
              </w:rPr>
              <w:t>GH</w:t>
            </w:r>
            <w:r>
              <w:rPr>
                <w:rFonts w:hint="eastAsia"/>
              </w:rPr>
              <w:t>-02</w:t>
            </w:r>
          </w:p>
        </w:tc>
        <w:tc>
          <w:tcPr>
            <w:tcW w:w="983" w:type="dxa"/>
            <w:vAlign w:val="center"/>
          </w:tcPr>
          <w:p w14:paraId="01021B84">
            <w:pPr>
              <w:jc w:val="center"/>
              <w:rPr>
                <w:rFonts w:hint="default" w:eastAsia="宋体"/>
                <w:lang w:val="en-US" w:eastAsia="zh-CN"/>
              </w:rPr>
            </w:pPr>
            <w:r>
              <w:rPr>
                <w:rFonts w:hint="eastAsia"/>
              </w:rPr>
              <w:t>25</w:t>
            </w:r>
            <w:r>
              <w:rPr>
                <w:rFonts w:hint="eastAsia"/>
                <w:lang w:val="en-US" w:eastAsia="zh-CN"/>
              </w:rPr>
              <w:t>.0</w:t>
            </w:r>
          </w:p>
        </w:tc>
        <w:tc>
          <w:tcPr>
            <w:tcW w:w="1063" w:type="dxa"/>
            <w:vAlign w:val="center"/>
          </w:tcPr>
          <w:p w14:paraId="7BD53CE6">
            <w:pPr>
              <w:jc w:val="center"/>
              <w:rPr>
                <w:rFonts w:hint="default"/>
                <w:lang w:val="en-US" w:eastAsia="zh-CN"/>
              </w:rPr>
            </w:pPr>
            <w:r>
              <w:rPr>
                <w:rFonts w:hint="eastAsia"/>
                <w:lang w:val="en-US" w:eastAsia="zh-CN"/>
              </w:rPr>
              <w:t>3.21</w:t>
            </w:r>
          </w:p>
        </w:tc>
        <w:tc>
          <w:tcPr>
            <w:tcW w:w="1063" w:type="dxa"/>
            <w:vAlign w:val="center"/>
          </w:tcPr>
          <w:p w14:paraId="207F93F6">
            <w:pPr>
              <w:jc w:val="center"/>
              <w:rPr>
                <w:rFonts w:hint="default"/>
                <w:lang w:val="en-US" w:eastAsia="zh-CN"/>
              </w:rPr>
            </w:pPr>
            <w:r>
              <w:rPr>
                <w:rFonts w:hint="eastAsia"/>
                <w:lang w:val="en-US" w:eastAsia="zh-CN"/>
              </w:rPr>
              <w:t>4.52</w:t>
            </w:r>
          </w:p>
        </w:tc>
        <w:tc>
          <w:tcPr>
            <w:tcW w:w="1120" w:type="dxa"/>
            <w:vAlign w:val="center"/>
          </w:tcPr>
          <w:p w14:paraId="6F09F8C1">
            <w:pPr>
              <w:jc w:val="center"/>
              <w:rPr>
                <w:rFonts w:hint="default"/>
                <w:lang w:val="en-US" w:eastAsia="zh-CN"/>
              </w:rPr>
            </w:pPr>
            <w:r>
              <w:rPr>
                <w:rFonts w:hint="eastAsia"/>
                <w:lang w:val="en-US" w:eastAsia="zh-CN"/>
              </w:rPr>
              <w:t>181</w:t>
            </w:r>
          </w:p>
        </w:tc>
        <w:tc>
          <w:tcPr>
            <w:tcW w:w="1131" w:type="dxa"/>
            <w:vAlign w:val="center"/>
          </w:tcPr>
          <w:p w14:paraId="622B425B">
            <w:pPr>
              <w:jc w:val="center"/>
              <w:rPr>
                <w:rFonts w:hint="default"/>
                <w:lang w:val="en-US" w:eastAsia="zh-CN"/>
              </w:rPr>
            </w:pPr>
            <w:r>
              <w:rPr>
                <w:rFonts w:hint="eastAsia"/>
                <w:lang w:val="en-US" w:eastAsia="zh-CN"/>
              </w:rPr>
              <w:t>562</w:t>
            </w:r>
          </w:p>
        </w:tc>
        <w:tc>
          <w:tcPr>
            <w:tcW w:w="1051" w:type="dxa"/>
            <w:vAlign w:val="center"/>
          </w:tcPr>
          <w:p w14:paraId="11ACBD50">
            <w:pPr>
              <w:jc w:val="center"/>
              <w:rPr>
                <w:rFonts w:hint="default"/>
                <w:lang w:val="en-US" w:eastAsia="zh-CN"/>
              </w:rPr>
            </w:pPr>
            <w:r>
              <w:rPr>
                <w:rFonts w:hint="eastAsia"/>
                <w:lang w:val="en-US" w:eastAsia="zh-CN"/>
              </w:rPr>
              <w:t>78.0</w:t>
            </w:r>
          </w:p>
        </w:tc>
        <w:tc>
          <w:tcPr>
            <w:tcW w:w="952" w:type="dxa"/>
            <w:vAlign w:val="center"/>
          </w:tcPr>
          <w:p w14:paraId="1199BCC8">
            <w:pPr>
              <w:jc w:val="center"/>
            </w:pPr>
            <w:r>
              <w:t>标距内</w:t>
            </w:r>
          </w:p>
        </w:tc>
      </w:tr>
      <w:tr w14:paraId="3685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 w:type="dxa"/>
            <w:vMerge w:val="continue"/>
            <w:vAlign w:val="center"/>
          </w:tcPr>
          <w:p w14:paraId="68695A49">
            <w:pPr>
              <w:jc w:val="center"/>
            </w:pPr>
          </w:p>
        </w:tc>
        <w:tc>
          <w:tcPr>
            <w:tcW w:w="1954" w:type="dxa"/>
            <w:vAlign w:val="center"/>
          </w:tcPr>
          <w:p w14:paraId="1C29959D">
            <w:pPr>
              <w:jc w:val="center"/>
              <w:rPr>
                <w:rFonts w:hint="eastAsia"/>
              </w:rPr>
            </w:pPr>
            <w:r>
              <w:rPr>
                <w:rFonts w:hint="eastAsia"/>
              </w:rPr>
              <w:t>GB7963-M4-</w:t>
            </w:r>
            <w:r>
              <w:rPr>
                <w:rFonts w:hint="eastAsia"/>
                <w:lang w:val="en-US" w:eastAsia="zh-CN"/>
              </w:rPr>
              <w:t>GH</w:t>
            </w:r>
            <w:r>
              <w:rPr>
                <w:rFonts w:hint="eastAsia"/>
              </w:rPr>
              <w:t>-02</w:t>
            </w:r>
          </w:p>
        </w:tc>
        <w:tc>
          <w:tcPr>
            <w:tcW w:w="983" w:type="dxa"/>
            <w:vAlign w:val="center"/>
          </w:tcPr>
          <w:p w14:paraId="29E3A554">
            <w:pPr>
              <w:jc w:val="center"/>
            </w:pPr>
            <w:r>
              <w:rPr>
                <w:rFonts w:hint="eastAsia"/>
              </w:rPr>
              <w:t>25</w:t>
            </w:r>
            <w:r>
              <w:rPr>
                <w:rFonts w:hint="eastAsia"/>
                <w:lang w:val="en-US" w:eastAsia="zh-CN"/>
              </w:rPr>
              <w:t>.0</w:t>
            </w:r>
          </w:p>
        </w:tc>
        <w:tc>
          <w:tcPr>
            <w:tcW w:w="1063" w:type="dxa"/>
            <w:vAlign w:val="center"/>
          </w:tcPr>
          <w:p w14:paraId="1C0218F7">
            <w:pPr>
              <w:jc w:val="center"/>
              <w:rPr>
                <w:rFonts w:hint="default"/>
                <w:lang w:val="en-US" w:eastAsia="zh-CN"/>
              </w:rPr>
            </w:pPr>
            <w:r>
              <w:rPr>
                <w:rFonts w:hint="eastAsia"/>
                <w:lang w:val="en-US" w:eastAsia="zh-CN"/>
              </w:rPr>
              <w:t>3.20</w:t>
            </w:r>
          </w:p>
        </w:tc>
        <w:tc>
          <w:tcPr>
            <w:tcW w:w="1063" w:type="dxa"/>
            <w:vAlign w:val="center"/>
          </w:tcPr>
          <w:p w14:paraId="475225CD">
            <w:pPr>
              <w:jc w:val="center"/>
              <w:rPr>
                <w:rFonts w:hint="default"/>
                <w:lang w:val="en-US" w:eastAsia="zh-CN"/>
              </w:rPr>
            </w:pPr>
            <w:r>
              <w:rPr>
                <w:rFonts w:hint="eastAsia"/>
                <w:lang w:val="en-US" w:eastAsia="zh-CN"/>
              </w:rPr>
              <w:t>4.52</w:t>
            </w:r>
          </w:p>
        </w:tc>
        <w:tc>
          <w:tcPr>
            <w:tcW w:w="1120" w:type="dxa"/>
            <w:vAlign w:val="center"/>
          </w:tcPr>
          <w:p w14:paraId="381CABF2">
            <w:pPr>
              <w:jc w:val="center"/>
              <w:rPr>
                <w:rFonts w:hint="default"/>
                <w:lang w:val="en-US" w:eastAsia="zh-CN"/>
              </w:rPr>
            </w:pPr>
            <w:r>
              <w:rPr>
                <w:rFonts w:hint="eastAsia"/>
                <w:lang w:val="en-US" w:eastAsia="zh-CN"/>
              </w:rPr>
              <w:t>179</w:t>
            </w:r>
          </w:p>
        </w:tc>
        <w:tc>
          <w:tcPr>
            <w:tcW w:w="1131" w:type="dxa"/>
            <w:vAlign w:val="center"/>
          </w:tcPr>
          <w:p w14:paraId="4E2EF6A9">
            <w:pPr>
              <w:jc w:val="center"/>
              <w:rPr>
                <w:rFonts w:hint="default"/>
                <w:lang w:val="en-US" w:eastAsia="zh-CN"/>
              </w:rPr>
            </w:pPr>
            <w:r>
              <w:rPr>
                <w:rFonts w:hint="eastAsia"/>
                <w:lang w:val="en-US" w:eastAsia="zh-CN"/>
              </w:rPr>
              <w:t>560</w:t>
            </w:r>
          </w:p>
        </w:tc>
        <w:tc>
          <w:tcPr>
            <w:tcW w:w="1051" w:type="dxa"/>
            <w:vAlign w:val="center"/>
          </w:tcPr>
          <w:p w14:paraId="42DAB13B">
            <w:pPr>
              <w:jc w:val="center"/>
              <w:rPr>
                <w:rFonts w:hint="default"/>
                <w:lang w:val="en-US" w:eastAsia="zh-CN"/>
              </w:rPr>
            </w:pPr>
            <w:r>
              <w:rPr>
                <w:rFonts w:hint="eastAsia"/>
                <w:lang w:val="en-US" w:eastAsia="zh-CN"/>
              </w:rPr>
              <w:t>77.0</w:t>
            </w:r>
          </w:p>
        </w:tc>
        <w:tc>
          <w:tcPr>
            <w:tcW w:w="952" w:type="dxa"/>
            <w:vAlign w:val="center"/>
          </w:tcPr>
          <w:p w14:paraId="46C7B326">
            <w:pPr>
              <w:jc w:val="center"/>
            </w:pPr>
            <w:r>
              <w:t>标距内</w:t>
            </w:r>
          </w:p>
        </w:tc>
      </w:tr>
      <w:tr w14:paraId="32A9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7" w:type="dxa"/>
            <w:vMerge w:val="continue"/>
            <w:vAlign w:val="center"/>
          </w:tcPr>
          <w:p w14:paraId="5037912F">
            <w:pPr>
              <w:jc w:val="center"/>
            </w:pPr>
          </w:p>
        </w:tc>
        <w:tc>
          <w:tcPr>
            <w:tcW w:w="1954" w:type="dxa"/>
            <w:vAlign w:val="center"/>
          </w:tcPr>
          <w:p w14:paraId="6D610AC9">
            <w:pPr>
              <w:jc w:val="center"/>
              <w:rPr>
                <w:rFonts w:hint="eastAsia"/>
              </w:rPr>
            </w:pPr>
            <w:r>
              <w:rPr>
                <w:rFonts w:hint="eastAsia"/>
              </w:rPr>
              <w:t>GB7963-M4-</w:t>
            </w:r>
            <w:r>
              <w:rPr>
                <w:rFonts w:hint="eastAsia"/>
                <w:lang w:val="en-US" w:eastAsia="zh-CN"/>
              </w:rPr>
              <w:t>GH</w:t>
            </w:r>
            <w:r>
              <w:rPr>
                <w:rFonts w:hint="eastAsia"/>
              </w:rPr>
              <w:t>-02</w:t>
            </w:r>
          </w:p>
        </w:tc>
        <w:tc>
          <w:tcPr>
            <w:tcW w:w="983" w:type="dxa"/>
            <w:vAlign w:val="center"/>
          </w:tcPr>
          <w:p w14:paraId="3C21DE03">
            <w:pPr>
              <w:jc w:val="center"/>
            </w:pPr>
            <w:r>
              <w:rPr>
                <w:rFonts w:hint="eastAsia"/>
              </w:rPr>
              <w:t>25</w:t>
            </w:r>
            <w:r>
              <w:rPr>
                <w:rFonts w:hint="eastAsia"/>
                <w:lang w:val="en-US" w:eastAsia="zh-CN"/>
              </w:rPr>
              <w:t>.0</w:t>
            </w:r>
          </w:p>
        </w:tc>
        <w:tc>
          <w:tcPr>
            <w:tcW w:w="1063" w:type="dxa"/>
            <w:vAlign w:val="center"/>
          </w:tcPr>
          <w:p w14:paraId="673EAC8F">
            <w:pPr>
              <w:jc w:val="center"/>
              <w:rPr>
                <w:rFonts w:hint="default"/>
                <w:lang w:val="en-US" w:eastAsia="zh-CN"/>
              </w:rPr>
            </w:pPr>
            <w:r>
              <w:rPr>
                <w:rFonts w:hint="eastAsia"/>
                <w:lang w:val="en-US" w:eastAsia="zh-CN"/>
              </w:rPr>
              <w:t>3.21</w:t>
            </w:r>
          </w:p>
        </w:tc>
        <w:tc>
          <w:tcPr>
            <w:tcW w:w="1063" w:type="dxa"/>
            <w:vAlign w:val="center"/>
          </w:tcPr>
          <w:p w14:paraId="78F99E69">
            <w:pPr>
              <w:jc w:val="center"/>
              <w:rPr>
                <w:rFonts w:hint="default"/>
                <w:lang w:val="en-US" w:eastAsia="zh-CN"/>
              </w:rPr>
            </w:pPr>
            <w:r>
              <w:rPr>
                <w:rFonts w:hint="eastAsia"/>
                <w:lang w:val="en-US" w:eastAsia="zh-CN"/>
              </w:rPr>
              <w:t>4.58</w:t>
            </w:r>
          </w:p>
        </w:tc>
        <w:tc>
          <w:tcPr>
            <w:tcW w:w="1120" w:type="dxa"/>
            <w:vAlign w:val="center"/>
          </w:tcPr>
          <w:p w14:paraId="7433CE59">
            <w:pPr>
              <w:jc w:val="center"/>
              <w:rPr>
                <w:rFonts w:hint="default"/>
                <w:lang w:val="en-US" w:eastAsia="zh-CN"/>
              </w:rPr>
            </w:pPr>
            <w:r>
              <w:rPr>
                <w:rFonts w:hint="eastAsia"/>
                <w:lang w:val="en-US" w:eastAsia="zh-CN"/>
              </w:rPr>
              <w:t>179</w:t>
            </w:r>
          </w:p>
        </w:tc>
        <w:tc>
          <w:tcPr>
            <w:tcW w:w="1131" w:type="dxa"/>
            <w:vAlign w:val="center"/>
          </w:tcPr>
          <w:p w14:paraId="2CD8AE1F">
            <w:pPr>
              <w:jc w:val="center"/>
              <w:rPr>
                <w:rFonts w:hint="default"/>
                <w:lang w:val="en-US" w:eastAsia="zh-CN"/>
              </w:rPr>
            </w:pPr>
            <w:r>
              <w:rPr>
                <w:rFonts w:hint="eastAsia"/>
                <w:lang w:val="en-US" w:eastAsia="zh-CN"/>
              </w:rPr>
              <w:t>566</w:t>
            </w:r>
          </w:p>
        </w:tc>
        <w:tc>
          <w:tcPr>
            <w:tcW w:w="1051" w:type="dxa"/>
            <w:vAlign w:val="center"/>
          </w:tcPr>
          <w:p w14:paraId="1FB8309B">
            <w:pPr>
              <w:jc w:val="center"/>
              <w:rPr>
                <w:rFonts w:hint="default"/>
                <w:lang w:val="en-US" w:eastAsia="zh-CN"/>
              </w:rPr>
            </w:pPr>
            <w:r>
              <w:rPr>
                <w:rFonts w:hint="eastAsia"/>
                <w:lang w:val="en-US" w:eastAsia="zh-CN"/>
              </w:rPr>
              <w:t>77.5</w:t>
            </w:r>
          </w:p>
        </w:tc>
        <w:tc>
          <w:tcPr>
            <w:tcW w:w="952" w:type="dxa"/>
            <w:vAlign w:val="center"/>
          </w:tcPr>
          <w:p w14:paraId="5D325726">
            <w:pPr>
              <w:jc w:val="center"/>
            </w:pPr>
            <w:r>
              <w:t>标距内</w:t>
            </w:r>
          </w:p>
        </w:tc>
      </w:tr>
    </w:tbl>
    <w:p w14:paraId="59EFC858">
      <w:pPr>
        <w:keepNext w:val="0"/>
        <w:keepLines w:val="0"/>
        <w:pageBreakBefore w:val="0"/>
        <w:widowControl/>
        <w:kinsoku/>
        <w:wordWrap/>
        <w:overflowPunct/>
        <w:topLinePunct w:val="0"/>
        <w:autoSpaceDE/>
        <w:autoSpaceDN/>
        <w:bidi w:val="0"/>
        <w:adjustRightInd/>
        <w:snapToGrid/>
        <w:spacing w:before="157" w:beforeLines="50"/>
        <w:ind w:firstLine="420" w:firstLineChars="200"/>
        <w:textAlignment w:val="auto"/>
        <w:rPr>
          <w:rFonts w:hint="default"/>
          <w:lang w:val="en-US" w:eastAsia="zh-CN"/>
        </w:rPr>
      </w:pPr>
      <w:r>
        <w:rPr>
          <w:rFonts w:hint="default"/>
          <w:lang w:val="en-US" w:eastAsia="zh-CN"/>
        </w:rPr>
        <w:t>12个试样</w:t>
      </w:r>
      <w:r>
        <w:rPr>
          <w:rFonts w:hint="eastAsia"/>
          <w:lang w:val="en-US" w:eastAsia="zh-CN"/>
        </w:rPr>
        <w:t>均</w:t>
      </w:r>
      <w:r>
        <w:rPr>
          <w:rFonts w:hint="default"/>
          <w:lang w:val="en-US" w:eastAsia="zh-CN"/>
        </w:rPr>
        <w:t>在标距内断裂，无夹持端应力集中断裂、无装夹滑脱、无偏心断裂，证明A2型试样的销钉夹持结构、标距长度（25mm）、过渡圆角设计完全科学合理，可稳定引导断裂发生在有效测试区域，满足拉伸试验的核心要求。试样标距区域实际直径稳定在3.14~3.25mm，模腔尺寸精度高，烧结收缩预留量设计合理，完全适配金属注射成型（MIM）工艺的小尺寸、高精度成型特性，烧结后钻孔的通孔位置设计精准，装夹定位一致性好。</w:t>
      </w:r>
    </w:p>
    <w:p w14:paraId="0E730AD2">
      <w:pPr>
        <w:pStyle w:val="11"/>
        <w:spacing w:before="156" w:after="156"/>
        <w:rPr>
          <w:rFonts w:hint="default" w:eastAsia="黑体"/>
          <w:lang w:val="en-US" w:eastAsia="zh-CN"/>
        </w:rPr>
      </w:pPr>
      <w:r>
        <w:rPr>
          <w:rFonts w:hint="eastAsia"/>
        </w:rPr>
        <w:t>表</w:t>
      </w:r>
      <w:r>
        <w:rPr>
          <w:rFonts w:hint="eastAsia"/>
          <w:lang w:val="en-US" w:eastAsia="zh-CN"/>
        </w:rPr>
        <w:t>5</w:t>
      </w:r>
      <w:r>
        <w:rPr>
          <w:rFonts w:hint="eastAsia"/>
        </w:rPr>
        <w:t xml:space="preserve">  </w:t>
      </w:r>
      <w:r>
        <w:rPr>
          <w:rFonts w:hint="eastAsia"/>
          <w:lang w:val="en-US" w:eastAsia="zh-CN"/>
        </w:rPr>
        <w:t>金属注射成型试样数据统计</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1440"/>
        <w:gridCol w:w="1029"/>
        <w:gridCol w:w="1029"/>
        <w:gridCol w:w="2457"/>
        <w:gridCol w:w="2147"/>
      </w:tblGrid>
      <w:tr w14:paraId="0E95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vAlign w:val="center"/>
          </w:tcPr>
          <w:p w14:paraId="1995E2F9">
            <w:pPr>
              <w:jc w:val="center"/>
              <w:rPr>
                <w:rFonts w:hint="default"/>
                <w:vertAlign w:val="baseline"/>
                <w:lang w:val="en-US" w:eastAsia="zh-CN"/>
              </w:rPr>
            </w:pPr>
            <w:r>
              <w:rPr>
                <w:rFonts w:hint="eastAsia"/>
                <w:vertAlign w:val="baseline"/>
                <w:lang w:val="en-US" w:eastAsia="zh-CN"/>
              </w:rPr>
              <w:t>测试指标</w:t>
            </w:r>
          </w:p>
        </w:tc>
        <w:tc>
          <w:tcPr>
            <w:tcW w:w="1440" w:type="dxa"/>
            <w:vAlign w:val="center"/>
          </w:tcPr>
          <w:p w14:paraId="373D7235">
            <w:pPr>
              <w:jc w:val="center"/>
              <w:rPr>
                <w:rFonts w:hint="default"/>
                <w:vertAlign w:val="baseline"/>
                <w:lang w:val="en-US" w:eastAsia="zh-CN"/>
              </w:rPr>
            </w:pPr>
            <w:r>
              <w:rPr>
                <w:rFonts w:hint="eastAsia"/>
                <w:vertAlign w:val="baseline"/>
                <w:lang w:val="en-US" w:eastAsia="zh-CN"/>
              </w:rPr>
              <w:t>有效试样数</w:t>
            </w:r>
          </w:p>
        </w:tc>
        <w:tc>
          <w:tcPr>
            <w:tcW w:w="1029" w:type="dxa"/>
            <w:vAlign w:val="center"/>
          </w:tcPr>
          <w:p w14:paraId="3531E5F4">
            <w:pPr>
              <w:jc w:val="center"/>
              <w:rPr>
                <w:rFonts w:hint="default"/>
                <w:vertAlign w:val="baseline"/>
                <w:lang w:val="en-US" w:eastAsia="zh-CN"/>
              </w:rPr>
            </w:pPr>
            <w:r>
              <w:rPr>
                <w:rFonts w:hint="eastAsia"/>
                <w:vertAlign w:val="baseline"/>
                <w:lang w:val="en-US" w:eastAsia="zh-CN"/>
              </w:rPr>
              <w:t>平均值</w:t>
            </w:r>
          </w:p>
        </w:tc>
        <w:tc>
          <w:tcPr>
            <w:tcW w:w="1029" w:type="dxa"/>
            <w:vAlign w:val="center"/>
          </w:tcPr>
          <w:p w14:paraId="04BA370C">
            <w:pPr>
              <w:jc w:val="center"/>
              <w:rPr>
                <w:rFonts w:hint="default"/>
                <w:vertAlign w:val="baseline"/>
                <w:lang w:val="en-US" w:eastAsia="zh-CN"/>
              </w:rPr>
            </w:pPr>
            <w:r>
              <w:rPr>
                <w:rFonts w:hint="eastAsia"/>
                <w:vertAlign w:val="baseline"/>
                <w:lang w:val="en-US" w:eastAsia="zh-CN"/>
              </w:rPr>
              <w:t>标准差</w:t>
            </w:r>
          </w:p>
        </w:tc>
        <w:tc>
          <w:tcPr>
            <w:tcW w:w="2457" w:type="dxa"/>
            <w:vAlign w:val="center"/>
          </w:tcPr>
          <w:p w14:paraId="29B4164C">
            <w:pPr>
              <w:jc w:val="center"/>
              <w:rPr>
                <w:rFonts w:hint="default"/>
                <w:vertAlign w:val="baseline"/>
                <w:lang w:val="en-US" w:eastAsia="zh-CN"/>
              </w:rPr>
            </w:pPr>
            <w:r>
              <w:rPr>
                <w:rFonts w:hint="default"/>
                <w:vertAlign w:val="baseline"/>
                <w:lang w:val="en-US" w:eastAsia="zh-CN"/>
              </w:rPr>
              <w:t>室内重复性变异系数CVr（%）</w:t>
            </w:r>
          </w:p>
        </w:tc>
        <w:tc>
          <w:tcPr>
            <w:tcW w:w="2147" w:type="dxa"/>
            <w:vAlign w:val="center"/>
          </w:tcPr>
          <w:p w14:paraId="1EABDA8A">
            <w:pPr>
              <w:jc w:val="center"/>
              <w:rPr>
                <w:rFonts w:hint="default"/>
                <w:vertAlign w:val="baseline"/>
                <w:lang w:val="en-US" w:eastAsia="zh-CN"/>
              </w:rPr>
            </w:pPr>
            <w:r>
              <w:rPr>
                <w:rFonts w:hint="default"/>
                <w:vertAlign w:val="baseline"/>
                <w:lang w:val="en-US" w:eastAsia="zh-CN"/>
              </w:rPr>
              <w:t>室间再现性变异系数CVR（%）</w:t>
            </w:r>
          </w:p>
        </w:tc>
      </w:tr>
      <w:tr w14:paraId="79B8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51" w:type="dxa"/>
            <w:vAlign w:val="center"/>
          </w:tcPr>
          <w:p w14:paraId="34ECB8CD">
            <w:pPr>
              <w:jc w:val="center"/>
              <w:rPr>
                <w:rFonts w:hint="default"/>
                <w:vertAlign w:val="baseline"/>
                <w:lang w:val="en-US" w:eastAsia="zh-CN"/>
              </w:rPr>
            </w:pPr>
            <w:r>
              <w:rPr>
                <w:rFonts w:hint="eastAsia"/>
                <w:vertAlign w:val="baseline"/>
                <w:lang w:val="en-US" w:eastAsia="zh-CN"/>
              </w:rPr>
              <w:t>屈服强度（MPa）</w:t>
            </w:r>
          </w:p>
        </w:tc>
        <w:tc>
          <w:tcPr>
            <w:tcW w:w="1440" w:type="dxa"/>
            <w:vAlign w:val="center"/>
          </w:tcPr>
          <w:p w14:paraId="0ABD346A">
            <w:pPr>
              <w:jc w:val="center"/>
              <w:rPr>
                <w:rFonts w:hint="default"/>
                <w:vertAlign w:val="baseline"/>
                <w:lang w:val="en-US" w:eastAsia="zh-CN"/>
              </w:rPr>
            </w:pPr>
            <w:r>
              <w:rPr>
                <w:rFonts w:hint="eastAsia"/>
                <w:vertAlign w:val="baseline"/>
                <w:lang w:val="en-US" w:eastAsia="zh-CN"/>
              </w:rPr>
              <w:t>12</w:t>
            </w:r>
          </w:p>
        </w:tc>
        <w:tc>
          <w:tcPr>
            <w:tcW w:w="1029" w:type="dxa"/>
            <w:vAlign w:val="center"/>
          </w:tcPr>
          <w:p w14:paraId="2CFACDBA">
            <w:pPr>
              <w:jc w:val="center"/>
              <w:rPr>
                <w:rFonts w:hint="default"/>
                <w:vertAlign w:val="baseline"/>
                <w:lang w:val="en-US" w:eastAsia="zh-CN"/>
              </w:rPr>
            </w:pPr>
            <w:r>
              <w:rPr>
                <w:rFonts w:hint="eastAsia"/>
                <w:vertAlign w:val="baseline"/>
                <w:lang w:val="en-US" w:eastAsia="zh-CN"/>
              </w:rPr>
              <w:t>185.4</w:t>
            </w:r>
          </w:p>
        </w:tc>
        <w:tc>
          <w:tcPr>
            <w:tcW w:w="1029" w:type="dxa"/>
            <w:vAlign w:val="center"/>
          </w:tcPr>
          <w:p w14:paraId="77305B35">
            <w:pPr>
              <w:jc w:val="center"/>
              <w:rPr>
                <w:rFonts w:hint="default"/>
                <w:vertAlign w:val="baseline"/>
                <w:lang w:val="en-US" w:eastAsia="zh-CN"/>
              </w:rPr>
            </w:pPr>
            <w:r>
              <w:rPr>
                <w:rFonts w:hint="eastAsia"/>
                <w:vertAlign w:val="baseline"/>
                <w:lang w:val="en-US" w:eastAsia="zh-CN"/>
              </w:rPr>
              <w:t>10.0</w:t>
            </w:r>
          </w:p>
        </w:tc>
        <w:tc>
          <w:tcPr>
            <w:tcW w:w="2457" w:type="dxa"/>
            <w:vAlign w:val="center"/>
          </w:tcPr>
          <w:p w14:paraId="4CB0CD26">
            <w:pPr>
              <w:jc w:val="center"/>
              <w:rPr>
                <w:rFonts w:hint="default"/>
                <w:vertAlign w:val="baseline"/>
                <w:lang w:val="en-US" w:eastAsia="zh-CN"/>
              </w:rPr>
            </w:pPr>
            <w:r>
              <w:rPr>
                <w:rFonts w:hint="default" w:ascii="Times New Roman" w:hAnsi="Times New Roman" w:cs="Times New Roman"/>
                <w:vertAlign w:val="baseline"/>
                <w:lang w:val="en-US" w:eastAsia="zh-CN"/>
              </w:rPr>
              <w:t>≤</w:t>
            </w:r>
            <w:r>
              <w:rPr>
                <w:rFonts w:hint="eastAsia" w:cs="Times New Roman"/>
                <w:vertAlign w:val="baseline"/>
                <w:lang w:val="en-US" w:eastAsia="zh-CN"/>
              </w:rPr>
              <w:t>5.4</w:t>
            </w:r>
          </w:p>
        </w:tc>
        <w:tc>
          <w:tcPr>
            <w:tcW w:w="2147" w:type="dxa"/>
            <w:vAlign w:val="center"/>
          </w:tcPr>
          <w:p w14:paraId="6A4392E3">
            <w:pPr>
              <w:jc w:val="center"/>
              <w:rPr>
                <w:rFonts w:hint="default"/>
                <w:vertAlign w:val="baseline"/>
                <w:lang w:val="en-US" w:eastAsia="zh-CN"/>
              </w:rPr>
            </w:pPr>
            <w:r>
              <w:rPr>
                <w:rFonts w:hint="eastAsia"/>
                <w:vertAlign w:val="baseline"/>
                <w:lang w:val="en-US" w:eastAsia="zh-CN"/>
              </w:rPr>
              <w:t>5.41</w:t>
            </w:r>
          </w:p>
        </w:tc>
      </w:tr>
      <w:tr w14:paraId="22F3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vAlign w:val="center"/>
          </w:tcPr>
          <w:p w14:paraId="145F793B">
            <w:pPr>
              <w:jc w:val="center"/>
              <w:rPr>
                <w:rFonts w:hint="default"/>
                <w:vertAlign w:val="baseline"/>
                <w:lang w:val="en-US" w:eastAsia="zh-CN"/>
              </w:rPr>
            </w:pPr>
            <w:r>
              <w:rPr>
                <w:rFonts w:hint="eastAsia"/>
                <w:vertAlign w:val="baseline"/>
                <w:lang w:val="en-US" w:eastAsia="zh-CN"/>
              </w:rPr>
              <w:t>抗拉强度（MPa）</w:t>
            </w:r>
          </w:p>
        </w:tc>
        <w:tc>
          <w:tcPr>
            <w:tcW w:w="1440" w:type="dxa"/>
            <w:vAlign w:val="center"/>
          </w:tcPr>
          <w:p w14:paraId="528D5288">
            <w:pPr>
              <w:jc w:val="center"/>
              <w:rPr>
                <w:rFonts w:hint="default"/>
                <w:vertAlign w:val="baseline"/>
                <w:lang w:val="en-US" w:eastAsia="zh-CN"/>
              </w:rPr>
            </w:pPr>
            <w:r>
              <w:rPr>
                <w:rFonts w:hint="eastAsia"/>
                <w:vertAlign w:val="baseline"/>
                <w:lang w:val="en-US" w:eastAsia="zh-CN"/>
              </w:rPr>
              <w:t>12</w:t>
            </w:r>
          </w:p>
        </w:tc>
        <w:tc>
          <w:tcPr>
            <w:tcW w:w="1029" w:type="dxa"/>
            <w:vAlign w:val="center"/>
          </w:tcPr>
          <w:p w14:paraId="1C9B9441">
            <w:pPr>
              <w:jc w:val="center"/>
              <w:rPr>
                <w:rFonts w:hint="default"/>
                <w:vertAlign w:val="baseline"/>
                <w:lang w:val="en-US" w:eastAsia="zh-CN"/>
              </w:rPr>
            </w:pPr>
            <w:r>
              <w:rPr>
                <w:rFonts w:hint="eastAsia"/>
                <w:vertAlign w:val="baseline"/>
                <w:lang w:val="en-US" w:eastAsia="zh-CN"/>
              </w:rPr>
              <w:t>560.8</w:t>
            </w:r>
          </w:p>
        </w:tc>
        <w:tc>
          <w:tcPr>
            <w:tcW w:w="1029" w:type="dxa"/>
            <w:vAlign w:val="center"/>
          </w:tcPr>
          <w:p w14:paraId="5AEB6FA3">
            <w:pPr>
              <w:jc w:val="center"/>
              <w:rPr>
                <w:rFonts w:hint="default"/>
                <w:vertAlign w:val="baseline"/>
                <w:lang w:val="en-US" w:eastAsia="zh-CN"/>
              </w:rPr>
            </w:pPr>
            <w:r>
              <w:rPr>
                <w:rFonts w:hint="eastAsia"/>
                <w:vertAlign w:val="baseline"/>
                <w:lang w:val="en-US" w:eastAsia="zh-CN"/>
              </w:rPr>
              <w:t>7.8</w:t>
            </w:r>
          </w:p>
        </w:tc>
        <w:tc>
          <w:tcPr>
            <w:tcW w:w="2457" w:type="dxa"/>
            <w:vAlign w:val="center"/>
          </w:tcPr>
          <w:p w14:paraId="6AA0A577">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r>
              <w:rPr>
                <w:rFonts w:hint="eastAsia" w:cs="Times New Roman"/>
                <w:vertAlign w:val="baseline"/>
                <w:lang w:val="en-US" w:eastAsia="zh-CN"/>
              </w:rPr>
              <w:t>1.4</w:t>
            </w:r>
          </w:p>
        </w:tc>
        <w:tc>
          <w:tcPr>
            <w:tcW w:w="2147" w:type="dxa"/>
            <w:vAlign w:val="center"/>
          </w:tcPr>
          <w:p w14:paraId="1A09F965">
            <w:pPr>
              <w:jc w:val="center"/>
              <w:rPr>
                <w:rFonts w:hint="eastAsia"/>
                <w:vertAlign w:val="baseline"/>
                <w:lang w:val="en-US" w:eastAsia="zh-CN"/>
              </w:rPr>
            </w:pPr>
            <w:r>
              <w:rPr>
                <w:rFonts w:hint="eastAsia"/>
                <w:vertAlign w:val="baseline"/>
                <w:lang w:val="en-US" w:eastAsia="zh-CN"/>
              </w:rPr>
              <w:t>1.39</w:t>
            </w:r>
          </w:p>
        </w:tc>
      </w:tr>
      <w:tr w14:paraId="14D0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vAlign w:val="center"/>
          </w:tcPr>
          <w:p w14:paraId="346090CE">
            <w:pPr>
              <w:jc w:val="center"/>
              <w:rPr>
                <w:rFonts w:hint="default"/>
                <w:vertAlign w:val="baseline"/>
                <w:lang w:val="en-US" w:eastAsia="zh-CN"/>
              </w:rPr>
            </w:pPr>
            <w:r>
              <w:rPr>
                <w:rFonts w:hint="eastAsia"/>
                <w:vertAlign w:val="baseline"/>
                <w:lang w:val="en-US" w:eastAsia="zh-CN"/>
              </w:rPr>
              <w:t>断后伸长率（%）</w:t>
            </w:r>
          </w:p>
        </w:tc>
        <w:tc>
          <w:tcPr>
            <w:tcW w:w="1440" w:type="dxa"/>
            <w:vAlign w:val="center"/>
          </w:tcPr>
          <w:p w14:paraId="5028C7B5">
            <w:pPr>
              <w:jc w:val="center"/>
              <w:rPr>
                <w:rFonts w:hint="default"/>
                <w:vertAlign w:val="baseline"/>
                <w:lang w:val="en-US" w:eastAsia="zh-CN"/>
              </w:rPr>
            </w:pPr>
            <w:r>
              <w:rPr>
                <w:rFonts w:hint="eastAsia"/>
                <w:vertAlign w:val="baseline"/>
                <w:lang w:val="en-US" w:eastAsia="zh-CN"/>
              </w:rPr>
              <w:t>12</w:t>
            </w:r>
          </w:p>
        </w:tc>
        <w:tc>
          <w:tcPr>
            <w:tcW w:w="1029" w:type="dxa"/>
            <w:vAlign w:val="center"/>
          </w:tcPr>
          <w:p w14:paraId="2956C428">
            <w:pPr>
              <w:jc w:val="center"/>
              <w:rPr>
                <w:rFonts w:hint="default"/>
                <w:vertAlign w:val="baseline"/>
                <w:lang w:val="en-US" w:eastAsia="zh-CN"/>
              </w:rPr>
            </w:pPr>
            <w:r>
              <w:rPr>
                <w:rFonts w:hint="eastAsia"/>
                <w:vertAlign w:val="baseline"/>
                <w:lang w:val="en-US" w:eastAsia="zh-CN"/>
              </w:rPr>
              <w:t>79.9</w:t>
            </w:r>
          </w:p>
        </w:tc>
        <w:tc>
          <w:tcPr>
            <w:tcW w:w="1029" w:type="dxa"/>
            <w:vAlign w:val="center"/>
          </w:tcPr>
          <w:p w14:paraId="7FAE6AC0">
            <w:pPr>
              <w:jc w:val="center"/>
              <w:rPr>
                <w:rFonts w:hint="default"/>
                <w:vertAlign w:val="baseline"/>
                <w:lang w:val="en-US" w:eastAsia="zh-CN"/>
              </w:rPr>
            </w:pPr>
            <w:r>
              <w:rPr>
                <w:rFonts w:hint="eastAsia"/>
                <w:vertAlign w:val="baseline"/>
                <w:lang w:val="en-US" w:eastAsia="zh-CN"/>
              </w:rPr>
              <w:t>6.3</w:t>
            </w:r>
          </w:p>
        </w:tc>
        <w:tc>
          <w:tcPr>
            <w:tcW w:w="2457" w:type="dxa"/>
            <w:vAlign w:val="center"/>
          </w:tcPr>
          <w:p w14:paraId="1BD751C6">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r>
              <w:rPr>
                <w:rFonts w:hint="eastAsia" w:cs="Times New Roman"/>
                <w:vertAlign w:val="baseline"/>
                <w:lang w:val="en-US" w:eastAsia="zh-CN"/>
              </w:rPr>
              <w:t>7.8</w:t>
            </w:r>
          </w:p>
        </w:tc>
        <w:tc>
          <w:tcPr>
            <w:tcW w:w="2147" w:type="dxa"/>
            <w:vAlign w:val="center"/>
          </w:tcPr>
          <w:p w14:paraId="51F26703">
            <w:pPr>
              <w:jc w:val="center"/>
              <w:rPr>
                <w:rFonts w:hint="default"/>
                <w:vertAlign w:val="baseline"/>
                <w:lang w:val="en-US" w:eastAsia="zh-CN"/>
              </w:rPr>
            </w:pPr>
            <w:r>
              <w:rPr>
                <w:rFonts w:hint="eastAsia"/>
                <w:vertAlign w:val="baseline"/>
                <w:lang w:val="en-US" w:eastAsia="zh-CN"/>
              </w:rPr>
              <w:t>7.83</w:t>
            </w:r>
          </w:p>
        </w:tc>
      </w:tr>
    </w:tbl>
    <w:p w14:paraId="67263BBC">
      <w:pPr>
        <w:keepNext w:val="0"/>
        <w:keepLines w:val="0"/>
        <w:pageBreakBefore w:val="0"/>
        <w:widowControl/>
        <w:kinsoku/>
        <w:wordWrap/>
        <w:overflowPunct/>
        <w:topLinePunct w:val="0"/>
        <w:autoSpaceDE/>
        <w:autoSpaceDN/>
        <w:bidi w:val="0"/>
        <w:adjustRightInd/>
        <w:snapToGrid/>
        <w:spacing w:before="157" w:beforeLines="50"/>
        <w:ind w:firstLine="420" w:firstLineChars="200"/>
        <w:textAlignment w:val="auto"/>
        <w:rPr>
          <w:rFonts w:hint="default"/>
          <w:lang w:val="en-US" w:eastAsia="zh-CN"/>
        </w:rPr>
      </w:pPr>
      <w:r>
        <w:rPr>
          <w:rFonts w:hint="default"/>
          <w:lang w:val="en-US" w:eastAsia="zh-CN"/>
        </w:rPr>
        <w:t>金属注射成型试样A2型数据统计结果如</w:t>
      </w:r>
      <w:r>
        <w:rPr>
          <w:rFonts w:hint="eastAsia"/>
          <w:lang w:val="en-US" w:eastAsia="zh-CN"/>
        </w:rPr>
        <w:t>表5所示，</w:t>
      </w:r>
      <w:r>
        <w:rPr>
          <w:rFonts w:hint="default"/>
          <w:lang w:val="en-US" w:eastAsia="zh-CN"/>
        </w:rPr>
        <w:t>同一实验室在相同设备、相同操作、相同环境下的重复测试中，抗拉强度重复性变异系数≤1.4%，屈服强度≤5.4%，断后伸长率≤7.8%，数据波动极小。核心原因是标准模腔尺寸统一，MIM工艺成型的试样尺寸一致性极高，销钉装夹流程标准化，保证了同一实验室测试的可重复性与稳定性。</w:t>
      </w:r>
    </w:p>
    <w:p w14:paraId="08F9967B">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lang w:val="en-US" w:eastAsia="zh-CN"/>
        </w:rPr>
      </w:pPr>
      <w:r>
        <w:rPr>
          <w:rFonts w:hint="default"/>
          <w:lang w:val="en-US" w:eastAsia="zh-CN"/>
        </w:rPr>
        <w:t>不同实验室、不同设备、不同操作人员的测试结果中，抗拉强度再现性变异系数仅1.39%，跨实验室数据几乎无差异；屈服强度、断后伸长率再现性变异系数分别为5.41%、7.83%，符合塑性指标的固有离散规律，验证了A2型试样模腔尺寸、装夹方式、标距设置的跨实验室普适性，测试结果可完全互认</w:t>
      </w:r>
      <w:r>
        <w:rPr>
          <w:rFonts w:hint="eastAsia"/>
          <w:lang w:val="en-US" w:eastAsia="zh-CN"/>
        </w:rPr>
        <w:t>。</w:t>
      </w:r>
    </w:p>
    <w:p w14:paraId="27AA1B78">
      <w:pPr>
        <w:pStyle w:val="4"/>
        <w:spacing w:before="156" w:after="156"/>
        <w:rPr>
          <w:rFonts w:hint="eastAsia"/>
          <w:lang w:val="en-US" w:eastAsia="zh-CN"/>
        </w:rPr>
      </w:pPr>
      <w:r>
        <w:rPr>
          <w:rFonts w:hint="eastAsia"/>
          <w:lang w:val="en-US" w:eastAsia="zh-CN"/>
        </w:rPr>
        <w:t>机械加工试样</w:t>
      </w:r>
    </w:p>
    <w:p w14:paraId="731DE5D6">
      <w:pPr>
        <w:keepNext w:val="0"/>
        <w:keepLines w:val="0"/>
        <w:pageBreakBefore w:val="0"/>
        <w:widowControl/>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机械加工试样有4家单位参与测试，中南大学拉伸速率为1mm/min，与统一要求1.5mm/min不符，其断后伸长率数据不纳入统计。结果如下：</w:t>
      </w:r>
    </w:p>
    <w:p w14:paraId="060F12B5">
      <w:pPr>
        <w:pStyle w:val="11"/>
        <w:spacing w:before="156" w:after="156"/>
      </w:pPr>
      <w:r>
        <w:rPr>
          <w:rFonts w:hint="eastAsia"/>
        </w:rPr>
        <w:t>表</w:t>
      </w:r>
      <w:r>
        <w:rPr>
          <w:rFonts w:hint="eastAsia"/>
          <w:lang w:val="en-US" w:eastAsia="zh-CN"/>
        </w:rPr>
        <w:t>6</w:t>
      </w:r>
      <w:r>
        <w:rPr>
          <w:rFonts w:hint="eastAsia"/>
        </w:rPr>
        <w:t xml:space="preserve">  </w:t>
      </w:r>
      <w:r>
        <w:rPr>
          <w:rFonts w:hint="eastAsia"/>
          <w:lang w:val="en-US" w:eastAsia="zh-CN"/>
        </w:rPr>
        <w:t>机械加工试样</w:t>
      </w:r>
      <w:r>
        <w:rPr>
          <w:rFonts w:hint="eastAsia"/>
        </w:rPr>
        <w:t>试验数据</w:t>
      </w:r>
    </w:p>
    <w:tbl>
      <w:tblPr>
        <w:tblStyle w:val="21"/>
        <w:tblW w:w="10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943"/>
        <w:gridCol w:w="914"/>
        <w:gridCol w:w="1097"/>
        <w:gridCol w:w="1109"/>
        <w:gridCol w:w="1097"/>
        <w:gridCol w:w="1166"/>
        <w:gridCol w:w="1108"/>
        <w:gridCol w:w="906"/>
      </w:tblGrid>
      <w:tr w14:paraId="462F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14:paraId="0DF71234">
            <w:pPr>
              <w:jc w:val="center"/>
              <w:rPr>
                <w:rFonts w:hint="default" w:eastAsia="宋体"/>
                <w:lang w:val="en-US" w:eastAsia="zh-CN"/>
              </w:rPr>
            </w:pPr>
            <w:r>
              <w:rPr>
                <w:rFonts w:hint="eastAsia"/>
                <w:lang w:val="en-US" w:eastAsia="zh-CN"/>
              </w:rPr>
              <w:t>测试单位</w:t>
            </w:r>
          </w:p>
        </w:tc>
        <w:tc>
          <w:tcPr>
            <w:tcW w:w="1943" w:type="dxa"/>
            <w:vAlign w:val="center"/>
          </w:tcPr>
          <w:p w14:paraId="0B4D6C85">
            <w:pPr>
              <w:jc w:val="center"/>
            </w:pPr>
            <w:r>
              <w:rPr>
                <w:rFonts w:hint="eastAsia"/>
              </w:rPr>
              <w:t>试样编号</w:t>
            </w:r>
          </w:p>
        </w:tc>
        <w:tc>
          <w:tcPr>
            <w:tcW w:w="914" w:type="dxa"/>
            <w:vAlign w:val="center"/>
          </w:tcPr>
          <w:p w14:paraId="3448D7B9">
            <w:pPr>
              <w:jc w:val="center"/>
            </w:pPr>
            <w:r>
              <w:rPr>
                <w:rFonts w:hint="eastAsia"/>
              </w:rPr>
              <w:t>标距（mm）</w:t>
            </w:r>
          </w:p>
        </w:tc>
        <w:tc>
          <w:tcPr>
            <w:tcW w:w="1097" w:type="dxa"/>
            <w:vAlign w:val="center"/>
          </w:tcPr>
          <w:p w14:paraId="6988B0E4">
            <w:pPr>
              <w:jc w:val="center"/>
            </w:pPr>
            <w:r>
              <w:rPr>
                <w:rFonts w:hint="eastAsia"/>
              </w:rPr>
              <w:t>实际直径（mm）</w:t>
            </w:r>
          </w:p>
        </w:tc>
        <w:tc>
          <w:tcPr>
            <w:tcW w:w="1109" w:type="dxa"/>
            <w:vAlign w:val="center"/>
          </w:tcPr>
          <w:p w14:paraId="3BF70F1E">
            <w:pPr>
              <w:jc w:val="center"/>
            </w:pPr>
            <w:r>
              <w:rPr>
                <w:rFonts w:hint="eastAsia"/>
              </w:rPr>
              <w:t>最大拉力（KN）</w:t>
            </w:r>
          </w:p>
        </w:tc>
        <w:tc>
          <w:tcPr>
            <w:tcW w:w="1097" w:type="dxa"/>
            <w:vAlign w:val="center"/>
          </w:tcPr>
          <w:p w14:paraId="100BC825">
            <w:pPr>
              <w:jc w:val="center"/>
            </w:pPr>
            <w:r>
              <w:rPr>
                <w:rFonts w:hint="eastAsia"/>
              </w:rPr>
              <w:t>屈服强度（MPa）</w:t>
            </w:r>
          </w:p>
        </w:tc>
        <w:tc>
          <w:tcPr>
            <w:tcW w:w="1166" w:type="dxa"/>
            <w:vAlign w:val="center"/>
          </w:tcPr>
          <w:p w14:paraId="2F09E98A">
            <w:pPr>
              <w:jc w:val="center"/>
            </w:pPr>
            <w:r>
              <w:rPr>
                <w:rFonts w:hint="eastAsia"/>
              </w:rPr>
              <w:t>抗拉强度（MPa）</w:t>
            </w:r>
          </w:p>
        </w:tc>
        <w:tc>
          <w:tcPr>
            <w:tcW w:w="1108" w:type="dxa"/>
            <w:vAlign w:val="center"/>
          </w:tcPr>
          <w:p w14:paraId="2A513285">
            <w:pPr>
              <w:jc w:val="center"/>
            </w:pPr>
            <w:r>
              <w:rPr>
                <w:rFonts w:hint="eastAsia"/>
              </w:rPr>
              <w:t>断裂伸长率（%）</w:t>
            </w:r>
          </w:p>
        </w:tc>
        <w:tc>
          <w:tcPr>
            <w:tcW w:w="906" w:type="dxa"/>
            <w:vAlign w:val="center"/>
          </w:tcPr>
          <w:p w14:paraId="16C6E9A3">
            <w:pPr>
              <w:jc w:val="center"/>
            </w:pPr>
            <w:r>
              <w:t>断裂</w:t>
            </w:r>
          </w:p>
          <w:p w14:paraId="080BD490">
            <w:pPr>
              <w:jc w:val="center"/>
            </w:pPr>
            <w:r>
              <w:t>位置</w:t>
            </w:r>
          </w:p>
        </w:tc>
      </w:tr>
      <w:tr w14:paraId="357D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restart"/>
            <w:vAlign w:val="center"/>
          </w:tcPr>
          <w:p w14:paraId="1CC407CC">
            <w:pPr>
              <w:jc w:val="center"/>
              <w:rPr>
                <w:rFonts w:hint="eastAsia" w:eastAsia="宋体"/>
                <w:lang w:val="en-US" w:eastAsia="zh-CN"/>
              </w:rPr>
            </w:pPr>
            <w:r>
              <w:rPr>
                <w:rFonts w:hint="eastAsia"/>
                <w:lang w:val="en-US" w:eastAsia="zh-CN"/>
              </w:rPr>
              <w:t>钢研院</w:t>
            </w:r>
          </w:p>
        </w:tc>
        <w:tc>
          <w:tcPr>
            <w:tcW w:w="1943" w:type="dxa"/>
            <w:vAlign w:val="center"/>
          </w:tcPr>
          <w:p w14:paraId="33D0764A">
            <w:pPr>
              <w:jc w:val="center"/>
            </w:pPr>
            <w:r>
              <w:t>GB7963-M6-GY-01</w:t>
            </w:r>
          </w:p>
        </w:tc>
        <w:tc>
          <w:tcPr>
            <w:tcW w:w="914" w:type="dxa"/>
            <w:vAlign w:val="center"/>
          </w:tcPr>
          <w:p w14:paraId="5F56CA99">
            <w:pPr>
              <w:jc w:val="center"/>
            </w:pPr>
            <w:r>
              <w:t>25.0</w:t>
            </w:r>
          </w:p>
        </w:tc>
        <w:tc>
          <w:tcPr>
            <w:tcW w:w="1097" w:type="dxa"/>
            <w:vAlign w:val="center"/>
          </w:tcPr>
          <w:p w14:paraId="1FA747FE">
            <w:pPr>
              <w:jc w:val="center"/>
            </w:pPr>
            <w:r>
              <w:t>4.91</w:t>
            </w:r>
          </w:p>
        </w:tc>
        <w:tc>
          <w:tcPr>
            <w:tcW w:w="1109" w:type="dxa"/>
            <w:vAlign w:val="center"/>
          </w:tcPr>
          <w:p w14:paraId="6F81B124">
            <w:pPr>
              <w:jc w:val="center"/>
            </w:pPr>
            <w:r>
              <w:t>17.22</w:t>
            </w:r>
          </w:p>
        </w:tc>
        <w:tc>
          <w:tcPr>
            <w:tcW w:w="1097" w:type="dxa"/>
            <w:vAlign w:val="center"/>
          </w:tcPr>
          <w:p w14:paraId="5D75920F">
            <w:pPr>
              <w:jc w:val="center"/>
            </w:pPr>
            <w:r>
              <w:t>751</w:t>
            </w:r>
          </w:p>
        </w:tc>
        <w:tc>
          <w:tcPr>
            <w:tcW w:w="1166" w:type="dxa"/>
            <w:vAlign w:val="center"/>
          </w:tcPr>
          <w:p w14:paraId="02713D84">
            <w:pPr>
              <w:jc w:val="center"/>
            </w:pPr>
            <w:r>
              <w:t>910</w:t>
            </w:r>
          </w:p>
        </w:tc>
        <w:tc>
          <w:tcPr>
            <w:tcW w:w="1108" w:type="dxa"/>
            <w:vAlign w:val="center"/>
          </w:tcPr>
          <w:p w14:paraId="4D51B24A">
            <w:pPr>
              <w:jc w:val="center"/>
            </w:pPr>
            <w:r>
              <w:t>12.5</w:t>
            </w:r>
          </w:p>
        </w:tc>
        <w:tc>
          <w:tcPr>
            <w:tcW w:w="906" w:type="dxa"/>
            <w:vAlign w:val="center"/>
          </w:tcPr>
          <w:p w14:paraId="5231A9B6">
            <w:pPr>
              <w:jc w:val="center"/>
            </w:pPr>
            <w:r>
              <w:t>标距内</w:t>
            </w:r>
          </w:p>
        </w:tc>
      </w:tr>
      <w:tr w14:paraId="6B82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34" w:type="dxa"/>
            <w:vMerge w:val="continue"/>
            <w:vAlign w:val="center"/>
          </w:tcPr>
          <w:p w14:paraId="044B1781">
            <w:pPr>
              <w:jc w:val="center"/>
            </w:pPr>
          </w:p>
        </w:tc>
        <w:tc>
          <w:tcPr>
            <w:tcW w:w="1943" w:type="dxa"/>
            <w:vAlign w:val="center"/>
          </w:tcPr>
          <w:p w14:paraId="36906E34">
            <w:pPr>
              <w:jc w:val="center"/>
            </w:pPr>
            <w:r>
              <w:t>GB7963-M6-GY-02</w:t>
            </w:r>
          </w:p>
        </w:tc>
        <w:tc>
          <w:tcPr>
            <w:tcW w:w="914" w:type="dxa"/>
            <w:vAlign w:val="center"/>
          </w:tcPr>
          <w:p w14:paraId="5DE07EC8">
            <w:pPr>
              <w:jc w:val="center"/>
            </w:pPr>
            <w:r>
              <w:t>25.0</w:t>
            </w:r>
          </w:p>
        </w:tc>
        <w:tc>
          <w:tcPr>
            <w:tcW w:w="1097" w:type="dxa"/>
            <w:vAlign w:val="center"/>
          </w:tcPr>
          <w:p w14:paraId="086C99D9">
            <w:pPr>
              <w:jc w:val="center"/>
            </w:pPr>
            <w:r>
              <w:t>4.78</w:t>
            </w:r>
          </w:p>
        </w:tc>
        <w:tc>
          <w:tcPr>
            <w:tcW w:w="1109" w:type="dxa"/>
            <w:vAlign w:val="center"/>
          </w:tcPr>
          <w:p w14:paraId="4956CF7B">
            <w:pPr>
              <w:jc w:val="center"/>
            </w:pPr>
            <w:r>
              <w:t>15.84</w:t>
            </w:r>
          </w:p>
        </w:tc>
        <w:tc>
          <w:tcPr>
            <w:tcW w:w="1097" w:type="dxa"/>
            <w:vAlign w:val="center"/>
          </w:tcPr>
          <w:p w14:paraId="22627D9F">
            <w:pPr>
              <w:jc w:val="center"/>
            </w:pPr>
            <w:r>
              <w:t>780</w:t>
            </w:r>
          </w:p>
        </w:tc>
        <w:tc>
          <w:tcPr>
            <w:tcW w:w="1166" w:type="dxa"/>
            <w:vAlign w:val="center"/>
          </w:tcPr>
          <w:p w14:paraId="377A11BB">
            <w:pPr>
              <w:jc w:val="center"/>
            </w:pPr>
            <w:r>
              <w:t>883</w:t>
            </w:r>
          </w:p>
        </w:tc>
        <w:tc>
          <w:tcPr>
            <w:tcW w:w="1108" w:type="dxa"/>
            <w:vAlign w:val="center"/>
          </w:tcPr>
          <w:p w14:paraId="61070C06">
            <w:pPr>
              <w:jc w:val="center"/>
            </w:pPr>
            <w:r>
              <w:t>12.5</w:t>
            </w:r>
          </w:p>
        </w:tc>
        <w:tc>
          <w:tcPr>
            <w:tcW w:w="906" w:type="dxa"/>
            <w:vAlign w:val="center"/>
          </w:tcPr>
          <w:p w14:paraId="66651AE5">
            <w:pPr>
              <w:jc w:val="center"/>
            </w:pPr>
            <w:r>
              <w:t>标距内</w:t>
            </w:r>
          </w:p>
        </w:tc>
      </w:tr>
      <w:tr w14:paraId="7A0B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continue"/>
            <w:vAlign w:val="center"/>
          </w:tcPr>
          <w:p w14:paraId="59870C40">
            <w:pPr>
              <w:jc w:val="center"/>
            </w:pPr>
          </w:p>
        </w:tc>
        <w:tc>
          <w:tcPr>
            <w:tcW w:w="1943" w:type="dxa"/>
            <w:vAlign w:val="center"/>
          </w:tcPr>
          <w:p w14:paraId="76B0FCA7">
            <w:pPr>
              <w:jc w:val="center"/>
            </w:pPr>
            <w:r>
              <w:t>GB7963-M6-GY-03</w:t>
            </w:r>
          </w:p>
        </w:tc>
        <w:tc>
          <w:tcPr>
            <w:tcW w:w="914" w:type="dxa"/>
            <w:vAlign w:val="center"/>
          </w:tcPr>
          <w:p w14:paraId="7ED99351">
            <w:pPr>
              <w:jc w:val="center"/>
            </w:pPr>
            <w:r>
              <w:t>25.0</w:t>
            </w:r>
          </w:p>
        </w:tc>
        <w:tc>
          <w:tcPr>
            <w:tcW w:w="1097" w:type="dxa"/>
            <w:vAlign w:val="center"/>
          </w:tcPr>
          <w:p w14:paraId="7BF585FB">
            <w:pPr>
              <w:jc w:val="center"/>
            </w:pPr>
            <w:r>
              <w:t>4.93</w:t>
            </w:r>
          </w:p>
        </w:tc>
        <w:tc>
          <w:tcPr>
            <w:tcW w:w="1109" w:type="dxa"/>
            <w:vAlign w:val="center"/>
          </w:tcPr>
          <w:p w14:paraId="1521DC42">
            <w:pPr>
              <w:jc w:val="center"/>
            </w:pPr>
            <w:r>
              <w:t>16.11</w:t>
            </w:r>
          </w:p>
        </w:tc>
        <w:tc>
          <w:tcPr>
            <w:tcW w:w="1097" w:type="dxa"/>
            <w:vAlign w:val="center"/>
          </w:tcPr>
          <w:p w14:paraId="4F0B7D02">
            <w:pPr>
              <w:jc w:val="center"/>
            </w:pPr>
            <w:r>
              <w:t>741</w:t>
            </w:r>
          </w:p>
        </w:tc>
        <w:tc>
          <w:tcPr>
            <w:tcW w:w="1166" w:type="dxa"/>
            <w:vAlign w:val="center"/>
          </w:tcPr>
          <w:p w14:paraId="06C795F0">
            <w:pPr>
              <w:jc w:val="center"/>
            </w:pPr>
            <w:r>
              <w:t>844</w:t>
            </w:r>
          </w:p>
        </w:tc>
        <w:tc>
          <w:tcPr>
            <w:tcW w:w="1108" w:type="dxa"/>
            <w:vAlign w:val="center"/>
          </w:tcPr>
          <w:p w14:paraId="31CFD45B">
            <w:pPr>
              <w:jc w:val="center"/>
            </w:pPr>
            <w:r>
              <w:t>10.5</w:t>
            </w:r>
          </w:p>
        </w:tc>
        <w:tc>
          <w:tcPr>
            <w:tcW w:w="906" w:type="dxa"/>
            <w:vAlign w:val="center"/>
          </w:tcPr>
          <w:p w14:paraId="0D127B6E">
            <w:pPr>
              <w:jc w:val="center"/>
            </w:pPr>
            <w:r>
              <w:t>标距内</w:t>
            </w:r>
          </w:p>
        </w:tc>
      </w:tr>
      <w:tr w14:paraId="73BB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restart"/>
            <w:vAlign w:val="center"/>
          </w:tcPr>
          <w:p w14:paraId="384A8E7A">
            <w:pPr>
              <w:tabs>
                <w:tab w:val="left" w:pos="418"/>
              </w:tabs>
              <w:jc w:val="center"/>
              <w:rPr>
                <w:rFonts w:hint="default" w:eastAsia="宋体"/>
                <w:lang w:val="en-US" w:eastAsia="zh-CN"/>
              </w:rPr>
            </w:pPr>
            <w:r>
              <w:rPr>
                <w:rFonts w:hint="eastAsia"/>
                <w:lang w:val="en-US" w:eastAsia="zh-CN"/>
              </w:rPr>
              <w:t>国标（北京）</w:t>
            </w:r>
          </w:p>
        </w:tc>
        <w:tc>
          <w:tcPr>
            <w:tcW w:w="1943" w:type="dxa"/>
            <w:vAlign w:val="center"/>
          </w:tcPr>
          <w:p w14:paraId="210C914B">
            <w:pPr>
              <w:jc w:val="center"/>
            </w:pPr>
            <w:r>
              <w:t>GB7963-M6-GJ-01</w:t>
            </w:r>
          </w:p>
        </w:tc>
        <w:tc>
          <w:tcPr>
            <w:tcW w:w="914" w:type="dxa"/>
            <w:vAlign w:val="center"/>
          </w:tcPr>
          <w:p w14:paraId="7A2EAA9B">
            <w:pPr>
              <w:jc w:val="center"/>
            </w:pPr>
            <w:r>
              <w:t>25.0</w:t>
            </w:r>
          </w:p>
        </w:tc>
        <w:tc>
          <w:tcPr>
            <w:tcW w:w="1097" w:type="dxa"/>
            <w:vAlign w:val="center"/>
          </w:tcPr>
          <w:p w14:paraId="6B53FDA2">
            <w:pPr>
              <w:jc w:val="center"/>
            </w:pPr>
            <w:r>
              <w:t>4.77</w:t>
            </w:r>
          </w:p>
        </w:tc>
        <w:tc>
          <w:tcPr>
            <w:tcW w:w="1109" w:type="dxa"/>
            <w:vAlign w:val="center"/>
          </w:tcPr>
          <w:p w14:paraId="10361D7A">
            <w:pPr>
              <w:jc w:val="center"/>
            </w:pPr>
            <w:r>
              <w:t>15.98</w:t>
            </w:r>
          </w:p>
        </w:tc>
        <w:tc>
          <w:tcPr>
            <w:tcW w:w="1097" w:type="dxa"/>
            <w:vAlign w:val="center"/>
          </w:tcPr>
          <w:p w14:paraId="07157AE9">
            <w:pPr>
              <w:jc w:val="center"/>
            </w:pPr>
            <w:r>
              <w:t>777</w:t>
            </w:r>
          </w:p>
        </w:tc>
        <w:tc>
          <w:tcPr>
            <w:tcW w:w="1166" w:type="dxa"/>
            <w:vAlign w:val="center"/>
          </w:tcPr>
          <w:p w14:paraId="5E18E8DA">
            <w:pPr>
              <w:jc w:val="center"/>
            </w:pPr>
            <w:r>
              <w:t>894</w:t>
            </w:r>
          </w:p>
        </w:tc>
        <w:tc>
          <w:tcPr>
            <w:tcW w:w="1108" w:type="dxa"/>
            <w:vAlign w:val="center"/>
          </w:tcPr>
          <w:p w14:paraId="7CA9D37A">
            <w:pPr>
              <w:jc w:val="center"/>
            </w:pPr>
            <w:r>
              <w:t>13.0</w:t>
            </w:r>
          </w:p>
        </w:tc>
        <w:tc>
          <w:tcPr>
            <w:tcW w:w="906" w:type="dxa"/>
            <w:vAlign w:val="center"/>
          </w:tcPr>
          <w:p w14:paraId="1A22D8D2">
            <w:pPr>
              <w:jc w:val="center"/>
            </w:pPr>
            <w:r>
              <w:t>标距内</w:t>
            </w:r>
          </w:p>
        </w:tc>
      </w:tr>
      <w:tr w14:paraId="6172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continue"/>
            <w:vAlign w:val="center"/>
          </w:tcPr>
          <w:p w14:paraId="0DD8433E">
            <w:pPr>
              <w:jc w:val="center"/>
            </w:pPr>
          </w:p>
        </w:tc>
        <w:tc>
          <w:tcPr>
            <w:tcW w:w="1943" w:type="dxa"/>
            <w:vAlign w:val="center"/>
          </w:tcPr>
          <w:p w14:paraId="43EF1FB0">
            <w:pPr>
              <w:jc w:val="center"/>
            </w:pPr>
            <w:r>
              <w:t>GB7963-M6-GJ-02</w:t>
            </w:r>
          </w:p>
        </w:tc>
        <w:tc>
          <w:tcPr>
            <w:tcW w:w="914" w:type="dxa"/>
            <w:vAlign w:val="center"/>
          </w:tcPr>
          <w:p w14:paraId="02DC4E72">
            <w:pPr>
              <w:jc w:val="center"/>
            </w:pPr>
            <w:r>
              <w:t>25.0</w:t>
            </w:r>
          </w:p>
        </w:tc>
        <w:tc>
          <w:tcPr>
            <w:tcW w:w="1097" w:type="dxa"/>
            <w:vAlign w:val="center"/>
          </w:tcPr>
          <w:p w14:paraId="7D10FCF0">
            <w:pPr>
              <w:jc w:val="center"/>
            </w:pPr>
            <w:r>
              <w:t>4.80</w:t>
            </w:r>
          </w:p>
        </w:tc>
        <w:tc>
          <w:tcPr>
            <w:tcW w:w="1109" w:type="dxa"/>
            <w:vAlign w:val="center"/>
          </w:tcPr>
          <w:p w14:paraId="6B0E4A02">
            <w:pPr>
              <w:jc w:val="center"/>
            </w:pPr>
            <w:r>
              <w:t>15.95</w:t>
            </w:r>
          </w:p>
        </w:tc>
        <w:tc>
          <w:tcPr>
            <w:tcW w:w="1097" w:type="dxa"/>
            <w:vAlign w:val="center"/>
          </w:tcPr>
          <w:p w14:paraId="2EB4C2CF">
            <w:pPr>
              <w:jc w:val="center"/>
            </w:pPr>
            <w:r>
              <w:t>774</w:t>
            </w:r>
          </w:p>
        </w:tc>
        <w:tc>
          <w:tcPr>
            <w:tcW w:w="1166" w:type="dxa"/>
            <w:vAlign w:val="center"/>
          </w:tcPr>
          <w:p w14:paraId="3F4B1502">
            <w:pPr>
              <w:jc w:val="center"/>
            </w:pPr>
            <w:r>
              <w:t>882</w:t>
            </w:r>
          </w:p>
        </w:tc>
        <w:tc>
          <w:tcPr>
            <w:tcW w:w="1108" w:type="dxa"/>
            <w:vAlign w:val="center"/>
          </w:tcPr>
          <w:p w14:paraId="5314C08B">
            <w:pPr>
              <w:jc w:val="center"/>
            </w:pPr>
            <w:r>
              <w:t>12.0</w:t>
            </w:r>
          </w:p>
        </w:tc>
        <w:tc>
          <w:tcPr>
            <w:tcW w:w="906" w:type="dxa"/>
            <w:vAlign w:val="center"/>
          </w:tcPr>
          <w:p w14:paraId="332AB468">
            <w:pPr>
              <w:jc w:val="center"/>
            </w:pPr>
            <w:r>
              <w:t>标距内</w:t>
            </w:r>
          </w:p>
        </w:tc>
      </w:tr>
      <w:tr w14:paraId="511B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continue"/>
            <w:vAlign w:val="center"/>
          </w:tcPr>
          <w:p w14:paraId="14878D2E">
            <w:pPr>
              <w:jc w:val="center"/>
            </w:pPr>
          </w:p>
        </w:tc>
        <w:tc>
          <w:tcPr>
            <w:tcW w:w="1943" w:type="dxa"/>
            <w:vAlign w:val="center"/>
          </w:tcPr>
          <w:p w14:paraId="61002912">
            <w:pPr>
              <w:jc w:val="center"/>
            </w:pPr>
            <w:r>
              <w:t>GB7963-M6-GJ-03</w:t>
            </w:r>
          </w:p>
        </w:tc>
        <w:tc>
          <w:tcPr>
            <w:tcW w:w="914" w:type="dxa"/>
            <w:vAlign w:val="center"/>
          </w:tcPr>
          <w:p w14:paraId="5DE96629">
            <w:pPr>
              <w:jc w:val="center"/>
            </w:pPr>
            <w:r>
              <w:t>25.0</w:t>
            </w:r>
          </w:p>
        </w:tc>
        <w:tc>
          <w:tcPr>
            <w:tcW w:w="1097" w:type="dxa"/>
            <w:vAlign w:val="center"/>
          </w:tcPr>
          <w:p w14:paraId="63F4F5E9">
            <w:pPr>
              <w:jc w:val="center"/>
            </w:pPr>
            <w:r>
              <w:t>4.78</w:t>
            </w:r>
          </w:p>
        </w:tc>
        <w:tc>
          <w:tcPr>
            <w:tcW w:w="1109" w:type="dxa"/>
            <w:vAlign w:val="center"/>
          </w:tcPr>
          <w:p w14:paraId="6309C2C2">
            <w:pPr>
              <w:jc w:val="center"/>
            </w:pPr>
            <w:r>
              <w:t>15.77</w:t>
            </w:r>
          </w:p>
        </w:tc>
        <w:tc>
          <w:tcPr>
            <w:tcW w:w="1097" w:type="dxa"/>
            <w:vAlign w:val="center"/>
          </w:tcPr>
          <w:p w14:paraId="7B2A3DE4">
            <w:pPr>
              <w:jc w:val="center"/>
            </w:pPr>
            <w:r>
              <w:t>762</w:t>
            </w:r>
          </w:p>
        </w:tc>
        <w:tc>
          <w:tcPr>
            <w:tcW w:w="1166" w:type="dxa"/>
            <w:vAlign w:val="center"/>
          </w:tcPr>
          <w:p w14:paraId="1BC0B370">
            <w:pPr>
              <w:jc w:val="center"/>
            </w:pPr>
            <w:r>
              <w:t>879</w:t>
            </w:r>
          </w:p>
        </w:tc>
        <w:tc>
          <w:tcPr>
            <w:tcW w:w="1108" w:type="dxa"/>
            <w:vAlign w:val="center"/>
          </w:tcPr>
          <w:p w14:paraId="7C4A7598">
            <w:pPr>
              <w:jc w:val="center"/>
            </w:pPr>
            <w:r>
              <w:t>14.5</w:t>
            </w:r>
          </w:p>
        </w:tc>
        <w:tc>
          <w:tcPr>
            <w:tcW w:w="906" w:type="dxa"/>
            <w:vAlign w:val="center"/>
          </w:tcPr>
          <w:p w14:paraId="58520CF3">
            <w:pPr>
              <w:jc w:val="center"/>
            </w:pPr>
            <w:r>
              <w:t>标距内</w:t>
            </w:r>
          </w:p>
        </w:tc>
      </w:tr>
      <w:tr w14:paraId="479F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restart"/>
            <w:vAlign w:val="center"/>
          </w:tcPr>
          <w:p w14:paraId="1E7DEEBD">
            <w:pPr>
              <w:jc w:val="center"/>
              <w:rPr>
                <w:rFonts w:hint="default" w:eastAsia="宋体"/>
                <w:lang w:val="en-US" w:eastAsia="zh-CN"/>
              </w:rPr>
            </w:pPr>
            <w:r>
              <w:rPr>
                <w:rFonts w:hint="eastAsia"/>
                <w:lang w:val="en-US" w:eastAsia="zh-CN"/>
              </w:rPr>
              <w:t>中南大学</w:t>
            </w:r>
          </w:p>
        </w:tc>
        <w:tc>
          <w:tcPr>
            <w:tcW w:w="1943" w:type="dxa"/>
            <w:vAlign w:val="center"/>
          </w:tcPr>
          <w:p w14:paraId="2D8A2996">
            <w:pPr>
              <w:jc w:val="center"/>
            </w:pPr>
            <w:r>
              <w:t>GB7963-M6-ZN-01</w:t>
            </w:r>
          </w:p>
        </w:tc>
        <w:tc>
          <w:tcPr>
            <w:tcW w:w="914" w:type="dxa"/>
            <w:vAlign w:val="center"/>
          </w:tcPr>
          <w:p w14:paraId="28D8FF53">
            <w:pPr>
              <w:jc w:val="center"/>
            </w:pPr>
            <w:r>
              <w:t>25.0</w:t>
            </w:r>
          </w:p>
        </w:tc>
        <w:tc>
          <w:tcPr>
            <w:tcW w:w="1097" w:type="dxa"/>
            <w:vAlign w:val="center"/>
          </w:tcPr>
          <w:p w14:paraId="79931620">
            <w:pPr>
              <w:jc w:val="center"/>
            </w:pPr>
            <w:r>
              <w:t>4.85</w:t>
            </w:r>
          </w:p>
        </w:tc>
        <w:tc>
          <w:tcPr>
            <w:tcW w:w="1109" w:type="dxa"/>
            <w:vAlign w:val="center"/>
          </w:tcPr>
          <w:p w14:paraId="5D83B536">
            <w:pPr>
              <w:jc w:val="center"/>
            </w:pPr>
            <w:r>
              <w:t>15.54</w:t>
            </w:r>
          </w:p>
        </w:tc>
        <w:tc>
          <w:tcPr>
            <w:tcW w:w="1097" w:type="dxa"/>
            <w:vAlign w:val="center"/>
          </w:tcPr>
          <w:p w14:paraId="13419C82">
            <w:pPr>
              <w:jc w:val="center"/>
            </w:pPr>
            <w:r>
              <w:t>710</w:t>
            </w:r>
          </w:p>
        </w:tc>
        <w:tc>
          <w:tcPr>
            <w:tcW w:w="1166" w:type="dxa"/>
            <w:vAlign w:val="center"/>
          </w:tcPr>
          <w:p w14:paraId="13EAF8D1">
            <w:pPr>
              <w:jc w:val="center"/>
            </w:pPr>
            <w:r>
              <w:t>841</w:t>
            </w:r>
          </w:p>
        </w:tc>
        <w:tc>
          <w:tcPr>
            <w:tcW w:w="1108" w:type="dxa"/>
            <w:vAlign w:val="center"/>
          </w:tcPr>
          <w:p w14:paraId="394FEB9D">
            <w:pPr>
              <w:jc w:val="center"/>
            </w:pPr>
            <w:r>
              <w:t>8.5</w:t>
            </w:r>
          </w:p>
        </w:tc>
        <w:tc>
          <w:tcPr>
            <w:tcW w:w="906" w:type="dxa"/>
            <w:vAlign w:val="center"/>
          </w:tcPr>
          <w:p w14:paraId="19B0EF50">
            <w:pPr>
              <w:jc w:val="center"/>
            </w:pPr>
            <w:r>
              <w:t>标距内</w:t>
            </w:r>
          </w:p>
        </w:tc>
      </w:tr>
      <w:tr w14:paraId="7C63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continue"/>
            <w:vAlign w:val="center"/>
          </w:tcPr>
          <w:p w14:paraId="72D4F8CA">
            <w:pPr>
              <w:jc w:val="center"/>
            </w:pPr>
          </w:p>
        </w:tc>
        <w:tc>
          <w:tcPr>
            <w:tcW w:w="1943" w:type="dxa"/>
            <w:vAlign w:val="center"/>
          </w:tcPr>
          <w:p w14:paraId="13AD23D8">
            <w:pPr>
              <w:jc w:val="center"/>
            </w:pPr>
            <w:r>
              <w:t>GB7963-M6-ZN-02</w:t>
            </w:r>
          </w:p>
        </w:tc>
        <w:tc>
          <w:tcPr>
            <w:tcW w:w="914" w:type="dxa"/>
            <w:vAlign w:val="center"/>
          </w:tcPr>
          <w:p w14:paraId="606D0435">
            <w:pPr>
              <w:jc w:val="center"/>
            </w:pPr>
            <w:r>
              <w:t>25.0</w:t>
            </w:r>
          </w:p>
        </w:tc>
        <w:tc>
          <w:tcPr>
            <w:tcW w:w="1097" w:type="dxa"/>
            <w:vAlign w:val="center"/>
          </w:tcPr>
          <w:p w14:paraId="6B6548B6">
            <w:pPr>
              <w:jc w:val="center"/>
            </w:pPr>
            <w:r>
              <w:t>4.74</w:t>
            </w:r>
          </w:p>
        </w:tc>
        <w:tc>
          <w:tcPr>
            <w:tcW w:w="1109" w:type="dxa"/>
            <w:vAlign w:val="center"/>
          </w:tcPr>
          <w:p w14:paraId="409A5919">
            <w:pPr>
              <w:jc w:val="center"/>
            </w:pPr>
            <w:r>
              <w:t>15.40</w:t>
            </w:r>
          </w:p>
        </w:tc>
        <w:tc>
          <w:tcPr>
            <w:tcW w:w="1097" w:type="dxa"/>
            <w:vAlign w:val="center"/>
          </w:tcPr>
          <w:p w14:paraId="13C6EF16">
            <w:pPr>
              <w:jc w:val="center"/>
            </w:pPr>
            <w:r>
              <w:t>739</w:t>
            </w:r>
          </w:p>
        </w:tc>
        <w:tc>
          <w:tcPr>
            <w:tcW w:w="1166" w:type="dxa"/>
            <w:vAlign w:val="center"/>
          </w:tcPr>
          <w:p w14:paraId="34083184">
            <w:pPr>
              <w:jc w:val="center"/>
            </w:pPr>
            <w:r>
              <w:t>873</w:t>
            </w:r>
          </w:p>
        </w:tc>
        <w:tc>
          <w:tcPr>
            <w:tcW w:w="1108" w:type="dxa"/>
            <w:vAlign w:val="center"/>
          </w:tcPr>
          <w:p w14:paraId="5B043897">
            <w:pPr>
              <w:jc w:val="center"/>
            </w:pPr>
            <w:r>
              <w:t>8.7</w:t>
            </w:r>
          </w:p>
        </w:tc>
        <w:tc>
          <w:tcPr>
            <w:tcW w:w="906" w:type="dxa"/>
            <w:vAlign w:val="center"/>
          </w:tcPr>
          <w:p w14:paraId="268F60BA">
            <w:pPr>
              <w:jc w:val="center"/>
            </w:pPr>
            <w:r>
              <w:t>标距内</w:t>
            </w:r>
          </w:p>
        </w:tc>
      </w:tr>
      <w:tr w14:paraId="475E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continue"/>
            <w:vAlign w:val="center"/>
          </w:tcPr>
          <w:p w14:paraId="17844437">
            <w:pPr>
              <w:jc w:val="center"/>
            </w:pPr>
          </w:p>
        </w:tc>
        <w:tc>
          <w:tcPr>
            <w:tcW w:w="1943" w:type="dxa"/>
            <w:vAlign w:val="center"/>
          </w:tcPr>
          <w:p w14:paraId="65E11BC1">
            <w:pPr>
              <w:jc w:val="center"/>
            </w:pPr>
            <w:r>
              <w:t>GB7963-M6-ZN-03</w:t>
            </w:r>
          </w:p>
        </w:tc>
        <w:tc>
          <w:tcPr>
            <w:tcW w:w="914" w:type="dxa"/>
            <w:vAlign w:val="center"/>
          </w:tcPr>
          <w:p w14:paraId="570C1DE8">
            <w:pPr>
              <w:jc w:val="center"/>
            </w:pPr>
            <w:r>
              <w:t>25.0</w:t>
            </w:r>
          </w:p>
        </w:tc>
        <w:tc>
          <w:tcPr>
            <w:tcW w:w="1097" w:type="dxa"/>
            <w:vAlign w:val="center"/>
          </w:tcPr>
          <w:p w14:paraId="2CE24114">
            <w:pPr>
              <w:jc w:val="center"/>
            </w:pPr>
            <w:r>
              <w:t>4.77</w:t>
            </w:r>
          </w:p>
        </w:tc>
        <w:tc>
          <w:tcPr>
            <w:tcW w:w="1109" w:type="dxa"/>
            <w:vAlign w:val="center"/>
          </w:tcPr>
          <w:p w14:paraId="4330E936">
            <w:pPr>
              <w:jc w:val="center"/>
            </w:pPr>
            <w:r>
              <w:t>16.19</w:t>
            </w:r>
          </w:p>
        </w:tc>
        <w:tc>
          <w:tcPr>
            <w:tcW w:w="1097" w:type="dxa"/>
            <w:vAlign w:val="center"/>
          </w:tcPr>
          <w:p w14:paraId="2B0E8F29">
            <w:pPr>
              <w:jc w:val="center"/>
            </w:pPr>
            <w:r>
              <w:t>740</w:t>
            </w:r>
          </w:p>
        </w:tc>
        <w:tc>
          <w:tcPr>
            <w:tcW w:w="1166" w:type="dxa"/>
            <w:vAlign w:val="center"/>
          </w:tcPr>
          <w:p w14:paraId="4E168E0F">
            <w:pPr>
              <w:jc w:val="center"/>
            </w:pPr>
            <w:r>
              <w:t>906</w:t>
            </w:r>
          </w:p>
        </w:tc>
        <w:tc>
          <w:tcPr>
            <w:tcW w:w="1108" w:type="dxa"/>
            <w:vAlign w:val="center"/>
          </w:tcPr>
          <w:p w14:paraId="4E456FF7">
            <w:pPr>
              <w:jc w:val="center"/>
            </w:pPr>
            <w:r>
              <w:t>8.9</w:t>
            </w:r>
          </w:p>
        </w:tc>
        <w:tc>
          <w:tcPr>
            <w:tcW w:w="906" w:type="dxa"/>
            <w:vAlign w:val="center"/>
          </w:tcPr>
          <w:p w14:paraId="07CDF347">
            <w:pPr>
              <w:jc w:val="center"/>
            </w:pPr>
            <w:r>
              <w:t>标距外</w:t>
            </w:r>
          </w:p>
        </w:tc>
      </w:tr>
      <w:tr w14:paraId="1A28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restart"/>
            <w:vAlign w:val="center"/>
          </w:tcPr>
          <w:p w14:paraId="44D674DF">
            <w:pPr>
              <w:jc w:val="center"/>
              <w:rPr>
                <w:rFonts w:hint="default" w:eastAsia="宋体"/>
                <w:lang w:val="en-US" w:eastAsia="zh-CN"/>
              </w:rPr>
            </w:pPr>
            <w:r>
              <w:rPr>
                <w:rFonts w:hint="eastAsia"/>
                <w:lang w:val="en-US" w:eastAsia="zh-CN"/>
              </w:rPr>
              <w:t>西北有色院</w:t>
            </w:r>
          </w:p>
        </w:tc>
        <w:tc>
          <w:tcPr>
            <w:tcW w:w="1943" w:type="dxa"/>
            <w:vAlign w:val="center"/>
          </w:tcPr>
          <w:p w14:paraId="73C1872D">
            <w:pPr>
              <w:jc w:val="center"/>
            </w:pPr>
            <w:r>
              <w:t>GB7963-M6-</w:t>
            </w:r>
            <w:r>
              <w:rPr>
                <w:rFonts w:hint="eastAsia"/>
              </w:rPr>
              <w:t>W</w:t>
            </w:r>
            <w:r>
              <w:t>-01</w:t>
            </w:r>
          </w:p>
        </w:tc>
        <w:tc>
          <w:tcPr>
            <w:tcW w:w="914" w:type="dxa"/>
            <w:vAlign w:val="center"/>
          </w:tcPr>
          <w:p w14:paraId="11EA4485">
            <w:pPr>
              <w:jc w:val="center"/>
            </w:pPr>
            <w:r>
              <w:t>25.0</w:t>
            </w:r>
          </w:p>
        </w:tc>
        <w:tc>
          <w:tcPr>
            <w:tcW w:w="1097" w:type="dxa"/>
            <w:vAlign w:val="center"/>
          </w:tcPr>
          <w:p w14:paraId="1F09ABB3">
            <w:pPr>
              <w:jc w:val="center"/>
            </w:pPr>
            <w:r>
              <w:t>4.85</w:t>
            </w:r>
          </w:p>
        </w:tc>
        <w:tc>
          <w:tcPr>
            <w:tcW w:w="1109" w:type="dxa"/>
            <w:vAlign w:val="center"/>
          </w:tcPr>
          <w:p w14:paraId="533BA704">
            <w:pPr>
              <w:jc w:val="center"/>
            </w:pPr>
            <w:r>
              <w:rPr>
                <w:rFonts w:hint="eastAsia"/>
              </w:rPr>
              <w:t>16.61</w:t>
            </w:r>
          </w:p>
        </w:tc>
        <w:tc>
          <w:tcPr>
            <w:tcW w:w="1097" w:type="dxa"/>
            <w:vAlign w:val="center"/>
          </w:tcPr>
          <w:p w14:paraId="4B7E7B5E">
            <w:pPr>
              <w:jc w:val="center"/>
            </w:pPr>
            <w:r>
              <w:rPr>
                <w:rFonts w:hint="eastAsia"/>
              </w:rPr>
              <w:t>762</w:t>
            </w:r>
          </w:p>
        </w:tc>
        <w:tc>
          <w:tcPr>
            <w:tcW w:w="1166" w:type="dxa"/>
            <w:vAlign w:val="center"/>
          </w:tcPr>
          <w:p w14:paraId="307EA358">
            <w:pPr>
              <w:jc w:val="center"/>
            </w:pPr>
            <w:r>
              <w:rPr>
                <w:rFonts w:hint="eastAsia"/>
              </w:rPr>
              <w:t>884</w:t>
            </w:r>
          </w:p>
        </w:tc>
        <w:tc>
          <w:tcPr>
            <w:tcW w:w="1108" w:type="dxa"/>
            <w:vAlign w:val="center"/>
          </w:tcPr>
          <w:p w14:paraId="411EC158">
            <w:pPr>
              <w:jc w:val="center"/>
            </w:pPr>
            <w:r>
              <w:rPr>
                <w:rFonts w:hint="eastAsia"/>
              </w:rPr>
              <w:t>11.5</w:t>
            </w:r>
          </w:p>
        </w:tc>
        <w:tc>
          <w:tcPr>
            <w:tcW w:w="906" w:type="dxa"/>
            <w:vAlign w:val="center"/>
          </w:tcPr>
          <w:p w14:paraId="05C1A1FC">
            <w:pPr>
              <w:jc w:val="center"/>
            </w:pPr>
            <w:r>
              <w:t>标距内</w:t>
            </w:r>
          </w:p>
        </w:tc>
      </w:tr>
      <w:tr w14:paraId="5EA3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continue"/>
            <w:vAlign w:val="center"/>
          </w:tcPr>
          <w:p w14:paraId="044E0E90">
            <w:pPr>
              <w:jc w:val="center"/>
            </w:pPr>
          </w:p>
        </w:tc>
        <w:tc>
          <w:tcPr>
            <w:tcW w:w="1943" w:type="dxa"/>
            <w:vAlign w:val="center"/>
          </w:tcPr>
          <w:p w14:paraId="0DC224EC">
            <w:pPr>
              <w:jc w:val="center"/>
            </w:pPr>
            <w:r>
              <w:t>GB7963-M6-</w:t>
            </w:r>
            <w:r>
              <w:rPr>
                <w:rFonts w:hint="eastAsia"/>
              </w:rPr>
              <w:t>W</w:t>
            </w:r>
            <w:r>
              <w:t>-02</w:t>
            </w:r>
          </w:p>
        </w:tc>
        <w:tc>
          <w:tcPr>
            <w:tcW w:w="914" w:type="dxa"/>
            <w:vAlign w:val="center"/>
          </w:tcPr>
          <w:p w14:paraId="07295480">
            <w:pPr>
              <w:jc w:val="center"/>
            </w:pPr>
            <w:r>
              <w:t>25.0</w:t>
            </w:r>
          </w:p>
        </w:tc>
        <w:tc>
          <w:tcPr>
            <w:tcW w:w="1097" w:type="dxa"/>
            <w:vAlign w:val="center"/>
          </w:tcPr>
          <w:p w14:paraId="694D60A6">
            <w:pPr>
              <w:jc w:val="center"/>
            </w:pPr>
            <w:r>
              <w:t>4.74</w:t>
            </w:r>
          </w:p>
        </w:tc>
        <w:tc>
          <w:tcPr>
            <w:tcW w:w="1109" w:type="dxa"/>
            <w:vAlign w:val="center"/>
          </w:tcPr>
          <w:p w14:paraId="0C28DB65">
            <w:pPr>
              <w:jc w:val="center"/>
            </w:pPr>
            <w:r>
              <w:rPr>
                <w:rFonts w:hint="eastAsia"/>
              </w:rPr>
              <w:t>16.25</w:t>
            </w:r>
          </w:p>
        </w:tc>
        <w:tc>
          <w:tcPr>
            <w:tcW w:w="1097" w:type="dxa"/>
            <w:vAlign w:val="center"/>
          </w:tcPr>
          <w:p w14:paraId="7206DCD2">
            <w:pPr>
              <w:jc w:val="center"/>
            </w:pPr>
            <w:r>
              <w:rPr>
                <w:rFonts w:hint="eastAsia"/>
              </w:rPr>
              <w:t>771</w:t>
            </w:r>
          </w:p>
        </w:tc>
        <w:tc>
          <w:tcPr>
            <w:tcW w:w="1166" w:type="dxa"/>
            <w:vAlign w:val="center"/>
          </w:tcPr>
          <w:p w14:paraId="1A10F1C6">
            <w:pPr>
              <w:jc w:val="center"/>
            </w:pPr>
            <w:r>
              <w:rPr>
                <w:rFonts w:hint="eastAsia"/>
              </w:rPr>
              <w:t>889</w:t>
            </w:r>
          </w:p>
        </w:tc>
        <w:tc>
          <w:tcPr>
            <w:tcW w:w="1108" w:type="dxa"/>
            <w:vAlign w:val="center"/>
          </w:tcPr>
          <w:p w14:paraId="6F2BE107">
            <w:pPr>
              <w:jc w:val="center"/>
            </w:pPr>
            <w:r>
              <w:rPr>
                <w:rFonts w:hint="eastAsia"/>
              </w:rPr>
              <w:t>13.5</w:t>
            </w:r>
          </w:p>
        </w:tc>
        <w:tc>
          <w:tcPr>
            <w:tcW w:w="906" w:type="dxa"/>
            <w:vAlign w:val="center"/>
          </w:tcPr>
          <w:p w14:paraId="0941F588">
            <w:pPr>
              <w:jc w:val="center"/>
            </w:pPr>
            <w:r>
              <w:t>标距内</w:t>
            </w:r>
          </w:p>
        </w:tc>
      </w:tr>
      <w:tr w14:paraId="253C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continue"/>
            <w:vAlign w:val="center"/>
          </w:tcPr>
          <w:p w14:paraId="24ABF009">
            <w:pPr>
              <w:jc w:val="center"/>
            </w:pPr>
          </w:p>
        </w:tc>
        <w:tc>
          <w:tcPr>
            <w:tcW w:w="1943" w:type="dxa"/>
            <w:vAlign w:val="center"/>
          </w:tcPr>
          <w:p w14:paraId="53E32F6B">
            <w:pPr>
              <w:jc w:val="center"/>
            </w:pPr>
            <w:r>
              <w:t>GB7963-M6-</w:t>
            </w:r>
            <w:r>
              <w:rPr>
                <w:rFonts w:hint="eastAsia"/>
              </w:rPr>
              <w:t>W</w:t>
            </w:r>
            <w:r>
              <w:t>-03</w:t>
            </w:r>
          </w:p>
        </w:tc>
        <w:tc>
          <w:tcPr>
            <w:tcW w:w="914" w:type="dxa"/>
            <w:vAlign w:val="center"/>
          </w:tcPr>
          <w:p w14:paraId="39E05D7A">
            <w:pPr>
              <w:jc w:val="center"/>
              <w:rPr>
                <w:rFonts w:hint="eastAsia" w:eastAsia="宋体"/>
                <w:lang w:val="en-US" w:eastAsia="zh-CN"/>
              </w:rPr>
            </w:pPr>
            <w:r>
              <w:t>25.0</w:t>
            </w:r>
          </w:p>
        </w:tc>
        <w:tc>
          <w:tcPr>
            <w:tcW w:w="1097" w:type="dxa"/>
            <w:vAlign w:val="center"/>
          </w:tcPr>
          <w:p w14:paraId="6676DAE4">
            <w:pPr>
              <w:jc w:val="center"/>
            </w:pPr>
            <w:r>
              <w:t>4.77</w:t>
            </w:r>
          </w:p>
        </w:tc>
        <w:tc>
          <w:tcPr>
            <w:tcW w:w="1109" w:type="dxa"/>
            <w:vAlign w:val="center"/>
          </w:tcPr>
          <w:p w14:paraId="2B29F798">
            <w:pPr>
              <w:jc w:val="center"/>
            </w:pPr>
            <w:r>
              <w:rPr>
                <w:rFonts w:hint="eastAsia"/>
              </w:rPr>
              <w:t>16.92</w:t>
            </w:r>
          </w:p>
        </w:tc>
        <w:tc>
          <w:tcPr>
            <w:tcW w:w="1097" w:type="dxa"/>
            <w:vAlign w:val="center"/>
          </w:tcPr>
          <w:p w14:paraId="65563E61">
            <w:pPr>
              <w:jc w:val="center"/>
            </w:pPr>
            <w:r>
              <w:rPr>
                <w:rFonts w:hint="eastAsia"/>
              </w:rPr>
              <w:t>765</w:t>
            </w:r>
          </w:p>
        </w:tc>
        <w:tc>
          <w:tcPr>
            <w:tcW w:w="1166" w:type="dxa"/>
            <w:vAlign w:val="center"/>
          </w:tcPr>
          <w:p w14:paraId="59427389">
            <w:pPr>
              <w:jc w:val="center"/>
            </w:pPr>
            <w:r>
              <w:rPr>
                <w:rFonts w:hint="eastAsia"/>
              </w:rPr>
              <w:t>886</w:t>
            </w:r>
          </w:p>
        </w:tc>
        <w:tc>
          <w:tcPr>
            <w:tcW w:w="1108" w:type="dxa"/>
            <w:vAlign w:val="center"/>
          </w:tcPr>
          <w:p w14:paraId="4BC8C201">
            <w:pPr>
              <w:jc w:val="center"/>
            </w:pPr>
            <w:r>
              <w:rPr>
                <w:rFonts w:hint="eastAsia"/>
              </w:rPr>
              <w:t>12.0</w:t>
            </w:r>
          </w:p>
        </w:tc>
        <w:tc>
          <w:tcPr>
            <w:tcW w:w="906" w:type="dxa"/>
            <w:vAlign w:val="center"/>
          </w:tcPr>
          <w:p w14:paraId="0E724DE2">
            <w:pPr>
              <w:jc w:val="center"/>
            </w:pPr>
            <w:r>
              <w:t>标距内</w:t>
            </w:r>
          </w:p>
        </w:tc>
      </w:tr>
    </w:tbl>
    <w:p w14:paraId="0CA9530D">
      <w:pPr>
        <w:keepNext w:val="0"/>
        <w:keepLines w:val="0"/>
        <w:pageBreakBefore w:val="0"/>
        <w:widowControl/>
        <w:kinsoku/>
        <w:wordWrap/>
        <w:overflowPunct/>
        <w:topLinePunct w:val="0"/>
        <w:autoSpaceDE/>
        <w:autoSpaceDN/>
        <w:bidi w:val="0"/>
        <w:adjustRightInd/>
        <w:snapToGrid/>
        <w:spacing w:before="157" w:beforeLines="50"/>
        <w:ind w:firstLine="420" w:firstLineChars="200"/>
        <w:textAlignment w:val="auto"/>
        <w:rPr>
          <w:rFonts w:hint="eastAsia"/>
        </w:rPr>
      </w:pPr>
      <w:r>
        <w:rPr>
          <w:rFonts w:hint="eastAsia"/>
        </w:rPr>
        <w:t>试样直径控制在4.74~4.93mm，机加工尺寸精度高，标距25mm、0.1mm锥度、2.0mm凸肩半径的设计，有效避免夹持端应力集中；11个有效试样91.7%在标距内断裂，仅1个试样因材料局部孔隙不均断裂在标距外，属个别现象，证明机加工试样的尺寸与结构设计完全满足拉伸试验要求。</w:t>
      </w:r>
    </w:p>
    <w:p w14:paraId="5B17F583">
      <w:pPr>
        <w:pStyle w:val="11"/>
        <w:spacing w:before="156" w:after="156"/>
        <w:rPr>
          <w:rFonts w:hint="default" w:eastAsia="黑体"/>
          <w:lang w:val="en-US" w:eastAsia="zh-CN"/>
        </w:rPr>
      </w:pPr>
      <w:r>
        <w:rPr>
          <w:rFonts w:hint="eastAsia"/>
        </w:rPr>
        <w:t>表</w:t>
      </w:r>
      <w:r>
        <w:rPr>
          <w:rFonts w:hint="eastAsia"/>
          <w:lang w:val="en-US" w:eastAsia="zh-CN"/>
        </w:rPr>
        <w:t>7</w:t>
      </w:r>
      <w:r>
        <w:rPr>
          <w:rFonts w:hint="eastAsia"/>
        </w:rPr>
        <w:t xml:space="preserve">  </w:t>
      </w:r>
      <w:r>
        <w:rPr>
          <w:rFonts w:hint="eastAsia"/>
          <w:lang w:val="en-US" w:eastAsia="zh-CN"/>
        </w:rPr>
        <w:t>机械加工试样数据统计</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1440"/>
        <w:gridCol w:w="1029"/>
        <w:gridCol w:w="1029"/>
        <w:gridCol w:w="2457"/>
        <w:gridCol w:w="2147"/>
      </w:tblGrid>
      <w:tr w14:paraId="3917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vAlign w:val="center"/>
          </w:tcPr>
          <w:p w14:paraId="3C0C80CF">
            <w:pPr>
              <w:jc w:val="center"/>
              <w:rPr>
                <w:rFonts w:hint="default"/>
                <w:vertAlign w:val="baseline"/>
                <w:lang w:val="en-US" w:eastAsia="zh-CN"/>
              </w:rPr>
            </w:pPr>
            <w:r>
              <w:rPr>
                <w:rFonts w:hint="eastAsia"/>
                <w:vertAlign w:val="baseline"/>
                <w:lang w:val="en-US" w:eastAsia="zh-CN"/>
              </w:rPr>
              <w:t>测试指标</w:t>
            </w:r>
          </w:p>
        </w:tc>
        <w:tc>
          <w:tcPr>
            <w:tcW w:w="1440" w:type="dxa"/>
            <w:vAlign w:val="center"/>
          </w:tcPr>
          <w:p w14:paraId="40AD9F2C">
            <w:pPr>
              <w:jc w:val="center"/>
              <w:rPr>
                <w:rFonts w:hint="default"/>
                <w:vertAlign w:val="baseline"/>
                <w:lang w:val="en-US" w:eastAsia="zh-CN"/>
              </w:rPr>
            </w:pPr>
            <w:r>
              <w:rPr>
                <w:rFonts w:hint="eastAsia"/>
                <w:vertAlign w:val="baseline"/>
                <w:lang w:val="en-US" w:eastAsia="zh-CN"/>
              </w:rPr>
              <w:t>有效试样数</w:t>
            </w:r>
          </w:p>
        </w:tc>
        <w:tc>
          <w:tcPr>
            <w:tcW w:w="1029" w:type="dxa"/>
            <w:vAlign w:val="center"/>
          </w:tcPr>
          <w:p w14:paraId="12F48B2A">
            <w:pPr>
              <w:jc w:val="center"/>
              <w:rPr>
                <w:rFonts w:hint="default"/>
                <w:vertAlign w:val="baseline"/>
                <w:lang w:val="en-US" w:eastAsia="zh-CN"/>
              </w:rPr>
            </w:pPr>
            <w:r>
              <w:rPr>
                <w:rFonts w:hint="eastAsia"/>
                <w:vertAlign w:val="baseline"/>
                <w:lang w:val="en-US" w:eastAsia="zh-CN"/>
              </w:rPr>
              <w:t>平均值</w:t>
            </w:r>
          </w:p>
        </w:tc>
        <w:tc>
          <w:tcPr>
            <w:tcW w:w="1029" w:type="dxa"/>
            <w:vAlign w:val="center"/>
          </w:tcPr>
          <w:p w14:paraId="4EE2E46E">
            <w:pPr>
              <w:jc w:val="center"/>
              <w:rPr>
                <w:rFonts w:hint="default"/>
                <w:vertAlign w:val="baseline"/>
                <w:lang w:val="en-US" w:eastAsia="zh-CN"/>
              </w:rPr>
            </w:pPr>
            <w:r>
              <w:rPr>
                <w:rFonts w:hint="eastAsia"/>
                <w:vertAlign w:val="baseline"/>
                <w:lang w:val="en-US" w:eastAsia="zh-CN"/>
              </w:rPr>
              <w:t>标准差</w:t>
            </w:r>
          </w:p>
        </w:tc>
        <w:tc>
          <w:tcPr>
            <w:tcW w:w="2457" w:type="dxa"/>
            <w:vAlign w:val="center"/>
          </w:tcPr>
          <w:p w14:paraId="13CC68FE">
            <w:pPr>
              <w:jc w:val="center"/>
              <w:rPr>
                <w:rFonts w:hint="default"/>
                <w:vertAlign w:val="baseline"/>
                <w:lang w:val="en-US" w:eastAsia="zh-CN"/>
              </w:rPr>
            </w:pPr>
            <w:r>
              <w:rPr>
                <w:rFonts w:hint="default"/>
                <w:vertAlign w:val="baseline"/>
                <w:lang w:val="en-US" w:eastAsia="zh-CN"/>
              </w:rPr>
              <w:t>室内重复性变异系数CVr（%）</w:t>
            </w:r>
          </w:p>
        </w:tc>
        <w:tc>
          <w:tcPr>
            <w:tcW w:w="2147" w:type="dxa"/>
            <w:vAlign w:val="center"/>
          </w:tcPr>
          <w:p w14:paraId="256EAF3D">
            <w:pPr>
              <w:jc w:val="center"/>
              <w:rPr>
                <w:rFonts w:hint="default"/>
                <w:vertAlign w:val="baseline"/>
                <w:lang w:val="en-US" w:eastAsia="zh-CN"/>
              </w:rPr>
            </w:pPr>
            <w:r>
              <w:rPr>
                <w:rFonts w:hint="default"/>
                <w:vertAlign w:val="baseline"/>
                <w:lang w:val="en-US" w:eastAsia="zh-CN"/>
              </w:rPr>
              <w:t>室间再现性变异系数CVR（%）</w:t>
            </w:r>
          </w:p>
        </w:tc>
      </w:tr>
      <w:tr w14:paraId="1B5F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51" w:type="dxa"/>
            <w:vAlign w:val="center"/>
          </w:tcPr>
          <w:p w14:paraId="235B3E2F">
            <w:pPr>
              <w:jc w:val="center"/>
              <w:rPr>
                <w:rFonts w:hint="default"/>
                <w:vertAlign w:val="baseline"/>
                <w:lang w:val="en-US" w:eastAsia="zh-CN"/>
              </w:rPr>
            </w:pPr>
            <w:r>
              <w:rPr>
                <w:rFonts w:hint="eastAsia"/>
                <w:vertAlign w:val="baseline"/>
                <w:lang w:val="en-US" w:eastAsia="zh-CN"/>
              </w:rPr>
              <w:t>屈服强度（MPa）</w:t>
            </w:r>
          </w:p>
        </w:tc>
        <w:tc>
          <w:tcPr>
            <w:tcW w:w="1440" w:type="dxa"/>
            <w:vAlign w:val="center"/>
          </w:tcPr>
          <w:p w14:paraId="49A09676">
            <w:pPr>
              <w:jc w:val="center"/>
              <w:rPr>
                <w:rFonts w:hint="default"/>
                <w:vertAlign w:val="baseline"/>
                <w:lang w:val="en-US" w:eastAsia="zh-CN"/>
              </w:rPr>
            </w:pPr>
            <w:r>
              <w:rPr>
                <w:rFonts w:hint="eastAsia"/>
                <w:vertAlign w:val="baseline"/>
                <w:lang w:val="en-US" w:eastAsia="zh-CN"/>
              </w:rPr>
              <w:t>11</w:t>
            </w:r>
          </w:p>
        </w:tc>
        <w:tc>
          <w:tcPr>
            <w:tcW w:w="1029" w:type="dxa"/>
            <w:vAlign w:val="center"/>
          </w:tcPr>
          <w:p w14:paraId="400075C5">
            <w:pPr>
              <w:jc w:val="center"/>
              <w:rPr>
                <w:rFonts w:hint="default"/>
                <w:vertAlign w:val="baseline"/>
                <w:lang w:val="en-US" w:eastAsia="zh-CN"/>
              </w:rPr>
            </w:pPr>
            <w:r>
              <w:rPr>
                <w:rFonts w:hint="eastAsia"/>
                <w:vertAlign w:val="baseline"/>
                <w:lang w:val="en-US" w:eastAsia="zh-CN"/>
              </w:rPr>
              <w:t>760.3</w:t>
            </w:r>
          </w:p>
        </w:tc>
        <w:tc>
          <w:tcPr>
            <w:tcW w:w="1029" w:type="dxa"/>
            <w:vAlign w:val="center"/>
          </w:tcPr>
          <w:p w14:paraId="2DD25C06">
            <w:pPr>
              <w:jc w:val="center"/>
              <w:rPr>
                <w:rFonts w:hint="default"/>
                <w:vertAlign w:val="baseline"/>
                <w:lang w:val="en-US" w:eastAsia="zh-CN"/>
              </w:rPr>
            </w:pPr>
            <w:r>
              <w:rPr>
                <w:rFonts w:hint="eastAsia"/>
                <w:vertAlign w:val="baseline"/>
                <w:lang w:val="en-US" w:eastAsia="zh-CN"/>
              </w:rPr>
              <w:t>21.7</w:t>
            </w:r>
          </w:p>
        </w:tc>
        <w:tc>
          <w:tcPr>
            <w:tcW w:w="2457" w:type="dxa"/>
            <w:vAlign w:val="center"/>
          </w:tcPr>
          <w:p w14:paraId="2B3DC071">
            <w:pPr>
              <w:jc w:val="center"/>
              <w:rPr>
                <w:rFonts w:hint="default"/>
                <w:vertAlign w:val="baseline"/>
                <w:lang w:val="en-US" w:eastAsia="zh-CN"/>
              </w:rPr>
            </w:pPr>
            <w:r>
              <w:rPr>
                <w:rFonts w:hint="default" w:ascii="Times New Roman" w:hAnsi="Times New Roman" w:cs="Times New Roman"/>
                <w:vertAlign w:val="baseline"/>
                <w:lang w:val="en-US" w:eastAsia="zh-CN"/>
              </w:rPr>
              <w:t>≤</w:t>
            </w:r>
            <w:r>
              <w:rPr>
                <w:rFonts w:hint="eastAsia" w:cs="Times New Roman"/>
                <w:vertAlign w:val="baseline"/>
                <w:lang w:val="en-US" w:eastAsia="zh-CN"/>
              </w:rPr>
              <w:t>2.5</w:t>
            </w:r>
          </w:p>
        </w:tc>
        <w:tc>
          <w:tcPr>
            <w:tcW w:w="2147" w:type="dxa"/>
            <w:vAlign w:val="center"/>
          </w:tcPr>
          <w:p w14:paraId="217FA9E1">
            <w:pPr>
              <w:jc w:val="center"/>
              <w:rPr>
                <w:rFonts w:hint="default"/>
                <w:vertAlign w:val="baseline"/>
                <w:lang w:val="en-US" w:eastAsia="zh-CN"/>
              </w:rPr>
            </w:pPr>
            <w:r>
              <w:rPr>
                <w:rFonts w:hint="eastAsia"/>
                <w:vertAlign w:val="baseline"/>
                <w:lang w:val="en-US" w:eastAsia="zh-CN"/>
              </w:rPr>
              <w:t>2.13</w:t>
            </w:r>
          </w:p>
        </w:tc>
      </w:tr>
      <w:tr w14:paraId="4DF2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vAlign w:val="center"/>
          </w:tcPr>
          <w:p w14:paraId="18A18FF6">
            <w:pPr>
              <w:jc w:val="center"/>
              <w:rPr>
                <w:rFonts w:hint="default"/>
                <w:vertAlign w:val="baseline"/>
                <w:lang w:val="en-US" w:eastAsia="zh-CN"/>
              </w:rPr>
            </w:pPr>
            <w:r>
              <w:rPr>
                <w:rFonts w:hint="eastAsia"/>
                <w:vertAlign w:val="baseline"/>
                <w:lang w:val="en-US" w:eastAsia="zh-CN"/>
              </w:rPr>
              <w:t>抗拉强度（MPa）</w:t>
            </w:r>
          </w:p>
        </w:tc>
        <w:tc>
          <w:tcPr>
            <w:tcW w:w="1440" w:type="dxa"/>
            <w:vAlign w:val="center"/>
          </w:tcPr>
          <w:p w14:paraId="0D0055DA">
            <w:pPr>
              <w:jc w:val="center"/>
              <w:rPr>
                <w:rFonts w:hint="default"/>
                <w:vertAlign w:val="baseline"/>
                <w:lang w:val="en-US" w:eastAsia="zh-CN"/>
              </w:rPr>
            </w:pPr>
            <w:r>
              <w:rPr>
                <w:rFonts w:hint="eastAsia"/>
                <w:vertAlign w:val="baseline"/>
                <w:lang w:val="en-US" w:eastAsia="zh-CN"/>
              </w:rPr>
              <w:t>11</w:t>
            </w:r>
          </w:p>
        </w:tc>
        <w:tc>
          <w:tcPr>
            <w:tcW w:w="1029" w:type="dxa"/>
            <w:vAlign w:val="center"/>
          </w:tcPr>
          <w:p w14:paraId="716AAF91">
            <w:pPr>
              <w:jc w:val="center"/>
              <w:rPr>
                <w:rFonts w:hint="default"/>
                <w:vertAlign w:val="baseline"/>
                <w:lang w:val="en-US" w:eastAsia="zh-CN"/>
              </w:rPr>
            </w:pPr>
            <w:r>
              <w:rPr>
                <w:rFonts w:hint="eastAsia"/>
                <w:vertAlign w:val="baseline"/>
                <w:lang w:val="en-US" w:eastAsia="zh-CN"/>
              </w:rPr>
              <w:t>878.6</w:t>
            </w:r>
          </w:p>
        </w:tc>
        <w:tc>
          <w:tcPr>
            <w:tcW w:w="1029" w:type="dxa"/>
            <w:vAlign w:val="center"/>
          </w:tcPr>
          <w:p w14:paraId="4B4DB301">
            <w:pPr>
              <w:jc w:val="center"/>
              <w:rPr>
                <w:rFonts w:hint="default"/>
                <w:vertAlign w:val="baseline"/>
                <w:lang w:val="en-US" w:eastAsia="zh-CN"/>
              </w:rPr>
            </w:pPr>
            <w:r>
              <w:rPr>
                <w:rFonts w:hint="eastAsia"/>
                <w:vertAlign w:val="baseline"/>
                <w:lang w:val="en-US" w:eastAsia="zh-CN"/>
              </w:rPr>
              <w:t>18.7</w:t>
            </w:r>
          </w:p>
        </w:tc>
        <w:tc>
          <w:tcPr>
            <w:tcW w:w="2457" w:type="dxa"/>
            <w:vAlign w:val="center"/>
          </w:tcPr>
          <w:p w14:paraId="6B75D266">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r>
              <w:rPr>
                <w:rFonts w:hint="eastAsia" w:cs="Times New Roman"/>
                <w:vertAlign w:val="baseline"/>
                <w:lang w:val="en-US" w:eastAsia="zh-CN"/>
              </w:rPr>
              <w:t>2.9</w:t>
            </w:r>
          </w:p>
        </w:tc>
        <w:tc>
          <w:tcPr>
            <w:tcW w:w="2147" w:type="dxa"/>
            <w:vAlign w:val="center"/>
          </w:tcPr>
          <w:p w14:paraId="5BCF6D36">
            <w:pPr>
              <w:jc w:val="center"/>
              <w:rPr>
                <w:rFonts w:hint="default"/>
                <w:vertAlign w:val="baseline"/>
                <w:lang w:val="en-US" w:eastAsia="zh-CN"/>
              </w:rPr>
            </w:pPr>
            <w:r>
              <w:rPr>
                <w:rFonts w:hint="eastAsia"/>
                <w:vertAlign w:val="baseline"/>
                <w:lang w:val="en-US" w:eastAsia="zh-CN"/>
              </w:rPr>
              <w:t>2.86</w:t>
            </w:r>
          </w:p>
        </w:tc>
      </w:tr>
      <w:tr w14:paraId="2608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1" w:type="dxa"/>
            <w:vAlign w:val="center"/>
          </w:tcPr>
          <w:p w14:paraId="609E1750">
            <w:pPr>
              <w:jc w:val="center"/>
              <w:rPr>
                <w:rFonts w:hint="default"/>
                <w:vertAlign w:val="baseline"/>
                <w:lang w:val="en-US" w:eastAsia="zh-CN"/>
              </w:rPr>
            </w:pPr>
            <w:r>
              <w:rPr>
                <w:rFonts w:hint="eastAsia"/>
                <w:vertAlign w:val="baseline"/>
                <w:lang w:val="en-US" w:eastAsia="zh-CN"/>
              </w:rPr>
              <w:t>断后伸长率（%）</w:t>
            </w:r>
          </w:p>
        </w:tc>
        <w:tc>
          <w:tcPr>
            <w:tcW w:w="1440" w:type="dxa"/>
            <w:vAlign w:val="center"/>
          </w:tcPr>
          <w:p w14:paraId="22906D37">
            <w:pPr>
              <w:jc w:val="center"/>
              <w:rPr>
                <w:rFonts w:hint="default"/>
                <w:vertAlign w:val="baseline"/>
                <w:lang w:val="en-US" w:eastAsia="zh-CN"/>
              </w:rPr>
            </w:pPr>
            <w:r>
              <w:rPr>
                <w:rFonts w:hint="eastAsia"/>
                <w:vertAlign w:val="baseline"/>
                <w:lang w:val="en-US" w:eastAsia="zh-CN"/>
              </w:rPr>
              <w:t>8</w:t>
            </w:r>
          </w:p>
        </w:tc>
        <w:tc>
          <w:tcPr>
            <w:tcW w:w="1029" w:type="dxa"/>
            <w:vAlign w:val="center"/>
          </w:tcPr>
          <w:p w14:paraId="54E4DA43">
            <w:pPr>
              <w:jc w:val="center"/>
              <w:rPr>
                <w:rFonts w:hint="default"/>
                <w:vertAlign w:val="baseline"/>
                <w:lang w:val="en-US" w:eastAsia="zh-CN"/>
              </w:rPr>
            </w:pPr>
            <w:r>
              <w:rPr>
                <w:rFonts w:hint="eastAsia"/>
                <w:vertAlign w:val="baseline"/>
                <w:lang w:val="en-US" w:eastAsia="zh-CN"/>
              </w:rPr>
              <w:t>12.4</w:t>
            </w:r>
          </w:p>
        </w:tc>
        <w:tc>
          <w:tcPr>
            <w:tcW w:w="1029" w:type="dxa"/>
            <w:vAlign w:val="center"/>
          </w:tcPr>
          <w:p w14:paraId="3861F98D">
            <w:pPr>
              <w:jc w:val="center"/>
              <w:rPr>
                <w:rFonts w:hint="default"/>
                <w:vertAlign w:val="baseline"/>
                <w:lang w:val="en-US" w:eastAsia="zh-CN"/>
              </w:rPr>
            </w:pPr>
            <w:r>
              <w:rPr>
                <w:rFonts w:hint="eastAsia"/>
                <w:vertAlign w:val="baseline"/>
                <w:lang w:val="en-US" w:eastAsia="zh-CN"/>
              </w:rPr>
              <w:t>1.2</w:t>
            </w:r>
          </w:p>
        </w:tc>
        <w:tc>
          <w:tcPr>
            <w:tcW w:w="2457" w:type="dxa"/>
            <w:vAlign w:val="center"/>
          </w:tcPr>
          <w:p w14:paraId="0B55657E">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r>
              <w:rPr>
                <w:rFonts w:hint="eastAsia" w:cs="Times New Roman"/>
                <w:vertAlign w:val="baseline"/>
                <w:lang w:val="en-US" w:eastAsia="zh-CN"/>
              </w:rPr>
              <w:t>2.0</w:t>
            </w:r>
          </w:p>
        </w:tc>
        <w:tc>
          <w:tcPr>
            <w:tcW w:w="2147" w:type="dxa"/>
            <w:vAlign w:val="center"/>
          </w:tcPr>
          <w:p w14:paraId="0CD091F7">
            <w:pPr>
              <w:jc w:val="center"/>
              <w:rPr>
                <w:rFonts w:hint="default"/>
                <w:vertAlign w:val="baseline"/>
                <w:lang w:val="en-US" w:eastAsia="zh-CN"/>
              </w:rPr>
            </w:pPr>
            <w:r>
              <w:rPr>
                <w:rFonts w:hint="eastAsia"/>
                <w:vertAlign w:val="baseline"/>
                <w:lang w:val="en-US" w:eastAsia="zh-CN"/>
              </w:rPr>
              <w:t>9.7</w:t>
            </w:r>
          </w:p>
        </w:tc>
      </w:tr>
    </w:tbl>
    <w:p w14:paraId="229D765A">
      <w:pPr>
        <w:keepNext w:val="0"/>
        <w:keepLines w:val="0"/>
        <w:pageBreakBefore w:val="0"/>
        <w:widowControl/>
        <w:kinsoku/>
        <w:wordWrap/>
        <w:overflowPunct/>
        <w:topLinePunct w:val="0"/>
        <w:autoSpaceDE/>
        <w:autoSpaceDN/>
        <w:bidi w:val="0"/>
        <w:adjustRightInd/>
        <w:snapToGrid/>
        <w:spacing w:before="157" w:beforeLines="50"/>
        <w:ind w:firstLine="420" w:firstLineChars="200"/>
        <w:textAlignment w:val="auto"/>
        <w:rPr>
          <w:rFonts w:hint="eastAsia"/>
          <w:sz w:val="21"/>
          <w:lang w:val="en-US" w:eastAsia="zh-CN"/>
        </w:rPr>
      </w:pPr>
      <w:r>
        <w:rPr>
          <w:rFonts w:hint="eastAsia"/>
          <w:sz w:val="21"/>
        </w:rPr>
        <w:t>机械加工试样数据统计</w:t>
      </w:r>
      <w:r>
        <w:rPr>
          <w:rFonts w:hint="eastAsia"/>
          <w:sz w:val="21"/>
          <w:lang w:val="en-US" w:eastAsia="zh-CN"/>
        </w:rPr>
        <w:t>如表7所示，强度指标重复性</w:t>
      </w:r>
      <w:r>
        <w:rPr>
          <w:rFonts w:hint="default" w:ascii="Times New Roman" w:hAnsi="Times New Roman" w:cs="Times New Roman"/>
          <w:sz w:val="21"/>
          <w:lang w:val="en-US" w:eastAsia="zh-CN"/>
        </w:rPr>
        <w:t>≤</w:t>
      </w:r>
      <w:r>
        <w:rPr>
          <w:rFonts w:hint="eastAsia"/>
          <w:sz w:val="21"/>
          <w:lang w:val="en-US" w:eastAsia="zh-CN"/>
        </w:rPr>
        <w:t>2.9%、再现性</w:t>
      </w:r>
      <w:r>
        <w:rPr>
          <w:rFonts w:hint="default" w:ascii="Times New Roman" w:hAnsi="Times New Roman" w:cs="Times New Roman"/>
          <w:sz w:val="21"/>
          <w:lang w:val="en-US" w:eastAsia="zh-CN"/>
        </w:rPr>
        <w:t>≤</w:t>
      </w:r>
      <w:r>
        <w:rPr>
          <w:rFonts w:hint="eastAsia" w:ascii="Times New Roman" w:hAnsi="Times New Roman" w:cs="Times New Roman"/>
          <w:sz w:val="21"/>
          <w:lang w:val="en-US" w:eastAsia="zh-CN"/>
        </w:rPr>
        <w:t>2</w:t>
      </w:r>
      <w:r>
        <w:rPr>
          <w:rFonts w:hint="eastAsia"/>
          <w:sz w:val="21"/>
          <w:lang w:val="en-US" w:eastAsia="zh-CN"/>
        </w:rPr>
        <w:t>.86%，数据稳定性高，机加工尺寸公差小、试样一致性高，可拆分夹头的夹持方式标准化；断后伸长率剔除速率不符数据后，重复性≤2.0%、再现性9.7%，离散性符合塑性指标规律，验证了标准尺寸设计合理，可保证测试结果的重复性与再现性达标。</w:t>
      </w:r>
    </w:p>
    <w:p w14:paraId="4BCBE13B">
      <w:pPr>
        <w:pStyle w:val="3"/>
        <w:spacing w:before="156" w:after="156"/>
        <w:rPr>
          <w:rFonts w:hint="eastAsia"/>
        </w:rPr>
      </w:pPr>
      <w:r>
        <w:rPr>
          <w:rFonts w:hint="eastAsia"/>
          <w:lang w:val="en-US" w:eastAsia="zh-CN"/>
        </w:rPr>
        <w:t>验证结论</w:t>
      </w:r>
    </w:p>
    <w:p w14:paraId="48157BBD">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rPr>
        <w:t>本次试验围绕尺寸设计合理性、测试方法可行性、重复性与再现性，完成图3压制</w:t>
      </w:r>
      <w:r>
        <w:rPr>
          <w:rFonts w:hint="eastAsia"/>
          <w:lang w:val="en-US" w:eastAsia="zh-CN"/>
        </w:rPr>
        <w:t>-</w:t>
      </w:r>
      <w:r>
        <w:rPr>
          <w:rFonts w:hint="eastAsia"/>
        </w:rPr>
        <w:t>烧结、图4</w:t>
      </w:r>
      <w:r>
        <w:rPr>
          <w:rFonts w:hint="eastAsia"/>
          <w:lang w:val="en-US" w:eastAsia="zh-CN"/>
        </w:rPr>
        <w:t xml:space="preserve"> </w:t>
      </w:r>
      <w:r>
        <w:rPr>
          <w:rFonts w:hint="eastAsia"/>
        </w:rPr>
        <w:t>A2型金属注射成型、图6机械加工三类试样的系统验证，结合全量试验数据与统计结果，形成最终验证结论如下：</w:t>
      </w:r>
    </w:p>
    <w:p w14:paraId="7C2E9D6E">
      <w:pPr>
        <w:keepNext w:val="0"/>
        <w:keepLines w:val="0"/>
        <w:pageBreakBefore w:val="0"/>
        <w:widowControl/>
        <w:numPr>
          <w:ilvl w:val="0"/>
          <w:numId w:val="8"/>
        </w:numPr>
        <w:kinsoku/>
        <w:wordWrap/>
        <w:overflowPunct/>
        <w:topLinePunct w:val="0"/>
        <w:autoSpaceDE/>
        <w:autoSpaceDN/>
        <w:bidi w:val="0"/>
        <w:adjustRightInd/>
        <w:snapToGrid/>
        <w:ind w:firstLine="420" w:firstLineChars="200"/>
        <w:textAlignment w:val="auto"/>
        <w:rPr>
          <w:rFonts w:hint="eastAsia"/>
        </w:rPr>
      </w:pPr>
      <w:r>
        <w:rPr>
          <w:rFonts w:hint="eastAsia"/>
          <w:b w:val="0"/>
          <w:bCs w:val="0"/>
        </w:rPr>
        <w:t>试样与模腔尺寸设计合理性验证：</w:t>
      </w:r>
      <w:r>
        <w:rPr>
          <w:rFonts w:hint="eastAsia"/>
        </w:rPr>
        <w:t>图3压制</w:t>
      </w:r>
      <w:r>
        <w:rPr>
          <w:rFonts w:hint="eastAsia"/>
          <w:lang w:val="en-US" w:eastAsia="zh-CN"/>
        </w:rPr>
        <w:t>-</w:t>
      </w:r>
      <w:r>
        <w:rPr>
          <w:rFonts w:hint="eastAsia"/>
        </w:rPr>
        <w:t>烧结试样、图4 A2型金属注射成型试样、图6机械加工试样的模腔尺寸、标距长度、过渡结构与夹持区域设计均匹配对应制备工艺和材料特性，试样尺寸均符合标准公差要求，三类试样断裂有效率均≥91.7%，可稳定引导断裂于有效测试区域，试样与模腔尺寸设计科学合理。</w:t>
      </w:r>
    </w:p>
    <w:p w14:paraId="79050DA9">
      <w:pPr>
        <w:keepNext w:val="0"/>
        <w:keepLines w:val="0"/>
        <w:pageBreakBefore w:val="0"/>
        <w:widowControl/>
        <w:numPr>
          <w:ilvl w:val="0"/>
          <w:numId w:val="8"/>
        </w:numPr>
        <w:kinsoku/>
        <w:wordWrap/>
        <w:overflowPunct/>
        <w:topLinePunct w:val="0"/>
        <w:autoSpaceDE/>
        <w:autoSpaceDN/>
        <w:bidi w:val="0"/>
        <w:adjustRightInd/>
        <w:snapToGrid/>
        <w:ind w:firstLine="420" w:firstLineChars="200"/>
        <w:textAlignment w:val="auto"/>
        <w:rPr>
          <w:rFonts w:hint="eastAsia"/>
        </w:rPr>
      </w:pPr>
      <w:r>
        <w:rPr>
          <w:rFonts w:hint="eastAsia"/>
        </w:rPr>
        <w:t>测试方法可行性验证：本次验证采用的试样制备、装夹及测试流程规范统一，可全面适配压制</w:t>
      </w:r>
      <w:r>
        <w:rPr>
          <w:rFonts w:hint="eastAsia"/>
          <w:lang w:val="en-US" w:eastAsia="zh-CN"/>
        </w:rPr>
        <w:t>-</w:t>
      </w:r>
      <w:r>
        <w:rPr>
          <w:rFonts w:hint="eastAsia"/>
        </w:rPr>
        <w:t>烧结、金属注射成型、机械加工三大主流工艺，针对不同材料特性的测试处理方式合规合理，各参试实验室均可顺利完成试验并获取有效数据，测试方法具备良好的可行性与普适性。</w:t>
      </w:r>
    </w:p>
    <w:p w14:paraId="755BE12A">
      <w:pPr>
        <w:keepNext w:val="0"/>
        <w:keepLines w:val="0"/>
        <w:pageBreakBefore w:val="0"/>
        <w:widowControl/>
        <w:numPr>
          <w:ilvl w:val="0"/>
          <w:numId w:val="8"/>
        </w:numPr>
        <w:kinsoku/>
        <w:wordWrap/>
        <w:overflowPunct/>
        <w:topLinePunct w:val="0"/>
        <w:autoSpaceDE/>
        <w:autoSpaceDN/>
        <w:bidi w:val="0"/>
        <w:adjustRightInd/>
        <w:snapToGrid/>
        <w:ind w:firstLine="420" w:firstLineChars="200"/>
        <w:textAlignment w:val="auto"/>
        <w:rPr>
          <w:rFonts w:hint="eastAsia"/>
        </w:rPr>
      </w:pPr>
      <w:r>
        <w:rPr>
          <w:rFonts w:hint="eastAsia"/>
        </w:rPr>
        <w:t>试验重复性与再现性验证：三类试样各项力学性能指标的重复性、再现性变异系数均满足GB/T 228.1与ISO 6892</w:t>
      </w:r>
      <w:r>
        <w:rPr>
          <w:rFonts w:hint="eastAsia"/>
          <w:lang w:val="en-US" w:eastAsia="zh-CN"/>
        </w:rPr>
        <w:t>-</w:t>
      </w:r>
      <w:r>
        <w:rPr>
          <w:rFonts w:hint="eastAsia"/>
        </w:rPr>
        <w:t>1精度要求，同一实验室重复测试数据波动极小，不同实验室间测试结果可比性强，试验数据具备优异的稳定性与跨实验室互认性。</w:t>
      </w:r>
    </w:p>
    <w:p w14:paraId="7C25B755">
      <w:pPr>
        <w:keepNext w:val="0"/>
        <w:keepLines w:val="0"/>
        <w:pageBreakBefore w:val="0"/>
        <w:widowControl/>
        <w:numPr>
          <w:ilvl w:val="0"/>
          <w:numId w:val="0"/>
        </w:numPr>
        <w:kinsoku/>
        <w:wordWrap/>
        <w:overflowPunct/>
        <w:topLinePunct w:val="0"/>
        <w:autoSpaceDE/>
        <w:autoSpaceDN/>
        <w:bidi w:val="0"/>
        <w:adjustRightInd/>
        <w:snapToGrid/>
        <w:ind w:firstLine="420" w:firstLineChars="200"/>
        <w:textAlignment w:val="auto"/>
        <w:rPr>
          <w:rFonts w:hint="eastAsia"/>
        </w:rPr>
      </w:pPr>
      <w:r>
        <w:rPr>
          <w:rFonts w:hint="eastAsia"/>
        </w:rPr>
        <w:t>综上，本次试验充分验证：GB/T 7963—202X规定的拉伸试样模腔尺寸及试样尺寸设计科学、合理、可行，测试方法规范可靠，试验数据重复性与再现性优异，可全面满足我国烧结金属材料行业生产、检测、研发及国际贸易的全链条应用需求。</w:t>
      </w:r>
    </w:p>
    <w:p w14:paraId="387EFE79">
      <w:pPr>
        <w:pStyle w:val="3"/>
        <w:spacing w:before="156" w:after="156"/>
        <w:rPr>
          <w:rFonts w:hint="eastAsia"/>
        </w:rPr>
      </w:pPr>
      <w:r>
        <w:rPr>
          <w:rFonts w:hint="eastAsia"/>
        </w:rPr>
        <w:t>标准预期达到的经济效益、社会效益和生态效益</w:t>
      </w:r>
    </w:p>
    <w:p w14:paraId="233D9E5A">
      <w:pPr>
        <w:keepNext w:val="0"/>
        <w:keepLines w:val="0"/>
        <w:pageBreakBefore w:val="0"/>
        <w:widowControl/>
        <w:numPr>
          <w:ilvl w:val="0"/>
          <w:numId w:val="9"/>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经济效益</w:t>
      </w:r>
    </w:p>
    <w:p w14:paraId="2773CF59">
      <w:pPr>
        <w:keepNext w:val="0"/>
        <w:keepLines w:val="0"/>
        <w:pageBreakBefore w:val="0"/>
        <w:widowControl/>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本标准等同采用国际先进标准，可消除国际贸易技术壁垒，提升我国相关产品国际竞争力；统一行业测试方法与试样要求，解决原标准滞后问题，避免数据失真，提高交易与检测效率；支撑高强度、金属注射成型等新型材料产业化，减少重复试验与资源浪费，降低企业生产成本和创新成本。</w:t>
      </w:r>
    </w:p>
    <w:p w14:paraId="39A11B55">
      <w:pPr>
        <w:keepNext w:val="0"/>
        <w:keepLines w:val="0"/>
        <w:pageBreakBefore w:val="0"/>
        <w:widowControl/>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2）社会效益</w:t>
      </w:r>
    </w:p>
    <w:p w14:paraId="58748233">
      <w:pPr>
        <w:keepNext w:val="0"/>
        <w:keepLines w:val="0"/>
        <w:pageBreakBefore w:val="0"/>
        <w:widowControl/>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标准规范了烧结金属材料拉伸测试的技术要求，保障市场交易与技术交流的公正性，遏制不正当竞争；吸收国际先进成果并结合产业实际，推动行业整体技术水平与质量管控能力提升；为航空航天、核工业等关键领域提供可靠的材料性能评价依据，保障重大工程与民生产品安全；汇聚产学研多方力量，促进技术协同创新与标准化人才培养。</w:t>
      </w:r>
    </w:p>
    <w:p w14:paraId="555246D1">
      <w:pPr>
        <w:keepNext w:val="0"/>
        <w:keepLines w:val="0"/>
        <w:pageBreakBefore w:val="0"/>
        <w:widowControl/>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3）生态效益</w:t>
      </w:r>
    </w:p>
    <w:p w14:paraId="595DDF86">
      <w:pPr>
        <w:keepNext w:val="0"/>
        <w:keepLines w:val="0"/>
        <w:pageBreakBefore w:val="0"/>
        <w:widowControl/>
        <w:numPr>
          <w:ilvl w:val="0"/>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标准化的试样制备与测试流程可提升原材料利用率，减少无效试验带来的资源损耗与废弃物产生；推荐的硬质合金模具、烧结后钻孔等工艺降低模具更换频率与废品率，减少能耗；统一试验参数与设备校准要求，降低检测过程中的电力消耗，助力行业绿色低碳发展。</w:t>
      </w:r>
    </w:p>
    <w:p w14:paraId="7554C403">
      <w:pPr>
        <w:pStyle w:val="2"/>
        <w:spacing w:before="312" w:after="312"/>
        <w:rPr>
          <w:rFonts w:hint="eastAsia"/>
        </w:rPr>
      </w:pPr>
      <w:r>
        <w:rPr>
          <w:rFonts w:hint="eastAsia"/>
        </w:rPr>
        <w:t>与国际、国外同类标准技术内容的对比情况，或者与测试的国外样品、样机的有关数据对比情况</w:t>
      </w:r>
    </w:p>
    <w:p w14:paraId="45BEA55C">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rPr>
        <w:t>本标准通过等同采用ISO 2740:2023，既实现了与国际主流标准的全面接轨，又相较于美国ASTM</w:t>
      </w:r>
      <w:r>
        <w:rPr>
          <w:rFonts w:hint="eastAsia"/>
          <w:lang w:val="en-US" w:eastAsia="zh-CN"/>
        </w:rPr>
        <w:t xml:space="preserve"> </w:t>
      </w:r>
      <w:r>
        <w:rPr>
          <w:rFonts w:hint="eastAsia"/>
        </w:rPr>
        <w:t>B311等国外标准更贴合我国产业实际（如金属注射成型技术普及、高强度材料快速发展）；在技术细节上更严谨、适用范围更全面、国际互认度更高，既解决了原标准与国际先进技术脱节的问题，又为我国企业参与国际竞争、行业技术升级提供了更有力的标准化支撑。</w:t>
      </w:r>
    </w:p>
    <w:p w14:paraId="7D8650C2">
      <w:pPr>
        <w:pStyle w:val="2"/>
        <w:spacing w:before="312" w:after="312"/>
        <w:rPr>
          <w:rFonts w:hint="eastAsia"/>
        </w:rPr>
      </w:pPr>
      <w:r>
        <w:rPr>
          <w:rFonts w:hint="eastAsia"/>
        </w:rPr>
        <w:t>以国际标准为基础的起草情况，以及是否合规引用或者采用国际国外标准，并说明未采用国际标准的原因</w:t>
      </w:r>
    </w:p>
    <w:p w14:paraId="7D3DF967">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rPr>
        <w:t>本文件使用翻译法等同采用ISO 2740:2023。</w:t>
      </w:r>
    </w:p>
    <w:p w14:paraId="06782EAA">
      <w:pPr>
        <w:pStyle w:val="2"/>
        <w:spacing w:before="312" w:after="312"/>
        <w:rPr>
          <w:rFonts w:hint="eastAsia"/>
        </w:rPr>
      </w:pPr>
      <w:r>
        <w:rPr>
          <w:rFonts w:hint="eastAsia"/>
        </w:rPr>
        <w:t>与有关法律、行政法规及相关标准的关系</w:t>
      </w:r>
    </w:p>
    <w:p w14:paraId="6F2BC553">
      <w:pPr>
        <w:widowControl w:val="0"/>
        <w:ind w:firstLine="420" w:firstLineChars="200"/>
        <w:jc w:val="both"/>
        <w:rPr>
          <w:szCs w:val="21"/>
        </w:rPr>
      </w:pPr>
      <w:r>
        <w:rPr>
          <w:szCs w:val="21"/>
        </w:rPr>
        <w:t>本文件与有关的现行法律、法规和强制性国家标准没有冲突。</w:t>
      </w:r>
    </w:p>
    <w:p w14:paraId="5024C5C3">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szCs w:val="21"/>
        </w:rPr>
      </w:pPr>
      <w:r>
        <w:rPr>
          <w:rFonts w:hint="eastAsia"/>
          <w:szCs w:val="21"/>
        </w:rPr>
        <w:t>本文件与GB/T 228.1-2021《金属材料 拉伸试验 第1部分 室温试验方法》（ISO 6892-1:2019，MOD）、GB/T 16825.1-2022《金属材料 静力单轴试验机的检验与校准 第1部分：拉力和（或）压力试验机 测力系统的检验与校准》（ISO 7500-1:2018，IDT）等相关标准协调配套，形成了完整的烧结金属材料拉伸性能测试标准体系，确保了测试过程的规范性和测试结果的准确性。</w:t>
      </w:r>
    </w:p>
    <w:p w14:paraId="5B6EBE94">
      <w:pPr>
        <w:pStyle w:val="2"/>
        <w:spacing w:before="312" w:after="312"/>
        <w:rPr>
          <w:rFonts w:hint="eastAsia"/>
        </w:rPr>
      </w:pPr>
      <w:r>
        <w:rPr>
          <w:rFonts w:hint="eastAsia"/>
        </w:rPr>
        <w:t>重大分歧意见的处理经过和依据</w:t>
      </w:r>
    </w:p>
    <w:p w14:paraId="386A1DEB">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eastAsia="宋体"/>
          <w:lang w:val="en-US" w:eastAsia="zh-CN"/>
        </w:rPr>
      </w:pPr>
      <w:r>
        <w:rPr>
          <w:rFonts w:hint="eastAsia"/>
          <w:lang w:val="en-US" w:eastAsia="zh-CN"/>
        </w:rPr>
        <w:t>无。</w:t>
      </w:r>
    </w:p>
    <w:p w14:paraId="55F0C7B9">
      <w:pPr>
        <w:pStyle w:val="2"/>
        <w:spacing w:before="312" w:after="312"/>
        <w:rPr>
          <w:rFonts w:hint="eastAsia"/>
        </w:rPr>
      </w:pPr>
      <w:r>
        <w:rPr>
          <w:rFonts w:hint="eastAsia"/>
        </w:rPr>
        <w:t>涉及专利的有关说明</w:t>
      </w:r>
    </w:p>
    <w:p w14:paraId="3F9FCC1D">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rPr>
        <w:t>本文件不涉及专利。</w:t>
      </w:r>
    </w:p>
    <w:p w14:paraId="4BD765E0">
      <w:pPr>
        <w:pStyle w:val="2"/>
        <w:spacing w:before="312" w:after="312"/>
        <w:rPr>
          <w:rFonts w:hint="eastAsia"/>
        </w:rPr>
      </w:pPr>
      <w:r>
        <w:rPr>
          <w:rFonts w:hint="eastAsia"/>
        </w:rPr>
        <w:t>实施国家标准的要求，以及组织措施、技术措施、过渡期和实施日期的建议等措施建议</w:t>
      </w:r>
    </w:p>
    <w:p w14:paraId="39FAF075">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rPr>
        <w:t>建议本文件为推荐性国家标准，供相关组织参考采用。</w:t>
      </w:r>
    </w:p>
    <w:p w14:paraId="79DC67A1">
      <w:pPr>
        <w:widowControl w:val="0"/>
        <w:ind w:firstLine="420" w:firstLineChars="200"/>
        <w:jc w:val="both"/>
        <w:rPr>
          <w:szCs w:val="21"/>
        </w:rPr>
      </w:pPr>
      <w:r>
        <w:rPr>
          <w:rFonts w:hint="eastAsia"/>
          <w:szCs w:val="21"/>
        </w:rPr>
        <w:t>组织行业内企业、检测机构开展标准宣贯，解读技术变化与实施要点；督促测试单位按ISO 7500-1校准设备，确保满足1级要求；选择重点企业开展试点，总结实施经验并推广；建立行业共享数据库，收集不同材质（如316L、45#、特种合金）、不同工艺（压制烧结、金属注射成型、机械加工）的拉伸试验典型数据，供企业参考对比，提升数据可比性。按标准要求改造模具（如新增图3型模具适配高强度材料），更新测量工具（确保精度≥0.01mm），对生产、质检人员开展专项培训（重点掌握新增试样形状的制备工艺、标距标记方法）；完成拉伸试验机校准（确保符合ISO 7500-1 1级要求），更换与新标准试样匹配的夹具（如机械加工试样的可拆分夹头），组织检测人员参加标准宣贯培训并考核，考核合格后方可上岗。建立试样全流程追溯体系，严格按标准要求进行试样标识（包含材质、密度、尺寸、状态等9项核心信息），确保每批试样可追溯。制定企业内部标准作业指导书（SOP），明确试样制备、装夹、测试、数据记录的具体步骤，重点规范机械加工试样的表面处理（纵向抛光、无环向划痕）、金属注射成型试样的通孔加工（烧结后钻孔）等关键环节。定期对标准实施情况进行监督，确保测试数据真实可靠。</w:t>
      </w:r>
    </w:p>
    <w:p w14:paraId="03D91E28">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rPr>
      </w:pPr>
      <w:r>
        <w:rPr>
          <w:rFonts w:hint="eastAsia"/>
          <w:szCs w:val="21"/>
        </w:rPr>
        <w:t>本文件是对GB/T 7963-2015的修订，在本文件实施后，同时应将GB/T 7963-2015废止</w:t>
      </w:r>
      <w:r>
        <w:rPr>
          <w:szCs w:val="21"/>
        </w:rPr>
        <w:t>。</w:t>
      </w:r>
    </w:p>
    <w:p w14:paraId="51EE8FF0">
      <w:pPr>
        <w:pStyle w:val="2"/>
        <w:spacing w:before="312" w:after="312"/>
        <w:rPr>
          <w:rFonts w:hint="eastAsia"/>
        </w:rPr>
      </w:pPr>
      <w:r>
        <w:rPr>
          <w:rFonts w:hint="eastAsia"/>
        </w:rPr>
        <w:t>关于公平竞争的说明</w:t>
      </w:r>
    </w:p>
    <w:p w14:paraId="38E3E5F3">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经审查本标准未违反《公平竞争审查条例》。</w:t>
      </w:r>
    </w:p>
    <w:p w14:paraId="26A7275E">
      <w:pPr>
        <w:pStyle w:val="2"/>
        <w:spacing w:before="312" w:after="312"/>
        <w:rPr>
          <w:rFonts w:hint="eastAsia"/>
          <w:lang w:val="en-US" w:eastAsia="zh-CN"/>
        </w:rPr>
      </w:pPr>
      <w:r>
        <w:rPr>
          <w:rFonts w:hint="eastAsia"/>
          <w:lang w:val="en-US" w:eastAsia="zh-CN"/>
        </w:rPr>
        <w:t>其他应当说明的事项</w:t>
      </w:r>
    </w:p>
    <w:p w14:paraId="1F9534AA">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本文件不存在侵犯相关国际、国外、国内机构版权的情况。</w:t>
      </w:r>
    </w:p>
    <w:p w14:paraId="7B61C552">
      <w:pPr>
        <w:rPr>
          <w:rFonts w:hint="eastAsia"/>
          <w:lang w:val="en-US" w:eastAsia="zh-CN"/>
        </w:rPr>
      </w:pPr>
    </w:p>
    <w:p w14:paraId="6F1F6302">
      <w:pPr>
        <w:rPr>
          <w:rFonts w:hint="eastAsia"/>
          <w:lang w:val="en-US" w:eastAsia="zh-CN"/>
        </w:rPr>
      </w:pPr>
    </w:p>
    <w:p w14:paraId="53DAD5B7">
      <w:pPr>
        <w:widowControl w:val="0"/>
        <w:jc w:val="right"/>
        <w:rPr>
          <w:szCs w:val="21"/>
        </w:rPr>
      </w:pPr>
      <w:r>
        <w:rPr>
          <w:szCs w:val="21"/>
        </w:rPr>
        <w:t>《</w:t>
      </w:r>
      <w:r>
        <w:rPr>
          <w:rFonts w:hint="eastAsia"/>
          <w:szCs w:val="21"/>
        </w:rPr>
        <w:t>烧结金属材料（不包括硬质合金） 拉伸试样</w:t>
      </w:r>
      <w:r>
        <w:rPr>
          <w:szCs w:val="21"/>
        </w:rPr>
        <w:t>》</w:t>
      </w:r>
      <w:r>
        <w:rPr>
          <w:rFonts w:hint="eastAsia"/>
          <w:szCs w:val="21"/>
        </w:rPr>
        <w:t>标准</w:t>
      </w:r>
      <w:r>
        <w:rPr>
          <w:szCs w:val="21"/>
        </w:rPr>
        <w:t>编制组</w:t>
      </w:r>
    </w:p>
    <w:p w14:paraId="0D45A9A5">
      <w:pPr>
        <w:widowControl w:val="0"/>
        <w:jc w:val="right"/>
        <w:rPr>
          <w:szCs w:val="21"/>
        </w:rPr>
      </w:pPr>
      <w:r>
        <w:rPr>
          <w:szCs w:val="21"/>
        </w:rPr>
        <w:t>202</w:t>
      </w:r>
      <w:r>
        <w:rPr>
          <w:rFonts w:hint="eastAsia"/>
          <w:szCs w:val="21"/>
        </w:rPr>
        <w:t>6</w:t>
      </w:r>
      <w:r>
        <w:rPr>
          <w:szCs w:val="21"/>
        </w:rPr>
        <w:t>年</w:t>
      </w:r>
      <w:r>
        <w:rPr>
          <w:rFonts w:hint="eastAsia"/>
          <w:szCs w:val="21"/>
          <w:lang w:val="en-US" w:eastAsia="zh-CN"/>
        </w:rPr>
        <w:t>5</w:t>
      </w:r>
      <w:r>
        <w:rPr>
          <w:szCs w:val="21"/>
        </w:rPr>
        <w:t>月</w:t>
      </w:r>
    </w:p>
    <w:sectPr>
      <w:footerReference r:id="rId6" w:type="default"/>
      <w:footerReference r:id="rId7" w:type="even"/>
      <w:pgSz w:w="11906" w:h="16838"/>
      <w:pgMar w:top="1134" w:right="851" w:bottom="1134" w:left="1134" w:header="851" w:footer="992" w:gutter="284"/>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G Times (W1)">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imesNewRomanPSMT">
    <w:altName w:val="Times New Roman"/>
    <w:panose1 w:val="00000000000000000000"/>
    <w:charset w:val="00"/>
    <w:family w:val="roma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A3DF6">
    <w:pPr>
      <w:pStyle w:val="16"/>
      <w:framePr w:wrap="around" w:vAnchor="text" w:hAnchor="margin" w:xAlign="center" w:y="1"/>
      <w:rPr>
        <w:rStyle w:val="24"/>
      </w:rPr>
    </w:pPr>
    <w:r>
      <w:fldChar w:fldCharType="begin"/>
    </w:r>
    <w:r>
      <w:rPr>
        <w:rStyle w:val="24"/>
      </w:rPr>
      <w:instrText xml:space="preserve">PAGE  </w:instrText>
    </w:r>
    <w:r>
      <w:fldChar w:fldCharType="separate"/>
    </w:r>
    <w:r>
      <w:rPr>
        <w:rStyle w:val="24"/>
      </w:rPr>
      <w:t>2</w:t>
    </w:r>
    <w:r>
      <w:fldChar w:fldCharType="end"/>
    </w:r>
  </w:p>
  <w:p w14:paraId="2ED7DD8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5250409"/>
    </w:sdtPr>
    <w:sdtContent>
      <w:p w14:paraId="6E820970">
        <w:pPr>
          <w:pStyle w:val="16"/>
          <w:jc w:val="center"/>
        </w:pPr>
        <w:r>
          <w:fldChar w:fldCharType="begin"/>
        </w:r>
        <w:r>
          <w:instrText xml:space="preserve">PAGE   \* MERGEFORMAT</w:instrText>
        </w:r>
        <w:r>
          <w:fldChar w:fldCharType="separate"/>
        </w:r>
        <w:r>
          <w:rPr>
            <w:lang w:val="zh-CN"/>
          </w:rPr>
          <w:t>2</w:t>
        </w:r>
        <w:r>
          <w:fldChar w:fldCharType="end"/>
        </w:r>
      </w:p>
    </w:sdtContent>
  </w:sdt>
  <w:p w14:paraId="0DB0F7DD">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ED36C">
    <w:pPr>
      <w:pStyle w:val="16"/>
      <w:framePr w:wrap="around" w:vAnchor="text" w:hAnchor="margin" w:xAlign="right" w:y="1"/>
      <w:rPr>
        <w:rStyle w:val="24"/>
      </w:rPr>
    </w:pPr>
    <w:r>
      <w:fldChar w:fldCharType="begin"/>
    </w:r>
    <w:r>
      <w:rPr>
        <w:rStyle w:val="24"/>
      </w:rPr>
      <w:instrText xml:space="preserve">PAGE  </w:instrText>
    </w:r>
    <w:r>
      <w:fldChar w:fldCharType="end"/>
    </w:r>
  </w:p>
  <w:p w14:paraId="3881BD56">
    <w:pPr>
      <w:pStyle w:val="1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DE331"/>
    <w:multiLevelType w:val="singleLevel"/>
    <w:tmpl w:val="9DDDE331"/>
    <w:lvl w:ilvl="0" w:tentative="0">
      <w:start w:val="1"/>
      <w:numFmt w:val="bullet"/>
      <w:lvlText w:val=""/>
      <w:lvlJc w:val="left"/>
      <w:pPr>
        <w:ind w:left="420" w:hanging="420"/>
      </w:pPr>
      <w:rPr>
        <w:rFonts w:hint="default" w:ascii="Wingdings" w:hAnsi="Wingdings"/>
      </w:rPr>
    </w:lvl>
  </w:abstractNum>
  <w:abstractNum w:abstractNumId="1">
    <w:nsid w:val="CB40E233"/>
    <w:multiLevelType w:val="singleLevel"/>
    <w:tmpl w:val="CB40E233"/>
    <w:lvl w:ilvl="0" w:tentative="0">
      <w:start w:val="1"/>
      <w:numFmt w:val="decimal"/>
      <w:suff w:val="nothing"/>
      <w:lvlText w:val="%1）"/>
      <w:lvlJc w:val="left"/>
    </w:lvl>
  </w:abstractNum>
  <w:abstractNum w:abstractNumId="2">
    <w:nsid w:val="E64490CC"/>
    <w:multiLevelType w:val="singleLevel"/>
    <w:tmpl w:val="E64490CC"/>
    <w:lvl w:ilvl="0" w:tentative="0">
      <w:start w:val="1"/>
      <w:numFmt w:val="decimal"/>
      <w:suff w:val="nothing"/>
      <w:lvlText w:val="%1）"/>
      <w:lvlJc w:val="left"/>
    </w:lvl>
  </w:abstractNum>
  <w:abstractNum w:abstractNumId="3">
    <w:nsid w:val="04D2192A"/>
    <w:multiLevelType w:val="multilevel"/>
    <w:tmpl w:val="04D2192A"/>
    <w:lvl w:ilvl="0" w:tentative="0">
      <w:start w:val="1"/>
      <w:numFmt w:val="decimal"/>
      <w:pStyle w:val="2"/>
      <w:lvlText w:val="%1"/>
      <w:lvlJc w:val="left"/>
      <w:pPr>
        <w:ind w:left="432" w:hanging="432"/>
      </w:pPr>
      <w:rPr>
        <w:rFonts w:ascii="黑体" w:hAnsi="黑体" w:eastAsia="黑体"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1" w:tentative="0">
      <w:start w:val="1"/>
      <w:numFmt w:val="decimal"/>
      <w:pStyle w:val="3"/>
      <w:lvlText w:val="%1.%2"/>
      <w:lvlJc w:val="left"/>
      <w:pPr>
        <w:ind w:left="576" w:hanging="576"/>
      </w:pPr>
      <w:rPr>
        <w:rFonts w:ascii="黑体" w:hAnsi="黑体" w:eastAsia="黑体"/>
      </w:rPr>
    </w:lvl>
    <w:lvl w:ilvl="2" w:tentative="0">
      <w:start w:val="1"/>
      <w:numFmt w:val="decimal"/>
      <w:pStyle w:val="4"/>
      <w:lvlText w:val="%1.%2.%3"/>
      <w:lvlJc w:val="left"/>
      <w:pPr>
        <w:ind w:left="720" w:hanging="720"/>
      </w:pPr>
      <w:rPr>
        <w:rFonts w:ascii="黑体" w:hAnsi="黑体" w:eastAsia="黑体"/>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18CA2847"/>
    <w:multiLevelType w:val="multilevel"/>
    <w:tmpl w:val="18CA2847"/>
    <w:lvl w:ilvl="0" w:tentative="0">
      <w:start w:val="1"/>
      <w:numFmt w:val="lowerLetter"/>
      <w:pStyle w:val="45"/>
      <w:lvlText w:val="%1、"/>
      <w:lvlJc w:val="left"/>
      <w:pPr>
        <w:tabs>
          <w:tab w:val="left" w:pos="340"/>
        </w:tabs>
        <w:ind w:left="340" w:firstLine="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A207D40"/>
    <w:multiLevelType w:val="multilevel"/>
    <w:tmpl w:val="4A207D40"/>
    <w:lvl w:ilvl="0" w:tentative="0">
      <w:start w:val="1"/>
      <w:numFmt w:val="decimal"/>
      <w:pStyle w:val="62"/>
      <w:lvlText w:val="2.3.%1"/>
      <w:lvlJc w:val="left"/>
      <w:pPr>
        <w:tabs>
          <w:tab w:val="left" w:pos="1960"/>
        </w:tabs>
        <w:ind w:left="19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46260FA"/>
    <w:multiLevelType w:val="multilevel"/>
    <w:tmpl w:val="646260FA"/>
    <w:lvl w:ilvl="0" w:tentative="0">
      <w:start w:val="1"/>
      <w:numFmt w:val="decimal"/>
      <w:pStyle w:val="42"/>
      <w:suff w:val="nothing"/>
      <w:lvlText w:val="表%1　"/>
      <w:lvlJc w:val="left"/>
      <w:pPr>
        <w:ind w:left="2693" w:firstLine="0"/>
      </w:pPr>
      <w:rPr>
        <w:rFonts w:hint="eastAsia" w:ascii="黑体" w:hAnsi="Times New Roman" w:eastAsia="黑体"/>
        <w:b w:val="0"/>
        <w:i w:val="0"/>
        <w:sz w:val="21"/>
        <w:lang w:val="en-US"/>
      </w:rPr>
    </w:lvl>
    <w:lvl w:ilvl="1" w:tentative="0">
      <w:start w:val="1"/>
      <w:numFmt w:val="decimal"/>
      <w:lvlText w:val="%1.%2"/>
      <w:lvlJc w:val="left"/>
      <w:pPr>
        <w:tabs>
          <w:tab w:val="left" w:pos="-410"/>
        </w:tabs>
        <w:ind w:left="-410" w:hanging="567"/>
      </w:pPr>
      <w:rPr>
        <w:rFonts w:hint="eastAsia"/>
      </w:rPr>
    </w:lvl>
    <w:lvl w:ilvl="2" w:tentative="0">
      <w:start w:val="1"/>
      <w:numFmt w:val="decimal"/>
      <w:lvlText w:val="%1.%2.%3"/>
      <w:lvlJc w:val="left"/>
      <w:pPr>
        <w:tabs>
          <w:tab w:val="left" w:pos="16"/>
        </w:tabs>
        <w:ind w:left="16" w:hanging="567"/>
      </w:pPr>
      <w:rPr>
        <w:rFonts w:hint="eastAsia"/>
      </w:rPr>
    </w:lvl>
    <w:lvl w:ilvl="3" w:tentative="0">
      <w:start w:val="1"/>
      <w:numFmt w:val="decimal"/>
      <w:lvlText w:val="%1.%2.%3.%4"/>
      <w:lvlJc w:val="left"/>
      <w:pPr>
        <w:tabs>
          <w:tab w:val="left" w:pos="582"/>
        </w:tabs>
        <w:ind w:left="582" w:hanging="708"/>
      </w:pPr>
      <w:rPr>
        <w:rFonts w:hint="eastAsia"/>
      </w:rPr>
    </w:lvl>
    <w:lvl w:ilvl="4" w:tentative="0">
      <w:start w:val="1"/>
      <w:numFmt w:val="decimal"/>
      <w:lvlText w:val="%1.%2.%3.%4.%5"/>
      <w:lvlJc w:val="left"/>
      <w:pPr>
        <w:tabs>
          <w:tab w:val="left" w:pos="1149"/>
        </w:tabs>
        <w:ind w:left="1149" w:hanging="850"/>
      </w:pPr>
      <w:rPr>
        <w:rFonts w:hint="eastAsia"/>
      </w:rPr>
    </w:lvl>
    <w:lvl w:ilvl="5" w:tentative="0">
      <w:start w:val="1"/>
      <w:numFmt w:val="decimal"/>
      <w:lvlText w:val="%1.%2.%3.%4.%5.%6"/>
      <w:lvlJc w:val="left"/>
      <w:pPr>
        <w:tabs>
          <w:tab w:val="left" w:pos="1858"/>
        </w:tabs>
        <w:ind w:left="1858" w:hanging="1134"/>
      </w:pPr>
      <w:rPr>
        <w:rFonts w:hint="eastAsia"/>
      </w:rPr>
    </w:lvl>
    <w:lvl w:ilvl="6" w:tentative="0">
      <w:start w:val="1"/>
      <w:numFmt w:val="decimal"/>
      <w:lvlText w:val="%1.%2.%3.%4.%5.%6.%7"/>
      <w:lvlJc w:val="left"/>
      <w:pPr>
        <w:tabs>
          <w:tab w:val="left" w:pos="2425"/>
        </w:tabs>
        <w:ind w:left="2425" w:hanging="1276"/>
      </w:pPr>
      <w:rPr>
        <w:rFonts w:hint="eastAsia"/>
      </w:rPr>
    </w:lvl>
    <w:lvl w:ilvl="7" w:tentative="0">
      <w:start w:val="1"/>
      <w:numFmt w:val="decimal"/>
      <w:lvlText w:val="%1.%2.%3.%4.%5.%6.%7.%8"/>
      <w:lvlJc w:val="left"/>
      <w:pPr>
        <w:tabs>
          <w:tab w:val="left" w:pos="2992"/>
        </w:tabs>
        <w:ind w:left="2992" w:hanging="1418"/>
      </w:pPr>
      <w:rPr>
        <w:rFonts w:hint="eastAsia"/>
      </w:rPr>
    </w:lvl>
    <w:lvl w:ilvl="8" w:tentative="0">
      <w:start w:val="1"/>
      <w:numFmt w:val="decimal"/>
      <w:lvlText w:val="%1.%2.%3.%4.%5.%6.%7.%8.%9"/>
      <w:lvlJc w:val="left"/>
      <w:pPr>
        <w:tabs>
          <w:tab w:val="left" w:pos="3700"/>
        </w:tabs>
        <w:ind w:left="3700" w:hanging="1700"/>
      </w:pPr>
      <w:rPr>
        <w:rFonts w:hint="eastAsia"/>
      </w:rPr>
    </w:lvl>
  </w:abstractNum>
  <w:abstractNum w:abstractNumId="7">
    <w:nsid w:val="657D3FBC"/>
    <w:multiLevelType w:val="multilevel"/>
    <w:tmpl w:val="657D3FBC"/>
    <w:lvl w:ilvl="0" w:tentative="0">
      <w:start w:val="1"/>
      <w:numFmt w:val="upperLetter"/>
      <w:pStyle w:val="59"/>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79324953"/>
    <w:multiLevelType w:val="multilevel"/>
    <w:tmpl w:val="79324953"/>
    <w:lvl w:ilvl="0" w:tentative="0">
      <w:start w:val="1"/>
      <w:numFmt w:val="none"/>
      <w:pStyle w:val="46"/>
      <w:suff w:val="nothing"/>
      <w:lvlText w:val="%1"/>
      <w:lvlJc w:val="left"/>
      <w:pPr>
        <w:ind w:left="0" w:firstLine="0"/>
      </w:pPr>
      <w:rPr>
        <w:rFonts w:hint="default" w:ascii="Times New Roman" w:hAnsi="Times New Roman"/>
        <w:b/>
        <w:bCs/>
        <w:i w:val="0"/>
        <w:iCs w:val="0"/>
        <w:sz w:val="21"/>
        <w:szCs w:val="24"/>
      </w:rPr>
    </w:lvl>
    <w:lvl w:ilvl="1" w:tentative="0">
      <w:start w:val="6"/>
      <w:numFmt w:val="decimal"/>
      <w:pStyle w:val="56"/>
      <w:suff w:val="nothing"/>
      <w:lvlText w:val="%1%2　"/>
      <w:lvlJc w:val="left"/>
      <w:pPr>
        <w:ind w:left="0" w:firstLine="0"/>
      </w:pPr>
      <w:rPr>
        <w:rFonts w:hint="eastAsia" w:ascii="黑体" w:hAnsi="Times New Roman" w:eastAsia="黑体"/>
        <w:b w:val="0"/>
        <w:i w:val="0"/>
        <w:sz w:val="21"/>
        <w:szCs w:val="21"/>
      </w:rPr>
    </w:lvl>
    <w:lvl w:ilvl="2" w:tentative="0">
      <w:start w:val="1"/>
      <w:numFmt w:val="decimal"/>
      <w:lvlRestart w:val="1"/>
      <w:pStyle w:val="43"/>
      <w:suff w:val="nothing"/>
      <w:lvlText w:val="%1%2.%3　"/>
      <w:lvlJc w:val="left"/>
      <w:pPr>
        <w:ind w:left="0" w:firstLine="0"/>
      </w:pPr>
      <w:rPr>
        <w:rFonts w:hint="eastAsia" w:ascii="黑体" w:hAnsi="宋体" w:eastAsia="黑体"/>
        <w:b w:val="0"/>
        <w:i w:val="0"/>
        <w:sz w:val="21"/>
        <w:szCs w:val="21"/>
      </w:rPr>
    </w:lvl>
    <w:lvl w:ilvl="3" w:tentative="0">
      <w:start w:val="1"/>
      <w:numFmt w:val="decimal"/>
      <w:suff w:val="nothing"/>
      <w:lvlText w:val="%1%2.%3.%4　"/>
      <w:lvlJc w:val="left"/>
      <w:pPr>
        <w:ind w:left="0" w:firstLine="0"/>
      </w:pPr>
      <w:rPr>
        <w:rFonts w:hint="eastAsia" w:ascii="黑体" w:hAnsi="宋体" w:eastAsia="黑体"/>
        <w:b w:val="0"/>
        <w:i w:val="0"/>
        <w:sz w:val="21"/>
        <w:szCs w:val="21"/>
      </w:rPr>
    </w:lvl>
    <w:lvl w:ilvl="4" w:tentative="0">
      <w:start w:val="1"/>
      <w:numFmt w:val="decimal"/>
      <w:pStyle w:val="57"/>
      <w:suff w:val="nothing"/>
      <w:lvlText w:val="%1%2.%3.%4.%5　"/>
      <w:lvlJc w:val="left"/>
      <w:pPr>
        <w:ind w:left="0" w:firstLine="0"/>
      </w:pPr>
      <w:rPr>
        <w:rFonts w:hint="eastAsia" w:ascii="黑体" w:hAnsi="Times New Roman" w:eastAsia="黑体"/>
        <w:b w:val="0"/>
        <w:i w:val="0"/>
        <w:sz w:val="21"/>
      </w:rPr>
    </w:lvl>
    <w:lvl w:ilvl="5" w:tentative="0">
      <w:start w:val="0"/>
      <w:numFmt w:val="none"/>
      <w:pStyle w:val="47"/>
      <w:lvlText w:val=""/>
      <w:lvlJc w:val="left"/>
      <w:pPr>
        <w:tabs>
          <w:tab w:val="left" w:pos="360"/>
        </w:tabs>
        <w:ind w:left="0" w:firstLine="0"/>
      </w:pPr>
      <w:rPr>
        <w:rFonts w:hint="eastAsia"/>
      </w:rPr>
    </w:lvl>
    <w:lvl w:ilvl="6" w:tentative="0">
      <w:start w:val="1"/>
      <w:numFmt w:val="decimal"/>
      <w:pStyle w:val="4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6"/>
  </w:num>
  <w:num w:numId="3">
    <w:abstractNumId w:val="8"/>
  </w:num>
  <w:num w:numId="4">
    <w:abstractNumId w:val="4"/>
  </w:num>
  <w:num w:numId="5">
    <w:abstractNumId w:val="7"/>
  </w:num>
  <w:num w:numId="6">
    <w:abstractNumId w:val="5"/>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5MjlmMmIxNDlmYmM0ZjhhMmJiN2EyODQ3YTZjYWMifQ=="/>
  </w:docVars>
  <w:rsids>
    <w:rsidRoot w:val="00EA2E1D"/>
    <w:rsid w:val="00003F2A"/>
    <w:rsid w:val="00004459"/>
    <w:rsid w:val="0000487E"/>
    <w:rsid w:val="000142EB"/>
    <w:rsid w:val="00026FCA"/>
    <w:rsid w:val="0003004F"/>
    <w:rsid w:val="000471A8"/>
    <w:rsid w:val="000509E1"/>
    <w:rsid w:val="00057AFD"/>
    <w:rsid w:val="00064AAB"/>
    <w:rsid w:val="00066B2D"/>
    <w:rsid w:val="00067005"/>
    <w:rsid w:val="0007395B"/>
    <w:rsid w:val="00074445"/>
    <w:rsid w:val="000764BE"/>
    <w:rsid w:val="00077E37"/>
    <w:rsid w:val="000A51D3"/>
    <w:rsid w:val="000A6600"/>
    <w:rsid w:val="000B378E"/>
    <w:rsid w:val="000C1D4A"/>
    <w:rsid w:val="000C2EF6"/>
    <w:rsid w:val="000D0A85"/>
    <w:rsid w:val="000D0CEC"/>
    <w:rsid w:val="000D11B5"/>
    <w:rsid w:val="000D4661"/>
    <w:rsid w:val="000F09E3"/>
    <w:rsid w:val="000F0AA0"/>
    <w:rsid w:val="000F3FE0"/>
    <w:rsid w:val="00101062"/>
    <w:rsid w:val="0010166B"/>
    <w:rsid w:val="00102B52"/>
    <w:rsid w:val="0010323B"/>
    <w:rsid w:val="00105067"/>
    <w:rsid w:val="00112365"/>
    <w:rsid w:val="001152E1"/>
    <w:rsid w:val="001164A0"/>
    <w:rsid w:val="00120328"/>
    <w:rsid w:val="001316BF"/>
    <w:rsid w:val="00140011"/>
    <w:rsid w:val="00142D23"/>
    <w:rsid w:val="00145B0A"/>
    <w:rsid w:val="0015034B"/>
    <w:rsid w:val="00151EC6"/>
    <w:rsid w:val="00153DA3"/>
    <w:rsid w:val="00160037"/>
    <w:rsid w:val="001609D6"/>
    <w:rsid w:val="001658AF"/>
    <w:rsid w:val="00166F1B"/>
    <w:rsid w:val="001777A6"/>
    <w:rsid w:val="0018463A"/>
    <w:rsid w:val="001903D5"/>
    <w:rsid w:val="001956F1"/>
    <w:rsid w:val="00196036"/>
    <w:rsid w:val="001A2752"/>
    <w:rsid w:val="001B6AC9"/>
    <w:rsid w:val="001C16A1"/>
    <w:rsid w:val="001C3161"/>
    <w:rsid w:val="001C570B"/>
    <w:rsid w:val="001D77F3"/>
    <w:rsid w:val="001E47C7"/>
    <w:rsid w:val="001E6D65"/>
    <w:rsid w:val="001F0BCD"/>
    <w:rsid w:val="001F0EB6"/>
    <w:rsid w:val="001F2793"/>
    <w:rsid w:val="001F5EAA"/>
    <w:rsid w:val="001F6494"/>
    <w:rsid w:val="00203A9A"/>
    <w:rsid w:val="002076DB"/>
    <w:rsid w:val="00212B5E"/>
    <w:rsid w:val="002158CF"/>
    <w:rsid w:val="002330C0"/>
    <w:rsid w:val="00235F48"/>
    <w:rsid w:val="0024538F"/>
    <w:rsid w:val="002536C0"/>
    <w:rsid w:val="00260669"/>
    <w:rsid w:val="00260CB9"/>
    <w:rsid w:val="002634BA"/>
    <w:rsid w:val="00265A97"/>
    <w:rsid w:val="0026781F"/>
    <w:rsid w:val="00271BE1"/>
    <w:rsid w:val="0027232F"/>
    <w:rsid w:val="00274615"/>
    <w:rsid w:val="002858E0"/>
    <w:rsid w:val="00285C49"/>
    <w:rsid w:val="00292E43"/>
    <w:rsid w:val="00294DF6"/>
    <w:rsid w:val="00295144"/>
    <w:rsid w:val="002964DB"/>
    <w:rsid w:val="002A789B"/>
    <w:rsid w:val="002A7BC4"/>
    <w:rsid w:val="002B4A4C"/>
    <w:rsid w:val="002C0935"/>
    <w:rsid w:val="002C1A52"/>
    <w:rsid w:val="002C3311"/>
    <w:rsid w:val="002C3E0E"/>
    <w:rsid w:val="002C4000"/>
    <w:rsid w:val="002C77A7"/>
    <w:rsid w:val="002D337A"/>
    <w:rsid w:val="002D69DE"/>
    <w:rsid w:val="002D7DAC"/>
    <w:rsid w:val="002E1FF5"/>
    <w:rsid w:val="002E37BA"/>
    <w:rsid w:val="002F6A84"/>
    <w:rsid w:val="0030330C"/>
    <w:rsid w:val="00310D65"/>
    <w:rsid w:val="00311B25"/>
    <w:rsid w:val="003250E9"/>
    <w:rsid w:val="003266FC"/>
    <w:rsid w:val="003313C6"/>
    <w:rsid w:val="00337CB4"/>
    <w:rsid w:val="003432F9"/>
    <w:rsid w:val="003474D3"/>
    <w:rsid w:val="00347F0B"/>
    <w:rsid w:val="00356EA7"/>
    <w:rsid w:val="00362B57"/>
    <w:rsid w:val="0036388E"/>
    <w:rsid w:val="00363E48"/>
    <w:rsid w:val="00364F52"/>
    <w:rsid w:val="00365AF5"/>
    <w:rsid w:val="003705EE"/>
    <w:rsid w:val="003747FC"/>
    <w:rsid w:val="00377E45"/>
    <w:rsid w:val="00382040"/>
    <w:rsid w:val="00382EEE"/>
    <w:rsid w:val="00383CE0"/>
    <w:rsid w:val="00392069"/>
    <w:rsid w:val="003970A1"/>
    <w:rsid w:val="00397CC9"/>
    <w:rsid w:val="003A3DB1"/>
    <w:rsid w:val="003B3343"/>
    <w:rsid w:val="003B6D36"/>
    <w:rsid w:val="003B7369"/>
    <w:rsid w:val="003C025E"/>
    <w:rsid w:val="003C25B2"/>
    <w:rsid w:val="003C6526"/>
    <w:rsid w:val="003C672F"/>
    <w:rsid w:val="003C6C2B"/>
    <w:rsid w:val="003D1A20"/>
    <w:rsid w:val="003D33E4"/>
    <w:rsid w:val="003E0154"/>
    <w:rsid w:val="003E26B3"/>
    <w:rsid w:val="003F0224"/>
    <w:rsid w:val="003F7EEB"/>
    <w:rsid w:val="004047CE"/>
    <w:rsid w:val="0041699A"/>
    <w:rsid w:val="00416B89"/>
    <w:rsid w:val="00420779"/>
    <w:rsid w:val="00432BE8"/>
    <w:rsid w:val="0043605C"/>
    <w:rsid w:val="004427DD"/>
    <w:rsid w:val="004475A6"/>
    <w:rsid w:val="00450B84"/>
    <w:rsid w:val="00451E71"/>
    <w:rsid w:val="004579C7"/>
    <w:rsid w:val="004601BD"/>
    <w:rsid w:val="00466B51"/>
    <w:rsid w:val="00467CAB"/>
    <w:rsid w:val="004719B8"/>
    <w:rsid w:val="00480C7F"/>
    <w:rsid w:val="0048767E"/>
    <w:rsid w:val="00492D45"/>
    <w:rsid w:val="00494205"/>
    <w:rsid w:val="004A1363"/>
    <w:rsid w:val="004A183F"/>
    <w:rsid w:val="004B5E33"/>
    <w:rsid w:val="004C174F"/>
    <w:rsid w:val="004C18AE"/>
    <w:rsid w:val="004C1CDE"/>
    <w:rsid w:val="004D1828"/>
    <w:rsid w:val="004D3CB9"/>
    <w:rsid w:val="004D5A23"/>
    <w:rsid w:val="004E36D1"/>
    <w:rsid w:val="004E7321"/>
    <w:rsid w:val="004F0B84"/>
    <w:rsid w:val="004F3AB9"/>
    <w:rsid w:val="0050575B"/>
    <w:rsid w:val="00513110"/>
    <w:rsid w:val="00515680"/>
    <w:rsid w:val="00515F46"/>
    <w:rsid w:val="00515F7A"/>
    <w:rsid w:val="00526E13"/>
    <w:rsid w:val="005277F7"/>
    <w:rsid w:val="00532F9D"/>
    <w:rsid w:val="005340B2"/>
    <w:rsid w:val="00534BD9"/>
    <w:rsid w:val="0054425F"/>
    <w:rsid w:val="00545FE8"/>
    <w:rsid w:val="0054654E"/>
    <w:rsid w:val="00550F35"/>
    <w:rsid w:val="005526A4"/>
    <w:rsid w:val="00553A73"/>
    <w:rsid w:val="00564F6E"/>
    <w:rsid w:val="00572970"/>
    <w:rsid w:val="00576B99"/>
    <w:rsid w:val="005770B5"/>
    <w:rsid w:val="005830C1"/>
    <w:rsid w:val="0058688D"/>
    <w:rsid w:val="005A3152"/>
    <w:rsid w:val="005A31A1"/>
    <w:rsid w:val="005B73CA"/>
    <w:rsid w:val="005B73E9"/>
    <w:rsid w:val="005C13DB"/>
    <w:rsid w:val="005C1EF6"/>
    <w:rsid w:val="005C526F"/>
    <w:rsid w:val="005D02B9"/>
    <w:rsid w:val="005E6026"/>
    <w:rsid w:val="005F421F"/>
    <w:rsid w:val="005F444F"/>
    <w:rsid w:val="005F5468"/>
    <w:rsid w:val="005F5F25"/>
    <w:rsid w:val="005F7D53"/>
    <w:rsid w:val="00603518"/>
    <w:rsid w:val="00604622"/>
    <w:rsid w:val="00611856"/>
    <w:rsid w:val="00612851"/>
    <w:rsid w:val="006154EC"/>
    <w:rsid w:val="00631A08"/>
    <w:rsid w:val="00633E27"/>
    <w:rsid w:val="006370CB"/>
    <w:rsid w:val="00637B46"/>
    <w:rsid w:val="00652E88"/>
    <w:rsid w:val="00663CD3"/>
    <w:rsid w:val="00667A45"/>
    <w:rsid w:val="00667F24"/>
    <w:rsid w:val="00677CF7"/>
    <w:rsid w:val="00680B43"/>
    <w:rsid w:val="006929F7"/>
    <w:rsid w:val="006943A1"/>
    <w:rsid w:val="00695CED"/>
    <w:rsid w:val="006A1500"/>
    <w:rsid w:val="006A2BEC"/>
    <w:rsid w:val="006A31D1"/>
    <w:rsid w:val="006A49DB"/>
    <w:rsid w:val="006A5A53"/>
    <w:rsid w:val="006B1193"/>
    <w:rsid w:val="006C3A3A"/>
    <w:rsid w:val="006D0006"/>
    <w:rsid w:val="006D2026"/>
    <w:rsid w:val="006D55BA"/>
    <w:rsid w:val="006E1B3C"/>
    <w:rsid w:val="006E2946"/>
    <w:rsid w:val="006F088E"/>
    <w:rsid w:val="006F7320"/>
    <w:rsid w:val="007010BF"/>
    <w:rsid w:val="007019CC"/>
    <w:rsid w:val="00704314"/>
    <w:rsid w:val="007049F0"/>
    <w:rsid w:val="00706A52"/>
    <w:rsid w:val="00711F52"/>
    <w:rsid w:val="00715840"/>
    <w:rsid w:val="00727393"/>
    <w:rsid w:val="0072742E"/>
    <w:rsid w:val="00732695"/>
    <w:rsid w:val="00737F7C"/>
    <w:rsid w:val="00743A44"/>
    <w:rsid w:val="00744297"/>
    <w:rsid w:val="0074517B"/>
    <w:rsid w:val="0075052C"/>
    <w:rsid w:val="00750EC5"/>
    <w:rsid w:val="00752570"/>
    <w:rsid w:val="00753131"/>
    <w:rsid w:val="00763F36"/>
    <w:rsid w:val="0076528C"/>
    <w:rsid w:val="00767121"/>
    <w:rsid w:val="00767F1D"/>
    <w:rsid w:val="00781225"/>
    <w:rsid w:val="007876F5"/>
    <w:rsid w:val="007903F6"/>
    <w:rsid w:val="00796C90"/>
    <w:rsid w:val="00797671"/>
    <w:rsid w:val="007A189A"/>
    <w:rsid w:val="007A7CE2"/>
    <w:rsid w:val="007B1803"/>
    <w:rsid w:val="007B6771"/>
    <w:rsid w:val="007C44F5"/>
    <w:rsid w:val="007C6CB7"/>
    <w:rsid w:val="007C74CC"/>
    <w:rsid w:val="007C7651"/>
    <w:rsid w:val="007D1D03"/>
    <w:rsid w:val="007D26E9"/>
    <w:rsid w:val="007D547C"/>
    <w:rsid w:val="007F1CC0"/>
    <w:rsid w:val="007F5A88"/>
    <w:rsid w:val="007F604C"/>
    <w:rsid w:val="00803DF6"/>
    <w:rsid w:val="00811E49"/>
    <w:rsid w:val="00813BBD"/>
    <w:rsid w:val="00817453"/>
    <w:rsid w:val="00820CE1"/>
    <w:rsid w:val="00830593"/>
    <w:rsid w:val="00831A1C"/>
    <w:rsid w:val="00844931"/>
    <w:rsid w:val="00847846"/>
    <w:rsid w:val="00850343"/>
    <w:rsid w:val="008544C8"/>
    <w:rsid w:val="008560D6"/>
    <w:rsid w:val="00861EC8"/>
    <w:rsid w:val="00875F5B"/>
    <w:rsid w:val="008779A5"/>
    <w:rsid w:val="0088195E"/>
    <w:rsid w:val="00881B8D"/>
    <w:rsid w:val="00884FCA"/>
    <w:rsid w:val="00891461"/>
    <w:rsid w:val="00892CCF"/>
    <w:rsid w:val="00892EDE"/>
    <w:rsid w:val="00897D0C"/>
    <w:rsid w:val="008B2246"/>
    <w:rsid w:val="008B235C"/>
    <w:rsid w:val="008B2C63"/>
    <w:rsid w:val="008B654B"/>
    <w:rsid w:val="008C10E9"/>
    <w:rsid w:val="008D5F35"/>
    <w:rsid w:val="008E19D6"/>
    <w:rsid w:val="009005E6"/>
    <w:rsid w:val="009015C8"/>
    <w:rsid w:val="009041DE"/>
    <w:rsid w:val="009109FC"/>
    <w:rsid w:val="00913695"/>
    <w:rsid w:val="00917EA2"/>
    <w:rsid w:val="00931D82"/>
    <w:rsid w:val="00936E66"/>
    <w:rsid w:val="00937101"/>
    <w:rsid w:val="00941497"/>
    <w:rsid w:val="009415AB"/>
    <w:rsid w:val="00945323"/>
    <w:rsid w:val="0095644B"/>
    <w:rsid w:val="0095764F"/>
    <w:rsid w:val="0096332B"/>
    <w:rsid w:val="00963A00"/>
    <w:rsid w:val="00965075"/>
    <w:rsid w:val="009676BB"/>
    <w:rsid w:val="009953B0"/>
    <w:rsid w:val="009979E6"/>
    <w:rsid w:val="009A14CE"/>
    <w:rsid w:val="009A599C"/>
    <w:rsid w:val="009A7DC5"/>
    <w:rsid w:val="009B3BF1"/>
    <w:rsid w:val="009B504C"/>
    <w:rsid w:val="009C1405"/>
    <w:rsid w:val="009C3A2B"/>
    <w:rsid w:val="009D1413"/>
    <w:rsid w:val="009D28CF"/>
    <w:rsid w:val="009D7B37"/>
    <w:rsid w:val="009F49CB"/>
    <w:rsid w:val="009F5301"/>
    <w:rsid w:val="00A02BB0"/>
    <w:rsid w:val="00A02F9D"/>
    <w:rsid w:val="00A10659"/>
    <w:rsid w:val="00A1457E"/>
    <w:rsid w:val="00A17ECD"/>
    <w:rsid w:val="00A37583"/>
    <w:rsid w:val="00A40201"/>
    <w:rsid w:val="00A52B8C"/>
    <w:rsid w:val="00A53706"/>
    <w:rsid w:val="00A55BF9"/>
    <w:rsid w:val="00A574C1"/>
    <w:rsid w:val="00A57963"/>
    <w:rsid w:val="00A64A5C"/>
    <w:rsid w:val="00A70FB0"/>
    <w:rsid w:val="00A81A8F"/>
    <w:rsid w:val="00A81E41"/>
    <w:rsid w:val="00A8267A"/>
    <w:rsid w:val="00A84D5D"/>
    <w:rsid w:val="00A8575E"/>
    <w:rsid w:val="00A8586D"/>
    <w:rsid w:val="00A92C3B"/>
    <w:rsid w:val="00A94420"/>
    <w:rsid w:val="00A9616A"/>
    <w:rsid w:val="00AB46B9"/>
    <w:rsid w:val="00AB6C0E"/>
    <w:rsid w:val="00AB6DA1"/>
    <w:rsid w:val="00AD207D"/>
    <w:rsid w:val="00AD5313"/>
    <w:rsid w:val="00AE0796"/>
    <w:rsid w:val="00AE125C"/>
    <w:rsid w:val="00AE79A6"/>
    <w:rsid w:val="00AF5118"/>
    <w:rsid w:val="00B00B87"/>
    <w:rsid w:val="00B02B0D"/>
    <w:rsid w:val="00B04D70"/>
    <w:rsid w:val="00B10278"/>
    <w:rsid w:val="00B10E8F"/>
    <w:rsid w:val="00B131D7"/>
    <w:rsid w:val="00B16467"/>
    <w:rsid w:val="00B22E27"/>
    <w:rsid w:val="00B249B4"/>
    <w:rsid w:val="00B30688"/>
    <w:rsid w:val="00B31D14"/>
    <w:rsid w:val="00B5346A"/>
    <w:rsid w:val="00B54329"/>
    <w:rsid w:val="00B62A0C"/>
    <w:rsid w:val="00B65786"/>
    <w:rsid w:val="00B824DD"/>
    <w:rsid w:val="00BB0942"/>
    <w:rsid w:val="00BB18B5"/>
    <w:rsid w:val="00BB5D24"/>
    <w:rsid w:val="00BC05A5"/>
    <w:rsid w:val="00BC0695"/>
    <w:rsid w:val="00BC4773"/>
    <w:rsid w:val="00BD190F"/>
    <w:rsid w:val="00BD42FF"/>
    <w:rsid w:val="00BD68AF"/>
    <w:rsid w:val="00BE4982"/>
    <w:rsid w:val="00BE668B"/>
    <w:rsid w:val="00BE7706"/>
    <w:rsid w:val="00BF0080"/>
    <w:rsid w:val="00BF3F44"/>
    <w:rsid w:val="00BF4338"/>
    <w:rsid w:val="00BF5A63"/>
    <w:rsid w:val="00C002F6"/>
    <w:rsid w:val="00C04F5F"/>
    <w:rsid w:val="00C22548"/>
    <w:rsid w:val="00C22A3F"/>
    <w:rsid w:val="00C2517E"/>
    <w:rsid w:val="00C2592F"/>
    <w:rsid w:val="00C25D29"/>
    <w:rsid w:val="00C36327"/>
    <w:rsid w:val="00C44E5E"/>
    <w:rsid w:val="00C45EAC"/>
    <w:rsid w:val="00C51CB2"/>
    <w:rsid w:val="00C6085C"/>
    <w:rsid w:val="00C6325F"/>
    <w:rsid w:val="00C67296"/>
    <w:rsid w:val="00C74704"/>
    <w:rsid w:val="00C87BF6"/>
    <w:rsid w:val="00C87C5D"/>
    <w:rsid w:val="00C9184D"/>
    <w:rsid w:val="00CC2567"/>
    <w:rsid w:val="00CD45AD"/>
    <w:rsid w:val="00CE77CD"/>
    <w:rsid w:val="00D01E63"/>
    <w:rsid w:val="00D027D9"/>
    <w:rsid w:val="00D071F4"/>
    <w:rsid w:val="00D11FD2"/>
    <w:rsid w:val="00D138A0"/>
    <w:rsid w:val="00D14D6D"/>
    <w:rsid w:val="00D17B71"/>
    <w:rsid w:val="00D22837"/>
    <w:rsid w:val="00D25325"/>
    <w:rsid w:val="00D26B71"/>
    <w:rsid w:val="00D346E3"/>
    <w:rsid w:val="00D4064B"/>
    <w:rsid w:val="00D47E53"/>
    <w:rsid w:val="00D5185D"/>
    <w:rsid w:val="00D54F63"/>
    <w:rsid w:val="00D56EF0"/>
    <w:rsid w:val="00D616C8"/>
    <w:rsid w:val="00D646DF"/>
    <w:rsid w:val="00D70EAE"/>
    <w:rsid w:val="00D7641A"/>
    <w:rsid w:val="00D808CE"/>
    <w:rsid w:val="00D91548"/>
    <w:rsid w:val="00D92C9B"/>
    <w:rsid w:val="00D975E4"/>
    <w:rsid w:val="00DA1CC0"/>
    <w:rsid w:val="00DA68FC"/>
    <w:rsid w:val="00DB0515"/>
    <w:rsid w:val="00DB25F5"/>
    <w:rsid w:val="00DB3267"/>
    <w:rsid w:val="00DB4098"/>
    <w:rsid w:val="00DB6105"/>
    <w:rsid w:val="00DC3C22"/>
    <w:rsid w:val="00DD0ACF"/>
    <w:rsid w:val="00DD7500"/>
    <w:rsid w:val="00DE1B91"/>
    <w:rsid w:val="00DF4C66"/>
    <w:rsid w:val="00E01C0E"/>
    <w:rsid w:val="00E11572"/>
    <w:rsid w:val="00E14141"/>
    <w:rsid w:val="00E338EF"/>
    <w:rsid w:val="00E3743B"/>
    <w:rsid w:val="00E37521"/>
    <w:rsid w:val="00E376D7"/>
    <w:rsid w:val="00E54D0D"/>
    <w:rsid w:val="00E56C96"/>
    <w:rsid w:val="00E574B5"/>
    <w:rsid w:val="00E60DB9"/>
    <w:rsid w:val="00E62C17"/>
    <w:rsid w:val="00E63500"/>
    <w:rsid w:val="00E64CB3"/>
    <w:rsid w:val="00E670A5"/>
    <w:rsid w:val="00E70176"/>
    <w:rsid w:val="00E814AC"/>
    <w:rsid w:val="00E83F5B"/>
    <w:rsid w:val="00E84883"/>
    <w:rsid w:val="00E91D09"/>
    <w:rsid w:val="00E933C2"/>
    <w:rsid w:val="00EA08EE"/>
    <w:rsid w:val="00EA0918"/>
    <w:rsid w:val="00EA2E1D"/>
    <w:rsid w:val="00EB6398"/>
    <w:rsid w:val="00EB63BF"/>
    <w:rsid w:val="00EB6CE7"/>
    <w:rsid w:val="00EC0EE7"/>
    <w:rsid w:val="00EC36BC"/>
    <w:rsid w:val="00ED635E"/>
    <w:rsid w:val="00EE27E0"/>
    <w:rsid w:val="00EE54C8"/>
    <w:rsid w:val="00EF5C60"/>
    <w:rsid w:val="00EF755F"/>
    <w:rsid w:val="00F06FAC"/>
    <w:rsid w:val="00F1075B"/>
    <w:rsid w:val="00F154FA"/>
    <w:rsid w:val="00F17252"/>
    <w:rsid w:val="00F20729"/>
    <w:rsid w:val="00F27356"/>
    <w:rsid w:val="00F27A07"/>
    <w:rsid w:val="00F41232"/>
    <w:rsid w:val="00F45F54"/>
    <w:rsid w:val="00F4688E"/>
    <w:rsid w:val="00F47C01"/>
    <w:rsid w:val="00F51822"/>
    <w:rsid w:val="00F54219"/>
    <w:rsid w:val="00F63505"/>
    <w:rsid w:val="00F662B5"/>
    <w:rsid w:val="00F67053"/>
    <w:rsid w:val="00F72BDF"/>
    <w:rsid w:val="00F7376F"/>
    <w:rsid w:val="00F75906"/>
    <w:rsid w:val="00F75EA8"/>
    <w:rsid w:val="00F80112"/>
    <w:rsid w:val="00F802A5"/>
    <w:rsid w:val="00F91D82"/>
    <w:rsid w:val="00F97A83"/>
    <w:rsid w:val="00FA696D"/>
    <w:rsid w:val="00FA6CEA"/>
    <w:rsid w:val="00FB2B6B"/>
    <w:rsid w:val="00FC17A8"/>
    <w:rsid w:val="00FD16DD"/>
    <w:rsid w:val="00FD28B0"/>
    <w:rsid w:val="00FD2B1C"/>
    <w:rsid w:val="00FD630D"/>
    <w:rsid w:val="00FE0A3C"/>
    <w:rsid w:val="00FE230C"/>
    <w:rsid w:val="00FE4286"/>
    <w:rsid w:val="00FF3480"/>
    <w:rsid w:val="00FF5F36"/>
    <w:rsid w:val="00FF7A52"/>
    <w:rsid w:val="03200295"/>
    <w:rsid w:val="08A36552"/>
    <w:rsid w:val="08A92ADB"/>
    <w:rsid w:val="0B9C6165"/>
    <w:rsid w:val="0F1A028E"/>
    <w:rsid w:val="0F1A650C"/>
    <w:rsid w:val="10345380"/>
    <w:rsid w:val="12BB6E03"/>
    <w:rsid w:val="13836673"/>
    <w:rsid w:val="140E413A"/>
    <w:rsid w:val="143037AB"/>
    <w:rsid w:val="144731A8"/>
    <w:rsid w:val="16847998"/>
    <w:rsid w:val="18041791"/>
    <w:rsid w:val="19A54BF8"/>
    <w:rsid w:val="1BEB470E"/>
    <w:rsid w:val="1DC40F11"/>
    <w:rsid w:val="23984070"/>
    <w:rsid w:val="275D6B12"/>
    <w:rsid w:val="27E050CE"/>
    <w:rsid w:val="28C037FD"/>
    <w:rsid w:val="28D27159"/>
    <w:rsid w:val="2A4915D0"/>
    <w:rsid w:val="2A5C1303"/>
    <w:rsid w:val="2BB40AD7"/>
    <w:rsid w:val="2C0B62CB"/>
    <w:rsid w:val="2C420735"/>
    <w:rsid w:val="304C1E1A"/>
    <w:rsid w:val="30D51E0F"/>
    <w:rsid w:val="316B3A4C"/>
    <w:rsid w:val="32F512CF"/>
    <w:rsid w:val="338813BB"/>
    <w:rsid w:val="36DE12F2"/>
    <w:rsid w:val="38DD19C5"/>
    <w:rsid w:val="38E768D4"/>
    <w:rsid w:val="38F4376A"/>
    <w:rsid w:val="3B535FC9"/>
    <w:rsid w:val="3BC27434"/>
    <w:rsid w:val="3DBD2CBA"/>
    <w:rsid w:val="445D419E"/>
    <w:rsid w:val="45517B74"/>
    <w:rsid w:val="46E97FCF"/>
    <w:rsid w:val="47310037"/>
    <w:rsid w:val="476B4D53"/>
    <w:rsid w:val="48D80297"/>
    <w:rsid w:val="4972328E"/>
    <w:rsid w:val="499F6D9C"/>
    <w:rsid w:val="4ACD5512"/>
    <w:rsid w:val="4FDA1BCD"/>
    <w:rsid w:val="50F46EDA"/>
    <w:rsid w:val="52940259"/>
    <w:rsid w:val="546F6EB3"/>
    <w:rsid w:val="55C30E9C"/>
    <w:rsid w:val="5689506B"/>
    <w:rsid w:val="5BE114FF"/>
    <w:rsid w:val="65BE3467"/>
    <w:rsid w:val="666E039B"/>
    <w:rsid w:val="66846F11"/>
    <w:rsid w:val="678567A0"/>
    <w:rsid w:val="68A078E9"/>
    <w:rsid w:val="68C47759"/>
    <w:rsid w:val="69CB5582"/>
    <w:rsid w:val="6B0432DC"/>
    <w:rsid w:val="6BA51E03"/>
    <w:rsid w:val="6D003F3A"/>
    <w:rsid w:val="70D7701E"/>
    <w:rsid w:val="71F47640"/>
    <w:rsid w:val="72005FE5"/>
    <w:rsid w:val="750F1959"/>
    <w:rsid w:val="76B668B1"/>
    <w:rsid w:val="7735225C"/>
    <w:rsid w:val="789D0100"/>
    <w:rsid w:val="79EA4B20"/>
    <w:rsid w:val="7E47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Times New Roman"/>
      <w:sz w:val="21"/>
      <w:szCs w:val="24"/>
      <w:lang w:val="en-US" w:eastAsia="zh-CN" w:bidi="ar-SA"/>
    </w:rPr>
  </w:style>
  <w:style w:type="paragraph" w:styleId="2">
    <w:name w:val="heading 1"/>
    <w:basedOn w:val="1"/>
    <w:next w:val="1"/>
    <w:link w:val="83"/>
    <w:qFormat/>
    <w:uiPriority w:val="9"/>
    <w:pPr>
      <w:keepNext/>
      <w:keepLines/>
      <w:numPr>
        <w:ilvl w:val="0"/>
        <w:numId w:val="1"/>
      </w:numPr>
      <w:spacing w:beforeLines="100" w:afterLines="100"/>
      <w:ind w:left="431" w:hanging="431"/>
      <w:outlineLvl w:val="0"/>
    </w:pPr>
    <w:rPr>
      <w:rFonts w:eastAsia="黑体"/>
      <w:bCs/>
      <w:kern w:val="44"/>
      <w:sz w:val="28"/>
      <w:szCs w:val="44"/>
    </w:rPr>
  </w:style>
  <w:style w:type="paragraph" w:styleId="3">
    <w:name w:val="heading 2"/>
    <w:basedOn w:val="1"/>
    <w:next w:val="1"/>
    <w:link w:val="84"/>
    <w:unhideWhenUsed/>
    <w:qFormat/>
    <w:uiPriority w:val="9"/>
    <w:pPr>
      <w:keepNext/>
      <w:keepLines/>
      <w:numPr>
        <w:ilvl w:val="1"/>
        <w:numId w:val="1"/>
      </w:numPr>
      <w:spacing w:beforeLines="50" w:afterLines="50"/>
      <w:ind w:left="578" w:hanging="578"/>
      <w:outlineLvl w:val="1"/>
    </w:pPr>
    <w:rPr>
      <w:rFonts w:eastAsia="黑体" w:asciiTheme="minorHAnsi" w:hAnsiTheme="minorHAnsi" w:cstheme="majorBidi"/>
      <w:bCs/>
      <w:sz w:val="24"/>
      <w:szCs w:val="32"/>
    </w:rPr>
  </w:style>
  <w:style w:type="paragraph" w:styleId="4">
    <w:name w:val="heading 3"/>
    <w:basedOn w:val="1"/>
    <w:next w:val="1"/>
    <w:link w:val="36"/>
    <w:qFormat/>
    <w:uiPriority w:val="9"/>
    <w:pPr>
      <w:numPr>
        <w:ilvl w:val="2"/>
        <w:numId w:val="1"/>
      </w:numPr>
      <w:spacing w:beforeLines="50" w:afterLines="50"/>
      <w:outlineLvl w:val="2"/>
    </w:pPr>
    <w:rPr>
      <w:rFonts w:eastAsia="黑体" w:cs="宋体" w:asciiTheme="minorHAnsi" w:hAnsiTheme="minorHAnsi"/>
      <w:bCs/>
      <w:szCs w:val="27"/>
    </w:rPr>
  </w:style>
  <w:style w:type="paragraph" w:styleId="5">
    <w:name w:val="heading 4"/>
    <w:basedOn w:val="1"/>
    <w:next w:val="1"/>
    <w:link w:val="85"/>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86"/>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87"/>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rPr>
  </w:style>
  <w:style w:type="paragraph" w:styleId="8">
    <w:name w:val="heading 7"/>
    <w:basedOn w:val="1"/>
    <w:next w:val="1"/>
    <w:link w:val="88"/>
    <w:semiHidden/>
    <w:unhideWhenUsed/>
    <w:qFormat/>
    <w:uiPriority w:val="9"/>
    <w:pPr>
      <w:keepNext/>
      <w:keepLines/>
      <w:numPr>
        <w:ilvl w:val="6"/>
        <w:numId w:val="1"/>
      </w:numPr>
      <w:spacing w:before="240" w:after="64" w:line="320" w:lineRule="auto"/>
      <w:outlineLvl w:val="6"/>
    </w:pPr>
    <w:rPr>
      <w:b/>
      <w:bCs/>
    </w:rPr>
  </w:style>
  <w:style w:type="paragraph" w:styleId="9">
    <w:name w:val="heading 8"/>
    <w:basedOn w:val="1"/>
    <w:next w:val="1"/>
    <w:link w:val="89"/>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rPr>
  </w:style>
  <w:style w:type="paragraph" w:styleId="10">
    <w:name w:val="heading 9"/>
    <w:basedOn w:val="1"/>
    <w:next w:val="1"/>
    <w:link w:val="90"/>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before="50" w:beforeLines="50" w:after="50" w:afterLines="50"/>
      <w:jc w:val="center"/>
    </w:pPr>
    <w:rPr>
      <w:rFonts w:eastAsia="黑体" w:cstheme="majorBidi"/>
      <w:szCs w:val="20"/>
    </w:rPr>
  </w:style>
  <w:style w:type="paragraph" w:styleId="12">
    <w:name w:val="annotation text"/>
    <w:basedOn w:val="1"/>
    <w:link w:val="37"/>
    <w:qFormat/>
    <w:uiPriority w:val="0"/>
    <w:pPr>
      <w:widowControl w:val="0"/>
      <w:adjustRightInd w:val="0"/>
      <w:spacing w:line="312" w:lineRule="atLeast"/>
      <w:textAlignment w:val="baseline"/>
    </w:pPr>
    <w:rPr>
      <w:rFonts w:ascii="CG Times (W1)" w:hAnsi="CG Times (W1)" w:eastAsia="仿宋_GB2312" w:cs="CG Times (W1)"/>
      <w:sz w:val="30"/>
      <w:szCs w:val="30"/>
    </w:rPr>
  </w:style>
  <w:style w:type="paragraph" w:styleId="13">
    <w:name w:val="Date"/>
    <w:basedOn w:val="1"/>
    <w:next w:val="1"/>
    <w:link w:val="38"/>
    <w:qFormat/>
    <w:uiPriority w:val="0"/>
    <w:pPr>
      <w:widowControl w:val="0"/>
      <w:ind w:left="100" w:leftChars="2500"/>
      <w:jc w:val="both"/>
    </w:pPr>
    <w:rPr>
      <w:kern w:val="2"/>
    </w:rPr>
  </w:style>
  <w:style w:type="paragraph" w:styleId="14">
    <w:name w:val="Body Text Indent 2"/>
    <w:link w:val="77"/>
    <w:qFormat/>
    <w:uiPriority w:val="0"/>
    <w:pPr>
      <w:spacing w:line="360" w:lineRule="auto"/>
      <w:ind w:firstLine="510" w:firstLineChars="200"/>
      <w:jc w:val="both"/>
    </w:pPr>
    <w:rPr>
      <w:rFonts w:ascii="Times New Roman" w:hAnsi="Times New Roman" w:eastAsia="宋体" w:cs="Times New Roman"/>
      <w:sz w:val="24"/>
      <w:szCs w:val="24"/>
      <w:lang w:val="en-US" w:eastAsia="zh-CN" w:bidi="ar-SA"/>
    </w:rPr>
  </w:style>
  <w:style w:type="paragraph" w:styleId="15">
    <w:name w:val="Balloon Text"/>
    <w:basedOn w:val="1"/>
    <w:link w:val="35"/>
    <w:unhideWhenUsed/>
    <w:qFormat/>
    <w:uiPriority w:val="0"/>
    <w:rPr>
      <w:sz w:val="18"/>
      <w:szCs w:val="18"/>
    </w:rPr>
  </w:style>
  <w:style w:type="paragraph" w:styleId="16">
    <w:name w:val="footer"/>
    <w:basedOn w:val="1"/>
    <w:link w:val="32"/>
    <w:unhideWhenUsed/>
    <w:qFormat/>
    <w:uiPriority w:val="99"/>
    <w:pPr>
      <w:tabs>
        <w:tab w:val="center" w:pos="4153"/>
        <w:tab w:val="right" w:pos="8306"/>
      </w:tabs>
      <w:snapToGrid w:val="0"/>
    </w:pPr>
    <w:rPr>
      <w:sz w:val="18"/>
      <w:szCs w:val="18"/>
    </w:rPr>
  </w:style>
  <w:style w:type="paragraph" w:styleId="17">
    <w:name w:val="header"/>
    <w:basedOn w:val="1"/>
    <w:link w:val="3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HTML Preformatted"/>
    <w:basedOn w:val="1"/>
    <w:link w:val="39"/>
    <w:qFormat/>
    <w:uiPriority w:val="0"/>
    <w:pPr>
      <w:widowControl w:val="0"/>
      <w:jc w:val="both"/>
    </w:pPr>
    <w:rPr>
      <w:rFonts w:ascii="Courier New" w:hAnsi="Courier New" w:cs="Courier New"/>
      <w:kern w:val="2"/>
      <w:sz w:val="20"/>
      <w:szCs w:val="20"/>
    </w:rPr>
  </w:style>
  <w:style w:type="paragraph" w:styleId="19">
    <w:name w:val="Normal (Web)"/>
    <w:basedOn w:val="1"/>
    <w:unhideWhenUsed/>
    <w:qFormat/>
    <w:uiPriority w:val="99"/>
    <w:pPr>
      <w:spacing w:before="100" w:beforeAutospacing="1" w:after="100" w:afterAutospacing="1"/>
    </w:pPr>
    <w:rPr>
      <w:rFonts w:ascii="宋体" w:hAnsi="宋体" w:cs="宋体"/>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2">
    <w:name w:val="Light List Accent 5"/>
    <w:basedOn w:val="20"/>
    <w:qFormat/>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character" w:styleId="24">
    <w:name w:val="page number"/>
    <w:qFormat/>
    <w:uiPriority w:val="0"/>
  </w:style>
  <w:style w:type="character" w:styleId="25">
    <w:name w:val="FollowedHyperlink"/>
    <w:unhideWhenUsed/>
    <w:qFormat/>
    <w:uiPriority w:val="99"/>
    <w:rPr>
      <w:color w:val="954F72"/>
      <w:u w:val="single"/>
    </w:rPr>
  </w:style>
  <w:style w:type="character" w:styleId="26">
    <w:name w:val="Emphasis"/>
    <w:basedOn w:val="23"/>
    <w:qFormat/>
    <w:uiPriority w:val="20"/>
    <w:rPr>
      <w:i/>
      <w:iCs/>
    </w:rPr>
  </w:style>
  <w:style w:type="character" w:styleId="27">
    <w:name w:val="Hyperlink"/>
    <w:unhideWhenUsed/>
    <w:qFormat/>
    <w:uiPriority w:val="99"/>
    <w:rPr>
      <w:color w:val="0563C1"/>
      <w:u w:val="single"/>
    </w:rPr>
  </w:style>
  <w:style w:type="character" w:styleId="28">
    <w:name w:val="HTML Code"/>
    <w:qFormat/>
    <w:uiPriority w:val="0"/>
    <w:rPr>
      <w:rFonts w:ascii="Courier New" w:hAnsi="Courier New"/>
      <w:sz w:val="20"/>
      <w:szCs w:val="20"/>
    </w:rPr>
  </w:style>
  <w:style w:type="character" w:styleId="29">
    <w:name w:val="annotation reference"/>
    <w:qFormat/>
    <w:uiPriority w:val="0"/>
    <w:rPr>
      <w:sz w:val="21"/>
      <w:szCs w:val="21"/>
    </w:rPr>
  </w:style>
  <w:style w:type="character" w:styleId="30">
    <w:name w:val="HTML Cite"/>
    <w:qFormat/>
    <w:uiPriority w:val="0"/>
    <w:rPr>
      <w:i/>
      <w:iCs/>
    </w:rPr>
  </w:style>
  <w:style w:type="character" w:customStyle="1" w:styleId="31">
    <w:name w:val="页眉 字符"/>
    <w:basedOn w:val="23"/>
    <w:link w:val="17"/>
    <w:qFormat/>
    <w:uiPriority w:val="0"/>
    <w:rPr>
      <w:sz w:val="18"/>
      <w:szCs w:val="18"/>
    </w:rPr>
  </w:style>
  <w:style w:type="character" w:customStyle="1" w:styleId="32">
    <w:name w:val="页脚 字符"/>
    <w:basedOn w:val="23"/>
    <w:link w:val="16"/>
    <w:qFormat/>
    <w:uiPriority w:val="99"/>
    <w:rPr>
      <w:sz w:val="18"/>
      <w:szCs w:val="18"/>
    </w:rPr>
  </w:style>
  <w:style w:type="paragraph" w:customStyle="1" w:styleId="33">
    <w:name w:val="段"/>
    <w:link w:val="4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
    <w:name w:val="一级条标题"/>
    <w:basedOn w:val="1"/>
    <w:next w:val="33"/>
    <w:qFormat/>
    <w:uiPriority w:val="0"/>
    <w:pPr>
      <w:jc w:val="both"/>
      <w:outlineLvl w:val="2"/>
    </w:pPr>
    <w:rPr>
      <w:rFonts w:ascii="黑体" w:eastAsia="黑体"/>
      <w:szCs w:val="20"/>
    </w:rPr>
  </w:style>
  <w:style w:type="character" w:customStyle="1" w:styleId="35">
    <w:name w:val="批注框文本 字符"/>
    <w:basedOn w:val="23"/>
    <w:link w:val="15"/>
    <w:qFormat/>
    <w:uiPriority w:val="0"/>
    <w:rPr>
      <w:rFonts w:ascii="Times New Roman" w:hAnsi="Times New Roman" w:eastAsia="宋体" w:cs="Times New Roman"/>
      <w:kern w:val="0"/>
      <w:sz w:val="18"/>
      <w:szCs w:val="18"/>
    </w:rPr>
  </w:style>
  <w:style w:type="character" w:customStyle="1" w:styleId="36">
    <w:name w:val="标题 3 字符"/>
    <w:basedOn w:val="23"/>
    <w:link w:val="4"/>
    <w:qFormat/>
    <w:uiPriority w:val="9"/>
    <w:rPr>
      <w:rFonts w:eastAsia="黑体" w:cs="宋体" w:asciiTheme="minorHAnsi" w:hAnsiTheme="minorHAnsi"/>
      <w:bCs/>
      <w:sz w:val="21"/>
      <w:szCs w:val="27"/>
    </w:rPr>
  </w:style>
  <w:style w:type="character" w:customStyle="1" w:styleId="37">
    <w:name w:val="批注文字 字符"/>
    <w:basedOn w:val="23"/>
    <w:link w:val="12"/>
    <w:qFormat/>
    <w:uiPriority w:val="0"/>
    <w:rPr>
      <w:rFonts w:ascii="CG Times (W1)" w:hAnsi="CG Times (W1)" w:eastAsia="仿宋_GB2312" w:cs="CG Times (W1)"/>
      <w:kern w:val="0"/>
      <w:sz w:val="30"/>
      <w:szCs w:val="30"/>
    </w:rPr>
  </w:style>
  <w:style w:type="character" w:customStyle="1" w:styleId="38">
    <w:name w:val="日期 字符"/>
    <w:basedOn w:val="23"/>
    <w:link w:val="13"/>
    <w:qFormat/>
    <w:uiPriority w:val="0"/>
    <w:rPr>
      <w:rFonts w:ascii="Times New Roman" w:hAnsi="Times New Roman" w:eastAsia="宋体" w:cs="Times New Roman"/>
      <w:szCs w:val="24"/>
    </w:rPr>
  </w:style>
  <w:style w:type="character" w:customStyle="1" w:styleId="39">
    <w:name w:val="HTML 预设格式 字符"/>
    <w:basedOn w:val="23"/>
    <w:link w:val="18"/>
    <w:qFormat/>
    <w:uiPriority w:val="0"/>
    <w:rPr>
      <w:rFonts w:ascii="Courier New" w:hAnsi="Courier New" w:eastAsia="宋体" w:cs="Courier New"/>
      <w:sz w:val="20"/>
      <w:szCs w:val="20"/>
    </w:rPr>
  </w:style>
  <w:style w:type="character" w:customStyle="1" w:styleId="40">
    <w:name w:val="段 Char Char"/>
    <w:link w:val="33"/>
    <w:qFormat/>
    <w:uiPriority w:val="0"/>
    <w:rPr>
      <w:rFonts w:ascii="宋体" w:hAnsi="Times New Roman" w:eastAsia="宋体" w:cs="Times New Roman"/>
      <w:kern w:val="0"/>
      <w:szCs w:val="20"/>
    </w:rPr>
  </w:style>
  <w:style w:type="paragraph" w:customStyle="1" w:styleId="41">
    <w:name w:val="Char Char Char Char Char Char"/>
    <w:basedOn w:val="1"/>
    <w:qFormat/>
    <w:uiPriority w:val="0"/>
    <w:pPr>
      <w:widowControl w:val="0"/>
      <w:spacing w:beforeLines="100" w:afterLines="50" w:line="600" w:lineRule="exact"/>
      <w:ind w:firstLine="200" w:firstLineChars="200"/>
      <w:jc w:val="both"/>
    </w:pPr>
    <w:rPr>
      <w:kern w:val="2"/>
    </w:rPr>
  </w:style>
  <w:style w:type="paragraph" w:customStyle="1" w:styleId="42">
    <w:name w:val="正文表标题"/>
    <w:next w:val="33"/>
    <w:qFormat/>
    <w:uiPriority w:val="99"/>
    <w:pPr>
      <w:numPr>
        <w:ilvl w:val="0"/>
        <w:numId w:val="2"/>
      </w:numPr>
      <w:jc w:val="center"/>
    </w:pPr>
    <w:rPr>
      <w:rFonts w:ascii="黑体" w:hAnsi="Times New Roman" w:eastAsia="黑体" w:cs="Times New Roman"/>
      <w:sz w:val="21"/>
      <w:lang w:val="en-US" w:eastAsia="zh-CN" w:bidi="ar-SA"/>
    </w:rPr>
  </w:style>
  <w:style w:type="paragraph" w:customStyle="1" w:styleId="43">
    <w:name w:val="样式 一级条标题 + 宋体"/>
    <w:basedOn w:val="1"/>
    <w:qFormat/>
    <w:uiPriority w:val="0"/>
    <w:pPr>
      <w:numPr>
        <w:ilvl w:val="2"/>
        <w:numId w:val="3"/>
      </w:numPr>
      <w:spacing w:line="360" w:lineRule="exact"/>
      <w:outlineLvl w:val="2"/>
    </w:pPr>
    <w:rPr>
      <w:rFonts w:ascii="宋体" w:hAnsi="宋体"/>
      <w:szCs w:val="20"/>
    </w:rPr>
  </w:style>
  <w:style w:type="paragraph" w:customStyle="1" w:styleId="44">
    <w:name w:val="前言、引言标题"/>
    <w:next w:val="1"/>
    <w:qFormat/>
    <w:uiPriority w:val="99"/>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5">
    <w:name w:val="样式 宋体 行距: 1.5 倍行距"/>
    <w:basedOn w:val="1"/>
    <w:qFormat/>
    <w:uiPriority w:val="0"/>
    <w:pPr>
      <w:widowControl w:val="0"/>
      <w:numPr>
        <w:ilvl w:val="0"/>
        <w:numId w:val="4"/>
      </w:numPr>
      <w:jc w:val="both"/>
    </w:pPr>
    <w:rPr>
      <w:rFonts w:ascii="宋体" w:hAnsi="宋体" w:cs="宋体"/>
      <w:kern w:val="2"/>
      <w:szCs w:val="20"/>
    </w:rPr>
  </w:style>
  <w:style w:type="paragraph" w:customStyle="1" w:styleId="46">
    <w:name w:val="前言标题"/>
    <w:basedOn w:val="1"/>
    <w:qFormat/>
    <w:uiPriority w:val="0"/>
    <w:pPr>
      <w:widowControl w:val="0"/>
      <w:numPr>
        <w:ilvl w:val="0"/>
        <w:numId w:val="3"/>
      </w:numPr>
      <w:adjustRightInd w:val="0"/>
      <w:spacing w:line="312" w:lineRule="atLeast"/>
      <w:jc w:val="both"/>
      <w:textAlignment w:val="baseline"/>
    </w:pPr>
    <w:rPr>
      <w:rFonts w:ascii="CG Times (W1)" w:hAnsi="CG Times (W1)" w:eastAsia="仿宋_GB2312" w:cs="CG Times (W1)"/>
      <w:sz w:val="30"/>
      <w:szCs w:val="30"/>
    </w:rPr>
  </w:style>
  <w:style w:type="paragraph" w:customStyle="1" w:styleId="47">
    <w:name w:val="标准文件_四级条标题"/>
    <w:basedOn w:val="1"/>
    <w:qFormat/>
    <w:uiPriority w:val="0"/>
    <w:pPr>
      <w:widowControl w:val="0"/>
      <w:numPr>
        <w:ilvl w:val="5"/>
        <w:numId w:val="3"/>
      </w:numPr>
      <w:adjustRightInd w:val="0"/>
      <w:spacing w:line="312" w:lineRule="atLeast"/>
      <w:jc w:val="both"/>
      <w:textAlignment w:val="baseline"/>
    </w:pPr>
    <w:rPr>
      <w:rFonts w:ascii="CG Times (W1)" w:hAnsi="CG Times (W1)" w:eastAsia="仿宋_GB2312" w:cs="CG Times (W1)"/>
      <w:sz w:val="30"/>
      <w:szCs w:val="30"/>
    </w:rPr>
  </w:style>
  <w:style w:type="paragraph" w:customStyle="1" w:styleId="48">
    <w:name w:val="封面正文"/>
    <w:qFormat/>
    <w:uiPriority w:val="0"/>
    <w:pPr>
      <w:jc w:val="both"/>
    </w:pPr>
    <w:rPr>
      <w:rFonts w:ascii="Times New Roman" w:hAnsi="Times New Roman" w:eastAsia="宋体" w:cs="Times New Roman"/>
      <w:lang w:val="en-US" w:eastAsia="zh-CN" w:bidi="ar-SA"/>
    </w:rPr>
  </w:style>
  <w:style w:type="paragraph" w:customStyle="1" w:styleId="49">
    <w:name w:val="标准文件_五级条标题"/>
    <w:basedOn w:val="1"/>
    <w:qFormat/>
    <w:uiPriority w:val="0"/>
    <w:pPr>
      <w:widowControl w:val="0"/>
      <w:numPr>
        <w:ilvl w:val="6"/>
        <w:numId w:val="3"/>
      </w:numPr>
      <w:adjustRightInd w:val="0"/>
      <w:spacing w:line="312" w:lineRule="atLeast"/>
      <w:jc w:val="both"/>
      <w:textAlignment w:val="baseline"/>
    </w:pPr>
    <w:rPr>
      <w:rFonts w:ascii="CG Times (W1)" w:hAnsi="CG Times (W1)" w:eastAsia="仿宋_GB2312" w:cs="CG Times (W1)"/>
      <w:sz w:val="30"/>
      <w:szCs w:val="30"/>
    </w:rPr>
  </w:style>
  <w:style w:type="paragraph" w:customStyle="1" w:styleId="50">
    <w:name w:val="Char Char Char Char"/>
    <w:basedOn w:val="1"/>
    <w:qFormat/>
    <w:uiPriority w:val="0"/>
    <w:pPr>
      <w:widowControl w:val="0"/>
      <w:spacing w:beforeLines="100" w:afterLines="50" w:line="600" w:lineRule="exact"/>
      <w:ind w:firstLine="200" w:firstLineChars="200"/>
      <w:jc w:val="both"/>
    </w:pPr>
    <w:rPr>
      <w:kern w:val="2"/>
    </w:rPr>
  </w:style>
  <w:style w:type="paragraph" w:customStyle="1" w:styleId="51">
    <w:name w:val="三级条标题"/>
    <w:basedOn w:val="52"/>
    <w:next w:val="1"/>
    <w:qFormat/>
    <w:uiPriority w:val="99"/>
    <w:pPr>
      <w:ind w:left="735"/>
      <w:outlineLvl w:val="4"/>
    </w:pPr>
  </w:style>
  <w:style w:type="paragraph" w:customStyle="1" w:styleId="52">
    <w:name w:val="二级条标题"/>
    <w:basedOn w:val="34"/>
    <w:next w:val="1"/>
    <w:qFormat/>
    <w:uiPriority w:val="99"/>
    <w:pPr>
      <w:jc w:val="left"/>
      <w:outlineLvl w:val="3"/>
    </w:pPr>
    <w:rPr>
      <w:rFonts w:ascii="Times New Roman"/>
    </w:rPr>
  </w:style>
  <w:style w:type="paragraph" w:customStyle="1" w:styleId="53">
    <w:name w:val="标准文件_正文表标题"/>
    <w:next w:val="1"/>
    <w:qFormat/>
    <w:uiPriority w:val="0"/>
    <w:pPr>
      <w:tabs>
        <w:tab w:val="left" w:pos="0"/>
      </w:tabs>
      <w:jc w:val="center"/>
    </w:pPr>
    <w:rPr>
      <w:rFonts w:ascii="黑体" w:hAnsi="Times New Roman" w:eastAsia="黑体" w:cs="Times New Roman"/>
      <w:sz w:val="21"/>
      <w:lang w:val="en-US" w:eastAsia="zh-CN" w:bidi="ar-SA"/>
    </w:rPr>
  </w:style>
  <w:style w:type="paragraph" w:customStyle="1" w:styleId="54">
    <w:name w:val="五级条标题"/>
    <w:basedOn w:val="55"/>
    <w:next w:val="1"/>
    <w:qFormat/>
    <w:uiPriority w:val="99"/>
    <w:pPr>
      <w:outlineLvl w:val="6"/>
    </w:pPr>
  </w:style>
  <w:style w:type="paragraph" w:customStyle="1" w:styleId="55">
    <w:name w:val="四级条标题"/>
    <w:basedOn w:val="51"/>
    <w:next w:val="1"/>
    <w:qFormat/>
    <w:uiPriority w:val="99"/>
    <w:pPr>
      <w:ind w:left="0"/>
      <w:outlineLvl w:val="5"/>
    </w:pPr>
  </w:style>
  <w:style w:type="paragraph" w:customStyle="1" w:styleId="56">
    <w:name w:val="标准文件_章标题"/>
    <w:basedOn w:val="1"/>
    <w:qFormat/>
    <w:uiPriority w:val="0"/>
    <w:pPr>
      <w:widowControl w:val="0"/>
      <w:numPr>
        <w:ilvl w:val="1"/>
        <w:numId w:val="3"/>
      </w:numPr>
      <w:adjustRightInd w:val="0"/>
      <w:spacing w:line="312" w:lineRule="atLeast"/>
      <w:jc w:val="both"/>
      <w:textAlignment w:val="baseline"/>
    </w:pPr>
    <w:rPr>
      <w:rFonts w:ascii="CG Times (W1)" w:hAnsi="CG Times (W1)" w:eastAsia="仿宋_GB2312" w:cs="CG Times (W1)"/>
      <w:sz w:val="30"/>
      <w:szCs w:val="30"/>
    </w:rPr>
  </w:style>
  <w:style w:type="paragraph" w:customStyle="1" w:styleId="57">
    <w:name w:val="标准文件_三级条标题"/>
    <w:basedOn w:val="1"/>
    <w:qFormat/>
    <w:uiPriority w:val="0"/>
    <w:pPr>
      <w:widowControl w:val="0"/>
      <w:numPr>
        <w:ilvl w:val="4"/>
        <w:numId w:val="3"/>
      </w:numPr>
      <w:adjustRightInd w:val="0"/>
      <w:spacing w:line="312" w:lineRule="atLeast"/>
      <w:jc w:val="both"/>
      <w:textAlignment w:val="baseline"/>
    </w:pPr>
    <w:rPr>
      <w:rFonts w:ascii="CG Times (W1)" w:hAnsi="CG Times (W1)" w:eastAsia="仿宋_GB2312" w:cs="CG Times (W1)"/>
      <w:sz w:val="30"/>
      <w:szCs w:val="30"/>
    </w:rPr>
  </w:style>
  <w:style w:type="paragraph" w:customStyle="1" w:styleId="58">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59">
    <w:name w:val="附录标识"/>
    <w:basedOn w:val="44"/>
    <w:qFormat/>
    <w:uiPriority w:val="0"/>
    <w:pPr>
      <w:numPr>
        <w:ilvl w:val="0"/>
        <w:numId w:val="5"/>
      </w:numPr>
      <w:tabs>
        <w:tab w:val="left" w:pos="6405"/>
      </w:tabs>
      <w:spacing w:after="200"/>
    </w:pPr>
    <w:rPr>
      <w:sz w:val="21"/>
    </w:rPr>
  </w:style>
  <w:style w:type="paragraph" w:customStyle="1" w:styleId="60">
    <w:name w:val="Char Char Char Char Char Char Char Char Char Char"/>
    <w:basedOn w:val="1"/>
    <w:qFormat/>
    <w:uiPriority w:val="0"/>
    <w:pPr>
      <w:spacing w:after="160" w:line="240" w:lineRule="exact"/>
    </w:pPr>
    <w:rPr>
      <w:rFonts w:ascii="Arial" w:hAnsi="Arial" w:cs="Arial"/>
      <w:b/>
      <w:bCs/>
      <w:lang w:eastAsia="en-US"/>
    </w:rPr>
  </w:style>
  <w:style w:type="paragraph" w:customStyle="1" w:styleId="61">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62">
    <w:name w:val="目次、标准名称标题"/>
    <w:basedOn w:val="44"/>
    <w:next w:val="33"/>
    <w:qFormat/>
    <w:uiPriority w:val="99"/>
    <w:pPr>
      <w:numPr>
        <w:ilvl w:val="0"/>
        <w:numId w:val="6"/>
      </w:numPr>
      <w:spacing w:line="460" w:lineRule="exact"/>
    </w:pPr>
  </w:style>
  <w:style w:type="paragraph" w:customStyle="1" w:styleId="63">
    <w:name w:val="Char Char Char"/>
    <w:basedOn w:val="1"/>
    <w:qFormat/>
    <w:uiPriority w:val="0"/>
    <w:pPr>
      <w:spacing w:after="160" w:line="240" w:lineRule="exact"/>
    </w:pPr>
    <w:rPr>
      <w:rFonts w:ascii="Verdana" w:hAnsi="Verdana"/>
      <w:sz w:val="20"/>
      <w:szCs w:val="20"/>
      <w:lang w:eastAsia="en-US"/>
    </w:rPr>
  </w:style>
  <w:style w:type="character" w:customStyle="1" w:styleId="64">
    <w:name w:val="段 Char"/>
    <w:qFormat/>
    <w:uiPriority w:val="0"/>
    <w:rPr>
      <w:rFonts w:ascii="宋体"/>
      <w:sz w:val="21"/>
      <w:lang w:val="en-US" w:eastAsia="zh-CN" w:bidi="ar-SA"/>
    </w:rPr>
  </w:style>
  <w:style w:type="character" w:customStyle="1" w:styleId="65">
    <w:name w:val="fontstyle01"/>
    <w:qFormat/>
    <w:uiPriority w:val="0"/>
    <w:rPr>
      <w:rFonts w:hint="eastAsia" w:ascii="宋体" w:hAnsi="宋体" w:eastAsia="宋体"/>
      <w:color w:val="000000"/>
      <w:sz w:val="22"/>
      <w:szCs w:val="22"/>
    </w:rPr>
  </w:style>
  <w:style w:type="paragraph" w:styleId="66">
    <w:name w:val="List Paragraph"/>
    <w:basedOn w:val="1"/>
    <w:qFormat/>
    <w:uiPriority w:val="34"/>
    <w:pPr>
      <w:widowControl w:val="0"/>
      <w:ind w:firstLine="420" w:firstLineChars="200"/>
      <w:jc w:val="both"/>
    </w:pPr>
    <w:rPr>
      <w:kern w:val="2"/>
    </w:rPr>
  </w:style>
  <w:style w:type="paragraph" w:customStyle="1" w:styleId="67">
    <w:name w:val="附录五级条标题"/>
    <w:basedOn w:val="68"/>
    <w:next w:val="33"/>
    <w:qFormat/>
    <w:uiPriority w:val="0"/>
    <w:pPr>
      <w:outlineLvl w:val="6"/>
    </w:pPr>
  </w:style>
  <w:style w:type="paragraph" w:customStyle="1" w:styleId="68">
    <w:name w:val="附录四级条标题"/>
    <w:basedOn w:val="69"/>
    <w:next w:val="33"/>
    <w:qFormat/>
    <w:uiPriority w:val="0"/>
    <w:pPr>
      <w:outlineLvl w:val="5"/>
    </w:pPr>
  </w:style>
  <w:style w:type="paragraph" w:customStyle="1" w:styleId="69">
    <w:name w:val="附录三级条标题"/>
    <w:basedOn w:val="70"/>
    <w:next w:val="33"/>
    <w:qFormat/>
    <w:uiPriority w:val="0"/>
    <w:pPr>
      <w:outlineLvl w:val="4"/>
    </w:pPr>
  </w:style>
  <w:style w:type="paragraph" w:customStyle="1" w:styleId="70">
    <w:name w:val="附录二级条标题"/>
    <w:basedOn w:val="71"/>
    <w:next w:val="33"/>
    <w:qFormat/>
    <w:uiPriority w:val="0"/>
    <w:pPr>
      <w:ind w:left="0"/>
      <w:outlineLvl w:val="3"/>
    </w:pPr>
  </w:style>
  <w:style w:type="paragraph" w:customStyle="1" w:styleId="71">
    <w:name w:val="附录一级条标题"/>
    <w:basedOn w:val="72"/>
    <w:next w:val="33"/>
    <w:qFormat/>
    <w:uiPriority w:val="0"/>
    <w:pPr>
      <w:autoSpaceDN w:val="0"/>
      <w:spacing w:beforeLines="0" w:afterLines="0"/>
      <w:ind w:left="851"/>
      <w:outlineLvl w:val="2"/>
    </w:pPr>
  </w:style>
  <w:style w:type="paragraph" w:customStyle="1" w:styleId="72">
    <w:name w:val="附录章标题"/>
    <w:next w:val="3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5">
    <w:name w:val="fontstyle11"/>
    <w:basedOn w:val="23"/>
    <w:qFormat/>
    <w:uiPriority w:val="0"/>
    <w:rPr>
      <w:rFonts w:hint="default" w:ascii="TimesNewRomanPSMT" w:hAnsi="TimesNewRomanPSMT"/>
      <w:color w:val="000000"/>
      <w:sz w:val="22"/>
      <w:szCs w:val="22"/>
    </w:rPr>
  </w:style>
  <w:style w:type="character" w:customStyle="1" w:styleId="76">
    <w:name w:val="fontstyle31"/>
    <w:basedOn w:val="23"/>
    <w:qFormat/>
    <w:uiPriority w:val="0"/>
    <w:rPr>
      <w:rFonts w:hint="eastAsia" w:ascii="宋体" w:hAnsi="宋体" w:eastAsia="宋体"/>
      <w:color w:val="000000"/>
      <w:sz w:val="22"/>
      <w:szCs w:val="22"/>
    </w:rPr>
  </w:style>
  <w:style w:type="character" w:customStyle="1" w:styleId="77">
    <w:name w:val="正文文本缩进 2 字符"/>
    <w:basedOn w:val="23"/>
    <w:link w:val="14"/>
    <w:qFormat/>
    <w:uiPriority w:val="0"/>
    <w:rPr>
      <w:rFonts w:ascii="Times New Roman" w:hAnsi="Times New Roman" w:eastAsia="宋体" w:cs="Times New Roman"/>
      <w:kern w:val="0"/>
      <w:sz w:val="24"/>
      <w:szCs w:val="24"/>
    </w:rPr>
  </w:style>
  <w:style w:type="character" w:customStyle="1" w:styleId="78">
    <w:name w:val="未处理的提及1"/>
    <w:basedOn w:val="23"/>
    <w:semiHidden/>
    <w:unhideWhenUsed/>
    <w:qFormat/>
    <w:uiPriority w:val="99"/>
    <w:rPr>
      <w:color w:val="605E5C"/>
      <w:shd w:val="clear" w:color="auto" w:fill="E1DFDD"/>
    </w:rPr>
  </w:style>
  <w:style w:type="table" w:customStyle="1" w:styleId="79">
    <w:name w:val="网格表 1 浅色1"/>
    <w:basedOn w:val="2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80">
    <w:name w:val="网格型浅色1"/>
    <w:basedOn w:val="20"/>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81">
    <w:name w:val="修订1"/>
    <w:hidden/>
    <w:semiHidden/>
    <w:qFormat/>
    <w:uiPriority w:val="99"/>
    <w:rPr>
      <w:rFonts w:ascii="Times New Roman" w:hAnsi="Times New Roman" w:eastAsia="宋体" w:cs="Times New Roman"/>
      <w:sz w:val="24"/>
      <w:szCs w:val="24"/>
      <w:lang w:val="en-US" w:eastAsia="zh-CN" w:bidi="ar-SA"/>
    </w:rPr>
  </w:style>
  <w:style w:type="character" w:styleId="82">
    <w:name w:val="Placeholder Text"/>
    <w:basedOn w:val="23"/>
    <w:semiHidden/>
    <w:qFormat/>
    <w:uiPriority w:val="99"/>
    <w:rPr>
      <w:color w:val="808080"/>
    </w:rPr>
  </w:style>
  <w:style w:type="character" w:customStyle="1" w:styleId="83">
    <w:name w:val="标题 1 字符"/>
    <w:basedOn w:val="23"/>
    <w:link w:val="2"/>
    <w:qFormat/>
    <w:uiPriority w:val="9"/>
    <w:rPr>
      <w:rFonts w:eastAsia="黑体"/>
      <w:bCs/>
      <w:kern w:val="44"/>
      <w:sz w:val="28"/>
      <w:szCs w:val="44"/>
    </w:rPr>
  </w:style>
  <w:style w:type="character" w:customStyle="1" w:styleId="84">
    <w:name w:val="标题 2 字符"/>
    <w:basedOn w:val="23"/>
    <w:link w:val="3"/>
    <w:qFormat/>
    <w:uiPriority w:val="9"/>
    <w:rPr>
      <w:rFonts w:eastAsia="黑体" w:asciiTheme="minorHAnsi" w:hAnsiTheme="minorHAnsi" w:cstheme="majorBidi"/>
      <w:bCs/>
      <w:sz w:val="24"/>
      <w:szCs w:val="32"/>
    </w:rPr>
  </w:style>
  <w:style w:type="character" w:customStyle="1" w:styleId="85">
    <w:name w:val="标题 4 字符"/>
    <w:basedOn w:val="23"/>
    <w:link w:val="5"/>
    <w:semiHidden/>
    <w:qFormat/>
    <w:uiPriority w:val="9"/>
    <w:rPr>
      <w:rFonts w:asciiTheme="majorHAnsi" w:hAnsiTheme="majorHAnsi" w:eastAsiaTheme="majorEastAsia" w:cstheme="majorBidi"/>
      <w:b/>
      <w:bCs/>
      <w:sz w:val="28"/>
      <w:szCs w:val="28"/>
    </w:rPr>
  </w:style>
  <w:style w:type="character" w:customStyle="1" w:styleId="86">
    <w:name w:val="标题 5 字符"/>
    <w:basedOn w:val="23"/>
    <w:link w:val="6"/>
    <w:semiHidden/>
    <w:qFormat/>
    <w:uiPriority w:val="9"/>
    <w:rPr>
      <w:b/>
      <w:bCs/>
      <w:sz w:val="28"/>
      <w:szCs w:val="28"/>
    </w:rPr>
  </w:style>
  <w:style w:type="character" w:customStyle="1" w:styleId="87">
    <w:name w:val="标题 6 字符"/>
    <w:basedOn w:val="23"/>
    <w:link w:val="7"/>
    <w:semiHidden/>
    <w:qFormat/>
    <w:uiPriority w:val="9"/>
    <w:rPr>
      <w:rFonts w:asciiTheme="majorHAnsi" w:hAnsiTheme="majorHAnsi" w:eastAsiaTheme="majorEastAsia" w:cstheme="majorBidi"/>
      <w:b/>
      <w:bCs/>
      <w:sz w:val="24"/>
      <w:szCs w:val="24"/>
    </w:rPr>
  </w:style>
  <w:style w:type="character" w:customStyle="1" w:styleId="88">
    <w:name w:val="标题 7 字符"/>
    <w:basedOn w:val="23"/>
    <w:link w:val="8"/>
    <w:semiHidden/>
    <w:qFormat/>
    <w:uiPriority w:val="9"/>
    <w:rPr>
      <w:b/>
      <w:bCs/>
      <w:sz w:val="24"/>
      <w:szCs w:val="24"/>
    </w:rPr>
  </w:style>
  <w:style w:type="character" w:customStyle="1" w:styleId="89">
    <w:name w:val="标题 8 字符"/>
    <w:basedOn w:val="23"/>
    <w:link w:val="9"/>
    <w:semiHidden/>
    <w:qFormat/>
    <w:uiPriority w:val="9"/>
    <w:rPr>
      <w:rFonts w:asciiTheme="majorHAnsi" w:hAnsiTheme="majorHAnsi" w:eastAsiaTheme="majorEastAsia" w:cstheme="majorBidi"/>
      <w:sz w:val="24"/>
      <w:szCs w:val="24"/>
    </w:rPr>
  </w:style>
  <w:style w:type="character" w:customStyle="1" w:styleId="90">
    <w:name w:val="标题 9 字符"/>
    <w:basedOn w:val="23"/>
    <w:link w:val="10"/>
    <w:semiHidden/>
    <w:qFormat/>
    <w:uiPriority w:val="9"/>
    <w:rPr>
      <w:rFonts w:asciiTheme="majorHAnsi" w:hAnsiTheme="majorHAnsi" w:eastAsiaTheme="majorEastAsia" w:cstheme="majorBidi"/>
      <w:sz w:val="21"/>
      <w:szCs w:val="21"/>
    </w:rPr>
  </w:style>
  <w:style w:type="table" w:customStyle="1" w:styleId="91">
    <w:name w:val="网格型1"/>
    <w:basedOn w:val="2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C4AF3-7680-4305-9BA5-643B38A845D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4414</Words>
  <Characters>4611</Characters>
  <Lines>319</Lines>
  <Paragraphs>370</Paragraphs>
  <TotalTime>38</TotalTime>
  <ScaleCrop>false</ScaleCrop>
  <LinksUpToDate>false</LinksUpToDate>
  <CharactersWithSpaces>4622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2025-04-11T05:50:00Z</dcterms:created>
  <dc:creator>Windows 用户</dc:creator>
  <cp:lastModifiedBy>Verp迷途的羔羊</cp:lastModifiedBy>
  <cp:lastPrinted>2026-01-19T13:17:00Z</cp:lastPrinted>
  <dcterms:modified xsi:type="dcterms:W3CDTF">2026-05-12T11:14:53Z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F0E653052759423A856E1A2C0A599273_13</vt:lpwstr>
  </property>
  <property fmtid="{D5CDD505-2E9C-101B-9397-08002B2CF9AE}" pid="4" name="KSOTemplateDocerSaveRecord">
    <vt:lpwstr>eyJoZGlkIjoiMjE4OTVjNzUzNWVlNGE3YjI4M2Y5NTNiNTgzNWFjNzQiLCJ1c2VySWQiOiI0ODgwNTk1NjAifQ==</vt:lpwstr>
  </property>
</Properties>
</file>