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B71BB">
      <w:pPr>
        <w:jc w:val="center"/>
        <w:rPr>
          <w:rFonts w:hint="eastAsia" w:eastAsia="黑体"/>
          <w:color w:val="auto"/>
          <w:sz w:val="32"/>
          <w:szCs w:val="32"/>
          <w:lang w:val="en-US" w:eastAsia="zh-CN"/>
        </w:rPr>
      </w:pPr>
    </w:p>
    <w:p w14:paraId="0E90AEC0">
      <w:pPr>
        <w:jc w:val="center"/>
        <w:rPr>
          <w:rFonts w:hint="eastAsia" w:eastAsia="黑体"/>
          <w:color w:val="auto"/>
          <w:sz w:val="32"/>
          <w:szCs w:val="32"/>
          <w:lang w:val="en-US" w:eastAsia="zh-CN"/>
        </w:rPr>
      </w:pPr>
    </w:p>
    <w:p w14:paraId="7CACCCC6">
      <w:pPr>
        <w:jc w:val="center"/>
        <w:rPr>
          <w:rFonts w:hint="eastAsia" w:eastAsia="黑体"/>
          <w:color w:val="auto"/>
          <w:sz w:val="32"/>
          <w:szCs w:val="32"/>
          <w:lang w:val="en-US" w:eastAsia="zh-CN"/>
        </w:rPr>
      </w:pPr>
    </w:p>
    <w:p w14:paraId="24742D65">
      <w:pPr>
        <w:jc w:val="center"/>
        <w:rPr>
          <w:rFonts w:hint="eastAsia" w:eastAsia="黑体"/>
          <w:color w:val="auto"/>
          <w:sz w:val="32"/>
          <w:szCs w:val="32"/>
          <w:lang w:val="en-US" w:eastAsia="zh-CN"/>
        </w:rPr>
      </w:pPr>
    </w:p>
    <w:p w14:paraId="280891C5">
      <w:pPr>
        <w:jc w:val="center"/>
        <w:rPr>
          <w:rFonts w:hint="eastAsia" w:eastAsia="黑体"/>
          <w:color w:val="auto"/>
          <w:sz w:val="32"/>
          <w:szCs w:val="32"/>
          <w:lang w:val="en-US" w:eastAsia="zh-CN"/>
        </w:rPr>
      </w:pPr>
    </w:p>
    <w:p w14:paraId="745B42C8">
      <w:pPr>
        <w:jc w:val="center"/>
        <w:rPr>
          <w:rFonts w:hint="eastAsia" w:eastAsia="黑体"/>
          <w:color w:val="auto"/>
          <w:sz w:val="44"/>
          <w:szCs w:val="44"/>
          <w:lang w:val="en-US" w:eastAsia="zh-CN"/>
        </w:rPr>
      </w:pPr>
    </w:p>
    <w:p w14:paraId="2CF19E5A">
      <w:pPr>
        <w:framePr w:w="9724" w:hSpace="181" w:wrap="notBeside" w:vAnchor="page" w:hAnchor="page" w:x="1000" w:y="5441" w:anchorLock="1"/>
        <w:jc w:val="center"/>
        <w:rPr>
          <w:rFonts w:hint="eastAsia" w:eastAsia="黑体"/>
          <w:color w:val="auto"/>
          <w:sz w:val="44"/>
          <w:szCs w:val="44"/>
          <w:lang w:val="en-US" w:eastAsia="zh-CN"/>
        </w:rPr>
      </w:pPr>
      <w:r>
        <w:rPr>
          <w:rFonts w:hint="eastAsia" w:eastAsia="黑体"/>
          <w:color w:val="auto"/>
          <w:sz w:val="44"/>
          <w:szCs w:val="44"/>
          <w:lang w:val="en-US" w:eastAsia="zh-CN"/>
        </w:rPr>
        <w:t>行业标准</w:t>
      </w:r>
    </w:p>
    <w:p w14:paraId="589F3EB3">
      <w:pPr>
        <w:framePr w:w="9724" w:hSpace="181" w:wrap="notBeside" w:vAnchor="page" w:hAnchor="page" w:x="1000" w:y="5441" w:anchorLock="1"/>
        <w:pBdr>
          <w:top w:val="none" w:color="auto" w:sz="0" w:space="0"/>
          <w:left w:val="none" w:color="auto" w:sz="0" w:space="0"/>
          <w:bottom w:val="none" w:color="auto" w:sz="0" w:space="0"/>
          <w:right w:val="none" w:color="auto" w:sz="0" w:space="0"/>
        </w:pBdr>
        <w:jc w:val="both"/>
        <w:rPr>
          <w:rFonts w:hint="eastAsia" w:eastAsia="黑体"/>
          <w:color w:val="auto"/>
          <w:sz w:val="44"/>
          <w:szCs w:val="44"/>
          <w:lang w:val="en-US" w:eastAsia="zh-CN"/>
        </w:rPr>
      </w:pPr>
      <w:r>
        <w:rPr>
          <w:rFonts w:hint="eastAsia" w:eastAsia="黑体"/>
          <w:color w:val="auto"/>
          <w:sz w:val="44"/>
          <w:szCs w:val="44"/>
          <w:lang w:val="en-US" w:eastAsia="zh-CN"/>
        </w:rPr>
        <w:t>《有色金属加工企业竖炉热平衡测试与计算方法》</w:t>
      </w:r>
    </w:p>
    <w:p w14:paraId="25B5B89A">
      <w:pPr>
        <w:jc w:val="center"/>
        <w:rPr>
          <w:rFonts w:hint="eastAsia" w:eastAsia="黑体"/>
          <w:color w:val="auto"/>
          <w:sz w:val="44"/>
          <w:szCs w:val="44"/>
          <w:lang w:val="en-US" w:eastAsia="zh-CN"/>
        </w:rPr>
      </w:pPr>
      <w:r>
        <w:rPr>
          <w:rFonts w:hint="eastAsia" w:eastAsia="黑体"/>
          <w:color w:val="auto"/>
          <w:sz w:val="44"/>
          <w:szCs w:val="44"/>
          <w:lang w:val="en-US" w:eastAsia="zh-CN"/>
        </w:rPr>
        <w:t>编制说明</w:t>
      </w:r>
    </w:p>
    <w:p w14:paraId="32033B0C">
      <w:pPr>
        <w:pStyle w:val="6"/>
        <w:rPr>
          <w:rFonts w:hint="eastAsia"/>
          <w:lang w:val="en-US" w:eastAsia="zh-CN"/>
        </w:rPr>
      </w:pPr>
    </w:p>
    <w:p w14:paraId="39BCA1E2">
      <w:pPr>
        <w:jc w:val="center"/>
        <w:rPr>
          <w:rFonts w:hint="eastAsia" w:eastAsia="黑体"/>
          <w:color w:val="auto"/>
          <w:sz w:val="32"/>
          <w:szCs w:val="32"/>
          <w:lang w:val="en-US" w:eastAsia="zh-CN"/>
        </w:rPr>
      </w:pPr>
      <w:r>
        <w:rPr>
          <w:rFonts w:hint="eastAsia" w:eastAsia="黑体"/>
          <w:color w:val="auto"/>
          <w:sz w:val="32"/>
          <w:szCs w:val="32"/>
          <w:lang w:val="en-US" w:eastAsia="zh-CN"/>
        </w:rPr>
        <w:t>（讨论稿）</w:t>
      </w:r>
    </w:p>
    <w:p w14:paraId="232F7EDE">
      <w:pPr>
        <w:jc w:val="center"/>
        <w:rPr>
          <w:rFonts w:hint="eastAsia" w:eastAsia="黑体"/>
          <w:color w:val="auto"/>
          <w:sz w:val="28"/>
          <w:szCs w:val="28"/>
          <w:lang w:val="en-US" w:eastAsia="zh-CN"/>
        </w:rPr>
      </w:pPr>
    </w:p>
    <w:p w14:paraId="61B40AA1">
      <w:pPr>
        <w:jc w:val="center"/>
        <w:rPr>
          <w:rFonts w:hint="eastAsia" w:eastAsia="黑体"/>
          <w:color w:val="auto"/>
          <w:sz w:val="28"/>
          <w:szCs w:val="28"/>
          <w:lang w:val="en-US" w:eastAsia="zh-CN"/>
        </w:rPr>
      </w:pPr>
    </w:p>
    <w:p w14:paraId="6688907D">
      <w:pPr>
        <w:jc w:val="center"/>
        <w:rPr>
          <w:rFonts w:hint="eastAsia" w:eastAsia="黑体"/>
          <w:color w:val="auto"/>
          <w:sz w:val="28"/>
          <w:szCs w:val="28"/>
          <w:lang w:val="en-US" w:eastAsia="zh-CN"/>
        </w:rPr>
      </w:pPr>
    </w:p>
    <w:p w14:paraId="456B2297">
      <w:pPr>
        <w:pStyle w:val="6"/>
        <w:rPr>
          <w:rFonts w:hint="eastAsia" w:eastAsia="黑体"/>
          <w:color w:val="auto"/>
          <w:sz w:val="28"/>
          <w:szCs w:val="28"/>
          <w:lang w:val="en-US" w:eastAsia="zh-CN"/>
        </w:rPr>
      </w:pPr>
    </w:p>
    <w:p w14:paraId="2ED62247">
      <w:pPr>
        <w:pStyle w:val="6"/>
        <w:rPr>
          <w:rFonts w:hint="eastAsia" w:eastAsia="黑体"/>
          <w:color w:val="auto"/>
          <w:sz w:val="28"/>
          <w:szCs w:val="28"/>
          <w:lang w:val="en-US" w:eastAsia="zh-CN"/>
        </w:rPr>
      </w:pPr>
    </w:p>
    <w:p w14:paraId="3E0FA731">
      <w:pPr>
        <w:jc w:val="center"/>
        <w:rPr>
          <w:rFonts w:hint="eastAsia" w:eastAsia="黑体"/>
          <w:color w:val="auto"/>
          <w:sz w:val="28"/>
          <w:szCs w:val="28"/>
          <w:lang w:val="en-US" w:eastAsia="zh-CN"/>
        </w:rPr>
      </w:pPr>
    </w:p>
    <w:p w14:paraId="7100C042">
      <w:pPr>
        <w:jc w:val="center"/>
        <w:rPr>
          <w:rFonts w:hint="eastAsia" w:eastAsia="黑体"/>
          <w:color w:val="auto"/>
          <w:sz w:val="28"/>
          <w:szCs w:val="28"/>
          <w:lang w:val="en-US" w:eastAsia="zh-CN"/>
        </w:rPr>
      </w:pPr>
    </w:p>
    <w:p w14:paraId="2D5477F5">
      <w:pPr>
        <w:jc w:val="center"/>
        <w:rPr>
          <w:rFonts w:hint="eastAsia" w:eastAsia="黑体"/>
          <w:color w:val="auto"/>
          <w:sz w:val="32"/>
          <w:szCs w:val="32"/>
          <w:lang w:val="en-US" w:eastAsia="zh-CN"/>
        </w:rPr>
      </w:pPr>
      <w:r>
        <w:rPr>
          <w:rFonts w:hint="eastAsia" w:eastAsia="黑体"/>
          <w:color w:val="auto"/>
          <w:sz w:val="32"/>
          <w:szCs w:val="32"/>
          <w:lang w:val="en-US" w:eastAsia="zh-CN"/>
        </w:rPr>
        <w:t>江西铜业股份有限公司</w:t>
      </w:r>
    </w:p>
    <w:p w14:paraId="31C3E232">
      <w:pPr>
        <w:jc w:val="center"/>
        <w:rPr>
          <w:rFonts w:hint="default" w:eastAsia="黑体"/>
          <w:color w:val="auto"/>
          <w:sz w:val="28"/>
          <w:szCs w:val="28"/>
          <w:lang w:val="en-US" w:eastAsia="zh-CN"/>
        </w:rPr>
      </w:pPr>
      <w:r>
        <w:rPr>
          <w:rFonts w:hint="eastAsia" w:eastAsia="黑体"/>
          <w:color w:val="auto"/>
          <w:sz w:val="32"/>
          <w:szCs w:val="32"/>
          <w:lang w:val="en-US" w:eastAsia="zh-CN"/>
        </w:rPr>
        <w:t>2026年4月</w:t>
      </w:r>
      <w:r>
        <w:rPr>
          <w:rFonts w:hint="eastAsia" w:eastAsia="黑体"/>
          <w:color w:val="auto"/>
          <w:sz w:val="28"/>
          <w:szCs w:val="28"/>
          <w:lang w:val="en-US" w:eastAsia="zh-CN"/>
        </w:rPr>
        <w:br w:type="page"/>
      </w:r>
    </w:p>
    <w:p w14:paraId="5EA7A139">
      <w:pPr>
        <w:jc w:val="cente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行业标准《有色金属加工企业竖炉热平衡测试与计算方法》编制说明</w:t>
      </w:r>
    </w:p>
    <w:p w14:paraId="6616A143">
      <w:pPr>
        <w:jc w:val="cente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（讨论稿）</w:t>
      </w:r>
    </w:p>
    <w:p w14:paraId="3756C510">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709B2328">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3A4E5F8D">
      <w:pPr>
        <w:pStyle w:val="6"/>
        <w:ind w:left="0" w:leftChars="0"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计划批准文件名称、文号：《</w:t>
      </w:r>
      <w:r>
        <w:rPr>
          <w:rFonts w:hint="default" w:ascii="宋体" w:hAnsi="宋体" w:eastAsiaTheme="minorEastAsia" w:cstheme="minorBidi"/>
          <w:color w:val="auto"/>
          <w:kern w:val="2"/>
          <w:sz w:val="21"/>
          <w:szCs w:val="21"/>
          <w:lang w:val="en-US" w:eastAsia="zh-CN" w:bidi="ar-SA"/>
        </w:rPr>
        <w:t>工信厅科函〔2026〕105号-关于印发2026年第一批行业标准制修订和外文版项目计划的通知</w:t>
      </w:r>
      <w:r>
        <w:rPr>
          <w:rFonts w:hint="eastAsia" w:ascii="宋体" w:hAnsi="宋体" w:eastAsiaTheme="minorEastAsia" w:cstheme="minorBidi"/>
          <w:color w:val="auto"/>
          <w:kern w:val="2"/>
          <w:sz w:val="21"/>
          <w:szCs w:val="21"/>
          <w:lang w:val="en-US" w:eastAsia="zh-CN" w:bidi="ar-SA"/>
        </w:rPr>
        <w:t>》</w:t>
      </w:r>
    </w:p>
    <w:p w14:paraId="620CCCB5">
      <w:pPr>
        <w:pStyle w:val="6"/>
        <w:ind w:left="0" w:leftChars="0"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项目编号：2026-0022T-YS</w:t>
      </w:r>
    </w:p>
    <w:p w14:paraId="42EEC068">
      <w:pPr>
        <w:pStyle w:val="6"/>
        <w:ind w:left="0" w:leftChars="0"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项目名称：《有色金属加工企业竖炉热平衡测试与计算方法》</w:t>
      </w:r>
    </w:p>
    <w:p w14:paraId="24C94707">
      <w:pPr>
        <w:pStyle w:val="6"/>
        <w:ind w:left="0" w:leftChars="0"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计划完成年限：2026年5月1日至2027年4月30日</w:t>
      </w:r>
    </w:p>
    <w:p w14:paraId="13F0CFA6">
      <w:pPr>
        <w:pStyle w:val="6"/>
        <w:ind w:left="0" w:leftChars="0" w:firstLine="420" w:firstLineChars="200"/>
        <w:rPr>
          <w:rFonts w:hint="default"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编制组成员（单位）情况</w:t>
      </w:r>
      <w:r>
        <w:rPr>
          <w:rFonts w:hint="eastAsia" w:ascii="宋体" w:hAnsi="宋体" w:eastAsiaTheme="minorEastAsia" w:cstheme="minorBidi"/>
          <w:color w:val="auto"/>
          <w:kern w:val="2"/>
          <w:sz w:val="21"/>
          <w:szCs w:val="21"/>
          <w:lang w:val="en-US" w:eastAsia="zh-CN" w:bidi="ar-SA"/>
        </w:rPr>
        <w:t>：江西铜业股份有限公司、中铜（昆明）铜业有限公司、铜陵有色金属集团股份有限公司、</w:t>
      </w:r>
      <w:bookmarkStart w:id="5" w:name="_GoBack"/>
      <w:bookmarkEnd w:id="5"/>
      <w:r>
        <w:rPr>
          <w:rFonts w:hint="eastAsia" w:ascii="宋体" w:hAnsi="宋体" w:eastAsiaTheme="minorEastAsia" w:cstheme="minorBidi"/>
          <w:color w:val="auto"/>
          <w:kern w:val="2"/>
          <w:sz w:val="21"/>
          <w:szCs w:val="21"/>
          <w:lang w:val="en-US" w:eastAsia="zh-CN" w:bidi="ar-SA"/>
        </w:rPr>
        <w:t>宁波金田铜业 (集团)股份有限公司</w:t>
      </w:r>
    </w:p>
    <w:p w14:paraId="02266FE9">
      <w:pPr>
        <w:pStyle w:val="19"/>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53591D18">
      <w:pPr>
        <w:pStyle w:val="6"/>
        <w:ind w:left="0" w:leftChars="0" w:firstLine="420" w:firstLineChars="200"/>
        <w:rPr>
          <w:rFonts w:hint="default"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推动行业绿色可持续发展：铜材加工竖炉作为高能耗设备，其消耗的能源成本占加工成本的5-6成左右，在国内铜材加工产能过剩、竞争白热化的今天，其能源利用效率直接影响行业的可持续发展。统一的热平衡测定与计算标准有助于企业发现能源浪费环节，采取针对性的节能措施，降低能源消耗和温室气体排放，推动整个铜材加工行业向绿色低碳方向转型，实现可持续发展。</w:t>
      </w:r>
    </w:p>
    <w:p w14:paraId="5129DF39">
      <w:pPr>
        <w:pStyle w:val="6"/>
        <w:ind w:left="0" w:leftChars="0" w:firstLine="420" w:firstLineChars="200"/>
        <w:rPr>
          <w:rFonts w:hint="default"/>
          <w:lang w:val="en-US" w:eastAsia="zh-CN"/>
        </w:rPr>
      </w:pPr>
      <w:r>
        <w:rPr>
          <w:rFonts w:hint="default" w:ascii="宋体" w:hAnsi="宋体" w:eastAsiaTheme="minorEastAsia" w:cstheme="minorBidi"/>
          <w:color w:val="auto"/>
          <w:kern w:val="2"/>
          <w:sz w:val="21"/>
          <w:szCs w:val="21"/>
          <w:lang w:val="en-US" w:eastAsia="zh-CN" w:bidi="ar-SA"/>
        </w:rPr>
        <w:t>提升行业整体技术水平：当前竖炉整体燃烧和控制环节热利用效率低，在其他行业已广泛应用的先进技术未在竖炉上得到采用，标准的制定和实施将促进企业积极采用先进的燃烧技术和设备、余热利用设备、热工测量技术和设备，提高热平衡测定的精度和效率。同时，促使企业加强对竖炉热工原理的研究和应用，推动行业技术创新，提升整体技术水平。</w:t>
      </w:r>
    </w:p>
    <w:p w14:paraId="61A9DD7C">
      <w:pPr>
        <w:pStyle w:val="19"/>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47E24B51">
      <w:pPr>
        <w:pStyle w:val="6"/>
        <w:ind w:firstLine="420" w:firstLineChars="200"/>
        <w:rPr>
          <w:rFonts w:hint="default"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sz w:val="21"/>
          <w:szCs w:val="21"/>
          <w:lang w:val="en-US" w:eastAsia="zh-CN"/>
        </w:rPr>
        <w:t>本标准由</w:t>
      </w:r>
      <w:r>
        <w:rPr>
          <w:rFonts w:hint="eastAsia" w:ascii="宋体" w:hAnsi="宋体" w:eastAsiaTheme="minorEastAsia" w:cstheme="minorBidi"/>
          <w:color w:val="auto"/>
          <w:kern w:val="2"/>
          <w:sz w:val="21"/>
          <w:szCs w:val="21"/>
          <w:lang w:val="en-US" w:eastAsia="zh-CN" w:bidi="ar-SA"/>
        </w:rPr>
        <w:t>江西铜业股份有限公</w:t>
      </w:r>
      <w:r>
        <w:rPr>
          <w:rFonts w:hint="default" w:ascii="宋体" w:hAnsi="宋体" w:eastAsiaTheme="minorEastAsia" w:cstheme="minorBidi"/>
          <w:color w:val="auto"/>
          <w:kern w:val="2"/>
          <w:sz w:val="21"/>
          <w:szCs w:val="21"/>
          <w:lang w:val="en-US" w:eastAsia="zh-CN" w:bidi="ar-SA"/>
        </w:rPr>
        <w:t>司牵头，**公司参与。</w:t>
      </w:r>
    </w:p>
    <w:p w14:paraId="1366757B">
      <w:pPr>
        <w:pStyle w:val="6"/>
        <w:ind w:firstLine="420" w:firstLineChars="200"/>
        <w:rPr>
          <w:rFonts w:hint="default"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江西铜业股份有限公司（简称“江铜”）成立于1979年，并于1997年在香港、伦敦同时上市，成为国内首支境外上市矿业股，也是中国铜行业和江西省首家世界500强企业。2019年，江铜成功完成恒邦股份控股控股收购；由江铜作为主要股东的佳鑫国际资源投资有限公司于2025年8月28日正式在香港联交所主板、阿斯塔纳国际交易所“一带一路”板同步上市，江铜旗下上市公司增至三家。2025年，江铜实现营业收入5735亿元，利润107亿元，现位列《财富》世界500强第165位。目前，江铜在铜以及相关有色金属领域，拥有勘探、采矿、选矿、冶炼、加工为一体的全产业链，形成了江西（鄱阳湖生态区）、环黄渤海地区、长三角地区、粤港澳大湾区、中亚五大产业基地，实现了沿江、沿海T字型产业布局，建立了覆盖全国、辐射海外的投资、金融和贸易等多元产业，旗下拥有138个成员单位。江铜产品质量优良，拥有多个“世界名牌”产品。主要涵盖阴极铜、黄金、白银、铅锌、硫酸等冶炼产品，钼、硒、碲、铼、铂、钯、铋等稀贵稀散金属产品，高端铜箔、铜板带、铜管、高压电缆、铜银合金细线、铜杆等铜加工产品，单壁碳纳米管、石墨-铜（铝）复合材料等新型材料产品，阳极炉圆盘浇铸机、球磨机衬板、高分子PE管材等制造产品，共100余品种，其中，“江铜牌”和“贵冶牌”阴极铜为伦敦金属交易所注册产品，“江铜牌”黄金、白银为伦敦金银市场协会注册产品。展望未来，江铜将围绕“主业聚焦、创新突破，高质发展、迈向一流”战略方针，坚持四大发展原则，全力推进十大产业体系转型升级，加快与供应链创新链价值链的深入融合，全面构建以上市公司为主体的产业集群，坚定不移做实、做强、做优、做大实体经济，通过不断追求卓越，至2030年，基本建成具有全球核心竞争力世界一流企业。</w:t>
      </w:r>
    </w:p>
    <w:p w14:paraId="1C636B47">
      <w:pPr>
        <w:ind w:firstLine="600"/>
        <w:rPr>
          <w:rFonts w:hint="default" w:ascii="宋体" w:hAnsi="宋体" w:eastAsiaTheme="minorEastAsia" w:cstheme="minorBidi"/>
          <w:color w:val="auto"/>
          <w:kern w:val="2"/>
          <w:sz w:val="21"/>
          <w:szCs w:val="21"/>
          <w:lang w:val="en-US" w:eastAsia="zh-CN" w:bidi="ar-SA"/>
        </w:rPr>
      </w:pPr>
      <w:r>
        <w:rPr>
          <w:rFonts w:hint="default" w:ascii="Times New Roman" w:hAnsi="Times New Roman" w:eastAsia="宋体" w:cs="Times New Roman"/>
          <w:lang w:val="en-US" w:eastAsia="zh-CN"/>
        </w:rPr>
        <w:t>本标准主要工作成员所负责的工作情况见表1。</w:t>
      </w:r>
    </w:p>
    <w:p w14:paraId="7FAA808C">
      <w:pPr>
        <w:ind w:firstLine="0" w:firstLineChars="0"/>
        <w:jc w:val="center"/>
        <w:rPr>
          <w:rFonts w:hint="default" w:hAnsi="黑体" w:cs="黑体"/>
          <w:color w:val="auto"/>
          <w:kern w:val="2"/>
          <w:sz w:val="21"/>
          <w:szCs w:val="21"/>
          <w:lang w:val="en-US" w:eastAsia="zh-CN" w:bidi="ar-SA"/>
        </w:rPr>
      </w:pPr>
      <w:r>
        <w:rPr>
          <w:rFonts w:hint="default" w:ascii="Times New Roman" w:hAnsi="Times New Roman" w:eastAsia="黑体" w:cs="Times New Roman"/>
          <w:b w:val="0"/>
          <w:bCs w:val="0"/>
          <w:color w:val="auto"/>
          <w:kern w:val="0"/>
          <w:sz w:val="21"/>
          <w:szCs w:val="21"/>
          <w:lang w:val="en-US" w:eastAsia="zh-CN" w:bidi="ar-SA"/>
        </w:rPr>
        <w:t>表1 主要工作成员所负责的工作情况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439"/>
        <w:gridCol w:w="1427"/>
        <w:gridCol w:w="3888"/>
      </w:tblGrid>
      <w:tr w14:paraId="3B08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1220C7E3">
            <w:pPr>
              <w:pStyle w:val="6"/>
              <w:rPr>
                <w:rFonts w:hint="default"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序号</w:t>
            </w:r>
          </w:p>
        </w:tc>
        <w:tc>
          <w:tcPr>
            <w:tcW w:w="2439" w:type="dxa"/>
          </w:tcPr>
          <w:p w14:paraId="7065E039">
            <w:pPr>
              <w:pStyle w:val="6"/>
              <w:rPr>
                <w:rFonts w:hint="default"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单位名称</w:t>
            </w:r>
          </w:p>
        </w:tc>
        <w:tc>
          <w:tcPr>
            <w:tcW w:w="1427" w:type="dxa"/>
          </w:tcPr>
          <w:p w14:paraId="0AAC1702">
            <w:pPr>
              <w:pStyle w:val="6"/>
              <w:rPr>
                <w:rFonts w:hint="default" w:hAnsi="黑体" w:cs="黑体" w:asciiTheme="minorHAnsi"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起草人</w:t>
            </w:r>
          </w:p>
        </w:tc>
        <w:tc>
          <w:tcPr>
            <w:tcW w:w="3888" w:type="dxa"/>
          </w:tcPr>
          <w:p w14:paraId="56DD7CAB">
            <w:pPr>
              <w:pStyle w:val="6"/>
              <w:rPr>
                <w:rFonts w:hint="default" w:hAnsi="黑体" w:cs="黑体" w:asciiTheme="minorHAnsi"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负责工作</w:t>
            </w:r>
          </w:p>
        </w:tc>
      </w:tr>
      <w:tr w14:paraId="3E42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50A5A50E">
            <w:pPr>
              <w:pStyle w:val="6"/>
              <w:rPr>
                <w:rFonts w:hint="default" w:hAnsi="黑体" w:cs="黑体" w:asciiTheme="minorHAnsi"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1</w:t>
            </w:r>
          </w:p>
        </w:tc>
        <w:tc>
          <w:tcPr>
            <w:tcW w:w="2439" w:type="dxa"/>
          </w:tcPr>
          <w:p w14:paraId="6535D34F">
            <w:pPr>
              <w:pStyle w:val="6"/>
              <w:rPr>
                <w:rFonts w:hint="default" w:hAnsi="黑体" w:cs="黑体" w:asciiTheme="minorHAnsi"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江西铜业股份有限公司</w:t>
            </w:r>
          </w:p>
        </w:tc>
        <w:tc>
          <w:tcPr>
            <w:tcW w:w="1427" w:type="dxa"/>
          </w:tcPr>
          <w:p w14:paraId="55A9AB02">
            <w:pPr>
              <w:pStyle w:val="6"/>
              <w:rPr>
                <w:rFonts w:hint="default" w:hAnsi="黑体" w:cs="黑体" w:asciiTheme="minorHAnsi"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吴才权</w:t>
            </w:r>
          </w:p>
        </w:tc>
        <w:tc>
          <w:tcPr>
            <w:tcW w:w="3888" w:type="dxa"/>
          </w:tcPr>
          <w:p w14:paraId="3BFFB7DD">
            <w:pPr>
              <w:pStyle w:val="6"/>
              <w:rPr>
                <w:rFonts w:hint="default" w:hAnsi="黑体" w:cs="黑体" w:asciiTheme="minorHAnsi" w:eastAsiaTheme="minorEastAsia"/>
                <w:color w:val="auto"/>
                <w:kern w:val="2"/>
                <w:sz w:val="21"/>
                <w:szCs w:val="21"/>
                <w:lang w:val="en-US" w:eastAsia="zh-CN" w:bidi="ar-SA"/>
              </w:rPr>
            </w:pPr>
            <w:r>
              <w:rPr>
                <w:rFonts w:hint="default" w:ascii="Times New Roman" w:hAnsi="Times New Roman" w:eastAsia="宋体" w:cs="Times New Roman"/>
                <w:kern w:val="2"/>
                <w:sz w:val="18"/>
                <w:szCs w:val="18"/>
                <w:vertAlign w:val="baseline"/>
                <w:lang w:val="en-US" w:eastAsia="zh-CN"/>
              </w:rPr>
              <w:t>负责标准编写与工作汇报</w:t>
            </w:r>
          </w:p>
        </w:tc>
      </w:tr>
      <w:tr w14:paraId="75B2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2B5A3A4B">
            <w:pPr>
              <w:pStyle w:val="6"/>
              <w:rPr>
                <w:rFonts w:hint="default" w:hAnsi="黑体" w:cs="黑体" w:asciiTheme="minorHAnsi"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2</w:t>
            </w:r>
          </w:p>
        </w:tc>
        <w:tc>
          <w:tcPr>
            <w:tcW w:w="2439" w:type="dxa"/>
          </w:tcPr>
          <w:p w14:paraId="2FC84162">
            <w:pPr>
              <w:pStyle w:val="6"/>
              <w:rPr>
                <w:rFonts w:hint="default" w:hAnsi="黑体" w:cs="黑体" w:asciiTheme="minorHAnsi"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江西铜业股份有限公司</w:t>
            </w:r>
          </w:p>
        </w:tc>
        <w:tc>
          <w:tcPr>
            <w:tcW w:w="1427" w:type="dxa"/>
          </w:tcPr>
          <w:p w14:paraId="1E312560">
            <w:pPr>
              <w:pStyle w:val="6"/>
              <w:rPr>
                <w:rFonts w:hint="default" w:hAnsi="黑体" w:cs="黑体" w:asciiTheme="minorHAnsi"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伍锡皇，李世银，何国辉</w:t>
            </w:r>
          </w:p>
        </w:tc>
        <w:tc>
          <w:tcPr>
            <w:tcW w:w="3888" w:type="dxa"/>
          </w:tcPr>
          <w:p w14:paraId="113F9FF4">
            <w:pPr>
              <w:pStyle w:val="6"/>
              <w:rPr>
                <w:rFonts w:hint="default" w:hAnsi="黑体" w:cs="黑体" w:asciiTheme="minorHAnsi" w:eastAsiaTheme="minorEastAsia"/>
                <w:color w:val="auto"/>
                <w:kern w:val="2"/>
                <w:sz w:val="21"/>
                <w:szCs w:val="21"/>
                <w:lang w:val="en-US" w:eastAsia="zh-CN" w:bidi="ar-SA"/>
              </w:rPr>
            </w:pPr>
            <w:r>
              <w:rPr>
                <w:rFonts w:hint="default" w:ascii="Times New Roman" w:hAnsi="Times New Roman" w:eastAsia="宋体" w:cs="Times New Roman"/>
                <w:kern w:val="2"/>
                <w:sz w:val="18"/>
                <w:szCs w:val="18"/>
                <w:vertAlign w:val="baseline"/>
                <w:lang w:val="en-US" w:eastAsia="zh-CN"/>
              </w:rPr>
              <w:t>标准编制过程质量把关及指导</w:t>
            </w:r>
          </w:p>
        </w:tc>
      </w:tr>
      <w:tr w14:paraId="722B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dxa"/>
          </w:tcPr>
          <w:p w14:paraId="4BD77ED6">
            <w:pPr>
              <w:pStyle w:val="6"/>
              <w:rPr>
                <w:rFonts w:hint="default" w:hAnsi="黑体" w:cs="黑体" w:asciiTheme="minorHAnsi"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3</w:t>
            </w:r>
          </w:p>
        </w:tc>
        <w:tc>
          <w:tcPr>
            <w:tcW w:w="2439" w:type="dxa"/>
          </w:tcPr>
          <w:p w14:paraId="5D0BC350">
            <w:pPr>
              <w:pStyle w:val="6"/>
              <w:rPr>
                <w:rFonts w:hint="default" w:hAnsi="黑体" w:cs="黑体" w:asciiTheme="minorHAnsi" w:eastAsiaTheme="minorEastAsia"/>
                <w:color w:val="auto"/>
                <w:kern w:val="2"/>
                <w:sz w:val="21"/>
                <w:szCs w:val="21"/>
                <w:lang w:val="en-US" w:eastAsia="zh-CN" w:bidi="ar-SA"/>
              </w:rPr>
            </w:pPr>
          </w:p>
        </w:tc>
        <w:tc>
          <w:tcPr>
            <w:tcW w:w="1427" w:type="dxa"/>
          </w:tcPr>
          <w:p w14:paraId="64D2459A">
            <w:pPr>
              <w:pStyle w:val="6"/>
              <w:rPr>
                <w:rFonts w:hint="default" w:hAnsi="黑体" w:cs="黑体" w:asciiTheme="minorHAnsi" w:eastAsiaTheme="minorEastAsia"/>
                <w:color w:val="auto"/>
                <w:kern w:val="2"/>
                <w:sz w:val="21"/>
                <w:szCs w:val="21"/>
                <w:lang w:val="en-US" w:eastAsia="zh-CN" w:bidi="ar-SA"/>
              </w:rPr>
            </w:pPr>
          </w:p>
        </w:tc>
        <w:tc>
          <w:tcPr>
            <w:tcW w:w="3888" w:type="dxa"/>
            <w:vAlign w:val="center"/>
          </w:tcPr>
          <w:p w14:paraId="20C8CD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default" w:ascii="Times New Roman" w:hAnsi="Times New Roman" w:eastAsia="宋体" w:cs="Times New Roman"/>
                <w:kern w:val="2"/>
                <w:sz w:val="18"/>
                <w:szCs w:val="18"/>
                <w:vertAlign w:val="baseline"/>
                <w:lang w:val="en-US" w:eastAsia="zh-CN" w:bidi="ar-SA"/>
              </w:rPr>
            </w:pPr>
          </w:p>
        </w:tc>
      </w:tr>
      <w:tr w14:paraId="2A3E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5396C545">
            <w:pPr>
              <w:pStyle w:val="6"/>
              <w:rPr>
                <w:rFonts w:hint="eastAsia" w:hAnsi="黑体" w:cs="黑体" w:eastAsiaTheme="minorEastAsia"/>
                <w:color w:val="auto"/>
                <w:kern w:val="2"/>
                <w:sz w:val="21"/>
                <w:szCs w:val="21"/>
                <w:lang w:val="en-US" w:eastAsia="zh-CN" w:bidi="ar-SA"/>
              </w:rPr>
            </w:pPr>
          </w:p>
        </w:tc>
        <w:tc>
          <w:tcPr>
            <w:tcW w:w="2439" w:type="dxa"/>
          </w:tcPr>
          <w:p w14:paraId="70B9A15C">
            <w:pPr>
              <w:pStyle w:val="6"/>
              <w:rPr>
                <w:rFonts w:hint="default" w:hAnsi="黑体" w:cs="黑体" w:asciiTheme="minorHAnsi" w:eastAsiaTheme="minorEastAsia"/>
                <w:color w:val="auto"/>
                <w:kern w:val="2"/>
                <w:sz w:val="21"/>
                <w:szCs w:val="21"/>
                <w:lang w:val="en-US" w:eastAsia="zh-CN" w:bidi="ar-SA"/>
              </w:rPr>
            </w:pPr>
          </w:p>
        </w:tc>
        <w:tc>
          <w:tcPr>
            <w:tcW w:w="1427" w:type="dxa"/>
          </w:tcPr>
          <w:p w14:paraId="4C6A06CD">
            <w:pPr>
              <w:pStyle w:val="6"/>
              <w:rPr>
                <w:rFonts w:hint="default" w:hAnsi="黑体" w:cs="黑体" w:asciiTheme="minorHAnsi" w:eastAsiaTheme="minorEastAsia"/>
                <w:color w:val="auto"/>
                <w:kern w:val="2"/>
                <w:sz w:val="21"/>
                <w:szCs w:val="21"/>
                <w:lang w:val="en-US" w:eastAsia="zh-CN" w:bidi="ar-SA"/>
              </w:rPr>
            </w:pPr>
          </w:p>
        </w:tc>
        <w:tc>
          <w:tcPr>
            <w:tcW w:w="3888" w:type="dxa"/>
            <w:vAlign w:val="center"/>
          </w:tcPr>
          <w:p w14:paraId="3ED551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rPr>
                <w:rFonts w:hint="default" w:ascii="Times New Roman" w:hAnsi="Times New Roman" w:eastAsia="宋体" w:cs="Times New Roman"/>
                <w:kern w:val="2"/>
                <w:sz w:val="18"/>
                <w:szCs w:val="18"/>
                <w:vertAlign w:val="baseline"/>
                <w:lang w:val="en-US" w:eastAsia="zh-CN" w:bidi="ar-SA"/>
              </w:rPr>
            </w:pPr>
          </w:p>
        </w:tc>
      </w:tr>
    </w:tbl>
    <w:p w14:paraId="4D0F0515">
      <w:pPr>
        <w:pStyle w:val="6"/>
        <w:ind w:firstLine="420"/>
        <w:rPr>
          <w:rFonts w:hint="default" w:hAnsi="黑体" w:cs="黑体"/>
          <w:color w:val="auto"/>
          <w:sz w:val="21"/>
          <w:szCs w:val="21"/>
          <w:lang w:val="en-US" w:eastAsia="zh-CN"/>
        </w:rPr>
      </w:pPr>
    </w:p>
    <w:p w14:paraId="41F811E3">
      <w:pPr>
        <w:pStyle w:val="19"/>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6CE1DDD1">
      <w:pPr>
        <w:rPr>
          <w:rFonts w:hint="eastAsia"/>
        </w:rPr>
      </w:pPr>
    </w:p>
    <w:p w14:paraId="77C80A04">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494F686B">
      <w:pPr>
        <w:pStyle w:val="6"/>
        <w:ind w:left="0" w:leftChars="0" w:firstLine="420" w:firstLineChars="200"/>
        <w:rPr>
          <w:rFonts w:hint="eastAsia" w:hAnsi="黑体" w:cs="黑体"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1.</w:t>
      </w:r>
      <w:r>
        <w:rPr>
          <w:rFonts w:hint="eastAsia" w:hAnsi="黑体" w:cs="黑体" w:eastAsiaTheme="minorEastAsia"/>
          <w:color w:val="auto"/>
          <w:kern w:val="2"/>
          <w:sz w:val="21"/>
          <w:szCs w:val="21"/>
          <w:lang w:val="en-US" w:eastAsia="zh-CN" w:bidi="ar-SA"/>
        </w:rPr>
        <w:t>标准查询整理。</w:t>
      </w:r>
    </w:p>
    <w:p w14:paraId="4EBD044C">
      <w:pPr>
        <w:pStyle w:val="6"/>
        <w:ind w:left="0" w:leftChars="0"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1.12024年1月-2025年3月，广州江铜铜材有限公司成立了标准编制组，编制组完成了前期准备阶段内容，进行了国际国内相关标准资料的调研，完成了标准初步的工作及标准草案。</w:t>
      </w:r>
    </w:p>
    <w:p w14:paraId="3FFC973A">
      <w:pPr>
        <w:pStyle w:val="6"/>
        <w:ind w:left="0" w:leftChars="0"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通过</w:t>
      </w:r>
      <w:r>
        <w:rPr>
          <w:rFonts w:hint="eastAsia" w:hAnsi="黑体" w:cs="黑体" w:eastAsiaTheme="minorEastAsia"/>
          <w:color w:val="auto"/>
          <w:kern w:val="2"/>
          <w:sz w:val="21"/>
          <w:szCs w:val="21"/>
          <w:lang w:val="en-US" w:eastAsia="zh-CN" w:bidi="ar-SA"/>
        </w:rPr>
        <w:fldChar w:fldCharType="begin"/>
      </w:r>
      <w:r>
        <w:rPr>
          <w:rFonts w:hint="eastAsia" w:hAnsi="黑体" w:cs="黑体" w:eastAsiaTheme="minorEastAsia"/>
          <w:color w:val="auto"/>
          <w:kern w:val="2"/>
          <w:sz w:val="21"/>
          <w:szCs w:val="21"/>
          <w:lang w:val="en-US" w:eastAsia="zh-CN" w:bidi="ar-SA"/>
        </w:rPr>
        <w:instrText xml:space="preserve"> HYPERLINK "https://std.samr.gov.cn/" </w:instrText>
      </w:r>
      <w:r>
        <w:rPr>
          <w:rFonts w:hint="eastAsia" w:hAnsi="黑体" w:cs="黑体" w:eastAsiaTheme="minorEastAsia"/>
          <w:color w:val="auto"/>
          <w:kern w:val="2"/>
          <w:sz w:val="21"/>
          <w:szCs w:val="21"/>
          <w:lang w:val="en-US" w:eastAsia="zh-CN" w:bidi="ar-SA"/>
        </w:rPr>
        <w:fldChar w:fldCharType="separate"/>
      </w:r>
      <w:r>
        <w:rPr>
          <w:rFonts w:hint="eastAsia" w:hAnsi="黑体" w:cs="黑体" w:eastAsiaTheme="minorEastAsia"/>
          <w:color w:val="auto"/>
          <w:kern w:val="2"/>
          <w:sz w:val="21"/>
          <w:szCs w:val="21"/>
          <w:lang w:val="en-US" w:eastAsia="zh-CN" w:bidi="ar-SA"/>
        </w:rPr>
        <w:t>全国标准信息公共服务平台</w:t>
      </w:r>
      <w:r>
        <w:rPr>
          <w:rFonts w:hint="eastAsia" w:hAnsi="黑体" w:cs="黑体" w:eastAsiaTheme="minorEastAsia"/>
          <w:color w:val="auto"/>
          <w:kern w:val="2"/>
          <w:sz w:val="21"/>
          <w:szCs w:val="21"/>
          <w:lang w:val="en-US" w:eastAsia="zh-CN" w:bidi="ar-SA"/>
        </w:rPr>
        <w:fldChar w:fldCharType="end"/>
      </w:r>
      <w:r>
        <w:rPr>
          <w:rFonts w:hint="eastAsia" w:hAnsi="黑体" w:cs="黑体" w:eastAsiaTheme="minorEastAsia"/>
          <w:color w:val="auto"/>
          <w:kern w:val="2"/>
          <w:sz w:val="21"/>
          <w:szCs w:val="21"/>
          <w:lang w:val="en-US" w:eastAsia="zh-CN" w:bidi="ar-SA"/>
        </w:rPr>
        <w:t>http：//std.samr.gov.cn等网站查询，目前，针对铜材加工竖炉热平衡测定与计算方法的行业标准尚属空白。缺乏有效的行业技术指导和规范约束，不利于行业的健康发展。对铜材加工产量最大的电工用铜线坯竖炉规定热平衡测定与计算方法，填补空白，完善铜材加工行业标准体系，为行业发展提供有力支撑。</w:t>
      </w:r>
    </w:p>
    <w:p w14:paraId="1E7C4FE5">
      <w:pPr>
        <w:pStyle w:val="6"/>
        <w:ind w:left="0" w:leftChars="0"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1.2推动行业绿色可持续发展</w:t>
      </w:r>
    </w:p>
    <w:p w14:paraId="30D95C03">
      <w:pPr>
        <w:pStyle w:val="6"/>
        <w:ind w:left="0" w:leftChars="0"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YS/T 121-1992系列标准距发布实施已过去30多年，在这30多年里，电工用铜线坯连铸连轧技术发生了翻天覆地的变化，产能和需求大幅跃升，中国制造业也从制造大国发展成为制造强国，并迅速向智能制造、绿色制造转变，而在钢铁、建材等行业广泛应用的节能技术在有色加工领域内，基本还未得到基本的应用，原有标准已不适应当今形势，需要修订、补充。</w:t>
      </w:r>
    </w:p>
    <w:p w14:paraId="6916A1F6">
      <w:pPr>
        <w:pStyle w:val="6"/>
        <w:ind w:left="0" w:leftChars="0"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1.3行业对标</w:t>
      </w:r>
    </w:p>
    <w:p w14:paraId="28AE732F">
      <w:pPr>
        <w:pStyle w:val="6"/>
        <w:ind w:left="0" w:leftChars="0" w:firstLine="420" w:firstLineChars="200"/>
        <w:rPr>
          <w:rFonts w:hint="default"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行业对标过程中发现各企业天然气消耗差异较大，一方面有未考虑热值的因素，另一方面体现出各企业之间设备、管理差异较大的现实，节能工作任重道远。</w:t>
      </w:r>
    </w:p>
    <w:p w14:paraId="5555B835">
      <w:pPr>
        <w:pStyle w:val="6"/>
        <w:ind w:left="0" w:leftChars="0" w:firstLine="420" w:firstLineChars="200"/>
        <w:rPr>
          <w:rFonts w:hint="default"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基于以上原因，江西铜业集团作为行业头部企业，广州江铜作为同时拥有当今全球最大德国西马克CR3700、美国南线SCR9000两条电工用铜线坯连铸连轧生产线的企业，有责任和义务推动标准完善和行业发展。</w:t>
      </w:r>
    </w:p>
    <w:p w14:paraId="1D572C87">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6A36E74B">
      <w:pPr>
        <w:pStyle w:val="6"/>
        <w:ind w:left="0" w:leftChars="0" w:firstLine="420" w:firstLineChars="200"/>
        <w:rPr>
          <w:rFonts w:hint="eastAsia"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提交全体委员会议讨论：2025年4月16日-19日有色金属标准项目论证会，</w:t>
      </w:r>
      <w:r>
        <w:rPr>
          <w:rFonts w:hint="eastAsia" w:hAnsi="黑体" w:cs="黑体" w:eastAsiaTheme="minorEastAsia"/>
          <w:color w:val="auto"/>
          <w:kern w:val="2"/>
          <w:sz w:val="21"/>
          <w:szCs w:val="21"/>
          <w:lang w:val="en-US" w:eastAsia="zh-CN" w:bidi="ar-SA"/>
        </w:rPr>
        <w:t>获得通过。</w:t>
      </w:r>
    </w:p>
    <w:p w14:paraId="1A54F610">
      <w:pPr>
        <w:pStyle w:val="6"/>
        <w:ind w:left="0" w:leftChars="0" w:firstLine="420" w:firstLineChars="200"/>
        <w:rPr>
          <w:rFonts w:hint="eastAsia"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申请立项：2025年5月申请立项</w:t>
      </w:r>
      <w:r>
        <w:rPr>
          <w:rFonts w:hint="eastAsia" w:hAnsi="黑体" w:cs="黑体" w:eastAsiaTheme="minorEastAsia"/>
          <w:color w:val="auto"/>
          <w:kern w:val="2"/>
          <w:sz w:val="21"/>
          <w:szCs w:val="21"/>
          <w:lang w:val="en-US" w:eastAsia="zh-CN" w:bidi="ar-SA"/>
        </w:rPr>
        <w:t>。</w:t>
      </w:r>
    </w:p>
    <w:p w14:paraId="17D8E9AB">
      <w:pPr>
        <w:pStyle w:val="6"/>
        <w:ind w:left="0" w:leftChars="0" w:firstLine="420" w:firstLineChars="200"/>
        <w:rPr>
          <w:rFonts w:hint="default" w:hAnsi="黑体" w:cs="黑体" w:asciiTheme="minorHAnsi"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标准计划批准：2026年3月《</w:t>
      </w:r>
      <w:r>
        <w:rPr>
          <w:rFonts w:hint="default" w:hAnsi="黑体" w:cs="黑体" w:asciiTheme="minorHAnsi" w:eastAsiaTheme="minorEastAsia"/>
          <w:color w:val="auto"/>
          <w:kern w:val="2"/>
          <w:sz w:val="21"/>
          <w:szCs w:val="21"/>
          <w:lang w:val="en-US" w:eastAsia="zh-CN" w:bidi="ar-SA"/>
        </w:rPr>
        <w:t>工信厅科函〔2026〕105号-关于印发2026年第一批行业标准制修订和外文版项目计划的通知</w:t>
      </w:r>
      <w:r>
        <w:rPr>
          <w:rFonts w:hint="eastAsia" w:hAnsi="黑体" w:cs="黑体" w:asciiTheme="minorHAnsi" w:eastAsiaTheme="minorEastAsia"/>
          <w:color w:val="auto"/>
          <w:kern w:val="2"/>
          <w:sz w:val="21"/>
          <w:szCs w:val="21"/>
          <w:lang w:val="en-US" w:eastAsia="zh-CN" w:bidi="ar-SA"/>
        </w:rPr>
        <w:t>》</w:t>
      </w:r>
      <w:r>
        <w:rPr>
          <w:rFonts w:hint="eastAsia" w:hAnsi="黑体" w:cs="黑体" w:eastAsiaTheme="minorEastAsia"/>
          <w:color w:val="auto"/>
          <w:kern w:val="2"/>
          <w:sz w:val="21"/>
          <w:szCs w:val="21"/>
          <w:lang w:val="en-US" w:eastAsia="zh-CN" w:bidi="ar-SA"/>
        </w:rPr>
        <w:t>批准。</w:t>
      </w:r>
    </w:p>
    <w:p w14:paraId="0D7D265C">
      <w:pPr>
        <w:pStyle w:val="6"/>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21FBE1F4">
      <w:pPr>
        <w:pStyle w:val="6"/>
        <w:bidi w:val="0"/>
        <w:ind w:firstLine="420" w:firstLineChars="200"/>
        <w:rPr>
          <w:rFonts w:hint="default" w:ascii="Times New Roman" w:hAnsi="Times New Roman" w:eastAsia="宋体" w:cs="Times New Roman"/>
          <w:lang w:val="en-US" w:eastAsia="zh-CN"/>
        </w:rPr>
      </w:pPr>
      <w:r>
        <w:rPr>
          <w:rFonts w:hint="eastAsia" w:hAnsi="黑体" w:cs="黑体" w:asciiTheme="minorHAnsi" w:eastAsiaTheme="minorEastAsia"/>
          <w:color w:val="auto"/>
          <w:kern w:val="2"/>
          <w:sz w:val="21"/>
          <w:szCs w:val="21"/>
          <w:lang w:val="en-US" w:eastAsia="zh-CN" w:bidi="ar-SA"/>
        </w:rPr>
        <w:t>2024年10月</w:t>
      </w:r>
      <w:r>
        <w:rPr>
          <w:rFonts w:hint="eastAsia" w:hAnsi="黑体" w:cs="黑体" w:eastAsiaTheme="minorEastAsia"/>
          <w:color w:val="auto"/>
          <w:kern w:val="2"/>
          <w:sz w:val="21"/>
          <w:szCs w:val="21"/>
          <w:lang w:val="en-US" w:eastAsia="zh-CN" w:bidi="ar-SA"/>
        </w:rPr>
        <w:t>-</w:t>
      </w:r>
      <w:r>
        <w:rPr>
          <w:rFonts w:hint="eastAsia" w:hAnsi="黑体" w:cs="黑体" w:asciiTheme="minorHAnsi" w:eastAsiaTheme="minorEastAsia"/>
          <w:color w:val="auto"/>
          <w:kern w:val="2"/>
          <w:sz w:val="21"/>
          <w:szCs w:val="21"/>
          <w:lang w:val="en-US" w:eastAsia="zh-CN" w:bidi="ar-SA"/>
        </w:rPr>
        <w:t>2025年</w:t>
      </w:r>
      <w:r>
        <w:rPr>
          <w:rFonts w:hint="eastAsia" w:hAnsi="黑体" w:cs="黑体" w:eastAsiaTheme="minorEastAsia"/>
          <w:color w:val="auto"/>
          <w:kern w:val="2"/>
          <w:sz w:val="21"/>
          <w:szCs w:val="21"/>
          <w:lang w:val="en-US" w:eastAsia="zh-CN" w:bidi="ar-SA"/>
        </w:rPr>
        <w:t>2</w:t>
      </w:r>
      <w:r>
        <w:rPr>
          <w:rFonts w:hint="eastAsia" w:hAnsi="黑体" w:cs="黑体" w:asciiTheme="minorHAnsi" w:eastAsiaTheme="minorEastAsia"/>
          <w:color w:val="auto"/>
          <w:kern w:val="2"/>
          <w:sz w:val="21"/>
          <w:szCs w:val="21"/>
          <w:lang w:val="en-US" w:eastAsia="zh-CN" w:bidi="ar-SA"/>
        </w:rPr>
        <w:t>月</w:t>
      </w:r>
      <w:r>
        <w:rPr>
          <w:rFonts w:hint="default" w:ascii="Times New Roman" w:hAnsi="Times New Roman" w:eastAsia="宋体" w:cs="Times New Roman"/>
          <w:lang w:val="en-US" w:eastAsia="zh-CN"/>
        </w:rPr>
        <w:t>，标准编制组先后组织各参编单位开展交流研讨，明确协作方向并制定了详细工作计划，后续依据计划进度安排，查阅国内外相关标准及技术资料，标准文本草案修订工作正式启动，最终形成了标准讨论稿及其编制说明。</w:t>
      </w:r>
    </w:p>
    <w:p w14:paraId="3B34C1CC">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asciiTheme="minorHAnsi" w:eastAsiaTheme="minorEastAsia"/>
          <w:color w:val="auto"/>
          <w:kern w:val="2"/>
          <w:sz w:val="21"/>
          <w:szCs w:val="21"/>
          <w:lang w:val="en-US" w:eastAsia="zh-CN" w:bidi="ar-SA"/>
        </w:rPr>
        <w:t>2025年4月16日-19日全国有色金属标准化技术委员会</w:t>
      </w:r>
      <w:r>
        <w:rPr>
          <w:rFonts w:hint="eastAsia" w:hAnsi="黑体" w:cs="黑体" w:eastAsiaTheme="minorEastAsia"/>
          <w:color w:val="auto"/>
          <w:kern w:val="2"/>
          <w:sz w:val="21"/>
          <w:szCs w:val="21"/>
          <w:lang w:val="en-US" w:eastAsia="zh-CN" w:bidi="ar-SA"/>
        </w:rPr>
        <w:t>在昆明</w:t>
      </w:r>
      <w:r>
        <w:rPr>
          <w:rFonts w:hint="eastAsia" w:hAnsi="黑体" w:cs="黑体" w:asciiTheme="minorHAnsi" w:eastAsiaTheme="minorEastAsia"/>
          <w:color w:val="auto"/>
          <w:kern w:val="2"/>
          <w:sz w:val="21"/>
          <w:szCs w:val="21"/>
          <w:lang w:val="en-US" w:eastAsia="zh-CN" w:bidi="ar-SA"/>
        </w:rPr>
        <w:t>召开有色金属标准项目论证会暨标准制修订工作会议</w:t>
      </w:r>
      <w:r>
        <w:rPr>
          <w:rFonts w:hint="eastAsia" w:hAnsi="黑体" w:cs="黑体" w:eastAsiaTheme="minorEastAsia"/>
          <w:color w:val="auto"/>
          <w:kern w:val="2"/>
          <w:sz w:val="21"/>
          <w:szCs w:val="21"/>
          <w:lang w:val="en-US" w:eastAsia="zh-CN" w:bidi="ar-SA"/>
        </w:rPr>
        <w:t>，对立项必要性、可行性等进行论证，同意立项。</w:t>
      </w:r>
    </w:p>
    <w:p w14:paraId="490CF080">
      <w:pPr>
        <w:pStyle w:val="6"/>
        <w:bidi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标准编制组根据讨论意见对标准进行了完善和修改，形成</w:t>
      </w:r>
      <w:r>
        <w:rPr>
          <w:rFonts w:hint="eastAsia" w:hAnsi="黑体" w:cs="黑体" w:eastAsiaTheme="minorEastAsia"/>
          <w:color w:val="auto"/>
          <w:kern w:val="2"/>
          <w:sz w:val="21"/>
          <w:szCs w:val="21"/>
          <w:lang w:val="en-US" w:eastAsia="zh-CN" w:bidi="ar-SA"/>
        </w:rPr>
        <w:t>本讨论稿</w:t>
      </w:r>
      <w:r>
        <w:rPr>
          <w:rFonts w:hint="default" w:ascii="Times New Roman" w:hAnsi="Times New Roman" w:eastAsia="宋体" w:cs="Times New Roman"/>
          <w:lang w:val="en-US" w:eastAsia="zh-CN"/>
        </w:rPr>
        <w:t>及编制说明。</w:t>
      </w:r>
    </w:p>
    <w:p w14:paraId="143054BE">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w:t>
      </w:r>
      <w:r>
        <w:rPr>
          <w:rFonts w:hint="eastAsia" w:ascii="黑体" w:eastAsia="黑体" w:cs="Arial"/>
          <w:color w:val="0000FF"/>
          <w:sz w:val="21"/>
          <w:szCs w:val="21"/>
          <w:lang w:val="en-US" w:eastAsia="zh-CN"/>
        </w:rPr>
        <w:t>修订前后技术内容的对比（修订时有）</w:t>
      </w:r>
    </w:p>
    <w:p w14:paraId="641F85F8">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2.1编制原则</w:t>
      </w:r>
    </w:p>
    <w:p w14:paraId="12AF1964">
      <w:pPr>
        <w:bidi w:val="0"/>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（1）科学性：从</w:t>
      </w:r>
      <w:r>
        <w:rPr>
          <w:rFonts w:hint="eastAsia" w:ascii="Times New Roman" w:hAnsi="Times New Roman" w:cs="Times New Roman"/>
          <w:lang w:val="en-US" w:eastAsia="zh-CN"/>
        </w:rPr>
        <w:t>电工用铜线坯</w:t>
      </w:r>
      <w:r>
        <w:rPr>
          <w:rFonts w:hint="default" w:ascii="Times New Roman" w:hAnsi="Times New Roman" w:eastAsia="宋体" w:cs="Times New Roman"/>
          <w:lang w:val="en-US" w:eastAsia="zh-CN"/>
        </w:rPr>
        <w:t>产业全行业角度，全面考察</w:t>
      </w:r>
      <w:r>
        <w:rPr>
          <w:rFonts w:hint="eastAsia" w:ascii="Times New Roman" w:hAnsi="Times New Roman" w:cs="Times New Roman"/>
          <w:lang w:val="en-US" w:eastAsia="zh-CN"/>
        </w:rPr>
        <w:t>竖炉能耗和效率情况</w:t>
      </w:r>
      <w:r>
        <w:rPr>
          <w:rFonts w:hint="default" w:ascii="Times New Roman" w:hAnsi="Times New Roman" w:eastAsia="宋体" w:cs="Times New Roman"/>
          <w:lang w:val="en-US" w:eastAsia="zh-CN"/>
        </w:rPr>
        <w:t>，引导企业关注企业节能减排设施的技术更新与改造，关注</w:t>
      </w:r>
      <w:r>
        <w:rPr>
          <w:rFonts w:hint="eastAsia" w:ascii="Times New Roman" w:hAnsi="Times New Roman" w:cs="Times New Roman"/>
          <w:lang w:val="en-US" w:eastAsia="zh-CN"/>
        </w:rPr>
        <w:t>电工用铜线坯生产过程中能源</w:t>
      </w:r>
      <w:r>
        <w:rPr>
          <w:rFonts w:hint="default" w:ascii="Times New Roman" w:hAnsi="Times New Roman" w:eastAsia="宋体" w:cs="Times New Roman"/>
          <w:lang w:val="en-US" w:eastAsia="zh-CN"/>
        </w:rPr>
        <w:t>利用</w:t>
      </w:r>
      <w:r>
        <w:rPr>
          <w:rFonts w:hint="eastAsia" w:ascii="Times New Roman" w:hAnsi="Times New Roman" w:cs="Times New Roman"/>
          <w:lang w:val="en-US" w:eastAsia="zh-CN"/>
        </w:rPr>
        <w:t>和节能</w:t>
      </w:r>
      <w:r>
        <w:rPr>
          <w:rFonts w:hint="default" w:ascii="Times New Roman" w:hAnsi="Times New Roman" w:eastAsia="宋体" w:cs="Times New Roman"/>
          <w:lang w:val="en-US" w:eastAsia="zh-CN"/>
        </w:rPr>
        <w:t>潜力，充分发挥</w:t>
      </w:r>
      <w:r>
        <w:rPr>
          <w:rFonts w:hint="eastAsia" w:ascii="Times New Roman" w:hAnsi="Times New Roman" w:cs="Times New Roman"/>
          <w:lang w:val="en-US" w:eastAsia="zh-CN"/>
        </w:rPr>
        <w:t>电工用铜线坯</w:t>
      </w:r>
      <w:r>
        <w:rPr>
          <w:rFonts w:hint="default" w:ascii="Times New Roman" w:hAnsi="Times New Roman" w:eastAsia="宋体" w:cs="Times New Roman"/>
          <w:lang w:val="en-US" w:eastAsia="zh-CN"/>
        </w:rPr>
        <w:t>企业在生产过程的</w:t>
      </w:r>
      <w:r>
        <w:rPr>
          <w:rFonts w:hint="eastAsia" w:ascii="Times New Roman" w:hAnsi="Times New Roman" w:cs="Times New Roman"/>
          <w:lang w:val="en-US" w:eastAsia="zh-CN"/>
        </w:rPr>
        <w:t>竖炉节能对电工用铜线坯企业节能的</w:t>
      </w:r>
      <w:r>
        <w:rPr>
          <w:rFonts w:hint="default" w:ascii="Times New Roman" w:hAnsi="Times New Roman" w:eastAsia="宋体" w:cs="Times New Roman"/>
          <w:lang w:val="en-US" w:eastAsia="zh-CN"/>
        </w:rPr>
        <w:t>推动作用。</w:t>
      </w:r>
    </w:p>
    <w:p w14:paraId="5D414A73">
      <w:pPr>
        <w:pStyle w:val="6"/>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（2）可操作性：为便于标准的使用，标准中提</w:t>
      </w:r>
      <w:r>
        <w:rPr>
          <w:rFonts w:hint="eastAsia" w:ascii="Times New Roman" w:hAnsi="Times New Roman" w:cs="Times New Roman" w:eastAsiaTheme="minorEastAsia"/>
          <w:lang w:val="en-US" w:eastAsia="zh-CN"/>
        </w:rPr>
        <w:t>供了竖炉天然气</w:t>
      </w:r>
      <w:r>
        <w:rPr>
          <w:rFonts w:hint="default" w:ascii="Times New Roman" w:hAnsi="Times New Roman" w:eastAsia="宋体" w:cs="Times New Roman"/>
          <w:lang w:val="en-US" w:eastAsia="zh-CN"/>
        </w:rPr>
        <w:t>数据收集基本要求及技术指标要求，以及相应的计算方法，便于相关人员结合</w:t>
      </w:r>
      <w:r>
        <w:rPr>
          <w:rFonts w:hint="eastAsia" w:ascii="Times New Roman" w:hAnsi="Times New Roman" w:cs="Times New Roman"/>
          <w:lang w:val="en-US" w:eastAsia="zh-CN"/>
        </w:rPr>
        <w:t>该</w:t>
      </w:r>
      <w:r>
        <w:rPr>
          <w:rFonts w:hint="default" w:ascii="Times New Roman" w:hAnsi="Times New Roman" w:eastAsia="宋体" w:cs="Times New Roman"/>
          <w:lang w:val="en-US" w:eastAsia="zh-CN"/>
        </w:rPr>
        <w:t>标准开展工作。</w:t>
      </w:r>
    </w:p>
    <w:p w14:paraId="5437C3E7">
      <w:pPr>
        <w:pStyle w:val="6"/>
        <w:bidi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统一</w:t>
      </w:r>
      <w:r>
        <w:rPr>
          <w:rFonts w:hint="default" w:ascii="Times New Roman" w:hAnsi="Times New Roman" w:eastAsia="宋体" w:cs="Times New Roman"/>
          <w:lang w:val="en-US" w:eastAsia="zh-CN"/>
        </w:rPr>
        <w:t>性：</w:t>
      </w:r>
      <w:r>
        <w:rPr>
          <w:rFonts w:hint="eastAsia" w:hAnsi="黑体" w:cs="黑体" w:eastAsiaTheme="minorEastAsia"/>
          <w:color w:val="auto"/>
          <w:kern w:val="2"/>
          <w:sz w:val="21"/>
          <w:szCs w:val="21"/>
          <w:lang w:val="en-US" w:eastAsia="zh-CN" w:bidi="ar-SA"/>
        </w:rPr>
        <w:t>为全行业提供一套科学、系统且统一的热平衡测定与计算方法，确保测定过程的规范性和计算结果的</w:t>
      </w:r>
      <w:r>
        <w:rPr>
          <w:rFonts w:hint="eastAsia" w:ascii="Times New Roman" w:hAnsi="Times New Roman" w:eastAsia="宋体" w:cs="Times New Roman"/>
          <w:lang w:val="en-US" w:eastAsia="zh-CN"/>
        </w:rPr>
        <w:t>统一</w:t>
      </w:r>
      <w:r>
        <w:rPr>
          <w:rFonts w:hint="default" w:ascii="Times New Roman" w:hAnsi="Times New Roman" w:eastAsia="宋体" w:cs="Times New Roman"/>
          <w:lang w:val="en-US" w:eastAsia="zh-CN"/>
        </w:rPr>
        <w:t>性</w:t>
      </w:r>
      <w:r>
        <w:rPr>
          <w:rFonts w:hint="eastAsia" w:hAnsi="黑体" w:cs="黑体" w:eastAsiaTheme="minorEastAsia"/>
          <w:color w:val="auto"/>
          <w:kern w:val="2"/>
          <w:sz w:val="21"/>
          <w:szCs w:val="21"/>
          <w:lang w:val="en-US" w:eastAsia="zh-CN" w:bidi="ar-SA"/>
        </w:rPr>
        <w:t>，使不同企业间的数据具有可比性。</w:t>
      </w:r>
    </w:p>
    <w:p w14:paraId="5F1C2776">
      <w:pPr>
        <w:keepNext/>
        <w:keepLines/>
        <w:bidi w:val="0"/>
        <w:spacing w:before="20" w:beforeLines="20" w:after="20" w:afterLines="20"/>
        <w:ind w:firstLine="0"/>
        <w:jc w:val="left"/>
        <w:outlineLvl w:val="1"/>
        <w:rPr>
          <w:rFonts w:hint="eastAsia" w:ascii="Times New Roman" w:hAnsi="Times New Roman" w:eastAsia="黑体" w:cs="Times New Roman"/>
          <w:bCs/>
          <w:kern w:val="2"/>
          <w:sz w:val="21"/>
          <w:szCs w:val="30"/>
          <w:lang w:val="en-US" w:eastAsia="zh-CN" w:bidi="ar-SA"/>
        </w:rPr>
      </w:pPr>
      <w:bookmarkStart w:id="0" w:name="_Toc14921"/>
      <w:r>
        <w:rPr>
          <w:rFonts w:hint="default" w:ascii="Times New Roman" w:hAnsi="Times New Roman" w:eastAsia="黑体" w:cs="Times New Roman"/>
          <w:bCs/>
          <w:kern w:val="2"/>
          <w:sz w:val="21"/>
          <w:szCs w:val="30"/>
          <w:lang w:val="en-US" w:eastAsia="zh-CN" w:bidi="ar-SA"/>
        </w:rPr>
        <w:t>2.</w:t>
      </w:r>
      <w:r>
        <w:rPr>
          <w:rFonts w:hint="eastAsia" w:ascii="Times New Roman" w:hAnsi="Times New Roman" w:eastAsia="黑体" w:cs="Times New Roman"/>
          <w:bCs/>
          <w:kern w:val="2"/>
          <w:sz w:val="21"/>
          <w:szCs w:val="30"/>
          <w:lang w:val="en-US" w:eastAsia="zh-CN" w:bidi="ar-SA"/>
        </w:rPr>
        <w:t>2</w:t>
      </w:r>
      <w:r>
        <w:rPr>
          <w:rFonts w:hint="default" w:ascii="Times New Roman" w:hAnsi="Times New Roman" w:eastAsia="黑体" w:cs="Times New Roman"/>
          <w:bCs/>
          <w:kern w:val="2"/>
          <w:sz w:val="21"/>
          <w:szCs w:val="30"/>
          <w:lang w:val="en-US" w:eastAsia="zh-CN" w:bidi="ar-SA"/>
        </w:rPr>
        <w:t xml:space="preserve"> </w:t>
      </w:r>
      <w:r>
        <w:rPr>
          <w:rFonts w:hint="eastAsia" w:ascii="Times New Roman" w:hAnsi="Times New Roman" w:eastAsia="黑体" w:cs="Times New Roman"/>
          <w:bCs/>
          <w:kern w:val="2"/>
          <w:sz w:val="21"/>
          <w:szCs w:val="30"/>
          <w:lang w:val="en-US" w:eastAsia="zh-CN" w:bidi="ar-SA"/>
        </w:rPr>
        <w:t>主要内容</w:t>
      </w:r>
    </w:p>
    <w:p w14:paraId="023A1317">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围绕竖炉热平衡，梳理热量输入与输出脉络，制定热量输入与输出测量方法、公式、规则，提供统一、科学的测试与计算方法，为准确核算竖炉能源消耗提供底层数据支撑，为制定和实施节能技术规范提供依据。</w:t>
      </w:r>
    </w:p>
    <w:p w14:paraId="716A5362">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规定了有色金属加工企业竖炉热平衡测试与计算方法的术语和定义、测定条件、测定项目、测定方法、数据处理以及热平衡计算方法。</w:t>
      </w:r>
    </w:p>
    <w:p w14:paraId="6BAC2A6F">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适用于在有色金属加工过程中使用以天然气或其他气体燃料为燃料的竖炉。其他用途、结构或功能类似的竖炉可参照执行。</w:t>
      </w:r>
    </w:p>
    <w:p w14:paraId="196058DC">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（一）术语和定义</w:t>
      </w:r>
    </w:p>
    <w:p w14:paraId="473EFB48">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为准确理解和执行本标准，对以下关键术语进行定义：</w:t>
      </w:r>
    </w:p>
    <w:p w14:paraId="7F9A41E8">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有色金属加工竖炉：用于有色金属加工过程中，将燃料的化学能转化为热能，以实现有色金属从固态熔化为液态工艺要求的热工设备。炉身直立，炉料与燃料直接接触，炉料在重力作用下向下运动，炉气在向上运动，炉气与炉料之间逆流换热。</w:t>
      </w:r>
    </w:p>
    <w:p w14:paraId="46EF88D4">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热平衡：在一定时间内，有色金属加工竖炉输入的热量与输出的热量及竖炉内蓄热量变化之间的平衡关系。</w:t>
      </w:r>
    </w:p>
    <w:p w14:paraId="21C82A9C">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热收入：进入竖炉的各种热量总和，包括燃料燃烧热、物料带入热、鼓入气体带入热等。</w:t>
      </w:r>
    </w:p>
    <w:p w14:paraId="05455003">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热支出：从竖炉输出的各种热量总和，包括有效热、烟气带走热、炉体散热、冷却介质带走热等。</w:t>
      </w:r>
    </w:p>
    <w:p w14:paraId="5AA36863">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有效热：用于完成有色金属加工工艺目标（如熔炼、加热、热处理等）所消耗的热量。</w:t>
      </w:r>
    </w:p>
    <w:p w14:paraId="1A7948E1">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（二）测定条件</w:t>
      </w:r>
    </w:p>
    <w:p w14:paraId="40D7B0C2">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1.基准温度：采用环境温度。</w:t>
      </w:r>
    </w:p>
    <w:p w14:paraId="7C802899">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2.燃料发热量：采用燃料的低（位）发热量。</w:t>
      </w:r>
    </w:p>
    <w:p w14:paraId="0A09D7E9">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3.测试条件：</w:t>
      </w:r>
    </w:p>
    <w:p w14:paraId="79CF752F">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3.1生产工况：要求热平衡测定在竖炉处于正常稳定生产工况下进行，生产负荷应维持在设计负荷的80% -100%区间内，在测定期间，各项生产参数的波动需严格控制在允许的范围内，以保证测定结果的可靠性和代表性。</w:t>
      </w:r>
    </w:p>
    <w:p w14:paraId="2F8396C9">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3.2测定时间：测定开始前，竖炉需稳定运行24小时以上，让竖炉达到热稳定状态，避免因启动阶段的不稳定因素影响测定数据的准确性。</w:t>
      </w:r>
    </w:p>
    <w:p w14:paraId="6A3E11C2">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3.3测定周期：选择工况稳定的条件下，测定应连续进行且不少于24 小时，温度、压力、流量的测定每小时不少于4次，然后取平均值。投入炉料的重量应全部测定。</w:t>
      </w:r>
    </w:p>
    <w:p w14:paraId="13B6AE76">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3.4环境条件：记录测定期间的环境温度、湿度、大气压力等环境参数。</w:t>
      </w:r>
    </w:p>
    <w:p w14:paraId="229B436B">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（三）测定项目</w:t>
      </w:r>
    </w:p>
    <w:p w14:paraId="307D449C">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1.燃料相关</w:t>
      </w:r>
    </w:p>
    <w:p w14:paraId="06FA3C43">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测定燃料的成分、消耗量、热值、压力、温度等参数。</w:t>
      </w:r>
    </w:p>
    <w:p w14:paraId="1BA3A23E">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2.物料相关</w:t>
      </w:r>
    </w:p>
    <w:p w14:paraId="3469C092">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测定炉料（铜原料、添加剂等）的种类、消耗量、温度等）；对于产品（铜材成品、半成品），要测定其产量、温度。竖炉产品产量、温度。</w:t>
      </w:r>
    </w:p>
    <w:p w14:paraId="41859B51">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3.热工参数</w:t>
      </w:r>
    </w:p>
    <w:p w14:paraId="792BCE7F">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测定竖炉各关键部位的温度分布，如烟气的流量、温度、成分；炉体表面温度分布，用于计算炉体散热；测定鼓入空气或其他气体的流量、温度和成分。冷却介质的流量、温度、进出口温差。</w:t>
      </w:r>
    </w:p>
    <w:p w14:paraId="0930164D">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（四）测定方法</w:t>
      </w:r>
    </w:p>
    <w:p w14:paraId="0A9D8AA8">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测定方法：针对不同的测定项目，采用科学、可靠的测定方法。</w:t>
      </w:r>
    </w:p>
    <w:p w14:paraId="43C01D00">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（五）数据处理</w:t>
      </w:r>
    </w:p>
    <w:p w14:paraId="1894A5DE">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数据记录：详细记录测定过程中的各项原始数据，包括测定时间、测定位置、测定值等。数据记录应准确、清晰、完整，并由测定人员签字确认。</w:t>
      </w:r>
    </w:p>
    <w:p w14:paraId="404EFF94">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（六）数据校验</w:t>
      </w:r>
    </w:p>
    <w:p w14:paraId="40370ED7">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对收集到的数据进行合理性校验，检查数据是否存在异常值。可通过与历史数据对比、与理论计算值对比等方法进行校验。对于异常数据，应分析原因并进行修正或重新测定。</w:t>
      </w:r>
    </w:p>
    <w:p w14:paraId="21D792A4">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（七）数据计算</w:t>
      </w:r>
    </w:p>
    <w:p w14:paraId="2A6C81A1">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根据测定数据，按照规定的计算公式进行各项热平衡参数的计算。计算过程应保留足够的有效数字，确保计算结果的准确性。</w:t>
      </w:r>
    </w:p>
    <w:p w14:paraId="55FB7961">
      <w:pPr>
        <w:pStyle w:val="6"/>
        <w:ind w:firstLine="420" w:firstLineChars="200"/>
        <w:rPr>
          <w:rFonts w:hint="eastAsia" w:hAnsi="黑体" w:cs="黑体" w:eastAsiaTheme="minorEastAsia"/>
          <w:color w:val="auto"/>
          <w:kern w:val="2"/>
          <w:sz w:val="21"/>
          <w:szCs w:val="21"/>
          <w:lang w:val="en-US" w:eastAsia="zh-CN" w:bidi="ar-SA"/>
        </w:rPr>
      </w:pPr>
      <w:r>
        <w:rPr>
          <w:rFonts w:hint="eastAsia" w:hAnsi="黑体" w:cs="黑体" w:eastAsiaTheme="minorEastAsia"/>
          <w:color w:val="auto"/>
          <w:kern w:val="2"/>
          <w:sz w:val="21"/>
          <w:szCs w:val="21"/>
          <w:lang w:val="en-US" w:eastAsia="zh-CN" w:bidi="ar-SA"/>
        </w:rPr>
        <w:t>（八）报告要求</w:t>
      </w:r>
    </w:p>
    <w:p w14:paraId="4B3D0F54">
      <w:pPr>
        <w:pStyle w:val="6"/>
        <w:ind w:firstLine="420" w:firstLineChars="200"/>
        <w:rPr>
          <w:rFonts w:hint="default"/>
          <w:lang w:val="en-US" w:eastAsia="zh-CN"/>
        </w:rPr>
      </w:pPr>
      <w:r>
        <w:rPr>
          <w:rFonts w:hint="eastAsia" w:hAnsi="黑体" w:cs="黑体" w:eastAsiaTheme="minorEastAsia"/>
          <w:color w:val="auto"/>
          <w:kern w:val="2"/>
          <w:sz w:val="21"/>
          <w:szCs w:val="21"/>
          <w:lang w:val="en-US" w:eastAsia="zh-CN" w:bidi="ar-SA"/>
        </w:rPr>
        <w:t>热平衡分析，根据要求的格式、计算结果进行竖炉热效率评价，分析存在的问题，提出改进建议。</w:t>
      </w:r>
    </w:p>
    <w:p w14:paraId="5C0D6B0D">
      <w:pPr>
        <w:keepNext/>
        <w:keepLines/>
        <w:bidi w:val="0"/>
        <w:spacing w:before="20" w:beforeLines="20" w:after="20" w:afterLines="20"/>
        <w:ind w:firstLine="0"/>
        <w:jc w:val="left"/>
        <w:outlineLvl w:val="1"/>
        <w:rPr>
          <w:rFonts w:hint="default" w:ascii="Times New Roman" w:hAnsi="Times New Roman" w:eastAsia="宋体" w:cs="Times New Roman"/>
          <w:lang w:val="en-US" w:eastAsia="zh-CN"/>
        </w:rPr>
      </w:pPr>
      <w:r>
        <w:rPr>
          <w:rFonts w:hint="eastAsia" w:ascii="Times New Roman" w:hAnsi="Times New Roman" w:eastAsia="黑体" w:cs="Times New Roman"/>
          <w:bCs/>
          <w:kern w:val="2"/>
          <w:sz w:val="21"/>
          <w:szCs w:val="30"/>
          <w:lang w:val="en-US" w:eastAsia="zh-CN" w:bidi="ar-SA"/>
        </w:rPr>
        <w:t>2.3</w:t>
      </w:r>
      <w:r>
        <w:rPr>
          <w:rFonts w:hint="default" w:ascii="Times New Roman" w:hAnsi="Times New Roman" w:eastAsia="黑体" w:cs="Times New Roman"/>
          <w:bCs/>
          <w:kern w:val="2"/>
          <w:sz w:val="21"/>
          <w:szCs w:val="30"/>
          <w:lang w:val="en-US" w:eastAsia="zh-CN" w:bidi="ar-SA"/>
        </w:rPr>
        <w:t>技术文件依据</w:t>
      </w:r>
      <w:bookmarkEnd w:id="0"/>
    </w:p>
    <w:p w14:paraId="536FD885">
      <w:pPr>
        <w:bidi w:val="0"/>
        <w:ind w:firstLine="6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按照《标准化工作导则 第一部分：标准的结构和编写规则》 （GB/T1.1-2000）的要求和规定编写本标准的内容。</w:t>
      </w:r>
    </w:p>
    <w:p w14:paraId="624894CB">
      <w:pPr>
        <w:suppressLineNumbers w:val="0"/>
        <w:spacing w:line="240" w:lineRule="auto"/>
        <w:ind w:firstLine="60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在有关技术内容方面，参考了以下文件：</w:t>
      </w:r>
    </w:p>
    <w:p w14:paraId="73484C62">
      <w:pPr>
        <w:suppressLineNumbers w:val="0"/>
        <w:spacing w:line="240" w:lineRule="auto"/>
        <w:ind w:firstLine="600" w:firstLineChars="0"/>
        <w:rPr>
          <w:rFonts w:ascii="Times New Roman" w:hAnsi="Times New Roman" w:cs="Times New Roman"/>
          <w:szCs w:val="24"/>
        </w:rPr>
      </w:pPr>
      <w:r>
        <w:rPr>
          <w:rFonts w:ascii="Times New Roman" w:hAnsi="Times New Roman" w:cs="Times New Roman"/>
          <w:szCs w:val="24"/>
        </w:rPr>
        <w:t>GB 3100</w:t>
      </w:r>
      <w:r>
        <w:rPr>
          <w:rFonts w:hint="eastAsia" w:ascii="Times New Roman" w:hAnsi="Times New Roman" w:cs="Times New Roman"/>
          <w:szCs w:val="24"/>
        </w:rPr>
        <w:t xml:space="preserve"> </w:t>
      </w:r>
      <w:r>
        <w:fldChar w:fldCharType="begin"/>
      </w:r>
      <w:r>
        <w:instrText xml:space="preserve"> HYPERLINK "javascript:void(0)" </w:instrText>
      </w:r>
      <w:r>
        <w:fldChar w:fldCharType="separate"/>
      </w:r>
      <w:r>
        <w:rPr>
          <w:rFonts w:ascii="Times New Roman" w:hAnsi="Times New Roman" w:cs="Times New Roman"/>
          <w:szCs w:val="24"/>
        </w:rPr>
        <w:t>国际单位制及其应用</w:t>
      </w:r>
      <w:r>
        <w:rPr>
          <w:rFonts w:ascii="Times New Roman" w:hAnsi="Times New Roman" w:cs="Times New Roman"/>
          <w:szCs w:val="24"/>
        </w:rPr>
        <w:fldChar w:fldCharType="end"/>
      </w:r>
    </w:p>
    <w:p w14:paraId="6AAB9898">
      <w:pPr>
        <w:suppressLineNumbers w:val="0"/>
        <w:spacing w:line="240" w:lineRule="auto"/>
        <w:ind w:firstLine="600" w:firstLineChars="0"/>
        <w:rPr>
          <w:rFonts w:ascii="Times New Roman" w:hAnsi="Times New Roman" w:eastAsia="宋体" w:cs="Times New Roman"/>
          <w:szCs w:val="22"/>
        </w:rPr>
      </w:pPr>
      <w:r>
        <w:rPr>
          <w:rFonts w:ascii="Times New Roman" w:hAnsi="Times New Roman" w:eastAsia="宋体" w:cs="Times New Roman"/>
        </w:rPr>
        <w:fldChar w:fldCharType="begin"/>
      </w:r>
      <w:r>
        <w:rPr>
          <w:rFonts w:ascii="Times New Roman" w:hAnsi="Times New Roman" w:eastAsia="宋体" w:cs="Times New Roman"/>
        </w:rPr>
        <w:instrText xml:space="preserve"> HYPERLINK "javascript:void(0)" </w:instrText>
      </w:r>
      <w:r>
        <w:rPr>
          <w:rFonts w:ascii="Times New Roman" w:hAnsi="Times New Roman" w:eastAsia="宋体" w:cs="Times New Roman"/>
        </w:rPr>
        <w:fldChar w:fldCharType="separate"/>
      </w:r>
      <w:r>
        <w:rPr>
          <w:rFonts w:ascii="Times New Roman" w:hAnsi="Times New Roman" w:eastAsia="宋体" w:cs="Times New Roman"/>
          <w:szCs w:val="22"/>
        </w:rPr>
        <w:t>GB/T 3101</w:t>
      </w:r>
      <w:r>
        <w:rPr>
          <w:rFonts w:ascii="Times New Roman" w:hAnsi="Times New Roman" w:eastAsia="宋体" w:cs="Times New Roman"/>
          <w:szCs w:val="22"/>
        </w:rPr>
        <w:fldChar w:fldCharType="end"/>
      </w:r>
      <w:r>
        <w:rPr>
          <w:rFonts w:hint="default" w:ascii="Times New Roman" w:hAnsi="Times New Roman" w:eastAsia="宋体" w:cs="Times New Roman"/>
          <w:szCs w:val="22"/>
        </w:rPr>
        <w:t xml:space="preserve"> </w:t>
      </w:r>
      <w:r>
        <w:rPr>
          <w:rFonts w:ascii="Times New Roman" w:hAnsi="Times New Roman" w:eastAsia="宋体" w:cs="Times New Roman"/>
        </w:rPr>
        <w:fldChar w:fldCharType="begin"/>
      </w:r>
      <w:r>
        <w:rPr>
          <w:rFonts w:ascii="Times New Roman" w:hAnsi="Times New Roman" w:eastAsia="宋体" w:cs="Times New Roman"/>
        </w:rPr>
        <w:instrText xml:space="preserve"> HYPERLINK "javascript:void(0)" </w:instrText>
      </w:r>
      <w:r>
        <w:rPr>
          <w:rFonts w:ascii="Times New Roman" w:hAnsi="Times New Roman" w:eastAsia="宋体" w:cs="Times New Roman"/>
        </w:rPr>
        <w:fldChar w:fldCharType="separate"/>
      </w:r>
      <w:r>
        <w:rPr>
          <w:rFonts w:ascii="Times New Roman" w:hAnsi="Times New Roman" w:eastAsia="宋体" w:cs="Times New Roman"/>
          <w:szCs w:val="22"/>
        </w:rPr>
        <w:t>有关量、单位和符号的一般原则</w:t>
      </w:r>
      <w:r>
        <w:rPr>
          <w:rFonts w:ascii="Times New Roman" w:hAnsi="Times New Roman" w:eastAsia="宋体" w:cs="Times New Roman"/>
          <w:szCs w:val="22"/>
        </w:rPr>
        <w:fldChar w:fldCharType="end"/>
      </w:r>
    </w:p>
    <w:p w14:paraId="58A375B7">
      <w:pPr>
        <w:suppressLineNumbers w:val="0"/>
        <w:spacing w:line="240" w:lineRule="auto"/>
        <w:ind w:firstLine="600" w:firstLineChars="0"/>
        <w:rPr>
          <w:rFonts w:ascii="Times New Roman" w:hAnsi="Times New Roman" w:eastAsia="宋体" w:cs="Times New Roman"/>
          <w:szCs w:val="22"/>
        </w:rPr>
      </w:pPr>
      <w:r>
        <w:rPr>
          <w:rFonts w:ascii="Times New Roman" w:hAnsi="Times New Roman" w:eastAsia="宋体" w:cs="Times New Roman"/>
          <w:szCs w:val="22"/>
        </w:rPr>
        <w:t>GB/T 3102.4</w:t>
      </w:r>
      <w:r>
        <w:rPr>
          <w:rFonts w:hint="default" w:ascii="Times New Roman" w:hAnsi="Times New Roman" w:eastAsia="宋体" w:cs="Times New Roman"/>
          <w:szCs w:val="22"/>
        </w:rPr>
        <w:t xml:space="preserve"> </w:t>
      </w:r>
      <w:r>
        <w:rPr>
          <w:rFonts w:ascii="Times New Roman" w:hAnsi="Times New Roman" w:eastAsia="宋体" w:cs="Times New Roman"/>
        </w:rPr>
        <w:fldChar w:fldCharType="begin"/>
      </w:r>
      <w:r>
        <w:rPr>
          <w:rFonts w:ascii="Times New Roman" w:hAnsi="Times New Roman" w:eastAsia="宋体" w:cs="Times New Roman"/>
        </w:rPr>
        <w:instrText xml:space="preserve"> HYPERLINK "javascript:void(0)" </w:instrText>
      </w:r>
      <w:r>
        <w:rPr>
          <w:rFonts w:ascii="Times New Roman" w:hAnsi="Times New Roman" w:eastAsia="宋体" w:cs="Times New Roman"/>
        </w:rPr>
        <w:fldChar w:fldCharType="separate"/>
      </w:r>
      <w:r>
        <w:rPr>
          <w:rFonts w:ascii="Times New Roman" w:hAnsi="Times New Roman" w:eastAsia="宋体" w:cs="Times New Roman"/>
          <w:szCs w:val="22"/>
        </w:rPr>
        <w:t>热学的量和单位</w:t>
      </w:r>
      <w:r>
        <w:rPr>
          <w:rFonts w:ascii="Times New Roman" w:hAnsi="Times New Roman" w:eastAsia="宋体" w:cs="Times New Roman"/>
          <w:szCs w:val="22"/>
        </w:rPr>
        <w:fldChar w:fldCharType="end"/>
      </w:r>
    </w:p>
    <w:p w14:paraId="129D5EF9">
      <w:pPr>
        <w:suppressLineNumbers w:val="0"/>
        <w:spacing w:line="240" w:lineRule="auto"/>
        <w:ind w:firstLine="600" w:firstLineChars="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"javascript:void(0)" </w:instrText>
      </w:r>
      <w:r>
        <w:rPr>
          <w:rFonts w:ascii="Times New Roman" w:hAnsi="Times New Roman" w:eastAsia="宋体" w:cs="Times New Roman"/>
        </w:rPr>
        <w:fldChar w:fldCharType="separate"/>
      </w:r>
      <w:r>
        <w:rPr>
          <w:rFonts w:ascii="Times New Roman" w:hAnsi="Times New Roman" w:eastAsia="宋体" w:cs="Times New Roman"/>
          <w:szCs w:val="22"/>
        </w:rPr>
        <w:t>GB/T 13338</w:t>
      </w:r>
      <w:r>
        <w:rPr>
          <w:rFonts w:ascii="Times New Roman" w:hAnsi="Times New Roman" w:eastAsia="宋体" w:cs="Times New Roman"/>
          <w:szCs w:val="22"/>
        </w:rPr>
        <w:fldChar w:fldCharType="end"/>
      </w:r>
      <w:r>
        <w:rPr>
          <w:rFonts w:hint="default" w:ascii="Times New Roman" w:hAnsi="Times New Roman" w:eastAsia="宋体" w:cs="Times New Roman"/>
          <w:szCs w:val="22"/>
        </w:rPr>
        <w:t xml:space="preserve"> </w:t>
      </w:r>
      <w:r>
        <w:rPr>
          <w:rFonts w:ascii="Times New Roman" w:hAnsi="Times New Roman" w:eastAsia="宋体" w:cs="Times New Roman"/>
        </w:rPr>
        <w:fldChar w:fldCharType="begin"/>
      </w:r>
      <w:r>
        <w:rPr>
          <w:rFonts w:ascii="Times New Roman" w:hAnsi="Times New Roman" w:eastAsia="宋体" w:cs="Times New Roman"/>
        </w:rPr>
        <w:instrText xml:space="preserve"> HYPERLINK "javascript:void(0)" </w:instrText>
      </w:r>
      <w:r>
        <w:rPr>
          <w:rFonts w:ascii="Times New Roman" w:hAnsi="Times New Roman" w:eastAsia="宋体" w:cs="Times New Roman"/>
        </w:rPr>
        <w:fldChar w:fldCharType="separate"/>
      </w:r>
      <w:r>
        <w:rPr>
          <w:rFonts w:ascii="Times New Roman" w:hAnsi="Times New Roman" w:eastAsia="宋体" w:cs="Times New Roman"/>
          <w:szCs w:val="22"/>
        </w:rPr>
        <w:t>工业燃料炉热平衡测定与计算基本规则</w:t>
      </w:r>
      <w:r>
        <w:rPr>
          <w:rFonts w:ascii="Times New Roman" w:hAnsi="Times New Roman" w:eastAsia="宋体" w:cs="Times New Roman"/>
          <w:szCs w:val="22"/>
        </w:rPr>
        <w:fldChar w:fldCharType="end"/>
      </w:r>
    </w:p>
    <w:p w14:paraId="24874C92">
      <w:pPr>
        <w:suppressLineNumbers w:val="0"/>
        <w:spacing w:line="240" w:lineRule="auto"/>
        <w:ind w:firstLine="600" w:firstLineChars="0"/>
        <w:rPr>
          <w:rFonts w:ascii="Times New Roman" w:hAnsi="Times New Roman" w:eastAsia="宋体" w:cs="Times New Roman"/>
          <w:szCs w:val="22"/>
        </w:rPr>
      </w:pPr>
      <w:r>
        <w:rPr>
          <w:rFonts w:ascii="Times New Roman" w:hAnsi="Times New Roman" w:eastAsia="宋体" w:cs="Times New Roman"/>
          <w:szCs w:val="22"/>
        </w:rPr>
        <w:t>GB 17167</w:t>
      </w:r>
      <w:r>
        <w:rPr>
          <w:rFonts w:hint="default" w:ascii="Times New Roman" w:hAnsi="Times New Roman" w:eastAsia="宋体" w:cs="Times New Roman"/>
          <w:szCs w:val="22"/>
        </w:rPr>
        <w:t xml:space="preserve"> </w:t>
      </w:r>
      <w:r>
        <w:rPr>
          <w:rFonts w:ascii="Times New Roman" w:hAnsi="Times New Roman" w:eastAsia="宋体" w:cs="Times New Roman"/>
        </w:rPr>
        <w:fldChar w:fldCharType="begin"/>
      </w:r>
      <w:r>
        <w:rPr>
          <w:rFonts w:ascii="Times New Roman" w:hAnsi="Times New Roman" w:eastAsia="宋体" w:cs="Times New Roman"/>
        </w:rPr>
        <w:instrText xml:space="preserve"> HYPERLINK "javascript:void(0)" </w:instrText>
      </w:r>
      <w:r>
        <w:rPr>
          <w:rFonts w:ascii="Times New Roman" w:hAnsi="Times New Roman" w:eastAsia="宋体" w:cs="Times New Roman"/>
        </w:rPr>
        <w:fldChar w:fldCharType="separate"/>
      </w:r>
      <w:r>
        <w:rPr>
          <w:rFonts w:ascii="Times New Roman" w:hAnsi="Times New Roman" w:eastAsia="宋体" w:cs="Times New Roman"/>
          <w:szCs w:val="22"/>
        </w:rPr>
        <w:t>用能单位能源计量器具配备和管理通则</w:t>
      </w:r>
      <w:r>
        <w:rPr>
          <w:rFonts w:ascii="Times New Roman" w:hAnsi="Times New Roman" w:eastAsia="宋体" w:cs="Times New Roman"/>
          <w:szCs w:val="22"/>
        </w:rPr>
        <w:fldChar w:fldCharType="end"/>
      </w:r>
    </w:p>
    <w:p w14:paraId="5FD33F7B">
      <w:pPr>
        <w:suppressLineNumbers w:val="0"/>
        <w:spacing w:line="240" w:lineRule="auto"/>
        <w:ind w:firstLine="600" w:firstLineChars="0"/>
        <w:rPr>
          <w:rFonts w:ascii="Times New Roman" w:hAnsi="Times New Roman" w:eastAsia="宋体" w:cs="Times New Roman"/>
          <w:szCs w:val="22"/>
        </w:rPr>
      </w:pPr>
      <w:r>
        <w:rPr>
          <w:rFonts w:ascii="Times New Roman" w:hAnsi="Times New Roman" w:eastAsia="宋体" w:cs="Times New Roman"/>
          <w:szCs w:val="22"/>
        </w:rPr>
        <w:t>GB/T 32224</w:t>
      </w:r>
      <w:r>
        <w:rPr>
          <w:rFonts w:hint="default" w:ascii="Times New Roman" w:hAnsi="Times New Roman" w:eastAsia="宋体" w:cs="Times New Roman"/>
          <w:szCs w:val="22"/>
        </w:rPr>
        <w:t xml:space="preserve"> 热量表</w:t>
      </w:r>
    </w:p>
    <w:p w14:paraId="2D731E67">
      <w:pPr>
        <w:pStyle w:val="11"/>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1FD8DF38">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75791E94">
      <w:pPr>
        <w:pStyle w:val="6"/>
        <w:numPr>
          <w:ilvl w:val="0"/>
          <w:numId w:val="2"/>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项目的必要性阐述</w:t>
      </w:r>
    </w:p>
    <w:p w14:paraId="4E5BC59D">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1.1 满足市场和产业发展需求</w:t>
      </w:r>
    </w:p>
    <w:p w14:paraId="7E8487B2">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随着市场竞争的加剧，铜材加工企业对降低生产成本的需求日益迫切。准确的热平衡测定与计算能够帮助企业优化生产工艺，降低能源成本，增强企业市场竞争力。此外，产业结构调整和升级也要求行业提高能源利用效率，本标准的制定是满足市场和产业发展需求的必然选择。</w:t>
      </w:r>
    </w:p>
    <w:p w14:paraId="39C85D22">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1.2符合国家政策导向</w:t>
      </w:r>
    </w:p>
    <w:p w14:paraId="2307CC9A">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国家大力推行节能减排政策，对高能耗行业的能源管理和碳排放提出了严格要求。制定铜材加工竖炉热平衡测定与计算方法行业标准，有助于企业落实国家政策，履行社会责任，避免因不符合政策要求而面临的政策风险和经济损失。</w:t>
      </w:r>
    </w:p>
    <w:p w14:paraId="2F03198E">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当前铜材加工行业内，电工用铜线坯占比最大，2020年来始终保持在50%以上，但竖炉作为电工用铜线坯加工过程中最重要的能源消耗设备，消耗的能源成本占加工成本的5-6成左右，在国内铜材加工产能过剩、竞争白热化的今天，其能源利用效率直接影响行业的可持续发展。统一的热平衡测定与计算标准有助于企业发现能源浪费环节，采取针对性的节能措施，降低能源消耗和温室气体排放，推动整个铜材加工行业向绿色低碳方向转型，实现可持续发展。</w:t>
      </w:r>
    </w:p>
    <w:p w14:paraId="06341037">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1.3填补行业标准空白</w:t>
      </w:r>
    </w:p>
    <w:p w14:paraId="4AF54143">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目前，针对铜材加工竖炉热平衡测定与计算方法的专项行业标准尚属空白。这导致行业内缺乏有效的技术指导和规范约束，不利于行业的健康发展。本标准作为YS/T 121-1992系列标准的有益补充，对目前铜材加工产量最大的电工用铜线坯竖炉规定热平衡测定与计算方法。申报本标准能够填补这一空白，完善铜材加工行业标准体系，为行业发展提供有力支撑。</w:t>
      </w:r>
    </w:p>
    <w:p w14:paraId="5348F2DB">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1.4推动行业绿色可持续发展</w:t>
      </w:r>
    </w:p>
    <w:p w14:paraId="3794684B">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原YS/T 121-1992标准距发布实施已过去30多年，在这30多年里，中国铜加工产业发生了翻天覆地的变化，中国制造业也从制造大国发展成为制造强国，并迅速向智能制造、绿色制造转变，在钢铁、建材等行业广泛应用的节能技术在有色加工领域内，基本还未得到应用，原有标准已不适应当今形势，需要修订、补充。</w:t>
      </w:r>
    </w:p>
    <w:p w14:paraId="7964DCFE">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制定统一的行业标准，有助于企业提高能源利用效率，推动整个铜材加工产业的可持续发展。同时，随着社会对节能减排和环境保护的关注度不断提升，规范铜材加工竖炉热平衡测定与计算方法，有利于减少能源消耗和温室气体排放，符合经济社会发展的绿色低碳要求。</w:t>
      </w:r>
    </w:p>
    <w:p w14:paraId="4D34F086">
      <w:pPr>
        <w:pStyle w:val="6"/>
        <w:numPr>
          <w:ilvl w:val="0"/>
          <w:numId w:val="2"/>
        </w:numPr>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14:paraId="3E7AFA52">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——企业技术储备与技术水平、产业化情况、满足用户需求情况、市场规模；</w:t>
      </w:r>
    </w:p>
    <w:p w14:paraId="06338C53">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广州江铜铜材有限公司成立于2010年7月，是世界500强企业江西铜业股份有限公司在华南地区打造的产能最大、技术最先进的电工用铜线坯生产线企业年产能75万t/a。</w:t>
      </w:r>
    </w:p>
    <w:p w14:paraId="22E27B88">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拥有一条德国SMS Meer公司CR3700连铸连铸电工用铜线坯生产线，是该类型生产线全球产能最大电工用铜线坯生产线，年产能40万t/a。拥有一条美国南线公司SCR9000连铸连轧电工用铜线坯生产线。是该类型设备中目前产能最大、技术最先进的电工用铜线坯生产线，年产能35万t/a。</w:t>
      </w:r>
    </w:p>
    <w:p w14:paraId="081E1AC3">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——拟要解决的主要问题，相关标准情况，存在的问题，研制标准的意义。</w:t>
      </w:r>
    </w:p>
    <w:p w14:paraId="43E9DDA0">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填补行业标准空白，制定统一的行业标准，帮助企业测量、分析、对比竖炉能源利用效率，推动整个铜材加工产业的可持续发展，减少能源消耗和温室气体排放，符合经济社会发展的绿色低碳要求。</w:t>
      </w:r>
    </w:p>
    <w:p w14:paraId="0FADF222">
      <w:pPr>
        <w:pStyle w:val="6"/>
        <w:numPr>
          <w:ilvl w:val="0"/>
          <w:numId w:val="2"/>
        </w:numPr>
        <w:ind w:left="0" w:leftChars="0" w:firstLine="0" w:firstLineChars="0"/>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w:t>
      </w:r>
    </w:p>
    <w:p w14:paraId="4A73630E">
      <w:pPr>
        <w:pStyle w:val="6"/>
        <w:numPr>
          <w:ilvl w:val="-1"/>
          <w:numId w:val="0"/>
        </w:numPr>
        <w:ind w:left="0" w:leftChars="0" w:firstLine="420" w:firstLineChars="200"/>
        <w:jc w:val="left"/>
        <w:rPr>
          <w:rFonts w:hint="default" w:ascii="Times New Roman" w:hAnsi="Times New Roman" w:eastAsia="黑体" w:cs="Times New Roman"/>
          <w:b w:val="0"/>
          <w:bCs w:val="0"/>
          <w:color w:val="auto"/>
          <w:kern w:val="0"/>
          <w:sz w:val="21"/>
          <w:szCs w:val="21"/>
          <w:lang w:val="en-US" w:eastAsia="zh-CN" w:bidi="ar-SA"/>
        </w:rPr>
      </w:pPr>
      <w:r>
        <w:rPr>
          <w:rFonts w:hint="eastAsia" w:ascii="宋体" w:hAnsi="宋体" w:eastAsiaTheme="minorEastAsia" w:cstheme="minorBidi"/>
          <w:color w:val="auto"/>
          <w:kern w:val="2"/>
          <w:sz w:val="21"/>
          <w:szCs w:val="21"/>
          <w:lang w:val="en-US" w:eastAsia="zh-CN" w:bidi="ar-SA"/>
        </w:rPr>
        <w:t>通过对行业内部分电工用铜线坯公司设计产能、实际产量、产能发挥比例和天然气单耗进行的调研，见表2。</w:t>
      </w:r>
    </w:p>
    <w:p w14:paraId="1DCC2F9A">
      <w:pPr>
        <w:pStyle w:val="6"/>
        <w:numPr>
          <w:ilvl w:val="-1"/>
          <w:numId w:val="0"/>
        </w:numPr>
        <w:ind w:left="0" w:leftChars="0" w:firstLine="0" w:firstLineChars="0"/>
        <w:jc w:val="center"/>
        <w:rPr>
          <w:rFonts w:hint="eastAsia" w:ascii="黑体" w:eastAsia="黑体" w:cs="Arial"/>
          <w:color w:val="auto"/>
          <w:sz w:val="21"/>
          <w:szCs w:val="21"/>
          <w:lang w:val="en-US" w:eastAsia="zh-CN"/>
        </w:rPr>
      </w:pPr>
      <w:r>
        <w:rPr>
          <w:rFonts w:hint="default" w:ascii="Times New Roman" w:hAnsi="Times New Roman" w:eastAsia="黑体" w:cs="Times New Roman"/>
          <w:b w:val="0"/>
          <w:bCs w:val="0"/>
          <w:color w:val="auto"/>
          <w:kern w:val="0"/>
          <w:sz w:val="18"/>
          <w:szCs w:val="18"/>
          <w:lang w:val="en-US" w:eastAsia="zh-CN" w:bidi="ar-SA"/>
        </w:rPr>
        <w:t>表</w:t>
      </w:r>
      <w:r>
        <w:rPr>
          <w:rFonts w:hint="eastAsia" w:ascii="Times New Roman" w:hAnsi="Times New Roman" w:eastAsia="黑体" w:cs="Times New Roman"/>
          <w:b w:val="0"/>
          <w:bCs w:val="0"/>
          <w:color w:val="auto"/>
          <w:kern w:val="0"/>
          <w:sz w:val="18"/>
          <w:szCs w:val="18"/>
          <w:lang w:val="en-US" w:eastAsia="zh-CN" w:bidi="ar-SA"/>
        </w:rPr>
        <w:t>2</w:t>
      </w:r>
      <w:r>
        <w:rPr>
          <w:rFonts w:hint="default" w:ascii="Times New Roman" w:hAnsi="Times New Roman" w:eastAsia="黑体" w:cs="Times New Roman"/>
          <w:b w:val="0"/>
          <w:bCs w:val="0"/>
          <w:color w:val="auto"/>
          <w:kern w:val="0"/>
          <w:sz w:val="18"/>
          <w:szCs w:val="18"/>
          <w:lang w:val="en-US" w:eastAsia="zh-CN" w:bidi="ar-SA"/>
        </w:rPr>
        <w:t xml:space="preserve"> </w:t>
      </w:r>
      <w:r>
        <w:rPr>
          <w:rFonts w:hint="eastAsia" w:ascii="Times New Roman" w:hAnsi="Times New Roman" w:eastAsia="黑体" w:cs="Times New Roman"/>
          <w:b w:val="0"/>
          <w:bCs w:val="0"/>
          <w:color w:val="auto"/>
          <w:kern w:val="0"/>
          <w:sz w:val="18"/>
          <w:szCs w:val="18"/>
          <w:lang w:val="en-US" w:eastAsia="zh-CN" w:bidi="ar-SA"/>
        </w:rPr>
        <w:t>部分电工用铜线坯公司产能发挥和天然气单耗</w:t>
      </w:r>
      <w:r>
        <w:rPr>
          <w:rFonts w:hint="default" w:ascii="Times New Roman" w:hAnsi="Times New Roman" w:eastAsia="黑体" w:cs="Times New Roman"/>
          <w:b w:val="0"/>
          <w:bCs w:val="0"/>
          <w:color w:val="auto"/>
          <w:kern w:val="0"/>
          <w:sz w:val="18"/>
          <w:szCs w:val="18"/>
          <w:lang w:val="en-US" w:eastAsia="zh-CN" w:bidi="ar-SA"/>
        </w:rPr>
        <w:t>情况</w:t>
      </w:r>
    </w:p>
    <w:tbl>
      <w:tblPr>
        <w:tblStyle w:val="12"/>
        <w:tblW w:w="80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1"/>
        <w:gridCol w:w="1056"/>
        <w:gridCol w:w="1056"/>
        <w:gridCol w:w="1056"/>
        <w:gridCol w:w="1056"/>
        <w:gridCol w:w="1056"/>
        <w:gridCol w:w="1056"/>
      </w:tblGrid>
      <w:tr w14:paraId="3B2C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31B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594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 xml:space="preserve">公司1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4283">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 xml:space="preserve">公司2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1A1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 xml:space="preserve">公司3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8E7A">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 xml:space="preserve">公司4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CE6F">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 xml:space="preserve">公司5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BA2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公司6</w:t>
            </w:r>
          </w:p>
        </w:tc>
      </w:tr>
      <w:tr w14:paraId="2814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E6F5">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设计产能（万t）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FAD0">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D852">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07A1">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21BE">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77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22.5+15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9BE4">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22.5</w:t>
            </w:r>
          </w:p>
        </w:tc>
      </w:tr>
      <w:tr w14:paraId="13C7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E53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实际产量（万t）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D0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91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E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30.49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40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18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36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w:t>
            </w:r>
          </w:p>
        </w:tc>
      </w:tr>
      <w:tr w14:paraId="5190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D94F">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产能发挥比例 %</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8B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79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19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3D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D9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CC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r>
      <w:tr w14:paraId="59D3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EAD8">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天然气单耗（m³/t）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7B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35.72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78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1F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35.35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1E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39.36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85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40.18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85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36.97</w:t>
            </w:r>
          </w:p>
        </w:tc>
      </w:tr>
    </w:tbl>
    <w:p w14:paraId="7A9AFAD6">
      <w:pPr>
        <w:pStyle w:val="6"/>
        <w:numPr>
          <w:ilvl w:val="-1"/>
          <w:numId w:val="0"/>
        </w:numPr>
        <w:ind w:leftChars="0" w:firstLine="420" w:firstLineChars="200"/>
        <w:jc w:val="left"/>
        <w:rPr>
          <w:rFonts w:hint="default" w:ascii="宋体" w:hAnsi="宋体" w:eastAsiaTheme="minorEastAsia" w:cstheme="minorBidi"/>
          <w:strike w:val="0"/>
          <w:dstrike w:val="0"/>
          <w:color w:val="auto"/>
          <w:kern w:val="2"/>
          <w:sz w:val="21"/>
          <w:szCs w:val="21"/>
          <w:u w:val="none"/>
          <w:lang w:val="en-US" w:eastAsia="zh-CN" w:bidi="ar-SA"/>
        </w:rPr>
      </w:pPr>
      <w:r>
        <w:rPr>
          <w:rFonts w:hint="eastAsia" w:ascii="宋体" w:hAnsi="宋体" w:eastAsiaTheme="minorEastAsia" w:cstheme="minorBidi"/>
          <w:strike w:val="0"/>
          <w:dstrike w:val="0"/>
          <w:color w:val="auto"/>
          <w:kern w:val="2"/>
          <w:sz w:val="21"/>
          <w:szCs w:val="21"/>
          <w:u w:val="none"/>
          <w:lang w:val="en-US" w:eastAsia="zh-CN" w:bidi="ar-SA"/>
        </w:rPr>
        <w:t>一方面，行业内普遍使用天然气单耗作为统计值进行生产管理和对比，未考虑天然气热值，亦未对天然气在竖炉的使用效率、热量去向进行统计、分析、改进。</w:t>
      </w:r>
    </w:p>
    <w:p w14:paraId="3B0DABC0">
      <w:pPr>
        <w:pStyle w:val="6"/>
        <w:numPr>
          <w:ilvl w:val="-1"/>
          <w:numId w:val="0"/>
        </w:numPr>
        <w:ind w:leftChars="0" w:firstLine="420" w:firstLineChars="200"/>
        <w:jc w:val="left"/>
        <w:rPr>
          <w:rFonts w:hint="default" w:ascii="宋体" w:hAnsi="宋体" w:eastAsiaTheme="minorEastAsia" w:cstheme="minorBidi"/>
          <w:strike w:val="0"/>
          <w:dstrike w:val="0"/>
          <w:color w:val="auto"/>
          <w:kern w:val="2"/>
          <w:sz w:val="21"/>
          <w:szCs w:val="21"/>
          <w:highlight w:val="yellow"/>
          <w:u w:val="none"/>
          <w:lang w:val="en-US" w:eastAsia="zh-CN" w:bidi="ar-SA"/>
        </w:rPr>
      </w:pPr>
      <w:r>
        <w:rPr>
          <w:rFonts w:hint="eastAsia" w:ascii="宋体" w:hAnsi="宋体" w:eastAsiaTheme="minorEastAsia" w:cstheme="minorBidi"/>
          <w:strike w:val="0"/>
          <w:dstrike w:val="0"/>
          <w:color w:val="auto"/>
          <w:kern w:val="2"/>
          <w:sz w:val="21"/>
          <w:szCs w:val="21"/>
          <w:u w:val="none"/>
          <w:lang w:val="en-US" w:eastAsia="zh-CN" w:bidi="ar-SA"/>
        </w:rPr>
        <w:t>另一方面，即使产能发挥比例高的公司（如公司4，公司6），天然气单耗不一定就低，反映了对竖炉热平衡进行测试的必要性，通过热平衡测试，可以更科学的对比、分析和改进热能利用效率，降低能源成本，促进企业更好的发展。</w:t>
      </w:r>
    </w:p>
    <w:p w14:paraId="13DAAF10">
      <w:pPr>
        <w:pStyle w:val="6"/>
        <w:numPr>
          <w:ilvl w:val="0"/>
          <w:numId w:val="2"/>
        </w:numPr>
        <w:ind w:left="0" w:leftChars="0" w:firstLine="0" w:firstLine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标准的先进性、创新性、标准实施后预期产生的经济效益和社会效益</w:t>
      </w:r>
    </w:p>
    <w:p w14:paraId="29FFFACA">
      <w:pPr>
        <w:pStyle w:val="6"/>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08FD4949">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目前，针对铜材加工竖炉热平衡测定与计算方法的专项行业标准尚属空白。这导致行业内缺乏有效的技术指导和规范约束，不利于行业的健康发展。本标准作为YS/T 121-1992系列标准的有益补充，对目前铜材加工产量最大的电工用铜线坯竖炉规定热平衡测定与计算方法。申报本标准能够填补这一空白，完善铜材加工行业标准体系，为行业发展提供有力支撑。</w:t>
      </w:r>
    </w:p>
    <w:p w14:paraId="67D39B1F">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原YS/T 121-1992标准距发布实施已过去30多年，在这30多年里，中国铜加工产业发生了翻天覆地的变化，中国制造业也从制造大国发展成为制造强国，并迅速向智能制造、绿色制造转变，在钢铁、建材等行业广泛应用的节能技术在电工用铜线坯加工领域内，基本还未得到应用，原有标准已不适应当今形势，亟待完善。</w:t>
      </w:r>
    </w:p>
    <w:p w14:paraId="58AED4B2">
      <w:pPr>
        <w:pStyle w:val="6"/>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1DE1EEF0">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经济效益：标准实施后，企业能够通过准确的热平衡测定与计算，优化竖炉运行参数，提高能源利用效率，减少设备维护成本，延长设备使用寿命，进一步提高企业经济效益。</w:t>
      </w:r>
    </w:p>
    <w:p w14:paraId="2FC200B4">
      <w:pPr>
        <w:pStyle w:val="6"/>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75A94B26">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社会效益：标准的实施有助于提升铜材加工行业的整体技术水平和管理水平，促进产业升级。通过规范热平衡测定与计算方法，能够培养一批专业的热工技术人才，提高行业从业人员的素质。此外，行业整体能源利用效率的提高，有助于缓解能源供应紧张局面，保障国家能源安全，具有重要的社会效益。</w:t>
      </w:r>
    </w:p>
    <w:p w14:paraId="1961DD26">
      <w:pPr>
        <w:pStyle w:val="6"/>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14:paraId="37B8E06F">
      <w:pPr>
        <w:pStyle w:val="6"/>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生态效益：企业通过热平衡测定与计算，优化竖炉运行参数，提高能源利用效率，减少二氧化碳排放，对改善生态环境、应对气候变化具有积极作用。</w:t>
      </w:r>
    </w:p>
    <w:p w14:paraId="4B68B0A2">
      <w:pPr>
        <w:pStyle w:val="6"/>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467EF2A1">
      <w:pPr>
        <w:pStyle w:val="6"/>
        <w:rPr>
          <w:rFonts w:hint="eastAsia"/>
          <w:lang w:val="en-US" w:eastAsia="zh-CN"/>
        </w:rPr>
      </w:pPr>
      <w:r>
        <w:rPr>
          <w:rFonts w:hint="eastAsia"/>
          <w:lang w:eastAsia="zh-CN"/>
        </w:rPr>
        <w:t>——</w:t>
      </w:r>
      <w:r>
        <w:rPr>
          <w:rFonts w:hint="eastAsia"/>
          <w:lang w:val="en-US" w:eastAsia="zh-CN"/>
        </w:rPr>
        <w:t>是否采用国际或国外先进标准，及采用国际标准和国外先进标准的程度（IDT或MOD或NEQ）；</w:t>
      </w:r>
    </w:p>
    <w:p w14:paraId="05AFBFCC">
      <w:pPr>
        <w:pStyle w:val="6"/>
        <w:numPr>
          <w:ilvl w:val="0"/>
          <w:numId w:val="0"/>
        </w:num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否。</w:t>
      </w:r>
    </w:p>
    <w:p w14:paraId="410067C9">
      <w:pPr>
        <w:pStyle w:val="6"/>
        <w:rPr>
          <w:rFonts w:hint="eastAsia"/>
          <w:lang w:val="en-US" w:eastAsia="zh-CN"/>
        </w:rPr>
      </w:pPr>
      <w:r>
        <w:rPr>
          <w:rFonts w:hint="eastAsia"/>
          <w:lang w:val="en-US" w:eastAsia="zh-CN"/>
        </w:rPr>
        <w:t>——查阅到国际同类标准的情况，及标准水平的对比分析（宜以表格形式出现）；</w:t>
      </w:r>
    </w:p>
    <w:p w14:paraId="708C4E3D">
      <w:pPr>
        <w:pStyle w:val="6"/>
        <w:numPr>
          <w:ilvl w:val="0"/>
          <w:numId w:val="0"/>
        </w:numPr>
        <w:ind w:firstLine="420" w:firstLineChars="200"/>
        <w:rPr>
          <w:rFonts w:hint="eastAsia"/>
          <w:lang w:val="en-US" w:eastAsia="zh-CN"/>
        </w:rPr>
      </w:pPr>
      <w:r>
        <w:rPr>
          <w:rFonts w:hint="eastAsia" w:ascii="宋体" w:hAnsi="宋体" w:eastAsiaTheme="minorEastAsia" w:cstheme="minorBidi"/>
          <w:color w:val="auto"/>
          <w:kern w:val="2"/>
          <w:sz w:val="21"/>
          <w:szCs w:val="21"/>
          <w:lang w:val="en-US" w:eastAsia="zh-CN" w:bidi="ar-SA"/>
        </w:rPr>
        <w:t>否。</w:t>
      </w:r>
    </w:p>
    <w:p w14:paraId="362CB874">
      <w:pPr>
        <w:pStyle w:val="6"/>
        <w:rPr>
          <w:rFonts w:hint="eastAsia"/>
          <w:lang w:val="en-US" w:eastAsia="zh-CN"/>
        </w:rPr>
      </w:pPr>
      <w:r>
        <w:rPr>
          <w:rFonts w:hint="eastAsia"/>
          <w:lang w:val="en-US" w:eastAsia="zh-CN"/>
        </w:rPr>
        <w:t>——与测试的国外样品、样机的有关数据对比情况。</w:t>
      </w:r>
    </w:p>
    <w:p w14:paraId="0A2DF8AB">
      <w:pPr>
        <w:pStyle w:val="6"/>
        <w:numPr>
          <w:ilvl w:val="0"/>
          <w:numId w:val="0"/>
        </w:numPr>
        <w:ind w:firstLine="420" w:firstLineChars="200"/>
        <w:rPr>
          <w:rFonts w:hint="default"/>
          <w:lang w:val="en-US" w:eastAsia="zh-CN"/>
        </w:rPr>
      </w:pPr>
      <w:r>
        <w:rPr>
          <w:rFonts w:hint="eastAsia" w:ascii="宋体" w:hAnsi="宋体" w:eastAsiaTheme="minorEastAsia" w:cstheme="minorBidi"/>
          <w:color w:val="auto"/>
          <w:kern w:val="2"/>
          <w:sz w:val="21"/>
          <w:szCs w:val="21"/>
          <w:lang w:val="en-US" w:eastAsia="zh-CN" w:bidi="ar-SA"/>
        </w:rPr>
        <w:t>否。</w:t>
      </w:r>
    </w:p>
    <w:p w14:paraId="25597D21">
      <w:pPr>
        <w:keepNext w:val="0"/>
        <w:keepLines w:val="0"/>
        <w:pageBreakBefore w:val="0"/>
        <w:numPr>
          <w:ilvl w:val="0"/>
          <w:numId w:val="3"/>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155968E2">
      <w:pPr>
        <w:pStyle w:val="2"/>
        <w:rPr>
          <w:rFonts w:hint="eastAsia" w:eastAsiaTheme="minorEastAsia"/>
          <w:lang w:val="en-US" w:eastAsia="zh-CN"/>
        </w:rPr>
      </w:pPr>
      <w:r>
        <w:rPr>
          <w:rFonts w:hint="eastAsia"/>
          <w:lang w:val="en-US" w:eastAsia="zh-CN"/>
        </w:rPr>
        <w:t>无。</w:t>
      </w:r>
    </w:p>
    <w:p w14:paraId="18006C37">
      <w:pPr>
        <w:keepNext w:val="0"/>
        <w:keepLines w:val="0"/>
        <w:pageBreakBefore w:val="0"/>
        <w:numPr>
          <w:ilvl w:val="0"/>
          <w:numId w:val="3"/>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691B8EAC">
      <w:pPr>
        <w:keepNext w:val="0"/>
        <w:keepLines w:val="0"/>
        <w:pageBreakBefore w:val="0"/>
        <w:kinsoku/>
        <w:wordWrap/>
        <w:overflowPunct/>
        <w:topLinePunct w:val="0"/>
        <w:bidi w:val="0"/>
        <w:snapToGrid/>
        <w:spacing w:line="440" w:lineRule="exact"/>
        <w:ind w:firstLine="420" w:firstLineChars="200"/>
        <w:textAlignment w:val="auto"/>
      </w:pPr>
      <w:r>
        <w:rPr>
          <w:rFonts w:hint="eastAsia" w:ascii="宋体" w:hAnsi="宋体"/>
          <w:color w:val="auto"/>
          <w:sz w:val="21"/>
          <w:szCs w:val="21"/>
        </w:rPr>
        <w:t>本标准符合现行法律、法规的要求，并与其他同类国家标准、国家J用标准、行业标准无冲突、重叠和不协调之处。</w:t>
      </w:r>
    </w:p>
    <w:p w14:paraId="71C47D17">
      <w:pPr>
        <w:keepNext w:val="0"/>
        <w:keepLines w:val="0"/>
        <w:pageBreakBefore w:val="0"/>
        <w:numPr>
          <w:ilvl w:val="0"/>
          <w:numId w:val="3"/>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1" w:name="_Toc32100"/>
      <w:r>
        <w:rPr>
          <w:rFonts w:hint="eastAsia" w:ascii="黑体" w:hAnsi="宋体" w:eastAsia="黑体" w:cs="宋体"/>
          <w:bCs/>
          <w:color w:val="auto"/>
          <w:sz w:val="21"/>
          <w:szCs w:val="21"/>
          <w:lang w:val="en-US" w:eastAsia="zh-CN"/>
        </w:rPr>
        <w:t>重大分歧意见的处理经过和依据</w:t>
      </w:r>
    </w:p>
    <w:p w14:paraId="13A499F4">
      <w:pPr>
        <w:keepNext w:val="0"/>
        <w:keepLines w:val="0"/>
        <w:pageBreakBefore w:val="0"/>
        <w:kinsoku/>
        <w:wordWrap/>
        <w:overflowPunct/>
        <w:topLinePunct w:val="0"/>
        <w:bidi w:val="0"/>
        <w:snapToGrid/>
        <w:spacing w:line="440" w:lineRule="exact"/>
        <w:ind w:firstLine="420" w:firstLineChars="200"/>
        <w:textAlignment w:val="auto"/>
        <w:rPr>
          <w:rFonts w:hint="eastAsia"/>
          <w:lang w:val="en-US" w:eastAsia="zh-CN"/>
        </w:rPr>
      </w:pPr>
      <w:r>
        <w:rPr>
          <w:rFonts w:hint="eastAsia" w:ascii="宋体" w:hAnsi="宋体"/>
          <w:color w:val="auto"/>
          <w:sz w:val="21"/>
          <w:szCs w:val="21"/>
        </w:rPr>
        <w:t>暂无。</w:t>
      </w:r>
    </w:p>
    <w:p w14:paraId="061599E3">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1166E26">
      <w:pPr>
        <w:pStyle w:val="6"/>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1"/>
    <w:p w14:paraId="6F74CA09">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2"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2"/>
    </w:p>
    <w:p w14:paraId="345E0AB3">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本标准建议作为</w:t>
      </w:r>
      <w:r>
        <w:rPr>
          <w:rFonts w:hint="eastAsia" w:ascii="宋体" w:hAnsi="宋体" w:eastAsia="宋体" w:cs="宋体"/>
          <w:color w:val="C00000"/>
          <w:sz w:val="21"/>
          <w:szCs w:val="21"/>
        </w:rPr>
        <w:t>推荐性</w:t>
      </w:r>
      <w:r>
        <w:rPr>
          <w:rFonts w:hint="eastAsia" w:ascii="宋体" w:hAnsi="宋体" w:eastAsia="宋体" w:cs="宋体"/>
          <w:color w:val="auto"/>
          <w:sz w:val="21"/>
          <w:szCs w:val="21"/>
        </w:rPr>
        <w:t>行业标准发布。</w:t>
      </w:r>
      <w:bookmarkStart w:id="3" w:name="_Toc15588"/>
    </w:p>
    <w:p w14:paraId="3B1D3A38">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建议标准发布后即可实施，建议本标准由各级人民政府的工业和信息化行政主管部门负责监督实施。</w:t>
      </w:r>
    </w:p>
    <w:p w14:paraId="7C42A071">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本次制定的《有色金属加工企业竖炉热平衡测试与计算方法》，不仅与生产企业有关，而且与评价机构、行业监督管理部门等相关。对于标准使用过程中可能出现的问题，起草单位有义务进行必要的解释。</w:t>
      </w:r>
    </w:p>
    <w:bookmarkEnd w:id="3"/>
    <w:p w14:paraId="14417C5C">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4" w:name="_Toc22451"/>
      <w:r>
        <w:rPr>
          <w:rFonts w:hint="eastAsia" w:ascii="黑体" w:hAnsi="宋体" w:eastAsia="黑体" w:cs="宋体"/>
          <w:bCs/>
          <w:color w:val="auto"/>
          <w:sz w:val="21"/>
          <w:szCs w:val="21"/>
        </w:rPr>
        <w:t>十、其他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4"/>
    </w:p>
    <w:p w14:paraId="29E97D23">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无。</w:t>
      </w:r>
    </w:p>
    <w:p w14:paraId="6C1EBE5E">
      <w:pPr>
        <w:keepNext w:val="0"/>
        <w:keepLines w:val="0"/>
        <w:pageBreakBefore w:val="0"/>
        <w:kinsoku/>
        <w:wordWrap/>
        <w:overflowPunct/>
        <w:topLinePunct w:val="0"/>
        <w:bidi w:val="0"/>
        <w:snapToGrid/>
        <w:spacing w:line="440" w:lineRule="exact"/>
        <w:jc w:val="right"/>
        <w:textAlignment w:val="auto"/>
        <w:rPr>
          <w:rFonts w:hint="eastAsia"/>
          <w:color w:val="auto"/>
          <w:sz w:val="21"/>
          <w:szCs w:val="21"/>
        </w:rPr>
      </w:pPr>
      <w:r>
        <w:rPr>
          <w:rFonts w:hint="eastAsia"/>
          <w:color w:val="auto"/>
          <w:sz w:val="21"/>
          <w:szCs w:val="21"/>
        </w:rPr>
        <w:t xml:space="preserve">                            </w:t>
      </w:r>
    </w:p>
    <w:p w14:paraId="2234E5BB">
      <w:pPr>
        <w:keepNext w:val="0"/>
        <w:keepLines w:val="0"/>
        <w:pageBreakBefore w:val="0"/>
        <w:kinsoku/>
        <w:wordWrap/>
        <w:overflowPunct/>
        <w:topLinePunct w:val="0"/>
        <w:bidi w:val="0"/>
        <w:snapToGrid/>
        <w:spacing w:line="440" w:lineRule="exact"/>
        <w:jc w:val="right"/>
        <w:textAlignment w:val="auto"/>
        <w:rPr>
          <w:rFonts w:hint="eastAsia"/>
          <w:color w:val="auto"/>
          <w:sz w:val="21"/>
          <w:szCs w:val="21"/>
        </w:rPr>
      </w:pPr>
      <w:r>
        <w:rPr>
          <w:rFonts w:hint="eastAsia"/>
          <w:color w:val="auto"/>
          <w:sz w:val="21"/>
          <w:szCs w:val="21"/>
        </w:rPr>
        <w:t xml:space="preserve"> 《</w:t>
      </w:r>
      <w:r>
        <w:rPr>
          <w:rFonts w:hint="eastAsia"/>
          <w:color w:val="auto"/>
          <w:sz w:val="21"/>
          <w:szCs w:val="21"/>
          <w:lang w:val="en-US" w:eastAsia="zh-CN"/>
        </w:rPr>
        <w:t>有色金属加工企业竖炉热平衡测试与计算方法</w:t>
      </w:r>
      <w:r>
        <w:rPr>
          <w:rFonts w:hint="eastAsia"/>
          <w:color w:val="auto"/>
          <w:sz w:val="21"/>
          <w:szCs w:val="21"/>
        </w:rPr>
        <w:t>》</w:t>
      </w:r>
    </w:p>
    <w:p w14:paraId="09476B01">
      <w:pPr>
        <w:keepNext w:val="0"/>
        <w:keepLines w:val="0"/>
        <w:pageBreakBefore w:val="0"/>
        <w:kinsoku/>
        <w:wordWrap/>
        <w:overflowPunct/>
        <w:topLinePunct w:val="0"/>
        <w:bidi w:val="0"/>
        <w:snapToGrid/>
        <w:spacing w:line="440" w:lineRule="exact"/>
        <w:jc w:val="right"/>
        <w:textAlignment w:val="auto"/>
        <w:rPr>
          <w:rFonts w:ascii="宋体" w:hAnsi="宋体" w:eastAsia="宋体"/>
          <w:color w:val="auto"/>
          <w:sz w:val="21"/>
          <w:szCs w:val="21"/>
        </w:rPr>
      </w:pPr>
      <w:r>
        <w:rPr>
          <w:rFonts w:hint="eastAsia"/>
          <w:color w:val="auto"/>
          <w:sz w:val="21"/>
          <w:szCs w:val="21"/>
          <w:lang w:val="en-US" w:eastAsia="zh-CN"/>
        </w:rPr>
        <w:t>标准</w:t>
      </w:r>
      <w:r>
        <w:rPr>
          <w:rFonts w:hint="eastAsia" w:ascii="宋体" w:hAnsi="宋体" w:eastAsia="宋体"/>
          <w:color w:val="auto"/>
          <w:sz w:val="21"/>
          <w:szCs w:val="21"/>
        </w:rPr>
        <w:t>编制组</w:t>
      </w:r>
    </w:p>
    <w:p w14:paraId="1FC79309">
      <w:pPr>
        <w:keepNext w:val="0"/>
        <w:keepLines w:val="0"/>
        <w:pageBreakBefore w:val="0"/>
        <w:kinsoku/>
        <w:wordWrap/>
        <w:overflowPunct/>
        <w:topLinePunct w:val="0"/>
        <w:bidi w:val="0"/>
        <w:snapToGrid/>
        <w:spacing w:beforeLines="100" w:line="440" w:lineRule="exact"/>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4</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20</w:t>
      </w:r>
      <w:r>
        <w:rPr>
          <w:rFonts w:hint="eastAsia" w:ascii="宋体" w:hAnsi="宋体" w:eastAsia="宋体"/>
          <w:color w:val="auto"/>
          <w:sz w:val="21"/>
          <w:szCs w:val="21"/>
        </w:rPr>
        <w:t>日</w:t>
      </w:r>
    </w:p>
    <w:sectPr>
      <w:pgSz w:w="11906" w:h="16838"/>
      <w:pgMar w:top="1440" w:right="1780" w:bottom="1440" w:left="17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F116BB8D"/>
    <w:multiLevelType w:val="singleLevel"/>
    <w:tmpl w:val="F116BB8D"/>
    <w:lvl w:ilvl="0" w:tentative="0">
      <w:start w:val="1"/>
      <w:numFmt w:val="chineseCounting"/>
      <w:suff w:val="nothing"/>
      <w:lvlText w:val="（%1）"/>
      <w:lvlJc w:val="left"/>
      <w:rPr>
        <w:rFonts w:hint="eastAsia"/>
      </w:rPr>
    </w:lvl>
  </w:abstractNum>
  <w:abstractNum w:abstractNumId="2">
    <w:nsid w:val="4916F4FC"/>
    <w:multiLevelType w:val="singleLevel"/>
    <w:tmpl w:val="4916F4FC"/>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17E"/>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35030A"/>
    <w:rsid w:val="016E044A"/>
    <w:rsid w:val="02913BC4"/>
    <w:rsid w:val="03772BBD"/>
    <w:rsid w:val="037E78D0"/>
    <w:rsid w:val="070B5632"/>
    <w:rsid w:val="0C482343"/>
    <w:rsid w:val="0E1715B4"/>
    <w:rsid w:val="116D0724"/>
    <w:rsid w:val="11855DCB"/>
    <w:rsid w:val="12184440"/>
    <w:rsid w:val="129F4319"/>
    <w:rsid w:val="140603E8"/>
    <w:rsid w:val="158C3A67"/>
    <w:rsid w:val="162639BD"/>
    <w:rsid w:val="16D05547"/>
    <w:rsid w:val="18704CB4"/>
    <w:rsid w:val="18EC395A"/>
    <w:rsid w:val="192E28F8"/>
    <w:rsid w:val="1A9E2B3B"/>
    <w:rsid w:val="1B414DF5"/>
    <w:rsid w:val="1B4D19DA"/>
    <w:rsid w:val="1D2E60CA"/>
    <w:rsid w:val="1E5E2AE4"/>
    <w:rsid w:val="1ECE2E43"/>
    <w:rsid w:val="1FB0010B"/>
    <w:rsid w:val="22C80A1D"/>
    <w:rsid w:val="234A45D7"/>
    <w:rsid w:val="25D6438C"/>
    <w:rsid w:val="28E92B74"/>
    <w:rsid w:val="29A078DB"/>
    <w:rsid w:val="2AF42FD1"/>
    <w:rsid w:val="2AFE1A16"/>
    <w:rsid w:val="2CF17ED9"/>
    <w:rsid w:val="2D491F9E"/>
    <w:rsid w:val="2D9B3963"/>
    <w:rsid w:val="2DD6396D"/>
    <w:rsid w:val="2EE3075D"/>
    <w:rsid w:val="2F20599A"/>
    <w:rsid w:val="2FE50BA9"/>
    <w:rsid w:val="317F0BCA"/>
    <w:rsid w:val="32832A04"/>
    <w:rsid w:val="32907C03"/>
    <w:rsid w:val="32A777DC"/>
    <w:rsid w:val="391C28EE"/>
    <w:rsid w:val="3A6C3919"/>
    <w:rsid w:val="3B7A0F58"/>
    <w:rsid w:val="3C2C38C7"/>
    <w:rsid w:val="3C672EE2"/>
    <w:rsid w:val="3E690C74"/>
    <w:rsid w:val="42B307CB"/>
    <w:rsid w:val="48960B41"/>
    <w:rsid w:val="493733B5"/>
    <w:rsid w:val="49EC224C"/>
    <w:rsid w:val="4C4C62F7"/>
    <w:rsid w:val="4CAA019C"/>
    <w:rsid w:val="4CBD57DA"/>
    <w:rsid w:val="4E474BF7"/>
    <w:rsid w:val="4FD37F56"/>
    <w:rsid w:val="50302767"/>
    <w:rsid w:val="50CE10DD"/>
    <w:rsid w:val="541327B7"/>
    <w:rsid w:val="5A8E35B6"/>
    <w:rsid w:val="5BB01E23"/>
    <w:rsid w:val="5CE1600A"/>
    <w:rsid w:val="5FE34F5E"/>
    <w:rsid w:val="62BC4273"/>
    <w:rsid w:val="62F4609A"/>
    <w:rsid w:val="64836699"/>
    <w:rsid w:val="65FB005C"/>
    <w:rsid w:val="690F766A"/>
    <w:rsid w:val="6B3E697D"/>
    <w:rsid w:val="6E3C6504"/>
    <w:rsid w:val="6F0931B7"/>
    <w:rsid w:val="6F3335BA"/>
    <w:rsid w:val="6FEE7313"/>
    <w:rsid w:val="731C016A"/>
    <w:rsid w:val="74346BB6"/>
    <w:rsid w:val="763B7D07"/>
    <w:rsid w:val="76A76695"/>
    <w:rsid w:val="76E521D9"/>
    <w:rsid w:val="7A241826"/>
    <w:rsid w:val="7AC34054"/>
    <w:rsid w:val="7B5B3EF1"/>
    <w:rsid w:val="7B6312FE"/>
    <w:rsid w:val="7B8239A1"/>
    <w:rsid w:val="7C484A74"/>
    <w:rsid w:val="7DFD0C42"/>
    <w:rsid w:val="7F44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ind w:firstLine="200"/>
      <w:jc w:val="center"/>
      <w:outlineLvl w:val="0"/>
    </w:pPr>
    <w:rPr>
      <w:rFonts w:ascii="Times New Roman" w:hAnsi="Times New Roman" w:eastAsia="黑体"/>
      <w:b/>
      <w:kern w:val="44"/>
      <w:sz w:val="24"/>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5">
    <w:name w:val="annotation text"/>
    <w:basedOn w:val="1"/>
    <w:link w:val="21"/>
    <w:qFormat/>
    <w:uiPriority w:val="0"/>
    <w:pPr>
      <w:spacing w:line="360" w:lineRule="auto"/>
      <w:jc w:val="left"/>
    </w:pPr>
    <w:rPr>
      <w:rFonts w:ascii="宋体" w:hAnsi="宋体" w:eastAsia="宋体" w:cs="Times New Roman"/>
      <w:szCs w:val="24"/>
    </w:rPr>
  </w:style>
  <w:style w:type="paragraph" w:styleId="6">
    <w:name w:val="Body Text"/>
    <w:basedOn w:val="1"/>
    <w:unhideWhenUsed/>
    <w:qFormat/>
    <w:uiPriority w:val="99"/>
    <w:pPr>
      <w:spacing w:after="120"/>
    </w:pPr>
    <w:rPr>
      <w:rFonts w:eastAsia="仿宋_GB2312"/>
    </w:rPr>
  </w:style>
  <w:style w:type="paragraph" w:styleId="7">
    <w:name w:val="Body Text Indent"/>
    <w:basedOn w:val="1"/>
    <w:link w:val="20"/>
    <w:qFormat/>
    <w:uiPriority w:val="0"/>
    <w:pPr>
      <w:ind w:firstLine="420"/>
    </w:pPr>
    <w:rPr>
      <w:rFonts w:ascii="Times New Roman" w:hAnsi="Times New Roman" w:eastAsia="宋体" w:cs="Times New Roman"/>
      <w:sz w:val="24"/>
      <w:szCs w:val="24"/>
    </w:rPr>
  </w:style>
  <w:style w:type="paragraph" w:styleId="8">
    <w:name w:val="Balloon Text"/>
    <w:basedOn w:val="1"/>
    <w:link w:val="16"/>
    <w:semiHidden/>
    <w:unhideWhenUsed/>
    <w:qFormat/>
    <w:uiPriority w:val="99"/>
    <w:rPr>
      <w:sz w:val="18"/>
      <w:szCs w:val="18"/>
    </w:r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character" w:customStyle="1" w:styleId="16">
    <w:name w:val="批注框文本 Char"/>
    <w:basedOn w:val="14"/>
    <w:link w:val="8"/>
    <w:semiHidden/>
    <w:qFormat/>
    <w:uiPriority w:val="99"/>
    <w:rPr>
      <w:sz w:val="18"/>
      <w:szCs w:val="18"/>
    </w:rPr>
  </w:style>
  <w:style w:type="character" w:customStyle="1" w:styleId="17">
    <w:name w:val="页眉 Char"/>
    <w:basedOn w:val="14"/>
    <w:link w:val="10"/>
    <w:semiHidden/>
    <w:qFormat/>
    <w:uiPriority w:val="99"/>
    <w:rPr>
      <w:sz w:val="18"/>
      <w:szCs w:val="18"/>
    </w:rPr>
  </w:style>
  <w:style w:type="character" w:customStyle="1" w:styleId="18">
    <w:name w:val="页脚 Char"/>
    <w:basedOn w:val="14"/>
    <w:link w:val="9"/>
    <w:semiHidden/>
    <w:qFormat/>
    <w:uiPriority w:val="99"/>
    <w:rPr>
      <w:sz w:val="18"/>
      <w:szCs w:val="18"/>
    </w:rPr>
  </w:style>
  <w:style w:type="paragraph" w:customStyle="1" w:styleId="19">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20">
    <w:name w:val="正文文本缩进 Char"/>
    <w:basedOn w:val="14"/>
    <w:link w:val="7"/>
    <w:qFormat/>
    <w:uiPriority w:val="0"/>
    <w:rPr>
      <w:rFonts w:ascii="Times New Roman" w:hAnsi="Times New Roman" w:eastAsia="宋体" w:cs="Times New Roman"/>
      <w:sz w:val="24"/>
      <w:szCs w:val="24"/>
    </w:rPr>
  </w:style>
  <w:style w:type="character" w:customStyle="1" w:styleId="21">
    <w:name w:val="批注文字 Char"/>
    <w:basedOn w:val="14"/>
    <w:link w:val="5"/>
    <w:qFormat/>
    <w:uiPriority w:val="0"/>
    <w:rPr>
      <w:rFonts w:ascii="宋体" w:hAnsi="宋体" w:eastAsia="宋体" w:cs="Times New Roman"/>
      <w:szCs w:val="24"/>
    </w:rPr>
  </w:style>
  <w:style w:type="paragraph" w:customStyle="1" w:styleId="22">
    <w:name w:val="段"/>
    <w:link w:val="23"/>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3">
    <w:name w:val="段 Char"/>
    <w:link w:val="22"/>
    <w:qFormat/>
    <w:uiPriority w:val="0"/>
    <w:rPr>
      <w:rFonts w:ascii="宋体" w:hAnsi="Times New Roman" w:eastAsia="宋体"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6862</Words>
  <Characters>7305</Characters>
  <Lines>68</Lines>
  <Paragraphs>19</Paragraphs>
  <TotalTime>35</TotalTime>
  <ScaleCrop>false</ScaleCrop>
  <LinksUpToDate>false</LinksUpToDate>
  <CharactersWithSpaces>7429</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huawei</cp:lastModifiedBy>
  <dcterms:modified xsi:type="dcterms:W3CDTF">2026-05-12T01:34:44Z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73794E7302A54839BDCAFCC345F79FFD</vt:lpwstr>
  </property>
  <property fmtid="{D5CDD505-2E9C-101B-9397-08002B2CF9AE}" pid="4" name="KSOTemplateDocerSaveRecord">
    <vt:lpwstr>eyJoZGlkIjoiMjJhNDg4MTAyZGQxZmY5OGVlZWQ5M2Y2NDY4MDBlMWMiLCJ1c2VySWQiOiIxNDkzNzg0NzAzIn0=</vt:lpwstr>
  </property>
</Properties>
</file>