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8A4E33">
      <w:pPr>
        <w:jc w:val="center"/>
        <w:rPr>
          <w:rFonts w:hint="eastAsia" w:eastAsia="黑体"/>
          <w:color w:val="auto"/>
          <w:sz w:val="32"/>
          <w:szCs w:val="32"/>
          <w:lang w:val="en-US" w:eastAsia="zh-CN"/>
        </w:rPr>
      </w:pPr>
    </w:p>
    <w:p w14:paraId="43B6A713">
      <w:pPr>
        <w:jc w:val="center"/>
        <w:rPr>
          <w:rFonts w:hint="eastAsia" w:eastAsia="黑体"/>
          <w:color w:val="auto"/>
          <w:sz w:val="32"/>
          <w:szCs w:val="32"/>
          <w:lang w:val="en-US" w:eastAsia="zh-CN"/>
        </w:rPr>
      </w:pPr>
    </w:p>
    <w:p w14:paraId="077F43BF">
      <w:pPr>
        <w:jc w:val="center"/>
        <w:rPr>
          <w:rFonts w:hint="eastAsia" w:eastAsia="黑体"/>
          <w:color w:val="auto"/>
          <w:sz w:val="32"/>
          <w:szCs w:val="32"/>
          <w:lang w:val="en-US" w:eastAsia="zh-CN"/>
        </w:rPr>
      </w:pPr>
    </w:p>
    <w:p w14:paraId="53969195">
      <w:pPr>
        <w:jc w:val="center"/>
        <w:rPr>
          <w:rFonts w:hint="eastAsia" w:eastAsia="黑体"/>
          <w:color w:val="auto"/>
          <w:sz w:val="32"/>
          <w:szCs w:val="32"/>
          <w:lang w:val="en-US" w:eastAsia="zh-CN"/>
        </w:rPr>
      </w:pPr>
    </w:p>
    <w:p w14:paraId="49B2B3D8">
      <w:pPr>
        <w:jc w:val="center"/>
        <w:rPr>
          <w:rFonts w:hint="eastAsia" w:eastAsia="黑体"/>
          <w:color w:val="auto"/>
          <w:sz w:val="32"/>
          <w:szCs w:val="32"/>
          <w:lang w:val="en-US" w:eastAsia="zh-CN"/>
        </w:rPr>
      </w:pPr>
    </w:p>
    <w:p w14:paraId="68A45F7A">
      <w:pPr>
        <w:jc w:val="center"/>
        <w:rPr>
          <w:rFonts w:hint="eastAsia" w:eastAsia="黑体"/>
          <w:color w:val="auto"/>
          <w:sz w:val="44"/>
          <w:szCs w:val="44"/>
          <w:lang w:val="en-US" w:eastAsia="zh-CN"/>
        </w:rPr>
      </w:pPr>
    </w:p>
    <w:p w14:paraId="52E0A125">
      <w:pPr>
        <w:jc w:val="center"/>
        <w:rPr>
          <w:rFonts w:hint="eastAsia" w:eastAsia="黑体"/>
          <w:color w:val="auto"/>
          <w:sz w:val="44"/>
          <w:szCs w:val="44"/>
          <w:lang w:val="en-US" w:eastAsia="zh-CN"/>
        </w:rPr>
      </w:pPr>
      <w:r>
        <w:rPr>
          <w:rFonts w:hint="eastAsia" w:eastAsia="黑体"/>
          <w:color w:val="auto"/>
          <w:sz w:val="44"/>
          <w:szCs w:val="44"/>
          <w:lang w:val="en-US" w:eastAsia="zh-CN"/>
        </w:rPr>
        <w:t>国家标准《铜及铜合金化学分析方法</w:t>
      </w:r>
    </w:p>
    <w:p w14:paraId="00AE9882">
      <w:pPr>
        <w:jc w:val="center"/>
        <w:rPr>
          <w:rFonts w:hint="eastAsia" w:eastAsia="黑体"/>
          <w:color w:val="auto"/>
          <w:sz w:val="44"/>
          <w:szCs w:val="44"/>
          <w:lang w:val="en-US" w:eastAsia="zh-CN"/>
        </w:rPr>
      </w:pPr>
      <w:r>
        <w:rPr>
          <w:rFonts w:hint="eastAsia" w:eastAsia="黑体"/>
          <w:color w:val="auto"/>
          <w:sz w:val="44"/>
          <w:szCs w:val="44"/>
          <w:lang w:val="en-US" w:eastAsia="zh-CN"/>
        </w:rPr>
        <w:t>第22部分 镉含量的测定》编制说明</w:t>
      </w:r>
    </w:p>
    <w:p w14:paraId="2B0E82A0">
      <w:pPr>
        <w:pStyle w:val="3"/>
        <w:rPr>
          <w:rFonts w:hint="eastAsia"/>
          <w:lang w:val="en-US" w:eastAsia="zh-CN"/>
        </w:rPr>
      </w:pPr>
    </w:p>
    <w:p w14:paraId="6FD979E8">
      <w:pPr>
        <w:jc w:val="center"/>
        <w:rPr>
          <w:rFonts w:hint="eastAsia" w:eastAsia="黑体"/>
          <w:color w:val="auto"/>
          <w:sz w:val="32"/>
          <w:szCs w:val="32"/>
          <w:lang w:val="en-US" w:eastAsia="zh-CN"/>
        </w:rPr>
      </w:pPr>
      <w:r>
        <w:rPr>
          <w:rFonts w:hint="eastAsia" w:eastAsia="黑体"/>
          <w:color w:val="auto"/>
          <w:sz w:val="32"/>
          <w:szCs w:val="32"/>
          <w:lang w:val="en-US" w:eastAsia="zh-CN"/>
        </w:rPr>
        <w:t>（征求意见稿）</w:t>
      </w:r>
    </w:p>
    <w:p w14:paraId="083AF3D4">
      <w:pPr>
        <w:jc w:val="center"/>
        <w:rPr>
          <w:rFonts w:hint="eastAsia" w:eastAsia="黑体"/>
          <w:color w:val="auto"/>
          <w:sz w:val="28"/>
          <w:szCs w:val="28"/>
          <w:lang w:val="en-US" w:eastAsia="zh-CN"/>
        </w:rPr>
      </w:pPr>
    </w:p>
    <w:p w14:paraId="67D435A6">
      <w:pPr>
        <w:jc w:val="center"/>
        <w:rPr>
          <w:rFonts w:hint="eastAsia" w:eastAsia="黑体"/>
          <w:color w:val="auto"/>
          <w:sz w:val="28"/>
          <w:szCs w:val="28"/>
          <w:lang w:val="en-US" w:eastAsia="zh-CN"/>
        </w:rPr>
      </w:pPr>
    </w:p>
    <w:p w14:paraId="4D5E62B0">
      <w:pPr>
        <w:jc w:val="center"/>
        <w:rPr>
          <w:rFonts w:hint="eastAsia" w:eastAsia="黑体"/>
          <w:color w:val="auto"/>
          <w:sz w:val="28"/>
          <w:szCs w:val="28"/>
          <w:lang w:val="en-US" w:eastAsia="zh-CN"/>
        </w:rPr>
      </w:pPr>
    </w:p>
    <w:p w14:paraId="15B73921">
      <w:pPr>
        <w:jc w:val="center"/>
        <w:rPr>
          <w:rFonts w:hint="eastAsia" w:eastAsia="黑体"/>
          <w:color w:val="auto"/>
          <w:sz w:val="28"/>
          <w:szCs w:val="28"/>
          <w:lang w:val="en-US" w:eastAsia="zh-CN"/>
        </w:rPr>
      </w:pPr>
    </w:p>
    <w:p w14:paraId="4AE6AF22">
      <w:pPr>
        <w:jc w:val="center"/>
        <w:rPr>
          <w:rFonts w:hint="eastAsia" w:eastAsia="黑体"/>
          <w:color w:val="auto"/>
          <w:sz w:val="28"/>
          <w:szCs w:val="28"/>
          <w:lang w:val="en-US" w:eastAsia="zh-CN"/>
        </w:rPr>
      </w:pPr>
    </w:p>
    <w:p w14:paraId="65CCCD6A">
      <w:pPr>
        <w:jc w:val="center"/>
        <w:rPr>
          <w:rFonts w:hint="eastAsia" w:eastAsia="黑体"/>
          <w:color w:val="auto"/>
          <w:sz w:val="28"/>
          <w:szCs w:val="28"/>
          <w:lang w:val="en-US" w:eastAsia="zh-CN"/>
        </w:rPr>
      </w:pPr>
    </w:p>
    <w:p w14:paraId="00909E4C">
      <w:pPr>
        <w:jc w:val="center"/>
        <w:rPr>
          <w:rFonts w:hint="eastAsia" w:eastAsia="黑体"/>
          <w:color w:val="auto"/>
          <w:sz w:val="28"/>
          <w:szCs w:val="28"/>
          <w:lang w:val="en-US" w:eastAsia="zh-CN"/>
        </w:rPr>
      </w:pPr>
    </w:p>
    <w:p w14:paraId="154E1BBE">
      <w:pPr>
        <w:jc w:val="center"/>
        <w:rPr>
          <w:rFonts w:hint="eastAsia" w:eastAsia="黑体"/>
          <w:color w:val="auto"/>
          <w:sz w:val="28"/>
          <w:szCs w:val="28"/>
          <w:lang w:val="en-US" w:eastAsia="zh-CN"/>
        </w:rPr>
      </w:pPr>
      <w:r>
        <w:rPr>
          <w:rFonts w:hint="eastAsia" w:eastAsia="黑体"/>
          <w:color w:val="auto"/>
          <w:sz w:val="28"/>
          <w:szCs w:val="28"/>
          <w:lang w:val="en-US" w:eastAsia="zh-CN"/>
        </w:rPr>
        <w:t>中铝洛阳铜加工有限公司</w:t>
      </w:r>
    </w:p>
    <w:p w14:paraId="23FDA1D1">
      <w:pPr>
        <w:jc w:val="center"/>
        <w:rPr>
          <w:rFonts w:hint="default" w:eastAsia="黑体"/>
          <w:color w:val="auto"/>
          <w:sz w:val="28"/>
          <w:szCs w:val="28"/>
          <w:lang w:val="en-US" w:eastAsia="zh-CN"/>
        </w:rPr>
      </w:pPr>
      <w:r>
        <w:rPr>
          <w:rFonts w:hint="eastAsia" w:eastAsia="黑体"/>
          <w:color w:val="auto"/>
          <w:sz w:val="28"/>
          <w:szCs w:val="28"/>
          <w:lang w:val="en-US" w:eastAsia="zh-CN"/>
        </w:rPr>
        <w:t>2026年04月</w:t>
      </w:r>
      <w:r>
        <w:rPr>
          <w:rFonts w:hint="eastAsia" w:eastAsia="黑体"/>
          <w:color w:val="auto"/>
          <w:sz w:val="28"/>
          <w:szCs w:val="28"/>
          <w:lang w:val="en-US" w:eastAsia="zh-CN"/>
        </w:rPr>
        <w:br w:type="page"/>
      </w:r>
    </w:p>
    <w:p w14:paraId="2C746BF2">
      <w:pPr>
        <w:jc w:val="center"/>
        <w:rPr>
          <w:rFonts w:hint="eastAsia" w:eastAsia="黑体"/>
          <w:color w:val="auto"/>
          <w:sz w:val="32"/>
          <w:szCs w:val="32"/>
          <w:lang w:val="en-US" w:eastAsia="zh-CN"/>
        </w:rPr>
      </w:pPr>
      <w:r>
        <w:rPr>
          <w:rFonts w:hint="eastAsia" w:eastAsia="黑体"/>
          <w:color w:val="auto"/>
          <w:sz w:val="32"/>
          <w:szCs w:val="32"/>
          <w:lang w:val="en-US" w:eastAsia="zh-CN"/>
        </w:rPr>
        <w:t>国家标准《铜及铜合金化学分析方法</w:t>
      </w:r>
    </w:p>
    <w:p w14:paraId="02C2DF38">
      <w:pPr>
        <w:numPr>
          <w:ilvl w:val="0"/>
          <w:numId w:val="0"/>
        </w:numPr>
        <w:jc w:val="center"/>
        <w:rPr>
          <w:rFonts w:hint="eastAsia" w:eastAsia="黑体"/>
          <w:color w:val="auto"/>
          <w:sz w:val="32"/>
          <w:szCs w:val="32"/>
          <w:lang w:val="en-US" w:eastAsia="zh-CN"/>
        </w:rPr>
      </w:pPr>
      <w:r>
        <w:rPr>
          <w:rFonts w:hint="eastAsia" w:eastAsia="黑体"/>
          <w:color w:val="auto"/>
          <w:sz w:val="32"/>
          <w:szCs w:val="32"/>
          <w:lang w:val="en-US" w:eastAsia="zh-CN"/>
        </w:rPr>
        <w:t>第22部分 镉含量的测定》编制说明</w:t>
      </w:r>
    </w:p>
    <w:p w14:paraId="6E03AA90">
      <w:pPr>
        <w:numPr>
          <w:ilvl w:val="0"/>
          <w:numId w:val="0"/>
        </w:numPr>
        <w:jc w:val="center"/>
        <w:rPr>
          <w:rFonts w:hint="eastAsia" w:eastAsia="黑体"/>
          <w:color w:val="auto"/>
          <w:sz w:val="32"/>
          <w:szCs w:val="32"/>
          <w:lang w:val="en-US" w:eastAsia="zh-CN"/>
        </w:rPr>
      </w:pPr>
      <w:r>
        <w:rPr>
          <w:rFonts w:hint="eastAsia" w:eastAsia="黑体"/>
          <w:color w:val="auto"/>
          <w:sz w:val="32"/>
          <w:szCs w:val="32"/>
          <w:lang w:val="en-US" w:eastAsia="zh-CN"/>
        </w:rPr>
        <w:t>（征求意见稿）</w:t>
      </w:r>
    </w:p>
    <w:p w14:paraId="5229526A">
      <w:pPr>
        <w:pStyle w:val="11"/>
        <w:keepNext w:val="0"/>
        <w:keepLines w:val="0"/>
        <w:pageBreakBefore w:val="0"/>
        <w:kinsoku/>
        <w:wordWrap/>
        <w:overflowPunct/>
        <w:topLinePunct w:val="0"/>
        <w:autoSpaceDE/>
        <w:autoSpaceDN/>
        <w:bidi w:val="0"/>
        <w:adjustRightInd/>
        <w:snapToGrid/>
        <w:spacing w:before="0" w:beforeAutospacing="0" w:after="0" w:afterAutospacing="0" w:line="440" w:lineRule="exact"/>
        <w:jc w:val="both"/>
        <w:textAlignment w:val="auto"/>
        <w:rPr>
          <w:rFonts w:ascii="黑体" w:eastAsia="黑体" w:cs="Arial"/>
          <w:color w:val="auto"/>
          <w:sz w:val="21"/>
          <w:szCs w:val="21"/>
        </w:rPr>
      </w:pPr>
      <w:r>
        <w:rPr>
          <w:rFonts w:hint="eastAsia" w:ascii="黑体" w:eastAsia="黑体" w:cs="Arial"/>
          <w:color w:val="auto"/>
          <w:sz w:val="21"/>
          <w:szCs w:val="21"/>
        </w:rPr>
        <w:t>一、工作简况</w:t>
      </w:r>
    </w:p>
    <w:p w14:paraId="7889C107">
      <w:pPr>
        <w:pStyle w:val="11"/>
        <w:keepNext w:val="0"/>
        <w:keepLines w:val="0"/>
        <w:pageBreakBefore w:val="0"/>
        <w:kinsoku/>
        <w:wordWrap/>
        <w:overflowPunct/>
        <w:topLinePunct w:val="0"/>
        <w:autoSpaceDE/>
        <w:autoSpaceDN/>
        <w:bidi w:val="0"/>
        <w:adjustRightInd/>
        <w:snapToGrid/>
        <w:spacing w:before="0" w:beforeAutospacing="0" w:after="0" w:afterAutospacing="0" w:line="440" w:lineRule="exact"/>
        <w:jc w:val="both"/>
        <w:textAlignment w:val="auto"/>
        <w:rPr>
          <w:rFonts w:ascii="黑体" w:eastAsia="黑体" w:cs="Arial"/>
          <w:color w:val="auto"/>
          <w:sz w:val="21"/>
          <w:szCs w:val="21"/>
        </w:rPr>
      </w:pPr>
      <w:r>
        <w:rPr>
          <w:rFonts w:hint="eastAsia" w:ascii="黑体" w:eastAsia="黑体" w:cs="Arial"/>
          <w:color w:val="auto"/>
          <w:sz w:val="21"/>
          <w:szCs w:val="21"/>
        </w:rPr>
        <w:t>1.1任务来源</w:t>
      </w:r>
    </w:p>
    <w:p w14:paraId="0BB63A5A">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color w:val="auto"/>
          <w:sz w:val="21"/>
          <w:szCs w:val="21"/>
          <w:lang w:val="en-US" w:eastAsia="zh-CN"/>
        </w:rPr>
      </w:pPr>
      <w:r>
        <w:rPr>
          <w:rFonts w:hint="eastAsia" w:ascii="宋体" w:hAnsi="宋体"/>
          <w:color w:val="auto"/>
          <w:sz w:val="21"/>
          <w:szCs w:val="21"/>
          <w:lang w:val="en-US" w:eastAsia="zh-CN"/>
        </w:rPr>
        <w:t>根据国家标准化管理委员会下达《国家标准委关于下达2025年第七批推荐性国家标准计划及相关标准外文版计划的通知》（国标委发【2025】43号），计划修订国家标准《铜及铜合金化学分析方法 第22部分  镉含量的测定》（项目计划号：20253821-T-610）。由本标准由中铝洛阳铜加工有限公司负责起草，</w:t>
      </w:r>
      <w:r>
        <w:rPr>
          <w:rFonts w:hint="eastAsia" w:ascii="宋体" w:hAnsi="宋体"/>
          <w:color w:val="auto"/>
          <w:sz w:val="21"/>
          <w:szCs w:val="21"/>
          <w:highlight w:val="none"/>
          <w:lang w:val="en-US" w:eastAsia="zh-CN"/>
        </w:rPr>
        <w:t>北矿检测技术股份有限公司、</w:t>
      </w:r>
      <w:r>
        <w:rPr>
          <w:rFonts w:hint="eastAsia" w:ascii="宋体" w:hAnsi="宋体"/>
          <w:color w:val="auto"/>
          <w:sz w:val="21"/>
          <w:szCs w:val="21"/>
          <w:lang w:val="en-US" w:eastAsia="zh-CN"/>
        </w:rPr>
        <w:t>深圳市中金岭南有色金属有限责任公司、上海有色金属工业技术监测中心有限公司、浙江冶金产品质量检验站有限公司、聊城市产品质量监督检验所、湖南有色金属研究院有限责任公司、广东省科学院工业分析检测中心、中国船舶重工集团公司第七二五研究所(洛阳船舶材料研究所)、北京有色金属与稀土应用研究所有限公司、格林美股份有限公司、铜陵有色金属集团控股有限公司等11家单位参与起草，由全国有色金属标准化技术委员会归口管理。计划完成期限：2026年8月。</w:t>
      </w:r>
    </w:p>
    <w:p w14:paraId="7BFCBCAE">
      <w:pPr>
        <w:pStyle w:val="18"/>
        <w:keepNext w:val="0"/>
        <w:keepLines w:val="0"/>
        <w:pageBreakBefore w:val="0"/>
        <w:kinsoku/>
        <w:wordWrap/>
        <w:overflowPunct/>
        <w:topLinePunct w:val="0"/>
        <w:autoSpaceDE/>
        <w:autoSpaceDN/>
        <w:bidi w:val="0"/>
        <w:adjustRightInd/>
        <w:snapToGrid/>
        <w:spacing w:beforeLines="0" w:afterLines="0" w:line="440" w:lineRule="exact"/>
        <w:textAlignment w:val="auto"/>
        <w:outlineLvl w:val="9"/>
        <w:rPr>
          <w:rFonts w:hint="eastAsia" w:ascii="宋体" w:hAnsi="宋体" w:eastAsia="宋体" w:cs="宋体"/>
          <w:color w:val="auto"/>
          <w:sz w:val="21"/>
          <w:szCs w:val="21"/>
          <w:lang w:val="en-US" w:eastAsia="zh-CN"/>
        </w:rPr>
      </w:pPr>
      <w:r>
        <w:rPr>
          <w:rFonts w:hint="eastAsia" w:hAnsi="黑体" w:cs="黑体"/>
          <w:color w:val="auto"/>
          <w:sz w:val="21"/>
          <w:szCs w:val="21"/>
        </w:rPr>
        <w:t>1.2立项目的和意义</w:t>
      </w:r>
    </w:p>
    <w:p w14:paraId="5DF07039">
      <w:pPr>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镉在铜及铜合金金中一般作为镉青铜的主成分元素存在。但是镉元素是一种对人体和环境有害的重金属元素，近年来，随着对人体健康和环境保护越加重视，对铜及铜合金中的镉元素含量也进行了严格的限制。欧盟RohS指令中限定镉含量不得大于100ppm，我国在GB/T 5231-2022中对纯铜、黄铜等几十种牌号均对镉元素进行了限制规定，限值范围一般为0.0010%～0.010%。</w:t>
      </w:r>
    </w:p>
    <w:p w14:paraId="018C5BAB">
      <w:pPr>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GB/T 5121.22-2008《铜及铜合金化学分析方法 第22部分：镉含量的测定》发布实施于2008年，该标准规定了铜及铜合金中镉含量的测定方法。该标准共有两个方法，分别是一项塞曼效应电热原子吸收光谱法和一项火焰原子吸收光谱法，其中火焰原子吸收光谱法修改采用了ISO 5960：1984，标准的检测范围能够涵盖0.50%～1.50%，因其检测下限较高，已无法满足铜及铜合金T14440、T68370等材料中镉元素的检测需求。方法二修改采用了ISO 5960：1984，该ISO标准检测范围为0.0005%～2.00%，本身可以满足上述牌号材料的检测需求。但GB/T 5121.22-2008采用该标准时国内尚未对材料中镉提出要求，因此仅留下其中一段工作曲线以满足镉青铜的检测需求，也让该标准的两个方法在检测范围上未能衔接上，在0.0010%～0.50%之间留下较大空缺。</w:t>
      </w:r>
    </w:p>
    <w:p w14:paraId="57371AE4">
      <w:pPr>
        <w:spacing w:line="240" w:lineRule="auto"/>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sz w:val="21"/>
          <w:szCs w:val="21"/>
        </w:rPr>
        <w:t>综上所述，该方法具备扩展的可行性，对该方法进行修订完善是十分有必要的。本次拟扩展火焰原子吸收光谱法的检测范围，使标准的使用范围更广，可操作性更强。</w:t>
      </w:r>
    </w:p>
    <w:p w14:paraId="57437CB9">
      <w:pPr>
        <w:pStyle w:val="18"/>
        <w:keepNext w:val="0"/>
        <w:keepLines w:val="0"/>
        <w:pageBreakBefore w:val="0"/>
        <w:kinsoku/>
        <w:wordWrap/>
        <w:overflowPunct/>
        <w:topLinePunct w:val="0"/>
        <w:autoSpaceDE/>
        <w:autoSpaceDN/>
        <w:bidi w:val="0"/>
        <w:adjustRightInd/>
        <w:snapToGrid/>
        <w:spacing w:beforeLines="0" w:afterLines="0" w:line="440" w:lineRule="exact"/>
        <w:textAlignment w:val="auto"/>
        <w:outlineLvl w:val="9"/>
        <w:rPr>
          <w:rFonts w:hint="eastAsia" w:hAnsi="黑体" w:cs="黑体"/>
          <w:color w:val="auto"/>
          <w:sz w:val="21"/>
          <w:szCs w:val="21"/>
          <w:lang w:val="en-US" w:eastAsia="zh-CN"/>
        </w:rPr>
      </w:pPr>
      <w:r>
        <w:rPr>
          <w:rFonts w:hint="eastAsia" w:hAnsi="黑体" w:cs="黑体"/>
          <w:color w:val="auto"/>
          <w:sz w:val="21"/>
          <w:szCs w:val="21"/>
        </w:rPr>
        <w:t>1.3</w:t>
      </w:r>
      <w:r>
        <w:rPr>
          <w:rFonts w:hint="eastAsia" w:hAnsi="黑体" w:cs="黑体"/>
          <w:color w:val="auto"/>
          <w:sz w:val="21"/>
          <w:szCs w:val="21"/>
          <w:lang w:val="en-US" w:eastAsia="zh-CN"/>
        </w:rPr>
        <w:t>主要参加单位和工作成员所作的工作</w:t>
      </w:r>
    </w:p>
    <w:p w14:paraId="1971E59C">
      <w:pPr>
        <w:numPr>
          <w:ilvl w:val="0"/>
          <w:numId w:val="2"/>
        </w:numPr>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项目编制组</w:t>
      </w:r>
    </w:p>
    <w:p w14:paraId="3BD571C2">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标准制定计划任务正式下达后，中铝洛阳铜加工有限公司</w:t>
      </w:r>
      <w:r>
        <w:rPr>
          <w:rFonts w:hint="eastAsia" w:ascii="宋体" w:hAnsi="宋体" w:eastAsia="宋体" w:cs="宋体"/>
          <w:sz w:val="21"/>
          <w:szCs w:val="21"/>
          <w:highlight w:val="none"/>
          <w:lang w:val="en-US" w:eastAsia="zh-CN"/>
        </w:rPr>
        <w:t>立即成立了标准编制组，并落实起草任务，确定标准的主要起草人，拟定该标准的工作推进计划。具体分工为：中铝洛铜加工有限公司</w:t>
      </w:r>
      <w:r>
        <w:rPr>
          <w:rFonts w:hint="default" w:ascii="Times New Roman" w:hAnsi="Times New Roman" w:eastAsia="宋体" w:cs="Times New Roman"/>
          <w:sz w:val="21"/>
          <w:szCs w:val="21"/>
          <w:highlight w:val="none"/>
          <w:lang w:val="en-US" w:eastAsia="zh-CN"/>
        </w:rPr>
        <w:t>为本标准的主编单位，负责试验方案确定、市场和铜加工行业信息收集、样品牌号、规格及样品提供的分工、资料汇总分析及执笔；</w:t>
      </w:r>
      <w:r>
        <w:rPr>
          <w:rFonts w:hint="default" w:ascii="Times New Roman" w:hAnsi="Times New Roman" w:eastAsia="宋体" w:cs="Times New Roman"/>
          <w:b w:val="0"/>
          <w:bCs w:val="0"/>
          <w:sz w:val="21"/>
          <w:szCs w:val="21"/>
          <w:highlight w:val="none"/>
          <w:lang w:val="en-US" w:eastAsia="zh-CN"/>
        </w:rPr>
        <w:t>有色金属技术经济研究院有限责任公司</w:t>
      </w:r>
      <w:r>
        <w:rPr>
          <w:rFonts w:hint="default" w:ascii="Times New Roman" w:hAnsi="Times New Roman" w:eastAsia="宋体" w:cs="Times New Roman"/>
          <w:b w:val="0"/>
          <w:bCs w:val="0"/>
          <w:sz w:val="21"/>
          <w:szCs w:val="21"/>
          <w:lang w:val="en-US" w:eastAsia="zh-CN"/>
        </w:rPr>
        <w:t>负责对</w:t>
      </w:r>
      <w:r>
        <w:rPr>
          <w:rFonts w:hint="default" w:ascii="Times New Roman" w:hAnsi="Times New Roman" w:eastAsia="宋体" w:cs="Times New Roman"/>
          <w:sz w:val="21"/>
          <w:szCs w:val="21"/>
          <w:lang w:val="en-US" w:eastAsia="zh-CN"/>
        </w:rPr>
        <w:t>标准修订方案、标准文件和编制说明提出指导，并提供国内外相近的标准信息。</w:t>
      </w:r>
      <w:r>
        <w:rPr>
          <w:rFonts w:hint="eastAsia" w:cs="Times New Roman"/>
          <w:sz w:val="21"/>
          <w:szCs w:val="21"/>
          <w:lang w:val="en-US" w:eastAsia="zh-CN"/>
        </w:rPr>
        <w:t>深圳市中金岭南有色金属股份有限公司、</w:t>
      </w:r>
      <w:r>
        <w:rPr>
          <w:rFonts w:hint="eastAsia" w:ascii="宋体" w:hAnsi="宋体"/>
          <w:color w:val="auto"/>
          <w:sz w:val="21"/>
          <w:szCs w:val="21"/>
          <w:lang w:val="en-US" w:eastAsia="zh-CN"/>
        </w:rPr>
        <w:t>上海有色金属工业技术监测中心有限公司、</w:t>
      </w:r>
      <w:r>
        <w:rPr>
          <w:rFonts w:hint="default" w:ascii="Times New Roman" w:hAnsi="Times New Roman" w:eastAsia="宋体" w:cs="Times New Roman"/>
          <w:sz w:val="21"/>
          <w:szCs w:val="21"/>
          <w:lang w:val="en-US" w:eastAsia="zh-CN"/>
        </w:rPr>
        <w:t>浙江省冶金产品质量检验站有限公司、</w:t>
      </w:r>
      <w:r>
        <w:rPr>
          <w:rFonts w:hint="eastAsia" w:ascii="宋体" w:hAnsi="宋体" w:eastAsia="宋体" w:cs="宋体"/>
          <w:sz w:val="21"/>
          <w:szCs w:val="21"/>
          <w:lang w:val="en-US" w:eastAsia="zh-CN"/>
        </w:rPr>
        <w:t>聊城市产品质量监督检验所</w:t>
      </w:r>
      <w:r>
        <w:rPr>
          <w:rFonts w:hint="default" w:ascii="Times New Roman" w:hAnsi="Times New Roman" w:eastAsia="宋体" w:cs="Times New Roman"/>
          <w:sz w:val="21"/>
          <w:szCs w:val="21"/>
          <w:lang w:val="en-US" w:eastAsia="zh-CN"/>
        </w:rPr>
        <w:t>作为第</w:t>
      </w:r>
      <w:r>
        <w:rPr>
          <w:rFonts w:hint="default" w:ascii="Times New Roman" w:hAnsi="Times New Roman" w:cs="Times New Roman"/>
          <w:sz w:val="21"/>
          <w:szCs w:val="21"/>
          <w:lang w:val="en-US" w:eastAsia="zh-CN"/>
        </w:rPr>
        <w:t>一</w:t>
      </w:r>
      <w:r>
        <w:rPr>
          <w:rFonts w:hint="default" w:ascii="Times New Roman" w:hAnsi="Times New Roman" w:eastAsia="宋体" w:cs="Times New Roman"/>
          <w:sz w:val="21"/>
          <w:szCs w:val="21"/>
          <w:lang w:val="en-US" w:eastAsia="zh-CN"/>
        </w:rPr>
        <w:t>验证</w:t>
      </w:r>
      <w:r>
        <w:rPr>
          <w:rFonts w:hint="default" w:ascii="Times New Roman" w:hAnsi="Times New Roman" w:cs="Times New Roman"/>
          <w:sz w:val="21"/>
          <w:szCs w:val="21"/>
          <w:lang w:val="en-US" w:eastAsia="zh-CN"/>
        </w:rPr>
        <w:t>单位，</w:t>
      </w:r>
      <w:r>
        <w:rPr>
          <w:rFonts w:hint="eastAsia" w:ascii="宋体" w:hAnsi="宋体"/>
          <w:color w:val="auto"/>
          <w:sz w:val="21"/>
          <w:szCs w:val="21"/>
          <w:lang w:val="en-US" w:eastAsia="zh-CN"/>
        </w:rPr>
        <w:t>湖南有色金属研究院有限责任公司、</w:t>
      </w:r>
      <w:r>
        <w:rPr>
          <w:rFonts w:hint="eastAsia" w:ascii="宋体" w:hAnsi="宋体"/>
          <w:color w:val="auto"/>
          <w:sz w:val="21"/>
          <w:szCs w:val="21"/>
          <w:highlight w:val="none"/>
          <w:lang w:val="en-US" w:eastAsia="zh-CN"/>
        </w:rPr>
        <w:t>北矿检测技术股份有限公司、</w:t>
      </w:r>
      <w:r>
        <w:rPr>
          <w:rFonts w:hint="eastAsia" w:ascii="宋体" w:hAnsi="宋体"/>
          <w:color w:val="auto"/>
          <w:sz w:val="21"/>
          <w:szCs w:val="21"/>
          <w:lang w:val="en-US" w:eastAsia="zh-CN"/>
        </w:rPr>
        <w:t>广东省科学院工业分析检测中心、中国船舶重工集团公司第七二五研究所(洛阳船舶材料研究所)、北京有色金属与稀土应用研究所有限公司、格林美股份有限公司、铜陵有色金属集团控股有限公司</w:t>
      </w:r>
      <w:r>
        <w:rPr>
          <w:rFonts w:hint="eastAsia" w:ascii="宋体" w:hAnsi="宋体" w:eastAsia="宋体" w:cs="宋体"/>
          <w:sz w:val="21"/>
          <w:szCs w:val="21"/>
          <w:lang w:val="en-US" w:eastAsia="zh-CN"/>
        </w:rPr>
        <w:t>作为第二验证单位。各单位分工明确，通力合作，共同完成标准的</w:t>
      </w:r>
      <w:r>
        <w:rPr>
          <w:rFonts w:hint="eastAsia" w:ascii="宋体" w:hAnsi="宋体" w:cs="宋体"/>
          <w:sz w:val="21"/>
          <w:szCs w:val="21"/>
          <w:lang w:val="en-US" w:eastAsia="zh-CN"/>
        </w:rPr>
        <w:t>修订</w:t>
      </w:r>
      <w:r>
        <w:rPr>
          <w:rFonts w:hint="eastAsia" w:ascii="宋体" w:hAnsi="宋体" w:eastAsia="宋体" w:cs="宋体"/>
          <w:sz w:val="21"/>
          <w:szCs w:val="21"/>
          <w:lang w:val="en-US" w:eastAsia="zh-CN"/>
        </w:rPr>
        <w:t>工作。</w:t>
      </w:r>
    </w:p>
    <w:p w14:paraId="18669C30">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ascii="宋体" w:hAnsi="宋体" w:eastAsia="宋体" w:cs="宋体"/>
          <w:sz w:val="21"/>
          <w:szCs w:val="21"/>
          <w:lang w:val="en-US" w:eastAsia="zh-CN"/>
        </w:rPr>
      </w:pPr>
    </w:p>
    <w:p w14:paraId="06E392E0">
      <w:pPr>
        <w:keepNext w:val="0"/>
        <w:keepLines w:val="0"/>
        <w:pageBreakBefore w:val="0"/>
        <w:widowControl w:val="0"/>
        <w:numPr>
          <w:ilvl w:val="0"/>
          <w:numId w:val="2"/>
        </w:numPr>
        <w:kinsoku/>
        <w:wordWrap/>
        <w:overflowPunct/>
        <w:topLinePunct w:val="0"/>
        <w:autoSpaceDE/>
        <w:autoSpaceDN/>
        <w:bidi w:val="0"/>
        <w:adjustRightInd/>
        <w:snapToGrid/>
        <w:ind w:left="0" w:leftChars="0" w:firstLine="422" w:firstLineChars="200"/>
        <w:textAlignment w:val="auto"/>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编制单位技术基础</w:t>
      </w:r>
    </w:p>
    <w:p w14:paraId="38286132">
      <w:pPr>
        <w:keepNext w:val="0"/>
        <w:keepLines w:val="0"/>
        <w:pageBreakBefore w:val="0"/>
        <w:widowControl w:val="0"/>
        <w:kinsoku/>
        <w:wordWrap/>
        <w:overflowPunct/>
        <w:topLinePunct w:val="0"/>
        <w:autoSpaceDE/>
        <w:autoSpaceDN/>
        <w:bidi w:val="0"/>
        <w:spacing w:line="240" w:lineRule="auto"/>
        <w:ind w:firstLine="422" w:firstLineChars="200"/>
        <w:textAlignment w:val="auto"/>
        <w:rPr>
          <w:rFonts w:hint="default" w:ascii="Times New Roman" w:hAnsi="Times New Roman" w:eastAsia="宋体" w:cs="Times New Roman"/>
          <w:sz w:val="21"/>
          <w:szCs w:val="21"/>
          <w:highlight w:val="none"/>
          <w:lang w:val="en-US" w:eastAsia="zh-CN"/>
        </w:rPr>
      </w:pPr>
      <w:r>
        <w:rPr>
          <w:rFonts w:hint="eastAsia" w:ascii="宋体" w:hAnsi="宋体" w:eastAsia="宋体" w:cs="宋体"/>
          <w:b/>
          <w:bCs/>
          <w:sz w:val="21"/>
          <w:szCs w:val="21"/>
          <w:highlight w:val="none"/>
          <w:lang w:val="en-US" w:eastAsia="zh-CN"/>
        </w:rPr>
        <w:t>中铝洛阳铜加</w:t>
      </w:r>
      <w:r>
        <w:rPr>
          <w:rFonts w:hint="default" w:ascii="Times New Roman" w:hAnsi="Times New Roman" w:eastAsia="宋体" w:cs="Times New Roman"/>
          <w:b/>
          <w:bCs/>
          <w:sz w:val="21"/>
          <w:szCs w:val="21"/>
          <w:highlight w:val="none"/>
          <w:lang w:val="en-US" w:eastAsia="zh-CN"/>
        </w:rPr>
        <w:t>工有限公司</w:t>
      </w:r>
      <w:r>
        <w:rPr>
          <w:rFonts w:hint="default" w:ascii="Times New Roman" w:hAnsi="Times New Roman" w:eastAsia="宋体" w:cs="Times New Roman"/>
          <w:sz w:val="21"/>
          <w:szCs w:val="21"/>
          <w:highlight w:val="none"/>
          <w:lang w:val="en-US" w:eastAsia="zh-CN"/>
        </w:rPr>
        <w:t>是综合性有色金属加工企业，拥有铜及铜合金高精度电子带、大管大棒、弥散强化无氧铜、宽厚板等多条生产线，产品涉及铜及铜合金板、带、箔、管、棒、型材，广泛应用于电子信息通讯、新能源、汽车、海洋工程、轨道交通等领域。拥有国家级企业技术中心、国家实验室认证认可监督管理委员会认可的实验室、中国有色金属工业重金属加工材质检站、河南省铜镁材料和加工技术工程研究中心、中铝集团高性能铜板带加工技术重点实验室、有色行业铜及铜合金材料与加工工程技术研究中心。公司先后从德国、美国、法国、日本、英国、意大利等十二个国家引进了100多台(套)先进的无损探伤和理化检测设备，为有色金属产品的研制和生产打下了坚实的基础。公司拥有一支高素质的科研技术研发队伍，具备丰富的生产技术经验、技术能力和标准编写能力。铜及铜合金管材生产技术成熟，产品质量稳定、性能满足用户使用要求，有较好的技术基础和能力。</w:t>
      </w:r>
    </w:p>
    <w:p w14:paraId="433BCD3B">
      <w:pPr>
        <w:pStyle w:val="3"/>
        <w:keepNext w:val="0"/>
        <w:keepLines w:val="0"/>
        <w:pageBreakBefore w:val="0"/>
        <w:widowControl w:val="0"/>
        <w:kinsoku/>
        <w:wordWrap/>
        <w:overflowPunct/>
        <w:topLinePunct w:val="0"/>
        <w:autoSpaceDE/>
        <w:autoSpaceDN/>
        <w:bidi w:val="0"/>
        <w:adjustRightInd w:val="0"/>
        <w:snapToGrid w:val="0"/>
        <w:spacing w:after="0"/>
        <w:ind w:firstLine="422" w:firstLineChars="200"/>
        <w:textAlignment w:val="auto"/>
        <w:rPr>
          <w:rFonts w:hint="eastAsia" w:ascii="宋体" w:hAnsi="宋体" w:eastAsia="宋体" w:cs="宋体"/>
          <w:lang w:eastAsia="zh-CN"/>
        </w:rPr>
      </w:pPr>
      <w:r>
        <w:rPr>
          <w:rFonts w:hint="eastAsia" w:ascii="宋体" w:hAnsi="宋体" w:eastAsia="宋体" w:cs="宋体"/>
          <w:b/>
          <w:bCs/>
          <w:lang w:eastAsia="zh-CN"/>
        </w:rPr>
        <w:t>北矿检测技术股份有限公司</w:t>
      </w:r>
      <w:r>
        <w:rPr>
          <w:rFonts w:hint="eastAsia" w:ascii="宋体" w:hAnsi="宋体" w:eastAsia="宋体" w:cs="宋体"/>
          <w:lang w:eastAsia="zh-CN"/>
        </w:rPr>
        <w:t>源于1956年成立的北京矿冶研究总院分析研究室，2016年10月注册为独立法人单位，2022年9月改制为股份有限公司，是矿冶科技集团有限公司的二级控股子公司。公司主要从事有色金属矿产资源检验检测、检测技术及仪器研发与服务，承担国际国内仲裁检验检测、国际标准及国家和行业标准研制、分析检测技术和仪器研发等工作。公司同时为国家重有色金属质量监督检验中心、国家进出口商品检验有色金属认可实验室、中国有色金属工业重金属质检中心、科技成果检测鉴定国家级检测机构，在国内有色金属分析领域具有权威地位，在国际上享有一定声誉。公司是国家高新技术企业、中关村高新技术企业、科技型中小企业、国家专精特新“小巨人”企业、北京市专精特新“小巨人”企业、创建世界一流专精特新示范企业。公司拥有4个国家级平台和1个北京市重点实验室，发布国家和行业标准500余项、牵头和参与制定国际标准10余项。</w:t>
      </w:r>
    </w:p>
    <w:p w14:paraId="36FF8587">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rPr>
          <w:rFonts w:hint="eastAsia" w:ascii="宋体" w:hAnsi="宋体" w:eastAsia="宋体" w:cs="宋体"/>
          <w:lang w:val="en-US" w:eastAsia="zh-CN"/>
        </w:rPr>
      </w:pPr>
      <w:r>
        <w:rPr>
          <w:rFonts w:hint="eastAsia" w:ascii="宋体" w:hAnsi="宋体" w:eastAsia="宋体" w:cs="宋体"/>
          <w:b/>
          <w:bCs/>
          <w:lang w:val="en-US" w:eastAsia="zh-CN"/>
        </w:rPr>
        <w:t>深圳市中金岭南有色金属股份有限公司</w:t>
      </w:r>
      <w:r>
        <w:rPr>
          <w:rFonts w:hint="eastAsia" w:ascii="宋体" w:hAnsi="宋体" w:eastAsia="宋体" w:cs="宋体"/>
          <w:lang w:val="en-US" w:eastAsia="zh-CN"/>
        </w:rPr>
        <w:t>拥有国家级技术中心，设立了“博士后科研工作站”、“院士工作站”。公司为国家高新技术企业，拥有享受国务院特殊津贴的专家共19人。多年来，公司共获得省部级以上科技奖励超100项，其中国家级奖励13项：科技进步一等奖二项、二等奖七项、三等奖三项，技术发明二等奖一项。目前，持有自行研究开发所获得的专利近两百项，其中有效发明专利48项。  中心实验室配备了目前世界上最为高端的诸多精密分析仪器，拥有ICP-AES、ICP-MS、、X射线荧光光谱仪、电子探针、光电直读光谱、原子荧光、原子吸收、分光光度计、高频红外碳硫分析仪等多套设备。具有优良的科研传统和较强的研究能力，开发的分析方法上百种，主导或参与制定过近百项国家标准和行业标准。</w:t>
      </w:r>
    </w:p>
    <w:p w14:paraId="32C9597F">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b/>
          <w:bCs/>
          <w:sz w:val="21"/>
          <w:szCs w:val="21"/>
          <w:highlight w:val="none"/>
          <w:lang w:val="en-US" w:eastAsia="zh-CN"/>
        </w:rPr>
        <w:t>有色金属技术经济研究院有限责任公司</w:t>
      </w:r>
      <w:r>
        <w:rPr>
          <w:rFonts w:hint="eastAsia" w:ascii="宋体" w:hAnsi="宋体" w:eastAsia="宋体" w:cs="宋体"/>
          <w:sz w:val="21"/>
          <w:szCs w:val="21"/>
          <w:highlight w:val="none"/>
          <w:lang w:val="en-US" w:eastAsia="zh-CN"/>
        </w:rPr>
        <w:t>是我国有色金属标准化归口单位，业务工作隶属国家质量监督检验总局和国家工业和信息化部。负责我国有色金属及稀土国家标准、行业标准及国家军用标准的项目计划、制修订和复审工作，对企业执行的各类标准提供水平认证及企业标准的备案工作；负责有色金属标准样品的鉴定，定点研制单位等认可工作；负责组织制修订有色金属计量管理、技术规范，负责组织有色行业内计量检定人员的培训、发证和换证工作，组织有色企业完善计量检测体系的确认工作；承办全国优秀质量管理小组评选工作，组织开展有色金属产品用户满意度工程活动；研究所是国家科技部认定的国家一级科技查新咨询单位，可通过DIALOG、STN及互联网联机检索国外上百个各种专业数据库，国内可联机检索中国科技信息研究所、国防科技信息中心、机械部信息中心、中国化工信息中心等联机检索系统，作为国家一级查新单位，主要负责全国有色工业系统及相关行业的科研项目查新咨询工作，涉及与全国有色金属工业相关的各专业领域；另外研究所也是国家知识产权局认定的有色金属行业专利代理机构，是国防专利局指定的国防专利代理机构。</w:t>
      </w:r>
    </w:p>
    <w:p w14:paraId="6304038F">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rPr>
          <w:rFonts w:hint="eastAsia" w:ascii="宋体" w:hAnsi="宋体" w:eastAsia="宋体" w:cs="宋体"/>
          <w:lang w:val="en-US" w:eastAsia="zh-CN"/>
        </w:rPr>
      </w:pPr>
      <w:r>
        <w:rPr>
          <w:rFonts w:hint="eastAsia" w:ascii="宋体" w:hAnsi="宋体" w:eastAsia="宋体" w:cs="宋体"/>
          <w:b/>
          <w:bCs/>
        </w:rPr>
        <w:t>铜陵有色金属集团控股有限公司</w:t>
      </w:r>
      <w:r>
        <w:rPr>
          <w:rFonts w:hint="eastAsia" w:ascii="宋体" w:hAnsi="宋体" w:eastAsia="宋体" w:cs="宋体"/>
        </w:rPr>
        <w:t xml:space="preserve">下属检测研究中心于 2006年11月通过“中国合格评定国家认可委员会（CNAS）”的考核评定，为国家认可实验室及CMA省级认定实验室，所出具的检测数据得到国际上相关组织和机构认可。近年来，负责和参加起草的国际、国家及行业标准有200 余项。起草的国家标准曾获得全国有色金属标准化技术委员会、中国有色金属工业科学技术奖等，具有主要仪器有包括GC-MS、ICP-MS等大型仪器在内仪器300多台。标准起草人员多次参与有色国家及行业标准的起草、验证等工作，具有丰富的方法研究经验。 </w:t>
      </w:r>
    </w:p>
    <w:p w14:paraId="2CB2FDFA">
      <w:pPr>
        <w:pStyle w:val="6"/>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b/>
          <w:bCs/>
          <w:kern w:val="2"/>
          <w:sz w:val="21"/>
          <w:szCs w:val="21"/>
          <w:highlight w:val="none"/>
          <w:lang w:val="en-US" w:eastAsia="zh-CN" w:bidi="ar-SA"/>
        </w:rPr>
        <w:t>聊城市产品质量监督检验所</w:t>
      </w:r>
      <w:r>
        <w:rPr>
          <w:rFonts w:hint="eastAsia" w:ascii="宋体" w:hAnsi="宋体" w:eastAsia="宋体" w:cs="宋体"/>
          <w:kern w:val="2"/>
          <w:sz w:val="21"/>
          <w:szCs w:val="21"/>
          <w:highlight w:val="none"/>
          <w:lang w:val="en-US" w:eastAsia="zh-CN" w:bidi="ar-SA"/>
        </w:rPr>
        <w:t>是1985年由原聊城地区行政公署批准成立的综合检验检测机构。现已形成化工产品、金属材料、轻工产品、装饰材料、日用消费品、纺织产品、机电设备、食品及食品相关产品、农药（农产品）、饲料、建材、轴承等多类产品的检验检测能力。拥有2个国家级质检中心，分别是国家铜铝冶炼及加工产品质量监督检验中心、国家轴承产品质量监督检验中心；拥有6个省级质检中心，1个省级标准化试点（聊城“一站式”质量基础技术服务标准化试点）。还设有聊城市农药（农产品）监督检验中心等市级质检中心和聊城市重点实验室。设有扫描电镜室、金属化学分析室、力学实验室等多个专业化实验室。配备了电感耦合等离子体质谱仪、热场发射扫描电镜等64 台（套）高端检验检测设备。共通过检测参数441项，检验能力基本覆盖铜铝重要产品及关键项目（参数）的全部检验能力，覆盖率为85.63%。主持国家质检总局项目《自动加载轴承疲劳寿命试验机研究》1项。山东省质监系统科技项目2项。参与制定国家标准、行业标准14项，其中《铜及铜合金 室温拉伸试验方法》获得2016年度有色金属标准一等奖。主起草行业标准1项《铜中含氧量的显微镜偏光检验方法》。主持制定《输送流体用无缝钢管》等六项团体标准。出版《机械制造与自动化应用研究》等4本著作。发表论文4篇。发明实用新型专利6项、发明专利1项。</w:t>
      </w:r>
    </w:p>
    <w:p w14:paraId="3B84FB97">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b/>
          <w:bCs/>
          <w:sz w:val="21"/>
          <w:szCs w:val="21"/>
          <w:highlight w:val="none"/>
          <w:lang w:val="en-US" w:eastAsia="zh-CN"/>
        </w:rPr>
        <w:t>洛阳船舶材料研究所（中国船舶集团有限公司第七二五研究所）</w:t>
      </w:r>
      <w:r>
        <w:rPr>
          <w:rFonts w:hint="eastAsia" w:ascii="宋体" w:hAnsi="宋体" w:eastAsia="宋体" w:cs="宋体"/>
          <w:sz w:val="21"/>
          <w:szCs w:val="21"/>
          <w:highlight w:val="none"/>
          <w:lang w:val="en-US" w:eastAsia="zh-CN"/>
        </w:rPr>
        <w:t>始建于1961年，是我国专业从事船舶材料研制和工程应用研究的军工科研事业单位。拥有海洋腐蚀与防护国防科技重点实验室等8个国家级创新平台、4个海洋环境试验站、4个国家级检测试验中心、25个省部级创新平台。七二五所检测中心是工信部、国家认监委、国家认可委、中国船级社等机构授权或认证认可的国家级检测实验室，现有技术人员200余名，工程师职称以上人员占比70%，本科以上学历人员占比79%，在材料常规理化测试、腐蚀与防护性能评价、环境适应性评价、工程装备的失效分析、安全寿命评估等领域拥有多名学科带头人，是材料学科硕士、博士培养点。中心建有实验场所3万余m</w:t>
      </w:r>
      <w:r>
        <w:rPr>
          <w:rFonts w:hint="eastAsia" w:ascii="宋体" w:hAnsi="宋体" w:eastAsia="宋体" w:cs="宋体"/>
          <w:sz w:val="21"/>
          <w:szCs w:val="21"/>
          <w:highlight w:val="none"/>
          <w:vertAlign w:val="superscript"/>
          <w:lang w:val="en-US" w:eastAsia="zh-CN"/>
        </w:rPr>
        <w:t>2</w:t>
      </w:r>
      <w:r>
        <w:rPr>
          <w:rFonts w:hint="eastAsia" w:ascii="宋体" w:hAnsi="宋体" w:eastAsia="宋体" w:cs="宋体"/>
          <w:sz w:val="21"/>
          <w:szCs w:val="21"/>
          <w:highlight w:val="none"/>
          <w:lang w:val="en-US" w:eastAsia="zh-CN"/>
        </w:rPr>
        <w:t>，实验海域75亩，测试设备1000 余台套，设备资产总额约3亿元，通过CNAS\CMA认证认可标准950余项，试验/校准项目600项，长期从事金属材料及非金属材料的检测、评价与海洋环境试验技术开发、应用与标准化工作，致力于为客户提供“测试-评价-问题解决”一揽子方案。</w:t>
      </w:r>
    </w:p>
    <w:p w14:paraId="5FA143F8">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b/>
          <w:bCs/>
          <w:sz w:val="21"/>
          <w:szCs w:val="21"/>
          <w:highlight w:val="none"/>
          <w:lang w:val="en-US" w:eastAsia="zh-CN"/>
        </w:rPr>
        <w:t>广东省科学院工业分析检测中心</w:t>
      </w:r>
      <w:r>
        <w:rPr>
          <w:rFonts w:hint="eastAsia" w:ascii="宋体" w:hAnsi="宋体" w:eastAsia="宋体" w:cs="宋体"/>
          <w:sz w:val="21"/>
          <w:szCs w:val="21"/>
          <w:highlight w:val="none"/>
          <w:lang w:val="en-US" w:eastAsia="zh-CN"/>
        </w:rPr>
        <w:t>始建于1971年，先后隶属于广州有色金属研究院、广东省工业技术研究院，2015年12月经广东省机构编制委员会批准为广东省科学院属下的独立法人事业单位。中心是国家市场监督管理总局批准的资质认定实验室（CMA）、中国合格评定国家认可委员会批准的检测和校准实验室（CNAS）、运营管理着中国有色工业华南质量检验检测中心、国家矿物及再生金属材料质量检验检测中心、广东省质量监督有色金属产品检验站、广东省质量监督电子产品检验检测中心。本中心是广东省科技成果鉴定检验监督机构、广东省金属材料综合利用检测与评价中心、工业（有色金属及再生有色金属）产品质量控制和技术评价实验室、CQC认证及方圆认证签约实验室。中心主要从事金属材料、矿物材料、建筑材料、电子电器、新能源电池、化工产品、固体废物、汽车材料、再生资源及金属材料综合利用的检测、咨询、评价及分析测试技术研究和计量校准等服务。同时本中心还开展行业标准制定和技术方法研究及企业科研及标准培训、实验室资质申请及运营咨询、工厂认证检查和产品认证服务。</w:t>
      </w:r>
    </w:p>
    <w:p w14:paraId="18390EDF">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b/>
          <w:bCs/>
          <w:sz w:val="21"/>
          <w:szCs w:val="21"/>
          <w:highlight w:val="none"/>
          <w:lang w:val="en-US" w:eastAsia="zh-CN"/>
        </w:rPr>
        <w:t>浙江省冶金产品质量检验站有限公司</w:t>
      </w:r>
      <w:r>
        <w:rPr>
          <w:rFonts w:hint="eastAsia" w:ascii="宋体" w:hAnsi="宋体" w:eastAsia="宋体" w:cs="宋体"/>
          <w:sz w:val="21"/>
          <w:szCs w:val="21"/>
          <w:highlight w:val="none"/>
          <w:lang w:val="en-US" w:eastAsia="zh-CN"/>
        </w:rPr>
        <w:t>是具有独立法人资格的第三方公正检测机构，浙江省政府第一批授权成立的省级质检机构，浙江省冶金（有色）行业产品质量检测的专业检验机构，浙江省高级人民法院对外委托司法鉴定机构。公司拥有一支具有丰富经验的专业技术人员队伍，检测人员具有较高的专业知识、技术能力和评判能力。公司以高标准进行实验室建设，装备了具有国际、国内先进水平的仪器设备，公司配置了直读光谱仪（德国）、离子发射光谱仪（美国）、原子吸收光谱仪（美国）、氧氮氢分析仪（德国）、扫描电子显微镜（德国）、金相显微镜（德国）、金属材料疲劳、松驰、老化、持久、高低温试验机等检测设备。公司长期承担各类冶金有色产品理化检验，积累了丰富的检测经验和数据。同时公司还承担各级政府行政管理部门下达的产品质量定期监督检验、日常监督检验、市场抽查检验、产品质量仲裁检验等任务。公司重视标准化工作，多次负责和参与国家和行业标准编制，负责编制了GB/T 33817-2017、GB/T 8891-2013等标准；参与编制了GB/T 5231-2022、GB/T 37569-2019、YS/T 650-2020、YS/T 1352-2020、GB/T26303.1-2010、YS/T759-2011等多项标准。</w:t>
      </w:r>
    </w:p>
    <w:p w14:paraId="6040655D">
      <w:pPr>
        <w:pStyle w:val="6"/>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b/>
          <w:bCs/>
          <w:kern w:val="2"/>
          <w:sz w:val="21"/>
          <w:szCs w:val="21"/>
          <w:highlight w:val="none"/>
          <w:lang w:val="en-US" w:eastAsia="zh-CN" w:bidi="ar-SA"/>
        </w:rPr>
        <w:t>上海有色金属工业技术监测中心有限公司</w:t>
      </w:r>
      <w:r>
        <w:rPr>
          <w:rFonts w:hint="eastAsia" w:ascii="宋体" w:hAnsi="宋体" w:eastAsia="宋体" w:cs="宋体"/>
          <w:kern w:val="2"/>
          <w:sz w:val="21"/>
          <w:szCs w:val="21"/>
          <w:highlight w:val="none"/>
          <w:lang w:val="en-US" w:eastAsia="zh-CN" w:bidi="ar-SA"/>
        </w:rPr>
        <w:t>(简称“上海监测”)成立于2013年，隶属于中国有研集团国合通用测试评价认证股份公司。上海监测运行管理着“中国有色金属工业华东产品质量监督检验中心”和“中国有色金属工业无损检测中心”两个具有国家资质认定的检验检测机构。主营业务涉及第三方检测服务(含质量、能源、计量、环保技术检测；金属材料、电子材料理化检测；无损检测；贵金属及珠宝玉石检测等)、设备检定、检测培训等方面。上海监测通过了ISO/IEC 17025实验室国家认可(CNAS)、中国计量认证(CMA)、国家航空航天和国防合同方授信项目（NADCAP），是国家海关总署指定的进出口商品检验鉴定机构，是中国有色金属工业系统无损检测技术工作委员会的主任委员单位。公司拥有雄厚的技术力量，先进齐全的仪器装备，是华东地区权威的第三方材料测试评价机构。上海监测积极面向市场，服务社会，向两千多家研究单位和企业提供了大量准确可靠的分析数据，并承担了大量国家质量监管和技术开发任务，为我国有色金属工业发展和科技进步作出了积极贡献。</w:t>
      </w:r>
    </w:p>
    <w:p w14:paraId="0B6A4312">
      <w:pPr>
        <w:keepNext w:val="0"/>
        <w:keepLines w:val="0"/>
        <w:pageBreakBefore w:val="0"/>
        <w:widowControl w:val="0"/>
        <w:numPr>
          <w:ilvl w:val="0"/>
          <w:numId w:val="0"/>
        </w:numPr>
        <w:kinsoku/>
        <w:wordWrap/>
        <w:overflowPunct/>
        <w:topLinePunct w:val="0"/>
        <w:autoSpaceDE/>
        <w:autoSpaceDN/>
        <w:bidi w:val="0"/>
        <w:adjustRightInd w:val="0"/>
        <w:snapToGrid w:val="0"/>
        <w:ind w:leftChars="0" w:firstLine="420" w:firstLineChars="200"/>
        <w:jc w:val="both"/>
        <w:textAlignment w:val="auto"/>
        <w:rPr>
          <w:rFonts w:hint="eastAsia" w:ascii="宋体" w:hAnsi="宋体" w:eastAsia="宋体" w:cs="宋体"/>
          <w:b w:val="0"/>
          <w:bCs w:val="0"/>
          <w:color w:val="auto"/>
          <w:sz w:val="21"/>
          <w:szCs w:val="21"/>
          <w:highlight w:val="none"/>
          <w:lang w:eastAsia="zh-CN"/>
        </w:rPr>
      </w:pPr>
      <w:r>
        <w:rPr>
          <w:rFonts w:hint="eastAsia" w:ascii="黑体" w:hAnsi="黑体" w:eastAsia="黑体" w:cs="黑体"/>
          <w:color w:val="auto"/>
          <w:sz w:val="21"/>
          <w:szCs w:val="21"/>
          <w:highlight w:val="none"/>
          <w:lang w:eastAsia="zh-CN"/>
        </w:rPr>
        <w:t>湖南有色金属研究院有限责任公司</w:t>
      </w:r>
      <w:r>
        <w:rPr>
          <w:rFonts w:hint="eastAsia" w:ascii="宋体" w:hAnsi="宋体" w:eastAsia="宋体" w:cs="宋体"/>
          <w:b w:val="0"/>
          <w:bCs w:val="0"/>
          <w:color w:val="auto"/>
          <w:sz w:val="21"/>
          <w:szCs w:val="21"/>
          <w:highlight w:val="none"/>
          <w:lang w:eastAsia="zh-CN"/>
        </w:rPr>
        <w:t>前身为1958年成立的湖南有色金属研究所，2019年改制为国有有限责任公司，现隶属湖南矿产资源集团，属科技研发与技术服务型高新技术企业。现有在岗职工450余人，其中硕士及以上学历105人，下设6个研究所，拥有国家中小企业公共服务示范平台、工业粉尘防治技术创新中心等20余个科研平台 。主营业务涵盖有色金属新材料研发、矿产资源开发利用、环保安全检测领域，有色金属矿产品检测CMA及CNAS资质。</w:t>
      </w:r>
    </w:p>
    <w:p w14:paraId="1AC9B6A3">
      <w:pPr>
        <w:keepNext w:val="0"/>
        <w:keepLines w:val="0"/>
        <w:pageBreakBefore w:val="0"/>
        <w:widowControl w:val="0"/>
        <w:numPr>
          <w:ilvl w:val="0"/>
          <w:numId w:val="0"/>
        </w:numPr>
        <w:kinsoku/>
        <w:wordWrap/>
        <w:overflowPunct/>
        <w:topLinePunct w:val="0"/>
        <w:autoSpaceDE/>
        <w:autoSpaceDN/>
        <w:bidi w:val="0"/>
        <w:adjustRightInd w:val="0"/>
        <w:snapToGrid w:val="0"/>
        <w:ind w:leftChars="0" w:firstLine="420" w:firstLineChars="200"/>
        <w:jc w:val="both"/>
        <w:textAlignment w:val="auto"/>
        <w:rPr>
          <w:rFonts w:hint="eastAsia" w:ascii="宋体" w:hAnsi="宋体" w:eastAsia="宋体" w:cs="宋体"/>
          <w:color w:val="auto"/>
          <w:sz w:val="21"/>
          <w:szCs w:val="21"/>
          <w:highlight w:val="none"/>
          <w:lang w:eastAsia="zh-CN"/>
        </w:rPr>
      </w:pPr>
      <w:r>
        <w:rPr>
          <w:rFonts w:hint="eastAsia" w:ascii="黑体" w:hAnsi="黑体" w:eastAsia="黑体" w:cs="黑体"/>
          <w:color w:val="auto"/>
          <w:sz w:val="21"/>
          <w:szCs w:val="21"/>
          <w:highlight w:val="none"/>
          <w:lang w:eastAsia="zh-CN"/>
        </w:rPr>
        <w:t>北京有色金属与稀土应用研究所有限公司</w:t>
      </w:r>
      <w:r>
        <w:rPr>
          <w:rFonts w:hint="eastAsia" w:ascii="宋体" w:hAnsi="宋体" w:eastAsia="宋体" w:cs="宋体"/>
          <w:color w:val="auto"/>
          <w:sz w:val="21"/>
          <w:szCs w:val="21"/>
          <w:highlight w:val="none"/>
          <w:lang w:eastAsia="zh-CN"/>
        </w:rPr>
        <w:t>成立于1963年，是国家级高新技术企业和中关村高新技术企业。主要从事有色金属焊接材料、功能材料的研究、开发、试制和技术服务，具备加工、微合金化、检测分析（CNAS认可实验室，检测范围涵盖贵金属、铝及铝合金、铜及铜合金、铅及铅合金等金属材料成分检测分析及物理检测分析）、压力加工与成型以及热处理，并广泛应用于国家重点项目中。</w:t>
      </w:r>
    </w:p>
    <w:p w14:paraId="4BE2926F">
      <w:pPr>
        <w:keepNext w:val="0"/>
        <w:keepLines w:val="0"/>
        <w:pageBreakBefore w:val="0"/>
        <w:widowControl w:val="0"/>
        <w:numPr>
          <w:ilvl w:val="0"/>
          <w:numId w:val="0"/>
        </w:numPr>
        <w:kinsoku/>
        <w:wordWrap/>
        <w:overflowPunct/>
        <w:topLinePunct w:val="0"/>
        <w:autoSpaceDE/>
        <w:autoSpaceDN/>
        <w:bidi w:val="0"/>
        <w:adjustRightInd w:val="0"/>
        <w:snapToGrid w:val="0"/>
        <w:ind w:leftChars="0" w:firstLine="420" w:firstLineChars="200"/>
        <w:jc w:val="both"/>
        <w:textAlignment w:val="auto"/>
        <w:rPr>
          <w:rFonts w:hint="eastAsia" w:ascii="宋体" w:hAnsi="宋体" w:eastAsia="宋体" w:cs="宋体"/>
          <w:color w:val="auto"/>
          <w:sz w:val="21"/>
          <w:szCs w:val="21"/>
          <w:highlight w:val="none"/>
          <w:lang w:eastAsia="zh-CN"/>
        </w:rPr>
      </w:pPr>
      <w:r>
        <w:rPr>
          <w:rFonts w:hint="eastAsia" w:ascii="黑体" w:hAnsi="黑体" w:eastAsia="黑体" w:cs="黑体"/>
          <w:color w:val="auto"/>
          <w:sz w:val="21"/>
          <w:szCs w:val="21"/>
          <w:highlight w:val="none"/>
          <w:lang w:eastAsia="zh-CN"/>
        </w:rPr>
        <w:t>格林美（江苏）钴业股份有限公司</w:t>
      </w:r>
      <w:r>
        <w:rPr>
          <w:rFonts w:hint="eastAsia" w:ascii="宋体" w:hAnsi="宋体" w:eastAsia="宋体" w:cs="宋体"/>
          <w:color w:val="auto"/>
          <w:sz w:val="21"/>
          <w:szCs w:val="21"/>
          <w:highlight w:val="none"/>
          <w:lang w:eastAsia="zh-CN"/>
        </w:rPr>
        <w:t>位于江苏省泰兴经济开发区，成立于2003年</w:t>
      </w:r>
      <w:r>
        <w:rPr>
          <w:rFonts w:hint="eastAsia" w:ascii="黑体" w:hAnsi="黑体" w:eastAsia="黑体" w:cs="黑体"/>
          <w:color w:val="auto"/>
          <w:sz w:val="21"/>
          <w:szCs w:val="21"/>
          <w:highlight w:val="none"/>
          <w:lang w:eastAsia="zh-CN"/>
        </w:rPr>
        <w:t>。</w:t>
      </w:r>
      <w:r>
        <w:rPr>
          <w:rFonts w:hint="eastAsia" w:ascii="宋体" w:hAnsi="宋体" w:eastAsia="宋体" w:cs="宋体"/>
          <w:color w:val="auto"/>
          <w:sz w:val="21"/>
          <w:szCs w:val="21"/>
          <w:highlight w:val="none"/>
          <w:lang w:eastAsia="zh-CN"/>
        </w:rPr>
        <w:t>公司致力于战略金属钴高端产品的研发与生产，主要产品包括3C数码电池用四氧化三钴材料、钴酸锂正极材料，磁性材料与合金材料用金属钴片，动力电池三元前驱体材料，钠离子电池正极材料，高纯基础化学原料氯化钴、硫酸钴等。公司在建新一代多元前驱体项目、高电压锂电池用掺杂四氧化三钴项目，全面实施从传统冶炼向新能源材料绿色产业转型升级。公司是国家战略物资储备局邀约招标单位、全国第一家在伦敦金属交易所（LME）注册交割的金属钴民营企业、全球三大四氧化三钴供应商之一。公司设有国家企业技术中心分中心、江苏省高性能锂电池正极材料工程技术研究中心、江苏省企业院士工作站，致力于打造"绿色+安全+智慧"工厂，建成了安环与生产云控制中心，形成了集中控制、统一调度、高效管控的安环与生产控制模式，被评为国家专精特新小巨人企业、国家级绿色工厂。公司有五大核心定位:世界一流的"绿色+安全+智慧"工厂、世界先进的钴产品制造中心、世界先进的钴产品工程技术研究中心、世界先进的循环经济园区、世界先进的工业旅游示范区，将打造成世界钴产业链最完整的国家级循环经济示范园区。</w:t>
      </w:r>
    </w:p>
    <w:p w14:paraId="54DF6425">
      <w:pPr>
        <w:keepNext w:val="0"/>
        <w:keepLines w:val="0"/>
        <w:pageBreakBefore w:val="0"/>
        <w:widowControl w:val="0"/>
        <w:numPr>
          <w:ilvl w:val="0"/>
          <w:numId w:val="0"/>
        </w:numPr>
        <w:kinsoku/>
        <w:wordWrap/>
        <w:overflowPunct/>
        <w:topLinePunct w:val="0"/>
        <w:autoSpaceDE/>
        <w:autoSpaceDN/>
        <w:bidi w:val="0"/>
        <w:adjustRightInd w:val="0"/>
        <w:snapToGrid w:val="0"/>
        <w:ind w:leftChars="0" w:firstLine="420" w:firstLineChars="200"/>
        <w:jc w:val="center"/>
        <w:textAlignment w:val="auto"/>
        <w:rPr>
          <w:rFonts w:hint="eastAsia" w:ascii="黑体" w:hAnsi="黑体" w:eastAsia="黑体" w:cs="黑体"/>
          <w:color w:val="auto"/>
          <w:sz w:val="21"/>
          <w:szCs w:val="21"/>
          <w:highlight w:val="none"/>
        </w:rPr>
      </w:pPr>
    </w:p>
    <w:p w14:paraId="1C96BAA3">
      <w:pPr>
        <w:keepNext w:val="0"/>
        <w:keepLines w:val="0"/>
        <w:pageBreakBefore w:val="0"/>
        <w:widowControl w:val="0"/>
        <w:numPr>
          <w:ilvl w:val="0"/>
          <w:numId w:val="0"/>
        </w:numPr>
        <w:kinsoku/>
        <w:wordWrap/>
        <w:overflowPunct/>
        <w:topLinePunct w:val="0"/>
        <w:autoSpaceDE/>
        <w:autoSpaceDN/>
        <w:bidi w:val="0"/>
        <w:adjustRightInd w:val="0"/>
        <w:snapToGrid w:val="0"/>
        <w:ind w:leftChars="0" w:firstLine="420" w:firstLineChars="200"/>
        <w:jc w:val="center"/>
        <w:textAlignment w:val="auto"/>
        <w:rPr>
          <w:rFonts w:hint="eastAsia" w:ascii="Times New Roman" w:hAnsi="Times New Roman" w:eastAsia="宋体" w:cs="Times New Roman"/>
          <w:lang w:val="en-US" w:eastAsia="zh-CN"/>
        </w:rPr>
      </w:pPr>
      <w:r>
        <w:rPr>
          <w:rFonts w:hint="eastAsia" w:ascii="黑体" w:hAnsi="黑体" w:eastAsia="黑体" w:cs="黑体"/>
          <w:color w:val="auto"/>
          <w:sz w:val="21"/>
          <w:szCs w:val="21"/>
          <w:highlight w:val="none"/>
        </w:rPr>
        <w:t>表1   标准编制组成员及职责</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7"/>
        <w:gridCol w:w="887"/>
        <w:gridCol w:w="3478"/>
        <w:gridCol w:w="3560"/>
      </w:tblGrid>
      <w:tr w14:paraId="797C5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7" w:type="dxa"/>
            <w:vAlign w:val="center"/>
          </w:tcPr>
          <w:p w14:paraId="0FF0255C">
            <w:pPr>
              <w:pStyle w:val="3"/>
              <w:keepNext w:val="0"/>
              <w:keepLines w:val="0"/>
              <w:pageBreakBefore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b/>
                <w:bCs/>
                <w:color w:val="auto"/>
                <w:sz w:val="18"/>
                <w:szCs w:val="18"/>
                <w:vertAlign w:val="baseline"/>
                <w:lang w:val="en-US" w:eastAsia="zh-CN"/>
              </w:rPr>
            </w:pPr>
            <w:r>
              <w:rPr>
                <w:rFonts w:hint="eastAsia" w:ascii="宋体" w:hAnsi="宋体" w:eastAsia="宋体" w:cs="宋体"/>
                <w:b/>
                <w:bCs/>
                <w:color w:val="auto"/>
                <w:sz w:val="18"/>
                <w:szCs w:val="18"/>
                <w:vertAlign w:val="baseline"/>
                <w:lang w:val="en-US" w:eastAsia="zh-CN"/>
              </w:rPr>
              <w:t>序号</w:t>
            </w:r>
          </w:p>
        </w:tc>
        <w:tc>
          <w:tcPr>
            <w:tcW w:w="887" w:type="dxa"/>
            <w:vAlign w:val="center"/>
          </w:tcPr>
          <w:p w14:paraId="43A9EFE4">
            <w:pPr>
              <w:pStyle w:val="3"/>
              <w:keepNext w:val="0"/>
              <w:keepLines w:val="0"/>
              <w:pageBreakBefore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b/>
                <w:bCs/>
                <w:color w:val="auto"/>
                <w:sz w:val="18"/>
                <w:szCs w:val="18"/>
                <w:vertAlign w:val="baseline"/>
                <w:lang w:val="en-US" w:eastAsia="zh-CN"/>
              </w:rPr>
            </w:pPr>
            <w:r>
              <w:rPr>
                <w:rFonts w:hint="eastAsia" w:ascii="宋体" w:hAnsi="宋体" w:eastAsia="宋体" w:cs="宋体"/>
                <w:b/>
                <w:bCs/>
                <w:color w:val="auto"/>
                <w:sz w:val="18"/>
                <w:szCs w:val="18"/>
                <w:vertAlign w:val="baseline"/>
                <w:lang w:val="en-US" w:eastAsia="zh-CN"/>
              </w:rPr>
              <w:t>姓名</w:t>
            </w:r>
          </w:p>
        </w:tc>
        <w:tc>
          <w:tcPr>
            <w:tcW w:w="3478" w:type="dxa"/>
            <w:vAlign w:val="center"/>
          </w:tcPr>
          <w:p w14:paraId="24853B4F">
            <w:pPr>
              <w:pStyle w:val="3"/>
              <w:keepNext w:val="0"/>
              <w:keepLines w:val="0"/>
              <w:pageBreakBefore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b/>
                <w:bCs/>
                <w:color w:val="auto"/>
                <w:sz w:val="18"/>
                <w:szCs w:val="18"/>
                <w:vertAlign w:val="baseline"/>
                <w:lang w:val="en-US" w:eastAsia="zh-CN"/>
              </w:rPr>
            </w:pPr>
            <w:r>
              <w:rPr>
                <w:rFonts w:hint="eastAsia" w:ascii="宋体" w:hAnsi="宋体" w:eastAsia="宋体" w:cs="宋体"/>
                <w:b/>
                <w:bCs/>
                <w:color w:val="auto"/>
                <w:sz w:val="18"/>
                <w:szCs w:val="18"/>
                <w:vertAlign w:val="baseline"/>
                <w:lang w:val="en-US" w:eastAsia="zh-CN"/>
              </w:rPr>
              <w:t>单位</w:t>
            </w:r>
          </w:p>
        </w:tc>
        <w:tc>
          <w:tcPr>
            <w:tcW w:w="3560" w:type="dxa"/>
            <w:vAlign w:val="center"/>
          </w:tcPr>
          <w:p w14:paraId="4B70D8A4">
            <w:pPr>
              <w:pStyle w:val="3"/>
              <w:keepNext w:val="0"/>
              <w:keepLines w:val="0"/>
              <w:pageBreakBefore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b/>
                <w:bCs/>
                <w:color w:val="auto"/>
                <w:sz w:val="18"/>
                <w:szCs w:val="18"/>
                <w:vertAlign w:val="baseline"/>
                <w:lang w:val="en-US" w:eastAsia="zh-CN"/>
              </w:rPr>
            </w:pPr>
            <w:r>
              <w:rPr>
                <w:rFonts w:hint="eastAsia" w:ascii="宋体" w:hAnsi="宋体" w:eastAsia="宋体" w:cs="宋体"/>
                <w:b/>
                <w:bCs/>
                <w:color w:val="auto"/>
                <w:sz w:val="18"/>
                <w:szCs w:val="18"/>
                <w:vertAlign w:val="baseline"/>
                <w:lang w:val="en-US" w:eastAsia="zh-CN"/>
              </w:rPr>
              <w:t>工作分工</w:t>
            </w:r>
          </w:p>
        </w:tc>
      </w:tr>
      <w:tr w14:paraId="3CB0C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7" w:type="dxa"/>
            <w:vAlign w:val="center"/>
          </w:tcPr>
          <w:p w14:paraId="1B68D4E6">
            <w:pPr>
              <w:pStyle w:val="3"/>
              <w:keepNext w:val="0"/>
              <w:keepLines w:val="0"/>
              <w:pageBreakBefore w:val="0"/>
              <w:numPr>
                <w:ilvl w:val="0"/>
                <w:numId w:val="3"/>
              </w:numPr>
              <w:kinsoku/>
              <w:wordWrap/>
              <w:overflowPunct/>
              <w:topLinePunct w:val="0"/>
              <w:autoSpaceDE/>
              <w:autoSpaceDN/>
              <w:bidi w:val="0"/>
              <w:adjustRightInd/>
              <w:snapToGrid/>
              <w:spacing w:after="0" w:line="240" w:lineRule="auto"/>
              <w:ind w:left="425" w:leftChars="0" w:hanging="425" w:firstLineChars="0"/>
              <w:jc w:val="center"/>
              <w:textAlignment w:val="auto"/>
              <w:rPr>
                <w:rFonts w:hint="eastAsia" w:ascii="宋体" w:hAnsi="宋体" w:eastAsia="宋体" w:cs="宋体"/>
                <w:color w:val="auto"/>
                <w:sz w:val="18"/>
                <w:szCs w:val="18"/>
                <w:highlight w:val="none"/>
                <w:vertAlign w:val="baseline"/>
                <w:lang w:val="en-US" w:eastAsia="zh-CN"/>
              </w:rPr>
            </w:pPr>
          </w:p>
        </w:tc>
        <w:tc>
          <w:tcPr>
            <w:tcW w:w="887" w:type="dxa"/>
            <w:vAlign w:val="center"/>
          </w:tcPr>
          <w:p w14:paraId="2EBD0393">
            <w:pPr>
              <w:keepNext w:val="0"/>
              <w:keepLines w:val="0"/>
              <w:widowControl/>
              <w:suppressLineNumbers w:val="0"/>
              <w:jc w:val="left"/>
              <w:textAlignment w:val="center"/>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李绍文</w:t>
            </w:r>
          </w:p>
        </w:tc>
        <w:tc>
          <w:tcPr>
            <w:tcW w:w="3478" w:type="dxa"/>
            <w:vAlign w:val="center"/>
          </w:tcPr>
          <w:p w14:paraId="5C235FE2">
            <w:pPr>
              <w:keepNext w:val="0"/>
              <w:keepLines w:val="0"/>
              <w:widowControl/>
              <w:suppressLineNumbers w:val="0"/>
              <w:jc w:val="left"/>
              <w:textAlignment w:val="center"/>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中铝洛阳铜加工有限公司</w:t>
            </w:r>
          </w:p>
        </w:tc>
        <w:tc>
          <w:tcPr>
            <w:tcW w:w="3560" w:type="dxa"/>
            <w:vAlign w:val="center"/>
          </w:tcPr>
          <w:p w14:paraId="590D3B24">
            <w:pPr>
              <w:pStyle w:val="3"/>
              <w:keepNext w:val="0"/>
              <w:keepLines w:val="0"/>
              <w:pageBreakBefore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000000"/>
                <w:kern w:val="0"/>
                <w:sz w:val="18"/>
                <w:szCs w:val="18"/>
                <w:highlight w:val="none"/>
                <w:lang w:eastAsia="zh-CN"/>
              </w:rPr>
              <w:t>主起草单位人员，</w:t>
            </w:r>
            <w:r>
              <w:rPr>
                <w:rFonts w:hint="eastAsia" w:ascii="宋体" w:hAnsi="宋体" w:eastAsia="宋体" w:cs="宋体"/>
                <w:color w:val="000000"/>
                <w:kern w:val="0"/>
                <w:sz w:val="18"/>
                <w:szCs w:val="18"/>
                <w:highlight w:val="none"/>
              </w:rPr>
              <w:t>负责标准的工作指导、编写</w:t>
            </w:r>
            <w:r>
              <w:rPr>
                <w:rFonts w:hint="eastAsia" w:ascii="宋体" w:hAnsi="宋体" w:eastAsia="宋体" w:cs="宋体"/>
                <w:color w:val="000000"/>
                <w:kern w:val="0"/>
                <w:sz w:val="18"/>
                <w:szCs w:val="18"/>
                <w:highlight w:val="none"/>
                <w:lang w:eastAsia="zh-CN"/>
              </w:rPr>
              <w:t>、</w:t>
            </w:r>
            <w:r>
              <w:rPr>
                <w:rFonts w:hint="eastAsia" w:ascii="宋体" w:hAnsi="宋体" w:eastAsia="宋体" w:cs="宋体"/>
                <w:color w:val="000000"/>
                <w:kern w:val="0"/>
                <w:sz w:val="18"/>
                <w:szCs w:val="18"/>
                <w:highlight w:val="none"/>
              </w:rPr>
              <w:t>试验方案的</w:t>
            </w:r>
            <w:r>
              <w:rPr>
                <w:rFonts w:hint="eastAsia" w:ascii="宋体" w:hAnsi="宋体" w:eastAsia="宋体" w:cs="宋体"/>
                <w:color w:val="000000"/>
                <w:kern w:val="0"/>
                <w:sz w:val="18"/>
                <w:szCs w:val="18"/>
                <w:highlight w:val="none"/>
                <w:lang w:val="en-US" w:eastAsia="zh-CN"/>
              </w:rPr>
              <w:t>确定、各起草单位</w:t>
            </w:r>
            <w:r>
              <w:rPr>
                <w:rFonts w:hint="eastAsia" w:ascii="宋体" w:hAnsi="宋体" w:eastAsia="宋体" w:cs="宋体"/>
                <w:color w:val="000000"/>
                <w:kern w:val="0"/>
                <w:sz w:val="18"/>
                <w:szCs w:val="18"/>
                <w:highlight w:val="none"/>
              </w:rPr>
              <w:t>组织协调</w:t>
            </w:r>
            <w:r>
              <w:rPr>
                <w:rFonts w:hint="eastAsia" w:ascii="宋体" w:hAnsi="宋体" w:eastAsia="宋体" w:cs="宋体"/>
                <w:color w:val="000000"/>
                <w:kern w:val="0"/>
                <w:sz w:val="18"/>
                <w:szCs w:val="18"/>
                <w:highlight w:val="none"/>
                <w:lang w:eastAsia="zh-CN"/>
              </w:rPr>
              <w:t>。</w:t>
            </w:r>
          </w:p>
        </w:tc>
      </w:tr>
      <w:tr w14:paraId="5E59C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7" w:type="dxa"/>
            <w:vAlign w:val="center"/>
          </w:tcPr>
          <w:p w14:paraId="03233A5A">
            <w:pPr>
              <w:pStyle w:val="3"/>
              <w:keepNext w:val="0"/>
              <w:keepLines w:val="0"/>
              <w:pageBreakBefore w:val="0"/>
              <w:numPr>
                <w:ilvl w:val="0"/>
                <w:numId w:val="3"/>
              </w:numPr>
              <w:kinsoku/>
              <w:wordWrap/>
              <w:overflowPunct/>
              <w:topLinePunct w:val="0"/>
              <w:autoSpaceDE/>
              <w:autoSpaceDN/>
              <w:bidi w:val="0"/>
              <w:adjustRightInd/>
              <w:snapToGrid/>
              <w:spacing w:after="0" w:line="240" w:lineRule="auto"/>
              <w:ind w:left="425" w:leftChars="0" w:hanging="425" w:firstLineChars="0"/>
              <w:jc w:val="center"/>
              <w:textAlignment w:val="auto"/>
              <w:rPr>
                <w:rFonts w:hint="eastAsia" w:ascii="宋体" w:hAnsi="宋体" w:eastAsia="宋体" w:cs="宋体"/>
                <w:color w:val="auto"/>
                <w:sz w:val="18"/>
                <w:szCs w:val="18"/>
                <w:highlight w:val="none"/>
                <w:vertAlign w:val="baseline"/>
                <w:lang w:val="en-US" w:eastAsia="zh-CN"/>
              </w:rPr>
            </w:pPr>
          </w:p>
        </w:tc>
        <w:tc>
          <w:tcPr>
            <w:tcW w:w="887" w:type="dxa"/>
            <w:vAlign w:val="center"/>
          </w:tcPr>
          <w:p w14:paraId="4C56A2FB">
            <w:pPr>
              <w:keepNext w:val="0"/>
              <w:keepLines w:val="0"/>
              <w:widowControl/>
              <w:suppressLineNumbers w:val="0"/>
              <w:jc w:val="left"/>
              <w:textAlignment w:val="center"/>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张砚博</w:t>
            </w:r>
          </w:p>
        </w:tc>
        <w:tc>
          <w:tcPr>
            <w:tcW w:w="3478" w:type="dxa"/>
            <w:vAlign w:val="center"/>
          </w:tcPr>
          <w:p w14:paraId="7EABAC8C">
            <w:pPr>
              <w:keepNext w:val="0"/>
              <w:keepLines w:val="0"/>
              <w:widowControl/>
              <w:suppressLineNumbers w:val="0"/>
              <w:jc w:val="left"/>
              <w:textAlignment w:val="center"/>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中铝洛阳铜加工有限公司</w:t>
            </w:r>
          </w:p>
        </w:tc>
        <w:tc>
          <w:tcPr>
            <w:tcW w:w="3560" w:type="dxa"/>
            <w:vAlign w:val="center"/>
          </w:tcPr>
          <w:p w14:paraId="45457549">
            <w:pPr>
              <w:pStyle w:val="3"/>
              <w:keepNext w:val="0"/>
              <w:keepLines w:val="0"/>
              <w:pageBreakBefore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000000"/>
                <w:kern w:val="0"/>
                <w:sz w:val="18"/>
                <w:szCs w:val="18"/>
                <w:highlight w:val="none"/>
              </w:rPr>
              <w:t>主起草单位</w:t>
            </w:r>
            <w:r>
              <w:rPr>
                <w:rFonts w:hint="eastAsia" w:ascii="宋体" w:hAnsi="宋体" w:eastAsia="宋体" w:cs="宋体"/>
                <w:color w:val="000000"/>
                <w:kern w:val="0"/>
                <w:sz w:val="18"/>
                <w:szCs w:val="18"/>
                <w:highlight w:val="none"/>
                <w:lang w:val="en-US" w:eastAsia="zh-CN"/>
              </w:rPr>
              <w:t>人员</w:t>
            </w:r>
            <w:r>
              <w:rPr>
                <w:rFonts w:hint="eastAsia" w:ascii="宋体" w:hAnsi="宋体" w:eastAsia="宋体" w:cs="宋体"/>
                <w:color w:val="000000"/>
                <w:kern w:val="0"/>
                <w:sz w:val="18"/>
                <w:szCs w:val="18"/>
                <w:highlight w:val="none"/>
              </w:rPr>
              <w:t>，</w:t>
            </w:r>
            <w:r>
              <w:rPr>
                <w:rFonts w:hint="eastAsia" w:ascii="宋体" w:hAnsi="宋体" w:eastAsia="宋体" w:cs="宋体"/>
                <w:color w:val="000000"/>
                <w:kern w:val="0"/>
                <w:sz w:val="18"/>
                <w:szCs w:val="18"/>
                <w:highlight w:val="none"/>
                <w:lang w:eastAsia="zh-CN"/>
              </w:rPr>
              <w:t>负责</w:t>
            </w:r>
            <w:r>
              <w:rPr>
                <w:rFonts w:hint="eastAsia" w:ascii="宋体" w:hAnsi="宋体" w:eastAsia="宋体" w:cs="宋体"/>
                <w:color w:val="000000"/>
                <w:kern w:val="0"/>
                <w:sz w:val="18"/>
                <w:szCs w:val="18"/>
                <w:highlight w:val="none"/>
                <w:lang w:val="en-US" w:eastAsia="zh-CN"/>
              </w:rPr>
              <w:t>标准文本和</w:t>
            </w:r>
            <w:r>
              <w:rPr>
                <w:rFonts w:hint="eastAsia" w:ascii="宋体" w:hAnsi="宋体" w:eastAsia="宋体" w:cs="宋体"/>
                <w:color w:val="000000"/>
                <w:kern w:val="0"/>
                <w:sz w:val="18"/>
                <w:szCs w:val="18"/>
                <w:highlight w:val="none"/>
                <w:lang w:eastAsia="zh-CN"/>
              </w:rPr>
              <w:t>、试验的验证、</w:t>
            </w:r>
            <w:r>
              <w:rPr>
                <w:rFonts w:hint="eastAsia" w:ascii="宋体" w:hAnsi="宋体" w:eastAsia="宋体" w:cs="宋体"/>
                <w:color w:val="000000"/>
                <w:kern w:val="0"/>
                <w:sz w:val="18"/>
                <w:szCs w:val="18"/>
                <w:highlight w:val="none"/>
              </w:rPr>
              <w:t>标准文件和编制说明编写</w:t>
            </w:r>
          </w:p>
        </w:tc>
      </w:tr>
      <w:tr w14:paraId="23CF3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7" w:type="dxa"/>
            <w:vAlign w:val="center"/>
          </w:tcPr>
          <w:p w14:paraId="486E6F00">
            <w:pPr>
              <w:pStyle w:val="3"/>
              <w:keepNext w:val="0"/>
              <w:keepLines w:val="0"/>
              <w:pageBreakBefore w:val="0"/>
              <w:numPr>
                <w:ilvl w:val="0"/>
                <w:numId w:val="3"/>
              </w:numPr>
              <w:kinsoku/>
              <w:wordWrap/>
              <w:overflowPunct/>
              <w:topLinePunct w:val="0"/>
              <w:autoSpaceDE/>
              <w:autoSpaceDN/>
              <w:bidi w:val="0"/>
              <w:adjustRightInd/>
              <w:snapToGrid/>
              <w:spacing w:after="0" w:line="240" w:lineRule="auto"/>
              <w:ind w:left="425" w:leftChars="0" w:hanging="425" w:firstLineChars="0"/>
              <w:jc w:val="center"/>
              <w:textAlignment w:val="auto"/>
              <w:rPr>
                <w:rFonts w:hint="eastAsia" w:ascii="宋体" w:hAnsi="宋体" w:eastAsia="宋体" w:cs="宋体"/>
                <w:color w:val="auto"/>
                <w:sz w:val="18"/>
                <w:szCs w:val="18"/>
                <w:highlight w:val="none"/>
                <w:vertAlign w:val="baseline"/>
                <w:lang w:val="en-US" w:eastAsia="zh-CN"/>
              </w:rPr>
            </w:pPr>
          </w:p>
        </w:tc>
        <w:tc>
          <w:tcPr>
            <w:tcW w:w="887" w:type="dxa"/>
            <w:vAlign w:val="center"/>
          </w:tcPr>
          <w:p w14:paraId="5403E37F">
            <w:pPr>
              <w:keepNext w:val="0"/>
              <w:keepLines w:val="0"/>
              <w:widowControl/>
              <w:suppressLineNumbers w:val="0"/>
              <w:jc w:val="left"/>
              <w:textAlignment w:val="center"/>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刘光辉</w:t>
            </w:r>
          </w:p>
        </w:tc>
        <w:tc>
          <w:tcPr>
            <w:tcW w:w="3478" w:type="dxa"/>
            <w:vAlign w:val="center"/>
          </w:tcPr>
          <w:p w14:paraId="2F0FCC60">
            <w:pPr>
              <w:keepNext w:val="0"/>
              <w:keepLines w:val="0"/>
              <w:widowControl/>
              <w:suppressLineNumbers w:val="0"/>
              <w:jc w:val="left"/>
              <w:textAlignment w:val="center"/>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中铝洛阳铜加工有限公司</w:t>
            </w:r>
          </w:p>
        </w:tc>
        <w:tc>
          <w:tcPr>
            <w:tcW w:w="3560" w:type="dxa"/>
            <w:vAlign w:val="center"/>
          </w:tcPr>
          <w:p w14:paraId="0FCAA939">
            <w:pPr>
              <w:pStyle w:val="3"/>
              <w:keepNext w:val="0"/>
              <w:keepLines w:val="0"/>
              <w:pageBreakBefore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000000"/>
                <w:kern w:val="0"/>
                <w:sz w:val="18"/>
                <w:szCs w:val="18"/>
                <w:highlight w:val="none"/>
                <w:lang w:eastAsia="zh-CN"/>
              </w:rPr>
              <w:t>主起草单位人员，</w:t>
            </w:r>
            <w:r>
              <w:rPr>
                <w:rFonts w:hint="eastAsia" w:ascii="宋体" w:hAnsi="宋体" w:eastAsia="宋体" w:cs="宋体"/>
                <w:color w:val="000000"/>
                <w:kern w:val="0"/>
                <w:sz w:val="18"/>
                <w:szCs w:val="18"/>
                <w:highlight w:val="none"/>
                <w:lang w:val="en-US" w:eastAsia="zh-CN"/>
              </w:rPr>
              <w:t>样品的收集及分发，</w:t>
            </w:r>
            <w:r>
              <w:rPr>
                <w:rFonts w:hint="eastAsia" w:ascii="宋体" w:hAnsi="宋体" w:eastAsia="宋体" w:cs="宋体"/>
                <w:sz w:val="18"/>
                <w:szCs w:val="18"/>
                <w:highlight w:val="none"/>
              </w:rPr>
              <w:t>对标准文件和编制说明提出修改建议</w:t>
            </w:r>
            <w:r>
              <w:rPr>
                <w:rFonts w:hint="eastAsia" w:ascii="宋体" w:hAnsi="宋体" w:cs="Times New Roman"/>
                <w:color w:val="000000"/>
                <w:kern w:val="0"/>
                <w:sz w:val="18"/>
                <w:szCs w:val="18"/>
                <w:highlight w:val="none"/>
                <w:lang w:eastAsia="zh-CN"/>
              </w:rPr>
              <w:t>。</w:t>
            </w:r>
          </w:p>
        </w:tc>
      </w:tr>
      <w:tr w14:paraId="5A656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7" w:type="dxa"/>
            <w:vAlign w:val="center"/>
          </w:tcPr>
          <w:p w14:paraId="42202731">
            <w:pPr>
              <w:pStyle w:val="3"/>
              <w:keepNext w:val="0"/>
              <w:keepLines w:val="0"/>
              <w:pageBreakBefore w:val="0"/>
              <w:numPr>
                <w:ilvl w:val="0"/>
                <w:numId w:val="3"/>
              </w:numPr>
              <w:kinsoku/>
              <w:wordWrap/>
              <w:overflowPunct/>
              <w:topLinePunct w:val="0"/>
              <w:autoSpaceDE/>
              <w:autoSpaceDN/>
              <w:bidi w:val="0"/>
              <w:adjustRightInd/>
              <w:snapToGrid/>
              <w:spacing w:after="0" w:line="240" w:lineRule="auto"/>
              <w:ind w:left="425" w:leftChars="0" w:hanging="425" w:firstLineChars="0"/>
              <w:jc w:val="center"/>
              <w:textAlignment w:val="auto"/>
              <w:rPr>
                <w:rFonts w:hint="eastAsia" w:ascii="宋体" w:hAnsi="宋体" w:eastAsia="宋体" w:cs="宋体"/>
                <w:color w:val="auto"/>
                <w:sz w:val="18"/>
                <w:szCs w:val="18"/>
                <w:highlight w:val="none"/>
                <w:vertAlign w:val="baseline"/>
                <w:lang w:val="en-US" w:eastAsia="zh-CN"/>
              </w:rPr>
            </w:pPr>
          </w:p>
        </w:tc>
        <w:tc>
          <w:tcPr>
            <w:tcW w:w="887" w:type="dxa"/>
            <w:vAlign w:val="center"/>
          </w:tcPr>
          <w:p w14:paraId="7787FDEA">
            <w:pPr>
              <w:keepNext w:val="0"/>
              <w:keepLines w:val="0"/>
              <w:widowControl/>
              <w:suppressLineNumbers w:val="0"/>
              <w:jc w:val="left"/>
              <w:textAlignment w:val="center"/>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lang w:eastAsia="zh-CN"/>
              </w:rPr>
              <w:t>曾慕知</w:t>
            </w:r>
          </w:p>
        </w:tc>
        <w:tc>
          <w:tcPr>
            <w:tcW w:w="3478" w:type="dxa"/>
            <w:vAlign w:val="center"/>
          </w:tcPr>
          <w:p w14:paraId="1FB6BBDC">
            <w:pPr>
              <w:keepNext w:val="0"/>
              <w:keepLines w:val="0"/>
              <w:widowControl/>
              <w:suppressLineNumbers w:val="0"/>
              <w:jc w:val="left"/>
              <w:textAlignment w:val="center"/>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深圳市中金岭南有色金属股份有限公司</w:t>
            </w:r>
          </w:p>
        </w:tc>
        <w:tc>
          <w:tcPr>
            <w:tcW w:w="3560" w:type="dxa"/>
            <w:vAlign w:val="center"/>
          </w:tcPr>
          <w:p w14:paraId="026EF21F">
            <w:pPr>
              <w:pStyle w:val="3"/>
              <w:keepNext w:val="0"/>
              <w:keepLines w:val="0"/>
              <w:pageBreakBefore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color w:val="000000"/>
                <w:kern w:val="0"/>
                <w:sz w:val="18"/>
                <w:szCs w:val="18"/>
                <w:highlight w:val="none"/>
                <w:lang w:eastAsia="zh-CN"/>
              </w:rPr>
            </w:pPr>
            <w:r>
              <w:rPr>
                <w:rFonts w:hint="eastAsia" w:ascii="宋体" w:hAnsi="宋体" w:eastAsia="宋体" w:cs="宋体"/>
                <w:sz w:val="18"/>
                <w:szCs w:val="18"/>
                <w:highlight w:val="none"/>
                <w:lang w:val="en-US" w:eastAsia="zh-CN"/>
              </w:rPr>
              <w:t>一验单位人员，负责方法</w:t>
            </w:r>
            <w:r>
              <w:rPr>
                <w:rFonts w:hint="eastAsia" w:ascii="宋体" w:hAnsi="宋体" w:eastAsia="宋体" w:cs="宋体"/>
                <w:sz w:val="18"/>
                <w:szCs w:val="18"/>
                <w:highlight w:val="none"/>
              </w:rPr>
              <w:t>验证</w:t>
            </w:r>
            <w:r>
              <w:rPr>
                <w:rFonts w:hint="eastAsia" w:ascii="宋体" w:hAnsi="宋体" w:eastAsia="宋体" w:cs="宋体"/>
                <w:sz w:val="18"/>
                <w:szCs w:val="18"/>
                <w:highlight w:val="none"/>
                <w:lang w:eastAsia="zh-CN"/>
              </w:rPr>
              <w:t>试验，</w:t>
            </w:r>
            <w:r>
              <w:rPr>
                <w:rFonts w:hint="eastAsia" w:ascii="宋体" w:hAnsi="宋体" w:eastAsia="宋体" w:cs="宋体"/>
                <w:sz w:val="18"/>
                <w:szCs w:val="18"/>
                <w:highlight w:val="none"/>
              </w:rPr>
              <w:t>对标准文件和编制说明提出修改建议</w:t>
            </w:r>
          </w:p>
        </w:tc>
      </w:tr>
      <w:tr w14:paraId="7D7BB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7" w:type="dxa"/>
            <w:vAlign w:val="center"/>
          </w:tcPr>
          <w:p w14:paraId="680A3ACB">
            <w:pPr>
              <w:pStyle w:val="3"/>
              <w:keepNext w:val="0"/>
              <w:keepLines w:val="0"/>
              <w:pageBreakBefore w:val="0"/>
              <w:numPr>
                <w:ilvl w:val="0"/>
                <w:numId w:val="3"/>
              </w:numPr>
              <w:kinsoku/>
              <w:wordWrap/>
              <w:overflowPunct/>
              <w:topLinePunct w:val="0"/>
              <w:autoSpaceDE/>
              <w:autoSpaceDN/>
              <w:bidi w:val="0"/>
              <w:adjustRightInd/>
              <w:snapToGrid/>
              <w:spacing w:after="0" w:line="240" w:lineRule="auto"/>
              <w:ind w:left="425" w:leftChars="0" w:hanging="425" w:firstLineChars="0"/>
              <w:jc w:val="center"/>
              <w:textAlignment w:val="auto"/>
              <w:rPr>
                <w:rFonts w:hint="eastAsia" w:ascii="宋体" w:hAnsi="宋体" w:eastAsia="宋体" w:cs="宋体"/>
                <w:color w:val="auto"/>
                <w:sz w:val="18"/>
                <w:szCs w:val="18"/>
                <w:highlight w:val="none"/>
                <w:vertAlign w:val="baseline"/>
                <w:lang w:val="en-US" w:eastAsia="zh-CN"/>
              </w:rPr>
            </w:pPr>
          </w:p>
        </w:tc>
        <w:tc>
          <w:tcPr>
            <w:tcW w:w="887" w:type="dxa"/>
            <w:vAlign w:val="center"/>
          </w:tcPr>
          <w:p w14:paraId="4D1DFA99">
            <w:pPr>
              <w:keepNext w:val="0"/>
              <w:keepLines w:val="0"/>
              <w:widowControl/>
              <w:suppressLineNumbers w:val="0"/>
              <w:jc w:val="left"/>
              <w:textAlignment w:val="center"/>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lang w:eastAsia="zh-CN"/>
              </w:rPr>
              <w:t>刘欢</w:t>
            </w:r>
          </w:p>
        </w:tc>
        <w:tc>
          <w:tcPr>
            <w:tcW w:w="3478" w:type="dxa"/>
            <w:vAlign w:val="center"/>
          </w:tcPr>
          <w:p w14:paraId="5C400140">
            <w:pPr>
              <w:keepNext w:val="0"/>
              <w:keepLines w:val="0"/>
              <w:widowControl/>
              <w:suppressLineNumbers w:val="0"/>
              <w:jc w:val="left"/>
              <w:textAlignment w:val="center"/>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深圳市中金岭南有色金属股份有限公司</w:t>
            </w:r>
          </w:p>
        </w:tc>
        <w:tc>
          <w:tcPr>
            <w:tcW w:w="3560" w:type="dxa"/>
            <w:vAlign w:val="center"/>
          </w:tcPr>
          <w:p w14:paraId="20331709">
            <w:pPr>
              <w:pStyle w:val="3"/>
              <w:keepNext w:val="0"/>
              <w:keepLines w:val="0"/>
              <w:pageBreakBefore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color w:val="000000"/>
                <w:kern w:val="0"/>
                <w:sz w:val="18"/>
                <w:szCs w:val="18"/>
                <w:highlight w:val="none"/>
                <w:lang w:eastAsia="zh-CN"/>
              </w:rPr>
            </w:pPr>
            <w:r>
              <w:rPr>
                <w:rFonts w:hint="eastAsia" w:ascii="宋体" w:hAnsi="宋体" w:eastAsia="宋体" w:cs="宋体"/>
                <w:sz w:val="18"/>
                <w:szCs w:val="18"/>
                <w:highlight w:val="none"/>
                <w:lang w:val="en-US" w:eastAsia="zh-CN"/>
              </w:rPr>
              <w:t>一验单位人员，负责数据收集处理，</w:t>
            </w:r>
            <w:r>
              <w:rPr>
                <w:rFonts w:hint="eastAsia" w:ascii="宋体" w:hAnsi="宋体" w:eastAsia="宋体" w:cs="宋体"/>
                <w:sz w:val="18"/>
                <w:szCs w:val="18"/>
                <w:highlight w:val="none"/>
              </w:rPr>
              <w:t>对标准文件和编制说明提出修改建议</w:t>
            </w:r>
          </w:p>
        </w:tc>
      </w:tr>
      <w:tr w14:paraId="2B841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7" w:type="dxa"/>
            <w:vAlign w:val="center"/>
          </w:tcPr>
          <w:p w14:paraId="137B2C58">
            <w:pPr>
              <w:pStyle w:val="3"/>
              <w:keepNext w:val="0"/>
              <w:keepLines w:val="0"/>
              <w:pageBreakBefore w:val="0"/>
              <w:numPr>
                <w:ilvl w:val="0"/>
                <w:numId w:val="3"/>
              </w:numPr>
              <w:kinsoku/>
              <w:wordWrap/>
              <w:overflowPunct/>
              <w:topLinePunct w:val="0"/>
              <w:autoSpaceDE/>
              <w:autoSpaceDN/>
              <w:bidi w:val="0"/>
              <w:adjustRightInd/>
              <w:snapToGrid/>
              <w:spacing w:after="0" w:line="240" w:lineRule="auto"/>
              <w:ind w:left="425" w:leftChars="0" w:hanging="425" w:firstLineChars="0"/>
              <w:jc w:val="center"/>
              <w:textAlignment w:val="auto"/>
              <w:rPr>
                <w:rFonts w:hint="eastAsia" w:ascii="宋体" w:hAnsi="宋体" w:eastAsia="宋体" w:cs="宋体"/>
                <w:color w:val="auto"/>
                <w:sz w:val="18"/>
                <w:szCs w:val="18"/>
                <w:highlight w:val="none"/>
                <w:vertAlign w:val="baseline"/>
                <w:lang w:val="en-US" w:eastAsia="zh-CN"/>
              </w:rPr>
            </w:pPr>
          </w:p>
        </w:tc>
        <w:tc>
          <w:tcPr>
            <w:tcW w:w="887" w:type="dxa"/>
            <w:vAlign w:val="center"/>
          </w:tcPr>
          <w:p w14:paraId="165F6C10">
            <w:pPr>
              <w:keepNext w:val="0"/>
              <w:keepLines w:val="0"/>
              <w:widowControl/>
              <w:suppressLineNumbers w:val="0"/>
              <w:jc w:val="left"/>
              <w:textAlignment w:val="center"/>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朱云</w:t>
            </w:r>
          </w:p>
        </w:tc>
        <w:tc>
          <w:tcPr>
            <w:tcW w:w="3478" w:type="dxa"/>
            <w:vAlign w:val="center"/>
          </w:tcPr>
          <w:p w14:paraId="20732172">
            <w:pPr>
              <w:keepNext w:val="0"/>
              <w:keepLines w:val="0"/>
              <w:widowControl/>
              <w:suppressLineNumbers w:val="0"/>
              <w:jc w:val="left"/>
              <w:textAlignment w:val="center"/>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上海有色金属工业技术监测中心有限公司</w:t>
            </w:r>
          </w:p>
        </w:tc>
        <w:tc>
          <w:tcPr>
            <w:tcW w:w="3560" w:type="dxa"/>
            <w:shd w:val="clear" w:color="auto" w:fill="auto"/>
            <w:vAlign w:val="center"/>
          </w:tcPr>
          <w:p w14:paraId="4C8B41E9">
            <w:pPr>
              <w:pStyle w:val="3"/>
              <w:keepNext w:val="0"/>
              <w:keepLines w:val="0"/>
              <w:pageBreakBefore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color w:val="000000"/>
                <w:kern w:val="0"/>
                <w:sz w:val="18"/>
                <w:szCs w:val="18"/>
                <w:highlight w:val="none"/>
                <w:lang w:val="en-US" w:eastAsia="zh-CN" w:bidi="ar-SA"/>
              </w:rPr>
            </w:pPr>
            <w:r>
              <w:rPr>
                <w:rFonts w:hint="eastAsia" w:ascii="宋体" w:hAnsi="宋体" w:eastAsia="宋体" w:cs="宋体"/>
                <w:sz w:val="18"/>
                <w:szCs w:val="18"/>
                <w:highlight w:val="none"/>
                <w:lang w:val="en-US" w:eastAsia="zh-CN"/>
              </w:rPr>
              <w:t>一验单位人员，负责方法</w:t>
            </w:r>
            <w:r>
              <w:rPr>
                <w:rFonts w:hint="eastAsia" w:ascii="宋体" w:hAnsi="宋体" w:eastAsia="宋体" w:cs="宋体"/>
                <w:sz w:val="18"/>
                <w:szCs w:val="18"/>
                <w:highlight w:val="none"/>
              </w:rPr>
              <w:t>验证</w:t>
            </w:r>
            <w:r>
              <w:rPr>
                <w:rFonts w:hint="eastAsia" w:ascii="宋体" w:hAnsi="宋体" w:eastAsia="宋体" w:cs="宋体"/>
                <w:sz w:val="18"/>
                <w:szCs w:val="18"/>
                <w:highlight w:val="none"/>
                <w:lang w:eastAsia="zh-CN"/>
              </w:rPr>
              <w:t>试验，</w:t>
            </w:r>
            <w:r>
              <w:rPr>
                <w:rFonts w:hint="eastAsia" w:ascii="宋体" w:hAnsi="宋体" w:eastAsia="宋体" w:cs="宋体"/>
                <w:sz w:val="18"/>
                <w:szCs w:val="18"/>
                <w:highlight w:val="none"/>
              </w:rPr>
              <w:t>对标准文件和编制说明提出修改建议</w:t>
            </w:r>
          </w:p>
        </w:tc>
      </w:tr>
      <w:tr w14:paraId="57DD4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7" w:type="dxa"/>
            <w:vAlign w:val="center"/>
          </w:tcPr>
          <w:p w14:paraId="0029AF5E">
            <w:pPr>
              <w:pStyle w:val="3"/>
              <w:keepNext w:val="0"/>
              <w:keepLines w:val="0"/>
              <w:pageBreakBefore w:val="0"/>
              <w:numPr>
                <w:ilvl w:val="0"/>
                <w:numId w:val="3"/>
              </w:numPr>
              <w:kinsoku/>
              <w:wordWrap/>
              <w:overflowPunct/>
              <w:topLinePunct w:val="0"/>
              <w:autoSpaceDE/>
              <w:autoSpaceDN/>
              <w:bidi w:val="0"/>
              <w:adjustRightInd/>
              <w:snapToGrid/>
              <w:spacing w:after="0" w:line="240" w:lineRule="auto"/>
              <w:ind w:left="425" w:leftChars="0" w:hanging="425" w:firstLineChars="0"/>
              <w:jc w:val="center"/>
              <w:textAlignment w:val="auto"/>
              <w:rPr>
                <w:rFonts w:hint="eastAsia" w:ascii="宋体" w:hAnsi="宋体" w:eastAsia="宋体" w:cs="宋体"/>
                <w:color w:val="auto"/>
                <w:sz w:val="18"/>
                <w:szCs w:val="18"/>
                <w:highlight w:val="none"/>
                <w:vertAlign w:val="baseline"/>
                <w:lang w:val="en-US" w:eastAsia="zh-CN"/>
              </w:rPr>
            </w:pPr>
          </w:p>
        </w:tc>
        <w:tc>
          <w:tcPr>
            <w:tcW w:w="887" w:type="dxa"/>
            <w:vAlign w:val="center"/>
          </w:tcPr>
          <w:p w14:paraId="3EB185EB">
            <w:pPr>
              <w:keepNext w:val="0"/>
              <w:keepLines w:val="0"/>
              <w:widowControl/>
              <w:suppressLineNumbers w:val="0"/>
              <w:jc w:val="left"/>
              <w:textAlignment w:val="center"/>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邵文丽</w:t>
            </w:r>
          </w:p>
        </w:tc>
        <w:tc>
          <w:tcPr>
            <w:tcW w:w="3478" w:type="dxa"/>
            <w:vAlign w:val="center"/>
          </w:tcPr>
          <w:p w14:paraId="2969179F">
            <w:pPr>
              <w:keepNext w:val="0"/>
              <w:keepLines w:val="0"/>
              <w:widowControl/>
              <w:suppressLineNumbers w:val="0"/>
              <w:jc w:val="left"/>
              <w:textAlignment w:val="center"/>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上海有色金属工业技术监测中心有限公司</w:t>
            </w:r>
          </w:p>
        </w:tc>
        <w:tc>
          <w:tcPr>
            <w:tcW w:w="3560" w:type="dxa"/>
            <w:shd w:val="clear" w:color="auto" w:fill="auto"/>
            <w:vAlign w:val="center"/>
          </w:tcPr>
          <w:p w14:paraId="41CB450A">
            <w:pPr>
              <w:pStyle w:val="3"/>
              <w:keepNext w:val="0"/>
              <w:keepLines w:val="0"/>
              <w:pageBreakBefore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color w:val="000000"/>
                <w:kern w:val="0"/>
                <w:sz w:val="18"/>
                <w:szCs w:val="18"/>
                <w:highlight w:val="none"/>
                <w:lang w:val="en-US" w:eastAsia="zh-CN" w:bidi="ar-SA"/>
              </w:rPr>
            </w:pPr>
            <w:r>
              <w:rPr>
                <w:rFonts w:hint="eastAsia" w:ascii="宋体" w:hAnsi="宋体" w:eastAsia="宋体" w:cs="宋体"/>
                <w:sz w:val="18"/>
                <w:szCs w:val="18"/>
                <w:highlight w:val="none"/>
                <w:lang w:val="en-US" w:eastAsia="zh-CN"/>
              </w:rPr>
              <w:t>一验单位人员，负责数据收集处理，</w:t>
            </w:r>
            <w:r>
              <w:rPr>
                <w:rFonts w:hint="eastAsia" w:ascii="宋体" w:hAnsi="宋体" w:eastAsia="宋体" w:cs="宋体"/>
                <w:sz w:val="18"/>
                <w:szCs w:val="18"/>
                <w:highlight w:val="none"/>
              </w:rPr>
              <w:t>对标准文件和编制说明提出修改建议</w:t>
            </w:r>
          </w:p>
        </w:tc>
      </w:tr>
      <w:tr w14:paraId="7D5A4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7" w:type="dxa"/>
            <w:vAlign w:val="center"/>
          </w:tcPr>
          <w:p w14:paraId="659FE51E">
            <w:pPr>
              <w:pStyle w:val="3"/>
              <w:keepNext w:val="0"/>
              <w:keepLines w:val="0"/>
              <w:pageBreakBefore w:val="0"/>
              <w:numPr>
                <w:ilvl w:val="0"/>
                <w:numId w:val="3"/>
              </w:numPr>
              <w:kinsoku/>
              <w:wordWrap/>
              <w:overflowPunct/>
              <w:topLinePunct w:val="0"/>
              <w:autoSpaceDE/>
              <w:autoSpaceDN/>
              <w:bidi w:val="0"/>
              <w:adjustRightInd/>
              <w:snapToGrid/>
              <w:spacing w:after="0" w:line="240" w:lineRule="auto"/>
              <w:ind w:left="425" w:leftChars="0" w:hanging="425" w:firstLineChars="0"/>
              <w:jc w:val="center"/>
              <w:textAlignment w:val="auto"/>
              <w:rPr>
                <w:rFonts w:hint="eastAsia" w:ascii="宋体" w:hAnsi="宋体" w:eastAsia="宋体" w:cs="宋体"/>
                <w:color w:val="auto"/>
                <w:sz w:val="18"/>
                <w:szCs w:val="18"/>
                <w:highlight w:val="none"/>
                <w:vertAlign w:val="baseline"/>
                <w:lang w:val="en-US" w:eastAsia="zh-CN"/>
              </w:rPr>
            </w:pPr>
          </w:p>
        </w:tc>
        <w:tc>
          <w:tcPr>
            <w:tcW w:w="887" w:type="dxa"/>
            <w:vAlign w:val="center"/>
          </w:tcPr>
          <w:p w14:paraId="1D7D5812">
            <w:pPr>
              <w:keepNext w:val="0"/>
              <w:keepLines w:val="0"/>
              <w:widowControl/>
              <w:suppressLineNumbers w:val="0"/>
              <w:jc w:val="left"/>
              <w:textAlignment w:val="center"/>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lang w:eastAsia="zh-CN"/>
              </w:rPr>
              <w:t>陆超</w:t>
            </w:r>
          </w:p>
        </w:tc>
        <w:tc>
          <w:tcPr>
            <w:tcW w:w="3478" w:type="dxa"/>
            <w:vAlign w:val="center"/>
          </w:tcPr>
          <w:p w14:paraId="7AF6C72D">
            <w:pPr>
              <w:keepNext w:val="0"/>
              <w:keepLines w:val="0"/>
              <w:widowControl/>
              <w:suppressLineNumbers w:val="0"/>
              <w:jc w:val="left"/>
              <w:textAlignment w:val="center"/>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lang w:val="en-US" w:eastAsia="zh-CN"/>
              </w:rPr>
              <w:t>浙江冶金产品质量检验站有限公司</w:t>
            </w:r>
          </w:p>
        </w:tc>
        <w:tc>
          <w:tcPr>
            <w:tcW w:w="3560" w:type="dxa"/>
            <w:vAlign w:val="center"/>
          </w:tcPr>
          <w:p w14:paraId="43B72A9A">
            <w:pPr>
              <w:pStyle w:val="3"/>
              <w:keepNext w:val="0"/>
              <w:keepLines w:val="0"/>
              <w:pageBreakBefore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sz w:val="18"/>
                <w:szCs w:val="18"/>
                <w:highlight w:val="none"/>
                <w:lang w:val="en-US" w:eastAsia="zh-CN"/>
              </w:rPr>
              <w:t>一验单位人员，负责方法</w:t>
            </w:r>
            <w:r>
              <w:rPr>
                <w:rFonts w:hint="eastAsia" w:ascii="宋体" w:hAnsi="宋体" w:eastAsia="宋体" w:cs="宋体"/>
                <w:sz w:val="18"/>
                <w:szCs w:val="18"/>
                <w:highlight w:val="none"/>
              </w:rPr>
              <w:t>验证</w:t>
            </w:r>
            <w:r>
              <w:rPr>
                <w:rFonts w:hint="eastAsia" w:ascii="宋体" w:hAnsi="宋体" w:eastAsia="宋体" w:cs="宋体"/>
                <w:sz w:val="18"/>
                <w:szCs w:val="18"/>
                <w:highlight w:val="none"/>
                <w:lang w:eastAsia="zh-CN"/>
              </w:rPr>
              <w:t>试验，</w:t>
            </w:r>
            <w:r>
              <w:rPr>
                <w:rFonts w:hint="eastAsia" w:ascii="宋体" w:hAnsi="宋体" w:eastAsia="宋体" w:cs="宋体"/>
                <w:sz w:val="18"/>
                <w:szCs w:val="18"/>
                <w:highlight w:val="none"/>
              </w:rPr>
              <w:t>对标准文件和编制说明提出修改建议</w:t>
            </w:r>
          </w:p>
        </w:tc>
      </w:tr>
      <w:tr w14:paraId="06776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7" w:type="dxa"/>
            <w:vAlign w:val="center"/>
          </w:tcPr>
          <w:p w14:paraId="2C502BD3">
            <w:pPr>
              <w:pStyle w:val="3"/>
              <w:keepNext w:val="0"/>
              <w:keepLines w:val="0"/>
              <w:pageBreakBefore w:val="0"/>
              <w:numPr>
                <w:ilvl w:val="0"/>
                <w:numId w:val="3"/>
              </w:numPr>
              <w:kinsoku/>
              <w:wordWrap/>
              <w:overflowPunct/>
              <w:topLinePunct w:val="0"/>
              <w:autoSpaceDE/>
              <w:autoSpaceDN/>
              <w:bidi w:val="0"/>
              <w:adjustRightInd/>
              <w:snapToGrid/>
              <w:spacing w:after="0" w:line="240" w:lineRule="auto"/>
              <w:ind w:left="425" w:leftChars="0" w:hanging="425" w:firstLineChars="0"/>
              <w:jc w:val="center"/>
              <w:textAlignment w:val="auto"/>
              <w:rPr>
                <w:rFonts w:hint="eastAsia" w:ascii="宋体" w:hAnsi="宋体" w:eastAsia="宋体" w:cs="宋体"/>
                <w:color w:val="auto"/>
                <w:sz w:val="18"/>
                <w:szCs w:val="18"/>
                <w:highlight w:val="none"/>
                <w:vertAlign w:val="baseline"/>
                <w:lang w:val="en-US" w:eastAsia="zh-CN"/>
              </w:rPr>
            </w:pPr>
          </w:p>
        </w:tc>
        <w:tc>
          <w:tcPr>
            <w:tcW w:w="887" w:type="dxa"/>
            <w:vAlign w:val="center"/>
          </w:tcPr>
          <w:p w14:paraId="6191515E">
            <w:pPr>
              <w:keepNext w:val="0"/>
              <w:keepLines w:val="0"/>
              <w:widowControl/>
              <w:suppressLineNumbers w:val="0"/>
              <w:jc w:val="left"/>
              <w:textAlignment w:val="center"/>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张璐</w:t>
            </w:r>
          </w:p>
        </w:tc>
        <w:tc>
          <w:tcPr>
            <w:tcW w:w="3478" w:type="dxa"/>
            <w:vAlign w:val="center"/>
          </w:tcPr>
          <w:p w14:paraId="4B8E7E52">
            <w:pPr>
              <w:keepNext w:val="0"/>
              <w:keepLines w:val="0"/>
              <w:widowControl/>
              <w:suppressLineNumbers w:val="0"/>
              <w:jc w:val="left"/>
              <w:textAlignment w:val="center"/>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lang w:val="en-US" w:eastAsia="zh-CN"/>
              </w:rPr>
              <w:t>浙江冶金产品质量检验站有限公司</w:t>
            </w:r>
          </w:p>
        </w:tc>
        <w:tc>
          <w:tcPr>
            <w:tcW w:w="3560" w:type="dxa"/>
            <w:vAlign w:val="center"/>
          </w:tcPr>
          <w:p w14:paraId="7CDA5F18">
            <w:pPr>
              <w:pStyle w:val="3"/>
              <w:keepNext w:val="0"/>
              <w:keepLines w:val="0"/>
              <w:pageBreakBefore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sz w:val="18"/>
                <w:szCs w:val="18"/>
                <w:highlight w:val="none"/>
                <w:lang w:val="en-US" w:eastAsia="zh-CN"/>
              </w:rPr>
              <w:t>一验单位人员，负责数据收集处理，</w:t>
            </w:r>
            <w:r>
              <w:rPr>
                <w:rFonts w:hint="eastAsia" w:ascii="宋体" w:hAnsi="宋体" w:eastAsia="宋体" w:cs="宋体"/>
                <w:sz w:val="18"/>
                <w:szCs w:val="18"/>
                <w:highlight w:val="none"/>
              </w:rPr>
              <w:t>对标准文件和编制说明提出修改建议</w:t>
            </w:r>
          </w:p>
        </w:tc>
      </w:tr>
      <w:tr w14:paraId="57C6A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7" w:type="dxa"/>
            <w:vAlign w:val="center"/>
          </w:tcPr>
          <w:p w14:paraId="5B5998CF">
            <w:pPr>
              <w:pStyle w:val="3"/>
              <w:keepNext w:val="0"/>
              <w:keepLines w:val="0"/>
              <w:pageBreakBefore w:val="0"/>
              <w:numPr>
                <w:ilvl w:val="0"/>
                <w:numId w:val="3"/>
              </w:numPr>
              <w:kinsoku/>
              <w:wordWrap/>
              <w:overflowPunct/>
              <w:topLinePunct w:val="0"/>
              <w:autoSpaceDE/>
              <w:autoSpaceDN/>
              <w:bidi w:val="0"/>
              <w:adjustRightInd/>
              <w:snapToGrid/>
              <w:spacing w:after="0" w:line="240" w:lineRule="auto"/>
              <w:ind w:left="425" w:leftChars="0" w:hanging="425" w:firstLineChars="0"/>
              <w:jc w:val="center"/>
              <w:textAlignment w:val="auto"/>
              <w:rPr>
                <w:rFonts w:hint="eastAsia" w:ascii="宋体" w:hAnsi="宋体" w:eastAsia="宋体" w:cs="宋体"/>
                <w:color w:val="auto"/>
                <w:sz w:val="18"/>
                <w:szCs w:val="18"/>
                <w:highlight w:val="none"/>
                <w:vertAlign w:val="baseline"/>
                <w:lang w:val="en-US" w:eastAsia="zh-CN"/>
              </w:rPr>
            </w:pPr>
          </w:p>
        </w:tc>
        <w:tc>
          <w:tcPr>
            <w:tcW w:w="887" w:type="dxa"/>
            <w:vAlign w:val="center"/>
          </w:tcPr>
          <w:p w14:paraId="623B7E7E">
            <w:pPr>
              <w:keepNext w:val="0"/>
              <w:keepLines w:val="0"/>
              <w:widowControl/>
              <w:suppressLineNumbers w:val="0"/>
              <w:jc w:val="left"/>
              <w:textAlignment w:val="center"/>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王士东</w:t>
            </w:r>
          </w:p>
        </w:tc>
        <w:tc>
          <w:tcPr>
            <w:tcW w:w="3478" w:type="dxa"/>
            <w:vAlign w:val="center"/>
          </w:tcPr>
          <w:p w14:paraId="29009B3B">
            <w:pPr>
              <w:keepNext w:val="0"/>
              <w:keepLines w:val="0"/>
              <w:widowControl/>
              <w:suppressLineNumbers w:val="0"/>
              <w:jc w:val="left"/>
              <w:textAlignment w:val="center"/>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聊城市产品质量监督检验所</w:t>
            </w:r>
          </w:p>
        </w:tc>
        <w:tc>
          <w:tcPr>
            <w:tcW w:w="3560" w:type="dxa"/>
            <w:vAlign w:val="center"/>
          </w:tcPr>
          <w:p w14:paraId="4B9A0449">
            <w:pPr>
              <w:pStyle w:val="3"/>
              <w:keepNext w:val="0"/>
              <w:keepLines w:val="0"/>
              <w:pageBreakBefore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sz w:val="18"/>
                <w:szCs w:val="18"/>
                <w:highlight w:val="none"/>
                <w:lang w:val="en-US" w:eastAsia="zh-CN"/>
              </w:rPr>
              <w:t>一验单位人员，</w:t>
            </w:r>
            <w:r>
              <w:rPr>
                <w:rFonts w:hint="eastAsia" w:ascii="宋体" w:hAnsi="宋体" w:eastAsia="宋体" w:cs="宋体"/>
                <w:sz w:val="18"/>
                <w:szCs w:val="18"/>
                <w:highlight w:val="none"/>
              </w:rPr>
              <w:t>对标准文件和编制说明提出修改建议</w:t>
            </w:r>
          </w:p>
        </w:tc>
      </w:tr>
      <w:tr w14:paraId="3F310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7" w:type="dxa"/>
            <w:vAlign w:val="center"/>
          </w:tcPr>
          <w:p w14:paraId="143D88A3">
            <w:pPr>
              <w:pStyle w:val="3"/>
              <w:keepNext w:val="0"/>
              <w:keepLines w:val="0"/>
              <w:pageBreakBefore w:val="0"/>
              <w:numPr>
                <w:ilvl w:val="0"/>
                <w:numId w:val="3"/>
              </w:numPr>
              <w:kinsoku/>
              <w:wordWrap/>
              <w:overflowPunct/>
              <w:topLinePunct w:val="0"/>
              <w:autoSpaceDE/>
              <w:autoSpaceDN/>
              <w:bidi w:val="0"/>
              <w:adjustRightInd/>
              <w:snapToGrid/>
              <w:spacing w:after="0" w:line="240" w:lineRule="auto"/>
              <w:ind w:left="425" w:leftChars="0" w:hanging="425" w:firstLineChars="0"/>
              <w:jc w:val="center"/>
              <w:textAlignment w:val="auto"/>
              <w:rPr>
                <w:rFonts w:hint="eastAsia" w:ascii="宋体" w:hAnsi="宋体" w:eastAsia="宋体" w:cs="宋体"/>
                <w:color w:val="auto"/>
                <w:sz w:val="18"/>
                <w:szCs w:val="18"/>
                <w:highlight w:val="none"/>
                <w:vertAlign w:val="baseline"/>
                <w:lang w:val="en-US" w:eastAsia="zh-CN"/>
              </w:rPr>
            </w:pPr>
          </w:p>
        </w:tc>
        <w:tc>
          <w:tcPr>
            <w:tcW w:w="887" w:type="dxa"/>
            <w:vAlign w:val="center"/>
          </w:tcPr>
          <w:p w14:paraId="2D3E4C99">
            <w:pPr>
              <w:keepNext w:val="0"/>
              <w:keepLines w:val="0"/>
              <w:widowControl/>
              <w:suppressLineNumbers w:val="0"/>
              <w:jc w:val="left"/>
              <w:textAlignment w:val="center"/>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马晓明</w:t>
            </w:r>
          </w:p>
        </w:tc>
        <w:tc>
          <w:tcPr>
            <w:tcW w:w="3478" w:type="dxa"/>
            <w:vAlign w:val="center"/>
          </w:tcPr>
          <w:p w14:paraId="38FE66D0">
            <w:pPr>
              <w:keepNext w:val="0"/>
              <w:keepLines w:val="0"/>
              <w:widowControl/>
              <w:suppressLineNumbers w:val="0"/>
              <w:jc w:val="left"/>
              <w:textAlignment w:val="center"/>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聊城市产品质量监督检验所</w:t>
            </w:r>
          </w:p>
        </w:tc>
        <w:tc>
          <w:tcPr>
            <w:tcW w:w="3560" w:type="dxa"/>
            <w:vAlign w:val="center"/>
          </w:tcPr>
          <w:p w14:paraId="64CA84D4">
            <w:pPr>
              <w:pStyle w:val="3"/>
              <w:keepNext w:val="0"/>
              <w:keepLines w:val="0"/>
              <w:pageBreakBefore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sz w:val="18"/>
                <w:szCs w:val="18"/>
                <w:highlight w:val="none"/>
                <w:lang w:val="en-US" w:eastAsia="zh-CN"/>
              </w:rPr>
              <w:t>一验单位人员，负责数据收集处理</w:t>
            </w:r>
          </w:p>
        </w:tc>
      </w:tr>
      <w:tr w14:paraId="2E874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7" w:type="dxa"/>
            <w:vAlign w:val="center"/>
          </w:tcPr>
          <w:p w14:paraId="28BA23BC">
            <w:pPr>
              <w:pStyle w:val="3"/>
              <w:keepNext w:val="0"/>
              <w:keepLines w:val="0"/>
              <w:pageBreakBefore w:val="0"/>
              <w:numPr>
                <w:ilvl w:val="0"/>
                <w:numId w:val="3"/>
              </w:numPr>
              <w:kinsoku/>
              <w:wordWrap/>
              <w:overflowPunct/>
              <w:topLinePunct w:val="0"/>
              <w:autoSpaceDE/>
              <w:autoSpaceDN/>
              <w:bidi w:val="0"/>
              <w:adjustRightInd/>
              <w:snapToGrid/>
              <w:spacing w:after="0" w:line="240" w:lineRule="auto"/>
              <w:ind w:left="425" w:leftChars="0" w:hanging="425" w:firstLineChars="0"/>
              <w:jc w:val="center"/>
              <w:textAlignment w:val="auto"/>
              <w:rPr>
                <w:rFonts w:hint="eastAsia" w:ascii="宋体" w:hAnsi="宋体" w:eastAsia="宋体" w:cs="宋体"/>
                <w:color w:val="auto"/>
                <w:sz w:val="18"/>
                <w:szCs w:val="18"/>
                <w:highlight w:val="none"/>
                <w:vertAlign w:val="baseline"/>
                <w:lang w:val="en-US" w:eastAsia="zh-CN"/>
              </w:rPr>
            </w:pPr>
          </w:p>
        </w:tc>
        <w:tc>
          <w:tcPr>
            <w:tcW w:w="887" w:type="dxa"/>
            <w:vAlign w:val="center"/>
          </w:tcPr>
          <w:p w14:paraId="608BD59B">
            <w:pPr>
              <w:keepNext w:val="0"/>
              <w:keepLines w:val="0"/>
              <w:widowControl/>
              <w:suppressLineNumbers w:val="0"/>
              <w:jc w:val="left"/>
              <w:textAlignment w:val="center"/>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易娅丹</w:t>
            </w:r>
          </w:p>
        </w:tc>
        <w:tc>
          <w:tcPr>
            <w:tcW w:w="3478" w:type="dxa"/>
            <w:vAlign w:val="center"/>
          </w:tcPr>
          <w:p w14:paraId="2AE18DFD">
            <w:pPr>
              <w:keepNext w:val="0"/>
              <w:keepLines w:val="0"/>
              <w:widowControl/>
              <w:suppressLineNumbers w:val="0"/>
              <w:jc w:val="left"/>
              <w:textAlignment w:val="center"/>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湖南有色金属研究院有限责任公司</w:t>
            </w:r>
          </w:p>
        </w:tc>
        <w:tc>
          <w:tcPr>
            <w:tcW w:w="3560" w:type="dxa"/>
            <w:vAlign w:val="center"/>
          </w:tcPr>
          <w:p w14:paraId="5FD0939A">
            <w:pPr>
              <w:pStyle w:val="3"/>
              <w:keepNext w:val="0"/>
              <w:keepLines w:val="0"/>
              <w:pageBreakBefore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sz w:val="18"/>
                <w:szCs w:val="18"/>
                <w:highlight w:val="none"/>
                <w:lang w:val="en-US" w:eastAsia="zh-CN"/>
              </w:rPr>
              <w:t>二验单位人员，</w:t>
            </w:r>
            <w:r>
              <w:rPr>
                <w:rFonts w:hint="eastAsia" w:ascii="宋体" w:hAnsi="宋体" w:eastAsia="宋体" w:cs="宋体"/>
                <w:sz w:val="18"/>
                <w:szCs w:val="18"/>
                <w:highlight w:val="none"/>
              </w:rPr>
              <w:t>对标准文件和编制说明提出修改建议</w:t>
            </w:r>
          </w:p>
        </w:tc>
      </w:tr>
      <w:tr w14:paraId="7404A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7" w:type="dxa"/>
            <w:vAlign w:val="center"/>
          </w:tcPr>
          <w:p w14:paraId="5FDE532F">
            <w:pPr>
              <w:pStyle w:val="3"/>
              <w:keepNext w:val="0"/>
              <w:keepLines w:val="0"/>
              <w:pageBreakBefore w:val="0"/>
              <w:numPr>
                <w:ilvl w:val="0"/>
                <w:numId w:val="3"/>
              </w:numPr>
              <w:kinsoku/>
              <w:wordWrap/>
              <w:overflowPunct/>
              <w:topLinePunct w:val="0"/>
              <w:autoSpaceDE/>
              <w:autoSpaceDN/>
              <w:bidi w:val="0"/>
              <w:adjustRightInd/>
              <w:snapToGrid/>
              <w:spacing w:after="0" w:line="240" w:lineRule="auto"/>
              <w:ind w:left="425" w:leftChars="0" w:hanging="425" w:firstLineChars="0"/>
              <w:jc w:val="center"/>
              <w:textAlignment w:val="auto"/>
              <w:rPr>
                <w:rFonts w:hint="eastAsia" w:ascii="宋体" w:hAnsi="宋体" w:eastAsia="宋体" w:cs="宋体"/>
                <w:color w:val="auto"/>
                <w:sz w:val="18"/>
                <w:szCs w:val="18"/>
                <w:highlight w:val="none"/>
                <w:vertAlign w:val="baseline"/>
                <w:lang w:val="en-US" w:eastAsia="zh-CN"/>
              </w:rPr>
            </w:pPr>
          </w:p>
        </w:tc>
        <w:tc>
          <w:tcPr>
            <w:tcW w:w="887" w:type="dxa"/>
            <w:vAlign w:val="center"/>
          </w:tcPr>
          <w:p w14:paraId="4C351046">
            <w:pPr>
              <w:keepNext w:val="0"/>
              <w:keepLines w:val="0"/>
              <w:widowControl/>
              <w:suppressLineNumbers w:val="0"/>
              <w:jc w:val="left"/>
              <w:textAlignment w:val="center"/>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侯丹</w:t>
            </w:r>
          </w:p>
        </w:tc>
        <w:tc>
          <w:tcPr>
            <w:tcW w:w="3478" w:type="dxa"/>
            <w:vAlign w:val="center"/>
          </w:tcPr>
          <w:p w14:paraId="69F90957">
            <w:pPr>
              <w:keepNext w:val="0"/>
              <w:keepLines w:val="0"/>
              <w:widowControl/>
              <w:suppressLineNumbers w:val="0"/>
              <w:jc w:val="left"/>
              <w:textAlignment w:val="center"/>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湖南有色金属研究院有限责任公司</w:t>
            </w:r>
          </w:p>
        </w:tc>
        <w:tc>
          <w:tcPr>
            <w:tcW w:w="3560" w:type="dxa"/>
            <w:vAlign w:val="center"/>
          </w:tcPr>
          <w:p w14:paraId="36FF7C3F">
            <w:pPr>
              <w:pStyle w:val="3"/>
              <w:keepNext w:val="0"/>
              <w:keepLines w:val="0"/>
              <w:pageBreakBefore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sz w:val="18"/>
                <w:szCs w:val="18"/>
                <w:highlight w:val="none"/>
                <w:lang w:val="en-US" w:eastAsia="zh-CN"/>
              </w:rPr>
              <w:t>二验单位人员，负责方法验证数据处理，</w:t>
            </w:r>
            <w:r>
              <w:rPr>
                <w:rFonts w:hint="eastAsia" w:ascii="宋体" w:hAnsi="宋体" w:eastAsia="宋体" w:cs="宋体"/>
                <w:sz w:val="18"/>
                <w:szCs w:val="18"/>
                <w:highlight w:val="none"/>
              </w:rPr>
              <w:t>对标准文件和编制说明提出修改建议</w:t>
            </w:r>
          </w:p>
        </w:tc>
      </w:tr>
      <w:tr w14:paraId="4E6DC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7" w:type="dxa"/>
            <w:vAlign w:val="center"/>
          </w:tcPr>
          <w:p w14:paraId="447AA597">
            <w:pPr>
              <w:pStyle w:val="3"/>
              <w:keepNext w:val="0"/>
              <w:keepLines w:val="0"/>
              <w:pageBreakBefore w:val="0"/>
              <w:numPr>
                <w:ilvl w:val="0"/>
                <w:numId w:val="3"/>
              </w:numPr>
              <w:kinsoku/>
              <w:wordWrap/>
              <w:overflowPunct/>
              <w:topLinePunct w:val="0"/>
              <w:autoSpaceDE/>
              <w:autoSpaceDN/>
              <w:bidi w:val="0"/>
              <w:adjustRightInd/>
              <w:snapToGrid/>
              <w:spacing w:after="0" w:line="240" w:lineRule="auto"/>
              <w:ind w:left="425" w:leftChars="0" w:hanging="425" w:firstLineChars="0"/>
              <w:jc w:val="center"/>
              <w:textAlignment w:val="auto"/>
              <w:rPr>
                <w:rFonts w:hint="eastAsia" w:ascii="宋体" w:hAnsi="宋体" w:eastAsia="宋体" w:cs="宋体"/>
                <w:color w:val="auto"/>
                <w:sz w:val="18"/>
                <w:szCs w:val="18"/>
                <w:highlight w:val="none"/>
                <w:vertAlign w:val="baseline"/>
                <w:lang w:val="en-US" w:eastAsia="zh-CN"/>
              </w:rPr>
            </w:pPr>
          </w:p>
        </w:tc>
        <w:tc>
          <w:tcPr>
            <w:tcW w:w="887" w:type="dxa"/>
            <w:vAlign w:val="center"/>
          </w:tcPr>
          <w:p w14:paraId="0105AD3C">
            <w:pPr>
              <w:keepNext w:val="0"/>
              <w:keepLines w:val="0"/>
              <w:widowControl/>
              <w:suppressLineNumbers w:val="0"/>
              <w:jc w:val="left"/>
              <w:textAlignment w:val="center"/>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张露露</w:t>
            </w:r>
          </w:p>
        </w:tc>
        <w:tc>
          <w:tcPr>
            <w:tcW w:w="3478" w:type="dxa"/>
            <w:vAlign w:val="center"/>
          </w:tcPr>
          <w:p w14:paraId="3B2ADCCD">
            <w:pPr>
              <w:keepNext w:val="0"/>
              <w:keepLines w:val="0"/>
              <w:widowControl/>
              <w:suppressLineNumbers w:val="0"/>
              <w:jc w:val="left"/>
              <w:textAlignment w:val="center"/>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北矿检测技术股份有限公司</w:t>
            </w:r>
          </w:p>
        </w:tc>
        <w:tc>
          <w:tcPr>
            <w:tcW w:w="3560" w:type="dxa"/>
            <w:vAlign w:val="center"/>
          </w:tcPr>
          <w:p w14:paraId="7F708752">
            <w:pPr>
              <w:pStyle w:val="3"/>
              <w:keepNext w:val="0"/>
              <w:keepLines w:val="0"/>
              <w:pageBreakBefore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二验单位人员，负责方法验证，数据处理，</w:t>
            </w:r>
            <w:r>
              <w:rPr>
                <w:rFonts w:hint="eastAsia" w:ascii="宋体" w:hAnsi="宋体" w:eastAsia="宋体" w:cs="宋体"/>
                <w:sz w:val="18"/>
                <w:szCs w:val="18"/>
                <w:highlight w:val="none"/>
              </w:rPr>
              <w:t>对标准文件和编制说明提出修改建议</w:t>
            </w:r>
          </w:p>
        </w:tc>
      </w:tr>
      <w:tr w14:paraId="1B8B3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7" w:type="dxa"/>
            <w:vAlign w:val="center"/>
          </w:tcPr>
          <w:p w14:paraId="05C9F8DA">
            <w:pPr>
              <w:pStyle w:val="3"/>
              <w:keepNext w:val="0"/>
              <w:keepLines w:val="0"/>
              <w:pageBreakBefore w:val="0"/>
              <w:numPr>
                <w:ilvl w:val="0"/>
                <w:numId w:val="3"/>
              </w:numPr>
              <w:kinsoku/>
              <w:wordWrap/>
              <w:overflowPunct/>
              <w:topLinePunct w:val="0"/>
              <w:autoSpaceDE/>
              <w:autoSpaceDN/>
              <w:bidi w:val="0"/>
              <w:adjustRightInd/>
              <w:snapToGrid/>
              <w:spacing w:after="0" w:line="240" w:lineRule="auto"/>
              <w:ind w:left="425" w:leftChars="0" w:hanging="425" w:firstLineChars="0"/>
              <w:jc w:val="center"/>
              <w:textAlignment w:val="auto"/>
              <w:rPr>
                <w:rFonts w:hint="eastAsia" w:ascii="宋体" w:hAnsi="宋体" w:eastAsia="宋体" w:cs="宋体"/>
                <w:color w:val="auto"/>
                <w:sz w:val="18"/>
                <w:szCs w:val="18"/>
                <w:highlight w:val="none"/>
                <w:vertAlign w:val="baseline"/>
                <w:lang w:val="en-US" w:eastAsia="zh-CN"/>
              </w:rPr>
            </w:pPr>
            <w:bookmarkStart w:id="6" w:name="_GoBack" w:colFirst="1" w:colLast="1"/>
          </w:p>
        </w:tc>
        <w:tc>
          <w:tcPr>
            <w:tcW w:w="887" w:type="dxa"/>
            <w:vAlign w:val="center"/>
          </w:tcPr>
          <w:p w14:paraId="77289583">
            <w:pPr>
              <w:keepNext w:val="0"/>
              <w:keepLines w:val="0"/>
              <w:widowControl/>
              <w:suppressLineNumbers w:val="0"/>
              <w:jc w:val="center"/>
              <w:textAlignment w:val="center"/>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i w:val="0"/>
                <w:iCs w:val="0"/>
                <w:color w:val="000000"/>
                <w:kern w:val="0"/>
                <w:sz w:val="18"/>
                <w:szCs w:val="18"/>
                <w:u w:val="none"/>
                <w:lang w:val="en-US" w:eastAsia="zh-CN" w:bidi="ar"/>
              </w:rPr>
              <w:t>杜翠娟</w:t>
            </w:r>
          </w:p>
        </w:tc>
        <w:tc>
          <w:tcPr>
            <w:tcW w:w="3478" w:type="dxa"/>
            <w:vAlign w:val="center"/>
          </w:tcPr>
          <w:p w14:paraId="4B8D34E5">
            <w:pPr>
              <w:keepNext w:val="0"/>
              <w:keepLines w:val="0"/>
              <w:widowControl/>
              <w:suppressLineNumbers w:val="0"/>
              <w:jc w:val="left"/>
              <w:textAlignment w:val="center"/>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广东省科学院工业分析检测中心</w:t>
            </w:r>
          </w:p>
        </w:tc>
        <w:tc>
          <w:tcPr>
            <w:tcW w:w="3560" w:type="dxa"/>
            <w:vAlign w:val="center"/>
          </w:tcPr>
          <w:p w14:paraId="2EE2D3FB">
            <w:pPr>
              <w:pStyle w:val="3"/>
              <w:keepNext w:val="0"/>
              <w:keepLines w:val="0"/>
              <w:pageBreakBefore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二验单位人员，</w:t>
            </w:r>
            <w:r>
              <w:rPr>
                <w:rFonts w:hint="eastAsia" w:ascii="宋体" w:hAnsi="宋体" w:eastAsia="宋体" w:cs="宋体"/>
                <w:sz w:val="18"/>
                <w:szCs w:val="18"/>
                <w:highlight w:val="none"/>
              </w:rPr>
              <w:t>对标准文件和编制说明提出修改建议</w:t>
            </w:r>
          </w:p>
        </w:tc>
      </w:tr>
      <w:tr w14:paraId="2550A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7" w:type="dxa"/>
            <w:vAlign w:val="center"/>
          </w:tcPr>
          <w:p w14:paraId="1B55E667">
            <w:pPr>
              <w:pStyle w:val="3"/>
              <w:keepNext w:val="0"/>
              <w:keepLines w:val="0"/>
              <w:pageBreakBefore w:val="0"/>
              <w:numPr>
                <w:ilvl w:val="0"/>
                <w:numId w:val="3"/>
              </w:numPr>
              <w:kinsoku/>
              <w:wordWrap/>
              <w:overflowPunct/>
              <w:topLinePunct w:val="0"/>
              <w:autoSpaceDE/>
              <w:autoSpaceDN/>
              <w:bidi w:val="0"/>
              <w:adjustRightInd/>
              <w:snapToGrid/>
              <w:spacing w:after="0" w:line="240" w:lineRule="auto"/>
              <w:ind w:left="425" w:leftChars="0" w:hanging="425" w:firstLineChars="0"/>
              <w:jc w:val="center"/>
              <w:textAlignment w:val="auto"/>
              <w:rPr>
                <w:rFonts w:hint="eastAsia" w:ascii="宋体" w:hAnsi="宋体" w:eastAsia="宋体" w:cs="宋体"/>
                <w:color w:val="auto"/>
                <w:sz w:val="18"/>
                <w:szCs w:val="18"/>
                <w:highlight w:val="none"/>
                <w:vertAlign w:val="baseline"/>
                <w:lang w:val="en-US" w:eastAsia="zh-CN"/>
              </w:rPr>
            </w:pPr>
          </w:p>
        </w:tc>
        <w:tc>
          <w:tcPr>
            <w:tcW w:w="887" w:type="dxa"/>
            <w:vAlign w:val="center"/>
          </w:tcPr>
          <w:p w14:paraId="18B5E2DF">
            <w:pPr>
              <w:keepNext w:val="0"/>
              <w:keepLines w:val="0"/>
              <w:widowControl/>
              <w:suppressLineNumbers w:val="0"/>
              <w:jc w:val="center"/>
              <w:textAlignment w:val="center"/>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i w:val="0"/>
                <w:iCs w:val="0"/>
                <w:color w:val="000000"/>
                <w:kern w:val="0"/>
                <w:sz w:val="18"/>
                <w:szCs w:val="18"/>
                <w:u w:val="none"/>
                <w:lang w:val="en-US" w:eastAsia="zh-CN" w:bidi="ar"/>
              </w:rPr>
              <w:t>陈淑梅</w:t>
            </w:r>
          </w:p>
        </w:tc>
        <w:tc>
          <w:tcPr>
            <w:tcW w:w="3478" w:type="dxa"/>
            <w:vAlign w:val="center"/>
          </w:tcPr>
          <w:p w14:paraId="43F27C40">
            <w:pPr>
              <w:keepNext w:val="0"/>
              <w:keepLines w:val="0"/>
              <w:widowControl/>
              <w:suppressLineNumbers w:val="0"/>
              <w:jc w:val="left"/>
              <w:textAlignment w:val="center"/>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广东省科学院工业分析检测中心</w:t>
            </w:r>
          </w:p>
        </w:tc>
        <w:tc>
          <w:tcPr>
            <w:tcW w:w="3560" w:type="dxa"/>
            <w:vAlign w:val="center"/>
          </w:tcPr>
          <w:p w14:paraId="380B295F">
            <w:pPr>
              <w:pStyle w:val="3"/>
              <w:keepNext w:val="0"/>
              <w:keepLines w:val="0"/>
              <w:pageBreakBefore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二验单位人员，负责方法验证，数据处理</w:t>
            </w:r>
          </w:p>
        </w:tc>
      </w:tr>
      <w:bookmarkEnd w:id="6"/>
      <w:tr w14:paraId="468F6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7" w:type="dxa"/>
            <w:vAlign w:val="center"/>
          </w:tcPr>
          <w:p w14:paraId="1F420836">
            <w:pPr>
              <w:pStyle w:val="3"/>
              <w:keepNext w:val="0"/>
              <w:keepLines w:val="0"/>
              <w:pageBreakBefore w:val="0"/>
              <w:numPr>
                <w:ilvl w:val="0"/>
                <w:numId w:val="3"/>
              </w:numPr>
              <w:kinsoku/>
              <w:wordWrap/>
              <w:overflowPunct/>
              <w:topLinePunct w:val="0"/>
              <w:autoSpaceDE/>
              <w:autoSpaceDN/>
              <w:bidi w:val="0"/>
              <w:adjustRightInd/>
              <w:snapToGrid/>
              <w:spacing w:after="0" w:line="240" w:lineRule="auto"/>
              <w:ind w:left="425" w:leftChars="0" w:hanging="425" w:firstLineChars="0"/>
              <w:jc w:val="center"/>
              <w:textAlignment w:val="auto"/>
              <w:rPr>
                <w:rFonts w:hint="eastAsia" w:ascii="宋体" w:hAnsi="宋体" w:eastAsia="宋体" w:cs="宋体"/>
                <w:color w:val="auto"/>
                <w:sz w:val="18"/>
                <w:szCs w:val="18"/>
                <w:highlight w:val="none"/>
                <w:vertAlign w:val="baseline"/>
                <w:lang w:val="en-US" w:eastAsia="zh-CN"/>
              </w:rPr>
            </w:pPr>
          </w:p>
        </w:tc>
        <w:tc>
          <w:tcPr>
            <w:tcW w:w="887" w:type="dxa"/>
            <w:vAlign w:val="center"/>
          </w:tcPr>
          <w:p w14:paraId="14278AB6">
            <w:pPr>
              <w:keepNext w:val="0"/>
              <w:keepLines w:val="0"/>
              <w:widowControl/>
              <w:suppressLineNumbers w:val="0"/>
              <w:jc w:val="left"/>
              <w:textAlignment w:val="center"/>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郭兴杰</w:t>
            </w:r>
          </w:p>
        </w:tc>
        <w:tc>
          <w:tcPr>
            <w:tcW w:w="3478" w:type="dxa"/>
            <w:vAlign w:val="center"/>
          </w:tcPr>
          <w:p w14:paraId="743E30BF">
            <w:pPr>
              <w:keepNext w:val="0"/>
              <w:keepLines w:val="0"/>
              <w:widowControl/>
              <w:suppressLineNumbers w:val="0"/>
              <w:jc w:val="left"/>
              <w:textAlignment w:val="center"/>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洛阳船舶材料研究所（中国船舶集团有限公司第七二五研究所）</w:t>
            </w:r>
          </w:p>
        </w:tc>
        <w:tc>
          <w:tcPr>
            <w:tcW w:w="3560" w:type="dxa"/>
            <w:vAlign w:val="center"/>
          </w:tcPr>
          <w:p w14:paraId="3DEC0CA2">
            <w:pPr>
              <w:pStyle w:val="3"/>
              <w:keepNext w:val="0"/>
              <w:keepLines w:val="0"/>
              <w:pageBreakBefore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sz w:val="18"/>
                <w:szCs w:val="18"/>
                <w:highlight w:val="none"/>
                <w:lang w:val="en-US" w:eastAsia="zh-CN"/>
              </w:rPr>
              <w:t>二验单位人员，负责数据收集处理，</w:t>
            </w:r>
            <w:r>
              <w:rPr>
                <w:rFonts w:hint="eastAsia" w:ascii="宋体" w:hAnsi="宋体" w:eastAsia="宋体" w:cs="宋体"/>
                <w:sz w:val="18"/>
                <w:szCs w:val="18"/>
                <w:highlight w:val="none"/>
              </w:rPr>
              <w:t>对标准文件和编制说明提出修改建议</w:t>
            </w:r>
          </w:p>
        </w:tc>
      </w:tr>
      <w:tr w14:paraId="6A68B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7" w:type="dxa"/>
            <w:vAlign w:val="center"/>
          </w:tcPr>
          <w:p w14:paraId="55A402F7">
            <w:pPr>
              <w:pStyle w:val="3"/>
              <w:keepNext w:val="0"/>
              <w:keepLines w:val="0"/>
              <w:pageBreakBefore w:val="0"/>
              <w:numPr>
                <w:ilvl w:val="0"/>
                <w:numId w:val="3"/>
              </w:numPr>
              <w:kinsoku/>
              <w:wordWrap/>
              <w:overflowPunct/>
              <w:topLinePunct w:val="0"/>
              <w:autoSpaceDE/>
              <w:autoSpaceDN/>
              <w:bidi w:val="0"/>
              <w:adjustRightInd/>
              <w:snapToGrid/>
              <w:spacing w:after="0" w:line="240" w:lineRule="auto"/>
              <w:ind w:left="425" w:leftChars="0" w:hanging="425" w:firstLineChars="0"/>
              <w:jc w:val="center"/>
              <w:textAlignment w:val="auto"/>
              <w:rPr>
                <w:rFonts w:hint="eastAsia" w:ascii="宋体" w:hAnsi="宋体" w:eastAsia="宋体" w:cs="宋体"/>
                <w:color w:val="auto"/>
                <w:sz w:val="18"/>
                <w:szCs w:val="18"/>
                <w:highlight w:val="none"/>
                <w:vertAlign w:val="baseline"/>
                <w:lang w:val="en-US" w:eastAsia="zh-CN"/>
              </w:rPr>
            </w:pPr>
          </w:p>
        </w:tc>
        <w:tc>
          <w:tcPr>
            <w:tcW w:w="887" w:type="dxa"/>
            <w:vAlign w:val="center"/>
          </w:tcPr>
          <w:p w14:paraId="2F4595F2">
            <w:pPr>
              <w:keepNext w:val="0"/>
              <w:keepLines w:val="0"/>
              <w:widowControl/>
              <w:suppressLineNumbers w:val="0"/>
              <w:jc w:val="left"/>
              <w:textAlignment w:val="center"/>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刘攀</w:t>
            </w:r>
          </w:p>
        </w:tc>
        <w:tc>
          <w:tcPr>
            <w:tcW w:w="3478" w:type="dxa"/>
            <w:vAlign w:val="center"/>
          </w:tcPr>
          <w:p w14:paraId="7BA47E20">
            <w:pPr>
              <w:keepNext w:val="0"/>
              <w:keepLines w:val="0"/>
              <w:widowControl/>
              <w:suppressLineNumbers w:val="0"/>
              <w:jc w:val="left"/>
              <w:textAlignment w:val="center"/>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洛阳船舶材料研究所（中国船舶集团有限公司第七二五研究所）</w:t>
            </w:r>
          </w:p>
        </w:tc>
        <w:tc>
          <w:tcPr>
            <w:tcW w:w="3560" w:type="dxa"/>
            <w:vAlign w:val="center"/>
          </w:tcPr>
          <w:p w14:paraId="30C3A543">
            <w:pPr>
              <w:pStyle w:val="3"/>
              <w:keepNext w:val="0"/>
              <w:keepLines w:val="0"/>
              <w:pageBreakBefore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sz w:val="18"/>
                <w:szCs w:val="18"/>
                <w:highlight w:val="none"/>
                <w:lang w:val="en-US" w:eastAsia="zh-CN"/>
              </w:rPr>
              <w:t>二验单位人员，负责方法精密度验证试验，数据处理</w:t>
            </w:r>
          </w:p>
        </w:tc>
      </w:tr>
      <w:tr w14:paraId="7A38E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7" w:type="dxa"/>
            <w:vAlign w:val="center"/>
          </w:tcPr>
          <w:p w14:paraId="6342E279">
            <w:pPr>
              <w:pStyle w:val="3"/>
              <w:keepNext w:val="0"/>
              <w:keepLines w:val="0"/>
              <w:pageBreakBefore w:val="0"/>
              <w:numPr>
                <w:ilvl w:val="0"/>
                <w:numId w:val="3"/>
              </w:numPr>
              <w:kinsoku/>
              <w:wordWrap/>
              <w:overflowPunct/>
              <w:topLinePunct w:val="0"/>
              <w:autoSpaceDE/>
              <w:autoSpaceDN/>
              <w:bidi w:val="0"/>
              <w:adjustRightInd/>
              <w:snapToGrid/>
              <w:spacing w:after="0" w:line="240" w:lineRule="auto"/>
              <w:ind w:left="425" w:leftChars="0" w:hanging="425" w:firstLineChars="0"/>
              <w:jc w:val="center"/>
              <w:textAlignment w:val="auto"/>
              <w:rPr>
                <w:rFonts w:hint="eastAsia" w:ascii="宋体" w:hAnsi="宋体" w:eastAsia="宋体" w:cs="宋体"/>
                <w:color w:val="auto"/>
                <w:sz w:val="18"/>
                <w:szCs w:val="18"/>
                <w:highlight w:val="none"/>
                <w:vertAlign w:val="baseline"/>
                <w:lang w:val="en-US" w:eastAsia="zh-CN"/>
              </w:rPr>
            </w:pPr>
          </w:p>
        </w:tc>
        <w:tc>
          <w:tcPr>
            <w:tcW w:w="887" w:type="dxa"/>
            <w:vAlign w:val="center"/>
          </w:tcPr>
          <w:p w14:paraId="4E7832E5">
            <w:pPr>
              <w:keepNext w:val="0"/>
              <w:keepLines w:val="0"/>
              <w:widowControl/>
              <w:suppressLineNumbers w:val="0"/>
              <w:jc w:val="left"/>
              <w:textAlignment w:val="center"/>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姚映君</w:t>
            </w:r>
          </w:p>
        </w:tc>
        <w:tc>
          <w:tcPr>
            <w:tcW w:w="3478" w:type="dxa"/>
            <w:vAlign w:val="center"/>
          </w:tcPr>
          <w:p w14:paraId="58C77F38">
            <w:pPr>
              <w:keepNext w:val="0"/>
              <w:keepLines w:val="0"/>
              <w:widowControl/>
              <w:suppressLineNumbers w:val="0"/>
              <w:jc w:val="left"/>
              <w:textAlignment w:val="center"/>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北京有色金属与稀土应用研究所有限公司</w:t>
            </w:r>
          </w:p>
        </w:tc>
        <w:tc>
          <w:tcPr>
            <w:tcW w:w="3560" w:type="dxa"/>
            <w:vAlign w:val="center"/>
          </w:tcPr>
          <w:p w14:paraId="629B59B6">
            <w:pPr>
              <w:pStyle w:val="3"/>
              <w:keepNext w:val="0"/>
              <w:keepLines w:val="0"/>
              <w:pageBreakBefore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sz w:val="18"/>
                <w:szCs w:val="18"/>
                <w:highlight w:val="none"/>
                <w:lang w:val="en-US" w:eastAsia="zh-CN"/>
              </w:rPr>
              <w:t>二验单位人员，负责数据处理，</w:t>
            </w:r>
            <w:r>
              <w:rPr>
                <w:rFonts w:hint="eastAsia" w:ascii="宋体" w:hAnsi="宋体" w:eastAsia="宋体" w:cs="宋体"/>
                <w:sz w:val="18"/>
                <w:szCs w:val="18"/>
                <w:highlight w:val="none"/>
              </w:rPr>
              <w:t>对标准文件和编制说明提出修改建议</w:t>
            </w:r>
          </w:p>
        </w:tc>
      </w:tr>
      <w:tr w14:paraId="3CF31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7" w:type="dxa"/>
            <w:vAlign w:val="center"/>
          </w:tcPr>
          <w:p w14:paraId="00A12DD3">
            <w:pPr>
              <w:pStyle w:val="3"/>
              <w:keepNext w:val="0"/>
              <w:keepLines w:val="0"/>
              <w:pageBreakBefore w:val="0"/>
              <w:numPr>
                <w:ilvl w:val="0"/>
                <w:numId w:val="3"/>
              </w:numPr>
              <w:kinsoku/>
              <w:wordWrap/>
              <w:overflowPunct/>
              <w:topLinePunct w:val="0"/>
              <w:autoSpaceDE/>
              <w:autoSpaceDN/>
              <w:bidi w:val="0"/>
              <w:adjustRightInd/>
              <w:snapToGrid/>
              <w:spacing w:after="0" w:line="240" w:lineRule="auto"/>
              <w:ind w:left="425" w:leftChars="0" w:hanging="425" w:firstLineChars="0"/>
              <w:jc w:val="center"/>
              <w:textAlignment w:val="auto"/>
              <w:rPr>
                <w:rFonts w:hint="eastAsia" w:ascii="宋体" w:hAnsi="宋体" w:eastAsia="宋体" w:cs="宋体"/>
                <w:color w:val="auto"/>
                <w:sz w:val="18"/>
                <w:szCs w:val="18"/>
                <w:highlight w:val="none"/>
                <w:vertAlign w:val="baseline"/>
                <w:lang w:val="en-US" w:eastAsia="zh-CN"/>
              </w:rPr>
            </w:pPr>
          </w:p>
        </w:tc>
        <w:tc>
          <w:tcPr>
            <w:tcW w:w="887" w:type="dxa"/>
            <w:vAlign w:val="center"/>
          </w:tcPr>
          <w:p w14:paraId="1F959650">
            <w:pPr>
              <w:keepNext w:val="0"/>
              <w:keepLines w:val="0"/>
              <w:widowControl/>
              <w:suppressLineNumbers w:val="0"/>
              <w:jc w:val="left"/>
              <w:textAlignment w:val="center"/>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瞿佳奕</w:t>
            </w:r>
          </w:p>
        </w:tc>
        <w:tc>
          <w:tcPr>
            <w:tcW w:w="3478" w:type="dxa"/>
            <w:vAlign w:val="center"/>
          </w:tcPr>
          <w:p w14:paraId="3103D6C3">
            <w:pPr>
              <w:keepNext w:val="0"/>
              <w:keepLines w:val="0"/>
              <w:widowControl/>
              <w:suppressLineNumbers w:val="0"/>
              <w:jc w:val="left"/>
              <w:textAlignment w:val="center"/>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北京有色金属与稀土应用研究所有限公司</w:t>
            </w:r>
          </w:p>
        </w:tc>
        <w:tc>
          <w:tcPr>
            <w:tcW w:w="3560" w:type="dxa"/>
            <w:shd w:val="clear" w:color="auto" w:fill="auto"/>
            <w:vAlign w:val="center"/>
          </w:tcPr>
          <w:p w14:paraId="0D8DADB4">
            <w:pPr>
              <w:pStyle w:val="3"/>
              <w:keepNext w:val="0"/>
              <w:keepLines w:val="0"/>
              <w:pageBreakBefore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sz w:val="18"/>
                <w:szCs w:val="18"/>
                <w:highlight w:val="none"/>
                <w:lang w:val="en-US" w:eastAsia="zh-CN"/>
              </w:rPr>
              <w:t>二验单位人员，负责方法精密度验证试验</w:t>
            </w:r>
          </w:p>
        </w:tc>
      </w:tr>
      <w:tr w14:paraId="67814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7" w:type="dxa"/>
            <w:vAlign w:val="center"/>
          </w:tcPr>
          <w:p w14:paraId="14318534">
            <w:pPr>
              <w:pStyle w:val="3"/>
              <w:keepNext w:val="0"/>
              <w:keepLines w:val="0"/>
              <w:pageBreakBefore w:val="0"/>
              <w:numPr>
                <w:ilvl w:val="0"/>
                <w:numId w:val="3"/>
              </w:numPr>
              <w:kinsoku/>
              <w:wordWrap/>
              <w:overflowPunct/>
              <w:topLinePunct w:val="0"/>
              <w:autoSpaceDE/>
              <w:autoSpaceDN/>
              <w:bidi w:val="0"/>
              <w:adjustRightInd/>
              <w:snapToGrid/>
              <w:spacing w:after="0" w:line="240" w:lineRule="auto"/>
              <w:ind w:left="425" w:leftChars="0" w:hanging="425" w:firstLineChars="0"/>
              <w:jc w:val="center"/>
              <w:textAlignment w:val="auto"/>
              <w:rPr>
                <w:rFonts w:hint="eastAsia" w:ascii="宋体" w:hAnsi="宋体" w:eastAsia="宋体" w:cs="宋体"/>
                <w:color w:val="auto"/>
                <w:sz w:val="18"/>
                <w:szCs w:val="18"/>
                <w:highlight w:val="none"/>
                <w:vertAlign w:val="baseline"/>
                <w:lang w:val="en-US" w:eastAsia="zh-CN"/>
              </w:rPr>
            </w:pPr>
          </w:p>
        </w:tc>
        <w:tc>
          <w:tcPr>
            <w:tcW w:w="887" w:type="dxa"/>
            <w:vAlign w:val="center"/>
          </w:tcPr>
          <w:p w14:paraId="48159244">
            <w:pPr>
              <w:keepNext w:val="0"/>
              <w:keepLines w:val="0"/>
              <w:widowControl/>
              <w:suppressLineNumbers w:val="0"/>
              <w:jc w:val="center"/>
              <w:textAlignment w:val="center"/>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i w:val="0"/>
                <w:iCs w:val="0"/>
                <w:color w:val="000000"/>
                <w:kern w:val="0"/>
                <w:sz w:val="18"/>
                <w:szCs w:val="18"/>
                <w:u w:val="none"/>
                <w:lang w:val="en-US" w:eastAsia="zh-CN" w:bidi="ar"/>
              </w:rPr>
              <w:t>许开华</w:t>
            </w:r>
          </w:p>
        </w:tc>
        <w:tc>
          <w:tcPr>
            <w:tcW w:w="3478" w:type="dxa"/>
            <w:vAlign w:val="center"/>
          </w:tcPr>
          <w:p w14:paraId="5B6A5BD2">
            <w:pPr>
              <w:keepNext w:val="0"/>
              <w:keepLines w:val="0"/>
              <w:widowControl/>
              <w:suppressLineNumbers w:val="0"/>
              <w:jc w:val="left"/>
              <w:textAlignment w:val="center"/>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格林美（江苏）钴业股份有限公司</w:t>
            </w:r>
          </w:p>
        </w:tc>
        <w:tc>
          <w:tcPr>
            <w:tcW w:w="3560" w:type="dxa"/>
            <w:vAlign w:val="center"/>
          </w:tcPr>
          <w:p w14:paraId="5B352F4B">
            <w:pPr>
              <w:pStyle w:val="3"/>
              <w:keepNext w:val="0"/>
              <w:keepLines w:val="0"/>
              <w:pageBreakBefore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sz w:val="18"/>
                <w:szCs w:val="18"/>
                <w:highlight w:val="none"/>
                <w:lang w:val="en-US" w:eastAsia="zh-CN"/>
              </w:rPr>
              <w:t>二验单位人员，负责方法精密度验证试验</w:t>
            </w:r>
          </w:p>
        </w:tc>
      </w:tr>
      <w:tr w14:paraId="7E878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7" w:type="dxa"/>
            <w:vAlign w:val="center"/>
          </w:tcPr>
          <w:p w14:paraId="688C0B44">
            <w:pPr>
              <w:pStyle w:val="3"/>
              <w:keepNext w:val="0"/>
              <w:keepLines w:val="0"/>
              <w:pageBreakBefore w:val="0"/>
              <w:numPr>
                <w:ilvl w:val="0"/>
                <w:numId w:val="3"/>
              </w:numPr>
              <w:kinsoku/>
              <w:wordWrap/>
              <w:overflowPunct/>
              <w:topLinePunct w:val="0"/>
              <w:autoSpaceDE/>
              <w:autoSpaceDN/>
              <w:bidi w:val="0"/>
              <w:adjustRightInd/>
              <w:snapToGrid/>
              <w:spacing w:after="0" w:line="240" w:lineRule="auto"/>
              <w:ind w:left="425" w:leftChars="0" w:hanging="425" w:firstLineChars="0"/>
              <w:jc w:val="center"/>
              <w:textAlignment w:val="auto"/>
              <w:rPr>
                <w:rFonts w:hint="eastAsia" w:ascii="宋体" w:hAnsi="宋体" w:eastAsia="宋体" w:cs="宋体"/>
                <w:color w:val="auto"/>
                <w:sz w:val="18"/>
                <w:szCs w:val="18"/>
                <w:highlight w:val="none"/>
                <w:vertAlign w:val="baseline"/>
                <w:lang w:val="en-US" w:eastAsia="zh-CN"/>
              </w:rPr>
            </w:pPr>
          </w:p>
        </w:tc>
        <w:tc>
          <w:tcPr>
            <w:tcW w:w="887" w:type="dxa"/>
            <w:vAlign w:val="center"/>
          </w:tcPr>
          <w:p w14:paraId="39887146">
            <w:pPr>
              <w:keepNext w:val="0"/>
              <w:keepLines w:val="0"/>
              <w:widowControl/>
              <w:suppressLineNumbers w:val="0"/>
              <w:jc w:val="center"/>
              <w:textAlignment w:val="center"/>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i w:val="0"/>
                <w:iCs w:val="0"/>
                <w:color w:val="000000"/>
                <w:kern w:val="0"/>
                <w:sz w:val="18"/>
                <w:szCs w:val="18"/>
                <w:u w:val="none"/>
                <w:lang w:val="en-US" w:eastAsia="zh-CN" w:bidi="ar"/>
              </w:rPr>
              <w:t>王星</w:t>
            </w:r>
          </w:p>
        </w:tc>
        <w:tc>
          <w:tcPr>
            <w:tcW w:w="3478" w:type="dxa"/>
            <w:vAlign w:val="center"/>
          </w:tcPr>
          <w:p w14:paraId="652470C3">
            <w:pPr>
              <w:keepNext w:val="0"/>
              <w:keepLines w:val="0"/>
              <w:widowControl/>
              <w:suppressLineNumbers w:val="0"/>
              <w:jc w:val="left"/>
              <w:textAlignment w:val="center"/>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格林美（江苏）钴业股份有限公司</w:t>
            </w:r>
          </w:p>
        </w:tc>
        <w:tc>
          <w:tcPr>
            <w:tcW w:w="3560" w:type="dxa"/>
            <w:vAlign w:val="center"/>
          </w:tcPr>
          <w:p w14:paraId="2CCB83D9">
            <w:pPr>
              <w:pStyle w:val="3"/>
              <w:keepNext w:val="0"/>
              <w:keepLines w:val="0"/>
              <w:pageBreakBefore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sz w:val="18"/>
                <w:szCs w:val="18"/>
                <w:highlight w:val="none"/>
                <w:lang w:val="en-US" w:eastAsia="zh-CN"/>
              </w:rPr>
              <w:t>二验单位人员，负责数据处理，</w:t>
            </w:r>
            <w:r>
              <w:rPr>
                <w:rFonts w:hint="eastAsia" w:ascii="宋体" w:hAnsi="宋体" w:eastAsia="宋体" w:cs="宋体"/>
                <w:sz w:val="18"/>
                <w:szCs w:val="18"/>
                <w:highlight w:val="none"/>
              </w:rPr>
              <w:t>对标准文件和编制说明提出修改建议</w:t>
            </w:r>
          </w:p>
        </w:tc>
      </w:tr>
      <w:tr w14:paraId="77EC8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7" w:type="dxa"/>
            <w:vAlign w:val="center"/>
          </w:tcPr>
          <w:p w14:paraId="3E2EA2DA">
            <w:pPr>
              <w:pStyle w:val="3"/>
              <w:keepNext w:val="0"/>
              <w:keepLines w:val="0"/>
              <w:pageBreakBefore w:val="0"/>
              <w:numPr>
                <w:ilvl w:val="0"/>
                <w:numId w:val="3"/>
              </w:numPr>
              <w:kinsoku/>
              <w:wordWrap/>
              <w:overflowPunct/>
              <w:topLinePunct w:val="0"/>
              <w:autoSpaceDE/>
              <w:autoSpaceDN/>
              <w:bidi w:val="0"/>
              <w:adjustRightInd/>
              <w:snapToGrid/>
              <w:spacing w:after="0" w:line="240" w:lineRule="auto"/>
              <w:ind w:left="425" w:leftChars="0" w:hanging="425" w:firstLineChars="0"/>
              <w:jc w:val="center"/>
              <w:textAlignment w:val="auto"/>
              <w:rPr>
                <w:rFonts w:hint="eastAsia" w:ascii="宋体" w:hAnsi="宋体" w:eastAsia="宋体" w:cs="宋体"/>
                <w:color w:val="auto"/>
                <w:sz w:val="18"/>
                <w:szCs w:val="18"/>
                <w:highlight w:val="none"/>
                <w:vertAlign w:val="baseline"/>
                <w:lang w:val="en-US" w:eastAsia="zh-CN"/>
              </w:rPr>
            </w:pPr>
          </w:p>
        </w:tc>
        <w:tc>
          <w:tcPr>
            <w:tcW w:w="887" w:type="dxa"/>
            <w:vAlign w:val="center"/>
          </w:tcPr>
          <w:p w14:paraId="284964A3">
            <w:pPr>
              <w:keepNext w:val="0"/>
              <w:keepLines w:val="0"/>
              <w:widowControl/>
              <w:suppressLineNumbers w:val="0"/>
              <w:jc w:val="center"/>
              <w:textAlignment w:val="center"/>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杨帕米</w:t>
            </w:r>
          </w:p>
        </w:tc>
        <w:tc>
          <w:tcPr>
            <w:tcW w:w="3478" w:type="dxa"/>
            <w:vAlign w:val="center"/>
          </w:tcPr>
          <w:p w14:paraId="3397FBB9">
            <w:pPr>
              <w:keepNext w:val="0"/>
              <w:keepLines w:val="0"/>
              <w:widowControl/>
              <w:suppressLineNumbers w:val="0"/>
              <w:jc w:val="center"/>
              <w:textAlignment w:val="center"/>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铜陵有色金属集团控股有限公司</w:t>
            </w:r>
          </w:p>
        </w:tc>
        <w:tc>
          <w:tcPr>
            <w:tcW w:w="3560" w:type="dxa"/>
            <w:vAlign w:val="center"/>
          </w:tcPr>
          <w:p w14:paraId="3C5E8D82">
            <w:pPr>
              <w:pStyle w:val="3"/>
              <w:keepNext w:val="0"/>
              <w:keepLines w:val="0"/>
              <w:pageBreakBefore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sz w:val="18"/>
                <w:szCs w:val="18"/>
                <w:highlight w:val="none"/>
                <w:lang w:val="en-US" w:eastAsia="zh-CN"/>
              </w:rPr>
              <w:t>二验单位人员，负责数据处理，</w:t>
            </w:r>
            <w:r>
              <w:rPr>
                <w:rFonts w:hint="eastAsia" w:ascii="宋体" w:hAnsi="宋体" w:eastAsia="宋体" w:cs="宋体"/>
                <w:sz w:val="18"/>
                <w:szCs w:val="18"/>
                <w:highlight w:val="none"/>
              </w:rPr>
              <w:t>对标准文件和编制说明提出修改建议</w:t>
            </w:r>
          </w:p>
        </w:tc>
      </w:tr>
      <w:tr w14:paraId="587DE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7" w:type="dxa"/>
            <w:vAlign w:val="center"/>
          </w:tcPr>
          <w:p w14:paraId="18951EA5">
            <w:pPr>
              <w:pStyle w:val="3"/>
              <w:keepNext w:val="0"/>
              <w:keepLines w:val="0"/>
              <w:pageBreakBefore w:val="0"/>
              <w:numPr>
                <w:ilvl w:val="0"/>
                <w:numId w:val="3"/>
              </w:numPr>
              <w:kinsoku/>
              <w:wordWrap/>
              <w:overflowPunct/>
              <w:topLinePunct w:val="0"/>
              <w:autoSpaceDE/>
              <w:autoSpaceDN/>
              <w:bidi w:val="0"/>
              <w:adjustRightInd/>
              <w:snapToGrid/>
              <w:spacing w:after="0" w:line="240" w:lineRule="auto"/>
              <w:ind w:left="425" w:leftChars="0" w:hanging="425" w:firstLineChars="0"/>
              <w:jc w:val="center"/>
              <w:textAlignment w:val="auto"/>
              <w:rPr>
                <w:rFonts w:hint="eastAsia" w:ascii="宋体" w:hAnsi="宋体" w:eastAsia="宋体" w:cs="宋体"/>
                <w:color w:val="auto"/>
                <w:sz w:val="18"/>
                <w:szCs w:val="18"/>
                <w:highlight w:val="none"/>
                <w:vertAlign w:val="baseline"/>
                <w:lang w:val="en-US" w:eastAsia="zh-CN"/>
              </w:rPr>
            </w:pPr>
          </w:p>
        </w:tc>
        <w:tc>
          <w:tcPr>
            <w:tcW w:w="887" w:type="dxa"/>
            <w:vAlign w:val="center"/>
          </w:tcPr>
          <w:p w14:paraId="53ED6229">
            <w:pPr>
              <w:keepNext w:val="0"/>
              <w:keepLines w:val="0"/>
              <w:widowControl/>
              <w:suppressLineNumbers w:val="0"/>
              <w:jc w:val="center"/>
              <w:textAlignment w:val="center"/>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刘静</w:t>
            </w:r>
          </w:p>
        </w:tc>
        <w:tc>
          <w:tcPr>
            <w:tcW w:w="3478" w:type="dxa"/>
            <w:vAlign w:val="center"/>
          </w:tcPr>
          <w:p w14:paraId="032115DE">
            <w:pPr>
              <w:keepNext w:val="0"/>
              <w:keepLines w:val="0"/>
              <w:widowControl/>
              <w:suppressLineNumbers w:val="0"/>
              <w:jc w:val="center"/>
              <w:textAlignment w:val="center"/>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铜陵有色金属集团控股有限公司</w:t>
            </w:r>
          </w:p>
        </w:tc>
        <w:tc>
          <w:tcPr>
            <w:tcW w:w="3560" w:type="dxa"/>
            <w:shd w:val="clear" w:color="auto" w:fill="auto"/>
            <w:vAlign w:val="center"/>
          </w:tcPr>
          <w:p w14:paraId="3BF21049">
            <w:pPr>
              <w:pStyle w:val="3"/>
              <w:keepNext w:val="0"/>
              <w:keepLines w:val="0"/>
              <w:pageBreakBefore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sz w:val="18"/>
                <w:szCs w:val="18"/>
                <w:highlight w:val="none"/>
                <w:lang w:val="en-US" w:eastAsia="zh-CN"/>
              </w:rPr>
              <w:t>二验单位人员，负责方法精密度验证试验</w:t>
            </w:r>
          </w:p>
        </w:tc>
      </w:tr>
    </w:tbl>
    <w:p w14:paraId="67492C66">
      <w:pPr>
        <w:pStyle w:val="18"/>
        <w:keepNext w:val="0"/>
        <w:keepLines w:val="0"/>
        <w:pageBreakBefore w:val="0"/>
        <w:kinsoku/>
        <w:wordWrap/>
        <w:overflowPunct/>
        <w:topLinePunct w:val="0"/>
        <w:autoSpaceDE/>
        <w:autoSpaceDN/>
        <w:bidi w:val="0"/>
        <w:adjustRightInd/>
        <w:snapToGrid/>
        <w:spacing w:beforeLines="0" w:afterLines="0" w:line="440" w:lineRule="exact"/>
        <w:textAlignment w:val="auto"/>
        <w:outlineLvl w:val="9"/>
        <w:rPr>
          <w:rFonts w:hint="eastAsia" w:hAnsi="黑体" w:cs="黑体"/>
          <w:color w:val="auto"/>
          <w:sz w:val="21"/>
          <w:szCs w:val="21"/>
        </w:rPr>
      </w:pPr>
      <w:r>
        <w:rPr>
          <w:rFonts w:hint="eastAsia" w:hAnsi="黑体" w:cs="黑体"/>
          <w:color w:val="auto"/>
          <w:sz w:val="21"/>
          <w:szCs w:val="21"/>
        </w:rPr>
        <w:t>1.4 主要工作过程</w:t>
      </w:r>
    </w:p>
    <w:p w14:paraId="6656F860">
      <w:pPr>
        <w:rPr>
          <w:rFonts w:hint="eastAsia"/>
        </w:rPr>
      </w:pPr>
    </w:p>
    <w:p w14:paraId="71E1FD77">
      <w:pPr>
        <w:rPr>
          <w:rFonts w:hint="eastAsia" w:ascii="黑体" w:hAnsi="黑体" w:eastAsia="黑体" w:cs="黑体"/>
          <w:color w:val="auto"/>
          <w:kern w:val="0"/>
          <w:sz w:val="21"/>
          <w:szCs w:val="21"/>
          <w:lang w:val="en-US" w:eastAsia="zh-CN" w:bidi="ar-SA"/>
        </w:rPr>
      </w:pPr>
      <w:r>
        <w:rPr>
          <w:rFonts w:hint="eastAsia" w:ascii="黑体" w:hAnsi="黑体" w:eastAsia="黑体" w:cs="黑体"/>
          <w:color w:val="auto"/>
          <w:kern w:val="0"/>
          <w:sz w:val="21"/>
          <w:szCs w:val="21"/>
          <w:lang w:val="en-US" w:eastAsia="zh-CN" w:bidi="ar-SA"/>
        </w:rPr>
        <w:t>1.4.1预研阶段</w:t>
      </w:r>
    </w:p>
    <w:p w14:paraId="0E73A24F">
      <w:pPr>
        <w:ind w:firstLine="420" w:firstLineChars="200"/>
        <w:rPr>
          <w:rFonts w:hint="eastAsia" w:hAnsi="黑体" w:cs="黑体"/>
          <w:color w:val="auto"/>
          <w:sz w:val="21"/>
          <w:szCs w:val="21"/>
          <w:lang w:val="en-US" w:eastAsia="zh-CN"/>
        </w:rPr>
      </w:pPr>
      <w:r>
        <w:rPr>
          <w:rFonts w:hint="eastAsia" w:hAnsi="黑体" w:cs="黑体"/>
          <w:color w:val="auto"/>
          <w:sz w:val="21"/>
          <w:szCs w:val="21"/>
          <w:lang w:val="en-US" w:eastAsia="zh-CN"/>
        </w:rPr>
        <w:t>在标准起草修订过程中，标准编制组成员查阅了国内外有关铜及铜合金中镉含量检测的相关标准。通过信息收集发现，对于铜及铜合金中镉的化学分析方法，除了本标准以外，国外主要还有以下标准：国际标准ISO 5960：1984，已被本标准采用；欧盟标准EN 15616:2012，采用火焰原子吸收光谱法，测定范围分别为0.0005%～0.10%；日本标准JIS H1069：2006，分别采用两项火焰原子吸收光谱法、一项萃取-火焰原子吸收光谱法和ICP-OES法，测定范围分别为0.0005%～2.00%、0.0005%～0.010%、0.0002%～0.0003%和0.0005%～0.010%。国内有YS/T 482-2022、YS/T 483-2022、GB/T 5121.27-2008和GB/T 5121.28-2021，测定范围分别为0.00005%～1.50%、0.010%～1.50%、0.00005%～3.00%和0.00005%～0.0050%。上述标虽然大部分满足铜及铜合金中镉元素的测定需求，但是有的需要配备价格昂贵的检测设备，有的是难于应用于国内的国外标准。与上述标准相比，本标准在测定范围方面已显落后。因此，为了完善铜及铜合金中镉的测定方法，保证标准在国际上的先进性，该标准的修订是十分必要且急需的。</w:t>
      </w:r>
    </w:p>
    <w:p w14:paraId="11870764">
      <w:pPr>
        <w:ind w:firstLine="420" w:firstLineChars="200"/>
        <w:rPr>
          <w:rFonts w:hint="eastAsia" w:hAnsi="黑体" w:cs="黑体"/>
          <w:color w:val="auto"/>
          <w:sz w:val="21"/>
          <w:szCs w:val="21"/>
          <w:lang w:val="en-US" w:eastAsia="zh-CN"/>
        </w:rPr>
      </w:pPr>
      <w:r>
        <w:rPr>
          <w:rFonts w:hint="eastAsia" w:hAnsi="黑体" w:cs="黑体"/>
          <w:color w:val="auto"/>
          <w:sz w:val="21"/>
          <w:szCs w:val="21"/>
          <w:lang w:val="en-US" w:eastAsia="zh-CN"/>
        </w:rPr>
        <w:t>起草单位经过全面调研，确定了含量范围和初步方案，经过为大量的试验和生产实际应用，确定方案准确度高，精密度好，于是向全国有色金属标准化技术委员会提交了立项建议书。</w:t>
      </w:r>
    </w:p>
    <w:p w14:paraId="6F6A1AFA">
      <w:pPr>
        <w:rPr>
          <w:rFonts w:hint="eastAsia" w:ascii="黑体" w:hAnsi="黑体" w:eastAsia="黑体" w:cs="黑体"/>
          <w:color w:val="auto"/>
          <w:kern w:val="0"/>
          <w:sz w:val="21"/>
          <w:szCs w:val="21"/>
          <w:lang w:val="en-US" w:eastAsia="zh-CN" w:bidi="ar-SA"/>
        </w:rPr>
      </w:pPr>
      <w:r>
        <w:rPr>
          <w:rFonts w:hint="eastAsia" w:ascii="黑体" w:hAnsi="黑体" w:eastAsia="黑体" w:cs="黑体"/>
          <w:color w:val="auto"/>
          <w:kern w:val="0"/>
          <w:sz w:val="21"/>
          <w:szCs w:val="21"/>
          <w:lang w:val="en-US" w:eastAsia="zh-CN" w:bidi="ar-SA"/>
        </w:rPr>
        <w:t>1.4.2标准立项</w:t>
      </w:r>
    </w:p>
    <w:p w14:paraId="7FD2019F">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default" w:ascii="Times New Roman" w:hAnsi="Times New Roman" w:eastAsia="宋体" w:cs="Times New Roman"/>
          <w:highlight w:val="yellow"/>
          <w:lang w:val="en-US" w:eastAsia="zh-CN"/>
        </w:rPr>
      </w:pPr>
      <w:r>
        <w:rPr>
          <w:rFonts w:hint="eastAsia" w:ascii="宋体" w:hAnsi="宋体" w:eastAsia="宋体" w:cs="宋体"/>
          <w:lang w:val="en-US" w:eastAsia="zh-CN"/>
        </w:rPr>
        <w:t>根据2022年2月国家标准化管理委员会下达的《关于开展推荐性国家标准复审工作的通知（国标委发[2022]10号）》的要求</w:t>
      </w:r>
      <w:r>
        <w:rPr>
          <w:rFonts w:hint="eastAsia" w:ascii="宋体" w:hAnsi="宋体" w:cs="宋体"/>
          <w:lang w:val="en-US" w:eastAsia="zh-CN"/>
        </w:rPr>
        <w:t>,</w:t>
      </w:r>
      <w:r>
        <w:rPr>
          <w:rFonts w:hint="eastAsia" w:ascii="宋体" w:hAnsi="宋体" w:eastAsia="宋体" w:cs="宋体"/>
          <w:lang w:val="en-US" w:eastAsia="zh-CN"/>
        </w:rPr>
        <w:t>202</w:t>
      </w:r>
      <w:r>
        <w:rPr>
          <w:rFonts w:hint="eastAsia" w:ascii="宋体" w:hAnsi="宋体" w:cs="宋体"/>
          <w:lang w:val="en-US" w:eastAsia="zh-CN"/>
        </w:rPr>
        <w:t>2</w:t>
      </w:r>
      <w:r>
        <w:rPr>
          <w:rFonts w:hint="eastAsia" w:ascii="宋体" w:hAnsi="宋体" w:eastAsia="宋体" w:cs="宋体"/>
          <w:lang w:val="en-US" w:eastAsia="zh-CN"/>
        </w:rPr>
        <w:t>年</w:t>
      </w:r>
      <w:r>
        <w:rPr>
          <w:rFonts w:hint="eastAsia" w:ascii="宋体" w:hAnsi="宋体" w:cs="宋体"/>
          <w:lang w:val="en-US" w:eastAsia="zh-CN"/>
        </w:rPr>
        <w:t>5</w:t>
      </w:r>
      <w:r>
        <w:rPr>
          <w:rFonts w:hint="eastAsia" w:ascii="宋体" w:hAnsi="宋体" w:eastAsia="宋体" w:cs="宋体"/>
          <w:lang w:val="en-US" w:eastAsia="zh-CN"/>
        </w:rPr>
        <w:t>月，全国有色标准化技术委员会</w:t>
      </w:r>
      <w:r>
        <w:rPr>
          <w:rFonts w:hint="eastAsia" w:ascii="宋体" w:hAnsi="宋体" w:cs="宋体"/>
          <w:lang w:val="en-US" w:eastAsia="zh-CN"/>
        </w:rPr>
        <w:t>通过网络会议</w:t>
      </w:r>
      <w:r>
        <w:rPr>
          <w:rFonts w:hint="eastAsia" w:ascii="宋体" w:hAnsi="宋体" w:eastAsia="宋体" w:cs="宋体"/>
          <w:lang w:val="en-US" w:eastAsia="zh-CN"/>
        </w:rPr>
        <w:t xml:space="preserve">召开了项目论证会，会上中铝洛阳铜加工有限公司向全国有色标准化技术委员会重金属分标委全体委员会提交了《铜及铜合金化学分析方法 </w:t>
      </w:r>
      <w:r>
        <w:rPr>
          <w:rFonts w:hint="eastAsia" w:ascii="宋体" w:hAnsi="宋体" w:cs="宋体"/>
          <w:lang w:val="en-US" w:eastAsia="zh-CN"/>
        </w:rPr>
        <w:t>第22部分：镉含</w:t>
      </w:r>
      <w:r>
        <w:rPr>
          <w:rFonts w:hint="eastAsia" w:ascii="宋体" w:hAnsi="宋体" w:eastAsia="宋体" w:cs="宋体"/>
          <w:lang w:val="en-US" w:eastAsia="zh-CN"/>
        </w:rPr>
        <w:t>量的测定》项目建议书、草案及立项报告等材料，经全体委员论证同意立项。随后由秘书处组织全体委员网络投票，投票通过后转报给工业和信息化部科技司，并挂网向社会公开征求意见</w:t>
      </w:r>
      <w:r>
        <w:rPr>
          <w:rFonts w:hint="default" w:ascii="Times New Roman" w:hAnsi="Times New Roman" w:eastAsia="宋体" w:cs="Times New Roman"/>
          <w:highlight w:val="none"/>
          <w:lang w:val="en-US" w:eastAsia="zh-CN"/>
        </w:rPr>
        <w:t>。</w:t>
      </w:r>
    </w:p>
    <w:p w14:paraId="0E74E1E9">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2025年8月，国家标准化管理委员会发布了《</w:t>
      </w:r>
      <w:r>
        <w:rPr>
          <w:rFonts w:hint="eastAsia" w:ascii="宋体" w:hAnsi="宋体" w:eastAsia="宋体" w:cs="宋体"/>
          <w:lang w:eastAsia="zh-CN"/>
        </w:rPr>
        <w:t>《国家标准委关于下达2025年第七批推荐性国家标准计划及相关标准外文版计划的通知》（国标委发【</w:t>
      </w:r>
      <w:r>
        <w:rPr>
          <w:rFonts w:hint="eastAsia" w:ascii="宋体" w:hAnsi="宋体" w:eastAsia="宋体" w:cs="宋体"/>
          <w:lang w:val="en-US" w:eastAsia="zh-CN"/>
        </w:rPr>
        <w:t>2025</w:t>
      </w:r>
      <w:r>
        <w:rPr>
          <w:rFonts w:hint="eastAsia" w:ascii="宋体" w:hAnsi="宋体" w:eastAsia="宋体" w:cs="宋体"/>
          <w:lang w:eastAsia="zh-CN"/>
        </w:rPr>
        <w:t>】</w:t>
      </w:r>
      <w:r>
        <w:rPr>
          <w:rFonts w:hint="eastAsia" w:ascii="宋体" w:hAnsi="宋体" w:eastAsia="宋体" w:cs="宋体"/>
          <w:lang w:val="en-US" w:eastAsia="zh-CN"/>
        </w:rPr>
        <w:t>43</w:t>
      </w:r>
      <w:r>
        <w:rPr>
          <w:rFonts w:hint="eastAsia" w:ascii="宋体" w:hAnsi="宋体" w:eastAsia="宋体" w:cs="宋体"/>
          <w:lang w:eastAsia="zh-CN"/>
        </w:rPr>
        <w:t>号）</w:t>
      </w:r>
      <w:r>
        <w:rPr>
          <w:rFonts w:hint="eastAsia" w:ascii="宋体" w:hAnsi="宋体" w:eastAsia="宋体" w:cs="宋体"/>
          <w:lang w:val="en-US" w:eastAsia="zh-CN"/>
        </w:rPr>
        <w:t>》，下达修订《铜及铜合金化学分析方法 第22部分 镉含量的测定》国家标准的任务计划，计划号为</w:t>
      </w:r>
      <w:r>
        <w:rPr>
          <w:rFonts w:hint="eastAsia" w:ascii="宋体" w:hAnsi="宋体" w:eastAsia="宋体" w:cs="宋体"/>
          <w:i w:val="0"/>
          <w:color w:val="000000"/>
          <w:kern w:val="0"/>
          <w:sz w:val="20"/>
          <w:szCs w:val="20"/>
          <w:u w:val="none"/>
          <w:lang w:val="en-US" w:eastAsia="zh-CN" w:bidi="ar"/>
        </w:rPr>
        <w:t>20253821-T-610</w:t>
      </w:r>
      <w:r>
        <w:rPr>
          <w:rFonts w:hint="eastAsia" w:ascii="宋体" w:hAnsi="宋体" w:eastAsia="宋体" w:cs="宋体"/>
          <w:lang w:val="en-US" w:eastAsia="zh-CN"/>
        </w:rPr>
        <w:t>，项目完成时限为2026年8月，技术归口单位为全国有色金属标准化技术委员会。</w:t>
      </w:r>
    </w:p>
    <w:p w14:paraId="1AA890DC">
      <w:pPr>
        <w:pStyle w:val="3"/>
        <w:rPr>
          <w:rFonts w:hint="eastAsia" w:ascii="黑体" w:hAnsi="黑体" w:eastAsia="黑体" w:cs="黑体"/>
          <w:color w:val="auto"/>
          <w:kern w:val="0"/>
          <w:sz w:val="21"/>
          <w:szCs w:val="21"/>
          <w:lang w:val="en-US" w:eastAsia="zh-CN" w:bidi="ar-SA"/>
        </w:rPr>
      </w:pPr>
      <w:r>
        <w:rPr>
          <w:rFonts w:hint="eastAsia" w:ascii="黑体" w:hAnsi="黑体" w:eastAsia="黑体" w:cs="黑体"/>
          <w:color w:val="auto"/>
          <w:kern w:val="0"/>
          <w:sz w:val="21"/>
          <w:szCs w:val="21"/>
          <w:lang w:val="en-US" w:eastAsia="zh-CN" w:bidi="ar-SA"/>
        </w:rPr>
        <w:t>1.4.3起草阶段</w:t>
      </w:r>
    </w:p>
    <w:p w14:paraId="2E7CF9B8">
      <w:pPr>
        <w:pStyle w:val="4"/>
        <w:keepNext w:val="0"/>
        <w:keepLines w:val="0"/>
        <w:pageBreakBefore w:val="0"/>
        <w:widowControl w:val="0"/>
        <w:numPr>
          <w:ilvl w:val="0"/>
          <w:numId w:val="4"/>
        </w:numPr>
        <w:kinsoku/>
        <w:wordWrap/>
        <w:overflowPunct/>
        <w:topLinePunct w:val="0"/>
        <w:autoSpaceDE/>
        <w:autoSpaceDN/>
        <w:bidi w:val="0"/>
        <w:adjustRightInd/>
        <w:snapToGrid/>
        <w:ind w:firstLine="420" w:firstLineChars="200"/>
        <w:jc w:val="both"/>
        <w:textAlignment w:val="auto"/>
        <w:rPr>
          <w:rFonts w:hint="eastAsia" w:cs="宋体"/>
          <w:b w:val="0"/>
          <w:bCs w:val="0"/>
          <w:color w:val="auto"/>
          <w:sz w:val="21"/>
          <w:szCs w:val="21"/>
          <w:highlight w:val="none"/>
          <w:lang w:val="en-US" w:eastAsia="zh-CN"/>
        </w:rPr>
      </w:pPr>
      <w:r>
        <w:rPr>
          <w:rFonts w:hint="eastAsia" w:cs="宋体"/>
          <w:b w:val="0"/>
          <w:bCs w:val="0"/>
          <w:color w:val="auto"/>
          <w:sz w:val="21"/>
          <w:szCs w:val="21"/>
          <w:highlight w:val="none"/>
          <w:lang w:val="en-US" w:eastAsia="zh-CN"/>
        </w:rPr>
        <w:t>第一次会议</w:t>
      </w:r>
    </w:p>
    <w:p w14:paraId="44D297AF">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default" w:ascii="Times New Roman" w:hAnsi="Times New Roman" w:cs="Times New Roman"/>
          <w:lang w:val="en-US" w:eastAsia="zh-CN"/>
        </w:rPr>
      </w:pPr>
      <w:r>
        <w:rPr>
          <w:rFonts w:hint="default" w:ascii="Times New Roman" w:hAnsi="Times New Roman" w:eastAsia="宋体" w:cs="Times New Roman"/>
          <w:lang w:val="en-US" w:eastAsia="zh-CN"/>
        </w:rPr>
        <w:t>2023年11月1日~4日全国有色金属标准化技术委员会年会在云南省昆明市召开，会上对GB/T 5121.6《铜及铜合金化学分析方法 第6部分：铋含量的测定》标准修订项目进行了分工和任务落实，会上确定了由中铝洛铜加工有限公司、国标（北京）检验认证有限公司为本标准的主编单位，</w:t>
      </w:r>
      <w:r>
        <w:rPr>
          <w:rFonts w:hint="default" w:ascii="Times New Roman" w:hAnsi="Times New Roman" w:cs="Times New Roman"/>
          <w:lang w:val="en-US" w:eastAsia="zh-CN"/>
        </w:rPr>
        <w:t>其中</w:t>
      </w:r>
      <w:r>
        <w:rPr>
          <w:rFonts w:hint="default" w:ascii="Times New Roman" w:hAnsi="Times New Roman" w:eastAsia="宋体" w:cs="Times New Roman"/>
          <w:lang w:val="en-US" w:eastAsia="zh-CN"/>
        </w:rPr>
        <w:t>中铝洛铜加工有限公司负责方法三：Na</w:t>
      </w:r>
      <w:r>
        <w:rPr>
          <w:rFonts w:hint="default" w:ascii="Times New Roman" w:hAnsi="Times New Roman" w:eastAsia="宋体" w:cs="Times New Roman"/>
          <w:vertAlign w:val="subscript"/>
          <w:lang w:val="en-US" w:eastAsia="zh-CN"/>
        </w:rPr>
        <w:t>2</w:t>
      </w:r>
      <w:r>
        <w:rPr>
          <w:rFonts w:hint="default" w:ascii="Times New Roman" w:hAnsi="Times New Roman" w:eastAsia="宋体" w:cs="Times New Roman"/>
          <w:lang w:val="en-US" w:eastAsia="zh-CN"/>
        </w:rPr>
        <w:t>EDTA滴定法试验方案确定及执笔的起草工作</w:t>
      </w:r>
      <w:r>
        <w:rPr>
          <w:rFonts w:hint="default" w:ascii="Times New Roman" w:hAnsi="Times New Roman" w:cs="Times New Roman"/>
          <w:lang w:val="en-US" w:eastAsia="zh-CN"/>
        </w:rPr>
        <w:t>，</w:t>
      </w:r>
      <w:r>
        <w:rPr>
          <w:rFonts w:hint="default" w:ascii="Times New Roman" w:hAnsi="Times New Roman" w:eastAsia="宋体" w:cs="Times New Roman"/>
          <w:lang w:val="en-US" w:eastAsia="zh-CN"/>
        </w:rPr>
        <w:t>国标（北京）检验认证有限公司负责方法二：火焰原子吸收光谱法试验方案确定及执笔，由</w:t>
      </w:r>
      <w:r>
        <w:rPr>
          <w:rFonts w:hint="default" w:ascii="Times New Roman" w:hAnsi="Times New Roman" w:cs="Times New Roman"/>
          <w:lang w:val="en-US" w:eastAsia="zh-CN"/>
        </w:rPr>
        <w:t>江西铜业股份有限公司、北矿检测技术股份有限公司、紫金矿业集团股份有限公司、</w:t>
      </w:r>
      <w:r>
        <w:rPr>
          <w:rFonts w:hint="eastAsia" w:cs="Times New Roman"/>
          <w:lang w:val="en-US" w:eastAsia="zh-CN"/>
        </w:rPr>
        <w:t>深圳市中金岭南有色金属股份有限公司</w:t>
      </w:r>
      <w:r>
        <w:rPr>
          <w:rFonts w:hint="default" w:ascii="Times New Roman" w:hAnsi="Times New Roman" w:cs="Times New Roman"/>
          <w:lang w:val="en-US" w:eastAsia="zh-CN"/>
        </w:rPr>
        <w:t>、广东省科学院工业分析检测中心、铜陵有色金属集团控股有限公司、洛阳船舶材料研究所</w:t>
      </w:r>
      <w:r>
        <w:rPr>
          <w:rFonts w:hint="default" w:ascii="Times New Roman" w:hAnsi="Times New Roman" w:cs="Times New Roman"/>
          <w:lang w:eastAsia="zh-CN"/>
        </w:rPr>
        <w:t>（中国船舶集团有限公司第七二五研究所）</w:t>
      </w:r>
      <w:r>
        <w:rPr>
          <w:rFonts w:hint="default" w:ascii="Times New Roman" w:hAnsi="Times New Roman" w:cs="Times New Roman"/>
          <w:lang w:val="en-US" w:eastAsia="zh-CN"/>
        </w:rPr>
        <w:t>、浙江省冶金产品质量检验站有限公司、上海有色金属工业技术监测中心有限公司、厦门双瑞材料研究院有限公司、</w:t>
      </w:r>
      <w:r>
        <w:rPr>
          <w:rFonts w:hint="eastAsia" w:cs="Times New Roman"/>
          <w:lang w:val="en-US" w:eastAsia="zh-CN"/>
        </w:rPr>
        <w:t>大冶有色设计研究院有限公司</w:t>
      </w:r>
      <w:r>
        <w:rPr>
          <w:rFonts w:hint="default" w:ascii="Times New Roman" w:hAnsi="Times New Roman" w:cs="Times New Roman"/>
          <w:lang w:val="en-US" w:eastAsia="zh-CN"/>
        </w:rPr>
        <w:t>、聊城市产品质量监督检验所</w:t>
      </w:r>
      <w:r>
        <w:rPr>
          <w:rFonts w:hint="default" w:ascii="Times New Roman" w:hAnsi="Times New Roman" w:eastAsia="宋体" w:cs="Times New Roman"/>
          <w:lang w:val="en-US" w:eastAsia="zh-CN"/>
        </w:rPr>
        <w:t>协助起草，明确了所采用的方法，同时确定了样品</w:t>
      </w:r>
      <w:r>
        <w:rPr>
          <w:rFonts w:hint="default" w:ascii="Times New Roman" w:hAnsi="Times New Roman" w:cs="Times New Roman"/>
          <w:lang w:val="en-US" w:eastAsia="zh-CN"/>
        </w:rPr>
        <w:t>提供</w:t>
      </w:r>
      <w:r>
        <w:rPr>
          <w:rFonts w:hint="default" w:ascii="Times New Roman" w:hAnsi="Times New Roman" w:eastAsia="宋体" w:cs="Times New Roman"/>
          <w:lang w:val="en-US" w:eastAsia="zh-CN"/>
        </w:rPr>
        <w:t>单位、</w:t>
      </w:r>
      <w:r>
        <w:rPr>
          <w:rFonts w:hint="default" w:ascii="Times New Roman" w:hAnsi="Times New Roman" w:cs="Times New Roman"/>
          <w:lang w:val="en-US" w:eastAsia="zh-CN"/>
        </w:rPr>
        <w:t>试验验证单位、</w:t>
      </w:r>
      <w:r>
        <w:rPr>
          <w:rFonts w:hint="default" w:ascii="Times New Roman" w:hAnsi="Times New Roman" w:eastAsia="宋体" w:cs="Times New Roman"/>
          <w:lang w:val="en-US" w:eastAsia="zh-CN"/>
        </w:rPr>
        <w:t>进度安排等事项</w:t>
      </w:r>
      <w:r>
        <w:rPr>
          <w:rFonts w:hint="default" w:ascii="Times New Roman" w:hAnsi="Times New Roman" w:cs="Times New Roman"/>
          <w:lang w:val="en-US" w:eastAsia="zh-CN"/>
        </w:rPr>
        <w:t>。</w:t>
      </w:r>
    </w:p>
    <w:p w14:paraId="1E335A73">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ascii="宋体" w:hAnsi="宋体" w:cs="宋体"/>
          <w:lang w:val="en-US" w:eastAsia="zh-CN"/>
        </w:rPr>
      </w:pPr>
      <w:r>
        <w:rPr>
          <w:rFonts w:hint="default" w:ascii="Times New Roman" w:hAnsi="Times New Roman" w:cs="Times New Roman"/>
          <w:lang w:val="en-US" w:eastAsia="zh-CN"/>
        </w:rPr>
        <w:t>方法一无技术性改变，由江西铜业股份</w:t>
      </w:r>
      <w:r>
        <w:rPr>
          <w:rFonts w:hint="eastAsia" w:ascii="Times New Roman" w:hAnsi="Times New Roman" w:cs="Times New Roman"/>
          <w:lang w:val="en-US" w:eastAsia="zh-CN"/>
        </w:rPr>
        <w:t>有限公司</w:t>
      </w:r>
      <w:r>
        <w:rPr>
          <w:rFonts w:hint="eastAsia"/>
          <w:lang w:eastAsia="zh-CN"/>
        </w:rPr>
        <w:t>、北矿检测技术股份有限公司、</w:t>
      </w:r>
      <w:r>
        <w:rPr>
          <w:rFonts w:hint="eastAsia" w:ascii="Times New Roman" w:hAnsi="Times New Roman" w:cs="Times New Roman"/>
          <w:lang w:val="en-US" w:eastAsia="zh-CN"/>
        </w:rPr>
        <w:t>铜陵有色金属集团控股有限公司</w:t>
      </w:r>
      <w:r>
        <w:rPr>
          <w:rFonts w:hint="eastAsia" w:cs="Times New Roman"/>
          <w:lang w:val="en-US" w:eastAsia="zh-CN"/>
        </w:rPr>
        <w:t>、</w:t>
      </w:r>
      <w:r>
        <w:rPr>
          <w:rFonts w:hint="eastAsia"/>
          <w:lang w:eastAsia="zh-CN"/>
        </w:rPr>
        <w:t>深圳市中金岭南有色金属股份有限公司、紫金矿业集团股份有限公司</w:t>
      </w:r>
      <w:r>
        <w:rPr>
          <w:rFonts w:hint="eastAsia" w:ascii="Times New Roman" w:hAnsi="Times New Roman" w:cs="Times New Roman"/>
          <w:lang w:val="en-US" w:eastAsia="zh-CN"/>
        </w:rPr>
        <w:t>负责进行方法精密度验证</w:t>
      </w:r>
      <w:r>
        <w:rPr>
          <w:rFonts w:hint="eastAsia" w:ascii="宋体" w:hAnsi="宋体" w:cs="宋体"/>
          <w:lang w:val="en-US" w:eastAsia="zh-CN"/>
        </w:rPr>
        <w:t>。</w:t>
      </w:r>
    </w:p>
    <w:p w14:paraId="2E2690DA">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default" w:ascii="Times New Roman" w:hAnsi="Times New Roman" w:eastAsia="宋体" w:cs="Times New Roman"/>
          <w:lang w:val="en-US" w:eastAsia="zh-CN"/>
        </w:rPr>
      </w:pPr>
      <w:r>
        <w:rPr>
          <w:rFonts w:hint="eastAsia" w:ascii="宋体" w:hAnsi="宋体" w:eastAsia="宋体" w:cs="宋体"/>
          <w:lang w:val="en-US" w:eastAsia="zh-CN"/>
        </w:rPr>
        <w:t>中铝洛阳铜加工有限公司</w:t>
      </w:r>
      <w:r>
        <w:rPr>
          <w:rFonts w:hint="eastAsia" w:ascii="宋体" w:hAnsi="宋体" w:cs="宋体"/>
          <w:lang w:val="en-US" w:eastAsia="zh-CN"/>
        </w:rPr>
        <w:t>和国标（北京）检验认证有限公司</w:t>
      </w:r>
      <w:r>
        <w:rPr>
          <w:rFonts w:hint="eastAsia" w:ascii="宋体" w:hAnsi="宋体" w:eastAsia="宋体" w:cs="宋体"/>
          <w:lang w:val="en-US" w:eastAsia="zh-CN"/>
        </w:rPr>
        <w:t>接到任务后立即组织技术人员成立了标准编制组，制定了该标准的研究内容、技术路线、任务分工和进度安排。在拟制定分析方</w:t>
      </w:r>
      <w:r>
        <w:rPr>
          <w:rFonts w:hint="default" w:ascii="Times New Roman" w:hAnsi="Times New Roman" w:eastAsia="宋体" w:cs="Times New Roman"/>
          <w:lang w:val="en-US" w:eastAsia="zh-CN"/>
        </w:rPr>
        <w:t>法开展了多方调研、资料收集后进行试验工作，包括</w:t>
      </w:r>
      <w:r>
        <w:rPr>
          <w:rFonts w:hint="default" w:ascii="Times New Roman" w:hAnsi="Times New Roman" w:cs="Times New Roman"/>
          <w:lang w:val="en-US" w:eastAsia="zh-CN"/>
        </w:rPr>
        <w:t>条件试验</w:t>
      </w:r>
      <w:r>
        <w:rPr>
          <w:rFonts w:hint="default" w:ascii="Times New Roman" w:hAnsi="Times New Roman" w:eastAsia="宋体" w:cs="Times New Roman"/>
          <w:lang w:val="en-US" w:eastAsia="zh-CN"/>
        </w:rPr>
        <w:t>、加标回收及精密度试验等，最终形成了《标准草案》。</w:t>
      </w:r>
    </w:p>
    <w:p w14:paraId="7417D3FC">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240" w:lineRule="auto"/>
        <w:ind w:right="0" w:firstLine="420" w:firstLineChars="200"/>
        <w:jc w:val="left"/>
        <w:textAlignment w:val="auto"/>
        <w:outlineLvl w:val="4"/>
        <w:rPr>
          <w:rFonts w:hint="eastAsia" w:ascii="黑体" w:hAnsi="黑体" w:eastAsia="黑体"/>
          <w:color w:val="000000"/>
          <w:kern w:val="0"/>
          <w:szCs w:val="21"/>
          <w:lang w:val="en-US" w:eastAsia="zh-CN"/>
        </w:rPr>
      </w:pPr>
      <w:r>
        <w:rPr>
          <w:rFonts w:hint="eastAsia" w:ascii="宋体" w:hAnsi="宋体" w:cs="宋体"/>
          <w:lang w:val="en-US" w:eastAsia="zh-CN"/>
        </w:rPr>
        <w:t>起草单位</w:t>
      </w:r>
      <w:r>
        <w:rPr>
          <w:rFonts w:hint="default" w:ascii="宋体" w:hAnsi="宋体" w:eastAsia="宋体" w:cs="宋体"/>
          <w:lang w:val="en-US" w:eastAsia="zh-CN"/>
        </w:rPr>
        <w:t>根据</w:t>
      </w:r>
      <w:r>
        <w:rPr>
          <w:rFonts w:hint="eastAsia" w:ascii="宋体" w:hAnsi="宋体" w:cs="宋体"/>
          <w:lang w:val="en-US" w:eastAsia="zh-CN"/>
        </w:rPr>
        <w:t>国内外</w:t>
      </w:r>
      <w:r>
        <w:rPr>
          <w:rFonts w:hint="default" w:ascii="宋体" w:hAnsi="宋体" w:eastAsia="宋体" w:cs="宋体"/>
          <w:lang w:val="en-US" w:eastAsia="zh-CN"/>
        </w:rPr>
        <w:t>市场上铜及铜合金生产和应用情况，开展试验样品的选材、收集、和制备工作，充分考虑到试验样品的代表性。共收集制备了铜及铜合金</w:t>
      </w:r>
      <w:r>
        <w:rPr>
          <w:rFonts w:hint="eastAsia" w:ascii="宋体" w:hAnsi="宋体" w:cs="宋体"/>
          <w:lang w:val="en-US" w:eastAsia="zh-CN"/>
        </w:rPr>
        <w:t>中不同梯度镉含量</w:t>
      </w:r>
      <w:r>
        <w:rPr>
          <w:rFonts w:hint="default" w:ascii="宋体" w:hAnsi="宋体" w:eastAsia="宋体" w:cs="宋体"/>
          <w:lang w:val="en-US" w:eastAsia="zh-CN"/>
        </w:rPr>
        <w:t>样品共计</w:t>
      </w:r>
      <w:r>
        <w:rPr>
          <w:rFonts w:hint="eastAsia" w:ascii="宋体" w:hAnsi="宋体" w:eastAsia="宋体" w:cs="宋体"/>
          <w:lang w:val="en-US" w:eastAsia="zh-CN"/>
        </w:rPr>
        <w:t>6</w:t>
      </w:r>
      <w:r>
        <w:rPr>
          <w:rFonts w:hint="default" w:ascii="宋体" w:hAnsi="宋体" w:eastAsia="宋体" w:cs="宋体"/>
          <w:lang w:val="en-US" w:eastAsia="zh-CN"/>
        </w:rPr>
        <w:t>批</w:t>
      </w:r>
      <w:r>
        <w:rPr>
          <w:rFonts w:hint="eastAsia" w:ascii="宋体" w:hAnsi="宋体" w:cs="宋体"/>
          <w:lang w:val="en-US" w:eastAsia="zh-CN"/>
        </w:rPr>
        <w:t>。其中实际产品5批，标准样品1批，</w:t>
      </w:r>
      <w:r>
        <w:rPr>
          <w:rFonts w:hint="default" w:ascii="宋体" w:hAnsi="宋体" w:eastAsia="宋体" w:cs="宋体"/>
          <w:lang w:val="en-US" w:eastAsia="zh-CN"/>
        </w:rPr>
        <w:t>以上样品作为本标准统一的试验样品，相关信息见表2所示。</w:t>
      </w:r>
    </w:p>
    <w:p w14:paraId="4AD8A305">
      <w:pPr>
        <w:spacing w:beforeLines="50" w:afterLines="50"/>
        <w:jc w:val="center"/>
        <w:rPr>
          <w:rFonts w:hint="default" w:ascii="黑体" w:hAnsi="黑体" w:eastAsia="黑体"/>
          <w:color w:val="000000"/>
          <w:kern w:val="0"/>
          <w:szCs w:val="21"/>
          <w:lang w:val="en-US" w:eastAsia="zh-CN"/>
        </w:rPr>
      </w:pPr>
      <w:r>
        <w:rPr>
          <w:rFonts w:hint="eastAsia" w:ascii="黑体" w:hAnsi="黑体" w:eastAsia="黑体"/>
          <w:color w:val="000000"/>
          <w:kern w:val="0"/>
          <w:szCs w:val="21"/>
          <w:lang w:val="en-US" w:eastAsia="zh-CN"/>
        </w:rPr>
        <w:t>表2 本标准试验样品的基本信息</w:t>
      </w:r>
    </w:p>
    <w:tbl>
      <w:tblPr>
        <w:tblStyle w:val="13"/>
        <w:tblW w:w="80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1"/>
        <w:gridCol w:w="2364"/>
        <w:gridCol w:w="1219"/>
        <w:gridCol w:w="1236"/>
        <w:gridCol w:w="2471"/>
      </w:tblGrid>
      <w:tr w14:paraId="38F3C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1" w:type="dxa"/>
            <w:tcBorders>
              <w:top w:val="single" w:color="000000" w:sz="12" w:space="0"/>
              <w:left w:val="single" w:color="000000" w:sz="12" w:space="0"/>
              <w:bottom w:val="single" w:color="000000" w:sz="4" w:space="0"/>
              <w:right w:val="single" w:color="000000" w:sz="4" w:space="0"/>
              <w:tl2br w:val="nil"/>
            </w:tcBorders>
            <w:shd w:val="clear" w:color="auto" w:fill="FFFFFF"/>
            <w:vAlign w:val="center"/>
          </w:tcPr>
          <w:p w14:paraId="08FFEAED">
            <w:pPr>
              <w:jc w:val="center"/>
              <w:rPr>
                <w:rFonts w:hint="eastAsia" w:ascii="宋体" w:hAnsi="宋体" w:eastAsia="宋体" w:cs="宋体"/>
                <w:b w:val="0"/>
                <w:bCs/>
                <w:color w:val="000000"/>
                <w:kern w:val="0"/>
                <w:sz w:val="18"/>
                <w:szCs w:val="18"/>
                <w:lang w:val="en-US" w:eastAsia="zh-CN"/>
              </w:rPr>
            </w:pPr>
            <w:r>
              <w:rPr>
                <w:rFonts w:hint="eastAsia" w:ascii="宋体" w:hAnsi="宋体" w:eastAsia="宋体" w:cs="宋体"/>
                <w:b w:val="0"/>
                <w:bCs/>
                <w:color w:val="000000"/>
                <w:kern w:val="0"/>
                <w:sz w:val="18"/>
                <w:szCs w:val="18"/>
                <w:lang w:val="en-US" w:eastAsia="zh-CN"/>
              </w:rPr>
              <w:t>序号</w:t>
            </w:r>
          </w:p>
        </w:tc>
        <w:tc>
          <w:tcPr>
            <w:tcW w:w="2364" w:type="dxa"/>
            <w:tcBorders>
              <w:top w:val="single" w:color="000000" w:sz="12" w:space="0"/>
              <w:left w:val="single" w:color="000000" w:sz="4" w:space="0"/>
              <w:bottom w:val="single" w:color="000000" w:sz="4" w:space="0"/>
              <w:right w:val="single" w:color="000000" w:sz="4" w:space="0"/>
            </w:tcBorders>
            <w:shd w:val="clear" w:color="auto" w:fill="FFFFFF"/>
            <w:vAlign w:val="center"/>
          </w:tcPr>
          <w:p w14:paraId="43E8D6E9">
            <w:pPr>
              <w:jc w:val="center"/>
              <w:rPr>
                <w:rFonts w:hint="eastAsia" w:ascii="宋体" w:hAnsi="宋体" w:eastAsia="宋体" w:cs="宋体"/>
                <w:b w:val="0"/>
                <w:bCs/>
                <w:color w:val="000000"/>
                <w:kern w:val="0"/>
                <w:sz w:val="18"/>
                <w:szCs w:val="18"/>
                <w:lang w:val="en-US" w:eastAsia="zh-CN"/>
              </w:rPr>
            </w:pPr>
            <w:r>
              <w:rPr>
                <w:rFonts w:hint="eastAsia" w:ascii="宋体" w:hAnsi="宋体" w:eastAsia="宋体" w:cs="宋体"/>
                <w:b w:val="0"/>
                <w:bCs/>
                <w:color w:val="000000"/>
                <w:kern w:val="0"/>
                <w:sz w:val="18"/>
                <w:szCs w:val="18"/>
                <w:lang w:val="en-US" w:eastAsia="zh-CN"/>
              </w:rPr>
              <w:t>试样编号</w:t>
            </w:r>
          </w:p>
        </w:tc>
        <w:tc>
          <w:tcPr>
            <w:tcW w:w="1219" w:type="dxa"/>
            <w:tcBorders>
              <w:top w:val="single" w:color="000000" w:sz="12" w:space="0"/>
              <w:left w:val="single" w:color="000000" w:sz="4" w:space="0"/>
              <w:bottom w:val="single" w:color="000000" w:sz="4" w:space="0"/>
              <w:right w:val="single" w:color="000000" w:sz="4" w:space="0"/>
            </w:tcBorders>
            <w:shd w:val="clear" w:color="auto" w:fill="FFFFFF"/>
            <w:vAlign w:val="center"/>
          </w:tcPr>
          <w:p w14:paraId="18C2C931">
            <w:pPr>
              <w:jc w:val="center"/>
              <w:rPr>
                <w:rFonts w:hint="eastAsia" w:ascii="宋体" w:hAnsi="宋体" w:eastAsia="宋体" w:cs="宋体"/>
                <w:b w:val="0"/>
                <w:bCs/>
                <w:color w:val="000000"/>
                <w:kern w:val="0"/>
                <w:sz w:val="18"/>
                <w:szCs w:val="18"/>
                <w:lang w:val="en-US" w:eastAsia="zh-CN"/>
              </w:rPr>
            </w:pPr>
            <w:r>
              <w:rPr>
                <w:rFonts w:hint="eastAsia" w:ascii="宋体" w:hAnsi="宋体" w:eastAsia="宋体" w:cs="宋体"/>
                <w:b w:val="0"/>
                <w:bCs/>
                <w:color w:val="000000"/>
                <w:kern w:val="0"/>
                <w:sz w:val="18"/>
                <w:szCs w:val="18"/>
                <w:lang w:val="en-US" w:eastAsia="zh-CN"/>
              </w:rPr>
              <w:t>样品状态</w:t>
            </w:r>
          </w:p>
        </w:tc>
        <w:tc>
          <w:tcPr>
            <w:tcW w:w="1236" w:type="dxa"/>
            <w:tcBorders>
              <w:top w:val="single" w:color="000000" w:sz="12" w:space="0"/>
              <w:left w:val="single" w:color="000000" w:sz="4" w:space="0"/>
              <w:bottom w:val="single" w:color="000000" w:sz="4" w:space="0"/>
              <w:right w:val="single" w:color="000000" w:sz="4" w:space="0"/>
            </w:tcBorders>
            <w:shd w:val="clear" w:color="auto" w:fill="FFFFFF"/>
            <w:vAlign w:val="center"/>
          </w:tcPr>
          <w:p w14:paraId="6598D9D4">
            <w:pPr>
              <w:jc w:val="center"/>
              <w:rPr>
                <w:rFonts w:hint="eastAsia" w:ascii="宋体" w:hAnsi="宋体" w:eastAsia="宋体" w:cs="宋体"/>
                <w:b w:val="0"/>
                <w:bCs/>
                <w:color w:val="000000"/>
                <w:kern w:val="0"/>
                <w:sz w:val="18"/>
                <w:szCs w:val="18"/>
                <w:lang w:val="en-US" w:eastAsia="zh-CN"/>
              </w:rPr>
            </w:pPr>
            <w:r>
              <w:rPr>
                <w:rFonts w:hint="eastAsia" w:ascii="宋体" w:hAnsi="宋体" w:eastAsia="宋体" w:cs="宋体"/>
                <w:b w:val="0"/>
                <w:bCs/>
                <w:color w:val="000000"/>
                <w:kern w:val="0"/>
                <w:sz w:val="18"/>
                <w:szCs w:val="18"/>
                <w:lang w:val="en-US" w:eastAsia="zh-CN"/>
              </w:rPr>
              <w:t>镉的含量水平，%</w:t>
            </w:r>
          </w:p>
        </w:tc>
        <w:tc>
          <w:tcPr>
            <w:tcW w:w="2471" w:type="dxa"/>
            <w:tcBorders>
              <w:top w:val="single" w:color="000000" w:sz="12" w:space="0"/>
              <w:left w:val="single" w:color="000000" w:sz="4" w:space="0"/>
              <w:bottom w:val="single" w:color="000000" w:sz="4" w:space="0"/>
              <w:right w:val="single" w:color="000000" w:sz="12" w:space="0"/>
            </w:tcBorders>
            <w:shd w:val="clear" w:color="auto" w:fill="FFFFFF"/>
            <w:vAlign w:val="center"/>
          </w:tcPr>
          <w:p w14:paraId="24806E46">
            <w:pPr>
              <w:jc w:val="center"/>
              <w:rPr>
                <w:rFonts w:hint="eastAsia" w:ascii="宋体" w:hAnsi="宋体" w:eastAsia="宋体" w:cs="宋体"/>
                <w:b w:val="0"/>
                <w:bCs/>
                <w:color w:val="000000"/>
                <w:kern w:val="0"/>
                <w:sz w:val="18"/>
                <w:szCs w:val="18"/>
                <w:lang w:val="en-US" w:eastAsia="zh-CN"/>
              </w:rPr>
            </w:pPr>
            <w:r>
              <w:rPr>
                <w:rFonts w:hint="eastAsia" w:ascii="宋体" w:hAnsi="宋体" w:eastAsia="宋体" w:cs="宋体"/>
                <w:b w:val="0"/>
                <w:bCs/>
                <w:color w:val="000000"/>
                <w:kern w:val="0"/>
                <w:sz w:val="18"/>
                <w:szCs w:val="18"/>
                <w:lang w:val="en-US" w:eastAsia="zh-CN"/>
              </w:rPr>
              <w:t>备注</w:t>
            </w:r>
          </w:p>
        </w:tc>
      </w:tr>
      <w:tr w14:paraId="255F4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1"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441826F9">
            <w:pPr>
              <w:jc w:val="center"/>
              <w:rPr>
                <w:rFonts w:hint="default" w:ascii="宋体" w:hAnsi="宋体" w:eastAsia="宋体" w:cs="宋体"/>
                <w:b w:val="0"/>
                <w:bCs/>
                <w:color w:val="000000"/>
                <w:kern w:val="0"/>
                <w:sz w:val="18"/>
                <w:szCs w:val="18"/>
                <w:lang w:val="en-US" w:eastAsia="zh-CN"/>
              </w:rPr>
            </w:pPr>
            <w:r>
              <w:rPr>
                <w:rFonts w:hint="eastAsia" w:ascii="宋体" w:hAnsi="宋体" w:eastAsia="宋体" w:cs="宋体"/>
                <w:b w:val="0"/>
                <w:bCs/>
                <w:color w:val="000000"/>
                <w:kern w:val="0"/>
                <w:sz w:val="18"/>
                <w:szCs w:val="18"/>
                <w:lang w:val="en-US" w:eastAsia="zh-CN"/>
              </w:rPr>
              <w:t>1</w:t>
            </w:r>
          </w:p>
        </w:tc>
        <w:tc>
          <w:tcPr>
            <w:tcW w:w="23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99FFB8">
            <w:pPr>
              <w:jc w:val="center"/>
              <w:rPr>
                <w:rFonts w:hint="eastAsia" w:ascii="宋体" w:hAnsi="宋体" w:eastAsia="宋体" w:cs="宋体"/>
                <w:b w:val="0"/>
                <w:bCs w:val="0"/>
                <w:color w:val="000000"/>
                <w:kern w:val="2"/>
                <w:sz w:val="18"/>
                <w:szCs w:val="18"/>
                <w:highlight w:val="none"/>
                <w:lang w:val="en-US" w:eastAsia="zh-CN"/>
              </w:rPr>
            </w:pPr>
            <w:r>
              <w:rPr>
                <w:rFonts w:hint="eastAsia" w:ascii="宋体" w:hAnsi="宋体" w:eastAsia="宋体" w:cs="宋体"/>
                <w:color w:val="000000"/>
                <w:sz w:val="18"/>
                <w:szCs w:val="18"/>
                <w:highlight w:val="none"/>
                <w:lang w:val="en-US" w:eastAsia="zh-CN"/>
              </w:rPr>
              <w:t>CuCd1-1</w:t>
            </w:r>
          </w:p>
        </w:tc>
        <w:tc>
          <w:tcPr>
            <w:tcW w:w="1219" w:type="dxa"/>
            <w:vMerge w:val="restart"/>
            <w:tcBorders>
              <w:top w:val="single" w:color="000000" w:sz="4" w:space="0"/>
              <w:left w:val="single" w:color="000000" w:sz="4" w:space="0"/>
              <w:right w:val="single" w:color="000000" w:sz="4" w:space="0"/>
            </w:tcBorders>
            <w:shd w:val="clear" w:color="auto" w:fill="FFFFFF"/>
            <w:vAlign w:val="center"/>
          </w:tcPr>
          <w:p w14:paraId="5A766F2F">
            <w:pPr>
              <w:jc w:val="center"/>
              <w:rPr>
                <w:rFonts w:hint="eastAsia" w:ascii="宋体" w:hAnsi="宋体" w:eastAsia="宋体" w:cs="宋体"/>
                <w:b w:val="0"/>
                <w:bCs/>
                <w:color w:val="000000"/>
                <w:kern w:val="0"/>
                <w:sz w:val="18"/>
                <w:szCs w:val="18"/>
                <w:lang w:val="en-US" w:eastAsia="zh-CN"/>
              </w:rPr>
            </w:pPr>
            <w:r>
              <w:rPr>
                <w:rFonts w:hint="eastAsia" w:ascii="宋体" w:hAnsi="宋体" w:eastAsia="宋体" w:cs="宋体"/>
                <w:b w:val="0"/>
                <w:bCs/>
                <w:color w:val="000000"/>
                <w:kern w:val="0"/>
                <w:sz w:val="18"/>
                <w:szCs w:val="18"/>
                <w:lang w:val="en-US" w:eastAsia="zh-CN"/>
              </w:rPr>
              <w:t>样屑</w:t>
            </w:r>
          </w:p>
        </w:tc>
        <w:tc>
          <w:tcPr>
            <w:tcW w:w="12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D7FF5D">
            <w:pPr>
              <w:jc w:val="center"/>
              <w:rPr>
                <w:rFonts w:hint="default" w:ascii="宋体" w:hAnsi="宋体" w:eastAsia="宋体" w:cs="宋体"/>
                <w:b w:val="0"/>
                <w:bCs/>
                <w:color w:val="000000"/>
                <w:kern w:val="0"/>
                <w:sz w:val="18"/>
                <w:szCs w:val="18"/>
                <w:lang w:val="en-US" w:eastAsia="zh-CN"/>
              </w:rPr>
            </w:pPr>
            <w:r>
              <w:rPr>
                <w:rFonts w:hint="eastAsia" w:ascii="宋体" w:hAnsi="宋体" w:eastAsia="宋体" w:cs="宋体"/>
                <w:sz w:val="18"/>
                <w:szCs w:val="18"/>
                <w:vertAlign w:val="baseline"/>
                <w:lang w:val="en-US" w:eastAsia="zh-CN"/>
              </w:rPr>
              <w:t>0.00020</w:t>
            </w:r>
            <w:r>
              <w:rPr>
                <w:rFonts w:hint="eastAsia" w:ascii="宋体" w:hAnsi="宋体" w:eastAsia="宋体" w:cs="宋体"/>
                <w:bCs/>
                <w:color w:val="000000"/>
                <w:sz w:val="18"/>
                <w:szCs w:val="18"/>
                <w:lang w:val="en-US" w:eastAsia="zh-CN"/>
              </w:rPr>
              <w:t>%</w:t>
            </w:r>
          </w:p>
        </w:tc>
        <w:tc>
          <w:tcPr>
            <w:tcW w:w="2471" w:type="dxa"/>
            <w:vMerge w:val="restart"/>
            <w:tcBorders>
              <w:top w:val="single" w:color="000000" w:sz="4" w:space="0"/>
              <w:left w:val="single" w:color="000000" w:sz="4" w:space="0"/>
              <w:right w:val="single" w:color="000000" w:sz="12" w:space="0"/>
            </w:tcBorders>
            <w:shd w:val="clear" w:color="auto" w:fill="FFFFFF"/>
            <w:vAlign w:val="center"/>
          </w:tcPr>
          <w:p w14:paraId="6A71BD85">
            <w:pPr>
              <w:jc w:val="center"/>
              <w:rPr>
                <w:rFonts w:hint="eastAsia" w:ascii="宋体" w:hAnsi="宋体" w:eastAsia="宋体" w:cs="宋体"/>
                <w:b w:val="0"/>
                <w:bCs/>
                <w:color w:val="000000"/>
                <w:kern w:val="0"/>
                <w:sz w:val="18"/>
                <w:szCs w:val="18"/>
                <w:lang w:val="en-US" w:eastAsia="zh-CN"/>
              </w:rPr>
            </w:pPr>
            <w:r>
              <w:rPr>
                <w:rFonts w:hint="eastAsia" w:ascii="宋体" w:hAnsi="宋体" w:eastAsia="宋体" w:cs="宋体"/>
                <w:b w:val="0"/>
                <w:bCs/>
                <w:color w:val="000000"/>
                <w:kern w:val="0"/>
                <w:sz w:val="18"/>
                <w:szCs w:val="18"/>
                <w:highlight w:val="none"/>
                <w:lang w:val="en-US" w:eastAsia="zh-CN"/>
              </w:rPr>
              <w:t>纯铜实际产品，方法一验证</w:t>
            </w:r>
          </w:p>
        </w:tc>
      </w:tr>
      <w:tr w14:paraId="60718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1"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6C89F279">
            <w:pPr>
              <w:jc w:val="center"/>
              <w:rPr>
                <w:rFonts w:hint="default" w:ascii="宋体" w:hAnsi="宋体" w:eastAsia="宋体" w:cs="宋体"/>
                <w:b w:val="0"/>
                <w:bCs/>
                <w:color w:val="000000"/>
                <w:kern w:val="0"/>
                <w:sz w:val="18"/>
                <w:szCs w:val="18"/>
                <w:lang w:val="en-US" w:eastAsia="zh-CN"/>
              </w:rPr>
            </w:pPr>
            <w:r>
              <w:rPr>
                <w:rFonts w:hint="eastAsia" w:ascii="宋体" w:hAnsi="宋体" w:eastAsia="宋体" w:cs="宋体"/>
                <w:b w:val="0"/>
                <w:bCs/>
                <w:color w:val="000000"/>
                <w:kern w:val="0"/>
                <w:sz w:val="18"/>
                <w:szCs w:val="18"/>
                <w:lang w:val="en-US" w:eastAsia="zh-CN"/>
              </w:rPr>
              <w:t>2</w:t>
            </w:r>
          </w:p>
        </w:tc>
        <w:tc>
          <w:tcPr>
            <w:tcW w:w="23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8D9064">
            <w:pPr>
              <w:jc w:val="center"/>
              <w:rPr>
                <w:rFonts w:hint="eastAsia" w:ascii="宋体" w:hAnsi="宋体" w:eastAsia="宋体" w:cs="宋体"/>
                <w:b w:val="0"/>
                <w:bCs w:val="0"/>
                <w:color w:val="000000"/>
                <w:kern w:val="2"/>
                <w:sz w:val="18"/>
                <w:szCs w:val="18"/>
                <w:highlight w:val="none"/>
                <w:lang w:val="en-US" w:eastAsia="zh-CN"/>
              </w:rPr>
            </w:pPr>
            <w:r>
              <w:rPr>
                <w:rFonts w:hint="eastAsia" w:ascii="宋体" w:hAnsi="宋体" w:eastAsia="宋体" w:cs="宋体"/>
                <w:color w:val="000000"/>
                <w:sz w:val="18"/>
                <w:szCs w:val="18"/>
                <w:highlight w:val="none"/>
                <w:lang w:val="en-US" w:eastAsia="zh-CN"/>
              </w:rPr>
              <w:t>CuCd1-2</w:t>
            </w:r>
          </w:p>
        </w:tc>
        <w:tc>
          <w:tcPr>
            <w:tcW w:w="1219" w:type="dxa"/>
            <w:vMerge w:val="continue"/>
            <w:tcBorders>
              <w:left w:val="single" w:color="000000" w:sz="4" w:space="0"/>
              <w:right w:val="single" w:color="000000" w:sz="4" w:space="0"/>
            </w:tcBorders>
            <w:shd w:val="clear" w:color="auto" w:fill="FFFFFF"/>
            <w:vAlign w:val="center"/>
          </w:tcPr>
          <w:p w14:paraId="052D26B9">
            <w:pPr>
              <w:jc w:val="center"/>
              <w:rPr>
                <w:rFonts w:hint="eastAsia" w:ascii="宋体" w:hAnsi="宋体" w:eastAsia="宋体" w:cs="宋体"/>
                <w:b w:val="0"/>
                <w:bCs/>
                <w:color w:val="000000"/>
                <w:kern w:val="0"/>
                <w:sz w:val="18"/>
                <w:szCs w:val="18"/>
                <w:lang w:val="en-US" w:eastAsia="zh-CN"/>
              </w:rPr>
            </w:pPr>
          </w:p>
        </w:tc>
        <w:tc>
          <w:tcPr>
            <w:tcW w:w="12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9E6345">
            <w:pPr>
              <w:jc w:val="center"/>
              <w:rPr>
                <w:rFonts w:hint="default" w:ascii="宋体" w:hAnsi="宋体" w:eastAsia="宋体" w:cs="宋体"/>
                <w:b w:val="0"/>
                <w:bCs/>
                <w:color w:val="000000"/>
                <w:kern w:val="0"/>
                <w:sz w:val="18"/>
                <w:szCs w:val="18"/>
                <w:lang w:val="en-US" w:eastAsia="zh-CN"/>
              </w:rPr>
            </w:pPr>
            <w:r>
              <w:rPr>
                <w:rFonts w:hint="eastAsia" w:ascii="宋体" w:hAnsi="宋体" w:eastAsia="宋体" w:cs="宋体"/>
                <w:sz w:val="18"/>
                <w:szCs w:val="18"/>
                <w:vertAlign w:val="baseline"/>
                <w:lang w:val="en-US" w:eastAsia="zh-CN"/>
              </w:rPr>
              <w:t>0.00080</w:t>
            </w:r>
            <w:r>
              <w:rPr>
                <w:rFonts w:hint="eastAsia" w:ascii="宋体" w:hAnsi="宋体" w:eastAsia="宋体" w:cs="宋体"/>
                <w:bCs/>
                <w:color w:val="000000"/>
                <w:sz w:val="18"/>
                <w:szCs w:val="18"/>
                <w:lang w:val="en-US" w:eastAsia="zh-CN"/>
              </w:rPr>
              <w:t>%</w:t>
            </w:r>
          </w:p>
        </w:tc>
        <w:tc>
          <w:tcPr>
            <w:tcW w:w="2471" w:type="dxa"/>
            <w:vMerge w:val="continue"/>
            <w:tcBorders>
              <w:left w:val="single" w:color="000000" w:sz="4" w:space="0"/>
              <w:bottom w:val="single" w:color="000000" w:sz="4" w:space="0"/>
              <w:right w:val="single" w:color="000000" w:sz="12" w:space="0"/>
            </w:tcBorders>
            <w:shd w:val="clear" w:color="auto" w:fill="FFFFFF"/>
            <w:vAlign w:val="center"/>
          </w:tcPr>
          <w:p w14:paraId="3127A21C">
            <w:pPr>
              <w:jc w:val="center"/>
              <w:rPr>
                <w:rFonts w:hint="eastAsia" w:ascii="宋体" w:hAnsi="宋体" w:eastAsia="宋体" w:cs="宋体"/>
                <w:b w:val="0"/>
                <w:bCs/>
                <w:color w:val="000000"/>
                <w:kern w:val="0"/>
                <w:sz w:val="18"/>
                <w:szCs w:val="18"/>
                <w:lang w:val="en-US" w:eastAsia="zh-CN"/>
              </w:rPr>
            </w:pPr>
          </w:p>
        </w:tc>
      </w:tr>
      <w:tr w14:paraId="59D42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1"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0A061EC9">
            <w:pPr>
              <w:jc w:val="center"/>
              <w:rPr>
                <w:rFonts w:hint="default" w:ascii="宋体" w:hAnsi="宋体" w:eastAsia="宋体" w:cs="宋体"/>
                <w:b w:val="0"/>
                <w:bCs/>
                <w:color w:val="000000"/>
                <w:kern w:val="0"/>
                <w:sz w:val="18"/>
                <w:szCs w:val="18"/>
                <w:lang w:val="en-US" w:eastAsia="zh-CN"/>
              </w:rPr>
            </w:pPr>
            <w:r>
              <w:rPr>
                <w:rFonts w:hint="eastAsia" w:ascii="宋体" w:hAnsi="宋体" w:eastAsia="宋体" w:cs="宋体"/>
                <w:b w:val="0"/>
                <w:bCs/>
                <w:color w:val="000000"/>
                <w:kern w:val="0"/>
                <w:sz w:val="18"/>
                <w:szCs w:val="18"/>
                <w:lang w:val="en-US" w:eastAsia="zh-CN"/>
              </w:rPr>
              <w:t>3</w:t>
            </w:r>
          </w:p>
        </w:tc>
        <w:tc>
          <w:tcPr>
            <w:tcW w:w="23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00A1DF">
            <w:pPr>
              <w:jc w:val="center"/>
              <w:rPr>
                <w:rFonts w:hint="eastAsia" w:ascii="宋体" w:hAnsi="宋体" w:eastAsia="宋体" w:cs="宋体"/>
                <w:b w:val="0"/>
                <w:bCs w:val="0"/>
                <w:color w:val="000000"/>
                <w:kern w:val="2"/>
                <w:sz w:val="18"/>
                <w:szCs w:val="18"/>
                <w:highlight w:val="none"/>
                <w:lang w:val="en-US" w:eastAsia="zh-CN"/>
              </w:rPr>
            </w:pPr>
            <w:r>
              <w:rPr>
                <w:rFonts w:hint="eastAsia" w:ascii="宋体" w:hAnsi="宋体" w:eastAsia="宋体" w:cs="宋体"/>
                <w:color w:val="000000"/>
                <w:sz w:val="18"/>
                <w:szCs w:val="18"/>
                <w:highlight w:val="none"/>
                <w:lang w:val="en-US" w:eastAsia="zh-CN"/>
              </w:rPr>
              <w:t>CuCd1（GSB 04-3766-2020）</w:t>
            </w:r>
          </w:p>
        </w:tc>
        <w:tc>
          <w:tcPr>
            <w:tcW w:w="1219" w:type="dxa"/>
            <w:vMerge w:val="continue"/>
            <w:tcBorders>
              <w:left w:val="single" w:color="000000" w:sz="4" w:space="0"/>
              <w:right w:val="single" w:color="000000" w:sz="4" w:space="0"/>
            </w:tcBorders>
            <w:shd w:val="clear" w:color="auto" w:fill="FFFFFF"/>
            <w:vAlign w:val="center"/>
          </w:tcPr>
          <w:p w14:paraId="596CEC9D">
            <w:pPr>
              <w:jc w:val="center"/>
              <w:rPr>
                <w:rFonts w:hint="eastAsia" w:ascii="宋体" w:hAnsi="宋体" w:eastAsia="宋体" w:cs="宋体"/>
                <w:b w:val="0"/>
                <w:bCs/>
                <w:color w:val="000000"/>
                <w:kern w:val="0"/>
                <w:sz w:val="18"/>
                <w:szCs w:val="18"/>
                <w:lang w:val="en-US" w:eastAsia="zh-CN"/>
              </w:rPr>
            </w:pPr>
          </w:p>
        </w:tc>
        <w:tc>
          <w:tcPr>
            <w:tcW w:w="12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EA388C">
            <w:pPr>
              <w:jc w:val="center"/>
              <w:rPr>
                <w:rFonts w:hint="eastAsia" w:ascii="宋体" w:hAnsi="宋体" w:eastAsia="宋体" w:cs="宋体"/>
                <w:b w:val="0"/>
                <w:bCs/>
                <w:color w:val="000000"/>
                <w:kern w:val="0"/>
                <w:sz w:val="18"/>
                <w:szCs w:val="18"/>
                <w:lang w:val="en-US" w:eastAsia="zh-CN"/>
              </w:rPr>
            </w:pPr>
            <w:r>
              <w:rPr>
                <w:rFonts w:hint="eastAsia" w:ascii="宋体" w:hAnsi="宋体" w:eastAsia="宋体" w:cs="宋体"/>
                <w:sz w:val="18"/>
                <w:szCs w:val="18"/>
                <w:vertAlign w:val="baseline"/>
                <w:lang w:val="en-US" w:eastAsia="zh-CN"/>
              </w:rPr>
              <w:t>0.0017x%</w:t>
            </w:r>
          </w:p>
        </w:tc>
        <w:tc>
          <w:tcPr>
            <w:tcW w:w="2471"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033E2167">
            <w:pPr>
              <w:jc w:val="center"/>
              <w:rPr>
                <w:rFonts w:hint="eastAsia" w:ascii="宋体" w:hAnsi="宋体" w:eastAsia="宋体" w:cs="宋体"/>
                <w:b w:val="0"/>
                <w:bCs/>
                <w:color w:val="000000"/>
                <w:kern w:val="0"/>
                <w:sz w:val="18"/>
                <w:szCs w:val="18"/>
                <w:lang w:val="en-US" w:eastAsia="zh-CN"/>
              </w:rPr>
            </w:pPr>
            <w:r>
              <w:rPr>
                <w:rFonts w:hint="eastAsia" w:ascii="宋体" w:hAnsi="宋体" w:eastAsia="宋体" w:cs="宋体"/>
                <w:b w:val="0"/>
                <w:bCs/>
                <w:color w:val="000000"/>
                <w:kern w:val="0"/>
                <w:sz w:val="18"/>
                <w:szCs w:val="18"/>
                <w:lang w:val="en-US" w:eastAsia="zh-CN"/>
              </w:rPr>
              <w:t>标准样品，</w:t>
            </w:r>
            <w:r>
              <w:rPr>
                <w:rFonts w:hint="eastAsia" w:ascii="宋体" w:hAnsi="宋体" w:eastAsia="宋体" w:cs="宋体"/>
                <w:b w:val="0"/>
                <w:bCs/>
                <w:color w:val="000000"/>
                <w:kern w:val="0"/>
                <w:sz w:val="18"/>
                <w:szCs w:val="18"/>
                <w:highlight w:val="none"/>
                <w:lang w:val="en-US" w:eastAsia="zh-CN"/>
              </w:rPr>
              <w:t>方法二验证</w:t>
            </w:r>
          </w:p>
        </w:tc>
      </w:tr>
      <w:tr w14:paraId="50208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1"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747AA2BF">
            <w:pPr>
              <w:jc w:val="center"/>
              <w:rPr>
                <w:rFonts w:hint="default" w:ascii="宋体" w:hAnsi="宋体" w:eastAsia="宋体" w:cs="宋体"/>
                <w:b w:val="0"/>
                <w:bCs/>
                <w:color w:val="000000"/>
                <w:kern w:val="0"/>
                <w:sz w:val="18"/>
                <w:szCs w:val="18"/>
                <w:lang w:val="en-US" w:eastAsia="zh-CN"/>
              </w:rPr>
            </w:pPr>
            <w:r>
              <w:rPr>
                <w:rFonts w:hint="eastAsia" w:ascii="宋体" w:hAnsi="宋体" w:eastAsia="宋体" w:cs="宋体"/>
                <w:b w:val="0"/>
                <w:bCs/>
                <w:color w:val="000000"/>
                <w:kern w:val="0"/>
                <w:sz w:val="18"/>
                <w:szCs w:val="18"/>
                <w:lang w:val="en-US" w:eastAsia="zh-CN"/>
              </w:rPr>
              <w:t>4</w:t>
            </w:r>
          </w:p>
        </w:tc>
        <w:tc>
          <w:tcPr>
            <w:tcW w:w="23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1BE7B3">
            <w:pPr>
              <w:jc w:val="center"/>
              <w:rPr>
                <w:rFonts w:hint="eastAsia" w:ascii="宋体" w:hAnsi="宋体" w:eastAsia="宋体" w:cs="宋体"/>
                <w:b w:val="0"/>
                <w:bCs w:val="0"/>
                <w:color w:val="000000"/>
                <w:kern w:val="2"/>
                <w:sz w:val="18"/>
                <w:szCs w:val="18"/>
                <w:highlight w:val="none"/>
                <w:lang w:val="en-US" w:eastAsia="zh-CN"/>
              </w:rPr>
            </w:pPr>
            <w:r>
              <w:rPr>
                <w:rFonts w:hint="eastAsia" w:ascii="宋体" w:hAnsi="宋体" w:eastAsia="宋体" w:cs="宋体"/>
                <w:color w:val="000000"/>
                <w:sz w:val="18"/>
                <w:szCs w:val="18"/>
                <w:highlight w:val="none"/>
                <w:lang w:val="en-US" w:eastAsia="zh-CN"/>
              </w:rPr>
              <w:t>CuCd2</w:t>
            </w:r>
          </w:p>
        </w:tc>
        <w:tc>
          <w:tcPr>
            <w:tcW w:w="1219" w:type="dxa"/>
            <w:vMerge w:val="continue"/>
            <w:tcBorders>
              <w:left w:val="single" w:color="000000" w:sz="4" w:space="0"/>
              <w:right w:val="single" w:color="000000" w:sz="4" w:space="0"/>
            </w:tcBorders>
            <w:shd w:val="clear" w:color="auto" w:fill="FFFFFF"/>
            <w:vAlign w:val="center"/>
          </w:tcPr>
          <w:p w14:paraId="194BC024">
            <w:pPr>
              <w:jc w:val="center"/>
              <w:rPr>
                <w:rFonts w:hint="eastAsia" w:ascii="宋体" w:hAnsi="宋体" w:eastAsia="宋体" w:cs="宋体"/>
                <w:b w:val="0"/>
                <w:bCs/>
                <w:color w:val="000000"/>
                <w:kern w:val="0"/>
                <w:sz w:val="18"/>
                <w:szCs w:val="18"/>
                <w:lang w:val="en-US" w:eastAsia="zh-CN"/>
              </w:rPr>
            </w:pPr>
          </w:p>
        </w:tc>
        <w:tc>
          <w:tcPr>
            <w:tcW w:w="12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9613F3">
            <w:pPr>
              <w:jc w:val="center"/>
              <w:rPr>
                <w:rFonts w:hint="eastAsia" w:ascii="宋体" w:hAnsi="宋体" w:eastAsia="宋体" w:cs="宋体"/>
                <w:b w:val="0"/>
                <w:bCs/>
                <w:color w:val="000000"/>
                <w:kern w:val="0"/>
                <w:sz w:val="18"/>
                <w:szCs w:val="18"/>
                <w:lang w:val="en-US" w:eastAsia="zh-CN"/>
              </w:rPr>
            </w:pPr>
            <w:r>
              <w:rPr>
                <w:rFonts w:hint="eastAsia" w:ascii="宋体" w:hAnsi="宋体" w:eastAsia="宋体" w:cs="宋体"/>
                <w:sz w:val="18"/>
                <w:szCs w:val="18"/>
                <w:vertAlign w:val="baseline"/>
                <w:lang w:val="en-US" w:eastAsia="zh-CN"/>
              </w:rPr>
              <w:t>0.017x</w:t>
            </w:r>
          </w:p>
        </w:tc>
        <w:tc>
          <w:tcPr>
            <w:tcW w:w="2471"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21D13231">
            <w:pPr>
              <w:jc w:val="center"/>
              <w:rPr>
                <w:rFonts w:hint="eastAsia" w:ascii="宋体" w:hAnsi="宋体" w:eastAsia="宋体" w:cs="宋体"/>
                <w:b w:val="0"/>
                <w:bCs/>
                <w:color w:val="000000"/>
                <w:kern w:val="0"/>
                <w:sz w:val="18"/>
                <w:szCs w:val="18"/>
                <w:lang w:val="en-US" w:eastAsia="zh-CN"/>
              </w:rPr>
            </w:pPr>
            <w:r>
              <w:rPr>
                <w:rFonts w:hint="eastAsia" w:ascii="宋体" w:hAnsi="宋体" w:eastAsia="宋体" w:cs="宋体"/>
                <w:b w:val="0"/>
                <w:bCs/>
                <w:color w:val="000000"/>
                <w:kern w:val="0"/>
                <w:sz w:val="18"/>
                <w:szCs w:val="18"/>
                <w:highlight w:val="none"/>
                <w:lang w:val="en-US" w:eastAsia="zh-CN"/>
              </w:rPr>
              <w:t>实际产品</w:t>
            </w:r>
            <w:r>
              <w:rPr>
                <w:rFonts w:hint="eastAsia" w:ascii="宋体" w:hAnsi="宋体" w:eastAsia="宋体" w:cs="宋体"/>
                <w:b w:val="0"/>
                <w:bCs/>
                <w:color w:val="000000"/>
                <w:kern w:val="0"/>
                <w:sz w:val="18"/>
                <w:szCs w:val="18"/>
                <w:lang w:val="en-US" w:eastAsia="zh-CN"/>
              </w:rPr>
              <w:t>，</w:t>
            </w:r>
            <w:r>
              <w:rPr>
                <w:rFonts w:hint="eastAsia" w:ascii="宋体" w:hAnsi="宋体" w:eastAsia="宋体" w:cs="宋体"/>
                <w:b w:val="0"/>
                <w:bCs/>
                <w:color w:val="000000"/>
                <w:kern w:val="0"/>
                <w:sz w:val="18"/>
                <w:szCs w:val="18"/>
                <w:highlight w:val="none"/>
                <w:lang w:val="en-US" w:eastAsia="zh-CN"/>
              </w:rPr>
              <w:t>方法二验证</w:t>
            </w:r>
          </w:p>
        </w:tc>
      </w:tr>
      <w:tr w14:paraId="35819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1"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332B80BE">
            <w:pPr>
              <w:jc w:val="center"/>
              <w:rPr>
                <w:rFonts w:hint="default" w:ascii="宋体" w:hAnsi="宋体" w:eastAsia="宋体" w:cs="宋体"/>
                <w:b w:val="0"/>
                <w:bCs/>
                <w:color w:val="000000"/>
                <w:kern w:val="0"/>
                <w:sz w:val="18"/>
                <w:szCs w:val="18"/>
                <w:lang w:val="en-US" w:eastAsia="zh-CN"/>
              </w:rPr>
            </w:pPr>
            <w:r>
              <w:rPr>
                <w:rFonts w:hint="eastAsia" w:ascii="宋体" w:hAnsi="宋体" w:eastAsia="宋体" w:cs="宋体"/>
                <w:b w:val="0"/>
                <w:bCs/>
                <w:color w:val="000000"/>
                <w:kern w:val="0"/>
                <w:sz w:val="18"/>
                <w:szCs w:val="18"/>
                <w:lang w:val="en-US" w:eastAsia="zh-CN"/>
              </w:rPr>
              <w:t>5</w:t>
            </w:r>
          </w:p>
        </w:tc>
        <w:tc>
          <w:tcPr>
            <w:tcW w:w="23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59A4E3">
            <w:pPr>
              <w:jc w:val="center"/>
              <w:rPr>
                <w:rFonts w:hint="eastAsia" w:ascii="宋体" w:hAnsi="宋体" w:eastAsia="宋体" w:cs="宋体"/>
                <w:b w:val="0"/>
                <w:bCs w:val="0"/>
                <w:color w:val="000000"/>
                <w:kern w:val="2"/>
                <w:sz w:val="18"/>
                <w:szCs w:val="18"/>
                <w:highlight w:val="none"/>
                <w:lang w:val="en-US" w:eastAsia="zh-CN"/>
              </w:rPr>
            </w:pPr>
            <w:r>
              <w:rPr>
                <w:rFonts w:hint="eastAsia" w:ascii="宋体" w:hAnsi="宋体" w:eastAsia="宋体" w:cs="宋体"/>
                <w:color w:val="000000"/>
                <w:sz w:val="18"/>
                <w:szCs w:val="18"/>
                <w:highlight w:val="none"/>
                <w:lang w:val="en-US" w:eastAsia="zh-CN"/>
              </w:rPr>
              <w:t>CuCd3</w:t>
            </w:r>
          </w:p>
        </w:tc>
        <w:tc>
          <w:tcPr>
            <w:tcW w:w="1219" w:type="dxa"/>
            <w:vMerge w:val="continue"/>
            <w:tcBorders>
              <w:left w:val="single" w:color="000000" w:sz="4" w:space="0"/>
              <w:right w:val="single" w:color="000000" w:sz="4" w:space="0"/>
            </w:tcBorders>
            <w:shd w:val="clear" w:color="auto" w:fill="FFFFFF"/>
            <w:vAlign w:val="center"/>
          </w:tcPr>
          <w:p w14:paraId="31ABA2DB">
            <w:pPr>
              <w:jc w:val="center"/>
              <w:rPr>
                <w:rFonts w:hint="eastAsia" w:ascii="宋体" w:hAnsi="宋体" w:eastAsia="宋体" w:cs="宋体"/>
                <w:b w:val="0"/>
                <w:bCs/>
                <w:color w:val="000000"/>
                <w:kern w:val="0"/>
                <w:sz w:val="18"/>
                <w:szCs w:val="18"/>
                <w:lang w:val="en-US" w:eastAsia="zh-CN"/>
              </w:rPr>
            </w:pPr>
          </w:p>
        </w:tc>
        <w:tc>
          <w:tcPr>
            <w:tcW w:w="12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7929C0">
            <w:pPr>
              <w:jc w:val="center"/>
              <w:rPr>
                <w:rFonts w:hint="eastAsia" w:ascii="宋体" w:hAnsi="宋体" w:eastAsia="宋体" w:cs="宋体"/>
                <w:b w:val="0"/>
                <w:bCs/>
                <w:color w:val="000000"/>
                <w:kern w:val="0"/>
                <w:sz w:val="18"/>
                <w:szCs w:val="18"/>
                <w:lang w:val="en-US" w:eastAsia="zh-CN"/>
              </w:rPr>
            </w:pPr>
            <w:r>
              <w:rPr>
                <w:rFonts w:hint="eastAsia" w:ascii="宋体" w:hAnsi="宋体" w:eastAsia="宋体" w:cs="宋体"/>
                <w:sz w:val="18"/>
                <w:szCs w:val="18"/>
                <w:vertAlign w:val="baseline"/>
                <w:lang w:val="en-US" w:eastAsia="zh-CN"/>
              </w:rPr>
              <w:t>0.15x</w:t>
            </w:r>
          </w:p>
        </w:tc>
        <w:tc>
          <w:tcPr>
            <w:tcW w:w="2471"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5D576DA3">
            <w:pPr>
              <w:jc w:val="center"/>
              <w:rPr>
                <w:rFonts w:hint="eastAsia" w:ascii="宋体" w:hAnsi="宋体" w:eastAsia="宋体" w:cs="宋体"/>
                <w:b w:val="0"/>
                <w:bCs/>
                <w:color w:val="000000"/>
                <w:kern w:val="0"/>
                <w:sz w:val="18"/>
                <w:szCs w:val="18"/>
                <w:lang w:val="en-US" w:eastAsia="zh-CN"/>
              </w:rPr>
            </w:pPr>
            <w:r>
              <w:rPr>
                <w:rFonts w:hint="eastAsia" w:ascii="宋体" w:hAnsi="宋体" w:eastAsia="宋体" w:cs="宋体"/>
                <w:b w:val="0"/>
                <w:bCs/>
                <w:color w:val="000000"/>
                <w:kern w:val="0"/>
                <w:sz w:val="18"/>
                <w:szCs w:val="18"/>
                <w:highlight w:val="none"/>
                <w:lang w:val="en-US" w:eastAsia="zh-CN"/>
              </w:rPr>
              <w:t>实际产品</w:t>
            </w:r>
            <w:r>
              <w:rPr>
                <w:rFonts w:hint="eastAsia" w:ascii="宋体" w:hAnsi="宋体" w:eastAsia="宋体" w:cs="宋体"/>
                <w:b w:val="0"/>
                <w:bCs/>
                <w:color w:val="000000"/>
                <w:kern w:val="0"/>
                <w:sz w:val="18"/>
                <w:szCs w:val="18"/>
                <w:lang w:val="en-US" w:eastAsia="zh-CN"/>
              </w:rPr>
              <w:t>，</w:t>
            </w:r>
            <w:r>
              <w:rPr>
                <w:rFonts w:hint="eastAsia" w:ascii="宋体" w:hAnsi="宋体" w:eastAsia="宋体" w:cs="宋体"/>
                <w:b w:val="0"/>
                <w:bCs/>
                <w:color w:val="000000"/>
                <w:kern w:val="0"/>
                <w:sz w:val="18"/>
                <w:szCs w:val="18"/>
                <w:highlight w:val="none"/>
                <w:lang w:val="en-US" w:eastAsia="zh-CN"/>
              </w:rPr>
              <w:t>方法二验证</w:t>
            </w:r>
          </w:p>
        </w:tc>
      </w:tr>
      <w:tr w14:paraId="2B225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1" w:type="dxa"/>
            <w:tcBorders>
              <w:top w:val="single" w:color="000000" w:sz="4" w:space="0"/>
              <w:left w:val="single" w:color="000000" w:sz="12" w:space="0"/>
              <w:bottom w:val="single" w:color="000000" w:sz="12" w:space="0"/>
              <w:right w:val="single" w:color="000000" w:sz="4" w:space="0"/>
            </w:tcBorders>
            <w:shd w:val="clear" w:color="auto" w:fill="FFFFFF"/>
            <w:vAlign w:val="center"/>
          </w:tcPr>
          <w:p w14:paraId="58189B9D">
            <w:pPr>
              <w:jc w:val="center"/>
              <w:rPr>
                <w:rFonts w:hint="default" w:ascii="宋体" w:hAnsi="宋体" w:eastAsia="宋体" w:cs="宋体"/>
                <w:b w:val="0"/>
                <w:bCs/>
                <w:color w:val="000000"/>
                <w:kern w:val="0"/>
                <w:sz w:val="18"/>
                <w:szCs w:val="18"/>
                <w:lang w:val="en-US" w:eastAsia="zh-CN"/>
              </w:rPr>
            </w:pPr>
            <w:r>
              <w:rPr>
                <w:rFonts w:hint="eastAsia" w:ascii="宋体" w:hAnsi="宋体" w:eastAsia="宋体" w:cs="宋体"/>
                <w:b w:val="0"/>
                <w:bCs/>
                <w:color w:val="000000"/>
                <w:kern w:val="0"/>
                <w:sz w:val="18"/>
                <w:szCs w:val="18"/>
                <w:lang w:val="en-US" w:eastAsia="zh-CN"/>
              </w:rPr>
              <w:t>6</w:t>
            </w:r>
          </w:p>
        </w:tc>
        <w:tc>
          <w:tcPr>
            <w:tcW w:w="2364"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005CA8BF">
            <w:pPr>
              <w:jc w:val="center"/>
              <w:rPr>
                <w:rFonts w:hint="eastAsia" w:ascii="宋体" w:hAnsi="宋体" w:eastAsia="宋体" w:cs="宋体"/>
                <w:b w:val="0"/>
                <w:bCs w:val="0"/>
                <w:color w:val="000000"/>
                <w:kern w:val="2"/>
                <w:sz w:val="18"/>
                <w:szCs w:val="18"/>
                <w:highlight w:val="none"/>
                <w:lang w:val="en-US" w:eastAsia="zh-CN"/>
              </w:rPr>
            </w:pPr>
            <w:r>
              <w:rPr>
                <w:rFonts w:hint="eastAsia" w:ascii="宋体" w:hAnsi="宋体" w:eastAsia="宋体" w:cs="宋体"/>
                <w:color w:val="000000"/>
                <w:sz w:val="18"/>
                <w:szCs w:val="18"/>
                <w:highlight w:val="none"/>
                <w:lang w:val="en-US" w:eastAsia="zh-CN"/>
              </w:rPr>
              <w:t>CuCd4</w:t>
            </w:r>
          </w:p>
        </w:tc>
        <w:tc>
          <w:tcPr>
            <w:tcW w:w="1219" w:type="dxa"/>
            <w:vMerge w:val="continue"/>
            <w:tcBorders>
              <w:left w:val="single" w:color="000000" w:sz="4" w:space="0"/>
              <w:bottom w:val="single" w:color="000000" w:sz="12" w:space="0"/>
              <w:right w:val="single" w:color="000000" w:sz="4" w:space="0"/>
            </w:tcBorders>
            <w:shd w:val="clear" w:color="auto" w:fill="FFFFFF"/>
            <w:vAlign w:val="center"/>
          </w:tcPr>
          <w:p w14:paraId="64D571F2">
            <w:pPr>
              <w:jc w:val="center"/>
              <w:rPr>
                <w:rFonts w:hint="eastAsia" w:ascii="宋体" w:hAnsi="宋体" w:eastAsia="宋体" w:cs="宋体"/>
                <w:b w:val="0"/>
                <w:bCs/>
                <w:color w:val="000000"/>
                <w:kern w:val="0"/>
                <w:sz w:val="18"/>
                <w:szCs w:val="18"/>
                <w:lang w:val="en-US" w:eastAsia="zh-CN"/>
              </w:rPr>
            </w:pPr>
          </w:p>
        </w:tc>
        <w:tc>
          <w:tcPr>
            <w:tcW w:w="1236"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00827CAF">
            <w:pPr>
              <w:jc w:val="center"/>
              <w:rPr>
                <w:rFonts w:hint="eastAsia" w:ascii="宋体" w:hAnsi="宋体" w:eastAsia="宋体" w:cs="宋体"/>
                <w:b w:val="0"/>
                <w:bCs/>
                <w:color w:val="000000"/>
                <w:kern w:val="0"/>
                <w:sz w:val="18"/>
                <w:szCs w:val="18"/>
                <w:lang w:val="en-US" w:eastAsia="zh-CN"/>
              </w:rPr>
            </w:pPr>
            <w:r>
              <w:rPr>
                <w:rFonts w:hint="eastAsia" w:ascii="宋体" w:hAnsi="宋体" w:eastAsia="宋体" w:cs="宋体"/>
                <w:sz w:val="18"/>
                <w:szCs w:val="18"/>
                <w:vertAlign w:val="baseline"/>
                <w:lang w:val="en-US" w:eastAsia="zh-CN"/>
              </w:rPr>
              <w:t>1.7xx</w:t>
            </w:r>
          </w:p>
        </w:tc>
        <w:tc>
          <w:tcPr>
            <w:tcW w:w="2471" w:type="dxa"/>
            <w:tcBorders>
              <w:top w:val="single" w:color="000000" w:sz="4" w:space="0"/>
              <w:left w:val="single" w:color="000000" w:sz="4" w:space="0"/>
              <w:bottom w:val="single" w:color="000000" w:sz="12" w:space="0"/>
              <w:right w:val="single" w:color="000000" w:sz="12" w:space="0"/>
            </w:tcBorders>
            <w:shd w:val="clear" w:color="auto" w:fill="FFFFFF"/>
            <w:vAlign w:val="center"/>
          </w:tcPr>
          <w:p w14:paraId="4D7E9872">
            <w:pPr>
              <w:jc w:val="center"/>
              <w:rPr>
                <w:rFonts w:hint="eastAsia" w:ascii="宋体" w:hAnsi="宋体" w:eastAsia="宋体" w:cs="宋体"/>
                <w:b w:val="0"/>
                <w:bCs/>
                <w:color w:val="000000"/>
                <w:kern w:val="0"/>
                <w:sz w:val="18"/>
                <w:szCs w:val="18"/>
                <w:lang w:val="en-US" w:eastAsia="zh-CN"/>
              </w:rPr>
            </w:pPr>
            <w:r>
              <w:rPr>
                <w:rFonts w:hint="eastAsia" w:ascii="宋体" w:hAnsi="宋体" w:eastAsia="宋体" w:cs="宋体"/>
                <w:b w:val="0"/>
                <w:bCs/>
                <w:color w:val="000000"/>
                <w:kern w:val="0"/>
                <w:sz w:val="18"/>
                <w:szCs w:val="18"/>
                <w:highlight w:val="none"/>
                <w:lang w:val="en-US" w:eastAsia="zh-CN"/>
              </w:rPr>
              <w:t>实际产品</w:t>
            </w:r>
            <w:r>
              <w:rPr>
                <w:rFonts w:hint="eastAsia" w:ascii="宋体" w:hAnsi="宋体" w:eastAsia="宋体" w:cs="宋体"/>
                <w:b w:val="0"/>
                <w:bCs/>
                <w:color w:val="000000"/>
                <w:kern w:val="0"/>
                <w:sz w:val="18"/>
                <w:szCs w:val="18"/>
                <w:lang w:val="en-US" w:eastAsia="zh-CN"/>
              </w:rPr>
              <w:t>，</w:t>
            </w:r>
            <w:r>
              <w:rPr>
                <w:rFonts w:hint="eastAsia" w:ascii="宋体" w:hAnsi="宋体" w:eastAsia="宋体" w:cs="宋体"/>
                <w:b w:val="0"/>
                <w:bCs/>
                <w:color w:val="000000"/>
                <w:kern w:val="0"/>
                <w:sz w:val="18"/>
                <w:szCs w:val="18"/>
                <w:highlight w:val="none"/>
                <w:lang w:val="en-US" w:eastAsia="zh-CN"/>
              </w:rPr>
              <w:t>方法二验证</w:t>
            </w:r>
          </w:p>
        </w:tc>
      </w:tr>
    </w:tbl>
    <w:p w14:paraId="671A1F35">
      <w:pPr>
        <w:widowControl w:val="0"/>
        <w:numPr>
          <w:ilvl w:val="0"/>
          <w:numId w:val="0"/>
        </w:numPr>
        <w:wordWrap/>
        <w:adjustRightInd/>
        <w:snapToGrid/>
        <w:spacing w:before="0" w:beforeLines="0" w:after="0" w:afterLines="0" w:line="360" w:lineRule="auto"/>
        <w:ind w:right="0" w:firstLine="420" w:firstLineChars="200"/>
        <w:jc w:val="left"/>
        <w:textAlignment w:val="auto"/>
        <w:outlineLvl w:val="9"/>
        <w:rPr>
          <w:rFonts w:hint="default" w:ascii="宋体" w:hAnsi="宋体" w:eastAsia="宋体" w:cs="宋体"/>
          <w:lang w:val="en-US" w:eastAsia="zh-CN"/>
        </w:rPr>
      </w:pPr>
    </w:p>
    <w:p w14:paraId="3AA26C9D">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240" w:lineRule="auto"/>
        <w:ind w:right="0" w:firstLine="420" w:firstLineChars="200"/>
        <w:jc w:val="left"/>
        <w:textAlignment w:val="auto"/>
        <w:outlineLvl w:val="4"/>
        <w:rPr>
          <w:rFonts w:hint="default" w:ascii="Times New Roman" w:hAnsi="Times New Roman" w:cs="Times New Roman"/>
          <w:lang w:val="en-US" w:eastAsia="zh-CN"/>
        </w:rPr>
      </w:pPr>
      <w:r>
        <w:rPr>
          <w:rFonts w:hint="default" w:ascii="Times New Roman" w:hAnsi="Times New Roman" w:cs="Times New Roman"/>
          <w:lang w:val="en-US" w:eastAsia="zh-CN"/>
        </w:rPr>
        <w:t>202</w:t>
      </w:r>
      <w:r>
        <w:rPr>
          <w:rFonts w:hint="eastAsia" w:ascii="Times New Roman" w:hAnsi="Times New Roman" w:cs="Times New Roman"/>
          <w:lang w:val="en-US" w:eastAsia="zh-CN"/>
        </w:rPr>
        <w:t>5</w:t>
      </w:r>
      <w:r>
        <w:rPr>
          <w:rFonts w:hint="default" w:ascii="Times New Roman" w:hAnsi="Times New Roman" w:cs="Times New Roman"/>
          <w:lang w:val="en-US" w:eastAsia="zh-CN"/>
        </w:rPr>
        <w:t>年</w:t>
      </w:r>
      <w:r>
        <w:rPr>
          <w:rFonts w:hint="eastAsia" w:ascii="Times New Roman" w:hAnsi="Times New Roman" w:cs="Times New Roman"/>
          <w:lang w:val="en-US" w:eastAsia="zh-CN"/>
        </w:rPr>
        <w:t>8</w:t>
      </w:r>
      <w:r>
        <w:rPr>
          <w:rFonts w:hint="default" w:ascii="Times New Roman" w:hAnsi="Times New Roman" w:cs="Times New Roman"/>
          <w:lang w:val="en-US" w:eastAsia="zh-CN"/>
        </w:rPr>
        <w:t>月～202</w:t>
      </w:r>
      <w:r>
        <w:rPr>
          <w:rFonts w:hint="eastAsia" w:ascii="Times New Roman" w:hAnsi="Times New Roman" w:cs="Times New Roman"/>
          <w:lang w:val="en-US" w:eastAsia="zh-CN"/>
        </w:rPr>
        <w:t>6</w:t>
      </w:r>
      <w:r>
        <w:rPr>
          <w:rFonts w:hint="default" w:ascii="Times New Roman" w:hAnsi="Times New Roman" w:cs="Times New Roman"/>
          <w:lang w:val="en-US" w:eastAsia="zh-CN"/>
        </w:rPr>
        <w:t>年</w:t>
      </w:r>
      <w:r>
        <w:rPr>
          <w:rFonts w:hint="eastAsia" w:ascii="Times New Roman" w:hAnsi="Times New Roman" w:cs="Times New Roman"/>
          <w:lang w:val="en-US" w:eastAsia="zh-CN"/>
        </w:rPr>
        <w:t>2</w:t>
      </w:r>
      <w:r>
        <w:rPr>
          <w:rFonts w:hint="default" w:ascii="Times New Roman" w:hAnsi="Times New Roman" w:cs="Times New Roman"/>
          <w:lang w:val="en-US" w:eastAsia="zh-CN"/>
        </w:rPr>
        <w:t>月编制组开展大量试验研究工作，形成了标准文本和编制说明。方法一因无技术性变化，由</w:t>
      </w:r>
      <w:r>
        <w:rPr>
          <w:rFonts w:hint="eastAsia" w:ascii="Times New Roman" w:hAnsi="Times New Roman" w:cs="Times New Roman"/>
          <w:lang w:val="en-US" w:eastAsia="zh-CN"/>
        </w:rPr>
        <w:t>四</w:t>
      </w:r>
      <w:r>
        <w:rPr>
          <w:rFonts w:hint="default" w:ascii="Times New Roman" w:hAnsi="Times New Roman" w:cs="Times New Roman"/>
          <w:lang w:val="en-US" w:eastAsia="zh-CN"/>
        </w:rPr>
        <w:t>家单位开展精密度验证。方法二试验内容主要包含共存元素干扰试验，考察了方法检出限，开展了精密度试验和正确度试验等。</w:t>
      </w:r>
      <w:r>
        <w:rPr>
          <w:rFonts w:hint="eastAsia" w:ascii="Times New Roman" w:hAnsi="Times New Roman" w:cs="Times New Roman"/>
          <w:lang w:val="en-US" w:eastAsia="zh-CN"/>
        </w:rPr>
        <w:t>最终形</w:t>
      </w:r>
      <w:r>
        <w:rPr>
          <w:rFonts w:hint="default" w:ascii="Times New Roman" w:hAnsi="Times New Roman" w:cs="Times New Roman"/>
          <w:lang w:val="en-US" w:eastAsia="zh-CN"/>
        </w:rPr>
        <w:t>《征求意见</w:t>
      </w:r>
      <w:r>
        <w:rPr>
          <w:rFonts w:hint="eastAsia" w:ascii="Times New Roman" w:hAnsi="Times New Roman" w:cs="Times New Roman"/>
          <w:lang w:val="en-US" w:eastAsia="zh-CN"/>
        </w:rPr>
        <w:t>1</w:t>
      </w:r>
      <w:r>
        <w:rPr>
          <w:rFonts w:hint="default" w:ascii="Times New Roman" w:hAnsi="Times New Roman" w:cs="Times New Roman"/>
          <w:lang w:val="en-US" w:eastAsia="zh-CN"/>
        </w:rPr>
        <w:t>稿》</w:t>
      </w:r>
      <w:r>
        <w:rPr>
          <w:rFonts w:hint="eastAsia" w:ascii="Times New Roman" w:hAnsi="Times New Roman" w:cs="Times New Roman"/>
          <w:lang w:val="en-US" w:eastAsia="zh-CN"/>
        </w:rPr>
        <w:t>和编制说明。</w:t>
      </w:r>
    </w:p>
    <w:p w14:paraId="70F7997F">
      <w:pPr>
        <w:keepNext w:val="0"/>
        <w:keepLines w:val="0"/>
        <w:pageBreakBefore w:val="0"/>
        <w:widowControl w:val="0"/>
        <w:numPr>
          <w:ilvl w:val="0"/>
          <w:numId w:val="4"/>
        </w:numPr>
        <w:kinsoku/>
        <w:wordWrap/>
        <w:overflowPunct/>
        <w:topLinePunct w:val="0"/>
        <w:autoSpaceDE/>
        <w:autoSpaceDN/>
        <w:bidi w:val="0"/>
        <w:adjustRightInd/>
        <w:snapToGrid/>
        <w:ind w:left="0" w:leftChars="0" w:firstLine="420" w:firstLineChars="200"/>
        <w:textAlignment w:val="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第二次会议</w:t>
      </w:r>
    </w:p>
    <w:p w14:paraId="7B78877D">
      <w:pPr>
        <w:pStyle w:val="3"/>
        <w:rPr>
          <w:rFonts w:hint="eastAsia" w:ascii="黑体" w:hAnsi="黑体" w:eastAsia="黑体" w:cs="黑体"/>
          <w:color w:val="auto"/>
          <w:kern w:val="0"/>
          <w:sz w:val="21"/>
          <w:szCs w:val="21"/>
          <w:lang w:val="en-US" w:eastAsia="zh-CN" w:bidi="ar-SA"/>
        </w:rPr>
      </w:pPr>
    </w:p>
    <w:p w14:paraId="0A33DB53">
      <w:pPr>
        <w:pStyle w:val="3"/>
        <w:rPr>
          <w:rFonts w:hint="eastAsia" w:ascii="黑体" w:hAnsi="黑体" w:eastAsia="黑体" w:cs="黑体"/>
          <w:color w:val="auto"/>
          <w:kern w:val="0"/>
          <w:sz w:val="21"/>
          <w:szCs w:val="21"/>
          <w:lang w:val="en-US" w:eastAsia="zh-CN" w:bidi="ar-SA"/>
        </w:rPr>
      </w:pPr>
      <w:r>
        <w:rPr>
          <w:rFonts w:hint="eastAsia" w:ascii="黑体" w:hAnsi="黑体" w:eastAsia="黑体" w:cs="黑体"/>
          <w:color w:val="auto"/>
          <w:kern w:val="0"/>
          <w:sz w:val="21"/>
          <w:szCs w:val="21"/>
          <w:lang w:val="en-US" w:eastAsia="zh-CN" w:bidi="ar-SA"/>
        </w:rPr>
        <w:t>1.4.4征求意见阶段</w:t>
      </w:r>
    </w:p>
    <w:p w14:paraId="64EDC2FE">
      <w:pPr>
        <w:pStyle w:val="3"/>
        <w:ind w:firstLine="420" w:firstLineChars="200"/>
        <w:rPr>
          <w:rFonts w:hint="eastAsia" w:hAnsi="黑体" w:cs="黑体"/>
          <w:color w:val="C00000"/>
          <w:sz w:val="21"/>
          <w:szCs w:val="21"/>
          <w:lang w:val="en-US" w:eastAsia="zh-CN"/>
        </w:rPr>
      </w:pPr>
    </w:p>
    <w:p w14:paraId="37F66EE5">
      <w:pPr>
        <w:pStyle w:val="3"/>
        <w:rPr>
          <w:rFonts w:hint="eastAsia" w:ascii="黑体" w:hAnsi="黑体" w:eastAsia="黑体" w:cs="黑体"/>
          <w:color w:val="auto"/>
          <w:kern w:val="0"/>
          <w:sz w:val="21"/>
          <w:szCs w:val="21"/>
          <w:lang w:val="en-US" w:eastAsia="zh-CN" w:bidi="ar-SA"/>
        </w:rPr>
      </w:pPr>
      <w:r>
        <w:rPr>
          <w:rFonts w:hint="eastAsia" w:ascii="黑体" w:hAnsi="黑体" w:eastAsia="黑体" w:cs="黑体"/>
          <w:color w:val="auto"/>
          <w:kern w:val="0"/>
          <w:sz w:val="21"/>
          <w:szCs w:val="21"/>
          <w:lang w:val="en-US" w:eastAsia="zh-CN" w:bidi="ar-SA"/>
        </w:rPr>
        <w:t>1.4.5审查阶段</w:t>
      </w:r>
    </w:p>
    <w:p w14:paraId="73134CC3">
      <w:pPr>
        <w:pStyle w:val="3"/>
        <w:numPr>
          <w:ilvl w:val="0"/>
          <w:numId w:val="5"/>
        </w:numPr>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技术专家审查</w:t>
      </w:r>
    </w:p>
    <w:p w14:paraId="2F6FC628">
      <w:pPr>
        <w:rPr>
          <w:rFonts w:hint="eastAsia"/>
          <w:lang w:val="en-US" w:eastAsia="zh-CN"/>
        </w:rPr>
      </w:pPr>
    </w:p>
    <w:p w14:paraId="46681F5B">
      <w:pPr>
        <w:pStyle w:val="3"/>
        <w:numPr>
          <w:ilvl w:val="0"/>
          <w:numId w:val="5"/>
        </w:numPr>
        <w:rPr>
          <w:rFonts w:hint="default"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委员审查</w:t>
      </w:r>
    </w:p>
    <w:p w14:paraId="75517F6F">
      <w:pPr>
        <w:rPr>
          <w:rFonts w:hint="default"/>
          <w:lang w:val="en-US" w:eastAsia="zh-CN"/>
        </w:rPr>
      </w:pPr>
    </w:p>
    <w:p w14:paraId="0C953339">
      <w:pPr>
        <w:pStyle w:val="11"/>
        <w:pageBreakBefore w:val="0"/>
        <w:numPr>
          <w:ilvl w:val="0"/>
          <w:numId w:val="5"/>
        </w:numPr>
        <w:shd w:val="clear" w:color="auto" w:fill="FFFFFF"/>
        <w:kinsoku/>
        <w:wordWrap/>
        <w:overflowPunct/>
        <w:topLinePunct w:val="0"/>
        <w:bidi w:val="0"/>
        <w:adjustRightInd/>
        <w:snapToGrid/>
        <w:spacing w:before="0" w:beforeAutospacing="0" w:after="0" w:afterAutospacing="0" w:line="380" w:lineRule="exact"/>
        <w:ind w:left="0" w:leftChars="0" w:firstLine="0" w:firstLineChars="0"/>
        <w:textAlignment w:val="auto"/>
        <w:rPr>
          <w:rFonts w:hint="default" w:ascii="宋体" w:hAnsi="宋体" w:eastAsiaTheme="minorEastAsia" w:cstheme="minorBidi"/>
          <w:color w:val="auto"/>
          <w:kern w:val="2"/>
          <w:sz w:val="21"/>
          <w:szCs w:val="21"/>
          <w:lang w:val="en-US" w:eastAsia="zh-CN" w:bidi="ar-SA"/>
        </w:rPr>
      </w:pPr>
      <w:r>
        <w:rPr>
          <w:rFonts w:hint="eastAsia" w:eastAsiaTheme="minorEastAsia" w:cstheme="minorBidi"/>
          <w:color w:val="auto"/>
          <w:kern w:val="2"/>
          <w:sz w:val="21"/>
          <w:szCs w:val="21"/>
          <w:lang w:val="en-US" w:eastAsia="zh-CN" w:bidi="ar-SA"/>
        </w:rPr>
        <w:t>委员电子投票</w:t>
      </w:r>
    </w:p>
    <w:p w14:paraId="13E58791">
      <w:pPr>
        <w:pStyle w:val="3"/>
        <w:spacing w:line="360" w:lineRule="auto"/>
        <w:rPr>
          <w:rFonts w:hint="eastAsia" w:ascii="黑体" w:hAnsi="黑体" w:eastAsia="黑体" w:cs="黑体"/>
          <w:color w:val="auto"/>
          <w:kern w:val="0"/>
          <w:sz w:val="21"/>
          <w:szCs w:val="21"/>
          <w:lang w:val="en-US" w:eastAsia="zh-CN" w:bidi="ar-SA"/>
        </w:rPr>
      </w:pPr>
    </w:p>
    <w:p w14:paraId="07E8B0DD">
      <w:pPr>
        <w:pStyle w:val="3"/>
        <w:spacing w:line="360" w:lineRule="auto"/>
        <w:rPr>
          <w:rFonts w:hint="eastAsia" w:ascii="黑体" w:hAnsi="黑体" w:eastAsia="黑体" w:cs="黑体"/>
          <w:color w:val="auto"/>
          <w:kern w:val="0"/>
          <w:sz w:val="21"/>
          <w:szCs w:val="21"/>
          <w:lang w:val="en-US" w:eastAsia="zh-CN" w:bidi="ar-SA"/>
        </w:rPr>
      </w:pPr>
      <w:r>
        <w:rPr>
          <w:rFonts w:hint="eastAsia" w:ascii="黑体" w:hAnsi="黑体" w:eastAsia="黑体" w:cs="黑体"/>
          <w:color w:val="auto"/>
          <w:kern w:val="0"/>
          <w:sz w:val="21"/>
          <w:szCs w:val="21"/>
          <w:lang w:val="en-US" w:eastAsia="zh-CN" w:bidi="ar-SA"/>
        </w:rPr>
        <w:t>1.4.6报批阶段</w:t>
      </w:r>
    </w:p>
    <w:p w14:paraId="61D971DE">
      <w:pPr>
        <w:pStyle w:val="3"/>
        <w:numPr>
          <w:ilvl w:val="0"/>
          <w:numId w:val="0"/>
        </w:numPr>
        <w:rPr>
          <w:rFonts w:hint="default" w:hAnsi="黑体" w:cs="黑体"/>
          <w:color w:val="C00000"/>
          <w:sz w:val="21"/>
          <w:szCs w:val="21"/>
          <w:lang w:val="en-US" w:eastAsia="zh-CN"/>
        </w:rPr>
      </w:pPr>
    </w:p>
    <w:p w14:paraId="76E2D1DB">
      <w:pPr>
        <w:pStyle w:val="11"/>
        <w:keepNext w:val="0"/>
        <w:keepLines w:val="0"/>
        <w:pageBreakBefore w:val="0"/>
        <w:kinsoku/>
        <w:wordWrap/>
        <w:overflowPunct/>
        <w:topLinePunct w:val="0"/>
        <w:autoSpaceDE/>
        <w:autoSpaceDN/>
        <w:bidi w:val="0"/>
        <w:adjustRightInd/>
        <w:snapToGrid/>
        <w:spacing w:before="0" w:beforeAutospacing="0" w:after="0" w:afterAutospacing="0" w:line="440" w:lineRule="exact"/>
        <w:jc w:val="both"/>
        <w:textAlignment w:val="auto"/>
        <w:rPr>
          <w:rFonts w:hint="default" w:ascii="黑体" w:eastAsia="黑体" w:cs="Arial"/>
          <w:color w:val="auto"/>
          <w:sz w:val="21"/>
          <w:szCs w:val="21"/>
          <w:lang w:val="en-US" w:eastAsia="zh-CN"/>
        </w:rPr>
      </w:pPr>
      <w:r>
        <w:rPr>
          <w:rFonts w:hint="eastAsia" w:ascii="黑体" w:eastAsia="黑体" w:cs="Arial"/>
          <w:color w:val="auto"/>
          <w:sz w:val="21"/>
          <w:szCs w:val="21"/>
        </w:rPr>
        <w:t>二、编制原则</w:t>
      </w:r>
      <w:r>
        <w:rPr>
          <w:rFonts w:hint="eastAsia" w:ascii="黑体" w:eastAsia="黑体" w:cs="Arial"/>
          <w:color w:val="auto"/>
          <w:sz w:val="21"/>
          <w:szCs w:val="21"/>
          <w:lang w:eastAsia="zh-CN"/>
        </w:rPr>
        <w:t>、</w:t>
      </w:r>
      <w:r>
        <w:rPr>
          <w:rFonts w:hint="eastAsia" w:ascii="黑体" w:eastAsia="黑体" w:cs="Arial"/>
          <w:color w:val="auto"/>
          <w:sz w:val="21"/>
          <w:szCs w:val="21"/>
          <w:lang w:val="en-US" w:eastAsia="zh-CN"/>
        </w:rPr>
        <w:t>主要内容及其确定依据、修订前后技术内容的对比</w:t>
      </w:r>
    </w:p>
    <w:p w14:paraId="677447D3">
      <w:pPr>
        <w:pStyle w:val="11"/>
        <w:keepNext w:val="0"/>
        <w:keepLines w:val="0"/>
        <w:pageBreakBefore w:val="0"/>
        <w:kinsoku/>
        <w:wordWrap/>
        <w:overflowPunct/>
        <w:topLinePunct w:val="0"/>
        <w:autoSpaceDE/>
        <w:autoSpaceDN/>
        <w:bidi w:val="0"/>
        <w:adjustRightInd/>
        <w:snapToGrid/>
        <w:spacing w:before="0" w:beforeAutospacing="0" w:after="0" w:afterAutospacing="0" w:line="440" w:lineRule="exact"/>
        <w:jc w:val="both"/>
        <w:textAlignment w:val="auto"/>
        <w:rPr>
          <w:rFonts w:hint="eastAsia" w:ascii="黑体" w:eastAsia="黑体" w:cs="Arial"/>
          <w:color w:val="auto"/>
          <w:sz w:val="21"/>
          <w:szCs w:val="21"/>
          <w:lang w:val="en-US" w:eastAsia="zh-CN"/>
        </w:rPr>
      </w:pPr>
      <w:bookmarkStart w:id="0" w:name="OLE_LINK7"/>
      <w:r>
        <w:rPr>
          <w:rFonts w:hint="eastAsia" w:ascii="黑体" w:eastAsia="黑体" w:cs="Arial"/>
          <w:color w:val="auto"/>
          <w:sz w:val="21"/>
          <w:szCs w:val="21"/>
          <w:lang w:val="en-US" w:eastAsia="zh-CN"/>
        </w:rPr>
        <w:t>1、编制原则</w:t>
      </w:r>
    </w:p>
    <w:p w14:paraId="39CEC508">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420" w:firstLineChars="200"/>
        <w:jc w:val="both"/>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sz w:val="21"/>
          <w:szCs w:val="21"/>
          <w:lang w:val="en-US" w:eastAsia="zh-CN"/>
        </w:rPr>
        <w:t>（1）</w:t>
      </w:r>
      <w:r>
        <w:rPr>
          <w:rFonts w:hint="eastAsia" w:ascii="宋体" w:hAnsi="宋体" w:eastAsia="宋体" w:cs="宋体"/>
          <w:color w:val="auto"/>
          <w:kern w:val="0"/>
          <w:sz w:val="21"/>
          <w:szCs w:val="21"/>
          <w:highlight w:val="none"/>
        </w:rPr>
        <w:t>本标准按照GB/T</w:t>
      </w:r>
      <w:r>
        <w:rPr>
          <w:rFonts w:hint="eastAsia" w:ascii="宋体" w:hAnsi="宋体" w:eastAsia="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rPr>
        <w:t>1.1-2020《标准化工作导则 第1部分：标准化文件的结构和起草规则》的规则</w:t>
      </w:r>
      <w:r>
        <w:rPr>
          <w:rFonts w:hint="eastAsia" w:ascii="宋体" w:hAnsi="宋体" w:eastAsia="宋体" w:cs="宋体"/>
          <w:sz w:val="21"/>
          <w:szCs w:val="21"/>
        </w:rPr>
        <w:t>、GB/T</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20001.4</w:t>
      </w:r>
      <w:r>
        <w:rPr>
          <w:rFonts w:hint="eastAsia" w:ascii="宋体" w:hAnsi="宋体" w:eastAsia="宋体" w:cs="宋体"/>
          <w:sz w:val="21"/>
          <w:szCs w:val="21"/>
          <w:lang w:eastAsia="zh-CN"/>
        </w:rPr>
        <w:t>《标准编写规则</w:t>
      </w:r>
      <w:r>
        <w:rPr>
          <w:rFonts w:hint="eastAsia" w:ascii="宋体" w:hAnsi="宋体" w:eastAsia="宋体" w:cs="宋体"/>
          <w:sz w:val="21"/>
          <w:szCs w:val="21"/>
          <w:lang w:val="en-US" w:eastAsia="zh-CN"/>
        </w:rPr>
        <w:t xml:space="preserve"> 第4部分：试验方法标准</w:t>
      </w:r>
      <w:r>
        <w:rPr>
          <w:rFonts w:hint="eastAsia" w:ascii="宋体" w:hAnsi="宋体" w:eastAsia="宋体" w:cs="宋体"/>
          <w:sz w:val="21"/>
          <w:szCs w:val="21"/>
          <w:lang w:eastAsia="zh-CN"/>
        </w:rPr>
        <w:t>》</w:t>
      </w:r>
      <w:r>
        <w:rPr>
          <w:rFonts w:hint="eastAsia" w:ascii="宋体" w:hAnsi="宋体" w:eastAsia="宋体" w:cs="宋体"/>
          <w:sz w:val="21"/>
          <w:szCs w:val="21"/>
        </w:rPr>
        <w:t>和《有色金属冶炼产品、加工产品、化学分析方法国家标准、行业标准编写示例》的要求</w:t>
      </w:r>
      <w:r>
        <w:rPr>
          <w:rFonts w:hint="eastAsia" w:ascii="宋体" w:hAnsi="宋体" w:eastAsia="宋体" w:cs="宋体"/>
          <w:color w:val="000000"/>
          <w:sz w:val="21"/>
          <w:szCs w:val="21"/>
        </w:rPr>
        <w:t>编写</w:t>
      </w:r>
      <w:r>
        <w:rPr>
          <w:rFonts w:hint="eastAsia" w:ascii="宋体" w:hAnsi="宋体" w:eastAsia="宋体" w:cs="宋体"/>
          <w:color w:val="auto"/>
          <w:kern w:val="0"/>
          <w:sz w:val="21"/>
          <w:szCs w:val="21"/>
          <w:highlight w:val="none"/>
          <w:lang w:eastAsia="zh-CN"/>
        </w:rPr>
        <w:t>；</w:t>
      </w:r>
    </w:p>
    <w:p w14:paraId="3BEF3D58">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420" w:firstLineChars="200"/>
        <w:jc w:val="both"/>
        <w:textAlignment w:val="auto"/>
        <w:rPr>
          <w:rFonts w:hint="eastAsia" w:ascii="宋体" w:hAnsi="宋体" w:eastAsia="宋体" w:cs="宋体"/>
          <w:sz w:val="21"/>
          <w:szCs w:val="21"/>
          <w:lang w:eastAsia="zh-CN"/>
        </w:rPr>
      </w:pP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lang w:eastAsia="zh-CN"/>
        </w:rPr>
        <w:t>）</w:t>
      </w:r>
      <w:r>
        <w:rPr>
          <w:rFonts w:hint="eastAsia" w:ascii="宋体" w:hAnsi="宋体" w:eastAsia="宋体" w:cs="宋体"/>
          <w:sz w:val="21"/>
          <w:szCs w:val="21"/>
        </w:rPr>
        <w:t>标准规定的检测方法在同一实验室检测结果具有长期稳定性，不同实验室之间的检测结果具有一致性，能有效地规范铜及铜合金</w:t>
      </w:r>
      <w:r>
        <w:rPr>
          <w:rFonts w:hint="eastAsia" w:ascii="宋体" w:hAnsi="宋体" w:eastAsia="宋体" w:cs="宋体"/>
          <w:sz w:val="21"/>
          <w:szCs w:val="21"/>
          <w:lang w:val="en-US" w:eastAsia="zh-CN"/>
        </w:rPr>
        <w:t>中</w:t>
      </w:r>
      <w:r>
        <w:rPr>
          <w:rFonts w:hint="eastAsia" w:cs="宋体"/>
          <w:sz w:val="21"/>
          <w:szCs w:val="21"/>
          <w:lang w:val="en-US" w:eastAsia="zh-CN"/>
        </w:rPr>
        <w:t>镉</w:t>
      </w:r>
      <w:r>
        <w:rPr>
          <w:rFonts w:hint="eastAsia" w:ascii="宋体" w:hAnsi="宋体" w:eastAsia="宋体" w:cs="宋体"/>
          <w:sz w:val="21"/>
          <w:szCs w:val="21"/>
          <w:lang w:val="en-US" w:eastAsia="zh-CN"/>
        </w:rPr>
        <w:t>含量的测定</w:t>
      </w:r>
      <w:r>
        <w:rPr>
          <w:rFonts w:hint="eastAsia" w:ascii="宋体" w:hAnsi="宋体" w:eastAsia="宋体" w:cs="宋体"/>
          <w:sz w:val="21"/>
          <w:szCs w:val="21"/>
        </w:rPr>
        <w:t>方法</w:t>
      </w:r>
      <w:r>
        <w:rPr>
          <w:rFonts w:hint="eastAsia" w:ascii="宋体" w:hAnsi="宋体" w:eastAsia="宋体" w:cs="宋体"/>
          <w:sz w:val="21"/>
          <w:szCs w:val="21"/>
          <w:lang w:eastAsia="zh-CN"/>
        </w:rPr>
        <w:t>；</w:t>
      </w:r>
    </w:p>
    <w:p w14:paraId="1489AF15">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420" w:firstLineChars="200"/>
        <w:jc w:val="both"/>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3</w:t>
      </w:r>
      <w:r>
        <w:rPr>
          <w:rFonts w:hint="eastAsia" w:ascii="宋体" w:hAnsi="宋体" w:eastAsia="宋体" w:cs="宋体"/>
          <w:sz w:val="21"/>
          <w:szCs w:val="21"/>
          <w:lang w:eastAsia="zh-CN"/>
        </w:rPr>
        <w:t>）本部分是在标准GB/T 5121.</w:t>
      </w:r>
      <w:r>
        <w:rPr>
          <w:rFonts w:hint="eastAsia" w:cs="宋体"/>
          <w:sz w:val="21"/>
          <w:szCs w:val="21"/>
          <w:lang w:val="en-US" w:eastAsia="zh-CN"/>
        </w:rPr>
        <w:t>22</w:t>
      </w:r>
      <w:r>
        <w:rPr>
          <w:rFonts w:hint="eastAsia" w:ascii="宋体" w:hAnsi="宋体" w:eastAsia="宋体" w:cs="宋体"/>
          <w:sz w:val="21"/>
          <w:szCs w:val="21"/>
          <w:lang w:eastAsia="zh-CN"/>
        </w:rPr>
        <w:t>-2008《铜及铜合金化学分析方法 第</w:t>
      </w:r>
      <w:r>
        <w:rPr>
          <w:rFonts w:hint="eastAsia" w:cs="宋体"/>
          <w:sz w:val="21"/>
          <w:szCs w:val="21"/>
          <w:lang w:val="en-US" w:eastAsia="zh-CN"/>
        </w:rPr>
        <w:t>22</w:t>
      </w:r>
      <w:r>
        <w:rPr>
          <w:rFonts w:hint="eastAsia" w:ascii="宋体" w:hAnsi="宋体" w:eastAsia="宋体" w:cs="宋体"/>
          <w:sz w:val="21"/>
          <w:szCs w:val="21"/>
          <w:lang w:eastAsia="zh-CN"/>
        </w:rPr>
        <w:t>部分：</w:t>
      </w:r>
      <w:r>
        <w:rPr>
          <w:rFonts w:hint="eastAsia" w:cs="宋体"/>
          <w:sz w:val="21"/>
          <w:szCs w:val="21"/>
          <w:lang w:eastAsia="zh-CN"/>
        </w:rPr>
        <w:t>镉</w:t>
      </w:r>
      <w:r>
        <w:rPr>
          <w:rFonts w:hint="eastAsia" w:ascii="宋体" w:hAnsi="宋体" w:eastAsia="宋体" w:cs="宋体"/>
          <w:sz w:val="21"/>
          <w:szCs w:val="21"/>
          <w:lang w:eastAsia="zh-CN"/>
        </w:rPr>
        <w:t>含量的测定》的基础上进行修订而成。同时充分考虑了生产企业、使用单位及相关方面的意见和建议。根据国内铜及铜合金生产和下游客户的具体情况，突出标准的实用性。</w:t>
      </w:r>
      <w:r>
        <w:rPr>
          <w:rFonts w:hint="eastAsia" w:ascii="宋体" w:hAnsi="宋体" w:eastAsia="宋体" w:cs="宋体"/>
          <w:sz w:val="21"/>
          <w:szCs w:val="21"/>
        </w:rPr>
        <w:t>对试验设备及试验条件提出了明确要求，完善试验条件及试验步骤、检测范围</w:t>
      </w:r>
      <w:r>
        <w:rPr>
          <w:rFonts w:hint="eastAsia" w:ascii="宋体" w:hAnsi="宋体" w:eastAsia="宋体" w:cs="宋体"/>
          <w:sz w:val="21"/>
          <w:szCs w:val="21"/>
          <w:lang w:eastAsia="zh-CN"/>
        </w:rPr>
        <w:t>，</w:t>
      </w:r>
      <w:r>
        <w:rPr>
          <w:rFonts w:hint="eastAsia" w:ascii="宋体" w:hAnsi="宋体" w:eastAsia="宋体" w:cs="宋体"/>
          <w:sz w:val="21"/>
          <w:szCs w:val="21"/>
        </w:rPr>
        <w:t>能普遍满足</w:t>
      </w:r>
      <w:r>
        <w:rPr>
          <w:rFonts w:hint="eastAsia" w:ascii="宋体" w:hAnsi="宋体" w:eastAsia="宋体" w:cs="宋体"/>
          <w:sz w:val="21"/>
          <w:szCs w:val="21"/>
          <w:lang w:val="en-US" w:eastAsia="zh-CN"/>
        </w:rPr>
        <w:t>国内</w:t>
      </w:r>
      <w:r>
        <w:rPr>
          <w:rFonts w:hint="eastAsia" w:ascii="宋体" w:hAnsi="宋体" w:eastAsia="宋体" w:cs="宋体"/>
          <w:sz w:val="21"/>
          <w:szCs w:val="21"/>
        </w:rPr>
        <w:t>对铜及铜合金</w:t>
      </w:r>
      <w:r>
        <w:rPr>
          <w:rFonts w:hint="eastAsia" w:ascii="宋体" w:hAnsi="宋体" w:eastAsia="宋体" w:cs="宋体"/>
          <w:sz w:val="21"/>
          <w:szCs w:val="21"/>
          <w:lang w:val="en-US" w:eastAsia="zh-CN"/>
        </w:rPr>
        <w:t>中铋含量的检测</w:t>
      </w:r>
      <w:r>
        <w:rPr>
          <w:rFonts w:hint="eastAsia" w:ascii="宋体" w:hAnsi="宋体" w:eastAsia="宋体" w:cs="宋体"/>
          <w:sz w:val="21"/>
          <w:szCs w:val="21"/>
        </w:rPr>
        <w:t>要求</w:t>
      </w:r>
      <w:r>
        <w:rPr>
          <w:rFonts w:hint="eastAsia" w:ascii="宋体" w:hAnsi="宋体" w:eastAsia="宋体" w:cs="宋体"/>
          <w:sz w:val="21"/>
          <w:szCs w:val="21"/>
          <w:lang w:eastAsia="zh-CN"/>
        </w:rPr>
        <w:t>，</w:t>
      </w:r>
      <w:r>
        <w:rPr>
          <w:rFonts w:hint="eastAsia" w:ascii="宋体" w:hAnsi="宋体" w:eastAsia="宋体" w:cs="宋体"/>
          <w:sz w:val="21"/>
          <w:szCs w:val="21"/>
        </w:rPr>
        <w:t>更好地确保标准的先进性，促进我国检测技术的进步</w:t>
      </w:r>
      <w:r>
        <w:rPr>
          <w:rFonts w:hint="eastAsia" w:ascii="宋体" w:hAnsi="宋体" w:eastAsia="宋体" w:cs="宋体"/>
          <w:sz w:val="21"/>
          <w:szCs w:val="21"/>
          <w:lang w:eastAsia="zh-CN"/>
        </w:rPr>
        <w:t>。</w:t>
      </w:r>
    </w:p>
    <w:p w14:paraId="5CE3B98B">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4</w:t>
      </w:r>
      <w:r>
        <w:rPr>
          <w:rFonts w:hint="eastAsia" w:ascii="宋体" w:hAnsi="宋体" w:eastAsia="宋体" w:cs="宋体"/>
          <w:sz w:val="21"/>
          <w:szCs w:val="21"/>
          <w:lang w:eastAsia="zh-CN"/>
        </w:rPr>
        <w:t>）</w:t>
      </w:r>
      <w:r>
        <w:rPr>
          <w:rFonts w:hint="eastAsia" w:ascii="宋体" w:hAnsi="宋体" w:eastAsia="宋体" w:cs="宋体"/>
          <w:sz w:val="21"/>
          <w:szCs w:val="21"/>
        </w:rPr>
        <w:t>本标准在制订过程中，充分考虑铜及铜合金产品标准的相关内容要求，保证了标准的协调性与一致性。</w:t>
      </w:r>
    </w:p>
    <w:bookmarkEnd w:id="0"/>
    <w:p w14:paraId="4CBA8220">
      <w:pPr>
        <w:pStyle w:val="11"/>
        <w:keepNext w:val="0"/>
        <w:keepLines w:val="0"/>
        <w:pageBreakBefore w:val="0"/>
        <w:kinsoku/>
        <w:wordWrap/>
        <w:overflowPunct/>
        <w:topLinePunct w:val="0"/>
        <w:autoSpaceDE/>
        <w:autoSpaceDN/>
        <w:bidi w:val="0"/>
        <w:adjustRightInd/>
        <w:snapToGrid/>
        <w:spacing w:before="0" w:beforeAutospacing="0" w:after="0" w:afterAutospacing="0" w:line="440" w:lineRule="exact"/>
        <w:jc w:val="both"/>
        <w:textAlignment w:val="auto"/>
        <w:rPr>
          <w:rFonts w:hint="default" w:ascii="黑体" w:eastAsia="黑体" w:cs="Arial"/>
          <w:color w:val="auto"/>
          <w:sz w:val="21"/>
          <w:szCs w:val="21"/>
          <w:lang w:val="en-US" w:eastAsia="zh-CN"/>
        </w:rPr>
      </w:pPr>
      <w:r>
        <w:rPr>
          <w:rFonts w:hint="eastAsia" w:ascii="黑体" w:eastAsia="黑体" w:cs="Arial"/>
          <w:color w:val="auto"/>
          <w:sz w:val="21"/>
          <w:szCs w:val="21"/>
          <w:lang w:val="en-US" w:eastAsia="zh-CN"/>
        </w:rPr>
        <w:t>2、</w:t>
      </w:r>
      <w:r>
        <w:rPr>
          <w:rFonts w:hint="eastAsia" w:ascii="黑体" w:eastAsia="黑体" w:cs="Arial"/>
          <w:color w:val="auto"/>
          <w:sz w:val="21"/>
          <w:szCs w:val="21"/>
        </w:rPr>
        <w:t>标准主要技术内容</w:t>
      </w:r>
      <w:r>
        <w:rPr>
          <w:rFonts w:hint="eastAsia" w:ascii="黑体" w:eastAsia="黑体" w:cs="Arial"/>
          <w:color w:val="auto"/>
          <w:sz w:val="21"/>
          <w:szCs w:val="21"/>
          <w:lang w:val="en-US" w:eastAsia="zh-CN"/>
        </w:rPr>
        <w:t>的确定依据</w:t>
      </w:r>
    </w:p>
    <w:p w14:paraId="2B9CB2F9">
      <w:pPr>
        <w:pStyle w:val="4"/>
        <w:keepNext w:val="0"/>
        <w:keepLines w:val="0"/>
        <w:pageBreakBefore w:val="0"/>
        <w:widowControl w:val="0"/>
        <w:kinsoku/>
        <w:wordWrap/>
        <w:overflowPunct/>
        <w:topLinePunct w:val="0"/>
        <w:autoSpaceDE/>
        <w:autoSpaceDN/>
        <w:bidi w:val="0"/>
        <w:adjustRightInd/>
        <w:snapToGrid/>
        <w:spacing w:before="0" w:after="0" w:line="240" w:lineRule="auto"/>
        <w:ind w:firstLine="420" w:firstLineChars="200"/>
        <w:jc w:val="both"/>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本文件规定了铜及铜合金中镉含量的分析方法。</w:t>
      </w:r>
    </w:p>
    <w:p w14:paraId="2DC14600">
      <w:pPr>
        <w:pStyle w:val="4"/>
        <w:keepNext w:val="0"/>
        <w:keepLines w:val="0"/>
        <w:pageBreakBefore w:val="0"/>
        <w:widowControl w:val="0"/>
        <w:kinsoku/>
        <w:wordWrap/>
        <w:overflowPunct/>
        <w:topLinePunct w:val="0"/>
        <w:autoSpaceDE/>
        <w:autoSpaceDN/>
        <w:bidi w:val="0"/>
        <w:adjustRightInd/>
        <w:snapToGrid/>
        <w:spacing w:before="0" w:after="0" w:line="240" w:lineRule="auto"/>
        <w:ind w:firstLine="420" w:firstLineChars="200"/>
        <w:jc w:val="both"/>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本文件适用于铜及铜合金中镉含量的测定。塞曼效应电热原子吸收光谱法测定范围：0.00005%～0.0010%，火焰原子吸收光谱法测定范围：＞0.0010%～2.00%。</w:t>
      </w:r>
    </w:p>
    <w:p w14:paraId="5392E294">
      <w:pPr>
        <w:keepNext w:val="0"/>
        <w:keepLines w:val="0"/>
        <w:pageBreakBefore w:val="0"/>
        <w:widowControl w:val="0"/>
        <w:kinsoku/>
        <w:wordWrap/>
        <w:overflowPunct/>
        <w:topLinePunct w:val="0"/>
        <w:autoSpaceDE/>
        <w:autoSpaceDN/>
        <w:bidi w:val="0"/>
        <w:adjustRightInd/>
        <w:snapToGrid/>
        <w:ind w:firstLine="420" w:firstLineChars="200"/>
        <w:textAlignment w:val="auto"/>
      </w:pPr>
      <w:r>
        <w:rPr>
          <w:rFonts w:hint="eastAsia" w:ascii="宋体" w:hAnsi="宋体" w:cs="宋体"/>
          <w:color w:val="auto"/>
          <w:szCs w:val="21"/>
          <w:highlight w:val="none"/>
          <w:lang w:eastAsia="zh-CN"/>
        </w:rPr>
        <w:t>近年来，随着对人体健康及环境保护的越来越重视，许多国家和机构均对铜及铜合金材料中镉元素的限值进行了强制规定。为实现镉元素的检测方法能够涵盖国内现有铜及铜合金材料，使其更有利于人体健康及环境保护，同时具备准确、可靠、操作性强等特点，因此对GB/T 5121.22进行修订。本文件的修订扩展了镉元素的检测范围，提高了铜及铜合金检测标准和产品标准适配性，进一步增强了检测方法的操作规范性，推进了铜及铜合金化学分析标准体系的健全完善</w:t>
      </w:r>
      <w:r>
        <w:rPr>
          <w:rFonts w:hint="eastAsia" w:ascii="宋体" w:hAnsi="宋体" w:cs="宋体"/>
          <w:color w:val="0C0C0C" w:themeColor="text1" w:themeTint="F2"/>
          <w:szCs w:val="21"/>
          <w:highlight w:val="none"/>
          <w:lang w:eastAsia="zh-CN"/>
        </w:rPr>
        <w:t>。</w:t>
      </w:r>
    </w:p>
    <w:p w14:paraId="6FEE09B2">
      <w:pPr>
        <w:pStyle w:val="3"/>
        <w:numPr>
          <w:ilvl w:val="0"/>
          <w:numId w:val="6"/>
        </w:numPr>
        <w:rPr>
          <w:rFonts w:hint="eastAsia" w:ascii="黑体" w:eastAsia="黑体" w:cs="Arial"/>
          <w:color w:val="0000FF"/>
          <w:sz w:val="21"/>
          <w:szCs w:val="21"/>
          <w:lang w:val="en-US" w:eastAsia="zh-CN"/>
        </w:rPr>
      </w:pPr>
      <w:r>
        <w:rPr>
          <w:rFonts w:hint="eastAsia" w:ascii="黑体" w:hAnsi="宋体" w:eastAsia="黑体" w:cs="宋体"/>
          <w:bCs/>
          <w:color w:val="auto"/>
          <w:sz w:val="21"/>
          <w:szCs w:val="21"/>
          <w:highlight w:val="none"/>
          <w:lang w:val="en-US" w:eastAsia="zh-CN"/>
        </w:rPr>
        <w:t>本标准与GB/T 5121.22-2008标准的比较</w:t>
      </w:r>
    </w:p>
    <w:p w14:paraId="57B7CB28">
      <w:pPr>
        <w:widowControl/>
        <w:autoSpaceDE w:val="0"/>
        <w:autoSpaceDN w:val="0"/>
        <w:ind w:firstLine="420" w:firstLineChars="200"/>
        <w:rPr>
          <w:rFonts w:hint="eastAsia" w:ascii="宋体" w:hAnsi="宋体" w:eastAsia="宋体" w:cs="宋体"/>
          <w:color w:val="auto"/>
          <w:szCs w:val="21"/>
          <w:lang w:val="en-US" w:eastAsia="zh-CN"/>
        </w:rPr>
      </w:pPr>
      <w:r>
        <w:rPr>
          <w:rFonts w:hint="eastAsia" w:ascii="宋体" w:hAnsi="宋体" w:cs="宋体"/>
          <w:color w:val="auto"/>
          <w:szCs w:val="21"/>
          <w:highlight w:val="none"/>
          <w:lang w:eastAsia="zh-CN"/>
        </w:rPr>
        <w:t>本文件代</w:t>
      </w:r>
      <w:r>
        <w:rPr>
          <w:rFonts w:hint="eastAsia" w:ascii="宋体" w:hAnsi="宋体" w:eastAsia="宋体" w:cs="宋体"/>
          <w:color w:val="auto"/>
          <w:szCs w:val="21"/>
          <w:highlight w:val="none"/>
          <w:lang w:eastAsia="zh-CN"/>
        </w:rPr>
        <w:t>替</w:t>
      </w:r>
      <w:r>
        <w:rPr>
          <w:rFonts w:hint="eastAsia" w:ascii="宋体" w:hAnsi="宋体" w:eastAsia="宋体" w:cs="宋体"/>
          <w:color w:val="auto"/>
          <w:szCs w:val="21"/>
          <w:highlight w:val="none"/>
          <w:lang w:val="en-US" w:eastAsia="zh-CN"/>
        </w:rPr>
        <w:t>GB/T 5121</w:t>
      </w:r>
      <w:r>
        <w:rPr>
          <w:rFonts w:hint="eastAsia" w:ascii="宋体" w:hAnsi="宋体" w:cs="宋体"/>
          <w:color w:val="auto"/>
          <w:szCs w:val="21"/>
          <w:highlight w:val="none"/>
          <w:lang w:val="en-US" w:eastAsia="zh-CN"/>
        </w:rPr>
        <w:t>.22</w:t>
      </w:r>
      <w:r>
        <w:rPr>
          <w:rFonts w:hint="eastAsia" w:ascii="宋体" w:hAnsi="宋体" w:eastAsia="宋体" w:cs="宋体"/>
          <w:color w:val="auto"/>
          <w:szCs w:val="21"/>
          <w:highlight w:val="none"/>
          <w:lang w:val="en-US" w:eastAsia="zh-CN"/>
        </w:rPr>
        <w:t>-2008《铜及铜合金化学分析方法 第</w:t>
      </w:r>
      <w:r>
        <w:rPr>
          <w:rFonts w:hint="eastAsia" w:ascii="宋体" w:hAnsi="宋体" w:cs="宋体"/>
          <w:color w:val="auto"/>
          <w:szCs w:val="21"/>
          <w:highlight w:val="none"/>
          <w:lang w:val="en-US" w:eastAsia="zh-CN"/>
        </w:rPr>
        <w:t>22</w:t>
      </w:r>
      <w:r>
        <w:rPr>
          <w:rFonts w:hint="eastAsia" w:ascii="宋体" w:hAnsi="宋体" w:eastAsia="宋体" w:cs="宋体"/>
          <w:color w:val="auto"/>
          <w:szCs w:val="21"/>
          <w:highlight w:val="none"/>
          <w:lang w:val="en-US" w:eastAsia="zh-CN"/>
        </w:rPr>
        <w:t>部分：</w:t>
      </w:r>
      <w:r>
        <w:rPr>
          <w:rFonts w:hint="eastAsia" w:ascii="宋体" w:hAnsi="宋体" w:cs="宋体"/>
          <w:color w:val="auto"/>
          <w:szCs w:val="21"/>
          <w:highlight w:val="none"/>
          <w:lang w:val="en-US" w:eastAsia="zh-CN"/>
        </w:rPr>
        <w:t>镉</w:t>
      </w:r>
      <w:r>
        <w:rPr>
          <w:rFonts w:hint="eastAsia" w:ascii="宋体" w:hAnsi="宋体" w:eastAsia="宋体" w:cs="宋体"/>
          <w:color w:val="auto"/>
          <w:szCs w:val="21"/>
          <w:highlight w:val="none"/>
          <w:lang w:val="en-US" w:eastAsia="zh-CN"/>
        </w:rPr>
        <w:t>含量的测定》，与GB/T 5121</w:t>
      </w:r>
      <w:r>
        <w:rPr>
          <w:rFonts w:hint="eastAsia" w:ascii="宋体" w:hAnsi="宋体" w:cs="宋体"/>
          <w:color w:val="auto"/>
          <w:szCs w:val="21"/>
          <w:highlight w:val="none"/>
          <w:lang w:val="en-US" w:eastAsia="zh-CN"/>
        </w:rPr>
        <w:t>.22</w:t>
      </w:r>
      <w:r>
        <w:rPr>
          <w:rFonts w:hint="eastAsia" w:ascii="宋体" w:hAnsi="宋体" w:eastAsia="宋体" w:cs="宋体"/>
          <w:color w:val="auto"/>
          <w:szCs w:val="21"/>
          <w:highlight w:val="none"/>
          <w:lang w:val="en-US" w:eastAsia="zh-CN"/>
        </w:rPr>
        <w:t>-2008相比，除结构调整和编辑性改动外，</w:t>
      </w:r>
      <w:r>
        <w:rPr>
          <w:rFonts w:hint="eastAsia" w:ascii="宋体" w:hAnsi="宋体" w:eastAsia="宋体" w:cs="宋体"/>
          <w:color w:val="auto"/>
          <w:szCs w:val="21"/>
          <w:lang w:val="en-US" w:eastAsia="zh-CN"/>
        </w:rPr>
        <w:t>主要技术变化如下：</w:t>
      </w:r>
    </w:p>
    <w:p w14:paraId="0B484F55">
      <w:pPr>
        <w:widowControl/>
        <w:numPr>
          <w:ilvl w:val="0"/>
          <w:numId w:val="7"/>
        </w:numPr>
        <w:autoSpaceDE w:val="0"/>
        <w:autoSpaceDN w:val="0"/>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更改了方法二 火焰原子吸收法的测定范围，将“</w:t>
      </w:r>
      <w:r>
        <w:rPr>
          <w:rFonts w:hint="eastAsia" w:ascii="宋体" w:hAnsi="宋体" w:eastAsia="宋体" w:cs="宋体"/>
          <w:color w:val="000000"/>
          <w:sz w:val="18"/>
          <w:szCs w:val="18"/>
          <w:highlight w:val="none"/>
        </w:rPr>
        <w:t>＞</w:t>
      </w:r>
      <w:r>
        <w:rPr>
          <w:rFonts w:hint="eastAsia" w:ascii="宋体" w:hAnsi="宋体" w:eastAsia="宋体" w:cs="宋体"/>
          <w:bCs/>
          <w:color w:val="000000"/>
          <w:szCs w:val="18"/>
          <w:highlight w:val="none"/>
          <w:lang w:val="en-US" w:eastAsia="zh-CN"/>
        </w:rPr>
        <w:t>0.50</w:t>
      </w:r>
      <w:r>
        <w:rPr>
          <w:rFonts w:hint="eastAsia" w:ascii="宋体" w:hAnsi="宋体" w:eastAsia="宋体" w:cs="宋体"/>
          <w:bCs/>
          <w:color w:val="000000"/>
          <w:szCs w:val="18"/>
          <w:highlight w:val="none"/>
        </w:rPr>
        <w:t>%～</w:t>
      </w:r>
      <w:r>
        <w:rPr>
          <w:rFonts w:hint="eastAsia" w:ascii="宋体" w:hAnsi="宋体" w:eastAsia="宋体" w:cs="宋体"/>
          <w:bCs/>
          <w:color w:val="000000"/>
          <w:szCs w:val="18"/>
          <w:highlight w:val="none"/>
          <w:lang w:val="en-US" w:eastAsia="zh-CN"/>
        </w:rPr>
        <w:t>1.50</w:t>
      </w:r>
      <w:r>
        <w:rPr>
          <w:rFonts w:hint="eastAsia" w:ascii="宋体" w:hAnsi="宋体" w:eastAsia="宋体" w:cs="宋体"/>
          <w:bCs/>
          <w:color w:val="000000"/>
          <w:szCs w:val="18"/>
          <w:highlight w:val="none"/>
        </w:rPr>
        <w:t>%</w:t>
      </w:r>
      <w:r>
        <w:rPr>
          <w:rFonts w:hint="eastAsia" w:ascii="宋体" w:hAnsi="宋体" w:eastAsia="宋体" w:cs="宋体"/>
          <w:color w:val="auto"/>
          <w:szCs w:val="21"/>
          <w:highlight w:val="none"/>
          <w:lang w:val="en-US" w:eastAsia="zh-CN"/>
        </w:rPr>
        <w:t>”修改为“</w:t>
      </w:r>
      <w:r>
        <w:rPr>
          <w:rFonts w:hint="eastAsia" w:ascii="宋体" w:hAnsi="宋体" w:eastAsia="宋体" w:cs="宋体"/>
          <w:color w:val="000000"/>
          <w:sz w:val="18"/>
          <w:szCs w:val="18"/>
          <w:highlight w:val="none"/>
        </w:rPr>
        <w:t>＞</w:t>
      </w:r>
      <w:r>
        <w:rPr>
          <w:rFonts w:hint="eastAsia" w:ascii="宋体" w:hAnsi="宋体" w:eastAsia="宋体" w:cs="宋体"/>
          <w:bCs/>
          <w:color w:val="000000"/>
          <w:szCs w:val="18"/>
          <w:highlight w:val="none"/>
          <w:lang w:val="en-US" w:eastAsia="zh-CN"/>
        </w:rPr>
        <w:t>0.0010</w:t>
      </w:r>
      <w:r>
        <w:rPr>
          <w:rFonts w:hint="eastAsia" w:ascii="宋体" w:hAnsi="宋体" w:eastAsia="宋体" w:cs="宋体"/>
          <w:bCs/>
          <w:color w:val="000000"/>
          <w:szCs w:val="18"/>
          <w:highlight w:val="none"/>
        </w:rPr>
        <w:t>%～</w:t>
      </w:r>
      <w:r>
        <w:rPr>
          <w:rFonts w:hint="eastAsia" w:ascii="宋体" w:hAnsi="宋体" w:eastAsia="宋体" w:cs="宋体"/>
          <w:bCs/>
          <w:color w:val="000000"/>
          <w:szCs w:val="18"/>
          <w:highlight w:val="none"/>
          <w:lang w:val="en-US" w:eastAsia="zh-CN"/>
        </w:rPr>
        <w:t>2.00</w:t>
      </w:r>
      <w:r>
        <w:rPr>
          <w:rFonts w:hint="eastAsia" w:ascii="宋体" w:hAnsi="宋体" w:eastAsia="宋体" w:cs="宋体"/>
          <w:bCs/>
          <w:color w:val="000000"/>
          <w:szCs w:val="18"/>
          <w:highlight w:val="none"/>
        </w:rPr>
        <w:t>%</w:t>
      </w:r>
      <w:r>
        <w:rPr>
          <w:rFonts w:hint="eastAsia" w:ascii="宋体" w:hAnsi="宋体" w:eastAsia="宋体" w:cs="宋体"/>
          <w:color w:val="auto"/>
          <w:szCs w:val="21"/>
          <w:highlight w:val="none"/>
          <w:lang w:val="en-US" w:eastAsia="zh-CN"/>
        </w:rPr>
        <w:t>”（见第1章，2008年版的2.1）；</w:t>
      </w:r>
    </w:p>
    <w:p w14:paraId="3A0644CB">
      <w:pPr>
        <w:widowControl/>
        <w:numPr>
          <w:ilvl w:val="0"/>
          <w:numId w:val="7"/>
        </w:numPr>
        <w:autoSpaceDE w:val="0"/>
        <w:autoSpaceDN w:val="0"/>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szCs w:val="21"/>
          <w:highlight w:val="none"/>
          <w:lang w:val="en-US" w:eastAsia="zh-CN"/>
        </w:rPr>
        <w:t>将试样的规定由“试样加工成屑状”、“</w:t>
      </w:r>
      <w:r>
        <w:rPr>
          <w:rFonts w:hint="eastAsia" w:ascii="宋体" w:hAnsi="宋体" w:eastAsia="宋体" w:cs="宋体"/>
          <w:szCs w:val="21"/>
          <w:highlight w:val="none"/>
        </w:rPr>
        <w:t>厚度不大于1mm的碎屑</w:t>
      </w:r>
      <w:r>
        <w:rPr>
          <w:rFonts w:hint="eastAsia" w:ascii="宋体" w:hAnsi="宋体" w:eastAsia="宋体" w:cs="宋体"/>
          <w:szCs w:val="21"/>
          <w:highlight w:val="none"/>
          <w:lang w:val="en-US" w:eastAsia="zh-CN"/>
        </w:rPr>
        <w:t>”修改为“</w:t>
      </w:r>
      <w:r>
        <w:rPr>
          <w:rFonts w:hint="eastAsia" w:ascii="宋体" w:hAnsi="宋体" w:eastAsia="宋体" w:cs="宋体"/>
          <w:szCs w:val="21"/>
          <w:highlight w:val="none"/>
          <w:lang w:eastAsia="zh-CN"/>
        </w:rPr>
        <w:t>按照</w:t>
      </w:r>
      <w:r>
        <w:rPr>
          <w:rFonts w:hint="eastAsia" w:ascii="宋体" w:hAnsi="宋体" w:eastAsia="宋体" w:cs="宋体"/>
          <w:kern w:val="0"/>
          <w:szCs w:val="20"/>
          <w:highlight w:val="none"/>
        </w:rPr>
        <w:t>YS/T 668</w:t>
      </w:r>
      <w:r>
        <w:rPr>
          <w:rFonts w:hint="eastAsia" w:ascii="宋体" w:hAnsi="宋体" w:eastAsia="宋体" w:cs="宋体"/>
          <w:kern w:val="0"/>
          <w:szCs w:val="20"/>
          <w:highlight w:val="none"/>
          <w:lang w:eastAsia="zh-CN"/>
        </w:rPr>
        <w:t>的规定</w:t>
      </w:r>
      <w:r>
        <w:rPr>
          <w:rFonts w:hint="eastAsia" w:ascii="宋体" w:hAnsi="宋体" w:eastAsia="宋体" w:cs="宋体"/>
          <w:szCs w:val="21"/>
          <w:highlight w:val="none"/>
          <w:lang w:eastAsia="zh-CN"/>
        </w:rPr>
        <w:t>将试样加工成</w:t>
      </w:r>
      <w:r>
        <w:rPr>
          <w:rFonts w:hint="eastAsia" w:ascii="宋体" w:hAnsi="宋体" w:eastAsia="宋体" w:cs="宋体"/>
          <w:szCs w:val="21"/>
          <w:highlight w:val="none"/>
        </w:rPr>
        <w:t>厚度不大于1mm的碎屑</w:t>
      </w:r>
      <w:r>
        <w:rPr>
          <w:rFonts w:hint="eastAsia" w:ascii="宋体" w:hAnsi="宋体" w:eastAsia="宋体" w:cs="宋体"/>
          <w:szCs w:val="21"/>
          <w:highlight w:val="none"/>
          <w:lang w:val="en-US" w:eastAsia="zh-CN"/>
        </w:rPr>
        <w:t>”（见4.4，5.4，2008年版1.5，2.5）；</w:t>
      </w:r>
    </w:p>
    <w:p w14:paraId="657F6E2A">
      <w:pPr>
        <w:widowControl/>
        <w:numPr>
          <w:ilvl w:val="0"/>
          <w:numId w:val="7"/>
        </w:numPr>
        <w:autoSpaceDE w:val="0"/>
        <w:autoSpaceDN w:val="0"/>
        <w:ind w:firstLine="420" w:firstLineChars="200"/>
        <w:rPr>
          <w:rFonts w:hint="eastAsia" w:ascii="宋体" w:hAnsi="宋体" w:eastAsia="宋体" w:cs="宋体"/>
          <w:color w:val="auto"/>
          <w:szCs w:val="21"/>
          <w:highlight w:val="none"/>
          <w:lang w:val="en-US" w:eastAsia="zh-CN"/>
        </w:rPr>
      </w:pPr>
      <w:r>
        <w:rPr>
          <w:rFonts w:hint="eastAsia"/>
          <w:lang w:eastAsia="zh-CN"/>
        </w:rPr>
        <w:t>更改了火焰原子吸收光谱法的</w:t>
      </w:r>
      <w:r>
        <w:rPr>
          <w:rFonts w:hint="eastAsia"/>
          <w:lang w:val="en-US" w:eastAsia="zh-CN"/>
        </w:rPr>
        <w:t>试料量</w:t>
      </w:r>
      <w:r>
        <w:rPr>
          <w:rFonts w:hint="eastAsia" w:ascii="宋体" w:hAnsi="宋体" w:cs="宋体"/>
          <w:color w:val="000000"/>
          <w:szCs w:val="21"/>
          <w:lang w:eastAsia="zh-CN"/>
        </w:rPr>
        <w:t>的</w:t>
      </w:r>
      <w:r>
        <w:rPr>
          <w:rFonts w:hint="eastAsia" w:ascii="宋体" w:hAnsi="宋体" w:eastAsia="宋体" w:cs="宋体"/>
          <w:color w:val="000000"/>
          <w:szCs w:val="21"/>
          <w:lang w:eastAsia="zh-CN"/>
        </w:rPr>
        <w:t>规定（见</w:t>
      </w:r>
      <w:r>
        <w:rPr>
          <w:rFonts w:hint="eastAsia" w:ascii="宋体" w:hAnsi="宋体" w:eastAsia="宋体" w:cs="宋体"/>
          <w:color w:val="000000"/>
          <w:szCs w:val="21"/>
          <w:lang w:val="en-US" w:eastAsia="zh-CN"/>
        </w:rPr>
        <w:t>5.5.1,2008年版的2.6.1</w:t>
      </w:r>
      <w:r>
        <w:rPr>
          <w:rFonts w:hint="eastAsia" w:ascii="宋体" w:hAnsi="宋体" w:eastAsia="宋体" w:cs="宋体"/>
          <w:color w:val="000000"/>
          <w:szCs w:val="21"/>
          <w:lang w:eastAsia="zh-CN"/>
        </w:rPr>
        <w:t>）</w:t>
      </w:r>
      <w:r>
        <w:rPr>
          <w:rFonts w:hint="eastAsia" w:ascii="宋体" w:hAnsi="宋体" w:cs="宋体"/>
          <w:color w:val="000000"/>
          <w:szCs w:val="21"/>
          <w:lang w:eastAsia="zh-CN"/>
        </w:rPr>
        <w:t>；</w:t>
      </w:r>
    </w:p>
    <w:p w14:paraId="373CA3AA">
      <w:pPr>
        <w:widowControl/>
        <w:numPr>
          <w:ilvl w:val="0"/>
          <w:numId w:val="7"/>
        </w:numPr>
        <w:autoSpaceDE w:val="0"/>
        <w:autoSpaceDN w:val="0"/>
        <w:ind w:firstLine="420" w:firstLineChars="200"/>
        <w:rPr>
          <w:rFonts w:hint="eastAsia" w:ascii="宋体" w:hAnsi="宋体" w:eastAsia="宋体" w:cs="宋体"/>
          <w:color w:val="auto"/>
          <w:szCs w:val="21"/>
          <w:highlight w:val="none"/>
          <w:lang w:val="en-US" w:eastAsia="zh-CN"/>
        </w:rPr>
      </w:pPr>
      <w:r>
        <w:rPr>
          <w:rFonts w:hint="eastAsia"/>
          <w:lang w:eastAsia="zh-CN"/>
        </w:rPr>
        <w:t>更改了火焰原子吸收光谱法的</w:t>
      </w:r>
      <w:r>
        <w:rPr>
          <w:rFonts w:hint="eastAsia"/>
          <w:lang w:val="en-US" w:eastAsia="zh-CN"/>
        </w:rPr>
        <w:t>试料的溶解方式</w:t>
      </w:r>
      <w:r>
        <w:rPr>
          <w:rFonts w:hint="eastAsia" w:ascii="宋体" w:hAnsi="宋体" w:eastAsia="宋体" w:cs="宋体"/>
          <w:color w:val="000000"/>
          <w:szCs w:val="21"/>
          <w:lang w:eastAsia="zh-CN"/>
        </w:rPr>
        <w:t>（见</w:t>
      </w:r>
      <w:r>
        <w:rPr>
          <w:rFonts w:hint="eastAsia" w:ascii="宋体" w:hAnsi="宋体" w:eastAsia="宋体" w:cs="宋体"/>
          <w:color w:val="000000"/>
          <w:szCs w:val="21"/>
          <w:lang w:val="en-US" w:eastAsia="zh-CN"/>
        </w:rPr>
        <w:t>5.5.</w:t>
      </w:r>
      <w:r>
        <w:rPr>
          <w:rFonts w:hint="eastAsia" w:ascii="宋体" w:hAnsi="宋体" w:cs="宋体"/>
          <w:color w:val="000000"/>
          <w:szCs w:val="21"/>
          <w:lang w:val="en-US" w:eastAsia="zh-CN"/>
        </w:rPr>
        <w:t>4.</w:t>
      </w:r>
      <w:r>
        <w:rPr>
          <w:rFonts w:hint="eastAsia" w:ascii="宋体" w:hAnsi="宋体" w:eastAsia="宋体" w:cs="宋体"/>
          <w:color w:val="000000"/>
          <w:szCs w:val="21"/>
          <w:lang w:val="en-US" w:eastAsia="zh-CN"/>
        </w:rPr>
        <w:t>1,2008年版的2.6.</w:t>
      </w:r>
      <w:r>
        <w:rPr>
          <w:rFonts w:hint="eastAsia" w:ascii="宋体" w:hAnsi="宋体" w:cs="宋体"/>
          <w:color w:val="000000"/>
          <w:szCs w:val="21"/>
          <w:lang w:val="en-US" w:eastAsia="zh-CN"/>
        </w:rPr>
        <w:t>4.1</w:t>
      </w:r>
      <w:r>
        <w:rPr>
          <w:rFonts w:hint="eastAsia" w:ascii="宋体" w:hAnsi="宋体" w:eastAsia="宋体" w:cs="宋体"/>
          <w:color w:val="000000"/>
          <w:szCs w:val="21"/>
          <w:lang w:eastAsia="zh-CN"/>
        </w:rPr>
        <w:t>）</w:t>
      </w:r>
    </w:p>
    <w:p w14:paraId="485E5950">
      <w:pPr>
        <w:widowControl/>
        <w:numPr>
          <w:ilvl w:val="0"/>
          <w:numId w:val="7"/>
        </w:numPr>
        <w:autoSpaceDE w:val="0"/>
        <w:autoSpaceDN w:val="0"/>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更改了火焰原子吸收法</w:t>
      </w:r>
      <w:r>
        <w:rPr>
          <w:rFonts w:hint="eastAsia" w:ascii="宋体" w:hAnsi="宋体" w:eastAsia="宋体" w:cs="宋体"/>
          <w:bCs/>
          <w:color w:val="000000"/>
          <w:szCs w:val="18"/>
          <w:highlight w:val="none"/>
          <w:lang w:val="en-US" w:eastAsia="zh-CN"/>
        </w:rPr>
        <w:t>工作曲线绘制的规定（见5.5.5，2008年版的2.6.5）；</w:t>
      </w:r>
    </w:p>
    <w:p w14:paraId="542CB90F">
      <w:pPr>
        <w:widowControl/>
        <w:numPr>
          <w:ilvl w:val="0"/>
          <w:numId w:val="7"/>
        </w:numPr>
        <w:autoSpaceDE w:val="0"/>
        <w:autoSpaceDN w:val="0"/>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方法二 火焰原子吸收法增加了镉的质量分数为</w:t>
      </w:r>
      <w:r>
        <w:rPr>
          <w:rFonts w:hint="eastAsia" w:ascii="宋体" w:hAnsi="宋体" w:eastAsia="宋体" w:cs="宋体"/>
          <w:color w:val="000000"/>
          <w:sz w:val="18"/>
          <w:szCs w:val="18"/>
          <w:highlight w:val="none"/>
        </w:rPr>
        <w:t>＞</w:t>
      </w:r>
      <w:r>
        <w:rPr>
          <w:rFonts w:hint="eastAsia" w:ascii="宋体" w:hAnsi="宋体" w:eastAsia="宋体" w:cs="宋体"/>
          <w:bCs/>
          <w:color w:val="000000"/>
          <w:szCs w:val="18"/>
          <w:highlight w:val="none"/>
          <w:lang w:val="en-US" w:eastAsia="zh-CN"/>
        </w:rPr>
        <w:t>0.0010</w:t>
      </w:r>
      <w:r>
        <w:rPr>
          <w:rFonts w:hint="eastAsia" w:ascii="宋体" w:hAnsi="宋体" w:eastAsia="宋体" w:cs="宋体"/>
          <w:bCs/>
          <w:color w:val="000000"/>
          <w:szCs w:val="18"/>
          <w:highlight w:val="none"/>
        </w:rPr>
        <w:t>%～</w:t>
      </w:r>
      <w:r>
        <w:rPr>
          <w:rFonts w:hint="eastAsia" w:ascii="宋体" w:hAnsi="宋体" w:eastAsia="宋体" w:cs="宋体"/>
          <w:bCs/>
          <w:color w:val="000000"/>
          <w:szCs w:val="18"/>
          <w:highlight w:val="none"/>
          <w:lang w:val="en-US" w:eastAsia="zh-CN"/>
        </w:rPr>
        <w:t>0.50%及</w:t>
      </w:r>
      <w:r>
        <w:rPr>
          <w:rFonts w:hint="eastAsia" w:ascii="宋体" w:hAnsi="宋体" w:eastAsia="宋体" w:cs="宋体"/>
          <w:color w:val="auto"/>
          <w:szCs w:val="21"/>
          <w:highlight w:val="none"/>
          <w:lang w:val="en-US" w:eastAsia="zh-CN"/>
        </w:rPr>
        <w:t>镉的质量分数为</w:t>
      </w:r>
      <w:r>
        <w:rPr>
          <w:rFonts w:hint="eastAsia" w:ascii="宋体" w:hAnsi="宋体" w:eastAsia="宋体" w:cs="宋体"/>
          <w:color w:val="000000"/>
          <w:sz w:val="18"/>
          <w:szCs w:val="18"/>
          <w:highlight w:val="none"/>
        </w:rPr>
        <w:t>＞</w:t>
      </w:r>
      <w:r>
        <w:rPr>
          <w:rFonts w:hint="eastAsia" w:ascii="宋体" w:hAnsi="宋体" w:eastAsia="宋体" w:cs="宋体"/>
          <w:bCs/>
          <w:color w:val="000000"/>
          <w:szCs w:val="18"/>
          <w:highlight w:val="none"/>
          <w:lang w:val="en-US" w:eastAsia="zh-CN"/>
        </w:rPr>
        <w:t>1.50</w:t>
      </w:r>
      <w:r>
        <w:rPr>
          <w:rFonts w:hint="eastAsia" w:ascii="宋体" w:hAnsi="宋体" w:eastAsia="宋体" w:cs="宋体"/>
          <w:bCs/>
          <w:color w:val="000000"/>
          <w:szCs w:val="18"/>
          <w:highlight w:val="none"/>
        </w:rPr>
        <w:t>%～</w:t>
      </w:r>
      <w:r>
        <w:rPr>
          <w:rFonts w:hint="eastAsia" w:ascii="宋体" w:hAnsi="宋体" w:eastAsia="宋体" w:cs="宋体"/>
          <w:bCs/>
          <w:color w:val="000000"/>
          <w:szCs w:val="18"/>
          <w:highlight w:val="none"/>
          <w:lang w:val="en-US" w:eastAsia="zh-CN"/>
        </w:rPr>
        <w:t>2.00%时重复性限和再现性限的规定（见表5、表6）；</w:t>
      </w:r>
    </w:p>
    <w:p w14:paraId="20568CDC">
      <w:pPr>
        <w:widowControl/>
        <w:numPr>
          <w:ilvl w:val="0"/>
          <w:numId w:val="7"/>
        </w:numPr>
        <w:autoSpaceDE w:val="0"/>
        <w:autoSpaceDN w:val="0"/>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删除了“质量保证和控制”章节（见2008年版的1.9、2.9）；</w:t>
      </w:r>
    </w:p>
    <w:p w14:paraId="6E1924F1">
      <w:pPr>
        <w:numPr>
          <w:ilvl w:val="0"/>
          <w:numId w:val="7"/>
        </w:numPr>
        <w:ind w:firstLine="420" w:firstLineChars="200"/>
        <w:rPr>
          <w:rFonts w:hint="eastAsia" w:ascii="宋体" w:hAnsi="宋体" w:cs="宋体"/>
          <w:color w:val="auto"/>
          <w:szCs w:val="21"/>
          <w:lang w:val="en-US" w:eastAsia="zh-CN"/>
        </w:rPr>
      </w:pPr>
      <w:r>
        <w:rPr>
          <w:rFonts w:hint="eastAsia" w:ascii="宋体" w:hAnsi="宋体" w:eastAsia="宋体" w:cs="宋体"/>
          <w:color w:val="auto"/>
          <w:szCs w:val="21"/>
          <w:highlight w:val="none"/>
          <w:lang w:val="en-US" w:eastAsia="zh-CN"/>
        </w:rPr>
        <w:t>增加了“试验报告”章节（见第7章）。</w:t>
      </w:r>
    </w:p>
    <w:p w14:paraId="075EFE8C">
      <w:pPr>
        <w:pStyle w:val="11"/>
        <w:keepNext w:val="0"/>
        <w:keepLines w:val="0"/>
        <w:pageBreakBefore w:val="0"/>
        <w:numPr>
          <w:ilvl w:val="0"/>
          <w:numId w:val="8"/>
        </w:numPr>
        <w:kinsoku/>
        <w:wordWrap/>
        <w:overflowPunct/>
        <w:topLinePunct w:val="0"/>
        <w:autoSpaceDE/>
        <w:autoSpaceDN/>
        <w:bidi w:val="0"/>
        <w:adjustRightInd/>
        <w:snapToGrid/>
        <w:spacing w:before="0" w:beforeAutospacing="0" w:after="0" w:afterAutospacing="0" w:line="440" w:lineRule="exact"/>
        <w:jc w:val="both"/>
        <w:textAlignment w:val="auto"/>
        <w:rPr>
          <w:rFonts w:hint="eastAsia" w:ascii="黑体" w:eastAsia="黑体" w:cs="Arial"/>
          <w:color w:val="auto"/>
          <w:sz w:val="21"/>
          <w:szCs w:val="21"/>
          <w:lang w:val="en-US" w:eastAsia="zh-CN"/>
        </w:rPr>
      </w:pPr>
      <w:r>
        <w:rPr>
          <w:rFonts w:hint="eastAsia" w:ascii="黑体" w:eastAsia="黑体" w:cs="Arial"/>
          <w:color w:val="auto"/>
          <w:sz w:val="21"/>
          <w:szCs w:val="21"/>
          <w:lang w:val="en-US" w:eastAsia="zh-CN"/>
        </w:rPr>
        <w:t>试验验证分析、综述报告、技术经济论证、预期达到的经济效益、社会效益和生态效益</w:t>
      </w:r>
    </w:p>
    <w:p w14:paraId="4F26B21B">
      <w:pPr>
        <w:pStyle w:val="11"/>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440" w:lineRule="exact"/>
        <w:jc w:val="both"/>
        <w:textAlignment w:val="auto"/>
        <w:rPr>
          <w:rFonts w:hint="eastAsia" w:ascii="黑体" w:eastAsia="黑体" w:cs="Arial"/>
          <w:color w:val="auto"/>
          <w:sz w:val="21"/>
          <w:szCs w:val="21"/>
          <w:lang w:val="en-US" w:eastAsia="zh-CN"/>
        </w:rPr>
      </w:pPr>
      <w:r>
        <w:rPr>
          <w:rFonts w:hint="eastAsia" w:ascii="黑体" w:eastAsia="黑体" w:cs="Arial"/>
          <w:color w:val="auto"/>
          <w:sz w:val="21"/>
          <w:szCs w:val="21"/>
          <w:lang w:val="en-US" w:eastAsia="zh-CN"/>
        </w:rPr>
        <w:t>1、试验验证分析和综述报告</w:t>
      </w:r>
    </w:p>
    <w:p w14:paraId="59C93B44">
      <w:pPr>
        <w:pStyle w:val="3"/>
        <w:numPr>
          <w:ilvl w:val="0"/>
          <w:numId w:val="0"/>
        </w:numPr>
        <w:rPr>
          <w:rFonts w:hint="eastAsia" w:ascii="黑体" w:hAnsi="宋体" w:eastAsia="黑体" w:cs="宋体"/>
          <w:bCs/>
          <w:color w:val="auto"/>
          <w:sz w:val="21"/>
          <w:szCs w:val="21"/>
          <w:lang w:val="en-US" w:eastAsia="zh-CN"/>
        </w:rPr>
      </w:pPr>
      <w:r>
        <w:rPr>
          <w:rFonts w:hint="eastAsia" w:ascii="黑体" w:hAnsi="宋体" w:eastAsia="黑体" w:cs="宋体"/>
          <w:bCs/>
          <w:color w:val="auto"/>
          <w:sz w:val="21"/>
          <w:szCs w:val="21"/>
          <w:lang w:val="en-US" w:eastAsia="zh-CN"/>
        </w:rPr>
        <w:t>（一）项目的必要性阐述</w:t>
      </w:r>
    </w:p>
    <w:p w14:paraId="12DFE7B7">
      <w:pPr>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镉在铜及铜合金金中一般作为镉青铜的主成分元素存在。但是镉元素是一种对人体和环境有害的重金属元素，近年来，随着对人体健康和环境保护越加重视，对铜及铜合金中的镉元素含量也进行了严格的限制。欧盟RohS指令中限定镉含量不得大于100ppm，我国在GB/T 5231-2022中对纯铜、黄铜等几十种牌号均对镉元素进行了限制规定，限值范围一般为0.0010%～0.010%。</w:t>
      </w:r>
    </w:p>
    <w:p w14:paraId="2338E83A">
      <w:pPr>
        <w:pStyle w:val="11"/>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GB/T 5121.22-2008《铜及铜合金化学分析方法 第22部分：镉含量的测定》发布实施于2008年，该标准规定了铜及铜合金中镉含量的测定方法。该标准共有两个方法，分别是一项塞曼效应电热原子吸收光谱法和一项火焰原子吸收光谱法，其中火焰原子吸收光谱法修改采用了ISO 5960：1984，标准的检测范围能够涵盖0.50%～1.50%，因其检测下限较高，已无法满足铜及铜合金T14440、T68370等材料中镉元素的检测需求。方法二修改采用了ISO 5960：1984，该ISO标准检测范围为0.0005%～2.00%，本身可以满足上述牌号材料的检测需求。但GB/T 5121.22-2008采用该标准时国内尚未对材料中镉提出要求，因此仅留下其中一段工作曲线以满足镉青铜的检测需求，也让该标准的两个方法在检测范围上未能衔接上，在0.0010%～0.50%之间留下较大空缺。该方法具备扩展的可行性，对该方法进行修订完善是十分有必要的。</w:t>
      </w:r>
    </w:p>
    <w:p w14:paraId="59365D2D">
      <w:pPr>
        <w:pStyle w:val="3"/>
        <w:numPr>
          <w:ilvl w:val="0"/>
          <w:numId w:val="9"/>
        </w:numPr>
        <w:rPr>
          <w:rFonts w:hint="eastAsia" w:ascii="黑体" w:hAnsi="宋体" w:eastAsia="黑体" w:cs="宋体"/>
          <w:bCs/>
          <w:color w:val="auto"/>
          <w:sz w:val="21"/>
          <w:szCs w:val="21"/>
          <w:lang w:val="en-US" w:eastAsia="zh-CN"/>
        </w:rPr>
      </w:pPr>
      <w:r>
        <w:rPr>
          <w:rFonts w:hint="eastAsia" w:ascii="黑体" w:hAnsi="宋体" w:eastAsia="黑体" w:cs="宋体"/>
          <w:bCs/>
          <w:color w:val="auto"/>
          <w:sz w:val="21"/>
          <w:szCs w:val="21"/>
          <w:lang w:val="en-US" w:eastAsia="zh-CN"/>
        </w:rPr>
        <w:t>项目的可行性阐述</w:t>
      </w:r>
    </w:p>
    <w:p w14:paraId="70753F78">
      <w:pPr>
        <w:pStyle w:val="4"/>
        <w:keepNext w:val="0"/>
        <w:keepLines w:val="0"/>
        <w:pageBreakBefore w:val="0"/>
        <w:widowControl w:val="0"/>
        <w:numPr>
          <w:ilvl w:val="0"/>
          <w:numId w:val="0"/>
        </w:numPr>
        <w:kinsoku/>
        <w:wordWrap/>
        <w:overflowPunct/>
        <w:topLinePunct w:val="0"/>
        <w:autoSpaceDE/>
        <w:autoSpaceDN/>
        <w:bidi w:val="0"/>
        <w:adjustRightInd/>
        <w:snapToGrid/>
        <w:spacing w:before="0" w:after="0" w:line="240" w:lineRule="auto"/>
        <w:ind w:firstLine="420" w:firstLineChars="200"/>
        <w:jc w:val="both"/>
        <w:textAlignment w:val="auto"/>
        <w:rPr>
          <w:rFonts w:hint="eastAsia" w:ascii="宋体" w:hAnsi="宋体" w:cs="宋体"/>
          <w:b w:val="0"/>
          <w:bCs w:val="0"/>
          <w:sz w:val="21"/>
          <w:szCs w:val="21"/>
          <w:lang w:val="en-US" w:eastAsia="zh-CN"/>
        </w:rPr>
      </w:pPr>
      <w:r>
        <w:rPr>
          <w:rFonts w:hint="eastAsia" w:ascii="宋体" w:hAnsi="宋体" w:eastAsia="宋体" w:cs="宋体"/>
          <w:b w:val="0"/>
          <w:bCs w:val="0"/>
          <w:sz w:val="21"/>
          <w:szCs w:val="21"/>
          <w:lang w:val="en-US" w:eastAsia="zh-CN"/>
        </w:rPr>
        <w:t>为了满足</w:t>
      </w:r>
      <w:r>
        <w:rPr>
          <w:rFonts w:hint="eastAsia" w:hAnsi="宋体" w:eastAsia="宋体" w:cs="宋体"/>
          <w:b w:val="0"/>
          <w:bCs w:val="0"/>
          <w:sz w:val="21"/>
          <w:szCs w:val="21"/>
          <w:lang w:val="en-US" w:eastAsia="zh-CN"/>
        </w:rPr>
        <w:t>镉</w:t>
      </w:r>
      <w:r>
        <w:rPr>
          <w:rFonts w:hint="eastAsia" w:ascii="宋体" w:hAnsi="宋体" w:eastAsia="宋体" w:cs="宋体"/>
          <w:b w:val="0"/>
          <w:bCs w:val="0"/>
          <w:sz w:val="21"/>
          <w:szCs w:val="21"/>
          <w:lang w:val="en-US" w:eastAsia="zh-CN"/>
        </w:rPr>
        <w:t>含量的测定需求，本次拟修订方法二的测定范围为0.0010%～2.00%，与原版本标准检测范围能够相衔接，能完全满足国内铜及铜合金产品中镉含量的检测需求。该标准及其外文版的制定，对铜及铜合金产品的生产、研发和贸易有重要的指导意义，也使GB/T 5121系列标准更加完善，增强其实用性和适用范围，发挥国家标准在国内和国际市场上作用，提高我国检测标准水平，具有良好的社会效益。对推动我国铜及铜合金材料的研发、生产和贸易等活动有着重要意义</w:t>
      </w:r>
      <w:r>
        <w:rPr>
          <w:rFonts w:hint="eastAsia" w:ascii="宋体" w:hAnsi="宋体" w:cs="宋体"/>
          <w:b w:val="0"/>
          <w:bCs w:val="0"/>
          <w:sz w:val="21"/>
          <w:szCs w:val="21"/>
          <w:lang w:val="en-US" w:eastAsia="zh-CN"/>
        </w:rPr>
        <w:t>。</w:t>
      </w:r>
    </w:p>
    <w:p w14:paraId="1060CC74">
      <w:pPr>
        <w:pStyle w:val="11"/>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firstLine="420" w:firstLineChars="200"/>
        <w:jc w:val="both"/>
        <w:textAlignment w:val="auto"/>
        <w:rPr>
          <w:rFonts w:hint="eastAsia" w:cs="宋体"/>
          <w:sz w:val="21"/>
          <w:szCs w:val="21"/>
          <w:lang w:val="en-US" w:eastAsia="zh-CN"/>
        </w:rPr>
      </w:pPr>
      <w:r>
        <w:rPr>
          <w:rFonts w:hint="eastAsia" w:cs="宋体"/>
          <w:sz w:val="21"/>
          <w:szCs w:val="21"/>
          <w:lang w:val="en-US" w:eastAsia="zh-CN"/>
        </w:rPr>
        <w:t>起草单位中铝洛阳铜加工有限公司作为国内铜加工行业的领军企业，拥有先进的实验室设备和一支经验丰富的专业技术团队，在铜及铜合金的化学分析领域具有深厚的技术沉淀。编制组在立项前已进行了充分的预研工作，对国内外相关标准方法进行了系统梳理和对比分析，并结合生产实际需求，初步确定了方法的测定范围、关键步骤和预期技术指标。在后续的试验研究过程中，编制组能够利用现有的实验条件，开展包括最佳试验条件优化、干扰元素影响及消除方法）、方法准确度（采用标准样品对照、加标回收率试验）和精密度（进行多梯度试验和不同实验室间的验证）等方面的系统研究。</w:t>
      </w:r>
    </w:p>
    <w:p w14:paraId="4E56DCBA">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lang w:val="en-US" w:eastAsia="zh-CN"/>
        </w:rPr>
      </w:pPr>
      <w:r>
        <w:rPr>
          <w:rFonts w:hint="eastAsia" w:cs="宋体"/>
          <w:sz w:val="21"/>
          <w:szCs w:val="21"/>
          <w:lang w:val="en-US" w:eastAsia="zh-CN"/>
        </w:rPr>
        <w:t>此外，参与本标准制定的还有，洛阳船舶材料研究所(中国船舶重工集团公司第七二五研究所)、浙江省冶金产品质量检验站有限公司、广东省科学院工业分析检测中心、上海有色金属工业技术检测中心有限公司、北矿检测技术有限公司等权威的第三方检测机构。这些单位在铜及铜合金的生产、检验方面拥有丰富的实践经验和完善的检测能力，能够为本标准的验证工作提供多样化的样品来源和数据支持，确保标准方法在不同实验室、不同操作条件下的适用性和可靠性。全国有色金属标准化技术委员会的组织协调和指导，也为标准的顺利制定提供了有力的保障，使得项目在技术路线、试验方案、数据处理等方面能够严格遵循标准化工作的规范和要求。因此，从技术方法的成熟度、研发团队的能力、实验条件的保障以及协作单位的支持等多方面来看，本项目的修订工作具备充分的可行性。</w:t>
      </w:r>
    </w:p>
    <w:p w14:paraId="178BE281">
      <w:pPr>
        <w:pStyle w:val="11"/>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440" w:lineRule="exact"/>
        <w:jc w:val="both"/>
        <w:textAlignment w:val="auto"/>
        <w:rPr>
          <w:rFonts w:hint="eastAsia" w:ascii="黑体" w:eastAsia="黑体" w:cs="Arial"/>
          <w:color w:val="auto"/>
          <w:sz w:val="21"/>
          <w:szCs w:val="21"/>
          <w:lang w:val="en-US" w:eastAsia="zh-CN"/>
        </w:rPr>
      </w:pPr>
      <w:r>
        <w:rPr>
          <w:rFonts w:hint="eastAsia" w:ascii="黑体" w:eastAsia="黑体" w:cs="Arial"/>
          <w:color w:val="auto"/>
          <w:sz w:val="21"/>
          <w:szCs w:val="21"/>
          <w:lang w:val="en-US" w:eastAsia="zh-CN"/>
        </w:rPr>
        <w:t>（三）试验验证分析</w:t>
      </w:r>
    </w:p>
    <w:p w14:paraId="53B3C0EE">
      <w:pPr>
        <w:pStyle w:val="3"/>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编制组编制了试验方案，明确样品的要求、试验方法及步骤，对方法的准确度和精密度进行分析评价。组织验证由</w:t>
      </w:r>
      <w:r>
        <w:rPr>
          <w:rFonts w:hint="eastAsia" w:ascii="宋体" w:hAnsi="宋体" w:eastAsia="宋体" w:cs="宋体"/>
          <w:b w:val="0"/>
          <w:bCs w:val="0"/>
          <w:sz w:val="21"/>
          <w:szCs w:val="21"/>
          <w:lang w:val="en-US" w:eastAsia="zh-CN"/>
        </w:rPr>
        <w:t>中铝洛阳铜加工有限公司负责。</w:t>
      </w:r>
    </w:p>
    <w:p w14:paraId="12666D88">
      <w:pPr>
        <w:pStyle w:val="3"/>
        <w:keepNext w:val="0"/>
        <w:keepLines w:val="0"/>
        <w:pageBreakBefore w:val="0"/>
        <w:numPr>
          <w:ilvl w:val="0"/>
          <w:numId w:val="10"/>
        </w:numPr>
        <w:kinsoku/>
        <w:wordWrap/>
        <w:overflowPunct/>
        <w:topLinePunct w:val="0"/>
        <w:bidi w:val="0"/>
        <w:adjustRightInd/>
        <w:snapToGrid/>
        <w:spacing w:line="240" w:lineRule="auto"/>
        <w:ind w:firstLine="420" w:firstLineChars="200"/>
        <w:textAlignment w:val="auto"/>
        <w:rPr>
          <w:rFonts w:hint="eastAsia"/>
          <w:lang w:val="en-US" w:eastAsia="zh-CN"/>
        </w:rPr>
      </w:pPr>
      <w:r>
        <w:rPr>
          <w:rFonts w:hint="default" w:ascii="黑体" w:hAnsi="黑体" w:eastAsia="黑体" w:cs="黑体"/>
          <w:szCs w:val="21"/>
          <w:lang w:val="en-US" w:eastAsia="zh-CN"/>
        </w:rPr>
        <w:t>方法</w:t>
      </w:r>
      <w:r>
        <w:rPr>
          <w:rFonts w:hint="eastAsia" w:ascii="黑体" w:hAnsi="黑体" w:eastAsia="黑体" w:cs="黑体"/>
          <w:szCs w:val="21"/>
          <w:lang w:val="en-US" w:eastAsia="zh-CN"/>
        </w:rPr>
        <w:t>二</w:t>
      </w:r>
      <w:r>
        <w:rPr>
          <w:rFonts w:hint="default" w:ascii="黑体" w:hAnsi="黑体" w:eastAsia="黑体" w:cs="黑体"/>
          <w:szCs w:val="21"/>
          <w:lang w:val="en-US" w:eastAsia="zh-CN"/>
        </w:rPr>
        <w:t xml:space="preserve">  火焰原子吸收光谱法</w:t>
      </w:r>
    </w:p>
    <w:p w14:paraId="76136247">
      <w:pPr>
        <w:pStyle w:val="4"/>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default" w:ascii="黑体" w:hAnsi="黑体" w:eastAsia="黑体" w:cs="黑体"/>
          <w:szCs w:val="21"/>
          <w:lang w:val="en-US" w:eastAsia="zh-CN"/>
        </w:rPr>
      </w:pPr>
      <w:r>
        <w:rPr>
          <w:rFonts w:hint="eastAsia" w:ascii="黑体" w:hAnsi="黑体" w:eastAsia="黑体" w:cs="黑体"/>
          <w:b w:val="0"/>
          <w:bCs w:val="0"/>
          <w:sz w:val="21"/>
          <w:szCs w:val="21"/>
          <w:highlight w:val="none"/>
          <w:lang w:val="en-US" w:eastAsia="zh-CN"/>
        </w:rPr>
        <w:t>1</w:t>
      </w:r>
      <w:r>
        <w:rPr>
          <w:rFonts w:hint="eastAsia" w:ascii="黑体" w:hAnsi="黑体" w:eastAsia="黑体" w:cs="黑体"/>
          <w:b w:val="0"/>
          <w:bCs w:val="0"/>
          <w:sz w:val="21"/>
          <w:szCs w:val="21"/>
          <w:highlight w:val="none"/>
        </w:rPr>
        <w:t>.</w:t>
      </w:r>
      <w:r>
        <w:rPr>
          <w:rFonts w:hint="eastAsia" w:ascii="黑体" w:hAnsi="黑体" w:eastAsia="黑体" w:cs="黑体"/>
          <w:b w:val="0"/>
          <w:bCs w:val="0"/>
          <w:sz w:val="21"/>
          <w:szCs w:val="21"/>
          <w:highlight w:val="none"/>
          <w:lang w:val="en-US" w:eastAsia="zh-CN"/>
        </w:rPr>
        <w:t>1</w:t>
      </w:r>
      <w:r>
        <w:rPr>
          <w:rFonts w:hint="eastAsia" w:ascii="黑体" w:hAnsi="黑体" w:eastAsia="黑体" w:cs="黑体"/>
          <w:b w:val="0"/>
          <w:bCs w:val="0"/>
          <w:sz w:val="21"/>
          <w:szCs w:val="21"/>
          <w:highlight w:val="none"/>
        </w:rPr>
        <w:t xml:space="preserve"> 仪器最佳工作条件</w:t>
      </w:r>
    </w:p>
    <w:p w14:paraId="6DDBA1F3">
      <w:pPr>
        <w:keepNext w:val="0"/>
        <w:keepLines w:val="0"/>
        <w:pageBreakBefore w:val="0"/>
        <w:kinsoku/>
        <w:wordWrap/>
        <w:overflowPunct/>
        <w:topLinePunct w:val="0"/>
        <w:bidi w:val="0"/>
        <w:snapToGrid/>
        <w:spacing w:line="400" w:lineRule="exact"/>
        <w:ind w:firstLine="420" w:firstLineChars="200"/>
        <w:rPr>
          <w:rFonts w:hint="eastAsia" w:ascii="宋体" w:hAnsi="宋体" w:eastAsia="宋体" w:cs="宋体"/>
          <w:color w:val="000000"/>
          <w:sz w:val="21"/>
          <w:szCs w:val="21"/>
          <w:highlight w:val="none"/>
        </w:rPr>
      </w:pPr>
      <w:r>
        <w:rPr>
          <w:rFonts w:hint="eastAsia" w:ascii="宋体" w:hAnsi="宋体" w:eastAsia="宋体" w:cs="宋体"/>
          <w:sz w:val="21"/>
          <w:szCs w:val="21"/>
          <w:highlight w:val="none"/>
        </w:rPr>
        <w:t>在不同的仪器参数条件下，测定</w:t>
      </w:r>
      <w:r>
        <w:rPr>
          <w:rFonts w:hint="eastAsia" w:ascii="宋体" w:hAnsi="宋体" w:eastAsia="宋体" w:cs="宋体"/>
          <w:sz w:val="21"/>
          <w:szCs w:val="21"/>
          <w:highlight w:val="none"/>
          <w:lang w:val="en-US" w:eastAsia="zh-CN"/>
        </w:rPr>
        <w:t>1.00</w:t>
      </w:r>
      <w:r>
        <w:rPr>
          <w:rFonts w:hint="eastAsia" w:ascii="宋体" w:hAnsi="宋体" w:eastAsia="宋体" w:cs="宋体"/>
          <w:color w:val="000000"/>
          <w:sz w:val="21"/>
          <w:szCs w:val="21"/>
          <w:highlight w:val="none"/>
        </w:rPr>
        <w:t>μg/mL</w:t>
      </w:r>
      <w:r>
        <w:rPr>
          <w:rFonts w:hint="eastAsia" w:ascii="宋体" w:hAnsi="宋体" w:eastAsia="宋体" w:cs="宋体"/>
          <w:color w:val="000000"/>
          <w:sz w:val="21"/>
          <w:szCs w:val="21"/>
          <w:highlight w:val="none"/>
          <w:lang w:eastAsia="zh-CN"/>
        </w:rPr>
        <w:t>镉</w:t>
      </w:r>
      <w:r>
        <w:rPr>
          <w:rFonts w:hint="eastAsia" w:ascii="宋体" w:hAnsi="宋体" w:eastAsia="宋体" w:cs="宋体"/>
          <w:color w:val="000000"/>
          <w:sz w:val="21"/>
          <w:szCs w:val="21"/>
          <w:highlight w:val="none"/>
        </w:rPr>
        <w:t>标准溶液的吸光度，以确定最佳的工作条件。</w:t>
      </w:r>
    </w:p>
    <w:p w14:paraId="5FAD529F">
      <w:pPr>
        <w:keepNext w:val="0"/>
        <w:keepLines w:val="0"/>
        <w:pageBreakBefore w:val="0"/>
        <w:kinsoku/>
        <w:wordWrap/>
        <w:overflowPunct/>
        <w:topLinePunct w:val="0"/>
        <w:bidi w:val="0"/>
        <w:snapToGrid/>
        <w:spacing w:line="400" w:lineRule="exact"/>
        <w:ind w:firstLine="420" w:firstLineChars="200"/>
        <w:rPr>
          <w:rFonts w:hint="default" w:ascii="宋体" w:hAnsi="宋体" w:eastAsia="宋体" w:cs="宋体"/>
          <w:color w:val="000000"/>
          <w:sz w:val="21"/>
          <w:szCs w:val="21"/>
          <w:highlight w:val="none"/>
          <w:lang w:val="en-US" w:eastAsia="zh-CN"/>
        </w:rPr>
      </w:pPr>
      <w:r>
        <w:rPr>
          <w:rFonts w:hint="eastAsia" w:ascii="黑体" w:hAnsi="黑体" w:eastAsia="黑体" w:cs="黑体"/>
          <w:color w:val="000000"/>
          <w:sz w:val="21"/>
          <w:szCs w:val="21"/>
          <w:highlight w:val="none"/>
          <w:lang w:val="en-US" w:eastAsia="zh-CN"/>
        </w:rPr>
        <w:t>1.1.1 中铝洛阳铜加工有限公司试验结果</w:t>
      </w:r>
      <w:r>
        <w:rPr>
          <w:rFonts w:hint="eastAsia" w:ascii="宋体" w:hAnsi="宋体" w:eastAsia="宋体" w:cs="宋体"/>
          <w:color w:val="000000"/>
          <w:sz w:val="21"/>
          <w:szCs w:val="21"/>
          <w:highlight w:val="none"/>
          <w:lang w:val="en-US" w:eastAsia="zh-CN"/>
        </w:rPr>
        <w:t xml:space="preserve"> </w:t>
      </w:r>
    </w:p>
    <w:p w14:paraId="66F9B214">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黑体" w:hAnsi="黑体" w:eastAsia="黑体" w:cs="黑体"/>
          <w:b w:val="0"/>
          <w:bCs w:val="0"/>
          <w:color w:val="auto"/>
          <w:sz w:val="21"/>
          <w:szCs w:val="21"/>
          <w:highlight w:val="none"/>
        </w:rPr>
      </w:pPr>
      <w:r>
        <w:rPr>
          <w:rFonts w:hint="eastAsia" w:ascii="黑体" w:hAnsi="黑体" w:eastAsia="黑体" w:cs="黑体"/>
          <w:b w:val="0"/>
          <w:bCs w:val="0"/>
          <w:color w:val="auto"/>
          <w:sz w:val="21"/>
          <w:szCs w:val="21"/>
          <w:highlight w:val="none"/>
          <w:lang w:val="en-US" w:eastAsia="zh-CN"/>
        </w:rPr>
        <w:t>1</w:t>
      </w:r>
      <w:r>
        <w:rPr>
          <w:rFonts w:hint="eastAsia" w:ascii="黑体" w:hAnsi="黑体" w:eastAsia="黑体" w:cs="黑体"/>
          <w:b w:val="0"/>
          <w:bCs w:val="0"/>
          <w:color w:val="auto"/>
          <w:sz w:val="21"/>
          <w:szCs w:val="21"/>
          <w:highlight w:val="none"/>
        </w:rPr>
        <w:t>.</w:t>
      </w:r>
      <w:r>
        <w:rPr>
          <w:rFonts w:hint="eastAsia" w:ascii="黑体" w:hAnsi="黑体" w:eastAsia="黑体" w:cs="黑体"/>
          <w:b w:val="0"/>
          <w:bCs w:val="0"/>
          <w:color w:val="auto"/>
          <w:sz w:val="21"/>
          <w:szCs w:val="21"/>
          <w:highlight w:val="none"/>
          <w:lang w:val="en-US" w:eastAsia="zh-CN"/>
        </w:rPr>
        <w:t>1</w:t>
      </w:r>
      <w:r>
        <w:rPr>
          <w:rFonts w:hint="eastAsia" w:ascii="黑体" w:hAnsi="黑体" w:eastAsia="黑体" w:cs="黑体"/>
          <w:b w:val="0"/>
          <w:bCs w:val="0"/>
          <w:color w:val="auto"/>
          <w:sz w:val="21"/>
          <w:szCs w:val="21"/>
          <w:highlight w:val="none"/>
        </w:rPr>
        <w:t>.1</w:t>
      </w:r>
      <w:r>
        <w:rPr>
          <w:rFonts w:hint="eastAsia" w:ascii="黑体" w:hAnsi="黑体" w:eastAsia="黑体" w:cs="黑体"/>
          <w:b w:val="0"/>
          <w:bCs w:val="0"/>
          <w:color w:val="auto"/>
          <w:sz w:val="21"/>
          <w:szCs w:val="21"/>
          <w:highlight w:val="none"/>
          <w:lang w:val="en-US" w:eastAsia="zh-CN"/>
        </w:rPr>
        <w:t>.1</w:t>
      </w:r>
      <w:r>
        <w:rPr>
          <w:rFonts w:hint="eastAsia" w:ascii="黑体" w:hAnsi="黑体" w:eastAsia="黑体" w:cs="黑体"/>
          <w:b w:val="0"/>
          <w:bCs w:val="0"/>
          <w:color w:val="auto"/>
          <w:sz w:val="21"/>
          <w:szCs w:val="21"/>
          <w:highlight w:val="none"/>
        </w:rPr>
        <w:t>灯电流的选择</w:t>
      </w:r>
    </w:p>
    <w:p w14:paraId="0D26ED7C">
      <w:pPr>
        <w:keepNext w:val="0"/>
        <w:keepLines w:val="0"/>
        <w:pageBreakBefore w:val="0"/>
        <w:kinsoku/>
        <w:wordWrap/>
        <w:overflowPunct/>
        <w:topLinePunct w:val="0"/>
        <w:bidi w:val="0"/>
        <w:snapToGrid/>
        <w:spacing w:line="400" w:lineRule="exac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 xml:space="preserve">   </w:t>
      </w:r>
      <w:r>
        <w:rPr>
          <w:rFonts w:hint="eastAsia" w:ascii="宋体" w:hAnsi="宋体" w:eastAsia="宋体" w:cs="宋体"/>
          <w:color w:val="auto"/>
          <w:sz w:val="21"/>
          <w:szCs w:val="21"/>
          <w:highlight w:val="none"/>
        </w:rPr>
        <w:t>固定燃烧器高度</w:t>
      </w:r>
      <w:r>
        <w:rPr>
          <w:rFonts w:hint="eastAsia" w:ascii="宋体" w:hAnsi="宋体" w:eastAsia="宋体" w:cs="宋体"/>
          <w:color w:val="auto"/>
          <w:sz w:val="21"/>
          <w:szCs w:val="21"/>
          <w:highlight w:val="none"/>
          <w:lang w:val="en-US" w:eastAsia="zh-CN"/>
        </w:rPr>
        <w:t>5.0</w:t>
      </w:r>
      <w:r>
        <w:rPr>
          <w:rFonts w:hint="eastAsia" w:ascii="宋体" w:hAnsi="宋体" w:eastAsia="宋体" w:cs="宋体"/>
          <w:color w:val="auto"/>
          <w:sz w:val="21"/>
          <w:szCs w:val="21"/>
          <w:highlight w:val="none"/>
        </w:rPr>
        <w:t>mm、狭缝宽度0.4</w:t>
      </w:r>
      <w:r>
        <w:rPr>
          <w:rFonts w:hint="eastAsia" w:ascii="宋体" w:hAnsi="宋体" w:eastAsia="宋体" w:cs="宋体"/>
          <w:color w:val="auto"/>
          <w:sz w:val="21"/>
          <w:szCs w:val="21"/>
          <w:highlight w:val="none"/>
          <w:lang w:val="en-US" w:eastAsia="zh-CN"/>
        </w:rPr>
        <w:t>nm</w:t>
      </w:r>
      <w:r>
        <w:rPr>
          <w:rFonts w:hint="eastAsia" w:ascii="宋体" w:hAnsi="宋体" w:eastAsia="宋体" w:cs="宋体"/>
          <w:color w:val="auto"/>
          <w:sz w:val="21"/>
          <w:szCs w:val="21"/>
          <w:highlight w:val="none"/>
        </w:rPr>
        <w:t>、乙炔流量1</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00 mL/min，改变灯电流，测量吸光度，结果见表</w:t>
      </w:r>
      <w:r>
        <w:rPr>
          <w:rFonts w:hint="eastAsia" w:ascii="宋体" w:hAnsi="宋体" w:eastAsia="宋体" w:cs="宋体"/>
          <w:color w:val="auto"/>
          <w:sz w:val="21"/>
          <w:szCs w:val="21"/>
          <w:highlight w:val="none"/>
          <w:lang w:val="en-US" w:eastAsia="zh-CN"/>
        </w:rPr>
        <w:t>3-1</w:t>
      </w:r>
      <w:r>
        <w:rPr>
          <w:rFonts w:hint="eastAsia" w:ascii="宋体" w:hAnsi="宋体" w:eastAsia="宋体" w:cs="宋体"/>
          <w:color w:val="auto"/>
          <w:sz w:val="21"/>
          <w:szCs w:val="21"/>
          <w:highlight w:val="none"/>
        </w:rPr>
        <w:t>。</w:t>
      </w:r>
    </w:p>
    <w:p w14:paraId="6D32F085">
      <w:pPr>
        <w:keepNext w:val="0"/>
        <w:keepLines w:val="0"/>
        <w:pageBreakBefore w:val="0"/>
        <w:kinsoku/>
        <w:wordWrap/>
        <w:overflowPunct/>
        <w:topLinePunct w:val="0"/>
        <w:bidi w:val="0"/>
        <w:snapToGrid/>
        <w:spacing w:line="400" w:lineRule="exact"/>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表</w:t>
      </w:r>
      <w:r>
        <w:rPr>
          <w:rFonts w:hint="eastAsia" w:ascii="宋体" w:hAnsi="宋体" w:eastAsia="宋体" w:cs="宋体"/>
          <w:b w:val="0"/>
          <w:bCs w:val="0"/>
          <w:color w:val="auto"/>
          <w:sz w:val="21"/>
          <w:szCs w:val="21"/>
          <w:highlight w:val="none"/>
          <w:lang w:val="en-US" w:eastAsia="zh-CN"/>
        </w:rPr>
        <w:t>3-1</w:t>
      </w:r>
      <w:r>
        <w:rPr>
          <w:rFonts w:hint="eastAsia" w:ascii="宋体" w:hAnsi="宋体" w:eastAsia="宋体" w:cs="宋体"/>
          <w:b w:val="0"/>
          <w:bCs w:val="0"/>
          <w:color w:val="auto"/>
          <w:sz w:val="21"/>
          <w:szCs w:val="21"/>
          <w:highlight w:val="none"/>
        </w:rPr>
        <w:t xml:space="preserve"> 灯电流的选择</w:t>
      </w:r>
    </w:p>
    <w:tbl>
      <w:tblPr>
        <w:tblStyle w:val="12"/>
        <w:tblW w:w="5000"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5"/>
        <w:gridCol w:w="1423"/>
        <w:gridCol w:w="1423"/>
        <w:gridCol w:w="1423"/>
        <w:gridCol w:w="1424"/>
        <w:gridCol w:w="1424"/>
      </w:tblGrid>
      <w:tr w14:paraId="0E3CE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3" w:type="dxa"/>
            <w:vAlign w:val="center"/>
          </w:tcPr>
          <w:p w14:paraId="63C8746E">
            <w:pPr>
              <w:keepNext w:val="0"/>
              <w:keepLines w:val="0"/>
              <w:pageBreakBefore w:val="0"/>
              <w:kinsoku/>
              <w:wordWrap/>
              <w:overflowPunct/>
              <w:topLinePunct w:val="0"/>
              <w:bidi w:val="0"/>
              <w:snapToGrid/>
              <w:spacing w:line="400" w:lineRule="exact"/>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灯电流</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mA</w:t>
            </w:r>
            <w:r>
              <w:rPr>
                <w:rFonts w:hint="eastAsia" w:ascii="宋体" w:hAnsi="宋体" w:eastAsia="宋体" w:cs="宋体"/>
                <w:b w:val="0"/>
                <w:bCs w:val="0"/>
                <w:color w:val="auto"/>
                <w:sz w:val="21"/>
                <w:szCs w:val="21"/>
                <w:highlight w:val="none"/>
                <w:lang w:eastAsia="zh-CN"/>
              </w:rPr>
              <w:t>）</w:t>
            </w:r>
          </w:p>
        </w:tc>
        <w:tc>
          <w:tcPr>
            <w:tcW w:w="833" w:type="dxa"/>
            <w:vAlign w:val="center"/>
          </w:tcPr>
          <w:p w14:paraId="07A31CB7">
            <w:pPr>
              <w:keepNext w:val="0"/>
              <w:keepLines w:val="0"/>
              <w:pageBreakBefore w:val="0"/>
              <w:kinsoku/>
              <w:wordWrap/>
              <w:overflowPunct/>
              <w:topLinePunct w:val="0"/>
              <w:bidi w:val="0"/>
              <w:snapToGrid/>
              <w:spacing w:line="400" w:lineRule="exact"/>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1.0</w:t>
            </w:r>
          </w:p>
        </w:tc>
        <w:tc>
          <w:tcPr>
            <w:tcW w:w="833" w:type="dxa"/>
            <w:vAlign w:val="center"/>
          </w:tcPr>
          <w:p w14:paraId="4BDF0045">
            <w:pPr>
              <w:keepNext w:val="0"/>
              <w:keepLines w:val="0"/>
              <w:pageBreakBefore w:val="0"/>
              <w:kinsoku/>
              <w:wordWrap/>
              <w:overflowPunct/>
              <w:topLinePunct w:val="0"/>
              <w:bidi w:val="0"/>
              <w:snapToGrid/>
              <w:spacing w:line="400" w:lineRule="exact"/>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1.5</w:t>
            </w:r>
          </w:p>
        </w:tc>
        <w:tc>
          <w:tcPr>
            <w:tcW w:w="833" w:type="dxa"/>
            <w:vAlign w:val="center"/>
          </w:tcPr>
          <w:p w14:paraId="2982BE53">
            <w:pPr>
              <w:keepNext w:val="0"/>
              <w:keepLines w:val="0"/>
              <w:pageBreakBefore w:val="0"/>
              <w:kinsoku/>
              <w:wordWrap/>
              <w:overflowPunct/>
              <w:topLinePunct w:val="0"/>
              <w:bidi w:val="0"/>
              <w:snapToGrid/>
              <w:spacing w:line="400" w:lineRule="exact"/>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2.0</w:t>
            </w:r>
          </w:p>
        </w:tc>
        <w:tc>
          <w:tcPr>
            <w:tcW w:w="834" w:type="dxa"/>
            <w:vAlign w:val="center"/>
          </w:tcPr>
          <w:p w14:paraId="49FCD2BA">
            <w:pPr>
              <w:keepNext w:val="0"/>
              <w:keepLines w:val="0"/>
              <w:pageBreakBefore w:val="0"/>
              <w:kinsoku/>
              <w:wordWrap/>
              <w:overflowPunct/>
              <w:topLinePunct w:val="0"/>
              <w:bidi w:val="0"/>
              <w:snapToGrid/>
              <w:spacing w:line="400" w:lineRule="exact"/>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2.5</w:t>
            </w:r>
          </w:p>
        </w:tc>
        <w:tc>
          <w:tcPr>
            <w:tcW w:w="834" w:type="dxa"/>
            <w:vAlign w:val="center"/>
          </w:tcPr>
          <w:p w14:paraId="44955568">
            <w:pPr>
              <w:keepNext w:val="0"/>
              <w:keepLines w:val="0"/>
              <w:pageBreakBefore w:val="0"/>
              <w:kinsoku/>
              <w:wordWrap/>
              <w:overflowPunct/>
              <w:topLinePunct w:val="0"/>
              <w:bidi w:val="0"/>
              <w:snapToGrid/>
              <w:spacing w:line="400" w:lineRule="exact"/>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3.0</w:t>
            </w:r>
          </w:p>
        </w:tc>
      </w:tr>
      <w:tr w14:paraId="6F193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3" w:type="dxa"/>
            <w:vAlign w:val="center"/>
          </w:tcPr>
          <w:p w14:paraId="7708B21D">
            <w:pPr>
              <w:keepNext w:val="0"/>
              <w:keepLines w:val="0"/>
              <w:pageBreakBefore w:val="0"/>
              <w:kinsoku/>
              <w:wordWrap/>
              <w:overflowPunct/>
              <w:topLinePunct w:val="0"/>
              <w:bidi w:val="0"/>
              <w:snapToGrid/>
              <w:spacing w:line="400" w:lineRule="exact"/>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吸光度</w:t>
            </w:r>
            <w:r>
              <w:rPr>
                <w:rFonts w:hint="eastAsia" w:ascii="宋体" w:hAnsi="宋体" w:eastAsia="宋体" w:cs="宋体"/>
                <w:b w:val="0"/>
                <w:bCs w:val="0"/>
                <w:color w:val="auto"/>
                <w:sz w:val="21"/>
                <w:szCs w:val="21"/>
                <w:highlight w:val="none"/>
                <w:lang w:val="en-US" w:eastAsia="zh-CN"/>
              </w:rPr>
              <w:t xml:space="preserve"> </w:t>
            </w:r>
            <w:r>
              <w:rPr>
                <w:rFonts w:hint="eastAsia" w:ascii="宋体" w:hAnsi="宋体" w:eastAsia="宋体" w:cs="宋体"/>
                <w:b w:val="0"/>
                <w:bCs w:val="0"/>
                <w:i/>
                <w:iCs/>
                <w:color w:val="auto"/>
                <w:sz w:val="21"/>
                <w:szCs w:val="21"/>
                <w:highlight w:val="none"/>
                <w:lang w:val="en-US" w:eastAsia="zh-CN"/>
              </w:rPr>
              <w:t>A</w:t>
            </w:r>
          </w:p>
        </w:tc>
        <w:tc>
          <w:tcPr>
            <w:tcW w:w="833" w:type="dxa"/>
            <w:vAlign w:val="center"/>
          </w:tcPr>
          <w:p w14:paraId="7CF3B23A">
            <w:pPr>
              <w:keepNext w:val="0"/>
              <w:keepLines w:val="0"/>
              <w:pageBreakBefore w:val="0"/>
              <w:kinsoku/>
              <w:wordWrap/>
              <w:overflowPunct/>
              <w:topLinePunct w:val="0"/>
              <w:bidi w:val="0"/>
              <w:snapToGrid/>
              <w:spacing w:line="400" w:lineRule="exact"/>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0.337</w:t>
            </w:r>
          </w:p>
        </w:tc>
        <w:tc>
          <w:tcPr>
            <w:tcW w:w="833" w:type="dxa"/>
            <w:vAlign w:val="center"/>
          </w:tcPr>
          <w:p w14:paraId="3DDA7D4A">
            <w:pPr>
              <w:keepNext w:val="0"/>
              <w:keepLines w:val="0"/>
              <w:pageBreakBefore w:val="0"/>
              <w:kinsoku/>
              <w:wordWrap/>
              <w:overflowPunct/>
              <w:topLinePunct w:val="0"/>
              <w:bidi w:val="0"/>
              <w:snapToGrid/>
              <w:spacing w:line="400" w:lineRule="exact"/>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0.275</w:t>
            </w:r>
          </w:p>
        </w:tc>
        <w:tc>
          <w:tcPr>
            <w:tcW w:w="833" w:type="dxa"/>
            <w:vAlign w:val="center"/>
          </w:tcPr>
          <w:p w14:paraId="6C55FFC6">
            <w:pPr>
              <w:keepNext w:val="0"/>
              <w:keepLines w:val="0"/>
              <w:pageBreakBefore w:val="0"/>
              <w:kinsoku/>
              <w:wordWrap/>
              <w:overflowPunct/>
              <w:topLinePunct w:val="0"/>
              <w:bidi w:val="0"/>
              <w:snapToGrid/>
              <w:spacing w:line="400" w:lineRule="exact"/>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0.233</w:t>
            </w:r>
          </w:p>
        </w:tc>
        <w:tc>
          <w:tcPr>
            <w:tcW w:w="834" w:type="dxa"/>
            <w:vAlign w:val="center"/>
          </w:tcPr>
          <w:p w14:paraId="6DE9A7EF">
            <w:pPr>
              <w:keepNext w:val="0"/>
              <w:keepLines w:val="0"/>
              <w:pageBreakBefore w:val="0"/>
              <w:kinsoku/>
              <w:wordWrap/>
              <w:overflowPunct/>
              <w:topLinePunct w:val="0"/>
              <w:bidi w:val="0"/>
              <w:snapToGrid/>
              <w:spacing w:line="400" w:lineRule="exact"/>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0.158</w:t>
            </w:r>
          </w:p>
        </w:tc>
        <w:tc>
          <w:tcPr>
            <w:tcW w:w="834" w:type="dxa"/>
            <w:vAlign w:val="center"/>
          </w:tcPr>
          <w:p w14:paraId="4EBB42E6">
            <w:pPr>
              <w:keepNext w:val="0"/>
              <w:keepLines w:val="0"/>
              <w:pageBreakBefore w:val="0"/>
              <w:kinsoku/>
              <w:wordWrap/>
              <w:overflowPunct/>
              <w:topLinePunct w:val="0"/>
              <w:bidi w:val="0"/>
              <w:snapToGrid/>
              <w:spacing w:line="400" w:lineRule="exact"/>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0</w:t>
            </w:r>
          </w:p>
        </w:tc>
      </w:tr>
    </w:tbl>
    <w:p w14:paraId="41806D29">
      <w:pPr>
        <w:keepNext w:val="0"/>
        <w:keepLines w:val="0"/>
        <w:pageBreakBefore w:val="0"/>
        <w:kinsoku/>
        <w:wordWrap/>
        <w:overflowPunct/>
        <w:topLinePunct w:val="0"/>
        <w:bidi w:val="0"/>
        <w:snapToGrid/>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灯电流为2.0 mA时，稳定性</w:t>
      </w:r>
      <w:r>
        <w:rPr>
          <w:rFonts w:hint="eastAsia" w:ascii="宋体" w:hAnsi="宋体" w:eastAsia="宋体" w:cs="宋体"/>
          <w:color w:val="auto"/>
          <w:sz w:val="21"/>
          <w:szCs w:val="21"/>
          <w:highlight w:val="none"/>
          <w:lang w:eastAsia="zh-CN"/>
        </w:rPr>
        <w:t>较</w:t>
      </w:r>
      <w:r>
        <w:rPr>
          <w:rFonts w:hint="eastAsia" w:ascii="宋体" w:hAnsi="宋体" w:eastAsia="宋体" w:cs="宋体"/>
          <w:color w:val="auto"/>
          <w:sz w:val="21"/>
          <w:szCs w:val="21"/>
          <w:highlight w:val="none"/>
        </w:rPr>
        <w:t>高，且灵敏度满足方法测定下限的要求。综合考虑，最终试验选择灯电流2.0 mA为试验电流。</w:t>
      </w:r>
    </w:p>
    <w:p w14:paraId="0D3B0071">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黑体" w:hAnsi="黑体" w:eastAsia="黑体" w:cs="黑体"/>
          <w:b w:val="0"/>
          <w:bCs w:val="0"/>
          <w:color w:val="auto"/>
          <w:sz w:val="21"/>
          <w:szCs w:val="21"/>
          <w:highlight w:val="none"/>
        </w:rPr>
      </w:pPr>
      <w:r>
        <w:rPr>
          <w:rFonts w:hint="eastAsia" w:ascii="黑体" w:hAnsi="黑体" w:eastAsia="黑体" w:cs="黑体"/>
          <w:b w:val="0"/>
          <w:bCs w:val="0"/>
          <w:color w:val="auto"/>
          <w:sz w:val="21"/>
          <w:szCs w:val="21"/>
          <w:highlight w:val="none"/>
          <w:lang w:val="en-US" w:eastAsia="zh-CN"/>
        </w:rPr>
        <w:t>1.1</w:t>
      </w:r>
      <w:r>
        <w:rPr>
          <w:rFonts w:hint="eastAsia" w:ascii="黑体" w:hAnsi="黑体" w:eastAsia="黑体" w:cs="黑体"/>
          <w:b w:val="0"/>
          <w:bCs w:val="0"/>
          <w:color w:val="auto"/>
          <w:sz w:val="21"/>
          <w:szCs w:val="21"/>
          <w:highlight w:val="none"/>
        </w:rPr>
        <w:t>.</w:t>
      </w:r>
      <w:r>
        <w:rPr>
          <w:rFonts w:hint="eastAsia" w:ascii="黑体" w:hAnsi="黑体" w:eastAsia="黑体" w:cs="黑体"/>
          <w:b w:val="0"/>
          <w:bCs w:val="0"/>
          <w:color w:val="auto"/>
          <w:sz w:val="21"/>
          <w:szCs w:val="21"/>
          <w:highlight w:val="none"/>
          <w:lang w:val="en-US" w:eastAsia="zh-CN"/>
        </w:rPr>
        <w:t>1</w:t>
      </w:r>
      <w:r>
        <w:rPr>
          <w:rFonts w:hint="eastAsia" w:ascii="黑体" w:hAnsi="黑体" w:eastAsia="黑体" w:cs="黑体"/>
          <w:b w:val="0"/>
          <w:bCs w:val="0"/>
          <w:color w:val="auto"/>
          <w:sz w:val="21"/>
          <w:szCs w:val="21"/>
          <w:highlight w:val="none"/>
        </w:rPr>
        <w:t>.2 燃烧器高度的选择</w:t>
      </w:r>
    </w:p>
    <w:p w14:paraId="6B19DEB7">
      <w:pPr>
        <w:keepNext w:val="0"/>
        <w:keepLines w:val="0"/>
        <w:pageBreakBefore w:val="0"/>
        <w:kinsoku/>
        <w:wordWrap/>
        <w:overflowPunct/>
        <w:topLinePunct w:val="0"/>
        <w:bidi w:val="0"/>
        <w:snapToGrid/>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固定灯电流2.0 mA、狭缝宽度0.4 </w:t>
      </w:r>
      <w:r>
        <w:rPr>
          <w:rFonts w:hint="eastAsia" w:ascii="宋体" w:hAnsi="宋体" w:eastAsia="宋体" w:cs="宋体"/>
          <w:color w:val="auto"/>
          <w:sz w:val="21"/>
          <w:szCs w:val="21"/>
          <w:highlight w:val="none"/>
          <w:lang w:val="en-US" w:eastAsia="zh-CN"/>
        </w:rPr>
        <w:t>nm</w:t>
      </w:r>
      <w:r>
        <w:rPr>
          <w:rFonts w:hint="eastAsia" w:ascii="宋体" w:hAnsi="宋体" w:eastAsia="宋体" w:cs="宋体"/>
          <w:color w:val="auto"/>
          <w:sz w:val="21"/>
          <w:szCs w:val="21"/>
          <w:highlight w:val="none"/>
        </w:rPr>
        <w:t>、乙炔流量1</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00 mL/min，改变燃烧器高度，测量吸光度，结果见表3</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w:t>
      </w:r>
    </w:p>
    <w:p w14:paraId="05FC86AE">
      <w:pPr>
        <w:keepNext w:val="0"/>
        <w:keepLines w:val="0"/>
        <w:pageBreakBefore w:val="0"/>
        <w:kinsoku/>
        <w:wordWrap/>
        <w:overflowPunct/>
        <w:topLinePunct w:val="0"/>
        <w:bidi w:val="0"/>
        <w:snapToGrid/>
        <w:spacing w:line="400" w:lineRule="exact"/>
        <w:ind w:firstLine="420" w:firstLineChars="200"/>
        <w:rPr>
          <w:rFonts w:hint="eastAsia" w:ascii="宋体" w:hAnsi="宋体" w:eastAsia="宋体" w:cs="宋体"/>
          <w:color w:val="auto"/>
          <w:sz w:val="21"/>
          <w:szCs w:val="21"/>
          <w:highlight w:val="none"/>
        </w:rPr>
      </w:pPr>
    </w:p>
    <w:p w14:paraId="4F789B08">
      <w:pPr>
        <w:keepNext w:val="0"/>
        <w:keepLines w:val="0"/>
        <w:pageBreakBefore w:val="0"/>
        <w:kinsoku/>
        <w:wordWrap/>
        <w:overflowPunct/>
        <w:topLinePunct w:val="0"/>
        <w:bidi w:val="0"/>
        <w:snapToGrid/>
        <w:spacing w:line="400" w:lineRule="exact"/>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表3</w:t>
      </w:r>
      <w:r>
        <w:rPr>
          <w:rFonts w:hint="eastAsia" w:ascii="宋体" w:hAnsi="宋体" w:eastAsia="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rPr>
        <w:t xml:space="preserve"> 燃烧器高度的选择</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44"/>
        <w:gridCol w:w="1105"/>
        <w:gridCol w:w="1248"/>
        <w:gridCol w:w="1249"/>
        <w:gridCol w:w="1249"/>
        <w:gridCol w:w="1249"/>
      </w:tblGrid>
      <w:tr w14:paraId="2B376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844" w:type="dxa"/>
            <w:vAlign w:val="center"/>
          </w:tcPr>
          <w:p w14:paraId="289E9B9C">
            <w:pPr>
              <w:keepNext w:val="0"/>
              <w:keepLines w:val="0"/>
              <w:pageBreakBefore w:val="0"/>
              <w:kinsoku/>
              <w:wordWrap/>
              <w:overflowPunct/>
              <w:topLinePunct w:val="0"/>
              <w:bidi w:val="0"/>
              <w:snapToGrid/>
              <w:spacing w:line="240" w:lineRule="auto"/>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燃烧器</w:t>
            </w:r>
            <w:r>
              <w:rPr>
                <w:rFonts w:hint="eastAsia" w:ascii="宋体" w:hAnsi="宋体" w:eastAsia="宋体" w:cs="宋体"/>
                <w:b w:val="0"/>
                <w:bCs w:val="0"/>
                <w:color w:val="auto"/>
                <w:sz w:val="21"/>
                <w:szCs w:val="21"/>
                <w:highlight w:val="none"/>
                <w:lang w:eastAsia="zh-CN"/>
              </w:rPr>
              <w:t>高度（</w:t>
            </w:r>
            <w:r>
              <w:rPr>
                <w:rFonts w:hint="eastAsia" w:ascii="宋体" w:hAnsi="宋体" w:eastAsia="宋体" w:cs="宋体"/>
                <w:b w:val="0"/>
                <w:bCs w:val="0"/>
                <w:color w:val="auto"/>
                <w:sz w:val="21"/>
                <w:szCs w:val="21"/>
                <w:highlight w:val="none"/>
              </w:rPr>
              <w:t>mm</w:t>
            </w:r>
            <w:r>
              <w:rPr>
                <w:rFonts w:hint="eastAsia" w:ascii="宋体" w:hAnsi="宋体" w:eastAsia="宋体" w:cs="宋体"/>
                <w:b w:val="0"/>
                <w:bCs w:val="0"/>
                <w:color w:val="auto"/>
                <w:sz w:val="21"/>
                <w:szCs w:val="21"/>
                <w:highlight w:val="none"/>
                <w:lang w:eastAsia="zh-CN"/>
              </w:rPr>
              <w:t>）</w:t>
            </w:r>
          </w:p>
        </w:tc>
        <w:tc>
          <w:tcPr>
            <w:tcW w:w="1105" w:type="dxa"/>
            <w:vAlign w:val="center"/>
          </w:tcPr>
          <w:p w14:paraId="76070935">
            <w:pPr>
              <w:keepNext w:val="0"/>
              <w:keepLines w:val="0"/>
              <w:pageBreakBefore w:val="0"/>
              <w:kinsoku/>
              <w:wordWrap/>
              <w:overflowPunct/>
              <w:topLinePunct w:val="0"/>
              <w:bidi w:val="0"/>
              <w:snapToGrid/>
              <w:spacing w:line="400" w:lineRule="exact"/>
              <w:jc w:val="center"/>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3</w:t>
            </w:r>
          </w:p>
        </w:tc>
        <w:tc>
          <w:tcPr>
            <w:tcW w:w="1248" w:type="dxa"/>
            <w:vAlign w:val="center"/>
          </w:tcPr>
          <w:p w14:paraId="68921142">
            <w:pPr>
              <w:keepNext w:val="0"/>
              <w:keepLines w:val="0"/>
              <w:pageBreakBefore w:val="0"/>
              <w:kinsoku/>
              <w:wordWrap/>
              <w:overflowPunct/>
              <w:topLinePunct w:val="0"/>
              <w:bidi w:val="0"/>
              <w:snapToGrid/>
              <w:spacing w:line="400" w:lineRule="exact"/>
              <w:jc w:val="center"/>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4</w:t>
            </w:r>
          </w:p>
        </w:tc>
        <w:tc>
          <w:tcPr>
            <w:tcW w:w="1249" w:type="dxa"/>
            <w:vAlign w:val="center"/>
          </w:tcPr>
          <w:p w14:paraId="3E3D9DE3">
            <w:pPr>
              <w:keepNext w:val="0"/>
              <w:keepLines w:val="0"/>
              <w:pageBreakBefore w:val="0"/>
              <w:kinsoku/>
              <w:wordWrap/>
              <w:overflowPunct/>
              <w:topLinePunct w:val="0"/>
              <w:bidi w:val="0"/>
              <w:snapToGrid/>
              <w:spacing w:line="400" w:lineRule="exact"/>
              <w:jc w:val="center"/>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5</w:t>
            </w:r>
          </w:p>
        </w:tc>
        <w:tc>
          <w:tcPr>
            <w:tcW w:w="1249" w:type="dxa"/>
            <w:vAlign w:val="center"/>
          </w:tcPr>
          <w:p w14:paraId="39DCD4CF">
            <w:pPr>
              <w:keepNext w:val="0"/>
              <w:keepLines w:val="0"/>
              <w:pageBreakBefore w:val="0"/>
              <w:kinsoku/>
              <w:wordWrap/>
              <w:overflowPunct/>
              <w:topLinePunct w:val="0"/>
              <w:bidi w:val="0"/>
              <w:snapToGrid/>
              <w:spacing w:line="400" w:lineRule="exact"/>
              <w:jc w:val="center"/>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6</w:t>
            </w:r>
          </w:p>
        </w:tc>
        <w:tc>
          <w:tcPr>
            <w:tcW w:w="1249" w:type="dxa"/>
            <w:vAlign w:val="center"/>
          </w:tcPr>
          <w:p w14:paraId="2CA88A2F">
            <w:pPr>
              <w:keepNext w:val="0"/>
              <w:keepLines w:val="0"/>
              <w:pageBreakBefore w:val="0"/>
              <w:kinsoku/>
              <w:wordWrap/>
              <w:overflowPunct/>
              <w:topLinePunct w:val="0"/>
              <w:bidi w:val="0"/>
              <w:snapToGrid/>
              <w:spacing w:line="400" w:lineRule="exact"/>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7</w:t>
            </w:r>
          </w:p>
        </w:tc>
      </w:tr>
      <w:tr w14:paraId="64B61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44" w:type="dxa"/>
            <w:vAlign w:val="center"/>
          </w:tcPr>
          <w:p w14:paraId="30748F18">
            <w:pPr>
              <w:keepNext w:val="0"/>
              <w:keepLines w:val="0"/>
              <w:pageBreakBefore w:val="0"/>
              <w:kinsoku/>
              <w:wordWrap/>
              <w:overflowPunct/>
              <w:topLinePunct w:val="0"/>
              <w:bidi w:val="0"/>
              <w:snapToGrid/>
              <w:spacing w:line="400" w:lineRule="exact"/>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吸光度</w:t>
            </w:r>
            <w:r>
              <w:rPr>
                <w:rFonts w:hint="eastAsia" w:ascii="宋体" w:hAnsi="宋体" w:eastAsia="宋体" w:cs="宋体"/>
                <w:b w:val="0"/>
                <w:bCs w:val="0"/>
                <w:color w:val="auto"/>
                <w:sz w:val="21"/>
                <w:szCs w:val="21"/>
                <w:highlight w:val="none"/>
                <w:lang w:val="en-US" w:eastAsia="zh-CN"/>
              </w:rPr>
              <w:t xml:space="preserve"> </w:t>
            </w:r>
            <w:r>
              <w:rPr>
                <w:rFonts w:hint="eastAsia" w:ascii="宋体" w:hAnsi="宋体" w:eastAsia="宋体" w:cs="宋体"/>
                <w:b w:val="0"/>
                <w:bCs w:val="0"/>
                <w:i/>
                <w:iCs/>
                <w:color w:val="auto"/>
                <w:sz w:val="21"/>
                <w:szCs w:val="21"/>
                <w:highlight w:val="none"/>
                <w:lang w:val="en-US" w:eastAsia="zh-CN"/>
              </w:rPr>
              <w:t>A</w:t>
            </w:r>
          </w:p>
        </w:tc>
        <w:tc>
          <w:tcPr>
            <w:tcW w:w="1105" w:type="dxa"/>
            <w:vAlign w:val="center"/>
          </w:tcPr>
          <w:p w14:paraId="42F67415">
            <w:pPr>
              <w:keepNext w:val="0"/>
              <w:keepLines w:val="0"/>
              <w:pageBreakBefore w:val="0"/>
              <w:kinsoku/>
              <w:wordWrap/>
              <w:overflowPunct/>
              <w:topLinePunct w:val="0"/>
              <w:bidi w:val="0"/>
              <w:snapToGrid/>
              <w:spacing w:line="400" w:lineRule="exact"/>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0.235</w:t>
            </w:r>
          </w:p>
        </w:tc>
        <w:tc>
          <w:tcPr>
            <w:tcW w:w="1248" w:type="dxa"/>
            <w:vAlign w:val="center"/>
          </w:tcPr>
          <w:p w14:paraId="4B61A21F">
            <w:pPr>
              <w:keepNext w:val="0"/>
              <w:keepLines w:val="0"/>
              <w:pageBreakBefore w:val="0"/>
              <w:kinsoku/>
              <w:wordWrap/>
              <w:overflowPunct/>
              <w:topLinePunct w:val="0"/>
              <w:bidi w:val="0"/>
              <w:snapToGrid/>
              <w:spacing w:line="400" w:lineRule="exact"/>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0.240</w:t>
            </w:r>
          </w:p>
        </w:tc>
        <w:tc>
          <w:tcPr>
            <w:tcW w:w="1249" w:type="dxa"/>
            <w:vAlign w:val="center"/>
          </w:tcPr>
          <w:p w14:paraId="4A5438F7">
            <w:pPr>
              <w:keepNext w:val="0"/>
              <w:keepLines w:val="0"/>
              <w:pageBreakBefore w:val="0"/>
              <w:kinsoku/>
              <w:wordWrap/>
              <w:overflowPunct/>
              <w:topLinePunct w:val="0"/>
              <w:bidi w:val="0"/>
              <w:snapToGrid/>
              <w:spacing w:line="400" w:lineRule="exact"/>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0.243</w:t>
            </w:r>
          </w:p>
        </w:tc>
        <w:tc>
          <w:tcPr>
            <w:tcW w:w="1249" w:type="dxa"/>
            <w:vAlign w:val="center"/>
          </w:tcPr>
          <w:p w14:paraId="6960D74C">
            <w:pPr>
              <w:keepNext w:val="0"/>
              <w:keepLines w:val="0"/>
              <w:pageBreakBefore w:val="0"/>
              <w:kinsoku/>
              <w:wordWrap/>
              <w:overflowPunct/>
              <w:topLinePunct w:val="0"/>
              <w:bidi w:val="0"/>
              <w:snapToGrid/>
              <w:spacing w:line="400" w:lineRule="exact"/>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0.239</w:t>
            </w:r>
          </w:p>
        </w:tc>
        <w:tc>
          <w:tcPr>
            <w:tcW w:w="1249" w:type="dxa"/>
            <w:vAlign w:val="center"/>
          </w:tcPr>
          <w:p w14:paraId="70E6D679">
            <w:pPr>
              <w:keepNext w:val="0"/>
              <w:keepLines w:val="0"/>
              <w:pageBreakBefore w:val="0"/>
              <w:kinsoku/>
              <w:wordWrap/>
              <w:overflowPunct/>
              <w:topLinePunct w:val="0"/>
              <w:bidi w:val="0"/>
              <w:snapToGrid/>
              <w:spacing w:line="400" w:lineRule="exact"/>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0.236</w:t>
            </w:r>
          </w:p>
        </w:tc>
      </w:tr>
    </w:tbl>
    <w:p w14:paraId="556E48EE">
      <w:pPr>
        <w:keepNext w:val="0"/>
        <w:keepLines w:val="0"/>
        <w:pageBreakBefore w:val="0"/>
        <w:kinsoku/>
        <w:wordWrap/>
        <w:overflowPunct/>
        <w:topLinePunct w:val="0"/>
        <w:bidi w:val="0"/>
        <w:snapToGrid/>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可见燃烧器高度为</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mm时，吸光度值最大。最终试验选择燃烧器高度为</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mm。</w:t>
      </w:r>
    </w:p>
    <w:p w14:paraId="212217BA">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黑体" w:hAnsi="黑体" w:eastAsia="黑体" w:cs="黑体"/>
          <w:b w:val="0"/>
          <w:bCs w:val="0"/>
          <w:color w:val="auto"/>
          <w:sz w:val="21"/>
          <w:szCs w:val="21"/>
          <w:highlight w:val="none"/>
        </w:rPr>
      </w:pPr>
      <w:r>
        <w:rPr>
          <w:rFonts w:hint="eastAsia" w:ascii="黑体" w:hAnsi="黑体" w:eastAsia="黑体" w:cs="黑体"/>
          <w:b w:val="0"/>
          <w:bCs w:val="0"/>
          <w:color w:val="auto"/>
          <w:sz w:val="21"/>
          <w:szCs w:val="21"/>
          <w:highlight w:val="none"/>
          <w:lang w:val="en-US" w:eastAsia="zh-CN"/>
        </w:rPr>
        <w:t>1.1</w:t>
      </w:r>
      <w:r>
        <w:rPr>
          <w:rFonts w:hint="eastAsia" w:ascii="黑体" w:hAnsi="黑体" w:eastAsia="黑体" w:cs="黑体"/>
          <w:b w:val="0"/>
          <w:bCs w:val="0"/>
          <w:color w:val="auto"/>
          <w:sz w:val="21"/>
          <w:szCs w:val="21"/>
          <w:highlight w:val="none"/>
        </w:rPr>
        <w:t>.</w:t>
      </w:r>
      <w:r>
        <w:rPr>
          <w:rFonts w:hint="eastAsia" w:ascii="黑体" w:hAnsi="黑体" w:eastAsia="黑体" w:cs="黑体"/>
          <w:b w:val="0"/>
          <w:bCs w:val="0"/>
          <w:color w:val="auto"/>
          <w:sz w:val="21"/>
          <w:szCs w:val="21"/>
          <w:highlight w:val="none"/>
          <w:lang w:val="en-US" w:eastAsia="zh-CN"/>
        </w:rPr>
        <w:t>1</w:t>
      </w:r>
      <w:r>
        <w:rPr>
          <w:rFonts w:hint="eastAsia" w:ascii="黑体" w:hAnsi="黑体" w:eastAsia="黑体" w:cs="黑体"/>
          <w:b w:val="0"/>
          <w:bCs w:val="0"/>
          <w:color w:val="auto"/>
          <w:sz w:val="21"/>
          <w:szCs w:val="21"/>
          <w:highlight w:val="none"/>
        </w:rPr>
        <w:t>.3 狭缝宽度的选择</w:t>
      </w:r>
    </w:p>
    <w:p w14:paraId="2E0970BA">
      <w:pPr>
        <w:keepNext w:val="0"/>
        <w:keepLines w:val="0"/>
        <w:pageBreakBefore w:val="0"/>
        <w:kinsoku/>
        <w:wordWrap/>
        <w:overflowPunct/>
        <w:topLinePunct w:val="0"/>
        <w:bidi w:val="0"/>
        <w:snapToGrid/>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固定灯电流2.0 mA、燃烧器高度</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 xml:space="preserve"> mm、乙炔流量1</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00mL/min，改变狭缝宽度，测量吸光度，结果见表</w:t>
      </w:r>
      <w:r>
        <w:rPr>
          <w:rFonts w:hint="eastAsia" w:ascii="宋体" w:hAnsi="宋体" w:eastAsia="宋体" w:cs="宋体"/>
          <w:color w:val="auto"/>
          <w:sz w:val="21"/>
          <w:szCs w:val="21"/>
          <w:highlight w:val="none"/>
          <w:lang w:val="en-US" w:eastAsia="zh-CN"/>
        </w:rPr>
        <w:t>3-3</w:t>
      </w:r>
      <w:r>
        <w:rPr>
          <w:rFonts w:hint="eastAsia" w:ascii="宋体" w:hAnsi="宋体" w:eastAsia="宋体" w:cs="宋体"/>
          <w:color w:val="auto"/>
          <w:sz w:val="21"/>
          <w:szCs w:val="21"/>
          <w:highlight w:val="none"/>
        </w:rPr>
        <w:t>。</w:t>
      </w:r>
    </w:p>
    <w:p w14:paraId="0B92ECE4">
      <w:pPr>
        <w:keepNext w:val="0"/>
        <w:keepLines w:val="0"/>
        <w:pageBreakBefore w:val="0"/>
        <w:kinsoku/>
        <w:wordWrap/>
        <w:overflowPunct/>
        <w:topLinePunct w:val="0"/>
        <w:bidi w:val="0"/>
        <w:snapToGrid/>
        <w:spacing w:line="400" w:lineRule="exact"/>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表</w:t>
      </w:r>
      <w:r>
        <w:rPr>
          <w:rFonts w:hint="eastAsia" w:ascii="宋体" w:hAnsi="宋体" w:eastAsia="宋体" w:cs="宋体"/>
          <w:b w:val="0"/>
          <w:bCs w:val="0"/>
          <w:color w:val="auto"/>
          <w:sz w:val="21"/>
          <w:szCs w:val="21"/>
          <w:highlight w:val="none"/>
          <w:lang w:val="en-US" w:eastAsia="zh-CN"/>
        </w:rPr>
        <w:t xml:space="preserve">3-3 </w:t>
      </w:r>
      <w:r>
        <w:rPr>
          <w:rFonts w:hint="eastAsia" w:ascii="宋体" w:hAnsi="宋体" w:eastAsia="宋体" w:cs="宋体"/>
          <w:b w:val="0"/>
          <w:bCs w:val="0"/>
          <w:color w:val="auto"/>
          <w:sz w:val="21"/>
          <w:szCs w:val="21"/>
          <w:highlight w:val="none"/>
        </w:rPr>
        <w:t>狭缝宽度的选择</w:t>
      </w:r>
    </w:p>
    <w:tbl>
      <w:tblPr>
        <w:tblStyle w:val="1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4"/>
        <w:gridCol w:w="1704"/>
        <w:gridCol w:w="1704"/>
        <w:gridCol w:w="1705"/>
        <w:gridCol w:w="1705"/>
      </w:tblGrid>
      <w:tr w14:paraId="4A2C7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Align w:val="center"/>
          </w:tcPr>
          <w:p w14:paraId="60776FD2">
            <w:pPr>
              <w:keepNext w:val="0"/>
              <w:keepLines w:val="0"/>
              <w:pageBreakBefore w:val="0"/>
              <w:kinsoku/>
              <w:wordWrap/>
              <w:overflowPunct/>
              <w:topLinePunct w:val="0"/>
              <w:bidi w:val="0"/>
              <w:snapToGrid/>
              <w:spacing w:line="400" w:lineRule="exact"/>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狭缝宽</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nm</w:t>
            </w:r>
            <w:r>
              <w:rPr>
                <w:rFonts w:hint="eastAsia" w:ascii="宋体" w:hAnsi="宋体" w:eastAsia="宋体" w:cs="宋体"/>
                <w:b w:val="0"/>
                <w:bCs w:val="0"/>
                <w:color w:val="auto"/>
                <w:sz w:val="21"/>
                <w:szCs w:val="21"/>
                <w:highlight w:val="none"/>
                <w:lang w:eastAsia="zh-CN"/>
              </w:rPr>
              <w:t>）</w:t>
            </w:r>
          </w:p>
        </w:tc>
        <w:tc>
          <w:tcPr>
            <w:tcW w:w="1704" w:type="dxa"/>
            <w:vAlign w:val="center"/>
          </w:tcPr>
          <w:p w14:paraId="077CEBDD">
            <w:pPr>
              <w:keepNext w:val="0"/>
              <w:keepLines w:val="0"/>
              <w:pageBreakBefore w:val="0"/>
              <w:kinsoku/>
              <w:wordWrap/>
              <w:overflowPunct/>
              <w:topLinePunct w:val="0"/>
              <w:bidi w:val="0"/>
              <w:snapToGrid/>
              <w:spacing w:line="400" w:lineRule="exact"/>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0.1</w:t>
            </w:r>
          </w:p>
        </w:tc>
        <w:tc>
          <w:tcPr>
            <w:tcW w:w="1704" w:type="dxa"/>
            <w:vAlign w:val="center"/>
          </w:tcPr>
          <w:p w14:paraId="3CA332E2">
            <w:pPr>
              <w:keepNext w:val="0"/>
              <w:keepLines w:val="0"/>
              <w:pageBreakBefore w:val="0"/>
              <w:kinsoku/>
              <w:wordWrap/>
              <w:overflowPunct/>
              <w:topLinePunct w:val="0"/>
              <w:bidi w:val="0"/>
              <w:snapToGrid/>
              <w:spacing w:line="400" w:lineRule="exact"/>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0.2</w:t>
            </w:r>
          </w:p>
        </w:tc>
        <w:tc>
          <w:tcPr>
            <w:tcW w:w="1705" w:type="dxa"/>
            <w:vAlign w:val="center"/>
          </w:tcPr>
          <w:p w14:paraId="07E3A29D">
            <w:pPr>
              <w:keepNext w:val="0"/>
              <w:keepLines w:val="0"/>
              <w:pageBreakBefore w:val="0"/>
              <w:kinsoku/>
              <w:wordWrap/>
              <w:overflowPunct/>
              <w:topLinePunct w:val="0"/>
              <w:bidi w:val="0"/>
              <w:snapToGrid/>
              <w:spacing w:line="400" w:lineRule="exact"/>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0.4</w:t>
            </w:r>
          </w:p>
        </w:tc>
        <w:tc>
          <w:tcPr>
            <w:tcW w:w="1705" w:type="dxa"/>
            <w:vAlign w:val="center"/>
          </w:tcPr>
          <w:p w14:paraId="2542CE6C">
            <w:pPr>
              <w:keepNext w:val="0"/>
              <w:keepLines w:val="0"/>
              <w:pageBreakBefore w:val="0"/>
              <w:kinsoku/>
              <w:wordWrap/>
              <w:overflowPunct/>
              <w:topLinePunct w:val="0"/>
              <w:bidi w:val="0"/>
              <w:snapToGrid/>
              <w:spacing w:line="400" w:lineRule="exact"/>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1.0</w:t>
            </w:r>
          </w:p>
        </w:tc>
      </w:tr>
      <w:tr w14:paraId="5F925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Align w:val="center"/>
          </w:tcPr>
          <w:p w14:paraId="016A7DAE">
            <w:pPr>
              <w:keepNext w:val="0"/>
              <w:keepLines w:val="0"/>
              <w:pageBreakBefore w:val="0"/>
              <w:kinsoku/>
              <w:wordWrap/>
              <w:overflowPunct/>
              <w:topLinePunct w:val="0"/>
              <w:bidi w:val="0"/>
              <w:snapToGrid/>
              <w:spacing w:line="400" w:lineRule="exact"/>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吸光度</w:t>
            </w:r>
            <w:r>
              <w:rPr>
                <w:rFonts w:hint="eastAsia" w:ascii="宋体" w:hAnsi="宋体" w:eastAsia="宋体" w:cs="宋体"/>
                <w:b w:val="0"/>
                <w:bCs w:val="0"/>
                <w:color w:val="auto"/>
                <w:sz w:val="21"/>
                <w:szCs w:val="21"/>
                <w:highlight w:val="none"/>
                <w:lang w:val="en-US" w:eastAsia="zh-CN"/>
              </w:rPr>
              <w:t xml:space="preserve"> </w:t>
            </w:r>
            <w:r>
              <w:rPr>
                <w:rFonts w:hint="eastAsia" w:ascii="宋体" w:hAnsi="宋体" w:eastAsia="宋体" w:cs="宋体"/>
                <w:b w:val="0"/>
                <w:bCs w:val="0"/>
                <w:i/>
                <w:iCs/>
                <w:color w:val="auto"/>
                <w:sz w:val="21"/>
                <w:szCs w:val="21"/>
                <w:highlight w:val="none"/>
                <w:lang w:val="en-US" w:eastAsia="zh-CN"/>
              </w:rPr>
              <w:t>A</w:t>
            </w:r>
          </w:p>
        </w:tc>
        <w:tc>
          <w:tcPr>
            <w:tcW w:w="1704" w:type="dxa"/>
            <w:vAlign w:val="center"/>
          </w:tcPr>
          <w:p w14:paraId="0D8E5E6D">
            <w:pPr>
              <w:keepNext w:val="0"/>
              <w:keepLines w:val="0"/>
              <w:pageBreakBefore w:val="0"/>
              <w:kinsoku/>
              <w:wordWrap/>
              <w:overflowPunct/>
              <w:topLinePunct w:val="0"/>
              <w:bidi w:val="0"/>
              <w:snapToGrid/>
              <w:spacing w:line="400" w:lineRule="exact"/>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0.174</w:t>
            </w:r>
          </w:p>
        </w:tc>
        <w:tc>
          <w:tcPr>
            <w:tcW w:w="1704" w:type="dxa"/>
            <w:vAlign w:val="center"/>
          </w:tcPr>
          <w:p w14:paraId="422C9FE5">
            <w:pPr>
              <w:keepNext w:val="0"/>
              <w:keepLines w:val="0"/>
              <w:pageBreakBefore w:val="0"/>
              <w:kinsoku/>
              <w:wordWrap/>
              <w:overflowPunct/>
              <w:topLinePunct w:val="0"/>
              <w:bidi w:val="0"/>
              <w:snapToGrid/>
              <w:spacing w:line="400" w:lineRule="exact"/>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0.206</w:t>
            </w:r>
          </w:p>
        </w:tc>
        <w:tc>
          <w:tcPr>
            <w:tcW w:w="1705" w:type="dxa"/>
            <w:vAlign w:val="center"/>
          </w:tcPr>
          <w:p w14:paraId="28E3634F">
            <w:pPr>
              <w:keepNext w:val="0"/>
              <w:keepLines w:val="0"/>
              <w:pageBreakBefore w:val="0"/>
              <w:kinsoku/>
              <w:wordWrap/>
              <w:overflowPunct/>
              <w:topLinePunct w:val="0"/>
              <w:bidi w:val="0"/>
              <w:snapToGrid/>
              <w:spacing w:line="400" w:lineRule="exact"/>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0.232</w:t>
            </w:r>
          </w:p>
        </w:tc>
        <w:tc>
          <w:tcPr>
            <w:tcW w:w="1705" w:type="dxa"/>
            <w:vAlign w:val="center"/>
          </w:tcPr>
          <w:p w14:paraId="7C9E0431">
            <w:pPr>
              <w:keepNext w:val="0"/>
              <w:keepLines w:val="0"/>
              <w:pageBreakBefore w:val="0"/>
              <w:kinsoku/>
              <w:wordWrap/>
              <w:overflowPunct/>
              <w:topLinePunct w:val="0"/>
              <w:bidi w:val="0"/>
              <w:snapToGrid/>
              <w:spacing w:line="400" w:lineRule="exact"/>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0.0</w:t>
            </w:r>
          </w:p>
        </w:tc>
      </w:tr>
    </w:tbl>
    <w:p w14:paraId="740FD8D8">
      <w:pPr>
        <w:keepNext w:val="0"/>
        <w:keepLines w:val="0"/>
        <w:pageBreakBefore w:val="0"/>
        <w:kinsoku/>
        <w:wordWrap/>
        <w:overflowPunct/>
        <w:topLinePunct w:val="0"/>
        <w:bidi w:val="0"/>
        <w:snapToGrid/>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可见，狭缝宽度</w:t>
      </w:r>
      <w:r>
        <w:rPr>
          <w:rFonts w:hint="eastAsia" w:ascii="宋体" w:hAnsi="宋体" w:eastAsia="宋体" w:cs="宋体"/>
          <w:color w:val="auto"/>
          <w:sz w:val="21"/>
          <w:szCs w:val="21"/>
          <w:highlight w:val="none"/>
          <w:lang w:val="en-US" w:eastAsia="zh-CN"/>
        </w:rPr>
        <w:t>0.4nm</w:t>
      </w:r>
      <w:r>
        <w:rPr>
          <w:rFonts w:hint="eastAsia" w:ascii="宋体" w:hAnsi="宋体" w:eastAsia="宋体" w:cs="宋体"/>
          <w:color w:val="auto"/>
          <w:sz w:val="21"/>
          <w:szCs w:val="21"/>
          <w:highlight w:val="none"/>
        </w:rPr>
        <w:t>时，吸光度值最大。最终试验选择狭缝宽度为</w:t>
      </w:r>
      <w:r>
        <w:rPr>
          <w:rFonts w:hint="eastAsia" w:ascii="宋体" w:hAnsi="宋体" w:eastAsia="宋体" w:cs="宋体"/>
          <w:color w:val="auto"/>
          <w:sz w:val="21"/>
          <w:szCs w:val="21"/>
          <w:highlight w:val="none"/>
          <w:lang w:val="en-US" w:eastAsia="zh-CN"/>
        </w:rPr>
        <w:t>0.4nm</w:t>
      </w:r>
      <w:r>
        <w:rPr>
          <w:rFonts w:hint="eastAsia" w:ascii="宋体" w:hAnsi="宋体" w:eastAsia="宋体" w:cs="宋体"/>
          <w:color w:val="auto"/>
          <w:sz w:val="21"/>
          <w:szCs w:val="21"/>
          <w:highlight w:val="none"/>
        </w:rPr>
        <w:t>。</w:t>
      </w:r>
    </w:p>
    <w:p w14:paraId="69EB8B0B">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黑体" w:hAnsi="黑体" w:eastAsia="黑体" w:cs="黑体"/>
          <w:b w:val="0"/>
          <w:bCs w:val="0"/>
          <w:color w:val="auto"/>
          <w:sz w:val="21"/>
          <w:szCs w:val="21"/>
          <w:highlight w:val="none"/>
        </w:rPr>
      </w:pPr>
      <w:r>
        <w:rPr>
          <w:rFonts w:hint="eastAsia" w:ascii="黑体" w:hAnsi="黑体" w:eastAsia="黑体" w:cs="黑体"/>
          <w:b w:val="0"/>
          <w:bCs w:val="0"/>
          <w:color w:val="auto"/>
          <w:sz w:val="21"/>
          <w:szCs w:val="21"/>
          <w:highlight w:val="none"/>
          <w:lang w:val="en-US" w:eastAsia="zh-CN"/>
        </w:rPr>
        <w:t>1.1</w:t>
      </w:r>
      <w:r>
        <w:rPr>
          <w:rFonts w:hint="eastAsia" w:ascii="黑体" w:hAnsi="黑体" w:eastAsia="黑体" w:cs="黑体"/>
          <w:b w:val="0"/>
          <w:bCs w:val="0"/>
          <w:color w:val="auto"/>
          <w:sz w:val="21"/>
          <w:szCs w:val="21"/>
          <w:highlight w:val="none"/>
        </w:rPr>
        <w:t>.</w:t>
      </w:r>
      <w:r>
        <w:rPr>
          <w:rFonts w:hint="eastAsia" w:ascii="黑体" w:hAnsi="黑体" w:eastAsia="黑体" w:cs="黑体"/>
          <w:b w:val="0"/>
          <w:bCs w:val="0"/>
          <w:color w:val="auto"/>
          <w:sz w:val="21"/>
          <w:szCs w:val="21"/>
          <w:highlight w:val="none"/>
          <w:lang w:val="en-US" w:eastAsia="zh-CN"/>
        </w:rPr>
        <w:t>1</w:t>
      </w:r>
      <w:r>
        <w:rPr>
          <w:rFonts w:hint="eastAsia" w:ascii="黑体" w:hAnsi="黑体" w:eastAsia="黑体" w:cs="黑体"/>
          <w:b w:val="0"/>
          <w:bCs w:val="0"/>
          <w:color w:val="auto"/>
          <w:sz w:val="21"/>
          <w:szCs w:val="21"/>
          <w:highlight w:val="none"/>
        </w:rPr>
        <w:t>.4 乙炔流量的选择</w:t>
      </w:r>
    </w:p>
    <w:p w14:paraId="439444ED">
      <w:pPr>
        <w:keepNext w:val="0"/>
        <w:keepLines w:val="0"/>
        <w:pageBreakBefore w:val="0"/>
        <w:kinsoku/>
        <w:wordWrap/>
        <w:overflowPunct/>
        <w:topLinePunct w:val="0"/>
        <w:bidi w:val="0"/>
        <w:snapToGrid/>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固定灯电流2.0 mA、狭缝宽度0.4</w:t>
      </w:r>
      <w:r>
        <w:rPr>
          <w:rFonts w:hint="eastAsia" w:ascii="宋体" w:hAnsi="宋体" w:eastAsia="宋体" w:cs="宋体"/>
          <w:color w:val="auto"/>
          <w:sz w:val="21"/>
          <w:szCs w:val="21"/>
          <w:highlight w:val="none"/>
          <w:lang w:val="en-US" w:eastAsia="zh-CN"/>
        </w:rPr>
        <w:t>nm</w:t>
      </w:r>
      <w:r>
        <w:rPr>
          <w:rFonts w:hint="eastAsia" w:ascii="宋体" w:hAnsi="宋体" w:eastAsia="宋体" w:cs="宋体"/>
          <w:color w:val="auto"/>
          <w:sz w:val="21"/>
          <w:szCs w:val="21"/>
          <w:highlight w:val="none"/>
        </w:rPr>
        <w:t>、燃烧器高度</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 xml:space="preserve"> mm，改变乙炔流量，测量吸光度，结果见表</w:t>
      </w:r>
      <w:r>
        <w:rPr>
          <w:rFonts w:hint="eastAsia" w:ascii="宋体" w:hAnsi="宋体" w:eastAsia="宋体" w:cs="宋体"/>
          <w:color w:val="auto"/>
          <w:sz w:val="21"/>
          <w:szCs w:val="21"/>
          <w:highlight w:val="none"/>
          <w:lang w:val="en-US" w:eastAsia="zh-CN"/>
        </w:rPr>
        <w:t>3-4</w:t>
      </w:r>
      <w:r>
        <w:rPr>
          <w:rFonts w:hint="eastAsia" w:ascii="宋体" w:hAnsi="宋体" w:eastAsia="宋体" w:cs="宋体"/>
          <w:color w:val="auto"/>
          <w:sz w:val="21"/>
          <w:szCs w:val="21"/>
          <w:highlight w:val="none"/>
        </w:rPr>
        <w:t>。</w:t>
      </w:r>
    </w:p>
    <w:p w14:paraId="0CD75EDE">
      <w:pPr>
        <w:keepNext w:val="0"/>
        <w:keepLines w:val="0"/>
        <w:pageBreakBefore w:val="0"/>
        <w:kinsoku/>
        <w:wordWrap/>
        <w:overflowPunct/>
        <w:topLinePunct w:val="0"/>
        <w:bidi w:val="0"/>
        <w:snapToGrid/>
        <w:spacing w:line="400" w:lineRule="exact"/>
        <w:jc w:val="center"/>
        <w:rPr>
          <w:rFonts w:hint="eastAsia" w:ascii="宋体" w:hAnsi="宋体" w:eastAsia="宋体" w:cs="宋体"/>
          <w:b/>
          <w:bCs/>
          <w:color w:val="auto"/>
          <w:sz w:val="21"/>
          <w:szCs w:val="21"/>
          <w:highlight w:val="none"/>
        </w:rPr>
      </w:pPr>
    </w:p>
    <w:p w14:paraId="4B77DC42">
      <w:pPr>
        <w:keepNext w:val="0"/>
        <w:keepLines w:val="0"/>
        <w:pageBreakBefore w:val="0"/>
        <w:kinsoku/>
        <w:wordWrap/>
        <w:overflowPunct/>
        <w:topLinePunct w:val="0"/>
        <w:bidi w:val="0"/>
        <w:snapToGrid/>
        <w:spacing w:line="400" w:lineRule="exact"/>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表</w:t>
      </w:r>
      <w:r>
        <w:rPr>
          <w:rFonts w:hint="eastAsia" w:ascii="宋体" w:hAnsi="宋体" w:eastAsia="宋体" w:cs="宋体"/>
          <w:b w:val="0"/>
          <w:bCs w:val="0"/>
          <w:color w:val="auto"/>
          <w:sz w:val="21"/>
          <w:szCs w:val="21"/>
          <w:highlight w:val="none"/>
          <w:lang w:val="en-US" w:eastAsia="zh-CN"/>
        </w:rPr>
        <w:t>3-4</w:t>
      </w:r>
      <w:r>
        <w:rPr>
          <w:rFonts w:hint="eastAsia" w:ascii="宋体" w:hAnsi="宋体" w:eastAsia="宋体" w:cs="宋体"/>
          <w:b w:val="0"/>
          <w:bCs w:val="0"/>
          <w:color w:val="auto"/>
          <w:sz w:val="21"/>
          <w:szCs w:val="21"/>
          <w:highlight w:val="none"/>
        </w:rPr>
        <w:t xml:space="preserve"> 乙炔流量的选择</w:t>
      </w:r>
    </w:p>
    <w:tbl>
      <w:tblPr>
        <w:tblStyle w:val="1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17"/>
        <w:gridCol w:w="1108"/>
        <w:gridCol w:w="1108"/>
        <w:gridCol w:w="1109"/>
        <w:gridCol w:w="1109"/>
        <w:gridCol w:w="1109"/>
        <w:gridCol w:w="1110"/>
      </w:tblGrid>
      <w:tr w14:paraId="541DF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2035" w:type="dxa"/>
            <w:vAlign w:val="center"/>
          </w:tcPr>
          <w:p w14:paraId="71E3F7C3">
            <w:pPr>
              <w:keepNext w:val="0"/>
              <w:keepLines w:val="0"/>
              <w:pageBreakBefore w:val="0"/>
              <w:kinsoku/>
              <w:wordWrap/>
              <w:overflowPunct/>
              <w:topLinePunct w:val="0"/>
              <w:bidi w:val="0"/>
              <w:snapToGrid/>
              <w:spacing w:line="240" w:lineRule="auto"/>
              <w:jc w:val="center"/>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乙炔流量</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mL/min</w:t>
            </w:r>
            <w:r>
              <w:rPr>
                <w:rFonts w:hint="eastAsia" w:ascii="宋体" w:hAnsi="宋体" w:eastAsia="宋体" w:cs="宋体"/>
                <w:b w:val="0"/>
                <w:bCs w:val="0"/>
                <w:color w:val="auto"/>
                <w:sz w:val="21"/>
                <w:szCs w:val="21"/>
                <w:highlight w:val="none"/>
                <w:lang w:eastAsia="zh-CN"/>
              </w:rPr>
              <w:t>）</w:t>
            </w:r>
          </w:p>
        </w:tc>
        <w:tc>
          <w:tcPr>
            <w:tcW w:w="1117" w:type="dxa"/>
            <w:vAlign w:val="center"/>
          </w:tcPr>
          <w:p w14:paraId="53B4AB57">
            <w:pPr>
              <w:keepNext w:val="0"/>
              <w:keepLines w:val="0"/>
              <w:pageBreakBefore w:val="0"/>
              <w:kinsoku/>
              <w:wordWrap/>
              <w:overflowPunct/>
              <w:topLinePunct w:val="0"/>
              <w:bidi w:val="0"/>
              <w:snapToGrid/>
              <w:spacing w:line="400" w:lineRule="exact"/>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1000</w:t>
            </w:r>
          </w:p>
        </w:tc>
        <w:tc>
          <w:tcPr>
            <w:tcW w:w="1117" w:type="dxa"/>
            <w:vAlign w:val="center"/>
          </w:tcPr>
          <w:p w14:paraId="57BDEFF8">
            <w:pPr>
              <w:keepNext w:val="0"/>
              <w:keepLines w:val="0"/>
              <w:pageBreakBefore w:val="0"/>
              <w:kinsoku/>
              <w:wordWrap/>
              <w:overflowPunct/>
              <w:topLinePunct w:val="0"/>
              <w:bidi w:val="0"/>
              <w:snapToGrid/>
              <w:spacing w:line="400" w:lineRule="exact"/>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1100</w:t>
            </w:r>
          </w:p>
        </w:tc>
        <w:tc>
          <w:tcPr>
            <w:tcW w:w="1117" w:type="dxa"/>
            <w:vAlign w:val="center"/>
          </w:tcPr>
          <w:p w14:paraId="34D6CC6A">
            <w:pPr>
              <w:keepNext w:val="0"/>
              <w:keepLines w:val="0"/>
              <w:pageBreakBefore w:val="0"/>
              <w:kinsoku/>
              <w:wordWrap/>
              <w:overflowPunct/>
              <w:topLinePunct w:val="0"/>
              <w:bidi w:val="0"/>
              <w:snapToGrid/>
              <w:spacing w:line="400" w:lineRule="exact"/>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1200</w:t>
            </w:r>
          </w:p>
        </w:tc>
        <w:tc>
          <w:tcPr>
            <w:tcW w:w="1117" w:type="dxa"/>
            <w:vAlign w:val="center"/>
          </w:tcPr>
          <w:p w14:paraId="60711FEC">
            <w:pPr>
              <w:keepNext w:val="0"/>
              <w:keepLines w:val="0"/>
              <w:pageBreakBefore w:val="0"/>
              <w:kinsoku/>
              <w:wordWrap/>
              <w:overflowPunct/>
              <w:topLinePunct w:val="0"/>
              <w:bidi w:val="0"/>
              <w:snapToGrid/>
              <w:spacing w:line="400" w:lineRule="exact"/>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1300</w:t>
            </w:r>
          </w:p>
        </w:tc>
        <w:tc>
          <w:tcPr>
            <w:tcW w:w="1117" w:type="dxa"/>
            <w:vAlign w:val="center"/>
          </w:tcPr>
          <w:p w14:paraId="6D4A5262">
            <w:pPr>
              <w:keepNext w:val="0"/>
              <w:keepLines w:val="0"/>
              <w:pageBreakBefore w:val="0"/>
              <w:kinsoku/>
              <w:wordWrap/>
              <w:overflowPunct/>
              <w:topLinePunct w:val="0"/>
              <w:bidi w:val="0"/>
              <w:snapToGrid/>
              <w:spacing w:line="400" w:lineRule="exact"/>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1400</w:t>
            </w:r>
          </w:p>
        </w:tc>
        <w:tc>
          <w:tcPr>
            <w:tcW w:w="1118" w:type="dxa"/>
            <w:vAlign w:val="center"/>
          </w:tcPr>
          <w:p w14:paraId="2F4B49CF">
            <w:pPr>
              <w:keepNext w:val="0"/>
              <w:keepLines w:val="0"/>
              <w:pageBreakBefore w:val="0"/>
              <w:kinsoku/>
              <w:wordWrap/>
              <w:overflowPunct/>
              <w:topLinePunct w:val="0"/>
              <w:bidi w:val="0"/>
              <w:snapToGrid/>
              <w:spacing w:line="400" w:lineRule="exact"/>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1500</w:t>
            </w:r>
          </w:p>
        </w:tc>
      </w:tr>
      <w:tr w14:paraId="59500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2035" w:type="dxa"/>
            <w:vAlign w:val="center"/>
          </w:tcPr>
          <w:p w14:paraId="57D186B2">
            <w:pPr>
              <w:keepNext w:val="0"/>
              <w:keepLines w:val="0"/>
              <w:pageBreakBefore w:val="0"/>
              <w:kinsoku/>
              <w:wordWrap/>
              <w:overflowPunct/>
              <w:topLinePunct w:val="0"/>
              <w:bidi w:val="0"/>
              <w:snapToGrid/>
              <w:spacing w:line="400" w:lineRule="exact"/>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吸光度</w:t>
            </w:r>
            <w:r>
              <w:rPr>
                <w:rFonts w:hint="eastAsia" w:ascii="宋体" w:hAnsi="宋体" w:eastAsia="宋体" w:cs="宋体"/>
                <w:b w:val="0"/>
                <w:bCs w:val="0"/>
                <w:color w:val="auto"/>
                <w:sz w:val="21"/>
                <w:szCs w:val="21"/>
                <w:highlight w:val="none"/>
                <w:lang w:val="en-US" w:eastAsia="zh-CN"/>
              </w:rPr>
              <w:t xml:space="preserve"> </w:t>
            </w:r>
            <w:r>
              <w:rPr>
                <w:rFonts w:hint="eastAsia" w:ascii="宋体" w:hAnsi="宋体" w:eastAsia="宋体" w:cs="宋体"/>
                <w:b w:val="0"/>
                <w:bCs w:val="0"/>
                <w:i/>
                <w:iCs/>
                <w:color w:val="auto"/>
                <w:sz w:val="21"/>
                <w:szCs w:val="21"/>
                <w:highlight w:val="none"/>
                <w:lang w:val="en-US" w:eastAsia="zh-CN"/>
              </w:rPr>
              <w:t>A</w:t>
            </w:r>
          </w:p>
        </w:tc>
        <w:tc>
          <w:tcPr>
            <w:tcW w:w="1117" w:type="dxa"/>
            <w:vAlign w:val="center"/>
          </w:tcPr>
          <w:p w14:paraId="451E673D">
            <w:pPr>
              <w:keepNext w:val="0"/>
              <w:keepLines w:val="0"/>
              <w:pageBreakBefore w:val="0"/>
              <w:kinsoku/>
              <w:wordWrap/>
              <w:overflowPunct/>
              <w:topLinePunct w:val="0"/>
              <w:bidi w:val="0"/>
              <w:snapToGrid/>
              <w:spacing w:line="400" w:lineRule="exact"/>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0.230</w:t>
            </w:r>
          </w:p>
        </w:tc>
        <w:tc>
          <w:tcPr>
            <w:tcW w:w="1117" w:type="dxa"/>
            <w:vAlign w:val="center"/>
          </w:tcPr>
          <w:p w14:paraId="1305CFC3">
            <w:pPr>
              <w:keepNext w:val="0"/>
              <w:keepLines w:val="0"/>
              <w:pageBreakBefore w:val="0"/>
              <w:kinsoku/>
              <w:wordWrap/>
              <w:overflowPunct/>
              <w:topLinePunct w:val="0"/>
              <w:bidi w:val="0"/>
              <w:snapToGrid/>
              <w:spacing w:line="400" w:lineRule="exact"/>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0.233</w:t>
            </w:r>
          </w:p>
        </w:tc>
        <w:tc>
          <w:tcPr>
            <w:tcW w:w="1117" w:type="dxa"/>
            <w:vAlign w:val="center"/>
          </w:tcPr>
          <w:p w14:paraId="10FF5444">
            <w:pPr>
              <w:keepNext w:val="0"/>
              <w:keepLines w:val="0"/>
              <w:pageBreakBefore w:val="0"/>
              <w:kinsoku/>
              <w:wordWrap/>
              <w:overflowPunct/>
              <w:topLinePunct w:val="0"/>
              <w:bidi w:val="0"/>
              <w:snapToGrid/>
              <w:spacing w:line="400" w:lineRule="exact"/>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0.232</w:t>
            </w:r>
          </w:p>
        </w:tc>
        <w:tc>
          <w:tcPr>
            <w:tcW w:w="1117" w:type="dxa"/>
            <w:vAlign w:val="center"/>
          </w:tcPr>
          <w:p w14:paraId="61C3E4CD">
            <w:pPr>
              <w:keepNext w:val="0"/>
              <w:keepLines w:val="0"/>
              <w:pageBreakBefore w:val="0"/>
              <w:kinsoku/>
              <w:wordWrap/>
              <w:overflowPunct/>
              <w:topLinePunct w:val="0"/>
              <w:bidi w:val="0"/>
              <w:snapToGrid/>
              <w:spacing w:line="400" w:lineRule="exact"/>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0.232</w:t>
            </w:r>
          </w:p>
        </w:tc>
        <w:tc>
          <w:tcPr>
            <w:tcW w:w="1117" w:type="dxa"/>
            <w:vAlign w:val="center"/>
          </w:tcPr>
          <w:p w14:paraId="1B4610A3">
            <w:pPr>
              <w:keepNext w:val="0"/>
              <w:keepLines w:val="0"/>
              <w:pageBreakBefore w:val="0"/>
              <w:kinsoku/>
              <w:wordWrap/>
              <w:overflowPunct/>
              <w:topLinePunct w:val="0"/>
              <w:bidi w:val="0"/>
              <w:snapToGrid/>
              <w:spacing w:line="400" w:lineRule="exact"/>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0.229</w:t>
            </w:r>
          </w:p>
        </w:tc>
        <w:tc>
          <w:tcPr>
            <w:tcW w:w="1118" w:type="dxa"/>
            <w:vAlign w:val="center"/>
          </w:tcPr>
          <w:p w14:paraId="2351C743">
            <w:pPr>
              <w:keepNext w:val="0"/>
              <w:keepLines w:val="0"/>
              <w:pageBreakBefore w:val="0"/>
              <w:kinsoku/>
              <w:wordWrap/>
              <w:overflowPunct/>
              <w:topLinePunct w:val="0"/>
              <w:bidi w:val="0"/>
              <w:snapToGrid/>
              <w:spacing w:line="400" w:lineRule="exact"/>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0.233</w:t>
            </w:r>
          </w:p>
        </w:tc>
      </w:tr>
    </w:tbl>
    <w:p w14:paraId="5E0CEC3E">
      <w:pPr>
        <w:keepNext w:val="0"/>
        <w:keepLines w:val="0"/>
        <w:pageBreakBefore w:val="0"/>
        <w:kinsoku/>
        <w:wordWrap/>
        <w:overflowPunct/>
        <w:topLinePunct w:val="0"/>
        <w:bidi w:val="0"/>
        <w:snapToGrid/>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当乙炔流量为</w:t>
      </w:r>
      <w:r>
        <w:rPr>
          <w:rFonts w:hint="eastAsia" w:ascii="宋体" w:hAnsi="宋体" w:eastAsia="宋体" w:cs="宋体"/>
          <w:color w:val="auto"/>
          <w:sz w:val="21"/>
          <w:szCs w:val="21"/>
          <w:highlight w:val="none"/>
          <w:lang w:val="en-US" w:eastAsia="zh-CN"/>
        </w:rPr>
        <w:t>1100</w:t>
      </w:r>
      <w:r>
        <w:rPr>
          <w:rFonts w:hint="default" w:ascii="Times New Roman" w:hAnsi="Times New Roman" w:eastAsia="宋体" w:cs="Times New Roman"/>
          <w:color w:val="auto"/>
          <w:sz w:val="21"/>
          <w:szCs w:val="21"/>
          <w:highlight w:val="none"/>
          <w:lang w:val="en-US" w:eastAsia="zh-CN"/>
        </w:rPr>
        <w:t>~</w:t>
      </w: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00mL/min时，吸光度值</w:t>
      </w:r>
      <w:r>
        <w:rPr>
          <w:rFonts w:hint="eastAsia" w:ascii="宋体" w:hAnsi="宋体" w:eastAsia="宋体" w:cs="宋体"/>
          <w:color w:val="auto"/>
          <w:sz w:val="21"/>
          <w:szCs w:val="21"/>
          <w:highlight w:val="none"/>
          <w:lang w:eastAsia="zh-CN"/>
        </w:rPr>
        <w:t>无明显变化</w:t>
      </w:r>
      <w:r>
        <w:rPr>
          <w:rFonts w:hint="eastAsia" w:ascii="宋体" w:hAnsi="宋体" w:eastAsia="宋体" w:cs="宋体"/>
          <w:color w:val="auto"/>
          <w:sz w:val="21"/>
          <w:szCs w:val="21"/>
          <w:highlight w:val="none"/>
        </w:rPr>
        <w:t>。</w:t>
      </w:r>
    </w:p>
    <w:p w14:paraId="5C7C8E26">
      <w:pPr>
        <w:keepNext w:val="0"/>
        <w:keepLines w:val="0"/>
        <w:pageBreakBefore w:val="0"/>
        <w:kinsoku/>
        <w:wordWrap/>
        <w:overflowPunct/>
        <w:topLinePunct w:val="0"/>
        <w:bidi w:val="0"/>
        <w:snapToGrid/>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试验选择</w:t>
      </w:r>
      <w:r>
        <w:rPr>
          <w:rFonts w:hint="eastAsia" w:ascii="宋体" w:hAnsi="宋体" w:eastAsia="宋体" w:cs="宋体"/>
          <w:color w:val="auto"/>
          <w:sz w:val="21"/>
          <w:szCs w:val="21"/>
          <w:highlight w:val="none"/>
          <w:lang w:eastAsia="zh-CN"/>
        </w:rPr>
        <w:t>仪器推荐最佳</w:t>
      </w:r>
      <w:r>
        <w:rPr>
          <w:rFonts w:hint="eastAsia" w:ascii="宋体" w:hAnsi="宋体" w:eastAsia="宋体" w:cs="宋体"/>
          <w:color w:val="auto"/>
          <w:sz w:val="21"/>
          <w:szCs w:val="21"/>
          <w:highlight w:val="none"/>
        </w:rPr>
        <w:t>乙炔流量1</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00mL/min。</w:t>
      </w:r>
    </w:p>
    <w:p w14:paraId="75DBA6C8">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黑体" w:hAnsi="黑体" w:eastAsia="黑体" w:cs="黑体"/>
          <w:b w:val="0"/>
          <w:bCs w:val="0"/>
          <w:color w:val="auto"/>
          <w:sz w:val="21"/>
          <w:szCs w:val="21"/>
          <w:highlight w:val="none"/>
        </w:rPr>
      </w:pPr>
      <w:r>
        <w:rPr>
          <w:rFonts w:hint="eastAsia" w:ascii="黑体" w:hAnsi="黑体" w:eastAsia="黑体" w:cs="黑体"/>
          <w:b w:val="0"/>
          <w:bCs w:val="0"/>
          <w:color w:val="auto"/>
          <w:sz w:val="21"/>
          <w:szCs w:val="21"/>
          <w:highlight w:val="none"/>
          <w:lang w:val="en-US" w:eastAsia="zh-CN"/>
        </w:rPr>
        <w:t>1.1</w:t>
      </w:r>
      <w:r>
        <w:rPr>
          <w:rFonts w:hint="eastAsia" w:ascii="黑体" w:hAnsi="黑体" w:eastAsia="黑体" w:cs="黑体"/>
          <w:b w:val="0"/>
          <w:bCs w:val="0"/>
          <w:color w:val="auto"/>
          <w:sz w:val="21"/>
          <w:szCs w:val="21"/>
          <w:highlight w:val="none"/>
        </w:rPr>
        <w:t>.</w:t>
      </w:r>
      <w:r>
        <w:rPr>
          <w:rFonts w:hint="eastAsia" w:ascii="黑体" w:hAnsi="黑体" w:eastAsia="黑体" w:cs="黑体"/>
          <w:b w:val="0"/>
          <w:bCs w:val="0"/>
          <w:color w:val="auto"/>
          <w:sz w:val="21"/>
          <w:szCs w:val="21"/>
          <w:highlight w:val="none"/>
          <w:lang w:val="en-US" w:eastAsia="zh-CN"/>
        </w:rPr>
        <w:t>1</w:t>
      </w:r>
      <w:r>
        <w:rPr>
          <w:rFonts w:hint="eastAsia" w:ascii="黑体" w:hAnsi="黑体" w:eastAsia="黑体" w:cs="黑体"/>
          <w:b w:val="0"/>
          <w:bCs w:val="0"/>
          <w:color w:val="auto"/>
          <w:sz w:val="21"/>
          <w:szCs w:val="21"/>
          <w:highlight w:val="none"/>
        </w:rPr>
        <w:t>.5 综合选择</w:t>
      </w:r>
    </w:p>
    <w:p w14:paraId="4EA9D79B">
      <w:pPr>
        <w:keepNext w:val="0"/>
        <w:keepLines w:val="0"/>
        <w:pageBreakBefore w:val="0"/>
        <w:kinsoku/>
        <w:wordWrap/>
        <w:overflowPunct/>
        <w:topLinePunct w:val="0"/>
        <w:bidi w:val="0"/>
        <w:snapToGrid/>
        <w:spacing w:line="400" w:lineRule="exact"/>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 xml:space="preserve">    </w:t>
      </w:r>
      <w:r>
        <w:rPr>
          <w:rFonts w:hint="eastAsia" w:ascii="宋体" w:hAnsi="宋体" w:eastAsia="宋体" w:cs="宋体"/>
          <w:color w:val="auto"/>
          <w:sz w:val="21"/>
          <w:szCs w:val="21"/>
          <w:highlight w:val="none"/>
        </w:rPr>
        <w:t>通过上述实验，确定</w:t>
      </w:r>
      <w:r>
        <w:rPr>
          <w:rFonts w:hint="eastAsia" w:ascii="宋体" w:hAnsi="宋体" w:eastAsia="宋体" w:cs="宋体"/>
          <w:color w:val="auto"/>
          <w:sz w:val="21"/>
          <w:szCs w:val="21"/>
          <w:highlight w:val="none"/>
          <w:lang w:eastAsia="zh-CN"/>
        </w:rPr>
        <w:t>镉</w:t>
      </w:r>
      <w:r>
        <w:rPr>
          <w:rFonts w:hint="eastAsia" w:ascii="宋体" w:hAnsi="宋体" w:eastAsia="宋体" w:cs="宋体"/>
          <w:color w:val="auto"/>
          <w:sz w:val="21"/>
          <w:szCs w:val="21"/>
          <w:highlight w:val="none"/>
        </w:rPr>
        <w:t>测定的最佳仪器条件，结果见表</w:t>
      </w:r>
      <w:r>
        <w:rPr>
          <w:rFonts w:hint="eastAsia" w:ascii="宋体" w:hAnsi="宋体" w:eastAsia="宋体" w:cs="宋体"/>
          <w:color w:val="auto"/>
          <w:sz w:val="21"/>
          <w:szCs w:val="21"/>
          <w:highlight w:val="none"/>
          <w:lang w:val="en-US" w:eastAsia="zh-CN"/>
        </w:rPr>
        <w:t>3-4</w:t>
      </w:r>
      <w:r>
        <w:rPr>
          <w:rFonts w:hint="eastAsia" w:ascii="宋体" w:hAnsi="宋体" w:eastAsia="宋体" w:cs="宋体"/>
          <w:color w:val="auto"/>
          <w:sz w:val="21"/>
          <w:szCs w:val="21"/>
          <w:highlight w:val="none"/>
        </w:rPr>
        <w:t>。</w:t>
      </w:r>
    </w:p>
    <w:p w14:paraId="7EB43F0D">
      <w:pPr>
        <w:keepNext w:val="0"/>
        <w:keepLines w:val="0"/>
        <w:pageBreakBefore w:val="0"/>
        <w:kinsoku/>
        <w:wordWrap/>
        <w:overflowPunct/>
        <w:topLinePunct w:val="0"/>
        <w:bidi w:val="0"/>
        <w:snapToGrid/>
        <w:spacing w:line="400" w:lineRule="exact"/>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表</w:t>
      </w:r>
      <w:r>
        <w:rPr>
          <w:rFonts w:hint="eastAsia" w:ascii="宋体" w:hAnsi="宋体" w:eastAsia="宋体" w:cs="宋体"/>
          <w:b w:val="0"/>
          <w:bCs w:val="0"/>
          <w:color w:val="auto"/>
          <w:sz w:val="21"/>
          <w:szCs w:val="21"/>
          <w:highlight w:val="none"/>
          <w:lang w:val="en-US" w:eastAsia="zh-CN"/>
        </w:rPr>
        <w:t>3-5</w:t>
      </w:r>
      <w:r>
        <w:rPr>
          <w:rFonts w:hint="eastAsia" w:ascii="宋体" w:hAnsi="宋体" w:eastAsia="宋体" w:cs="宋体"/>
          <w:b w:val="0"/>
          <w:bCs w:val="0"/>
          <w:color w:val="auto"/>
          <w:sz w:val="21"/>
          <w:szCs w:val="21"/>
          <w:highlight w:val="none"/>
        </w:rPr>
        <w:t xml:space="preserve"> 仪器最佳工作条件</w:t>
      </w:r>
    </w:p>
    <w:tbl>
      <w:tblPr>
        <w:tblStyle w:val="1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1"/>
        <w:gridCol w:w="1997"/>
        <w:gridCol w:w="1704"/>
        <w:gridCol w:w="1705"/>
        <w:gridCol w:w="1705"/>
      </w:tblGrid>
      <w:tr w14:paraId="5E742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1" w:type="dxa"/>
            <w:vAlign w:val="top"/>
          </w:tcPr>
          <w:p w14:paraId="27F21E97">
            <w:pPr>
              <w:keepNext w:val="0"/>
              <w:keepLines w:val="0"/>
              <w:pageBreakBefore w:val="0"/>
              <w:kinsoku/>
              <w:wordWrap/>
              <w:overflowPunct/>
              <w:topLinePunct w:val="0"/>
              <w:bidi w:val="0"/>
              <w:snapToGrid/>
              <w:spacing w:line="400" w:lineRule="exact"/>
              <w:jc w:val="center"/>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波长</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nm</w:t>
            </w:r>
            <w:r>
              <w:rPr>
                <w:rFonts w:hint="eastAsia" w:ascii="宋体" w:hAnsi="宋体" w:eastAsia="宋体" w:cs="宋体"/>
                <w:b w:val="0"/>
                <w:bCs w:val="0"/>
                <w:color w:val="auto"/>
                <w:sz w:val="21"/>
                <w:szCs w:val="21"/>
                <w:highlight w:val="none"/>
                <w:lang w:eastAsia="zh-CN"/>
              </w:rPr>
              <w:t>）</w:t>
            </w:r>
          </w:p>
        </w:tc>
        <w:tc>
          <w:tcPr>
            <w:tcW w:w="1997" w:type="dxa"/>
            <w:vAlign w:val="top"/>
          </w:tcPr>
          <w:p w14:paraId="7ADA0BEF">
            <w:pPr>
              <w:keepNext w:val="0"/>
              <w:keepLines w:val="0"/>
              <w:pageBreakBefore w:val="0"/>
              <w:kinsoku/>
              <w:wordWrap/>
              <w:overflowPunct/>
              <w:topLinePunct w:val="0"/>
              <w:bidi w:val="0"/>
              <w:snapToGrid/>
              <w:spacing w:line="400" w:lineRule="exact"/>
              <w:jc w:val="center"/>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乙炔流量</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mL/min</w:t>
            </w:r>
            <w:r>
              <w:rPr>
                <w:rFonts w:hint="eastAsia" w:ascii="宋体" w:hAnsi="宋体" w:eastAsia="宋体" w:cs="宋体"/>
                <w:b w:val="0"/>
                <w:bCs w:val="0"/>
                <w:color w:val="auto"/>
                <w:sz w:val="21"/>
                <w:szCs w:val="21"/>
                <w:highlight w:val="none"/>
                <w:lang w:eastAsia="zh-CN"/>
              </w:rPr>
              <w:t>）</w:t>
            </w:r>
          </w:p>
        </w:tc>
        <w:tc>
          <w:tcPr>
            <w:tcW w:w="1704" w:type="dxa"/>
            <w:vAlign w:val="top"/>
          </w:tcPr>
          <w:p w14:paraId="336D2787">
            <w:pPr>
              <w:keepNext w:val="0"/>
              <w:keepLines w:val="0"/>
              <w:pageBreakBefore w:val="0"/>
              <w:kinsoku/>
              <w:wordWrap/>
              <w:overflowPunct/>
              <w:topLinePunct w:val="0"/>
              <w:bidi w:val="0"/>
              <w:snapToGrid/>
              <w:spacing w:line="400" w:lineRule="exact"/>
              <w:jc w:val="center"/>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燃烧器高度</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mm</w:t>
            </w:r>
            <w:r>
              <w:rPr>
                <w:rFonts w:hint="eastAsia" w:ascii="宋体" w:hAnsi="宋体" w:eastAsia="宋体" w:cs="宋体"/>
                <w:b w:val="0"/>
                <w:bCs w:val="0"/>
                <w:color w:val="auto"/>
                <w:sz w:val="21"/>
                <w:szCs w:val="21"/>
                <w:highlight w:val="none"/>
                <w:lang w:eastAsia="zh-CN"/>
              </w:rPr>
              <w:t>）</w:t>
            </w:r>
          </w:p>
        </w:tc>
        <w:tc>
          <w:tcPr>
            <w:tcW w:w="1705" w:type="dxa"/>
            <w:vAlign w:val="top"/>
          </w:tcPr>
          <w:p w14:paraId="75CFAB73">
            <w:pPr>
              <w:keepNext w:val="0"/>
              <w:keepLines w:val="0"/>
              <w:pageBreakBefore w:val="0"/>
              <w:kinsoku/>
              <w:wordWrap/>
              <w:overflowPunct/>
              <w:topLinePunct w:val="0"/>
              <w:bidi w:val="0"/>
              <w:snapToGrid/>
              <w:spacing w:line="400" w:lineRule="exact"/>
              <w:jc w:val="center"/>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灯电流</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mA</w:t>
            </w:r>
            <w:r>
              <w:rPr>
                <w:rFonts w:hint="eastAsia" w:ascii="宋体" w:hAnsi="宋体" w:eastAsia="宋体" w:cs="宋体"/>
                <w:b w:val="0"/>
                <w:bCs w:val="0"/>
                <w:color w:val="auto"/>
                <w:sz w:val="21"/>
                <w:szCs w:val="21"/>
                <w:highlight w:val="none"/>
                <w:lang w:eastAsia="zh-CN"/>
              </w:rPr>
              <w:t>）</w:t>
            </w:r>
          </w:p>
        </w:tc>
        <w:tc>
          <w:tcPr>
            <w:tcW w:w="1705" w:type="dxa"/>
            <w:vAlign w:val="top"/>
          </w:tcPr>
          <w:p w14:paraId="58711FC3">
            <w:pPr>
              <w:keepNext w:val="0"/>
              <w:keepLines w:val="0"/>
              <w:pageBreakBefore w:val="0"/>
              <w:kinsoku/>
              <w:wordWrap/>
              <w:overflowPunct/>
              <w:topLinePunct w:val="0"/>
              <w:bidi w:val="0"/>
              <w:snapToGrid/>
              <w:spacing w:line="400" w:lineRule="exact"/>
              <w:jc w:val="center"/>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狭缝宽度</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nm</w:t>
            </w:r>
            <w:r>
              <w:rPr>
                <w:rFonts w:hint="eastAsia" w:ascii="宋体" w:hAnsi="宋体" w:eastAsia="宋体" w:cs="宋体"/>
                <w:b w:val="0"/>
                <w:bCs w:val="0"/>
                <w:color w:val="auto"/>
                <w:sz w:val="21"/>
                <w:szCs w:val="21"/>
                <w:highlight w:val="none"/>
                <w:lang w:eastAsia="zh-CN"/>
              </w:rPr>
              <w:t>）</w:t>
            </w:r>
          </w:p>
        </w:tc>
      </w:tr>
      <w:tr w14:paraId="301E8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1" w:type="dxa"/>
            <w:vAlign w:val="top"/>
          </w:tcPr>
          <w:p w14:paraId="7C32BFA6">
            <w:pPr>
              <w:keepNext w:val="0"/>
              <w:keepLines w:val="0"/>
              <w:pageBreakBefore w:val="0"/>
              <w:kinsoku/>
              <w:wordWrap/>
              <w:overflowPunct/>
              <w:topLinePunct w:val="0"/>
              <w:bidi w:val="0"/>
              <w:snapToGrid/>
              <w:spacing w:line="400" w:lineRule="exact"/>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228.8</w:t>
            </w:r>
          </w:p>
        </w:tc>
        <w:tc>
          <w:tcPr>
            <w:tcW w:w="1997" w:type="dxa"/>
            <w:vAlign w:val="top"/>
          </w:tcPr>
          <w:p w14:paraId="53CE0024">
            <w:pPr>
              <w:keepNext w:val="0"/>
              <w:keepLines w:val="0"/>
              <w:pageBreakBefore w:val="0"/>
              <w:kinsoku/>
              <w:wordWrap/>
              <w:overflowPunct/>
              <w:topLinePunct w:val="0"/>
              <w:bidi w:val="0"/>
              <w:snapToGrid/>
              <w:spacing w:line="400" w:lineRule="exact"/>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w:t>
            </w:r>
            <w:r>
              <w:rPr>
                <w:rFonts w:hint="eastAsia" w:ascii="宋体" w:hAnsi="宋体" w:eastAsia="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rPr>
              <w:t>00</w:t>
            </w:r>
          </w:p>
        </w:tc>
        <w:tc>
          <w:tcPr>
            <w:tcW w:w="1704" w:type="dxa"/>
            <w:vAlign w:val="top"/>
          </w:tcPr>
          <w:p w14:paraId="30DB2B25">
            <w:pPr>
              <w:keepNext w:val="0"/>
              <w:keepLines w:val="0"/>
              <w:pageBreakBefore w:val="0"/>
              <w:kinsoku/>
              <w:wordWrap/>
              <w:overflowPunct/>
              <w:topLinePunct w:val="0"/>
              <w:bidi w:val="0"/>
              <w:snapToGrid/>
              <w:spacing w:line="400" w:lineRule="exact"/>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rPr>
              <w:t>.0</w:t>
            </w:r>
          </w:p>
        </w:tc>
        <w:tc>
          <w:tcPr>
            <w:tcW w:w="1705" w:type="dxa"/>
            <w:vAlign w:val="top"/>
          </w:tcPr>
          <w:p w14:paraId="20AC6C67">
            <w:pPr>
              <w:keepNext w:val="0"/>
              <w:keepLines w:val="0"/>
              <w:pageBreakBefore w:val="0"/>
              <w:kinsoku/>
              <w:wordWrap/>
              <w:overflowPunct/>
              <w:topLinePunct w:val="0"/>
              <w:bidi w:val="0"/>
              <w:snapToGrid/>
              <w:spacing w:line="400" w:lineRule="exact"/>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2.0</w:t>
            </w:r>
          </w:p>
        </w:tc>
        <w:tc>
          <w:tcPr>
            <w:tcW w:w="1705" w:type="dxa"/>
            <w:vAlign w:val="top"/>
          </w:tcPr>
          <w:p w14:paraId="1BC85D36">
            <w:pPr>
              <w:keepNext w:val="0"/>
              <w:keepLines w:val="0"/>
              <w:pageBreakBefore w:val="0"/>
              <w:kinsoku/>
              <w:wordWrap/>
              <w:overflowPunct/>
              <w:topLinePunct w:val="0"/>
              <w:bidi w:val="0"/>
              <w:snapToGrid/>
              <w:spacing w:line="400" w:lineRule="exact"/>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0.4</w:t>
            </w:r>
          </w:p>
        </w:tc>
      </w:tr>
    </w:tbl>
    <w:p w14:paraId="742F97C2">
      <w:pPr>
        <w:rPr>
          <w:rFonts w:hint="default" w:ascii="黑体" w:hAnsi="黑体" w:eastAsia="黑体" w:cs="黑体"/>
          <w:szCs w:val="21"/>
          <w:lang w:val="en-US" w:eastAsia="zh-CN"/>
        </w:rPr>
      </w:pPr>
    </w:p>
    <w:p w14:paraId="520F30D3">
      <w:pPr>
        <w:keepNext w:val="0"/>
        <w:keepLines w:val="0"/>
        <w:pageBreakBefore w:val="0"/>
        <w:widowControl w:val="0"/>
        <w:kinsoku/>
        <w:wordWrap/>
        <w:overflowPunct/>
        <w:topLinePunct w:val="0"/>
        <w:autoSpaceDE/>
        <w:autoSpaceDN/>
        <w:bidi w:val="0"/>
        <w:adjustRightInd/>
        <w:snapToGrid/>
        <w:spacing w:before="157" w:beforeLines="50" w:after="157" w:afterLines="50" w:line="400" w:lineRule="exact"/>
        <w:textAlignment w:val="auto"/>
        <w:rPr>
          <w:rFonts w:hint="eastAsia" w:ascii="黑体" w:hAnsi="黑体" w:eastAsia="黑体" w:cs="黑体"/>
          <w:b w:val="0"/>
          <w:bCs w:val="0"/>
          <w:sz w:val="21"/>
          <w:szCs w:val="21"/>
          <w:highlight w:val="none"/>
          <w:lang w:val="en-US" w:eastAsia="zh-CN"/>
        </w:rPr>
      </w:pPr>
      <w:r>
        <w:rPr>
          <w:rFonts w:hint="eastAsia" w:ascii="黑体" w:hAnsi="黑体" w:eastAsia="黑体" w:cs="黑体"/>
          <w:b w:val="0"/>
          <w:bCs w:val="0"/>
          <w:sz w:val="21"/>
          <w:szCs w:val="21"/>
          <w:highlight w:val="none"/>
          <w:lang w:val="en-US" w:eastAsia="zh-CN"/>
        </w:rPr>
        <w:t>1.2 溶样方式的选择</w:t>
      </w:r>
    </w:p>
    <w:p w14:paraId="7FD07BC9">
      <w:pPr>
        <w:rPr>
          <w:rFonts w:hint="default" w:ascii="黑体" w:hAnsi="黑体" w:eastAsia="黑体" w:cs="黑体"/>
          <w:szCs w:val="21"/>
          <w:lang w:val="en-US" w:eastAsia="zh-CN"/>
        </w:rPr>
      </w:pPr>
      <w:r>
        <w:rPr>
          <w:rFonts w:hint="eastAsia" w:ascii="宋体" w:hAnsi="宋体" w:eastAsia="宋体" w:cs="宋体"/>
          <w:b/>
          <w:bCs/>
          <w:sz w:val="21"/>
          <w:szCs w:val="21"/>
          <w:highlight w:val="none"/>
          <w:lang w:val="en-US" w:eastAsia="zh-CN"/>
        </w:rPr>
        <w:t xml:space="preserve">    </w:t>
      </w:r>
      <w:r>
        <w:rPr>
          <w:rFonts w:hint="eastAsia" w:ascii="宋体" w:hAnsi="宋体" w:eastAsia="宋体" w:cs="宋体"/>
          <w:b w:val="0"/>
          <w:bCs w:val="0"/>
          <w:sz w:val="21"/>
          <w:szCs w:val="21"/>
          <w:highlight w:val="none"/>
          <w:lang w:val="en-US" w:eastAsia="zh-CN"/>
        </w:rPr>
        <w:t>经查阅铜及铜合金产品标准，在含镉铜合金材料中，除了基体铜元素以外，还有锌、锡、硅等元素。使用硝酸溶样时试样能分解完全，但会生成偏锡酸沉淀，影响检测，因此采用盐酸+硝酸溶样方式。当试样中硅为主成分时，加入氢氟酸助溶。经采用上述溶样方法，试样能够完全溶解无沉淀，测定结果稳定。</w:t>
      </w:r>
    </w:p>
    <w:p w14:paraId="79A77652">
      <w:pPr>
        <w:rPr>
          <w:rFonts w:hint="default" w:ascii="黑体" w:hAnsi="黑体" w:eastAsia="黑体" w:cs="黑体"/>
          <w:szCs w:val="21"/>
          <w:lang w:val="en-US" w:eastAsia="zh-CN"/>
        </w:rPr>
      </w:pPr>
    </w:p>
    <w:p w14:paraId="669B3AD6">
      <w:pPr>
        <w:keepNext w:val="0"/>
        <w:keepLines w:val="0"/>
        <w:pageBreakBefore w:val="0"/>
        <w:widowControl w:val="0"/>
        <w:kinsoku/>
        <w:wordWrap/>
        <w:overflowPunct/>
        <w:topLinePunct w:val="0"/>
        <w:autoSpaceDE/>
        <w:autoSpaceDN/>
        <w:bidi w:val="0"/>
        <w:adjustRightInd/>
        <w:snapToGrid/>
        <w:spacing w:before="157" w:beforeLines="50" w:after="157" w:afterLines="50" w:line="400" w:lineRule="exact"/>
        <w:textAlignment w:val="auto"/>
        <w:rPr>
          <w:rFonts w:hint="eastAsia" w:ascii="黑体" w:hAnsi="黑体" w:eastAsia="黑体" w:cs="黑体"/>
          <w:b w:val="0"/>
          <w:bCs w:val="0"/>
          <w:color w:val="000000"/>
          <w:sz w:val="21"/>
          <w:szCs w:val="21"/>
          <w:highlight w:val="none"/>
        </w:rPr>
      </w:pPr>
      <w:r>
        <w:rPr>
          <w:rFonts w:hint="eastAsia" w:ascii="黑体" w:hAnsi="黑体" w:eastAsia="黑体" w:cs="黑体"/>
          <w:b w:val="0"/>
          <w:bCs w:val="0"/>
          <w:color w:val="000000"/>
          <w:sz w:val="21"/>
          <w:szCs w:val="21"/>
          <w:highlight w:val="none"/>
          <w:lang w:val="en-US" w:eastAsia="zh-CN"/>
        </w:rPr>
        <w:t>1</w:t>
      </w:r>
      <w:r>
        <w:rPr>
          <w:rFonts w:hint="eastAsia" w:ascii="黑体" w:hAnsi="黑体" w:eastAsia="黑体" w:cs="黑体"/>
          <w:b w:val="0"/>
          <w:bCs w:val="0"/>
          <w:color w:val="000000"/>
          <w:sz w:val="21"/>
          <w:szCs w:val="21"/>
          <w:highlight w:val="none"/>
        </w:rPr>
        <w:t>.</w:t>
      </w:r>
      <w:r>
        <w:rPr>
          <w:rFonts w:hint="eastAsia" w:ascii="黑体" w:hAnsi="黑体" w:eastAsia="黑体" w:cs="黑体"/>
          <w:b w:val="0"/>
          <w:bCs w:val="0"/>
          <w:color w:val="000000"/>
          <w:sz w:val="21"/>
          <w:szCs w:val="21"/>
          <w:highlight w:val="none"/>
          <w:lang w:val="en-US" w:eastAsia="zh-CN"/>
        </w:rPr>
        <w:t>3</w:t>
      </w:r>
      <w:r>
        <w:rPr>
          <w:rFonts w:hint="eastAsia" w:ascii="黑体" w:hAnsi="黑体" w:eastAsia="黑体" w:cs="黑体"/>
          <w:b w:val="0"/>
          <w:bCs w:val="0"/>
          <w:color w:val="000000"/>
          <w:sz w:val="21"/>
          <w:szCs w:val="21"/>
          <w:highlight w:val="none"/>
        </w:rPr>
        <w:t xml:space="preserve"> 仪器综合性能</w:t>
      </w:r>
    </w:p>
    <w:p w14:paraId="2CEA1148">
      <w:pPr>
        <w:keepNext w:val="0"/>
        <w:keepLines w:val="0"/>
        <w:pageBreakBefore w:val="0"/>
        <w:kinsoku/>
        <w:wordWrap/>
        <w:overflowPunct/>
        <w:topLinePunct w:val="0"/>
        <w:bidi w:val="0"/>
        <w:snapToGrid/>
        <w:spacing w:line="400" w:lineRule="exact"/>
        <w:rPr>
          <w:rFonts w:hint="eastAsia" w:ascii="黑体" w:hAnsi="黑体" w:eastAsia="黑体" w:cs="黑体"/>
          <w:b w:val="0"/>
          <w:bCs w:val="0"/>
          <w:color w:val="000000"/>
          <w:sz w:val="21"/>
          <w:szCs w:val="21"/>
          <w:highlight w:val="none"/>
        </w:rPr>
      </w:pPr>
      <w:r>
        <w:rPr>
          <w:rFonts w:hint="eastAsia" w:ascii="黑体" w:hAnsi="黑体" w:eastAsia="黑体" w:cs="黑体"/>
          <w:b w:val="0"/>
          <w:bCs w:val="0"/>
          <w:color w:val="000000"/>
          <w:sz w:val="21"/>
          <w:szCs w:val="21"/>
          <w:highlight w:val="none"/>
          <w:lang w:val="en-US" w:eastAsia="zh-CN"/>
        </w:rPr>
        <w:t>1</w:t>
      </w:r>
      <w:r>
        <w:rPr>
          <w:rFonts w:hint="eastAsia" w:ascii="黑体" w:hAnsi="黑体" w:eastAsia="黑体" w:cs="黑体"/>
          <w:b w:val="0"/>
          <w:bCs w:val="0"/>
          <w:color w:val="000000"/>
          <w:sz w:val="21"/>
          <w:szCs w:val="21"/>
          <w:highlight w:val="none"/>
        </w:rPr>
        <w:t>.</w:t>
      </w:r>
      <w:r>
        <w:rPr>
          <w:rFonts w:hint="eastAsia" w:ascii="黑体" w:hAnsi="黑体" w:eastAsia="黑体" w:cs="黑体"/>
          <w:b w:val="0"/>
          <w:bCs w:val="0"/>
          <w:color w:val="000000"/>
          <w:sz w:val="21"/>
          <w:szCs w:val="21"/>
          <w:highlight w:val="none"/>
          <w:lang w:val="en-US" w:eastAsia="zh-CN"/>
        </w:rPr>
        <w:t>3</w:t>
      </w:r>
      <w:r>
        <w:rPr>
          <w:rFonts w:hint="eastAsia" w:ascii="黑体" w:hAnsi="黑体" w:eastAsia="黑体" w:cs="黑体"/>
          <w:b w:val="0"/>
          <w:bCs w:val="0"/>
          <w:color w:val="000000"/>
          <w:sz w:val="21"/>
          <w:szCs w:val="21"/>
          <w:highlight w:val="none"/>
        </w:rPr>
        <w:t>.1 工作曲线线性</w:t>
      </w:r>
    </w:p>
    <w:p w14:paraId="40B70680">
      <w:pPr>
        <w:keepNext w:val="0"/>
        <w:keepLines w:val="0"/>
        <w:pageBreakBefore w:val="0"/>
        <w:kinsoku/>
        <w:wordWrap/>
        <w:overflowPunct/>
        <w:topLinePunct w:val="0"/>
        <w:bidi w:val="0"/>
        <w:snapToGrid/>
        <w:spacing w:line="400" w:lineRule="exact"/>
        <w:ind w:firstLine="420" w:firstLineChars="200"/>
        <w:rPr>
          <w:rFonts w:hint="eastAsia" w:ascii="黑体" w:hAnsi="黑体" w:eastAsia="黑体" w:cs="黑体"/>
          <w:b w:val="0"/>
          <w:bCs w:val="0"/>
          <w:color w:val="auto"/>
          <w:sz w:val="21"/>
          <w:szCs w:val="21"/>
          <w:highlight w:val="none"/>
          <w:lang w:val="en-US" w:eastAsia="zh-CN"/>
        </w:rPr>
      </w:pPr>
      <w:r>
        <w:rPr>
          <w:rFonts w:hint="eastAsia" w:ascii="黑体" w:hAnsi="黑体" w:eastAsia="黑体" w:cs="黑体"/>
          <w:b w:val="0"/>
          <w:bCs w:val="0"/>
          <w:color w:val="auto"/>
          <w:sz w:val="21"/>
          <w:szCs w:val="21"/>
          <w:highlight w:val="none"/>
          <w:lang w:val="en-US" w:eastAsia="zh-CN"/>
        </w:rPr>
        <w:t>1.3.1.1  镉质量分数为0.0010%</w:t>
      </w:r>
      <w:r>
        <w:rPr>
          <w:rFonts w:hint="default" w:ascii="Times New Roman" w:hAnsi="Times New Roman" w:eastAsia="黑体" w:cs="Times New Roman"/>
          <w:b w:val="0"/>
          <w:bCs w:val="0"/>
          <w:color w:val="auto"/>
          <w:sz w:val="21"/>
          <w:szCs w:val="21"/>
          <w:highlight w:val="none"/>
          <w:lang w:val="en-US" w:eastAsia="zh-CN"/>
        </w:rPr>
        <w:t>~</w:t>
      </w:r>
      <w:r>
        <w:rPr>
          <w:rFonts w:hint="eastAsia" w:ascii="黑体" w:hAnsi="黑体" w:eastAsia="黑体" w:cs="黑体"/>
          <w:b w:val="0"/>
          <w:bCs w:val="0"/>
          <w:color w:val="auto"/>
          <w:sz w:val="21"/>
          <w:szCs w:val="21"/>
          <w:highlight w:val="none"/>
          <w:lang w:val="en-US" w:eastAsia="zh-CN"/>
        </w:rPr>
        <w:t>0.10%时</w:t>
      </w:r>
      <w:r>
        <w:rPr>
          <w:rFonts w:hint="eastAsia" w:ascii="黑体" w:hAnsi="黑体" w:eastAsia="黑体" w:cs="黑体"/>
          <w:b w:val="0"/>
          <w:bCs w:val="0"/>
          <w:color w:val="000000"/>
          <w:sz w:val="21"/>
          <w:szCs w:val="21"/>
          <w:highlight w:val="none"/>
        </w:rPr>
        <w:t>工作曲线</w:t>
      </w:r>
      <w:r>
        <w:rPr>
          <w:rFonts w:hint="eastAsia" w:ascii="黑体" w:hAnsi="黑体" w:eastAsia="黑体" w:cs="黑体"/>
          <w:b w:val="0"/>
          <w:bCs w:val="0"/>
          <w:color w:val="000000"/>
          <w:sz w:val="21"/>
          <w:szCs w:val="21"/>
          <w:highlight w:val="none"/>
          <w:lang w:val="en-US" w:eastAsia="zh-CN"/>
        </w:rPr>
        <w:t>1</w:t>
      </w:r>
      <w:r>
        <w:rPr>
          <w:rFonts w:hint="eastAsia" w:ascii="黑体" w:hAnsi="黑体" w:eastAsia="黑体" w:cs="黑体"/>
          <w:b w:val="0"/>
          <w:bCs w:val="0"/>
          <w:color w:val="000000"/>
          <w:sz w:val="21"/>
          <w:szCs w:val="21"/>
          <w:highlight w:val="none"/>
        </w:rPr>
        <w:t>线性</w:t>
      </w:r>
    </w:p>
    <w:p w14:paraId="2FA44785">
      <w:pPr>
        <w:keepNext w:val="0"/>
        <w:keepLines w:val="0"/>
        <w:pageBreakBefore w:val="0"/>
        <w:kinsoku/>
        <w:wordWrap/>
        <w:overflowPunct/>
        <w:topLinePunct w:val="0"/>
        <w:bidi w:val="0"/>
        <w:snapToGrid/>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移取0mL，</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.00mL，</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.00mL，</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.00mL，</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.00mL</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.00mL</w:t>
      </w:r>
      <w:r>
        <w:rPr>
          <w:rFonts w:hint="eastAsia" w:ascii="宋体" w:hAnsi="宋体" w:eastAsia="宋体" w:cs="宋体"/>
          <w:color w:val="auto"/>
          <w:sz w:val="21"/>
          <w:szCs w:val="21"/>
          <w:highlight w:val="none"/>
          <w:lang w:eastAsia="zh-CN"/>
        </w:rPr>
        <w:t>镉</w:t>
      </w:r>
      <w:r>
        <w:rPr>
          <w:rFonts w:hint="eastAsia" w:ascii="宋体" w:hAnsi="宋体" w:eastAsia="宋体" w:cs="宋体"/>
          <w:color w:val="auto"/>
          <w:sz w:val="21"/>
          <w:szCs w:val="21"/>
          <w:highlight w:val="none"/>
        </w:rPr>
        <w:t>标准溶液</w:t>
      </w:r>
      <w:r>
        <w:rPr>
          <w:rFonts w:hint="eastAsia" w:ascii="宋体" w:hAnsi="宋体" w:eastAsia="宋体" w:cs="宋体"/>
          <w:color w:val="auto"/>
          <w:sz w:val="21"/>
          <w:szCs w:val="21"/>
          <w:highlight w:val="none"/>
          <w:lang w:val="en-US" w:eastAsia="zh-CN"/>
        </w:rPr>
        <w:t>B</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1.1.2.7</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分别置于一组100mL容量瓶中，加入</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mL</w:t>
      </w:r>
      <w:r>
        <w:rPr>
          <w:rFonts w:hint="eastAsia" w:ascii="宋体" w:hAnsi="宋体" w:eastAsia="宋体" w:cs="宋体"/>
          <w:color w:val="auto"/>
          <w:sz w:val="21"/>
          <w:szCs w:val="21"/>
          <w:highlight w:val="none"/>
          <w:lang w:eastAsia="zh-CN"/>
        </w:rPr>
        <w:t>混合酸（</w:t>
      </w:r>
      <w:r>
        <w:rPr>
          <w:rFonts w:hint="eastAsia" w:ascii="宋体" w:hAnsi="宋体" w:eastAsia="宋体" w:cs="宋体"/>
          <w:color w:val="auto"/>
          <w:sz w:val="21"/>
          <w:szCs w:val="21"/>
          <w:highlight w:val="none"/>
          <w:lang w:val="en-US" w:eastAsia="zh-CN"/>
        </w:rPr>
        <w:t>1.1.2.5</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用水稀释至刻度，混匀。</w:t>
      </w:r>
    </w:p>
    <w:p w14:paraId="4E06A17F">
      <w:pPr>
        <w:keepNext w:val="0"/>
        <w:keepLines w:val="0"/>
        <w:pageBreakBefore w:val="0"/>
        <w:kinsoku/>
        <w:wordWrap/>
        <w:overflowPunct/>
        <w:topLinePunct w:val="0"/>
        <w:bidi w:val="0"/>
        <w:snapToGrid/>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在上述选定的仪器最佳工作条件下，测定吸光度，结果见表</w:t>
      </w:r>
      <w:r>
        <w:rPr>
          <w:rFonts w:hint="eastAsia" w:ascii="宋体" w:hAnsi="宋体" w:eastAsia="宋体" w:cs="宋体"/>
          <w:color w:val="auto"/>
          <w:sz w:val="21"/>
          <w:szCs w:val="21"/>
          <w:highlight w:val="none"/>
          <w:lang w:val="en-US" w:eastAsia="zh-CN"/>
        </w:rPr>
        <w:t>4-1</w:t>
      </w:r>
      <w:r>
        <w:rPr>
          <w:rFonts w:hint="default" w:ascii="Times New Roman" w:hAnsi="Times New Roman" w:eastAsia="黑体" w:cs="Times New Roman"/>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lang w:val="en-US" w:eastAsia="zh-CN"/>
        </w:rPr>
        <w:t>表4.5</w:t>
      </w:r>
      <w:r>
        <w:rPr>
          <w:rFonts w:hint="eastAsia" w:ascii="宋体" w:hAnsi="宋体" w:eastAsia="宋体" w:cs="宋体"/>
          <w:color w:val="auto"/>
          <w:sz w:val="21"/>
          <w:szCs w:val="21"/>
          <w:highlight w:val="none"/>
        </w:rPr>
        <w:t>。</w:t>
      </w:r>
    </w:p>
    <w:p w14:paraId="69DFA2E3">
      <w:pPr>
        <w:keepNext w:val="0"/>
        <w:keepLines w:val="0"/>
        <w:pageBreakBefore w:val="0"/>
        <w:kinsoku/>
        <w:wordWrap/>
        <w:overflowPunct/>
        <w:topLinePunct w:val="0"/>
        <w:bidi w:val="0"/>
        <w:snapToGrid/>
        <w:spacing w:line="400" w:lineRule="exact"/>
        <w:jc w:val="center"/>
        <w:rPr>
          <w:rFonts w:hint="eastAsia" w:ascii="宋体" w:hAnsi="宋体" w:eastAsia="宋体" w:cs="宋体"/>
          <w:b w:val="0"/>
          <w:bCs w:val="0"/>
          <w:color w:val="auto"/>
          <w:sz w:val="21"/>
          <w:szCs w:val="21"/>
          <w:highlight w:val="none"/>
          <w:lang w:eastAsia="zh-CN"/>
        </w:rPr>
      </w:pPr>
      <w:r>
        <w:rPr>
          <w:rFonts w:hint="eastAsia" w:ascii="黑体" w:hAnsi="黑体" w:eastAsia="黑体" w:cs="黑体"/>
          <w:b w:val="0"/>
          <w:bCs w:val="0"/>
          <w:color w:val="auto"/>
          <w:sz w:val="21"/>
          <w:szCs w:val="21"/>
          <w:highlight w:val="none"/>
        </w:rPr>
        <w:t>表</w:t>
      </w:r>
      <w:r>
        <w:rPr>
          <w:rFonts w:hint="eastAsia" w:ascii="黑体" w:hAnsi="黑体" w:eastAsia="黑体" w:cs="黑体"/>
          <w:b w:val="0"/>
          <w:bCs w:val="0"/>
          <w:color w:val="auto"/>
          <w:sz w:val="21"/>
          <w:szCs w:val="21"/>
          <w:highlight w:val="none"/>
          <w:lang w:val="en-US" w:eastAsia="zh-CN"/>
        </w:rPr>
        <w:t>4-1</w:t>
      </w:r>
      <w:r>
        <w:rPr>
          <w:rFonts w:hint="eastAsia" w:ascii="黑体" w:hAnsi="黑体" w:eastAsia="黑体" w:cs="黑体"/>
          <w:b w:val="0"/>
          <w:bCs w:val="0"/>
          <w:color w:val="auto"/>
          <w:sz w:val="21"/>
          <w:szCs w:val="21"/>
          <w:highlight w:val="none"/>
        </w:rPr>
        <w:t xml:space="preserve"> 工作曲线</w:t>
      </w:r>
      <w:r>
        <w:rPr>
          <w:rFonts w:hint="eastAsia" w:ascii="黑体" w:hAnsi="黑体" w:eastAsia="黑体" w:cs="黑体"/>
          <w:b w:val="0"/>
          <w:bCs w:val="0"/>
          <w:color w:val="auto"/>
          <w:sz w:val="21"/>
          <w:szCs w:val="21"/>
          <w:highlight w:val="none"/>
          <w:lang w:val="en-US" w:eastAsia="zh-CN"/>
        </w:rPr>
        <w:t>1</w:t>
      </w:r>
      <w:r>
        <w:rPr>
          <w:rFonts w:hint="eastAsia" w:ascii="黑体" w:hAnsi="黑体" w:eastAsia="黑体" w:cs="黑体"/>
          <w:b w:val="0"/>
          <w:bCs w:val="0"/>
          <w:color w:val="auto"/>
          <w:sz w:val="21"/>
          <w:szCs w:val="21"/>
          <w:highlight w:val="none"/>
        </w:rPr>
        <w:t>测定结果</w:t>
      </w:r>
      <w:r>
        <w:rPr>
          <w:rFonts w:hint="eastAsia" w:ascii="黑体" w:hAnsi="黑体" w:eastAsia="黑体" w:cs="黑体"/>
          <w:b w:val="0"/>
          <w:bCs w:val="0"/>
          <w:color w:val="auto"/>
          <w:sz w:val="21"/>
          <w:szCs w:val="21"/>
          <w:highlight w:val="none"/>
          <w:lang w:eastAsia="zh-CN"/>
        </w:rPr>
        <w:t>（中铝洛阳铜加工有限公司）</w:t>
      </w:r>
    </w:p>
    <w:tbl>
      <w:tblPr>
        <w:tblStyle w:val="1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6"/>
        <w:gridCol w:w="1101"/>
        <w:gridCol w:w="1101"/>
        <w:gridCol w:w="1101"/>
        <w:gridCol w:w="1101"/>
        <w:gridCol w:w="1101"/>
        <w:gridCol w:w="1101"/>
      </w:tblGrid>
      <w:tr w14:paraId="725E1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6" w:type="dxa"/>
            <w:vAlign w:val="center"/>
          </w:tcPr>
          <w:p w14:paraId="34F1E94D">
            <w:pPr>
              <w:keepNext w:val="0"/>
              <w:keepLines w:val="0"/>
              <w:pageBreakBefore w:val="0"/>
              <w:kinsoku/>
              <w:wordWrap/>
              <w:overflowPunct/>
              <w:topLinePunct w:val="0"/>
              <w:bidi w:val="0"/>
              <w:snapToGrid/>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Cd</w:t>
            </w:r>
            <w:r>
              <w:rPr>
                <w:rFonts w:hint="eastAsia" w:ascii="宋体" w:hAnsi="宋体" w:eastAsia="宋体" w:cs="宋体"/>
                <w:color w:val="auto"/>
                <w:sz w:val="21"/>
                <w:szCs w:val="21"/>
                <w:highlight w:val="none"/>
              </w:rPr>
              <w:t>浓度（μg/mL</w:t>
            </w:r>
            <w:r>
              <w:rPr>
                <w:rFonts w:hint="eastAsia" w:ascii="宋体" w:hAnsi="宋体" w:eastAsia="宋体" w:cs="宋体"/>
                <w:color w:val="auto"/>
                <w:sz w:val="21"/>
                <w:szCs w:val="21"/>
                <w:highlight w:val="none"/>
                <w:lang w:eastAsia="zh-CN"/>
              </w:rPr>
              <w:t>）</w:t>
            </w:r>
          </w:p>
        </w:tc>
        <w:tc>
          <w:tcPr>
            <w:tcW w:w="1101" w:type="dxa"/>
            <w:vAlign w:val="center"/>
          </w:tcPr>
          <w:p w14:paraId="15DFCF71">
            <w:pPr>
              <w:keepNext w:val="0"/>
              <w:keepLines w:val="0"/>
              <w:pageBreakBefore w:val="0"/>
              <w:kinsoku/>
              <w:wordWrap/>
              <w:overflowPunct/>
              <w:topLinePunct w:val="0"/>
              <w:bidi w:val="0"/>
              <w:snapToGrid/>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0.00</w:t>
            </w:r>
          </w:p>
        </w:tc>
        <w:tc>
          <w:tcPr>
            <w:tcW w:w="1101" w:type="dxa"/>
            <w:vAlign w:val="center"/>
          </w:tcPr>
          <w:p w14:paraId="2988216E">
            <w:pPr>
              <w:keepNext w:val="0"/>
              <w:keepLines w:val="0"/>
              <w:pageBreakBefore w:val="0"/>
              <w:kinsoku/>
              <w:wordWrap/>
              <w:overflowPunct/>
              <w:topLinePunct w:val="0"/>
              <w:bidi w:val="0"/>
              <w:snapToGrid/>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0</w:t>
            </w:r>
          </w:p>
        </w:tc>
        <w:tc>
          <w:tcPr>
            <w:tcW w:w="1101" w:type="dxa"/>
            <w:vAlign w:val="center"/>
          </w:tcPr>
          <w:p w14:paraId="1E4BCA19">
            <w:pPr>
              <w:keepNext w:val="0"/>
              <w:keepLines w:val="0"/>
              <w:pageBreakBefore w:val="0"/>
              <w:kinsoku/>
              <w:wordWrap/>
              <w:overflowPunct/>
              <w:topLinePunct w:val="0"/>
              <w:bidi w:val="0"/>
              <w:snapToGrid/>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0</w:t>
            </w:r>
          </w:p>
        </w:tc>
        <w:tc>
          <w:tcPr>
            <w:tcW w:w="1101" w:type="dxa"/>
            <w:vAlign w:val="center"/>
          </w:tcPr>
          <w:p w14:paraId="500EA488">
            <w:pPr>
              <w:keepNext w:val="0"/>
              <w:keepLines w:val="0"/>
              <w:pageBreakBefore w:val="0"/>
              <w:kinsoku/>
              <w:wordWrap/>
              <w:overflowPunct/>
              <w:topLinePunct w:val="0"/>
              <w:bidi w:val="0"/>
              <w:snapToGrid/>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0</w:t>
            </w:r>
          </w:p>
        </w:tc>
        <w:tc>
          <w:tcPr>
            <w:tcW w:w="1101" w:type="dxa"/>
            <w:vAlign w:val="center"/>
          </w:tcPr>
          <w:p w14:paraId="088704A8">
            <w:pPr>
              <w:keepNext w:val="0"/>
              <w:keepLines w:val="0"/>
              <w:pageBreakBefore w:val="0"/>
              <w:kinsoku/>
              <w:wordWrap/>
              <w:overflowPunct/>
              <w:topLinePunct w:val="0"/>
              <w:bidi w:val="0"/>
              <w:snapToGrid/>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0</w:t>
            </w:r>
          </w:p>
        </w:tc>
        <w:tc>
          <w:tcPr>
            <w:tcW w:w="1101" w:type="dxa"/>
            <w:vAlign w:val="center"/>
          </w:tcPr>
          <w:p w14:paraId="012E639A">
            <w:pPr>
              <w:keepNext w:val="0"/>
              <w:keepLines w:val="0"/>
              <w:pageBreakBefore w:val="0"/>
              <w:kinsoku/>
              <w:wordWrap/>
              <w:overflowPunct/>
              <w:topLinePunct w:val="0"/>
              <w:bidi w:val="0"/>
              <w:snapToGrid/>
              <w:spacing w:line="40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1.00</w:t>
            </w:r>
          </w:p>
        </w:tc>
      </w:tr>
      <w:tr w14:paraId="59F25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6" w:type="dxa"/>
            <w:vAlign w:val="center"/>
          </w:tcPr>
          <w:p w14:paraId="24640418">
            <w:pPr>
              <w:keepNext w:val="0"/>
              <w:keepLines w:val="0"/>
              <w:pageBreakBefore w:val="0"/>
              <w:kinsoku/>
              <w:wordWrap/>
              <w:overflowPunct/>
              <w:topLinePunct w:val="0"/>
              <w:bidi w:val="0"/>
              <w:snapToGrid/>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吸光度</w:t>
            </w:r>
            <w:r>
              <w:rPr>
                <w:rFonts w:hint="eastAsia" w:ascii="宋体" w:hAnsi="宋体" w:eastAsia="宋体" w:cs="宋体"/>
                <w:i/>
                <w:iCs/>
                <w:color w:val="auto"/>
                <w:sz w:val="21"/>
                <w:szCs w:val="21"/>
                <w:highlight w:val="none"/>
              </w:rPr>
              <w:t>A</w:t>
            </w:r>
          </w:p>
        </w:tc>
        <w:tc>
          <w:tcPr>
            <w:tcW w:w="1101" w:type="dxa"/>
            <w:vAlign w:val="center"/>
          </w:tcPr>
          <w:p w14:paraId="30144B03">
            <w:pPr>
              <w:keepNext w:val="0"/>
              <w:keepLines w:val="0"/>
              <w:pageBreakBefore w:val="0"/>
              <w:kinsoku/>
              <w:wordWrap/>
              <w:overflowPunct/>
              <w:topLinePunct w:val="0"/>
              <w:bidi w:val="0"/>
              <w:snapToGrid/>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0.000</w:t>
            </w:r>
          </w:p>
        </w:tc>
        <w:tc>
          <w:tcPr>
            <w:tcW w:w="1101" w:type="dxa"/>
            <w:vAlign w:val="center"/>
          </w:tcPr>
          <w:p w14:paraId="4456B1D6">
            <w:pPr>
              <w:keepNext w:val="0"/>
              <w:keepLines w:val="0"/>
              <w:pageBreakBefore w:val="0"/>
              <w:kinsoku/>
              <w:wordWrap/>
              <w:overflowPunct/>
              <w:topLinePunct w:val="0"/>
              <w:bidi w:val="0"/>
              <w:snapToGrid/>
              <w:spacing w:line="40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0.0</w:t>
            </w:r>
            <w:r>
              <w:rPr>
                <w:rFonts w:hint="eastAsia" w:ascii="宋体" w:hAnsi="宋体" w:eastAsia="宋体" w:cs="宋体"/>
                <w:color w:val="auto"/>
                <w:sz w:val="21"/>
                <w:szCs w:val="21"/>
                <w:highlight w:val="none"/>
                <w:lang w:val="en-US" w:eastAsia="zh-CN"/>
              </w:rPr>
              <w:t>56</w:t>
            </w:r>
          </w:p>
        </w:tc>
        <w:tc>
          <w:tcPr>
            <w:tcW w:w="1101" w:type="dxa"/>
            <w:vAlign w:val="center"/>
          </w:tcPr>
          <w:p w14:paraId="409FDBF2">
            <w:pPr>
              <w:keepNext w:val="0"/>
              <w:keepLines w:val="0"/>
              <w:pageBreakBefore w:val="0"/>
              <w:kinsoku/>
              <w:wordWrap/>
              <w:overflowPunct/>
              <w:topLinePunct w:val="0"/>
              <w:bidi w:val="0"/>
              <w:snapToGrid/>
              <w:spacing w:line="40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0.1</w:t>
            </w:r>
            <w:r>
              <w:rPr>
                <w:rFonts w:hint="eastAsia" w:ascii="宋体" w:hAnsi="宋体" w:eastAsia="宋体" w:cs="宋体"/>
                <w:color w:val="auto"/>
                <w:sz w:val="21"/>
                <w:szCs w:val="21"/>
                <w:highlight w:val="none"/>
                <w:lang w:val="en-US" w:eastAsia="zh-CN"/>
              </w:rPr>
              <w:t>08</w:t>
            </w:r>
          </w:p>
        </w:tc>
        <w:tc>
          <w:tcPr>
            <w:tcW w:w="1101" w:type="dxa"/>
            <w:vAlign w:val="center"/>
          </w:tcPr>
          <w:p w14:paraId="6A2DE07E">
            <w:pPr>
              <w:keepNext w:val="0"/>
              <w:keepLines w:val="0"/>
              <w:pageBreakBefore w:val="0"/>
              <w:kinsoku/>
              <w:wordWrap/>
              <w:overflowPunct/>
              <w:topLinePunct w:val="0"/>
              <w:bidi w:val="0"/>
              <w:snapToGrid/>
              <w:spacing w:line="40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0.1</w:t>
            </w:r>
            <w:r>
              <w:rPr>
                <w:rFonts w:hint="eastAsia" w:ascii="宋体" w:hAnsi="宋体" w:eastAsia="宋体" w:cs="宋体"/>
                <w:color w:val="auto"/>
                <w:sz w:val="21"/>
                <w:szCs w:val="21"/>
                <w:highlight w:val="none"/>
                <w:lang w:val="en-US" w:eastAsia="zh-CN"/>
              </w:rPr>
              <w:t>61</w:t>
            </w:r>
          </w:p>
        </w:tc>
        <w:tc>
          <w:tcPr>
            <w:tcW w:w="1101" w:type="dxa"/>
            <w:vAlign w:val="center"/>
          </w:tcPr>
          <w:p w14:paraId="023CE5A1">
            <w:pPr>
              <w:keepNext w:val="0"/>
              <w:keepLines w:val="0"/>
              <w:pageBreakBefore w:val="0"/>
              <w:kinsoku/>
              <w:wordWrap/>
              <w:overflowPunct/>
              <w:topLinePunct w:val="0"/>
              <w:bidi w:val="0"/>
              <w:snapToGrid/>
              <w:spacing w:line="40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0.2</w:t>
            </w:r>
            <w:r>
              <w:rPr>
                <w:rFonts w:hint="eastAsia" w:ascii="宋体" w:hAnsi="宋体" w:eastAsia="宋体" w:cs="宋体"/>
                <w:color w:val="auto"/>
                <w:sz w:val="21"/>
                <w:szCs w:val="21"/>
                <w:highlight w:val="none"/>
                <w:lang w:val="en-US" w:eastAsia="zh-CN"/>
              </w:rPr>
              <w:t>13</w:t>
            </w:r>
          </w:p>
        </w:tc>
        <w:tc>
          <w:tcPr>
            <w:tcW w:w="1101" w:type="dxa"/>
            <w:vAlign w:val="center"/>
          </w:tcPr>
          <w:p w14:paraId="4C796FE2">
            <w:pPr>
              <w:keepNext w:val="0"/>
              <w:keepLines w:val="0"/>
              <w:pageBreakBefore w:val="0"/>
              <w:kinsoku/>
              <w:wordWrap/>
              <w:overflowPunct/>
              <w:topLinePunct w:val="0"/>
              <w:bidi w:val="0"/>
              <w:snapToGrid/>
              <w:spacing w:line="40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0.</w:t>
            </w:r>
            <w:r>
              <w:rPr>
                <w:rFonts w:hint="eastAsia" w:ascii="宋体" w:hAnsi="宋体" w:eastAsia="宋体" w:cs="宋体"/>
                <w:color w:val="auto"/>
                <w:sz w:val="21"/>
                <w:szCs w:val="21"/>
                <w:highlight w:val="none"/>
                <w:lang w:val="en-US" w:eastAsia="zh-CN"/>
              </w:rPr>
              <w:t>260</w:t>
            </w:r>
          </w:p>
        </w:tc>
      </w:tr>
    </w:tbl>
    <w:p w14:paraId="448B3CFC">
      <w:pPr>
        <w:keepNext w:val="0"/>
        <w:keepLines w:val="0"/>
        <w:pageBreakBefore w:val="0"/>
        <w:kinsoku/>
        <w:wordWrap/>
        <w:overflowPunct/>
        <w:topLinePunct w:val="0"/>
        <w:bidi w:val="0"/>
        <w:snapToGrid/>
        <w:spacing w:line="400" w:lineRule="exact"/>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以</w:t>
      </w:r>
      <w:r>
        <w:rPr>
          <w:rFonts w:hint="eastAsia" w:ascii="宋体" w:hAnsi="宋体" w:eastAsia="宋体" w:cs="宋体"/>
          <w:color w:val="000000"/>
          <w:sz w:val="21"/>
          <w:szCs w:val="21"/>
          <w:highlight w:val="none"/>
          <w:lang w:eastAsia="zh-CN"/>
        </w:rPr>
        <w:t>镉</w:t>
      </w:r>
      <w:r>
        <w:rPr>
          <w:rFonts w:hint="eastAsia" w:ascii="宋体" w:hAnsi="宋体" w:eastAsia="宋体" w:cs="宋体"/>
          <w:color w:val="000000"/>
          <w:sz w:val="21"/>
          <w:szCs w:val="21"/>
          <w:highlight w:val="none"/>
        </w:rPr>
        <w:t>浓度为横坐标，相应的吸光度为纵坐标绘制工作曲线见图1</w:t>
      </w:r>
      <w:r>
        <w:rPr>
          <w:rFonts w:hint="eastAsia" w:ascii="宋体" w:hAnsi="宋体" w:eastAsia="宋体" w:cs="宋体"/>
          <w:color w:val="000000"/>
          <w:sz w:val="21"/>
          <w:szCs w:val="21"/>
          <w:highlight w:val="none"/>
          <w:lang w:val="en-US" w:eastAsia="zh-CN"/>
        </w:rPr>
        <w:t>-1</w:t>
      </w:r>
      <w:r>
        <w:rPr>
          <w:rFonts w:hint="eastAsia" w:ascii="宋体" w:hAnsi="宋体" w:eastAsia="宋体" w:cs="宋体"/>
          <w:color w:val="000000"/>
          <w:sz w:val="21"/>
          <w:szCs w:val="21"/>
          <w:highlight w:val="none"/>
        </w:rPr>
        <w:t>。</w:t>
      </w:r>
    </w:p>
    <w:p w14:paraId="0DAD7DC7">
      <w:pPr>
        <w:keepNext w:val="0"/>
        <w:keepLines w:val="0"/>
        <w:pageBreakBefore w:val="0"/>
        <w:kinsoku/>
        <w:wordWrap/>
        <w:overflowPunct/>
        <w:topLinePunct w:val="0"/>
        <w:bidi w:val="0"/>
        <w:snapToGrid/>
        <w:spacing w:line="400" w:lineRule="exact"/>
        <w:jc w:val="center"/>
        <w:rPr>
          <w:rFonts w:hint="eastAsia" w:ascii="宋体" w:hAnsi="宋体" w:eastAsia="宋体" w:cs="宋体"/>
          <w:color w:val="000000"/>
          <w:sz w:val="21"/>
          <w:szCs w:val="21"/>
          <w:highlight w:val="none"/>
        </w:rPr>
      </w:pPr>
    </w:p>
    <w:p w14:paraId="1F0CAA87">
      <w:pPr>
        <w:keepNext w:val="0"/>
        <w:keepLines w:val="0"/>
        <w:pageBreakBefore w:val="0"/>
        <w:kinsoku/>
        <w:wordWrap/>
        <w:overflowPunct/>
        <w:topLinePunct w:val="0"/>
        <w:bidi w:val="0"/>
        <w:snapToGrid/>
        <w:spacing w:line="400" w:lineRule="exact"/>
        <w:jc w:val="center"/>
        <w:rPr>
          <w:rFonts w:hint="eastAsia" w:ascii="宋体" w:hAnsi="宋体" w:eastAsia="宋体" w:cs="宋体"/>
          <w:b/>
          <w:bCs/>
          <w:color w:val="000000"/>
          <w:sz w:val="21"/>
          <w:szCs w:val="21"/>
          <w:highlight w:val="none"/>
        </w:rPr>
      </w:pPr>
      <w:r>
        <w:rPr>
          <w:rFonts w:hint="eastAsia" w:ascii="宋体" w:hAnsi="宋体" w:eastAsia="宋体" w:cs="宋体"/>
          <w:sz w:val="21"/>
          <w:szCs w:val="21"/>
        </w:rPr>
        <w:drawing>
          <wp:anchor distT="0" distB="0" distL="114300" distR="114300" simplePos="0" relativeHeight="251660288" behindDoc="0" locked="0" layoutInCell="1" allowOverlap="1">
            <wp:simplePos x="0" y="0"/>
            <wp:positionH relativeFrom="column">
              <wp:posOffset>706120</wp:posOffset>
            </wp:positionH>
            <wp:positionV relativeFrom="page">
              <wp:posOffset>6926580</wp:posOffset>
            </wp:positionV>
            <wp:extent cx="3995420" cy="1929130"/>
            <wp:effectExtent l="5080" t="4445" r="7620" b="17145"/>
            <wp:wrapNone/>
            <wp:docPr id="13"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anchor>
        </w:drawing>
      </w:r>
    </w:p>
    <w:p w14:paraId="0A0A4D0F">
      <w:pPr>
        <w:keepNext w:val="0"/>
        <w:keepLines w:val="0"/>
        <w:pageBreakBefore w:val="0"/>
        <w:kinsoku/>
        <w:wordWrap/>
        <w:overflowPunct/>
        <w:topLinePunct w:val="0"/>
        <w:bidi w:val="0"/>
        <w:snapToGrid/>
        <w:spacing w:line="400" w:lineRule="exact"/>
        <w:jc w:val="center"/>
        <w:rPr>
          <w:rFonts w:hint="eastAsia" w:ascii="宋体" w:hAnsi="宋体" w:eastAsia="宋体" w:cs="宋体"/>
          <w:b/>
          <w:bCs/>
          <w:color w:val="000000"/>
          <w:sz w:val="21"/>
          <w:szCs w:val="21"/>
          <w:highlight w:val="none"/>
        </w:rPr>
      </w:pPr>
    </w:p>
    <w:p w14:paraId="62F0DA91">
      <w:pPr>
        <w:keepNext w:val="0"/>
        <w:keepLines w:val="0"/>
        <w:pageBreakBefore w:val="0"/>
        <w:kinsoku/>
        <w:wordWrap/>
        <w:overflowPunct/>
        <w:topLinePunct w:val="0"/>
        <w:bidi w:val="0"/>
        <w:snapToGrid/>
        <w:spacing w:line="400" w:lineRule="exact"/>
        <w:jc w:val="center"/>
        <w:rPr>
          <w:rFonts w:hint="eastAsia" w:ascii="宋体" w:hAnsi="宋体" w:eastAsia="宋体" w:cs="宋体"/>
          <w:b/>
          <w:bCs/>
          <w:color w:val="000000"/>
          <w:sz w:val="21"/>
          <w:szCs w:val="21"/>
          <w:highlight w:val="none"/>
        </w:rPr>
      </w:pPr>
    </w:p>
    <w:p w14:paraId="3618A3EE">
      <w:pPr>
        <w:keepNext w:val="0"/>
        <w:keepLines w:val="0"/>
        <w:pageBreakBefore w:val="0"/>
        <w:kinsoku/>
        <w:wordWrap/>
        <w:overflowPunct/>
        <w:topLinePunct w:val="0"/>
        <w:bidi w:val="0"/>
        <w:snapToGrid/>
        <w:spacing w:line="400" w:lineRule="exact"/>
        <w:jc w:val="center"/>
        <w:rPr>
          <w:rFonts w:hint="eastAsia" w:ascii="宋体" w:hAnsi="宋体" w:eastAsia="宋体" w:cs="宋体"/>
          <w:b/>
          <w:bCs/>
          <w:color w:val="000000"/>
          <w:sz w:val="21"/>
          <w:szCs w:val="21"/>
          <w:highlight w:val="none"/>
        </w:rPr>
      </w:pPr>
    </w:p>
    <w:p w14:paraId="0D4C8206">
      <w:pPr>
        <w:keepNext w:val="0"/>
        <w:keepLines w:val="0"/>
        <w:pageBreakBefore w:val="0"/>
        <w:kinsoku/>
        <w:wordWrap/>
        <w:overflowPunct/>
        <w:topLinePunct w:val="0"/>
        <w:bidi w:val="0"/>
        <w:snapToGrid/>
        <w:spacing w:line="400" w:lineRule="exact"/>
        <w:jc w:val="center"/>
        <w:rPr>
          <w:rFonts w:hint="eastAsia" w:ascii="宋体" w:hAnsi="宋体" w:eastAsia="宋体" w:cs="宋体"/>
          <w:b/>
          <w:bCs/>
          <w:color w:val="000000"/>
          <w:sz w:val="21"/>
          <w:szCs w:val="21"/>
          <w:highlight w:val="none"/>
        </w:rPr>
      </w:pPr>
    </w:p>
    <w:p w14:paraId="21AC19B5">
      <w:pPr>
        <w:keepNext w:val="0"/>
        <w:keepLines w:val="0"/>
        <w:pageBreakBefore w:val="0"/>
        <w:kinsoku/>
        <w:wordWrap/>
        <w:overflowPunct/>
        <w:topLinePunct w:val="0"/>
        <w:bidi w:val="0"/>
        <w:snapToGrid/>
        <w:spacing w:line="400" w:lineRule="exact"/>
        <w:jc w:val="center"/>
        <w:rPr>
          <w:rFonts w:hint="eastAsia" w:ascii="宋体" w:hAnsi="宋体" w:eastAsia="宋体" w:cs="宋体"/>
          <w:b/>
          <w:bCs/>
          <w:color w:val="000000"/>
          <w:sz w:val="21"/>
          <w:szCs w:val="21"/>
          <w:highlight w:val="none"/>
        </w:rPr>
      </w:pPr>
    </w:p>
    <w:p w14:paraId="76C4573F">
      <w:pPr>
        <w:keepNext w:val="0"/>
        <w:keepLines w:val="0"/>
        <w:pageBreakBefore w:val="0"/>
        <w:kinsoku/>
        <w:wordWrap/>
        <w:overflowPunct/>
        <w:topLinePunct w:val="0"/>
        <w:bidi w:val="0"/>
        <w:snapToGrid/>
        <w:spacing w:line="400" w:lineRule="exact"/>
        <w:jc w:val="both"/>
        <w:rPr>
          <w:rFonts w:hint="eastAsia" w:ascii="宋体" w:hAnsi="宋体" w:eastAsia="宋体" w:cs="宋体"/>
          <w:color w:val="0000FF"/>
          <w:sz w:val="21"/>
          <w:szCs w:val="21"/>
          <w:highlight w:val="none"/>
        </w:rPr>
      </w:pPr>
    </w:p>
    <w:p w14:paraId="530FB4C8">
      <w:pPr>
        <w:keepNext w:val="0"/>
        <w:keepLines w:val="0"/>
        <w:pageBreakBefore w:val="0"/>
        <w:kinsoku/>
        <w:wordWrap/>
        <w:overflowPunct/>
        <w:topLinePunct w:val="0"/>
        <w:bidi w:val="0"/>
        <w:snapToGrid/>
        <w:spacing w:line="400" w:lineRule="exact"/>
        <w:jc w:val="center"/>
        <w:rPr>
          <w:rFonts w:hint="eastAsia" w:ascii="宋体" w:hAnsi="宋体" w:eastAsia="宋体" w:cs="宋体"/>
          <w:color w:val="auto"/>
          <w:sz w:val="21"/>
          <w:szCs w:val="21"/>
          <w:highlight w:val="none"/>
        </w:rPr>
      </w:pPr>
    </w:p>
    <w:p w14:paraId="099A279F">
      <w:pPr>
        <w:keepNext w:val="0"/>
        <w:keepLines w:val="0"/>
        <w:pageBreakBefore w:val="0"/>
        <w:kinsoku/>
        <w:wordWrap/>
        <w:overflowPunct/>
        <w:topLinePunct w:val="0"/>
        <w:bidi w:val="0"/>
        <w:snapToGrid/>
        <w:spacing w:line="400" w:lineRule="exact"/>
        <w:jc w:val="center"/>
        <w:rPr>
          <w:rFonts w:hint="eastAsia" w:ascii="宋体" w:hAnsi="宋体" w:eastAsia="宋体" w:cs="宋体"/>
          <w:color w:val="auto"/>
          <w:sz w:val="21"/>
          <w:szCs w:val="21"/>
          <w:highlight w:val="none"/>
        </w:rPr>
      </w:pPr>
    </w:p>
    <w:p w14:paraId="44F4FB29">
      <w:pPr>
        <w:keepNext w:val="0"/>
        <w:keepLines w:val="0"/>
        <w:pageBreakBefore w:val="0"/>
        <w:kinsoku/>
        <w:wordWrap/>
        <w:overflowPunct/>
        <w:topLinePunct w:val="0"/>
        <w:bidi w:val="0"/>
        <w:snapToGrid/>
        <w:spacing w:line="400" w:lineRule="exact"/>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rPr>
        <w:t>图1</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：工作曲线</w:t>
      </w:r>
      <w:r>
        <w:rPr>
          <w:rFonts w:hint="eastAsia" w:ascii="宋体" w:hAnsi="宋体" w:eastAsia="宋体" w:cs="宋体"/>
          <w:color w:val="auto"/>
          <w:sz w:val="21"/>
          <w:szCs w:val="21"/>
          <w:highlight w:val="none"/>
          <w:lang w:val="en-US" w:eastAsia="zh-CN"/>
        </w:rPr>
        <w:t>1</w:t>
      </w:r>
    </w:p>
    <w:p w14:paraId="56A61994">
      <w:pPr>
        <w:keepNext w:val="0"/>
        <w:keepLines w:val="0"/>
        <w:pageBreakBefore w:val="0"/>
        <w:kinsoku/>
        <w:wordWrap/>
        <w:overflowPunct/>
        <w:topLinePunct w:val="0"/>
        <w:bidi w:val="0"/>
        <w:snapToGrid/>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工作曲线线性方程为</w:t>
      </w:r>
      <w:r>
        <w:rPr>
          <w:rFonts w:hint="eastAsia" w:ascii="宋体" w:hAnsi="宋体" w:eastAsia="宋体" w:cs="宋体"/>
          <w:i/>
          <w:iCs/>
          <w:color w:val="auto"/>
          <w:sz w:val="21"/>
          <w:szCs w:val="21"/>
          <w:highlight w:val="none"/>
          <w:lang w:val="en-US" w:eastAsia="zh-CN"/>
        </w:rPr>
        <w:t>A</w:t>
      </w:r>
      <w:r>
        <w:rPr>
          <w:rFonts w:hint="eastAsia" w:ascii="宋体" w:hAnsi="宋体" w:eastAsia="宋体" w:cs="宋体"/>
          <w:i w:val="0"/>
          <w:iCs w:val="0"/>
          <w:color w:val="auto"/>
          <w:sz w:val="21"/>
          <w:szCs w:val="21"/>
          <w:highlight w:val="none"/>
          <w:lang w:val="en-US" w:eastAsia="zh-CN"/>
        </w:rPr>
        <w:t xml:space="preserve"> </w:t>
      </w:r>
      <w:r>
        <w:rPr>
          <w:rFonts w:hint="eastAsia" w:ascii="宋体" w:hAnsi="宋体" w:eastAsia="宋体" w:cs="宋体"/>
          <w:i w:val="0"/>
          <w:iCs w:val="0"/>
          <w:color w:val="auto"/>
          <w:sz w:val="21"/>
          <w:szCs w:val="21"/>
          <w:highlight w:val="none"/>
        </w:rPr>
        <w:t>=</w:t>
      </w:r>
      <w:r>
        <w:rPr>
          <w:rFonts w:hint="eastAsia" w:ascii="宋体" w:hAnsi="宋体" w:eastAsia="宋体" w:cs="宋体"/>
          <w:i w:val="0"/>
          <w:iCs w:val="0"/>
          <w:color w:val="auto"/>
          <w:sz w:val="21"/>
          <w:szCs w:val="21"/>
          <w:highlight w:val="none"/>
          <w:lang w:val="en-US" w:eastAsia="zh-CN"/>
        </w:rPr>
        <w:t xml:space="preserve"> 0.2606</w:t>
      </w:r>
      <w:r>
        <w:rPr>
          <w:rFonts w:hint="eastAsia" w:ascii="宋体" w:hAnsi="宋体" w:eastAsia="宋体" w:cs="宋体"/>
          <w:i/>
          <w:iCs/>
          <w:color w:val="auto"/>
          <w:sz w:val="21"/>
          <w:szCs w:val="21"/>
          <w:highlight w:val="none"/>
          <w:lang w:val="en-US" w:eastAsia="zh-CN"/>
        </w:rPr>
        <w:t>c</w:t>
      </w:r>
      <w:r>
        <w:rPr>
          <w:rFonts w:hint="eastAsia" w:ascii="宋体" w:hAnsi="宋体" w:eastAsia="宋体" w:cs="宋体"/>
          <w:i w:val="0"/>
          <w:iCs w:val="0"/>
          <w:color w:val="auto"/>
          <w:sz w:val="21"/>
          <w:szCs w:val="21"/>
          <w:highlight w:val="none"/>
          <w:lang w:val="en-US" w:eastAsia="zh-CN"/>
        </w:rPr>
        <w:t xml:space="preserve"> +0.0027</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线性相关系数R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0.9997。</w:t>
      </w:r>
    </w:p>
    <w:p w14:paraId="43D78BCD">
      <w:pPr>
        <w:keepNext w:val="0"/>
        <w:keepLines w:val="0"/>
        <w:pageBreakBefore w:val="0"/>
        <w:kinsoku/>
        <w:wordWrap/>
        <w:overflowPunct/>
        <w:topLinePunct w:val="0"/>
        <w:bidi w:val="0"/>
        <w:snapToGrid/>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将标准曲线按浓度等分成五段，最高段吸光度的差值与最低段吸光度的差值之比为0.0</w:t>
      </w:r>
      <w:r>
        <w:rPr>
          <w:rFonts w:hint="eastAsia" w:ascii="宋体" w:hAnsi="宋体" w:eastAsia="宋体" w:cs="宋体"/>
          <w:color w:val="auto"/>
          <w:sz w:val="21"/>
          <w:szCs w:val="21"/>
          <w:highlight w:val="none"/>
          <w:lang w:val="en-US" w:eastAsia="zh-CN"/>
        </w:rPr>
        <w:t>47</w:t>
      </w:r>
      <w:r>
        <w:rPr>
          <w:rFonts w:hint="eastAsia" w:ascii="宋体" w:hAnsi="宋体" w:eastAsia="宋体" w:cs="宋体"/>
          <w:color w:val="auto"/>
          <w:sz w:val="21"/>
          <w:szCs w:val="21"/>
          <w:highlight w:val="none"/>
        </w:rPr>
        <w:t>/0.0</w:t>
      </w:r>
      <w:r>
        <w:rPr>
          <w:rFonts w:hint="eastAsia" w:ascii="宋体" w:hAnsi="宋体" w:eastAsia="宋体" w:cs="宋体"/>
          <w:color w:val="auto"/>
          <w:sz w:val="21"/>
          <w:szCs w:val="21"/>
          <w:highlight w:val="none"/>
          <w:lang w:val="en-US" w:eastAsia="zh-CN"/>
        </w:rPr>
        <w:t>56</w:t>
      </w:r>
      <w:r>
        <w:rPr>
          <w:rFonts w:hint="eastAsia" w:ascii="宋体" w:hAnsi="宋体" w:eastAsia="宋体" w:cs="宋体"/>
          <w:color w:val="auto"/>
          <w:sz w:val="21"/>
          <w:szCs w:val="21"/>
          <w:highlight w:val="none"/>
        </w:rPr>
        <w:t>＝0.</w:t>
      </w:r>
      <w:r>
        <w:rPr>
          <w:rFonts w:hint="eastAsia" w:ascii="宋体" w:hAnsi="宋体" w:eastAsia="宋体" w:cs="宋体"/>
          <w:color w:val="auto"/>
          <w:sz w:val="21"/>
          <w:szCs w:val="21"/>
          <w:highlight w:val="none"/>
          <w:lang w:val="en-US" w:eastAsia="zh-CN"/>
        </w:rPr>
        <w:t xml:space="preserve">84 </w:t>
      </w:r>
      <w:r>
        <w:rPr>
          <w:rFonts w:hint="eastAsia" w:ascii="宋体" w:hAnsi="宋体" w:eastAsia="宋体" w:cs="宋体"/>
          <w:color w:val="auto"/>
          <w:sz w:val="21"/>
          <w:szCs w:val="21"/>
          <w:highlight w:val="none"/>
        </w:rPr>
        <w:t>&gt;</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0.7，即工作曲线</w:t>
      </w:r>
      <w:r>
        <w:rPr>
          <w:rFonts w:hint="eastAsia" w:ascii="宋体" w:hAnsi="宋体" w:eastAsia="宋体" w:cs="宋体"/>
          <w:color w:val="auto"/>
          <w:sz w:val="21"/>
          <w:szCs w:val="21"/>
          <w:highlight w:val="none"/>
          <w:lang w:eastAsia="zh-CN"/>
        </w:rPr>
        <w:t>线性</w:t>
      </w:r>
      <w:r>
        <w:rPr>
          <w:rFonts w:hint="eastAsia" w:ascii="宋体" w:hAnsi="宋体" w:eastAsia="宋体" w:cs="宋体"/>
          <w:color w:val="auto"/>
          <w:sz w:val="21"/>
          <w:szCs w:val="21"/>
          <w:highlight w:val="none"/>
        </w:rPr>
        <w:t>满足要求。</w:t>
      </w:r>
    </w:p>
    <w:p w14:paraId="46754792">
      <w:pPr>
        <w:keepNext w:val="0"/>
        <w:keepLines w:val="0"/>
        <w:pageBreakBefore w:val="0"/>
        <w:kinsoku/>
        <w:wordWrap/>
        <w:overflowPunct/>
        <w:topLinePunct w:val="0"/>
        <w:bidi w:val="0"/>
        <w:snapToGrid/>
        <w:spacing w:line="400" w:lineRule="exact"/>
        <w:ind w:firstLine="420" w:firstLineChars="200"/>
        <w:rPr>
          <w:rFonts w:hint="eastAsia" w:ascii="宋体" w:hAnsi="宋体" w:eastAsia="宋体" w:cs="宋体"/>
          <w:color w:val="auto"/>
          <w:sz w:val="21"/>
          <w:szCs w:val="21"/>
          <w:highlight w:val="none"/>
        </w:rPr>
      </w:pPr>
    </w:p>
    <w:p w14:paraId="1DC47E1E">
      <w:pPr>
        <w:keepNext w:val="0"/>
        <w:keepLines w:val="0"/>
        <w:pageBreakBefore w:val="0"/>
        <w:kinsoku/>
        <w:wordWrap/>
        <w:overflowPunct/>
        <w:topLinePunct w:val="0"/>
        <w:bidi w:val="0"/>
        <w:snapToGrid/>
        <w:spacing w:line="400" w:lineRule="exact"/>
        <w:ind w:firstLine="420" w:firstLineChars="200"/>
        <w:rPr>
          <w:rFonts w:hint="eastAsia" w:ascii="黑体" w:hAnsi="黑体" w:eastAsia="黑体" w:cs="黑体"/>
          <w:b w:val="0"/>
          <w:bCs w:val="0"/>
          <w:color w:val="000000"/>
          <w:sz w:val="21"/>
          <w:szCs w:val="21"/>
          <w:highlight w:val="none"/>
        </w:rPr>
      </w:pPr>
      <w:r>
        <w:rPr>
          <w:rFonts w:hint="eastAsia" w:ascii="黑体" w:hAnsi="黑体" w:eastAsia="黑体" w:cs="黑体"/>
          <w:b w:val="0"/>
          <w:bCs w:val="0"/>
          <w:color w:val="auto"/>
          <w:sz w:val="21"/>
          <w:szCs w:val="21"/>
          <w:highlight w:val="none"/>
          <w:lang w:val="en-US" w:eastAsia="zh-CN"/>
        </w:rPr>
        <w:t>1.3.1.2  镉质量分数为0.10%</w:t>
      </w:r>
      <w:r>
        <w:rPr>
          <w:rFonts w:hint="default" w:ascii="Times New Roman" w:hAnsi="Times New Roman" w:eastAsia="黑体" w:cs="Times New Roman"/>
          <w:b w:val="0"/>
          <w:bCs w:val="0"/>
          <w:color w:val="auto"/>
          <w:sz w:val="21"/>
          <w:szCs w:val="21"/>
          <w:highlight w:val="none"/>
          <w:lang w:val="en-US" w:eastAsia="zh-CN"/>
        </w:rPr>
        <w:t>~</w:t>
      </w:r>
      <w:r>
        <w:rPr>
          <w:rFonts w:hint="eastAsia" w:ascii="黑体" w:hAnsi="黑体" w:eastAsia="黑体" w:cs="黑体"/>
          <w:b w:val="0"/>
          <w:bCs w:val="0"/>
          <w:color w:val="auto"/>
          <w:sz w:val="21"/>
          <w:szCs w:val="21"/>
          <w:highlight w:val="none"/>
          <w:lang w:val="en-US" w:eastAsia="zh-CN"/>
        </w:rPr>
        <w:t>2.00%时</w:t>
      </w:r>
      <w:r>
        <w:rPr>
          <w:rFonts w:hint="eastAsia" w:ascii="黑体" w:hAnsi="黑体" w:eastAsia="黑体" w:cs="黑体"/>
          <w:b w:val="0"/>
          <w:bCs w:val="0"/>
          <w:color w:val="000000"/>
          <w:sz w:val="21"/>
          <w:szCs w:val="21"/>
          <w:highlight w:val="none"/>
        </w:rPr>
        <w:t>工作曲线</w:t>
      </w:r>
      <w:r>
        <w:rPr>
          <w:rFonts w:hint="eastAsia" w:ascii="黑体" w:hAnsi="黑体" w:eastAsia="黑体" w:cs="黑体"/>
          <w:b w:val="0"/>
          <w:bCs w:val="0"/>
          <w:color w:val="000000"/>
          <w:sz w:val="21"/>
          <w:szCs w:val="21"/>
          <w:highlight w:val="none"/>
          <w:lang w:val="en-US" w:eastAsia="zh-CN"/>
        </w:rPr>
        <w:t>2</w:t>
      </w:r>
      <w:r>
        <w:rPr>
          <w:rFonts w:hint="eastAsia" w:ascii="黑体" w:hAnsi="黑体" w:eastAsia="黑体" w:cs="黑体"/>
          <w:b w:val="0"/>
          <w:bCs w:val="0"/>
          <w:color w:val="000000"/>
          <w:sz w:val="21"/>
          <w:szCs w:val="21"/>
          <w:highlight w:val="none"/>
        </w:rPr>
        <w:t>线性</w:t>
      </w:r>
    </w:p>
    <w:p w14:paraId="04E963A8">
      <w:pPr>
        <w:keepNext w:val="0"/>
        <w:keepLines w:val="0"/>
        <w:pageBreakBefore w:val="0"/>
        <w:kinsoku/>
        <w:wordWrap/>
        <w:overflowPunct/>
        <w:topLinePunct w:val="0"/>
        <w:bidi w:val="0"/>
        <w:snapToGrid/>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移取0mL，</w:t>
      </w:r>
      <w:r>
        <w:rPr>
          <w:rFonts w:hint="eastAsia" w:ascii="宋体" w:hAnsi="宋体" w:eastAsia="宋体" w:cs="宋体"/>
          <w:color w:val="auto"/>
          <w:sz w:val="21"/>
          <w:szCs w:val="21"/>
          <w:highlight w:val="none"/>
          <w:lang w:val="en-US" w:eastAsia="zh-CN"/>
        </w:rPr>
        <w:t>0.50</w:t>
      </w:r>
      <w:r>
        <w:rPr>
          <w:rFonts w:hint="eastAsia" w:ascii="宋体" w:hAnsi="宋体" w:eastAsia="宋体" w:cs="宋体"/>
          <w:color w:val="auto"/>
          <w:sz w:val="21"/>
          <w:szCs w:val="21"/>
          <w:highlight w:val="none"/>
        </w:rPr>
        <w:t>mL，</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.00mL，</w:t>
      </w:r>
      <w:r>
        <w:rPr>
          <w:rFonts w:hint="eastAsia" w:ascii="宋体" w:hAnsi="宋体" w:eastAsia="宋体" w:cs="宋体"/>
          <w:color w:val="auto"/>
          <w:sz w:val="21"/>
          <w:szCs w:val="21"/>
          <w:highlight w:val="none"/>
          <w:lang w:val="en-US" w:eastAsia="zh-CN"/>
        </w:rPr>
        <w:t>1.5</w:t>
      </w:r>
      <w:r>
        <w:rPr>
          <w:rFonts w:hint="eastAsia" w:ascii="宋体" w:hAnsi="宋体" w:eastAsia="宋体" w:cs="宋体"/>
          <w:color w:val="auto"/>
          <w:sz w:val="21"/>
          <w:szCs w:val="21"/>
          <w:highlight w:val="none"/>
        </w:rPr>
        <w:t>0mL，</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.00mL</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0mL</w:t>
      </w:r>
      <w:r>
        <w:rPr>
          <w:rFonts w:hint="eastAsia" w:ascii="宋体" w:hAnsi="宋体" w:eastAsia="宋体" w:cs="宋体"/>
          <w:color w:val="auto"/>
          <w:sz w:val="21"/>
          <w:szCs w:val="21"/>
          <w:highlight w:val="none"/>
          <w:lang w:eastAsia="zh-CN"/>
        </w:rPr>
        <w:t>镉</w:t>
      </w:r>
      <w:r>
        <w:rPr>
          <w:rFonts w:hint="eastAsia" w:ascii="宋体" w:hAnsi="宋体" w:eastAsia="宋体" w:cs="宋体"/>
          <w:color w:val="auto"/>
          <w:sz w:val="21"/>
          <w:szCs w:val="21"/>
          <w:highlight w:val="none"/>
        </w:rPr>
        <w:t>标准溶液</w:t>
      </w:r>
      <w:r>
        <w:rPr>
          <w:rFonts w:hint="eastAsia" w:ascii="宋体" w:hAnsi="宋体" w:eastAsia="宋体" w:cs="宋体"/>
          <w:color w:val="auto"/>
          <w:sz w:val="21"/>
          <w:szCs w:val="21"/>
          <w:highlight w:val="none"/>
          <w:lang w:val="en-US" w:eastAsia="zh-CN"/>
        </w:rPr>
        <w:t>A</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1.1.2.6</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分别置于一组100mL容量瓶中，加入</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mL</w:t>
      </w:r>
      <w:r>
        <w:rPr>
          <w:rFonts w:hint="eastAsia" w:ascii="宋体" w:hAnsi="宋体" w:eastAsia="宋体" w:cs="宋体"/>
          <w:color w:val="auto"/>
          <w:sz w:val="21"/>
          <w:szCs w:val="21"/>
          <w:highlight w:val="none"/>
          <w:lang w:eastAsia="zh-CN"/>
        </w:rPr>
        <w:t>混合酸（</w:t>
      </w:r>
      <w:r>
        <w:rPr>
          <w:rFonts w:hint="eastAsia" w:ascii="宋体" w:hAnsi="宋体" w:eastAsia="宋体" w:cs="宋体"/>
          <w:color w:val="auto"/>
          <w:sz w:val="21"/>
          <w:szCs w:val="21"/>
          <w:highlight w:val="none"/>
          <w:lang w:val="en-US" w:eastAsia="zh-CN"/>
        </w:rPr>
        <w:t>1.1.2.5</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用水稀释至刻度，混匀。</w:t>
      </w:r>
    </w:p>
    <w:p w14:paraId="1A4AAA06">
      <w:pPr>
        <w:keepNext w:val="0"/>
        <w:keepLines w:val="0"/>
        <w:pageBreakBefore w:val="0"/>
        <w:kinsoku/>
        <w:wordWrap/>
        <w:overflowPunct/>
        <w:topLinePunct w:val="0"/>
        <w:bidi w:val="0"/>
        <w:snapToGrid/>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在上述选定的仪器最佳工作条件下，测定吸光度，结果见表</w:t>
      </w:r>
      <w:r>
        <w:rPr>
          <w:rFonts w:hint="eastAsia" w:ascii="宋体" w:hAnsi="宋体" w:eastAsia="宋体" w:cs="宋体"/>
          <w:color w:val="auto"/>
          <w:sz w:val="21"/>
          <w:szCs w:val="21"/>
          <w:highlight w:val="none"/>
          <w:lang w:val="en-US" w:eastAsia="zh-CN"/>
        </w:rPr>
        <w:t>5-1</w:t>
      </w:r>
      <w:r>
        <w:rPr>
          <w:rFonts w:hint="default" w:ascii="Times New Roman" w:hAnsi="Times New Roman" w:eastAsia="黑体" w:cs="Times New Roman"/>
          <w:b w:val="0"/>
          <w:bCs w:val="0"/>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5-5</w:t>
      </w:r>
      <w:r>
        <w:rPr>
          <w:rFonts w:hint="eastAsia" w:ascii="宋体" w:hAnsi="宋体" w:eastAsia="宋体" w:cs="宋体"/>
          <w:color w:val="auto"/>
          <w:sz w:val="21"/>
          <w:szCs w:val="21"/>
          <w:highlight w:val="none"/>
        </w:rPr>
        <w:t>。</w:t>
      </w:r>
    </w:p>
    <w:p w14:paraId="2BEAE2CC">
      <w:pPr>
        <w:keepNext w:val="0"/>
        <w:keepLines w:val="0"/>
        <w:pageBreakBefore w:val="0"/>
        <w:kinsoku/>
        <w:wordWrap/>
        <w:overflowPunct/>
        <w:topLinePunct w:val="0"/>
        <w:bidi w:val="0"/>
        <w:snapToGrid/>
        <w:spacing w:line="400" w:lineRule="exact"/>
        <w:jc w:val="center"/>
        <w:rPr>
          <w:rFonts w:hint="eastAsia" w:ascii="宋体" w:hAnsi="宋体" w:eastAsia="宋体" w:cs="宋体"/>
          <w:b w:val="0"/>
          <w:bCs w:val="0"/>
          <w:color w:val="auto"/>
          <w:sz w:val="21"/>
          <w:szCs w:val="21"/>
          <w:highlight w:val="none"/>
          <w:lang w:eastAsia="zh-CN"/>
        </w:rPr>
      </w:pPr>
      <w:r>
        <w:rPr>
          <w:rFonts w:hint="eastAsia" w:ascii="黑体" w:hAnsi="黑体" w:eastAsia="黑体" w:cs="黑体"/>
          <w:b w:val="0"/>
          <w:bCs w:val="0"/>
          <w:color w:val="auto"/>
          <w:sz w:val="21"/>
          <w:szCs w:val="21"/>
          <w:highlight w:val="none"/>
        </w:rPr>
        <w:t>表</w:t>
      </w:r>
      <w:r>
        <w:rPr>
          <w:rFonts w:hint="eastAsia" w:ascii="黑体" w:hAnsi="黑体" w:eastAsia="黑体" w:cs="黑体"/>
          <w:b w:val="0"/>
          <w:bCs w:val="0"/>
          <w:color w:val="auto"/>
          <w:sz w:val="21"/>
          <w:szCs w:val="21"/>
          <w:highlight w:val="none"/>
          <w:lang w:val="en-US" w:eastAsia="zh-CN"/>
        </w:rPr>
        <w:t>5-1</w:t>
      </w:r>
      <w:r>
        <w:rPr>
          <w:rFonts w:hint="eastAsia" w:ascii="黑体" w:hAnsi="黑体" w:eastAsia="黑体" w:cs="黑体"/>
          <w:b w:val="0"/>
          <w:bCs w:val="0"/>
          <w:color w:val="auto"/>
          <w:sz w:val="21"/>
          <w:szCs w:val="21"/>
          <w:highlight w:val="none"/>
        </w:rPr>
        <w:t xml:space="preserve"> 工作曲线</w:t>
      </w:r>
      <w:r>
        <w:rPr>
          <w:rFonts w:hint="eastAsia" w:ascii="黑体" w:hAnsi="黑体" w:eastAsia="黑体" w:cs="黑体"/>
          <w:b w:val="0"/>
          <w:bCs w:val="0"/>
          <w:color w:val="auto"/>
          <w:sz w:val="21"/>
          <w:szCs w:val="21"/>
          <w:highlight w:val="none"/>
          <w:lang w:val="en-US" w:eastAsia="zh-CN"/>
        </w:rPr>
        <w:t>2</w:t>
      </w:r>
      <w:r>
        <w:rPr>
          <w:rFonts w:hint="eastAsia" w:ascii="黑体" w:hAnsi="黑体" w:eastAsia="黑体" w:cs="黑体"/>
          <w:b w:val="0"/>
          <w:bCs w:val="0"/>
          <w:color w:val="auto"/>
          <w:sz w:val="21"/>
          <w:szCs w:val="21"/>
          <w:highlight w:val="none"/>
        </w:rPr>
        <w:t>测定结果</w:t>
      </w:r>
      <w:r>
        <w:rPr>
          <w:rFonts w:hint="eastAsia" w:ascii="黑体" w:hAnsi="黑体" w:eastAsia="黑体" w:cs="黑体"/>
          <w:b w:val="0"/>
          <w:bCs w:val="0"/>
          <w:color w:val="auto"/>
          <w:sz w:val="21"/>
          <w:szCs w:val="21"/>
          <w:highlight w:val="none"/>
          <w:lang w:eastAsia="zh-CN"/>
        </w:rPr>
        <w:t>（中铝洛阳铜加工有限公司）</w:t>
      </w:r>
    </w:p>
    <w:tbl>
      <w:tblPr>
        <w:tblStyle w:val="1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6"/>
        <w:gridCol w:w="1101"/>
        <w:gridCol w:w="1101"/>
        <w:gridCol w:w="1101"/>
        <w:gridCol w:w="1101"/>
        <w:gridCol w:w="1101"/>
        <w:gridCol w:w="1101"/>
      </w:tblGrid>
      <w:tr w14:paraId="430BD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6" w:type="dxa"/>
            <w:vAlign w:val="center"/>
          </w:tcPr>
          <w:p w14:paraId="650176F9">
            <w:pPr>
              <w:keepNext w:val="0"/>
              <w:keepLines w:val="0"/>
              <w:pageBreakBefore w:val="0"/>
              <w:kinsoku/>
              <w:wordWrap/>
              <w:overflowPunct/>
              <w:topLinePunct w:val="0"/>
              <w:bidi w:val="0"/>
              <w:snapToGrid/>
              <w:spacing w:line="400" w:lineRule="exact"/>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Cd</w:t>
            </w:r>
            <w:r>
              <w:rPr>
                <w:rFonts w:hint="eastAsia" w:ascii="宋体" w:hAnsi="宋体" w:eastAsia="宋体" w:cs="宋体"/>
                <w:b w:val="0"/>
                <w:bCs w:val="0"/>
                <w:color w:val="auto"/>
                <w:sz w:val="21"/>
                <w:szCs w:val="21"/>
                <w:highlight w:val="none"/>
              </w:rPr>
              <w:t>浓度（μg/mL</w:t>
            </w:r>
            <w:r>
              <w:rPr>
                <w:rFonts w:hint="eastAsia" w:ascii="宋体" w:hAnsi="宋体" w:eastAsia="宋体" w:cs="宋体"/>
                <w:b w:val="0"/>
                <w:bCs w:val="0"/>
                <w:color w:val="auto"/>
                <w:sz w:val="21"/>
                <w:szCs w:val="21"/>
                <w:highlight w:val="none"/>
                <w:lang w:eastAsia="zh-CN"/>
              </w:rPr>
              <w:t>）</w:t>
            </w:r>
          </w:p>
        </w:tc>
        <w:tc>
          <w:tcPr>
            <w:tcW w:w="1101" w:type="dxa"/>
            <w:vAlign w:val="center"/>
          </w:tcPr>
          <w:p w14:paraId="3B3D60EF">
            <w:pPr>
              <w:keepNext w:val="0"/>
              <w:keepLines w:val="0"/>
              <w:pageBreakBefore w:val="0"/>
              <w:kinsoku/>
              <w:wordWrap/>
              <w:overflowPunct/>
              <w:topLinePunct w:val="0"/>
              <w:bidi w:val="0"/>
              <w:snapToGrid/>
              <w:spacing w:line="400" w:lineRule="exact"/>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0.00</w:t>
            </w:r>
          </w:p>
        </w:tc>
        <w:tc>
          <w:tcPr>
            <w:tcW w:w="1101" w:type="dxa"/>
            <w:vAlign w:val="center"/>
          </w:tcPr>
          <w:p w14:paraId="59559318">
            <w:pPr>
              <w:keepNext w:val="0"/>
              <w:keepLines w:val="0"/>
              <w:pageBreakBefore w:val="0"/>
              <w:kinsoku/>
              <w:wordWrap/>
              <w:overflowPunct/>
              <w:topLinePunct w:val="0"/>
              <w:bidi w:val="0"/>
              <w:snapToGrid/>
              <w:spacing w:line="400" w:lineRule="exact"/>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0.</w:t>
            </w:r>
            <w:r>
              <w:rPr>
                <w:rFonts w:hint="eastAsia" w:ascii="宋体" w:hAnsi="宋体" w:eastAsia="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rPr>
              <w:t>0</w:t>
            </w:r>
          </w:p>
        </w:tc>
        <w:tc>
          <w:tcPr>
            <w:tcW w:w="1101" w:type="dxa"/>
            <w:vAlign w:val="center"/>
          </w:tcPr>
          <w:p w14:paraId="08042A4A">
            <w:pPr>
              <w:keepNext w:val="0"/>
              <w:keepLines w:val="0"/>
              <w:pageBreakBefore w:val="0"/>
              <w:kinsoku/>
              <w:wordWrap/>
              <w:overflowPunct/>
              <w:topLinePunct w:val="0"/>
              <w:bidi w:val="0"/>
              <w:snapToGrid/>
              <w:spacing w:line="400" w:lineRule="exact"/>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1.00</w:t>
            </w:r>
          </w:p>
        </w:tc>
        <w:tc>
          <w:tcPr>
            <w:tcW w:w="1101" w:type="dxa"/>
            <w:vAlign w:val="center"/>
          </w:tcPr>
          <w:p w14:paraId="461DCE6D">
            <w:pPr>
              <w:keepNext w:val="0"/>
              <w:keepLines w:val="0"/>
              <w:pageBreakBefore w:val="0"/>
              <w:kinsoku/>
              <w:wordWrap/>
              <w:overflowPunct/>
              <w:topLinePunct w:val="0"/>
              <w:bidi w:val="0"/>
              <w:snapToGrid/>
              <w:spacing w:line="400" w:lineRule="exact"/>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1.50</w:t>
            </w:r>
          </w:p>
        </w:tc>
        <w:tc>
          <w:tcPr>
            <w:tcW w:w="1101" w:type="dxa"/>
            <w:vAlign w:val="center"/>
          </w:tcPr>
          <w:p w14:paraId="35472264">
            <w:pPr>
              <w:keepNext w:val="0"/>
              <w:keepLines w:val="0"/>
              <w:pageBreakBefore w:val="0"/>
              <w:kinsoku/>
              <w:wordWrap/>
              <w:overflowPunct/>
              <w:topLinePunct w:val="0"/>
              <w:bidi w:val="0"/>
              <w:snapToGrid/>
              <w:spacing w:line="400" w:lineRule="exact"/>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2.00</w:t>
            </w:r>
          </w:p>
        </w:tc>
        <w:tc>
          <w:tcPr>
            <w:tcW w:w="1101" w:type="dxa"/>
            <w:vAlign w:val="center"/>
          </w:tcPr>
          <w:p w14:paraId="776BA262">
            <w:pPr>
              <w:keepNext w:val="0"/>
              <w:keepLines w:val="0"/>
              <w:pageBreakBefore w:val="0"/>
              <w:kinsoku/>
              <w:wordWrap/>
              <w:overflowPunct/>
              <w:topLinePunct w:val="0"/>
              <w:bidi w:val="0"/>
              <w:snapToGrid/>
              <w:spacing w:line="400" w:lineRule="exact"/>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2.50</w:t>
            </w:r>
          </w:p>
        </w:tc>
      </w:tr>
      <w:tr w14:paraId="59190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6" w:type="dxa"/>
            <w:vAlign w:val="center"/>
          </w:tcPr>
          <w:p w14:paraId="1CDB5D6B">
            <w:pPr>
              <w:keepNext w:val="0"/>
              <w:keepLines w:val="0"/>
              <w:pageBreakBefore w:val="0"/>
              <w:kinsoku/>
              <w:wordWrap/>
              <w:overflowPunct/>
              <w:topLinePunct w:val="0"/>
              <w:bidi w:val="0"/>
              <w:snapToGrid/>
              <w:spacing w:line="400" w:lineRule="exact"/>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吸光度</w:t>
            </w:r>
            <w:r>
              <w:rPr>
                <w:rFonts w:hint="eastAsia" w:ascii="宋体" w:hAnsi="宋体" w:eastAsia="宋体" w:cs="宋体"/>
                <w:b w:val="0"/>
                <w:bCs w:val="0"/>
                <w:i/>
                <w:iCs/>
                <w:color w:val="auto"/>
                <w:sz w:val="21"/>
                <w:szCs w:val="21"/>
                <w:highlight w:val="none"/>
              </w:rPr>
              <w:t>A</w:t>
            </w:r>
          </w:p>
        </w:tc>
        <w:tc>
          <w:tcPr>
            <w:tcW w:w="1101" w:type="dxa"/>
            <w:vAlign w:val="center"/>
          </w:tcPr>
          <w:p w14:paraId="4C1266CA">
            <w:pPr>
              <w:keepNext w:val="0"/>
              <w:keepLines w:val="0"/>
              <w:pageBreakBefore w:val="0"/>
              <w:kinsoku/>
              <w:wordWrap/>
              <w:overflowPunct/>
              <w:topLinePunct w:val="0"/>
              <w:bidi w:val="0"/>
              <w:snapToGrid/>
              <w:spacing w:line="400" w:lineRule="exact"/>
              <w:jc w:val="center"/>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0.00</w:t>
            </w:r>
            <w:r>
              <w:rPr>
                <w:rFonts w:hint="eastAsia" w:ascii="宋体" w:hAnsi="宋体" w:eastAsia="宋体" w:cs="宋体"/>
                <w:b w:val="0"/>
                <w:bCs w:val="0"/>
                <w:color w:val="auto"/>
                <w:sz w:val="21"/>
                <w:szCs w:val="21"/>
                <w:highlight w:val="none"/>
                <w:lang w:val="en-US" w:eastAsia="zh-CN"/>
              </w:rPr>
              <w:t>1</w:t>
            </w:r>
          </w:p>
        </w:tc>
        <w:tc>
          <w:tcPr>
            <w:tcW w:w="1101" w:type="dxa"/>
            <w:vAlign w:val="center"/>
          </w:tcPr>
          <w:p w14:paraId="3D47D357">
            <w:pPr>
              <w:keepNext w:val="0"/>
              <w:keepLines w:val="0"/>
              <w:pageBreakBefore w:val="0"/>
              <w:kinsoku/>
              <w:wordWrap/>
              <w:overflowPunct/>
              <w:topLinePunct w:val="0"/>
              <w:bidi w:val="0"/>
              <w:snapToGrid/>
              <w:spacing w:line="400" w:lineRule="exact"/>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0.0</w:t>
            </w:r>
            <w:r>
              <w:rPr>
                <w:rFonts w:hint="eastAsia" w:ascii="宋体" w:hAnsi="宋体" w:eastAsia="宋体" w:cs="宋体"/>
                <w:b w:val="0"/>
                <w:bCs w:val="0"/>
                <w:color w:val="auto"/>
                <w:sz w:val="21"/>
                <w:szCs w:val="21"/>
                <w:highlight w:val="none"/>
                <w:lang w:val="en-US" w:eastAsia="zh-CN"/>
              </w:rPr>
              <w:t>57</w:t>
            </w:r>
          </w:p>
        </w:tc>
        <w:tc>
          <w:tcPr>
            <w:tcW w:w="1101" w:type="dxa"/>
            <w:vAlign w:val="center"/>
          </w:tcPr>
          <w:p w14:paraId="7571340A">
            <w:pPr>
              <w:keepNext w:val="0"/>
              <w:keepLines w:val="0"/>
              <w:pageBreakBefore w:val="0"/>
              <w:kinsoku/>
              <w:wordWrap/>
              <w:overflowPunct/>
              <w:topLinePunct w:val="0"/>
              <w:bidi w:val="0"/>
              <w:snapToGrid/>
              <w:spacing w:line="400" w:lineRule="exact"/>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0.1</w:t>
            </w:r>
            <w:r>
              <w:rPr>
                <w:rFonts w:hint="eastAsia" w:ascii="宋体" w:hAnsi="宋体" w:eastAsia="宋体" w:cs="宋体"/>
                <w:b w:val="0"/>
                <w:bCs w:val="0"/>
                <w:color w:val="auto"/>
                <w:sz w:val="21"/>
                <w:szCs w:val="21"/>
                <w:highlight w:val="none"/>
                <w:lang w:val="en-US" w:eastAsia="zh-CN"/>
              </w:rPr>
              <w:t>10</w:t>
            </w:r>
          </w:p>
        </w:tc>
        <w:tc>
          <w:tcPr>
            <w:tcW w:w="1101" w:type="dxa"/>
            <w:vAlign w:val="center"/>
          </w:tcPr>
          <w:p w14:paraId="1D5F7E03">
            <w:pPr>
              <w:keepNext w:val="0"/>
              <w:keepLines w:val="0"/>
              <w:pageBreakBefore w:val="0"/>
              <w:kinsoku/>
              <w:wordWrap/>
              <w:overflowPunct/>
              <w:topLinePunct w:val="0"/>
              <w:bidi w:val="0"/>
              <w:snapToGrid/>
              <w:spacing w:line="400" w:lineRule="exact"/>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0.1</w:t>
            </w:r>
            <w:r>
              <w:rPr>
                <w:rFonts w:hint="eastAsia" w:ascii="宋体" w:hAnsi="宋体" w:eastAsia="宋体" w:cs="宋体"/>
                <w:b w:val="0"/>
                <w:bCs w:val="0"/>
                <w:color w:val="auto"/>
                <w:sz w:val="21"/>
                <w:szCs w:val="21"/>
                <w:highlight w:val="none"/>
                <w:lang w:val="en-US" w:eastAsia="zh-CN"/>
              </w:rPr>
              <w:t>59</w:t>
            </w:r>
          </w:p>
        </w:tc>
        <w:tc>
          <w:tcPr>
            <w:tcW w:w="1101" w:type="dxa"/>
            <w:vAlign w:val="center"/>
          </w:tcPr>
          <w:p w14:paraId="6DA36845">
            <w:pPr>
              <w:keepNext w:val="0"/>
              <w:keepLines w:val="0"/>
              <w:pageBreakBefore w:val="0"/>
              <w:kinsoku/>
              <w:wordWrap/>
              <w:overflowPunct/>
              <w:topLinePunct w:val="0"/>
              <w:bidi w:val="0"/>
              <w:snapToGrid/>
              <w:spacing w:line="400" w:lineRule="exact"/>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0.2</w:t>
            </w:r>
            <w:r>
              <w:rPr>
                <w:rFonts w:hint="eastAsia" w:ascii="宋体" w:hAnsi="宋体" w:eastAsia="宋体" w:cs="宋体"/>
                <w:b w:val="0"/>
                <w:bCs w:val="0"/>
                <w:color w:val="auto"/>
                <w:sz w:val="21"/>
                <w:szCs w:val="21"/>
                <w:highlight w:val="none"/>
                <w:lang w:val="en-US" w:eastAsia="zh-CN"/>
              </w:rPr>
              <w:t>09</w:t>
            </w:r>
          </w:p>
        </w:tc>
        <w:tc>
          <w:tcPr>
            <w:tcW w:w="1101" w:type="dxa"/>
            <w:vAlign w:val="center"/>
          </w:tcPr>
          <w:p w14:paraId="467312A6">
            <w:pPr>
              <w:keepNext w:val="0"/>
              <w:keepLines w:val="0"/>
              <w:pageBreakBefore w:val="0"/>
              <w:kinsoku/>
              <w:wordWrap/>
              <w:overflowPunct/>
              <w:topLinePunct w:val="0"/>
              <w:bidi w:val="0"/>
              <w:snapToGrid/>
              <w:spacing w:line="400" w:lineRule="exact"/>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0.</w:t>
            </w:r>
            <w:r>
              <w:rPr>
                <w:rFonts w:hint="eastAsia" w:ascii="宋体" w:hAnsi="宋体" w:eastAsia="宋体" w:cs="宋体"/>
                <w:b w:val="0"/>
                <w:bCs w:val="0"/>
                <w:color w:val="auto"/>
                <w:sz w:val="21"/>
                <w:szCs w:val="21"/>
                <w:highlight w:val="none"/>
                <w:lang w:val="en-US" w:eastAsia="zh-CN"/>
              </w:rPr>
              <w:t>257</w:t>
            </w:r>
          </w:p>
        </w:tc>
      </w:tr>
    </w:tbl>
    <w:p w14:paraId="0F577B28">
      <w:pPr>
        <w:keepNext w:val="0"/>
        <w:keepLines w:val="0"/>
        <w:pageBreakBefore w:val="0"/>
        <w:kinsoku/>
        <w:wordWrap/>
        <w:overflowPunct/>
        <w:topLinePunct w:val="0"/>
        <w:bidi w:val="0"/>
        <w:snapToGrid/>
        <w:spacing w:line="400" w:lineRule="exact"/>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以</w:t>
      </w:r>
      <w:r>
        <w:rPr>
          <w:rFonts w:hint="eastAsia" w:ascii="宋体" w:hAnsi="宋体" w:eastAsia="宋体" w:cs="宋体"/>
          <w:color w:val="000000"/>
          <w:sz w:val="21"/>
          <w:szCs w:val="21"/>
          <w:highlight w:val="none"/>
          <w:lang w:eastAsia="zh-CN"/>
        </w:rPr>
        <w:t>镉</w:t>
      </w:r>
      <w:r>
        <w:rPr>
          <w:rFonts w:hint="eastAsia" w:ascii="宋体" w:hAnsi="宋体" w:eastAsia="宋体" w:cs="宋体"/>
          <w:color w:val="000000"/>
          <w:sz w:val="21"/>
          <w:szCs w:val="21"/>
          <w:highlight w:val="none"/>
        </w:rPr>
        <w:t>浓度为横坐标，相应的吸光度为纵坐标绘制工作曲线见图</w:t>
      </w:r>
      <w:r>
        <w:rPr>
          <w:rFonts w:hint="eastAsia" w:ascii="宋体" w:hAnsi="宋体" w:eastAsia="宋体" w:cs="宋体"/>
          <w:color w:val="000000"/>
          <w:sz w:val="21"/>
          <w:szCs w:val="21"/>
          <w:highlight w:val="none"/>
          <w:lang w:val="en-US" w:eastAsia="zh-CN"/>
        </w:rPr>
        <w:t>2-1</w:t>
      </w:r>
      <w:r>
        <w:rPr>
          <w:rFonts w:hint="eastAsia" w:ascii="宋体" w:hAnsi="宋体" w:eastAsia="宋体" w:cs="宋体"/>
          <w:color w:val="000000"/>
          <w:sz w:val="21"/>
          <w:szCs w:val="21"/>
          <w:highlight w:val="none"/>
        </w:rPr>
        <w:t>。</w:t>
      </w:r>
    </w:p>
    <w:p w14:paraId="5FA27C89">
      <w:pPr>
        <w:keepNext w:val="0"/>
        <w:keepLines w:val="0"/>
        <w:pageBreakBefore w:val="0"/>
        <w:kinsoku/>
        <w:wordWrap/>
        <w:overflowPunct/>
        <w:topLinePunct w:val="0"/>
        <w:bidi w:val="0"/>
        <w:snapToGrid/>
        <w:spacing w:line="400" w:lineRule="exact"/>
        <w:jc w:val="center"/>
        <w:rPr>
          <w:rFonts w:hint="eastAsia" w:ascii="宋体" w:hAnsi="宋体" w:eastAsia="宋体" w:cs="宋体"/>
          <w:color w:val="000000"/>
          <w:sz w:val="21"/>
          <w:szCs w:val="21"/>
          <w:highlight w:val="none"/>
        </w:rPr>
      </w:pPr>
      <w:r>
        <w:rPr>
          <w:rFonts w:hint="eastAsia" w:ascii="宋体" w:hAnsi="宋体" w:eastAsia="宋体" w:cs="宋体"/>
          <w:sz w:val="21"/>
          <w:szCs w:val="21"/>
        </w:rPr>
        <w:drawing>
          <wp:anchor distT="0" distB="0" distL="114300" distR="114300" simplePos="0" relativeHeight="251661312" behindDoc="0" locked="0" layoutInCell="1" allowOverlap="1">
            <wp:simplePos x="0" y="0"/>
            <wp:positionH relativeFrom="column">
              <wp:posOffset>927100</wp:posOffset>
            </wp:positionH>
            <wp:positionV relativeFrom="page">
              <wp:posOffset>3966845</wp:posOffset>
            </wp:positionV>
            <wp:extent cx="3477895" cy="2080260"/>
            <wp:effectExtent l="4445" t="4445" r="7620" b="18415"/>
            <wp:wrapNone/>
            <wp:docPr id="1"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anchor>
        </w:drawing>
      </w:r>
    </w:p>
    <w:p w14:paraId="6CDC0F42">
      <w:pPr>
        <w:keepNext w:val="0"/>
        <w:keepLines w:val="0"/>
        <w:pageBreakBefore w:val="0"/>
        <w:kinsoku/>
        <w:wordWrap/>
        <w:overflowPunct/>
        <w:topLinePunct w:val="0"/>
        <w:bidi w:val="0"/>
        <w:snapToGrid/>
        <w:spacing w:line="400" w:lineRule="exact"/>
        <w:jc w:val="center"/>
        <w:rPr>
          <w:rFonts w:hint="eastAsia" w:ascii="宋体" w:hAnsi="宋体" w:eastAsia="宋体" w:cs="宋体"/>
          <w:b/>
          <w:bCs/>
          <w:color w:val="000000"/>
          <w:sz w:val="21"/>
          <w:szCs w:val="21"/>
          <w:highlight w:val="none"/>
        </w:rPr>
      </w:pPr>
    </w:p>
    <w:p w14:paraId="4EED7052">
      <w:pPr>
        <w:keepNext w:val="0"/>
        <w:keepLines w:val="0"/>
        <w:pageBreakBefore w:val="0"/>
        <w:kinsoku/>
        <w:wordWrap/>
        <w:overflowPunct/>
        <w:topLinePunct w:val="0"/>
        <w:bidi w:val="0"/>
        <w:snapToGrid/>
        <w:spacing w:line="400" w:lineRule="exact"/>
        <w:jc w:val="center"/>
        <w:rPr>
          <w:rFonts w:hint="eastAsia" w:ascii="宋体" w:hAnsi="宋体" w:eastAsia="宋体" w:cs="宋体"/>
          <w:b/>
          <w:bCs/>
          <w:color w:val="000000"/>
          <w:sz w:val="21"/>
          <w:szCs w:val="21"/>
          <w:highlight w:val="none"/>
        </w:rPr>
      </w:pPr>
    </w:p>
    <w:p w14:paraId="351E230F">
      <w:pPr>
        <w:keepNext w:val="0"/>
        <w:keepLines w:val="0"/>
        <w:pageBreakBefore w:val="0"/>
        <w:kinsoku/>
        <w:wordWrap/>
        <w:overflowPunct/>
        <w:topLinePunct w:val="0"/>
        <w:bidi w:val="0"/>
        <w:snapToGrid/>
        <w:spacing w:line="400" w:lineRule="exact"/>
        <w:jc w:val="center"/>
        <w:rPr>
          <w:rFonts w:hint="eastAsia" w:ascii="宋体" w:hAnsi="宋体" w:eastAsia="宋体" w:cs="宋体"/>
          <w:b/>
          <w:bCs/>
          <w:color w:val="000000"/>
          <w:sz w:val="21"/>
          <w:szCs w:val="21"/>
          <w:highlight w:val="none"/>
        </w:rPr>
      </w:pPr>
    </w:p>
    <w:p w14:paraId="0D0B8E40">
      <w:pPr>
        <w:keepNext w:val="0"/>
        <w:keepLines w:val="0"/>
        <w:pageBreakBefore w:val="0"/>
        <w:kinsoku/>
        <w:wordWrap/>
        <w:overflowPunct/>
        <w:topLinePunct w:val="0"/>
        <w:bidi w:val="0"/>
        <w:snapToGrid/>
        <w:spacing w:line="400" w:lineRule="exact"/>
        <w:jc w:val="center"/>
        <w:rPr>
          <w:rFonts w:hint="eastAsia" w:ascii="宋体" w:hAnsi="宋体" w:eastAsia="宋体" w:cs="宋体"/>
          <w:b/>
          <w:bCs/>
          <w:color w:val="000000"/>
          <w:sz w:val="21"/>
          <w:szCs w:val="21"/>
          <w:highlight w:val="none"/>
        </w:rPr>
      </w:pPr>
    </w:p>
    <w:p w14:paraId="49A97C0B">
      <w:pPr>
        <w:keepNext w:val="0"/>
        <w:keepLines w:val="0"/>
        <w:pageBreakBefore w:val="0"/>
        <w:kinsoku/>
        <w:wordWrap/>
        <w:overflowPunct/>
        <w:topLinePunct w:val="0"/>
        <w:bidi w:val="0"/>
        <w:snapToGrid/>
        <w:spacing w:line="400" w:lineRule="exact"/>
        <w:jc w:val="center"/>
        <w:rPr>
          <w:rFonts w:hint="eastAsia" w:ascii="宋体" w:hAnsi="宋体" w:eastAsia="宋体" w:cs="宋体"/>
          <w:b/>
          <w:bCs/>
          <w:color w:val="000000"/>
          <w:sz w:val="21"/>
          <w:szCs w:val="21"/>
          <w:highlight w:val="none"/>
        </w:rPr>
      </w:pPr>
    </w:p>
    <w:p w14:paraId="53E8B573">
      <w:pPr>
        <w:keepNext w:val="0"/>
        <w:keepLines w:val="0"/>
        <w:pageBreakBefore w:val="0"/>
        <w:kinsoku/>
        <w:wordWrap/>
        <w:overflowPunct/>
        <w:topLinePunct w:val="0"/>
        <w:bidi w:val="0"/>
        <w:snapToGrid/>
        <w:spacing w:line="400" w:lineRule="exact"/>
        <w:jc w:val="center"/>
        <w:rPr>
          <w:rFonts w:hint="eastAsia" w:ascii="宋体" w:hAnsi="宋体" w:eastAsia="宋体" w:cs="宋体"/>
          <w:b/>
          <w:bCs/>
          <w:color w:val="000000"/>
          <w:sz w:val="21"/>
          <w:szCs w:val="21"/>
          <w:highlight w:val="none"/>
        </w:rPr>
      </w:pPr>
    </w:p>
    <w:p w14:paraId="7400B4B7">
      <w:pPr>
        <w:keepNext w:val="0"/>
        <w:keepLines w:val="0"/>
        <w:pageBreakBefore w:val="0"/>
        <w:kinsoku/>
        <w:wordWrap/>
        <w:overflowPunct/>
        <w:topLinePunct w:val="0"/>
        <w:bidi w:val="0"/>
        <w:snapToGrid/>
        <w:spacing w:line="400" w:lineRule="exact"/>
        <w:jc w:val="both"/>
        <w:rPr>
          <w:rFonts w:hint="eastAsia" w:ascii="宋体" w:hAnsi="宋体" w:eastAsia="宋体" w:cs="宋体"/>
          <w:color w:val="auto"/>
          <w:sz w:val="21"/>
          <w:szCs w:val="21"/>
          <w:highlight w:val="none"/>
        </w:rPr>
      </w:pPr>
    </w:p>
    <w:p w14:paraId="4758346C">
      <w:pPr>
        <w:keepNext w:val="0"/>
        <w:keepLines w:val="0"/>
        <w:pageBreakBefore w:val="0"/>
        <w:kinsoku/>
        <w:wordWrap/>
        <w:overflowPunct/>
        <w:topLinePunct w:val="0"/>
        <w:bidi w:val="0"/>
        <w:snapToGrid/>
        <w:spacing w:line="400" w:lineRule="exact"/>
        <w:jc w:val="center"/>
        <w:rPr>
          <w:rFonts w:hint="eastAsia" w:ascii="宋体" w:hAnsi="宋体" w:eastAsia="宋体" w:cs="宋体"/>
          <w:color w:val="auto"/>
          <w:sz w:val="21"/>
          <w:szCs w:val="21"/>
          <w:highlight w:val="none"/>
        </w:rPr>
      </w:pPr>
    </w:p>
    <w:p w14:paraId="14C67106">
      <w:pPr>
        <w:keepNext w:val="0"/>
        <w:keepLines w:val="0"/>
        <w:pageBreakBefore w:val="0"/>
        <w:kinsoku/>
        <w:wordWrap/>
        <w:overflowPunct/>
        <w:topLinePunct w:val="0"/>
        <w:bidi w:val="0"/>
        <w:snapToGrid/>
        <w:spacing w:line="400" w:lineRule="exact"/>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rPr>
        <w:t>图</w:t>
      </w:r>
      <w:r>
        <w:rPr>
          <w:rFonts w:hint="eastAsia" w:ascii="宋体" w:hAnsi="宋体" w:eastAsia="宋体" w:cs="宋体"/>
          <w:color w:val="auto"/>
          <w:sz w:val="21"/>
          <w:szCs w:val="21"/>
          <w:highlight w:val="none"/>
          <w:lang w:val="en-US" w:eastAsia="zh-CN"/>
        </w:rPr>
        <w:t>2-1</w:t>
      </w:r>
      <w:r>
        <w:rPr>
          <w:rFonts w:hint="eastAsia" w:ascii="宋体" w:hAnsi="宋体" w:eastAsia="宋体" w:cs="宋体"/>
          <w:color w:val="auto"/>
          <w:sz w:val="21"/>
          <w:szCs w:val="21"/>
          <w:highlight w:val="none"/>
          <w:lang w:eastAsia="zh-CN"/>
        </w:rPr>
        <w:t>：工作曲线</w:t>
      </w:r>
      <w:r>
        <w:rPr>
          <w:rFonts w:hint="eastAsia" w:ascii="宋体" w:hAnsi="宋体" w:eastAsia="宋体" w:cs="宋体"/>
          <w:color w:val="auto"/>
          <w:sz w:val="21"/>
          <w:szCs w:val="21"/>
          <w:highlight w:val="none"/>
          <w:lang w:val="en-US" w:eastAsia="zh-CN"/>
        </w:rPr>
        <w:t>2</w:t>
      </w:r>
    </w:p>
    <w:p w14:paraId="7FC68C4F">
      <w:pPr>
        <w:keepNext w:val="0"/>
        <w:keepLines w:val="0"/>
        <w:pageBreakBefore w:val="0"/>
        <w:kinsoku/>
        <w:wordWrap/>
        <w:overflowPunct/>
        <w:topLinePunct w:val="0"/>
        <w:bidi w:val="0"/>
        <w:snapToGrid/>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工作曲线线性方程为</w:t>
      </w:r>
      <w:r>
        <w:rPr>
          <w:rFonts w:hint="eastAsia" w:ascii="宋体" w:hAnsi="宋体" w:eastAsia="宋体" w:cs="宋体"/>
          <w:i/>
          <w:iCs/>
          <w:color w:val="auto"/>
          <w:sz w:val="21"/>
          <w:szCs w:val="21"/>
          <w:highlight w:val="none"/>
          <w:lang w:val="en-US" w:eastAsia="zh-CN"/>
        </w:rPr>
        <w:t>A</w:t>
      </w:r>
      <w:r>
        <w:rPr>
          <w:rFonts w:hint="eastAsia" w:ascii="宋体" w:hAnsi="宋体" w:eastAsia="宋体" w:cs="宋体"/>
          <w:i w:val="0"/>
          <w:iCs w:val="0"/>
          <w:color w:val="auto"/>
          <w:sz w:val="21"/>
          <w:szCs w:val="21"/>
          <w:highlight w:val="none"/>
          <w:lang w:val="en-US" w:eastAsia="zh-CN"/>
        </w:rPr>
        <w:t xml:space="preserve"> </w:t>
      </w:r>
      <w:r>
        <w:rPr>
          <w:rFonts w:hint="eastAsia" w:ascii="宋体" w:hAnsi="宋体" w:eastAsia="宋体" w:cs="宋体"/>
          <w:i w:val="0"/>
          <w:iCs w:val="0"/>
          <w:color w:val="auto"/>
          <w:sz w:val="21"/>
          <w:szCs w:val="21"/>
          <w:highlight w:val="none"/>
        </w:rPr>
        <w:t>=</w:t>
      </w:r>
      <w:r>
        <w:rPr>
          <w:rFonts w:hint="eastAsia" w:ascii="宋体" w:hAnsi="宋体" w:eastAsia="宋体" w:cs="宋体"/>
          <w:i w:val="0"/>
          <w:iCs w:val="0"/>
          <w:color w:val="auto"/>
          <w:sz w:val="21"/>
          <w:szCs w:val="21"/>
          <w:highlight w:val="none"/>
          <w:lang w:val="en-US" w:eastAsia="zh-CN"/>
        </w:rPr>
        <w:t xml:space="preserve"> 0.1017</w:t>
      </w:r>
      <w:r>
        <w:rPr>
          <w:rFonts w:hint="eastAsia" w:ascii="宋体" w:hAnsi="宋体" w:eastAsia="宋体" w:cs="宋体"/>
          <w:i/>
          <w:iCs/>
          <w:color w:val="auto"/>
          <w:sz w:val="21"/>
          <w:szCs w:val="21"/>
          <w:highlight w:val="none"/>
          <w:lang w:val="en-US" w:eastAsia="zh-CN"/>
        </w:rPr>
        <w:t>c</w:t>
      </w:r>
      <w:r>
        <w:rPr>
          <w:rFonts w:hint="eastAsia" w:ascii="宋体" w:hAnsi="宋体" w:eastAsia="宋体" w:cs="宋体"/>
          <w:i w:val="0"/>
          <w:iCs w:val="0"/>
          <w:color w:val="auto"/>
          <w:sz w:val="21"/>
          <w:szCs w:val="21"/>
          <w:highlight w:val="none"/>
          <w:lang w:val="en-US" w:eastAsia="zh-CN"/>
        </w:rPr>
        <w:t xml:space="preserve"> +0.0049</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线性相关系数R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0.999</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w:t>
      </w:r>
    </w:p>
    <w:p w14:paraId="1B570582">
      <w:pPr>
        <w:keepNext w:val="0"/>
        <w:keepLines w:val="0"/>
        <w:pageBreakBefore w:val="0"/>
        <w:kinsoku/>
        <w:wordWrap/>
        <w:overflowPunct/>
        <w:topLinePunct w:val="0"/>
        <w:bidi w:val="0"/>
        <w:snapToGrid/>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将标准曲线按浓度等分成五段，最高段吸光度的差值与最低段吸光度的差值之比为0.0</w:t>
      </w:r>
      <w:r>
        <w:rPr>
          <w:rFonts w:hint="eastAsia" w:ascii="宋体" w:hAnsi="宋体" w:eastAsia="宋体" w:cs="宋体"/>
          <w:color w:val="auto"/>
          <w:sz w:val="21"/>
          <w:szCs w:val="21"/>
          <w:highlight w:val="none"/>
          <w:lang w:val="en-US" w:eastAsia="zh-CN"/>
        </w:rPr>
        <w:t>47</w:t>
      </w:r>
      <w:r>
        <w:rPr>
          <w:rFonts w:hint="eastAsia" w:ascii="宋体" w:hAnsi="宋体" w:eastAsia="宋体" w:cs="宋体"/>
          <w:color w:val="auto"/>
          <w:sz w:val="21"/>
          <w:szCs w:val="21"/>
          <w:highlight w:val="none"/>
        </w:rPr>
        <w:t>/0.0</w:t>
      </w:r>
      <w:r>
        <w:rPr>
          <w:rFonts w:hint="eastAsia" w:ascii="宋体" w:hAnsi="宋体" w:eastAsia="宋体" w:cs="宋体"/>
          <w:color w:val="auto"/>
          <w:sz w:val="21"/>
          <w:szCs w:val="21"/>
          <w:highlight w:val="none"/>
          <w:lang w:val="en-US" w:eastAsia="zh-CN"/>
        </w:rPr>
        <w:t>56</w:t>
      </w:r>
      <w:r>
        <w:rPr>
          <w:rFonts w:hint="eastAsia" w:ascii="宋体" w:hAnsi="宋体" w:eastAsia="宋体" w:cs="宋体"/>
          <w:color w:val="auto"/>
          <w:sz w:val="21"/>
          <w:szCs w:val="21"/>
          <w:highlight w:val="none"/>
        </w:rPr>
        <w:t>＝0.</w:t>
      </w:r>
      <w:r>
        <w:rPr>
          <w:rFonts w:hint="eastAsia" w:ascii="宋体" w:hAnsi="宋体" w:eastAsia="宋体" w:cs="宋体"/>
          <w:color w:val="auto"/>
          <w:sz w:val="21"/>
          <w:szCs w:val="21"/>
          <w:highlight w:val="none"/>
          <w:lang w:val="en-US" w:eastAsia="zh-CN"/>
        </w:rPr>
        <w:t xml:space="preserve">84 </w:t>
      </w:r>
      <w:r>
        <w:rPr>
          <w:rFonts w:hint="eastAsia" w:ascii="宋体" w:hAnsi="宋体" w:eastAsia="宋体" w:cs="宋体"/>
          <w:color w:val="auto"/>
          <w:sz w:val="21"/>
          <w:szCs w:val="21"/>
          <w:highlight w:val="none"/>
        </w:rPr>
        <w:t>&gt;</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0.7，即工作曲线</w:t>
      </w:r>
      <w:r>
        <w:rPr>
          <w:rFonts w:hint="eastAsia" w:ascii="宋体" w:hAnsi="宋体" w:eastAsia="宋体" w:cs="宋体"/>
          <w:color w:val="auto"/>
          <w:sz w:val="21"/>
          <w:szCs w:val="21"/>
          <w:highlight w:val="none"/>
          <w:lang w:eastAsia="zh-CN"/>
        </w:rPr>
        <w:t>线性</w:t>
      </w:r>
      <w:r>
        <w:rPr>
          <w:rFonts w:hint="eastAsia" w:ascii="宋体" w:hAnsi="宋体" w:eastAsia="宋体" w:cs="宋体"/>
          <w:color w:val="auto"/>
          <w:sz w:val="21"/>
          <w:szCs w:val="21"/>
          <w:highlight w:val="none"/>
        </w:rPr>
        <w:t>满足要求。</w:t>
      </w:r>
    </w:p>
    <w:p w14:paraId="7CBA52EC">
      <w:pPr>
        <w:keepNext w:val="0"/>
        <w:keepLines w:val="0"/>
        <w:pageBreakBefore w:val="0"/>
        <w:widowControl w:val="0"/>
        <w:kinsoku/>
        <w:wordWrap/>
        <w:overflowPunct/>
        <w:topLinePunct w:val="0"/>
        <w:autoSpaceDE/>
        <w:autoSpaceDN/>
        <w:bidi w:val="0"/>
        <w:adjustRightInd/>
        <w:snapToGrid/>
        <w:spacing w:before="157" w:beforeLines="50" w:after="157" w:afterLines="50" w:line="400" w:lineRule="exact"/>
        <w:textAlignment w:val="auto"/>
        <w:rPr>
          <w:rFonts w:hint="eastAsia" w:ascii="黑体" w:hAnsi="黑体" w:eastAsia="黑体" w:cs="黑体"/>
          <w:b w:val="0"/>
          <w:bCs w:val="0"/>
          <w:color w:val="000000"/>
          <w:sz w:val="21"/>
          <w:szCs w:val="21"/>
          <w:highlight w:val="none"/>
        </w:rPr>
      </w:pPr>
      <w:r>
        <w:rPr>
          <w:rFonts w:hint="eastAsia" w:ascii="黑体" w:hAnsi="黑体" w:eastAsia="黑体" w:cs="黑体"/>
          <w:b w:val="0"/>
          <w:bCs w:val="0"/>
          <w:color w:val="000000"/>
          <w:sz w:val="21"/>
          <w:szCs w:val="21"/>
          <w:highlight w:val="none"/>
          <w:lang w:val="en-US" w:eastAsia="zh-CN"/>
        </w:rPr>
        <w:t>1</w:t>
      </w:r>
      <w:r>
        <w:rPr>
          <w:rFonts w:hint="eastAsia" w:ascii="黑体" w:hAnsi="黑体" w:eastAsia="黑体" w:cs="黑体"/>
          <w:b w:val="0"/>
          <w:bCs w:val="0"/>
          <w:color w:val="000000"/>
          <w:sz w:val="21"/>
          <w:szCs w:val="21"/>
          <w:highlight w:val="none"/>
        </w:rPr>
        <w:t>.</w:t>
      </w:r>
      <w:r>
        <w:rPr>
          <w:rFonts w:hint="eastAsia" w:ascii="黑体" w:hAnsi="黑体" w:eastAsia="黑体" w:cs="黑体"/>
          <w:b w:val="0"/>
          <w:bCs w:val="0"/>
          <w:color w:val="000000"/>
          <w:sz w:val="21"/>
          <w:szCs w:val="21"/>
          <w:highlight w:val="none"/>
          <w:lang w:val="en-US" w:eastAsia="zh-CN"/>
        </w:rPr>
        <w:t>3</w:t>
      </w:r>
      <w:r>
        <w:rPr>
          <w:rFonts w:hint="eastAsia" w:ascii="黑体" w:hAnsi="黑体" w:eastAsia="黑体" w:cs="黑体"/>
          <w:b w:val="0"/>
          <w:bCs w:val="0"/>
          <w:color w:val="000000"/>
          <w:sz w:val="21"/>
          <w:szCs w:val="21"/>
          <w:highlight w:val="none"/>
        </w:rPr>
        <w:t>.2 特征浓度</w:t>
      </w:r>
    </w:p>
    <w:p w14:paraId="2C46F57B">
      <w:pPr>
        <w:keepNext w:val="0"/>
        <w:keepLines w:val="0"/>
        <w:pageBreakBefore w:val="0"/>
        <w:widowControl w:val="0"/>
        <w:kinsoku/>
        <w:wordWrap/>
        <w:overflowPunct/>
        <w:topLinePunct w:val="0"/>
        <w:autoSpaceDE/>
        <w:autoSpaceDN/>
        <w:bidi w:val="0"/>
        <w:adjustRightInd/>
        <w:snapToGrid/>
        <w:spacing w:before="157" w:beforeLines="50" w:after="157" w:afterLines="50" w:line="400" w:lineRule="exact"/>
        <w:textAlignment w:val="auto"/>
        <w:rPr>
          <w:rFonts w:hint="default" w:ascii="黑体" w:hAnsi="黑体" w:eastAsia="黑体" w:cs="黑体"/>
          <w:b w:val="0"/>
          <w:bCs w:val="0"/>
          <w:color w:val="000000"/>
          <w:sz w:val="21"/>
          <w:szCs w:val="21"/>
          <w:highlight w:val="none"/>
          <w:lang w:val="en-US" w:eastAsia="zh-CN"/>
        </w:rPr>
      </w:pPr>
      <w:r>
        <w:rPr>
          <w:rFonts w:hint="default" w:ascii="黑体" w:hAnsi="黑体" w:eastAsia="黑体" w:cs="黑体"/>
          <w:b w:val="0"/>
          <w:bCs w:val="0"/>
          <w:color w:val="000000"/>
          <w:sz w:val="21"/>
          <w:szCs w:val="21"/>
          <w:highlight w:val="none"/>
          <w:lang w:val="en-US"/>
        </w:rPr>
        <w:drawing>
          <wp:anchor distT="0" distB="0" distL="0" distR="0" simplePos="0" relativeHeight="251659264" behindDoc="0" locked="0" layoutInCell="1" allowOverlap="1">
            <wp:simplePos x="0" y="0"/>
            <wp:positionH relativeFrom="column">
              <wp:posOffset>2634615</wp:posOffset>
            </wp:positionH>
            <wp:positionV relativeFrom="paragraph">
              <wp:posOffset>263525</wp:posOffset>
            </wp:positionV>
            <wp:extent cx="749300" cy="318135"/>
            <wp:effectExtent l="0" t="0" r="0" b="1905"/>
            <wp:wrapNone/>
            <wp:docPr id="3" name="_x0000_i1028"/>
            <wp:cNvGraphicFramePr/>
            <a:graphic xmlns:a="http://schemas.openxmlformats.org/drawingml/2006/main">
              <a:graphicData uri="http://schemas.openxmlformats.org/drawingml/2006/picture">
                <pic:pic xmlns:pic="http://schemas.openxmlformats.org/drawingml/2006/picture">
                  <pic:nvPicPr>
                    <pic:cNvPr id="3" name="_x0000_i1028"/>
                    <pic:cNvPicPr/>
                  </pic:nvPicPr>
                  <pic:blipFill>
                    <a:blip r:embed="rId6"/>
                    <a:stretch>
                      <a:fillRect/>
                    </a:stretch>
                  </pic:blipFill>
                  <pic:spPr>
                    <a:xfrm>
                      <a:off x="0" y="0"/>
                      <a:ext cx="749300" cy="318135"/>
                    </a:xfrm>
                    <a:prstGeom prst="rect">
                      <a:avLst/>
                    </a:prstGeom>
                  </pic:spPr>
                </pic:pic>
              </a:graphicData>
            </a:graphic>
          </wp:anchor>
        </w:drawing>
      </w:r>
      <w:r>
        <w:rPr>
          <w:rFonts w:hint="eastAsia" w:ascii="黑体" w:hAnsi="黑体" w:eastAsia="黑体" w:cs="黑体"/>
          <w:b w:val="0"/>
          <w:bCs w:val="0"/>
          <w:color w:val="000000"/>
          <w:sz w:val="21"/>
          <w:szCs w:val="21"/>
          <w:highlight w:val="none"/>
          <w:lang w:val="en-US" w:eastAsia="zh-CN"/>
        </w:rPr>
        <w:t xml:space="preserve">1.3.2.1 </w:t>
      </w:r>
      <w:r>
        <w:rPr>
          <w:rFonts w:hint="eastAsia" w:ascii="黑体" w:hAnsi="黑体" w:eastAsia="黑体" w:cs="黑体"/>
          <w:b w:val="0"/>
          <w:bCs w:val="0"/>
          <w:kern w:val="2"/>
          <w:sz w:val="21"/>
          <w:szCs w:val="21"/>
          <w:lang w:val="en-US" w:eastAsia="zh-CN" w:bidi="ar-SA"/>
        </w:rPr>
        <w:t>中铝洛阳铜加工有限公司试验结果</w:t>
      </w:r>
    </w:p>
    <w:p w14:paraId="726B759D">
      <w:pPr>
        <w:keepNext w:val="0"/>
        <w:keepLines w:val="0"/>
        <w:pageBreakBefore w:val="0"/>
        <w:widowControl w:val="0"/>
        <w:kinsoku/>
        <w:wordWrap/>
        <w:overflowPunct/>
        <w:topLinePunct w:val="0"/>
        <w:autoSpaceDE/>
        <w:autoSpaceDN/>
        <w:bidi w:val="0"/>
        <w:snapToGrid/>
        <w:spacing w:line="240" w:lineRule="auto"/>
        <w:ind w:firstLine="420" w:firstLineChars="200"/>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rPr>
        <w:t>在最佳工作条件下，</w:t>
      </w:r>
      <w:r>
        <w:rPr>
          <w:rFonts w:hint="eastAsia" w:ascii="宋体" w:hAnsi="宋体" w:eastAsia="宋体" w:cs="宋体"/>
          <w:color w:val="000000"/>
          <w:sz w:val="21"/>
          <w:szCs w:val="21"/>
          <w:highlight w:val="none"/>
          <w:lang w:eastAsia="zh-CN"/>
        </w:rPr>
        <w:t>镉</w:t>
      </w:r>
      <w:r>
        <w:rPr>
          <w:rFonts w:hint="eastAsia" w:ascii="宋体" w:hAnsi="宋体" w:eastAsia="宋体" w:cs="宋体"/>
          <w:color w:val="000000"/>
          <w:sz w:val="21"/>
          <w:szCs w:val="21"/>
          <w:highlight w:val="none"/>
        </w:rPr>
        <w:t>的特征浓度</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lang w:val="en-US" w:eastAsia="zh-CN"/>
        </w:rPr>
        <w:t>S</w:t>
      </w:r>
      <w:r>
        <w:rPr>
          <w:rFonts w:hint="eastAsia" w:ascii="宋体" w:hAnsi="宋体" w:eastAsia="宋体" w:cs="宋体"/>
          <w:color w:val="000000"/>
          <w:sz w:val="21"/>
          <w:szCs w:val="21"/>
          <w:highlight w:val="none"/>
        </w:rPr>
        <w:t>＝</w:t>
      </w:r>
      <w:r>
        <w:rPr>
          <w:rFonts w:hint="eastAsia" w:ascii="宋体" w:hAnsi="宋体" w:eastAsia="宋体" w:cs="宋体"/>
          <w:color w:val="000000"/>
          <w:sz w:val="21"/>
          <w:szCs w:val="21"/>
          <w:highlight w:val="none"/>
          <w:lang w:val="en-US" w:eastAsia="zh-CN"/>
        </w:rPr>
        <w:t xml:space="preserve">            </w:t>
      </w:r>
      <w:r>
        <w:rPr>
          <w:rFonts w:hint="eastAsia" w:ascii="宋体" w:hAnsi="宋体" w:eastAsia="宋体" w:cs="宋体"/>
          <w:color w:val="000000"/>
          <w:sz w:val="21"/>
          <w:szCs w:val="21"/>
          <w:highlight w:val="none"/>
        </w:rPr>
        <w:t>＝</w:t>
      </w:r>
      <w:r>
        <w:rPr>
          <w:rFonts w:hint="eastAsia" w:ascii="宋体" w:hAnsi="宋体" w:eastAsia="宋体" w:cs="宋体"/>
          <w:color w:val="auto"/>
          <w:sz w:val="21"/>
          <w:szCs w:val="21"/>
          <w:highlight w:val="none"/>
        </w:rPr>
        <w:t>0.0</w:t>
      </w:r>
      <w:r>
        <w:rPr>
          <w:rFonts w:hint="eastAsia" w:ascii="宋体" w:hAnsi="宋体" w:eastAsia="宋体" w:cs="宋体"/>
          <w:color w:val="auto"/>
          <w:sz w:val="21"/>
          <w:szCs w:val="21"/>
          <w:highlight w:val="none"/>
          <w:lang w:val="en-US" w:eastAsia="zh-CN"/>
        </w:rPr>
        <w:t>17</w:t>
      </w:r>
      <w:r>
        <w:rPr>
          <w:rFonts w:hint="eastAsia" w:ascii="宋体" w:hAnsi="宋体" w:eastAsia="宋体" w:cs="宋体"/>
          <w:color w:val="auto"/>
          <w:sz w:val="21"/>
          <w:szCs w:val="21"/>
          <w:highlight w:val="none"/>
        </w:rPr>
        <w:t>μg/</w:t>
      </w:r>
      <w:r>
        <w:rPr>
          <w:rFonts w:hint="eastAsia" w:ascii="宋体" w:hAnsi="宋体" w:eastAsia="宋体" w:cs="宋体"/>
          <w:color w:val="000000"/>
          <w:sz w:val="21"/>
          <w:szCs w:val="21"/>
          <w:highlight w:val="none"/>
        </w:rPr>
        <w:t xml:space="preserve">mL/1% </w:t>
      </w:r>
      <w:r>
        <w:rPr>
          <w:rFonts w:hint="eastAsia" w:ascii="宋体" w:hAnsi="宋体" w:eastAsia="宋体" w:cs="宋体"/>
          <w:color w:val="000000"/>
          <w:sz w:val="21"/>
          <w:szCs w:val="21"/>
          <w:highlight w:val="none"/>
          <w:lang w:eastAsia="zh-CN"/>
        </w:rPr>
        <w:t>，</w:t>
      </w:r>
    </w:p>
    <w:p w14:paraId="150D495D">
      <w:pPr>
        <w:keepNext w:val="0"/>
        <w:keepLines w:val="0"/>
        <w:pageBreakBefore w:val="0"/>
        <w:widowControl w:val="0"/>
        <w:kinsoku/>
        <w:wordWrap/>
        <w:overflowPunct/>
        <w:topLinePunct w:val="0"/>
        <w:autoSpaceDE/>
        <w:autoSpaceDN/>
        <w:bidi w:val="0"/>
        <w:snapToGrid/>
        <w:spacing w:line="400" w:lineRule="exac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特征浓度满足</w:t>
      </w:r>
      <w:r>
        <w:rPr>
          <w:rFonts w:hint="eastAsia" w:ascii="宋体" w:hAnsi="宋体" w:eastAsia="宋体" w:cs="宋体"/>
          <w:color w:val="000000"/>
          <w:sz w:val="21"/>
          <w:szCs w:val="21"/>
          <w:highlight w:val="none"/>
          <w:lang w:eastAsia="zh-CN"/>
        </w:rPr>
        <w:t>灵敏度</w:t>
      </w:r>
      <w:r>
        <w:rPr>
          <w:rFonts w:hint="eastAsia" w:ascii="宋体" w:hAnsi="宋体" w:eastAsia="宋体" w:cs="宋体"/>
          <w:color w:val="000000"/>
          <w:sz w:val="21"/>
          <w:szCs w:val="21"/>
          <w:highlight w:val="none"/>
        </w:rPr>
        <w:t>要求。</w:t>
      </w:r>
    </w:p>
    <w:p w14:paraId="20D3CC9C">
      <w:pPr>
        <w:keepNext w:val="0"/>
        <w:keepLines w:val="0"/>
        <w:pageBreakBefore w:val="0"/>
        <w:widowControl w:val="0"/>
        <w:kinsoku/>
        <w:wordWrap/>
        <w:overflowPunct/>
        <w:topLinePunct w:val="0"/>
        <w:autoSpaceDE/>
        <w:autoSpaceDN/>
        <w:bidi w:val="0"/>
        <w:snapToGrid/>
        <w:spacing w:line="400" w:lineRule="exact"/>
        <w:jc w:val="center"/>
        <w:rPr>
          <w:rFonts w:hint="eastAsia" w:ascii="黑体" w:hAnsi="黑体" w:eastAsia="黑体" w:cs="黑体"/>
          <w:szCs w:val="21"/>
          <w:lang w:val="en-US" w:eastAsia="zh-CN"/>
        </w:rPr>
      </w:pPr>
      <w:r>
        <w:rPr>
          <w:rFonts w:hint="eastAsia" w:ascii="黑体" w:hAnsi="黑体" w:eastAsia="黑体" w:cs="黑体"/>
          <w:szCs w:val="21"/>
          <w:lang w:val="en-US" w:eastAsia="zh-CN"/>
        </w:rPr>
        <w:t>……</w:t>
      </w:r>
    </w:p>
    <w:p w14:paraId="765095FA">
      <w:pPr>
        <w:keepNext w:val="0"/>
        <w:keepLines w:val="0"/>
        <w:pageBreakBefore w:val="0"/>
        <w:widowControl w:val="0"/>
        <w:kinsoku/>
        <w:wordWrap/>
        <w:overflowPunct/>
        <w:topLinePunct w:val="0"/>
        <w:autoSpaceDE/>
        <w:autoSpaceDN/>
        <w:bidi w:val="0"/>
        <w:adjustRightInd/>
        <w:snapToGrid/>
        <w:spacing w:before="157" w:beforeLines="50" w:after="157" w:afterLines="50" w:line="400" w:lineRule="exact"/>
        <w:textAlignment w:val="auto"/>
        <w:rPr>
          <w:rFonts w:hint="eastAsia" w:ascii="黑体" w:hAnsi="黑体" w:eastAsia="黑体" w:cs="黑体"/>
          <w:b w:val="0"/>
          <w:bCs w:val="0"/>
          <w:color w:val="000000"/>
          <w:sz w:val="21"/>
          <w:szCs w:val="21"/>
          <w:highlight w:val="none"/>
        </w:rPr>
      </w:pPr>
      <w:r>
        <w:rPr>
          <w:rFonts w:hint="eastAsia" w:ascii="黑体" w:hAnsi="黑体" w:eastAsia="黑体" w:cs="黑体"/>
          <w:b w:val="0"/>
          <w:bCs w:val="0"/>
          <w:color w:val="000000"/>
          <w:sz w:val="21"/>
          <w:szCs w:val="21"/>
          <w:highlight w:val="none"/>
          <w:lang w:val="en-US" w:eastAsia="zh-CN"/>
        </w:rPr>
        <w:t>1</w:t>
      </w:r>
      <w:r>
        <w:rPr>
          <w:rFonts w:hint="eastAsia" w:ascii="黑体" w:hAnsi="黑体" w:eastAsia="黑体" w:cs="黑体"/>
          <w:b w:val="0"/>
          <w:bCs w:val="0"/>
          <w:color w:val="000000"/>
          <w:sz w:val="21"/>
          <w:szCs w:val="21"/>
          <w:highlight w:val="none"/>
        </w:rPr>
        <w:t>.</w:t>
      </w:r>
      <w:r>
        <w:rPr>
          <w:rFonts w:hint="eastAsia" w:ascii="黑体" w:hAnsi="黑体" w:eastAsia="黑体" w:cs="黑体"/>
          <w:b w:val="0"/>
          <w:bCs w:val="0"/>
          <w:color w:val="000000"/>
          <w:sz w:val="21"/>
          <w:szCs w:val="21"/>
          <w:highlight w:val="none"/>
          <w:lang w:val="en-US" w:eastAsia="zh-CN"/>
        </w:rPr>
        <w:t>3</w:t>
      </w:r>
      <w:r>
        <w:rPr>
          <w:rFonts w:hint="eastAsia" w:ascii="黑体" w:hAnsi="黑体" w:eastAsia="黑体" w:cs="黑体"/>
          <w:b w:val="0"/>
          <w:bCs w:val="0"/>
          <w:color w:val="000000"/>
          <w:sz w:val="21"/>
          <w:szCs w:val="21"/>
          <w:highlight w:val="none"/>
        </w:rPr>
        <w:t>.3 检出限</w:t>
      </w:r>
    </w:p>
    <w:p w14:paraId="2871C8D1">
      <w:pPr>
        <w:keepNext w:val="0"/>
        <w:keepLines w:val="0"/>
        <w:pageBreakBefore w:val="0"/>
        <w:kinsoku/>
        <w:wordWrap/>
        <w:overflowPunct/>
        <w:topLinePunct w:val="0"/>
        <w:bidi w:val="0"/>
        <w:snapToGrid/>
        <w:spacing w:line="400" w:lineRule="exact"/>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在给定的仪器工作条件下，对空白溶液进行11次测量，计算出标准偏差，见表</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000000"/>
          <w:sz w:val="21"/>
          <w:szCs w:val="21"/>
          <w:highlight w:val="none"/>
        </w:rPr>
        <w:t>。</w:t>
      </w:r>
    </w:p>
    <w:p w14:paraId="6197075F">
      <w:pPr>
        <w:keepNext w:val="0"/>
        <w:keepLines w:val="0"/>
        <w:pageBreakBefore w:val="0"/>
        <w:kinsoku/>
        <w:wordWrap/>
        <w:overflowPunct/>
        <w:topLinePunct w:val="0"/>
        <w:bidi w:val="0"/>
        <w:snapToGrid/>
        <w:spacing w:line="400" w:lineRule="exact"/>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检出限按</w:t>
      </w:r>
      <w:r>
        <w:rPr>
          <w:rFonts w:hint="eastAsia" w:ascii="宋体" w:hAnsi="宋体" w:eastAsia="宋体" w:cs="宋体"/>
          <w:color w:val="000000"/>
          <w:sz w:val="21"/>
          <w:szCs w:val="21"/>
          <w:highlight w:val="none"/>
          <w:lang w:eastAsia="zh-CN"/>
        </w:rPr>
        <w:t>公</w:t>
      </w:r>
      <w:r>
        <w:rPr>
          <w:rFonts w:hint="eastAsia" w:ascii="宋体" w:hAnsi="宋体" w:eastAsia="宋体" w:cs="宋体"/>
          <w:color w:val="000000"/>
          <w:sz w:val="21"/>
          <w:szCs w:val="21"/>
          <w:highlight w:val="none"/>
        </w:rPr>
        <w:t>式计算</w:t>
      </w:r>
      <w:r>
        <w:rPr>
          <w:rFonts w:hint="eastAsia" w:ascii="宋体" w:hAnsi="宋体" w:eastAsia="宋体" w:cs="宋体"/>
          <w:color w:val="000000"/>
          <w:sz w:val="21"/>
          <w:szCs w:val="21"/>
          <w:highlight w:val="none"/>
          <w:lang w:eastAsia="zh-CN"/>
        </w:rPr>
        <w:t>：</w:t>
      </w:r>
      <w:r>
        <w:rPr>
          <w:rFonts w:hint="eastAsia" w:ascii="宋体" w:hAnsi="宋体" w:eastAsia="宋体" w:cs="宋体"/>
          <w:i/>
          <w:iCs/>
          <w:color w:val="000000"/>
          <w:sz w:val="21"/>
          <w:szCs w:val="21"/>
          <w:highlight w:val="none"/>
        </w:rPr>
        <w:t>C</w:t>
      </w:r>
      <w:r>
        <w:rPr>
          <w:rFonts w:hint="eastAsia" w:ascii="宋体" w:hAnsi="宋体" w:eastAsia="宋体" w:cs="宋体"/>
          <w:i/>
          <w:iCs/>
          <w:color w:val="000000"/>
          <w:sz w:val="21"/>
          <w:szCs w:val="21"/>
          <w:highlight w:val="none"/>
          <w:vertAlign w:val="subscript"/>
        </w:rPr>
        <w:t>L</w:t>
      </w:r>
      <w:r>
        <w:rPr>
          <w:rFonts w:hint="eastAsia" w:ascii="宋体" w:hAnsi="宋体" w:eastAsia="宋体" w:cs="宋体"/>
          <w:color w:val="000000"/>
          <w:sz w:val="21"/>
          <w:szCs w:val="21"/>
          <w:highlight w:val="none"/>
        </w:rPr>
        <w:t>=3×</w:t>
      </w:r>
      <w:r>
        <w:rPr>
          <w:rFonts w:hint="eastAsia" w:ascii="宋体" w:hAnsi="宋体" w:eastAsia="宋体" w:cs="宋体"/>
          <w:i/>
          <w:iCs/>
          <w:color w:val="000000"/>
          <w:sz w:val="21"/>
          <w:szCs w:val="21"/>
          <w:highlight w:val="none"/>
        </w:rPr>
        <w:t>S</w:t>
      </w:r>
      <w:r>
        <w:rPr>
          <w:rFonts w:hint="eastAsia" w:ascii="宋体" w:hAnsi="宋体" w:eastAsia="宋体" w:cs="宋体"/>
          <w:i/>
          <w:iCs/>
          <w:color w:val="000000"/>
          <w:sz w:val="21"/>
          <w:szCs w:val="21"/>
          <w:highlight w:val="none"/>
          <w:vertAlign w:val="subscript"/>
        </w:rPr>
        <w:t>A</w:t>
      </w:r>
      <w:r>
        <w:rPr>
          <w:rFonts w:hint="eastAsia" w:ascii="宋体" w:hAnsi="宋体" w:eastAsia="宋体" w:cs="宋体"/>
          <w:i/>
          <w:iCs/>
          <w:color w:val="000000"/>
          <w:sz w:val="21"/>
          <w:szCs w:val="21"/>
          <w:highlight w:val="none"/>
        </w:rPr>
        <w:t>/b</w:t>
      </w:r>
    </w:p>
    <w:p w14:paraId="15C6549A">
      <w:pPr>
        <w:keepNext w:val="0"/>
        <w:keepLines w:val="0"/>
        <w:pageBreakBefore w:val="0"/>
        <w:kinsoku/>
        <w:wordWrap/>
        <w:overflowPunct/>
        <w:topLinePunct w:val="0"/>
        <w:bidi w:val="0"/>
        <w:snapToGrid/>
        <w:spacing w:line="400" w:lineRule="exact"/>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其中</w:t>
      </w:r>
      <w:r>
        <w:rPr>
          <w:rFonts w:hint="eastAsia" w:ascii="宋体" w:hAnsi="宋体" w:eastAsia="宋体" w:cs="宋体"/>
          <w:color w:val="000000"/>
          <w:sz w:val="21"/>
          <w:szCs w:val="21"/>
          <w:highlight w:val="none"/>
          <w:lang w:eastAsia="zh-CN"/>
        </w:rPr>
        <w:t>：</w:t>
      </w:r>
      <w:r>
        <w:rPr>
          <w:rFonts w:hint="eastAsia" w:ascii="宋体" w:hAnsi="宋体" w:eastAsia="宋体" w:cs="宋体"/>
          <w:i/>
          <w:iCs/>
          <w:color w:val="000000"/>
          <w:sz w:val="21"/>
          <w:szCs w:val="21"/>
          <w:highlight w:val="none"/>
        </w:rPr>
        <w:t>S</w:t>
      </w:r>
      <w:r>
        <w:rPr>
          <w:rFonts w:hint="eastAsia" w:ascii="宋体" w:hAnsi="宋体" w:eastAsia="宋体" w:cs="宋体"/>
          <w:i/>
          <w:iCs/>
          <w:color w:val="000000"/>
          <w:sz w:val="21"/>
          <w:szCs w:val="21"/>
          <w:highlight w:val="none"/>
          <w:vertAlign w:val="subscript"/>
        </w:rPr>
        <w:t>A</w:t>
      </w:r>
      <w:r>
        <w:rPr>
          <w:rFonts w:hint="eastAsia" w:ascii="宋体" w:hAnsi="宋体" w:eastAsia="宋体" w:cs="宋体"/>
          <w:color w:val="000000"/>
          <w:sz w:val="21"/>
          <w:szCs w:val="21"/>
          <w:highlight w:val="none"/>
        </w:rPr>
        <w:t>为11次空白溶液吸光度标准偏差，</w:t>
      </w:r>
      <w:r>
        <w:rPr>
          <w:rFonts w:hint="eastAsia" w:ascii="宋体" w:hAnsi="宋体" w:eastAsia="宋体" w:cs="宋体"/>
          <w:i/>
          <w:iCs/>
          <w:color w:val="000000"/>
          <w:sz w:val="21"/>
          <w:szCs w:val="21"/>
          <w:highlight w:val="none"/>
        </w:rPr>
        <w:t>b</w:t>
      </w:r>
      <w:r>
        <w:rPr>
          <w:rFonts w:hint="eastAsia" w:ascii="宋体" w:hAnsi="宋体" w:eastAsia="宋体" w:cs="宋体"/>
          <w:color w:val="000000"/>
          <w:sz w:val="21"/>
          <w:szCs w:val="21"/>
          <w:highlight w:val="none"/>
        </w:rPr>
        <w:t>为工作曲线的斜率。</w:t>
      </w:r>
    </w:p>
    <w:p w14:paraId="24C36A56">
      <w:pPr>
        <w:keepNext w:val="0"/>
        <w:keepLines w:val="0"/>
        <w:pageBreakBefore w:val="0"/>
        <w:kinsoku/>
        <w:wordWrap/>
        <w:overflowPunct/>
        <w:topLinePunct w:val="0"/>
        <w:bidi w:val="0"/>
        <w:snapToGrid/>
        <w:spacing w:line="400" w:lineRule="exact"/>
        <w:jc w:val="center"/>
        <w:rPr>
          <w:rFonts w:hint="eastAsia" w:ascii="宋体" w:hAnsi="宋体" w:eastAsia="宋体" w:cs="宋体"/>
          <w:b w:val="0"/>
          <w:bCs w:val="0"/>
          <w:color w:val="auto"/>
          <w:sz w:val="21"/>
          <w:szCs w:val="21"/>
          <w:highlight w:val="none"/>
          <w:lang w:eastAsia="zh-CN"/>
        </w:rPr>
      </w:pPr>
      <w:r>
        <w:rPr>
          <w:rFonts w:hint="eastAsia" w:ascii="黑体" w:hAnsi="黑体" w:eastAsia="黑体" w:cs="黑体"/>
          <w:b w:val="0"/>
          <w:bCs w:val="0"/>
          <w:color w:val="auto"/>
          <w:sz w:val="21"/>
          <w:szCs w:val="21"/>
          <w:highlight w:val="none"/>
        </w:rPr>
        <w:t>表</w:t>
      </w:r>
      <w:r>
        <w:rPr>
          <w:rFonts w:hint="eastAsia" w:ascii="黑体" w:hAnsi="黑体" w:eastAsia="黑体" w:cs="黑体"/>
          <w:b w:val="0"/>
          <w:bCs w:val="0"/>
          <w:color w:val="auto"/>
          <w:sz w:val="21"/>
          <w:szCs w:val="21"/>
          <w:highlight w:val="none"/>
          <w:lang w:val="en-US" w:eastAsia="zh-CN"/>
        </w:rPr>
        <w:t>6</w:t>
      </w:r>
      <w:r>
        <w:rPr>
          <w:rFonts w:hint="eastAsia" w:ascii="黑体" w:hAnsi="黑体" w:eastAsia="黑体" w:cs="黑体"/>
          <w:b w:val="0"/>
          <w:bCs w:val="0"/>
          <w:color w:val="auto"/>
          <w:sz w:val="21"/>
          <w:szCs w:val="21"/>
          <w:highlight w:val="none"/>
        </w:rPr>
        <w:t>检出限</w:t>
      </w:r>
    </w:p>
    <w:tbl>
      <w:tblPr>
        <w:tblStyle w:val="12"/>
        <w:tblW w:w="5080" w:type="pct"/>
        <w:tblInd w:w="17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96"/>
        <w:gridCol w:w="4404"/>
        <w:gridCol w:w="1189"/>
        <w:gridCol w:w="1210"/>
      </w:tblGrid>
      <w:tr w14:paraId="77A47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6" w:type="dxa"/>
            <w:vAlign w:val="center"/>
          </w:tcPr>
          <w:p w14:paraId="77421BED">
            <w:pPr>
              <w:keepNext w:val="0"/>
              <w:keepLines w:val="0"/>
              <w:pageBreakBefore w:val="0"/>
              <w:kinsoku/>
              <w:wordWrap/>
              <w:overflowPunct/>
              <w:topLinePunct w:val="0"/>
              <w:bidi w:val="0"/>
              <w:snapToGrid/>
              <w:spacing w:line="40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实验室</w:t>
            </w:r>
          </w:p>
        </w:tc>
        <w:tc>
          <w:tcPr>
            <w:tcW w:w="4404" w:type="dxa"/>
            <w:vAlign w:val="center"/>
          </w:tcPr>
          <w:p w14:paraId="2CA64135">
            <w:pPr>
              <w:keepNext w:val="0"/>
              <w:keepLines w:val="0"/>
              <w:pageBreakBefore w:val="0"/>
              <w:kinsoku/>
              <w:wordWrap/>
              <w:overflowPunct/>
              <w:topLinePunct w:val="0"/>
              <w:bidi w:val="0"/>
              <w:snapToGrid/>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空白溶液吸光度值</w:t>
            </w:r>
            <w:r>
              <w:rPr>
                <w:rFonts w:hint="eastAsia" w:ascii="宋体" w:hAnsi="宋体" w:eastAsia="宋体" w:cs="宋体"/>
                <w:i/>
                <w:iCs/>
                <w:color w:val="auto"/>
                <w:sz w:val="21"/>
                <w:szCs w:val="21"/>
                <w:highlight w:val="none"/>
              </w:rPr>
              <w:t>A</w:t>
            </w:r>
          </w:p>
        </w:tc>
        <w:tc>
          <w:tcPr>
            <w:tcW w:w="1189" w:type="dxa"/>
            <w:vAlign w:val="center"/>
          </w:tcPr>
          <w:p w14:paraId="352FE03A">
            <w:pPr>
              <w:keepNext w:val="0"/>
              <w:keepLines w:val="0"/>
              <w:pageBreakBefore w:val="0"/>
              <w:kinsoku/>
              <w:wordWrap/>
              <w:overflowPunct/>
              <w:topLinePunct w:val="0"/>
              <w:bidi w:val="0"/>
              <w:snapToGrid/>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标准偏差</w:t>
            </w:r>
            <w:r>
              <w:rPr>
                <w:rFonts w:hint="eastAsia" w:ascii="宋体" w:hAnsi="宋体" w:eastAsia="宋体" w:cs="宋体"/>
                <w:i/>
                <w:iCs/>
                <w:color w:val="auto"/>
                <w:sz w:val="21"/>
                <w:szCs w:val="21"/>
                <w:highlight w:val="none"/>
              </w:rPr>
              <w:t>S</w:t>
            </w:r>
            <w:r>
              <w:rPr>
                <w:rFonts w:hint="eastAsia" w:ascii="宋体" w:hAnsi="宋体" w:eastAsia="宋体" w:cs="宋体"/>
                <w:i/>
                <w:iCs/>
                <w:color w:val="auto"/>
                <w:sz w:val="21"/>
                <w:szCs w:val="21"/>
                <w:highlight w:val="none"/>
                <w:vertAlign w:val="subscript"/>
              </w:rPr>
              <w:t>A</w:t>
            </w:r>
          </w:p>
        </w:tc>
        <w:tc>
          <w:tcPr>
            <w:tcW w:w="1210" w:type="dxa"/>
            <w:vAlign w:val="center"/>
          </w:tcPr>
          <w:p w14:paraId="16BB76CF">
            <w:pPr>
              <w:keepNext w:val="0"/>
              <w:keepLines w:val="0"/>
              <w:pageBreakBefore w:val="0"/>
              <w:kinsoku/>
              <w:wordWrap/>
              <w:overflowPunct/>
              <w:topLinePunct w:val="0"/>
              <w:bidi w:val="0"/>
              <w:snapToGrid/>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检出限</w:t>
            </w:r>
            <w:r>
              <w:rPr>
                <w:rFonts w:hint="eastAsia" w:ascii="宋体" w:hAnsi="宋体" w:eastAsia="宋体" w:cs="宋体"/>
                <w:i/>
                <w:iCs/>
                <w:color w:val="auto"/>
                <w:sz w:val="21"/>
                <w:szCs w:val="21"/>
                <w:highlight w:val="none"/>
              </w:rPr>
              <w:t>C</w:t>
            </w:r>
            <w:r>
              <w:rPr>
                <w:rFonts w:hint="eastAsia" w:ascii="宋体" w:hAnsi="宋体" w:eastAsia="宋体" w:cs="宋体"/>
                <w:i/>
                <w:iCs/>
                <w:color w:val="auto"/>
                <w:sz w:val="21"/>
                <w:szCs w:val="21"/>
                <w:highlight w:val="none"/>
                <w:vertAlign w:val="subscript"/>
              </w:rPr>
              <w:t>L</w:t>
            </w:r>
            <w:r>
              <w:rPr>
                <w:rFonts w:hint="eastAsia" w:ascii="宋体" w:hAnsi="宋体" w:eastAsia="宋体" w:cs="宋体"/>
                <w:i/>
                <w:iCs/>
                <w:color w:val="auto"/>
                <w:sz w:val="21"/>
                <w:szCs w:val="21"/>
                <w:highlight w:val="none"/>
                <w:vertAlign w:val="subscript"/>
                <w:lang w:val="en-US" w:eastAsia="zh-CN"/>
              </w:rPr>
              <w:t xml:space="preserve"> </w:t>
            </w:r>
            <w:r>
              <w:rPr>
                <w:rFonts w:hint="eastAsia" w:ascii="宋体" w:hAnsi="宋体" w:eastAsia="宋体" w:cs="宋体"/>
                <w:i w:val="0"/>
                <w:iCs w:val="0"/>
                <w:color w:val="auto"/>
                <w:sz w:val="21"/>
                <w:szCs w:val="21"/>
                <w:highlight w:val="none"/>
                <w:vertAlign w:val="baseline"/>
                <w:lang w:val="en-US" w:eastAsia="zh-CN"/>
              </w:rPr>
              <w:t>（</w:t>
            </w:r>
            <w:r>
              <w:rPr>
                <w:rFonts w:hint="eastAsia" w:ascii="宋体" w:hAnsi="宋体" w:eastAsia="宋体" w:cs="宋体"/>
                <w:color w:val="auto"/>
                <w:sz w:val="21"/>
                <w:szCs w:val="21"/>
                <w:highlight w:val="none"/>
              </w:rPr>
              <w:t>μg/mL</w:t>
            </w:r>
            <w:r>
              <w:rPr>
                <w:rFonts w:hint="eastAsia" w:ascii="宋体" w:hAnsi="宋体" w:eastAsia="宋体" w:cs="宋体"/>
                <w:i w:val="0"/>
                <w:iCs w:val="0"/>
                <w:color w:val="auto"/>
                <w:sz w:val="21"/>
                <w:szCs w:val="21"/>
                <w:highlight w:val="none"/>
                <w:vertAlign w:val="baseline"/>
                <w:lang w:val="en-US" w:eastAsia="zh-CN"/>
              </w:rPr>
              <w:t>）</w:t>
            </w:r>
          </w:p>
        </w:tc>
      </w:tr>
      <w:tr w14:paraId="32CEF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6" w:type="dxa"/>
            <w:vAlign w:val="center"/>
          </w:tcPr>
          <w:p w14:paraId="6CE222D0">
            <w:pPr>
              <w:keepNext w:val="0"/>
              <w:keepLines w:val="0"/>
              <w:pageBreakBefore w:val="0"/>
              <w:kinsoku/>
              <w:wordWrap/>
              <w:overflowPunct/>
              <w:topLinePunct w:val="0"/>
              <w:bidi w:val="0"/>
              <w:snapToGrid/>
              <w:spacing w:line="400" w:lineRule="exact"/>
              <w:jc w:val="center"/>
              <w:rPr>
                <w:rFonts w:hint="eastAsia" w:ascii="宋体" w:hAnsi="宋体" w:eastAsia="宋体" w:cs="宋体"/>
                <w:color w:val="auto"/>
                <w:sz w:val="21"/>
                <w:szCs w:val="21"/>
                <w:highlight w:val="none"/>
              </w:rPr>
            </w:pPr>
            <w:r>
              <w:rPr>
                <w:rFonts w:hint="eastAsia" w:ascii="宋体" w:hAnsi="宋体"/>
                <w:sz w:val="21"/>
                <w:szCs w:val="21"/>
                <w:lang w:val="en-US" w:eastAsia="zh-CN"/>
              </w:rPr>
              <w:t>中铝洛铜</w:t>
            </w:r>
          </w:p>
        </w:tc>
        <w:tc>
          <w:tcPr>
            <w:tcW w:w="4404" w:type="dxa"/>
            <w:vAlign w:val="center"/>
          </w:tcPr>
          <w:p w14:paraId="21366E48">
            <w:pPr>
              <w:keepNext w:val="0"/>
              <w:keepLines w:val="0"/>
              <w:pageBreakBefore w:val="0"/>
              <w:kinsoku/>
              <w:wordWrap/>
              <w:overflowPunct/>
              <w:topLinePunct w:val="0"/>
              <w:bidi w:val="0"/>
              <w:snapToGrid/>
              <w:spacing w:line="40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0.001</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0.001</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0.002</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0.001</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0.00</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0.001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0.00</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0.001</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0.002</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0.002</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0.00</w:t>
            </w:r>
            <w:r>
              <w:rPr>
                <w:rFonts w:hint="eastAsia" w:ascii="宋体" w:hAnsi="宋体" w:eastAsia="宋体" w:cs="宋体"/>
                <w:color w:val="auto"/>
                <w:sz w:val="21"/>
                <w:szCs w:val="21"/>
                <w:highlight w:val="none"/>
                <w:lang w:val="en-US" w:eastAsia="zh-CN"/>
              </w:rPr>
              <w:t>1</w:t>
            </w:r>
          </w:p>
        </w:tc>
        <w:tc>
          <w:tcPr>
            <w:tcW w:w="1189" w:type="dxa"/>
            <w:vAlign w:val="center"/>
          </w:tcPr>
          <w:p w14:paraId="21DE166C">
            <w:pPr>
              <w:keepNext w:val="0"/>
              <w:keepLines w:val="0"/>
              <w:pageBreakBefore w:val="0"/>
              <w:kinsoku/>
              <w:wordWrap/>
              <w:overflowPunct/>
              <w:topLinePunct w:val="0"/>
              <w:bidi w:val="0"/>
              <w:snapToGrid/>
              <w:spacing w:line="40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0.0004</w:t>
            </w:r>
            <w:r>
              <w:rPr>
                <w:rFonts w:hint="eastAsia" w:ascii="宋体" w:hAnsi="宋体" w:eastAsia="宋体" w:cs="宋体"/>
                <w:color w:val="auto"/>
                <w:sz w:val="21"/>
                <w:szCs w:val="21"/>
                <w:highlight w:val="none"/>
                <w:lang w:val="en-US" w:eastAsia="zh-CN"/>
              </w:rPr>
              <w:t>8</w:t>
            </w:r>
          </w:p>
        </w:tc>
        <w:tc>
          <w:tcPr>
            <w:tcW w:w="1210" w:type="dxa"/>
            <w:vAlign w:val="center"/>
          </w:tcPr>
          <w:p w14:paraId="4FB872DC">
            <w:pPr>
              <w:keepNext w:val="0"/>
              <w:keepLines w:val="0"/>
              <w:pageBreakBefore w:val="0"/>
              <w:kinsoku/>
              <w:wordWrap/>
              <w:overflowPunct/>
              <w:topLinePunct w:val="0"/>
              <w:bidi w:val="0"/>
              <w:snapToGrid/>
              <w:spacing w:line="40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0.00</w:t>
            </w:r>
            <w:r>
              <w:rPr>
                <w:rFonts w:hint="eastAsia" w:ascii="宋体" w:hAnsi="宋体" w:eastAsia="宋体" w:cs="宋体"/>
                <w:color w:val="auto"/>
                <w:sz w:val="21"/>
                <w:szCs w:val="21"/>
                <w:highlight w:val="none"/>
                <w:lang w:val="en-US" w:eastAsia="zh-CN"/>
              </w:rPr>
              <w:t>55</w:t>
            </w:r>
          </w:p>
        </w:tc>
      </w:tr>
    </w:tbl>
    <w:p w14:paraId="5BE34414">
      <w:pPr>
        <w:keepNext w:val="0"/>
        <w:keepLines w:val="0"/>
        <w:pageBreakBefore w:val="0"/>
        <w:kinsoku/>
        <w:wordWrap/>
        <w:overflowPunct/>
        <w:topLinePunct w:val="0"/>
        <w:bidi w:val="0"/>
        <w:snapToGrid/>
        <w:spacing w:line="400" w:lineRule="exact"/>
        <w:rPr>
          <w:rFonts w:hint="eastAsia" w:ascii="黑体" w:hAnsi="黑体" w:eastAsia="黑体" w:cs="黑体"/>
          <w:b w:val="0"/>
          <w:bCs w:val="0"/>
          <w:color w:val="auto"/>
          <w:sz w:val="21"/>
          <w:szCs w:val="21"/>
          <w:highlight w:val="none"/>
        </w:rPr>
      </w:pPr>
      <w:r>
        <w:rPr>
          <w:rFonts w:hint="eastAsia" w:ascii="黑体" w:hAnsi="黑体" w:eastAsia="黑体" w:cs="黑体"/>
          <w:b w:val="0"/>
          <w:bCs w:val="0"/>
          <w:color w:val="auto"/>
          <w:sz w:val="21"/>
          <w:szCs w:val="21"/>
          <w:highlight w:val="none"/>
          <w:lang w:val="en-US" w:eastAsia="zh-CN"/>
        </w:rPr>
        <w:t>1</w:t>
      </w:r>
      <w:r>
        <w:rPr>
          <w:rFonts w:hint="eastAsia" w:ascii="黑体" w:hAnsi="黑体" w:eastAsia="黑体" w:cs="黑体"/>
          <w:b w:val="0"/>
          <w:bCs w:val="0"/>
          <w:color w:val="auto"/>
          <w:sz w:val="21"/>
          <w:szCs w:val="21"/>
          <w:highlight w:val="none"/>
        </w:rPr>
        <w:t>.</w:t>
      </w:r>
      <w:r>
        <w:rPr>
          <w:rFonts w:hint="eastAsia" w:ascii="黑体" w:hAnsi="黑体" w:eastAsia="黑体" w:cs="黑体"/>
          <w:b w:val="0"/>
          <w:bCs w:val="0"/>
          <w:color w:val="auto"/>
          <w:sz w:val="21"/>
          <w:szCs w:val="21"/>
          <w:highlight w:val="none"/>
          <w:lang w:val="en-US" w:eastAsia="zh-CN"/>
        </w:rPr>
        <w:t>3</w:t>
      </w:r>
      <w:r>
        <w:rPr>
          <w:rFonts w:hint="eastAsia" w:ascii="黑体" w:hAnsi="黑体" w:eastAsia="黑体" w:cs="黑体"/>
          <w:b w:val="0"/>
          <w:bCs w:val="0"/>
          <w:color w:val="auto"/>
          <w:sz w:val="21"/>
          <w:szCs w:val="21"/>
          <w:highlight w:val="none"/>
        </w:rPr>
        <w:t>.4 精密度要求</w:t>
      </w:r>
    </w:p>
    <w:p w14:paraId="1425BFC3">
      <w:pPr>
        <w:keepNext w:val="0"/>
        <w:keepLines w:val="0"/>
        <w:pageBreakBefore w:val="0"/>
        <w:kinsoku/>
        <w:wordWrap/>
        <w:overflowPunct/>
        <w:topLinePunct w:val="0"/>
        <w:bidi w:val="0"/>
        <w:snapToGrid/>
        <w:spacing w:line="400" w:lineRule="exact"/>
        <w:ind w:firstLine="420" w:firstLineChars="200"/>
        <w:rPr>
          <w:rFonts w:hint="eastAsia" w:ascii="黑体" w:hAnsi="黑体" w:eastAsia="黑体" w:cs="黑体"/>
          <w:b w:val="0"/>
          <w:bCs w:val="0"/>
          <w:color w:val="auto"/>
          <w:sz w:val="21"/>
          <w:szCs w:val="21"/>
          <w:highlight w:val="none"/>
          <w:lang w:val="en-US" w:eastAsia="zh-CN"/>
        </w:rPr>
      </w:pPr>
      <w:r>
        <w:rPr>
          <w:rFonts w:hint="eastAsia" w:ascii="黑体" w:hAnsi="黑体" w:eastAsia="黑体" w:cs="黑体"/>
          <w:b w:val="0"/>
          <w:bCs w:val="0"/>
          <w:color w:val="auto"/>
          <w:sz w:val="21"/>
          <w:szCs w:val="21"/>
          <w:highlight w:val="none"/>
          <w:lang w:val="en-US" w:eastAsia="zh-CN"/>
        </w:rPr>
        <w:t>1.3.4.1 镉质量分数为0.0010%</w:t>
      </w:r>
      <w:r>
        <w:rPr>
          <w:rFonts w:hint="default" w:ascii="Times New Roman" w:hAnsi="Times New Roman" w:eastAsia="黑体" w:cs="Times New Roman"/>
          <w:b w:val="0"/>
          <w:bCs w:val="0"/>
          <w:color w:val="auto"/>
          <w:sz w:val="21"/>
          <w:szCs w:val="21"/>
          <w:highlight w:val="none"/>
          <w:lang w:val="en-US" w:eastAsia="zh-CN"/>
        </w:rPr>
        <w:t>~</w:t>
      </w:r>
      <w:r>
        <w:rPr>
          <w:rFonts w:hint="eastAsia" w:ascii="黑体" w:hAnsi="黑体" w:eastAsia="黑体" w:cs="黑体"/>
          <w:b w:val="0"/>
          <w:bCs w:val="0"/>
          <w:color w:val="auto"/>
          <w:sz w:val="21"/>
          <w:szCs w:val="21"/>
          <w:highlight w:val="none"/>
          <w:lang w:val="en-US" w:eastAsia="zh-CN"/>
        </w:rPr>
        <w:t>0.10%时</w:t>
      </w:r>
      <w:r>
        <w:rPr>
          <w:rFonts w:hint="eastAsia" w:ascii="黑体" w:hAnsi="黑体" w:eastAsia="黑体" w:cs="黑体"/>
          <w:b w:val="0"/>
          <w:bCs w:val="0"/>
          <w:color w:val="000000"/>
          <w:sz w:val="21"/>
          <w:szCs w:val="21"/>
          <w:highlight w:val="none"/>
        </w:rPr>
        <w:t>工作曲线</w:t>
      </w:r>
      <w:r>
        <w:rPr>
          <w:rFonts w:hint="eastAsia" w:ascii="黑体" w:hAnsi="黑体" w:eastAsia="黑体" w:cs="黑体"/>
          <w:b w:val="0"/>
          <w:bCs w:val="0"/>
          <w:color w:val="000000"/>
          <w:sz w:val="21"/>
          <w:szCs w:val="21"/>
          <w:highlight w:val="none"/>
          <w:lang w:val="en-US" w:eastAsia="zh-CN"/>
        </w:rPr>
        <w:t>1</w:t>
      </w:r>
      <w:r>
        <w:rPr>
          <w:rFonts w:hint="eastAsia" w:ascii="黑体" w:hAnsi="黑体" w:eastAsia="黑体" w:cs="黑体"/>
          <w:b w:val="0"/>
          <w:bCs w:val="0"/>
          <w:color w:val="auto"/>
          <w:sz w:val="21"/>
          <w:szCs w:val="21"/>
          <w:highlight w:val="none"/>
          <w:lang w:val="en-US" w:eastAsia="zh-CN"/>
        </w:rPr>
        <w:t>精密度要求</w:t>
      </w:r>
    </w:p>
    <w:p w14:paraId="54F0667E">
      <w:pPr>
        <w:keepNext w:val="0"/>
        <w:keepLines w:val="0"/>
        <w:pageBreakBefore w:val="0"/>
        <w:kinsoku/>
        <w:wordWrap/>
        <w:overflowPunct/>
        <w:topLinePunct w:val="0"/>
        <w:bidi w:val="0"/>
        <w:snapToGrid/>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用最高浓度</w:t>
      </w:r>
      <w:r>
        <w:rPr>
          <w:rFonts w:hint="eastAsia" w:ascii="宋体" w:hAnsi="宋体" w:eastAsia="宋体" w:cs="宋体"/>
          <w:color w:val="auto"/>
          <w:sz w:val="21"/>
          <w:szCs w:val="21"/>
          <w:highlight w:val="none"/>
          <w:lang w:val="en-US" w:eastAsia="zh-CN"/>
        </w:rPr>
        <w:t>1.00</w:t>
      </w:r>
      <w:r>
        <w:rPr>
          <w:rFonts w:hint="eastAsia" w:ascii="宋体" w:hAnsi="宋体" w:eastAsia="宋体" w:cs="宋体"/>
          <w:color w:val="auto"/>
          <w:sz w:val="21"/>
          <w:szCs w:val="21"/>
          <w:highlight w:val="none"/>
        </w:rPr>
        <w:t>μg/mL和最低浓度</w:t>
      </w:r>
      <w:r>
        <w:rPr>
          <w:rFonts w:hint="eastAsia" w:ascii="宋体" w:hAnsi="宋体" w:eastAsia="宋体" w:cs="宋体"/>
          <w:color w:val="auto"/>
          <w:sz w:val="21"/>
          <w:szCs w:val="21"/>
          <w:highlight w:val="none"/>
          <w:lang w:val="en-US" w:eastAsia="zh-CN"/>
        </w:rPr>
        <w:t>0.20</w:t>
      </w:r>
      <w:r>
        <w:rPr>
          <w:rFonts w:hint="eastAsia" w:ascii="宋体" w:hAnsi="宋体" w:eastAsia="宋体" w:cs="宋体"/>
          <w:color w:val="auto"/>
          <w:sz w:val="21"/>
          <w:szCs w:val="21"/>
          <w:highlight w:val="none"/>
        </w:rPr>
        <w:t>μg/mL</w:t>
      </w:r>
      <w:r>
        <w:rPr>
          <w:rFonts w:hint="eastAsia" w:ascii="宋体" w:hAnsi="宋体" w:eastAsia="宋体" w:cs="宋体"/>
          <w:color w:val="auto"/>
          <w:sz w:val="21"/>
          <w:szCs w:val="21"/>
          <w:highlight w:val="none"/>
          <w:lang w:eastAsia="zh-CN"/>
        </w:rPr>
        <w:t>镉</w:t>
      </w:r>
      <w:r>
        <w:rPr>
          <w:rFonts w:hint="eastAsia" w:ascii="宋体" w:hAnsi="宋体" w:eastAsia="宋体" w:cs="宋体"/>
          <w:color w:val="auto"/>
          <w:sz w:val="21"/>
          <w:szCs w:val="21"/>
          <w:highlight w:val="none"/>
        </w:rPr>
        <w:t>标准溶液各测量10次，结果见表</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w:t>
      </w:r>
    </w:p>
    <w:p w14:paraId="15AB4D70">
      <w:pPr>
        <w:keepNext w:val="0"/>
        <w:keepLines w:val="0"/>
        <w:pageBreakBefore w:val="0"/>
        <w:kinsoku/>
        <w:wordWrap/>
        <w:overflowPunct/>
        <w:topLinePunct w:val="0"/>
        <w:bidi w:val="0"/>
        <w:snapToGrid/>
        <w:spacing w:line="400" w:lineRule="exact"/>
        <w:jc w:val="center"/>
        <w:rPr>
          <w:rFonts w:hint="eastAsia" w:ascii="宋体" w:hAnsi="宋体" w:eastAsia="宋体" w:cs="宋体"/>
          <w:b w:val="0"/>
          <w:bCs w:val="0"/>
          <w:color w:val="auto"/>
          <w:sz w:val="21"/>
          <w:szCs w:val="21"/>
          <w:highlight w:val="none"/>
          <w:lang w:eastAsia="zh-CN"/>
        </w:rPr>
      </w:pPr>
      <w:r>
        <w:rPr>
          <w:rFonts w:hint="eastAsia" w:ascii="黑体" w:hAnsi="黑体" w:eastAsia="黑体" w:cs="黑体"/>
          <w:b w:val="0"/>
          <w:bCs w:val="0"/>
          <w:color w:val="auto"/>
          <w:sz w:val="21"/>
          <w:szCs w:val="21"/>
          <w:highlight w:val="none"/>
        </w:rPr>
        <w:t>表</w:t>
      </w:r>
      <w:r>
        <w:rPr>
          <w:rFonts w:hint="eastAsia" w:ascii="黑体" w:hAnsi="黑体" w:eastAsia="黑体" w:cs="黑体"/>
          <w:b w:val="0"/>
          <w:bCs w:val="0"/>
          <w:color w:val="auto"/>
          <w:sz w:val="21"/>
          <w:szCs w:val="21"/>
          <w:highlight w:val="none"/>
          <w:lang w:val="en-US" w:eastAsia="zh-CN"/>
        </w:rPr>
        <w:t>7</w:t>
      </w:r>
      <w:r>
        <w:rPr>
          <w:rFonts w:hint="eastAsia" w:ascii="黑体" w:hAnsi="黑体" w:eastAsia="黑体" w:cs="黑体"/>
          <w:b w:val="0"/>
          <w:bCs w:val="0"/>
          <w:color w:val="auto"/>
          <w:sz w:val="21"/>
          <w:szCs w:val="21"/>
          <w:highlight w:val="none"/>
        </w:rPr>
        <w:t xml:space="preserve"> </w:t>
      </w:r>
      <w:r>
        <w:rPr>
          <w:rFonts w:hint="eastAsia" w:ascii="黑体" w:hAnsi="黑体" w:eastAsia="黑体" w:cs="黑体"/>
          <w:b w:val="0"/>
          <w:bCs w:val="0"/>
          <w:color w:val="auto"/>
          <w:sz w:val="21"/>
          <w:szCs w:val="21"/>
          <w:highlight w:val="none"/>
          <w:lang w:eastAsia="zh-CN"/>
        </w:rPr>
        <w:t>工作曲线</w:t>
      </w:r>
      <w:r>
        <w:rPr>
          <w:rFonts w:hint="eastAsia" w:ascii="黑体" w:hAnsi="黑体" w:eastAsia="黑体" w:cs="黑体"/>
          <w:b w:val="0"/>
          <w:bCs w:val="0"/>
          <w:color w:val="auto"/>
          <w:sz w:val="21"/>
          <w:szCs w:val="21"/>
          <w:highlight w:val="none"/>
          <w:lang w:val="en-US" w:eastAsia="zh-CN"/>
        </w:rPr>
        <w:t>1</w:t>
      </w:r>
      <w:r>
        <w:rPr>
          <w:rFonts w:hint="eastAsia" w:ascii="黑体" w:hAnsi="黑体" w:eastAsia="黑体" w:cs="黑体"/>
          <w:b w:val="0"/>
          <w:bCs w:val="0"/>
          <w:color w:val="auto"/>
          <w:sz w:val="21"/>
          <w:szCs w:val="21"/>
          <w:highlight w:val="none"/>
        </w:rPr>
        <w:t>精密度</w:t>
      </w:r>
      <w:r>
        <w:rPr>
          <w:rFonts w:hint="eastAsia" w:ascii="黑体" w:hAnsi="黑体" w:eastAsia="黑体" w:cs="黑体"/>
          <w:b w:val="0"/>
          <w:bCs w:val="0"/>
          <w:color w:val="auto"/>
          <w:sz w:val="21"/>
          <w:szCs w:val="21"/>
          <w:highlight w:val="none"/>
          <w:lang w:eastAsia="zh-CN"/>
        </w:rPr>
        <w:t>要求</w:t>
      </w:r>
    </w:p>
    <w:tbl>
      <w:tblPr>
        <w:tblStyle w:val="12"/>
        <w:tblW w:w="534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44"/>
        <w:gridCol w:w="1266"/>
        <w:gridCol w:w="3658"/>
        <w:gridCol w:w="1188"/>
        <w:gridCol w:w="1404"/>
      </w:tblGrid>
      <w:tr w14:paraId="7C2F5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44" w:type="dxa"/>
            <w:vAlign w:val="center"/>
          </w:tcPr>
          <w:p w14:paraId="0F793926">
            <w:pPr>
              <w:keepNext w:val="0"/>
              <w:keepLines w:val="0"/>
              <w:pageBreakBefore w:val="0"/>
              <w:kinsoku/>
              <w:wordWrap/>
              <w:overflowPunct/>
              <w:topLinePunct w:val="0"/>
              <w:bidi w:val="0"/>
              <w:snapToGrid/>
              <w:spacing w:line="400" w:lineRule="exact"/>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实验室</w:t>
            </w:r>
          </w:p>
        </w:tc>
        <w:tc>
          <w:tcPr>
            <w:tcW w:w="1266" w:type="dxa"/>
            <w:vAlign w:val="top"/>
          </w:tcPr>
          <w:p w14:paraId="01BB1DDC">
            <w:pPr>
              <w:keepNext w:val="0"/>
              <w:keepLines w:val="0"/>
              <w:pageBreakBefore w:val="0"/>
              <w:kinsoku/>
              <w:wordWrap/>
              <w:overflowPunct/>
              <w:topLinePunct w:val="0"/>
              <w:bidi w:val="0"/>
              <w:snapToGrid/>
              <w:spacing w:line="400" w:lineRule="exact"/>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Cd</w:t>
            </w:r>
            <w:r>
              <w:rPr>
                <w:rFonts w:hint="eastAsia" w:ascii="宋体" w:hAnsi="宋体" w:eastAsia="宋体" w:cs="宋体"/>
                <w:b w:val="0"/>
                <w:bCs w:val="0"/>
                <w:color w:val="auto"/>
                <w:sz w:val="21"/>
                <w:szCs w:val="21"/>
                <w:highlight w:val="none"/>
              </w:rPr>
              <w:t>浓度</w:t>
            </w:r>
          </w:p>
          <w:p w14:paraId="685DC824">
            <w:pPr>
              <w:keepNext w:val="0"/>
              <w:keepLines w:val="0"/>
              <w:pageBreakBefore w:val="0"/>
              <w:kinsoku/>
              <w:wordWrap/>
              <w:overflowPunct/>
              <w:topLinePunct w:val="0"/>
              <w:bidi w:val="0"/>
              <w:snapToGrid/>
              <w:spacing w:line="400" w:lineRule="exact"/>
              <w:jc w:val="center"/>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μg/mL</w:t>
            </w:r>
            <w:r>
              <w:rPr>
                <w:rFonts w:hint="eastAsia" w:ascii="宋体" w:hAnsi="宋体" w:eastAsia="宋体" w:cs="宋体"/>
                <w:b w:val="0"/>
                <w:bCs w:val="0"/>
                <w:color w:val="auto"/>
                <w:sz w:val="21"/>
                <w:szCs w:val="21"/>
                <w:highlight w:val="none"/>
                <w:lang w:eastAsia="zh-CN"/>
              </w:rPr>
              <w:t>）</w:t>
            </w:r>
          </w:p>
        </w:tc>
        <w:tc>
          <w:tcPr>
            <w:tcW w:w="3658" w:type="dxa"/>
            <w:vAlign w:val="center"/>
          </w:tcPr>
          <w:p w14:paraId="0A11F63E">
            <w:pPr>
              <w:keepNext w:val="0"/>
              <w:keepLines w:val="0"/>
              <w:pageBreakBefore w:val="0"/>
              <w:kinsoku/>
              <w:wordWrap/>
              <w:overflowPunct/>
              <w:topLinePunct w:val="0"/>
              <w:bidi w:val="0"/>
              <w:snapToGrid/>
              <w:spacing w:line="400" w:lineRule="exact"/>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吸光度</w:t>
            </w:r>
            <w:r>
              <w:rPr>
                <w:rFonts w:hint="eastAsia" w:ascii="宋体" w:hAnsi="宋体" w:eastAsia="宋体" w:cs="宋体"/>
                <w:b w:val="0"/>
                <w:bCs w:val="0"/>
                <w:i/>
                <w:iCs/>
                <w:color w:val="auto"/>
                <w:sz w:val="21"/>
                <w:szCs w:val="21"/>
                <w:highlight w:val="none"/>
              </w:rPr>
              <w:t>A</w:t>
            </w:r>
          </w:p>
        </w:tc>
        <w:tc>
          <w:tcPr>
            <w:tcW w:w="1188" w:type="dxa"/>
            <w:vAlign w:val="center"/>
          </w:tcPr>
          <w:p w14:paraId="14669D67">
            <w:pPr>
              <w:keepNext w:val="0"/>
              <w:keepLines w:val="0"/>
              <w:pageBreakBefore w:val="0"/>
              <w:kinsoku/>
              <w:wordWrap/>
              <w:overflowPunct/>
              <w:topLinePunct w:val="0"/>
              <w:bidi w:val="0"/>
              <w:snapToGrid/>
              <w:spacing w:line="400" w:lineRule="exact"/>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平均值</w:t>
            </w:r>
            <w:r>
              <w:rPr>
                <w:rFonts w:hint="eastAsia" w:ascii="宋体" w:hAnsi="宋体" w:eastAsia="宋体" w:cs="宋体"/>
                <w:b w:val="0"/>
                <w:bCs w:val="0"/>
                <w:color w:val="auto"/>
                <w:sz w:val="21"/>
                <w:szCs w:val="21"/>
                <w:highlight w:val="none"/>
              </w:rPr>
              <w:drawing>
                <wp:inline distT="0" distB="0" distL="0" distR="0">
                  <wp:extent cx="151765" cy="202565"/>
                  <wp:effectExtent l="0" t="0" r="635" b="11430"/>
                  <wp:docPr id="4" name="_x0000_i1029"/>
                  <wp:cNvGraphicFramePr/>
                  <a:graphic xmlns:a="http://schemas.openxmlformats.org/drawingml/2006/main">
                    <a:graphicData uri="http://schemas.openxmlformats.org/drawingml/2006/picture">
                      <pic:pic xmlns:pic="http://schemas.openxmlformats.org/drawingml/2006/picture">
                        <pic:nvPicPr>
                          <pic:cNvPr id="4" name="_x0000_i1029"/>
                          <pic:cNvPicPr/>
                        </pic:nvPicPr>
                        <pic:blipFill>
                          <a:blip r:embed="rId7"/>
                          <a:stretch>
                            <a:fillRect/>
                          </a:stretch>
                        </pic:blipFill>
                        <pic:spPr>
                          <a:xfrm>
                            <a:off x="0" y="0"/>
                            <a:ext cx="152372" cy="203172"/>
                          </a:xfrm>
                          <a:prstGeom prst="rect">
                            <a:avLst/>
                          </a:prstGeom>
                        </pic:spPr>
                      </pic:pic>
                    </a:graphicData>
                  </a:graphic>
                </wp:inline>
              </w:drawing>
            </w:r>
          </w:p>
        </w:tc>
        <w:tc>
          <w:tcPr>
            <w:tcW w:w="1404" w:type="dxa"/>
            <w:vAlign w:val="center"/>
          </w:tcPr>
          <w:p w14:paraId="5AAE797A">
            <w:pPr>
              <w:keepNext w:val="0"/>
              <w:keepLines w:val="0"/>
              <w:pageBreakBefore w:val="0"/>
              <w:kinsoku/>
              <w:wordWrap/>
              <w:overflowPunct/>
              <w:topLinePunct w:val="0"/>
              <w:bidi w:val="0"/>
              <w:snapToGrid/>
              <w:spacing w:line="400" w:lineRule="exact"/>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标准偏差</w:t>
            </w:r>
            <w:r>
              <w:rPr>
                <w:rFonts w:hint="eastAsia" w:ascii="宋体" w:hAnsi="宋体" w:eastAsia="宋体" w:cs="宋体"/>
                <w:b w:val="0"/>
                <w:bCs w:val="0"/>
                <w:i/>
                <w:iCs/>
                <w:color w:val="auto"/>
                <w:sz w:val="21"/>
                <w:szCs w:val="21"/>
                <w:highlight w:val="none"/>
                <w:lang w:val="en-US" w:eastAsia="zh-CN"/>
              </w:rPr>
              <w:t>S</w:t>
            </w:r>
          </w:p>
        </w:tc>
      </w:tr>
      <w:tr w14:paraId="34933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44" w:type="dxa"/>
            <w:vMerge w:val="restart"/>
            <w:vAlign w:val="center"/>
          </w:tcPr>
          <w:p w14:paraId="07D1CC9C">
            <w:pPr>
              <w:keepNext w:val="0"/>
              <w:keepLines w:val="0"/>
              <w:pageBreakBefore w:val="0"/>
              <w:kinsoku/>
              <w:wordWrap/>
              <w:overflowPunct/>
              <w:topLinePunct w:val="0"/>
              <w:bidi w:val="0"/>
              <w:snapToGrid/>
              <w:spacing w:line="400" w:lineRule="exact"/>
              <w:jc w:val="center"/>
              <w:rPr>
                <w:rFonts w:hint="eastAsia" w:ascii="宋体" w:hAnsi="宋体" w:eastAsia="宋体" w:cs="宋体"/>
                <w:b w:val="0"/>
                <w:bCs w:val="0"/>
                <w:color w:val="auto"/>
                <w:sz w:val="21"/>
                <w:szCs w:val="21"/>
                <w:highlight w:val="none"/>
              </w:rPr>
            </w:pPr>
            <w:r>
              <w:rPr>
                <w:rFonts w:hint="eastAsia" w:ascii="宋体" w:hAnsi="宋体"/>
                <w:sz w:val="21"/>
                <w:szCs w:val="21"/>
                <w:lang w:val="en-US" w:eastAsia="zh-CN"/>
              </w:rPr>
              <w:t>中铝洛铜</w:t>
            </w:r>
          </w:p>
        </w:tc>
        <w:tc>
          <w:tcPr>
            <w:tcW w:w="1266" w:type="dxa"/>
            <w:vAlign w:val="center"/>
          </w:tcPr>
          <w:p w14:paraId="0654B410">
            <w:pPr>
              <w:keepNext w:val="0"/>
              <w:keepLines w:val="0"/>
              <w:pageBreakBefore w:val="0"/>
              <w:kinsoku/>
              <w:wordWrap/>
              <w:overflowPunct/>
              <w:topLinePunct w:val="0"/>
              <w:bidi w:val="0"/>
              <w:snapToGrid/>
              <w:spacing w:line="400" w:lineRule="exact"/>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0.</w:t>
            </w:r>
            <w:r>
              <w:rPr>
                <w:rFonts w:hint="eastAsia" w:ascii="宋体" w:hAnsi="宋体" w:eastAsia="宋体" w:cs="宋体"/>
                <w:b w:val="0"/>
                <w:bCs w:val="0"/>
                <w:color w:val="auto"/>
                <w:sz w:val="21"/>
                <w:szCs w:val="21"/>
                <w:highlight w:val="none"/>
                <w:lang w:val="en-US" w:eastAsia="zh-CN"/>
              </w:rPr>
              <w:t>20</w:t>
            </w:r>
          </w:p>
        </w:tc>
        <w:tc>
          <w:tcPr>
            <w:tcW w:w="3658" w:type="dxa"/>
            <w:vAlign w:val="center"/>
          </w:tcPr>
          <w:p w14:paraId="12B05B59">
            <w:pPr>
              <w:keepNext w:val="0"/>
              <w:keepLines w:val="0"/>
              <w:pageBreakBefore w:val="0"/>
              <w:kinsoku/>
              <w:wordWrap/>
              <w:overflowPunct/>
              <w:topLinePunct w:val="0"/>
              <w:bidi w:val="0"/>
              <w:snapToGrid/>
              <w:spacing w:line="400" w:lineRule="exact"/>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0.0</w:t>
            </w:r>
            <w:r>
              <w:rPr>
                <w:rFonts w:hint="eastAsia" w:ascii="宋体" w:hAnsi="宋体" w:eastAsia="宋体" w:cs="宋体"/>
                <w:b w:val="0"/>
                <w:bCs w:val="0"/>
                <w:color w:val="auto"/>
                <w:sz w:val="21"/>
                <w:szCs w:val="21"/>
                <w:highlight w:val="none"/>
                <w:lang w:val="en-US" w:eastAsia="zh-CN"/>
              </w:rPr>
              <w:t>57，</w:t>
            </w:r>
            <w:r>
              <w:rPr>
                <w:rFonts w:hint="eastAsia" w:ascii="宋体" w:hAnsi="宋体" w:eastAsia="宋体" w:cs="宋体"/>
                <w:b w:val="0"/>
                <w:bCs w:val="0"/>
                <w:color w:val="auto"/>
                <w:sz w:val="21"/>
                <w:szCs w:val="21"/>
                <w:highlight w:val="none"/>
              </w:rPr>
              <w:t>0.0</w:t>
            </w:r>
            <w:r>
              <w:rPr>
                <w:rFonts w:hint="eastAsia" w:ascii="宋体" w:hAnsi="宋体" w:eastAsia="宋体" w:cs="宋体"/>
                <w:b w:val="0"/>
                <w:bCs w:val="0"/>
                <w:color w:val="auto"/>
                <w:sz w:val="21"/>
                <w:szCs w:val="21"/>
                <w:highlight w:val="none"/>
                <w:lang w:val="en-US" w:eastAsia="zh-CN"/>
              </w:rPr>
              <w:t>57</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0.0</w:t>
            </w:r>
            <w:r>
              <w:rPr>
                <w:rFonts w:hint="eastAsia" w:ascii="宋体" w:hAnsi="宋体" w:eastAsia="宋体" w:cs="宋体"/>
                <w:b w:val="0"/>
                <w:bCs w:val="0"/>
                <w:color w:val="auto"/>
                <w:sz w:val="21"/>
                <w:szCs w:val="21"/>
                <w:highlight w:val="none"/>
                <w:lang w:val="en-US" w:eastAsia="zh-CN"/>
              </w:rPr>
              <w:t>57</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0.0</w:t>
            </w:r>
            <w:r>
              <w:rPr>
                <w:rFonts w:hint="eastAsia" w:ascii="宋体" w:hAnsi="宋体" w:eastAsia="宋体" w:cs="宋体"/>
                <w:b w:val="0"/>
                <w:bCs w:val="0"/>
                <w:color w:val="auto"/>
                <w:sz w:val="21"/>
                <w:szCs w:val="21"/>
                <w:highlight w:val="none"/>
                <w:lang w:val="en-US" w:eastAsia="zh-CN"/>
              </w:rPr>
              <w:t>57，</w:t>
            </w:r>
            <w:r>
              <w:rPr>
                <w:rFonts w:hint="eastAsia" w:ascii="宋体" w:hAnsi="宋体" w:eastAsia="宋体" w:cs="宋体"/>
                <w:b w:val="0"/>
                <w:bCs w:val="0"/>
                <w:color w:val="auto"/>
                <w:sz w:val="21"/>
                <w:szCs w:val="21"/>
                <w:highlight w:val="none"/>
              </w:rPr>
              <w:t>0.0</w:t>
            </w:r>
            <w:r>
              <w:rPr>
                <w:rFonts w:hint="eastAsia" w:ascii="宋体" w:hAnsi="宋体" w:eastAsia="宋体" w:cs="宋体"/>
                <w:b w:val="0"/>
                <w:bCs w:val="0"/>
                <w:color w:val="auto"/>
                <w:sz w:val="21"/>
                <w:szCs w:val="21"/>
                <w:highlight w:val="none"/>
                <w:lang w:val="en-US" w:eastAsia="zh-CN"/>
              </w:rPr>
              <w:t>57，</w:t>
            </w:r>
            <w:r>
              <w:rPr>
                <w:rFonts w:hint="eastAsia" w:ascii="宋体" w:hAnsi="宋体" w:eastAsia="宋体" w:cs="宋体"/>
                <w:b w:val="0"/>
                <w:bCs w:val="0"/>
                <w:color w:val="auto"/>
                <w:sz w:val="21"/>
                <w:szCs w:val="21"/>
                <w:highlight w:val="none"/>
              </w:rPr>
              <w:t xml:space="preserve"> 0.0</w:t>
            </w:r>
            <w:r>
              <w:rPr>
                <w:rFonts w:hint="eastAsia" w:ascii="宋体" w:hAnsi="宋体" w:eastAsia="宋体" w:cs="宋体"/>
                <w:b w:val="0"/>
                <w:bCs w:val="0"/>
                <w:color w:val="auto"/>
                <w:sz w:val="21"/>
                <w:szCs w:val="21"/>
                <w:highlight w:val="none"/>
                <w:lang w:val="en-US" w:eastAsia="zh-CN"/>
              </w:rPr>
              <w:t>58，</w:t>
            </w:r>
            <w:r>
              <w:rPr>
                <w:rFonts w:hint="eastAsia" w:ascii="宋体" w:hAnsi="宋体" w:eastAsia="宋体" w:cs="宋体"/>
                <w:b w:val="0"/>
                <w:bCs w:val="0"/>
                <w:color w:val="auto"/>
                <w:sz w:val="21"/>
                <w:szCs w:val="21"/>
                <w:highlight w:val="none"/>
              </w:rPr>
              <w:t>0.0</w:t>
            </w:r>
            <w:r>
              <w:rPr>
                <w:rFonts w:hint="eastAsia" w:ascii="宋体" w:hAnsi="宋体" w:eastAsia="宋体" w:cs="宋体"/>
                <w:b w:val="0"/>
                <w:bCs w:val="0"/>
                <w:color w:val="auto"/>
                <w:sz w:val="21"/>
                <w:szCs w:val="21"/>
                <w:highlight w:val="none"/>
                <w:lang w:val="en-US" w:eastAsia="zh-CN"/>
              </w:rPr>
              <w:t>57，</w:t>
            </w:r>
            <w:r>
              <w:rPr>
                <w:rFonts w:hint="eastAsia" w:ascii="宋体" w:hAnsi="宋体" w:eastAsia="宋体" w:cs="宋体"/>
                <w:b w:val="0"/>
                <w:bCs w:val="0"/>
                <w:color w:val="auto"/>
                <w:sz w:val="21"/>
                <w:szCs w:val="21"/>
                <w:highlight w:val="none"/>
              </w:rPr>
              <w:t>0.0</w:t>
            </w:r>
            <w:r>
              <w:rPr>
                <w:rFonts w:hint="eastAsia" w:ascii="宋体" w:hAnsi="宋体" w:eastAsia="宋体" w:cs="宋体"/>
                <w:b w:val="0"/>
                <w:bCs w:val="0"/>
                <w:color w:val="auto"/>
                <w:sz w:val="21"/>
                <w:szCs w:val="21"/>
                <w:highlight w:val="none"/>
                <w:lang w:val="en-US" w:eastAsia="zh-CN"/>
              </w:rPr>
              <w:t>57</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0.0</w:t>
            </w:r>
            <w:r>
              <w:rPr>
                <w:rFonts w:hint="eastAsia" w:ascii="宋体" w:hAnsi="宋体" w:eastAsia="宋体" w:cs="宋体"/>
                <w:b w:val="0"/>
                <w:bCs w:val="0"/>
                <w:color w:val="auto"/>
                <w:sz w:val="21"/>
                <w:szCs w:val="21"/>
                <w:highlight w:val="none"/>
                <w:lang w:val="en-US" w:eastAsia="zh-CN"/>
              </w:rPr>
              <w:t>56，</w:t>
            </w:r>
            <w:r>
              <w:rPr>
                <w:rFonts w:hint="eastAsia" w:ascii="宋体" w:hAnsi="宋体" w:eastAsia="宋体" w:cs="宋体"/>
                <w:b w:val="0"/>
                <w:bCs w:val="0"/>
                <w:color w:val="auto"/>
                <w:sz w:val="21"/>
                <w:szCs w:val="21"/>
                <w:highlight w:val="none"/>
              </w:rPr>
              <w:t>0.0</w:t>
            </w:r>
            <w:r>
              <w:rPr>
                <w:rFonts w:hint="eastAsia" w:ascii="宋体" w:hAnsi="宋体" w:eastAsia="宋体" w:cs="宋体"/>
                <w:b w:val="0"/>
                <w:bCs w:val="0"/>
                <w:color w:val="auto"/>
                <w:sz w:val="21"/>
                <w:szCs w:val="21"/>
                <w:highlight w:val="none"/>
                <w:lang w:val="en-US" w:eastAsia="zh-CN"/>
              </w:rPr>
              <w:t>57</w:t>
            </w:r>
          </w:p>
        </w:tc>
        <w:tc>
          <w:tcPr>
            <w:tcW w:w="1188" w:type="dxa"/>
            <w:vAlign w:val="center"/>
          </w:tcPr>
          <w:p w14:paraId="2E256527">
            <w:pPr>
              <w:keepNext w:val="0"/>
              <w:keepLines w:val="0"/>
              <w:pageBreakBefore w:val="0"/>
              <w:kinsoku/>
              <w:wordWrap/>
              <w:overflowPunct/>
              <w:topLinePunct w:val="0"/>
              <w:bidi w:val="0"/>
              <w:snapToGrid/>
              <w:spacing w:line="400" w:lineRule="exact"/>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0.0</w:t>
            </w:r>
            <w:r>
              <w:rPr>
                <w:rFonts w:hint="eastAsia" w:ascii="宋体" w:hAnsi="宋体" w:eastAsia="宋体" w:cs="宋体"/>
                <w:b w:val="0"/>
                <w:bCs w:val="0"/>
                <w:color w:val="auto"/>
                <w:sz w:val="21"/>
                <w:szCs w:val="21"/>
                <w:highlight w:val="none"/>
                <w:lang w:val="en-US" w:eastAsia="zh-CN"/>
              </w:rPr>
              <w:t>57</w:t>
            </w:r>
          </w:p>
        </w:tc>
        <w:tc>
          <w:tcPr>
            <w:tcW w:w="1404" w:type="dxa"/>
            <w:vAlign w:val="center"/>
          </w:tcPr>
          <w:p w14:paraId="50BFD992">
            <w:pPr>
              <w:keepNext w:val="0"/>
              <w:keepLines w:val="0"/>
              <w:pageBreakBefore w:val="0"/>
              <w:kinsoku/>
              <w:wordWrap/>
              <w:overflowPunct/>
              <w:topLinePunct w:val="0"/>
              <w:bidi w:val="0"/>
              <w:snapToGrid/>
              <w:spacing w:line="400" w:lineRule="exact"/>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0.00</w:t>
            </w:r>
            <w:r>
              <w:rPr>
                <w:rFonts w:hint="eastAsia" w:ascii="宋体" w:hAnsi="宋体" w:eastAsia="宋体" w:cs="宋体"/>
                <w:b w:val="0"/>
                <w:bCs w:val="0"/>
                <w:color w:val="auto"/>
                <w:sz w:val="21"/>
                <w:szCs w:val="21"/>
                <w:highlight w:val="none"/>
                <w:lang w:val="en-US" w:eastAsia="zh-CN"/>
              </w:rPr>
              <w:t>047</w:t>
            </w:r>
          </w:p>
        </w:tc>
      </w:tr>
      <w:tr w14:paraId="1E42D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44" w:type="dxa"/>
            <w:vMerge w:val="continue"/>
            <w:vAlign w:val="center"/>
          </w:tcPr>
          <w:p w14:paraId="1DB04DDE">
            <w:pPr>
              <w:keepNext w:val="0"/>
              <w:keepLines w:val="0"/>
              <w:pageBreakBefore w:val="0"/>
              <w:kinsoku/>
              <w:wordWrap/>
              <w:overflowPunct/>
              <w:topLinePunct w:val="0"/>
              <w:bidi w:val="0"/>
              <w:snapToGrid/>
              <w:spacing w:line="400" w:lineRule="exact"/>
              <w:jc w:val="center"/>
              <w:rPr>
                <w:rFonts w:hint="eastAsia" w:ascii="宋体" w:hAnsi="宋体" w:eastAsia="宋体" w:cs="宋体"/>
                <w:b w:val="0"/>
                <w:bCs w:val="0"/>
                <w:color w:val="auto"/>
                <w:sz w:val="21"/>
                <w:szCs w:val="21"/>
                <w:highlight w:val="none"/>
                <w:lang w:val="en-US" w:eastAsia="zh-CN"/>
              </w:rPr>
            </w:pPr>
          </w:p>
        </w:tc>
        <w:tc>
          <w:tcPr>
            <w:tcW w:w="1266" w:type="dxa"/>
            <w:vAlign w:val="center"/>
          </w:tcPr>
          <w:p w14:paraId="6D8B2E7C">
            <w:pPr>
              <w:keepNext w:val="0"/>
              <w:keepLines w:val="0"/>
              <w:pageBreakBefore w:val="0"/>
              <w:kinsoku/>
              <w:wordWrap/>
              <w:overflowPunct/>
              <w:topLinePunct w:val="0"/>
              <w:bidi w:val="0"/>
              <w:snapToGrid/>
              <w:spacing w:line="400" w:lineRule="exact"/>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1.00</w:t>
            </w:r>
          </w:p>
        </w:tc>
        <w:tc>
          <w:tcPr>
            <w:tcW w:w="3658" w:type="dxa"/>
            <w:vAlign w:val="center"/>
          </w:tcPr>
          <w:p w14:paraId="0E2A7C0B">
            <w:pPr>
              <w:keepNext w:val="0"/>
              <w:keepLines w:val="0"/>
              <w:pageBreakBefore w:val="0"/>
              <w:kinsoku/>
              <w:wordWrap/>
              <w:overflowPunct/>
              <w:topLinePunct w:val="0"/>
              <w:bidi w:val="0"/>
              <w:snapToGrid/>
              <w:spacing w:line="400" w:lineRule="exact"/>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0.</w:t>
            </w:r>
            <w:r>
              <w:rPr>
                <w:rFonts w:hint="eastAsia" w:ascii="宋体" w:hAnsi="宋体" w:eastAsia="宋体" w:cs="宋体"/>
                <w:b w:val="0"/>
                <w:bCs w:val="0"/>
                <w:color w:val="auto"/>
                <w:sz w:val="21"/>
                <w:szCs w:val="21"/>
                <w:highlight w:val="none"/>
                <w:lang w:val="en-US" w:eastAsia="zh-CN"/>
              </w:rPr>
              <w:t>260，</w:t>
            </w:r>
            <w:r>
              <w:rPr>
                <w:rFonts w:hint="eastAsia" w:ascii="宋体" w:hAnsi="宋体" w:eastAsia="宋体" w:cs="宋体"/>
                <w:b w:val="0"/>
                <w:bCs w:val="0"/>
                <w:color w:val="auto"/>
                <w:sz w:val="21"/>
                <w:szCs w:val="21"/>
                <w:highlight w:val="none"/>
              </w:rPr>
              <w:t>0.</w:t>
            </w:r>
            <w:r>
              <w:rPr>
                <w:rFonts w:hint="eastAsia" w:ascii="宋体" w:hAnsi="宋体" w:eastAsia="宋体" w:cs="宋体"/>
                <w:b w:val="0"/>
                <w:bCs w:val="0"/>
                <w:color w:val="auto"/>
                <w:sz w:val="21"/>
                <w:szCs w:val="21"/>
                <w:highlight w:val="none"/>
                <w:lang w:val="en-US" w:eastAsia="zh-CN"/>
              </w:rPr>
              <w:t>258，</w:t>
            </w:r>
            <w:r>
              <w:rPr>
                <w:rFonts w:hint="eastAsia" w:ascii="宋体" w:hAnsi="宋体" w:eastAsia="宋体" w:cs="宋体"/>
                <w:b w:val="0"/>
                <w:bCs w:val="0"/>
                <w:color w:val="auto"/>
                <w:sz w:val="21"/>
                <w:szCs w:val="21"/>
                <w:highlight w:val="none"/>
              </w:rPr>
              <w:t>0.</w:t>
            </w:r>
            <w:r>
              <w:rPr>
                <w:rFonts w:hint="eastAsia" w:ascii="宋体" w:hAnsi="宋体" w:eastAsia="宋体" w:cs="宋体"/>
                <w:b w:val="0"/>
                <w:bCs w:val="0"/>
                <w:color w:val="auto"/>
                <w:sz w:val="21"/>
                <w:szCs w:val="21"/>
                <w:highlight w:val="none"/>
                <w:lang w:val="en-US" w:eastAsia="zh-CN"/>
              </w:rPr>
              <w:t>258，</w:t>
            </w:r>
            <w:r>
              <w:rPr>
                <w:rFonts w:hint="eastAsia" w:ascii="宋体" w:hAnsi="宋体" w:eastAsia="宋体" w:cs="宋体"/>
                <w:b w:val="0"/>
                <w:bCs w:val="0"/>
                <w:color w:val="auto"/>
                <w:sz w:val="21"/>
                <w:szCs w:val="21"/>
                <w:highlight w:val="none"/>
              </w:rPr>
              <w:t>0.</w:t>
            </w:r>
            <w:r>
              <w:rPr>
                <w:rFonts w:hint="eastAsia" w:ascii="宋体" w:hAnsi="宋体" w:eastAsia="宋体" w:cs="宋体"/>
                <w:b w:val="0"/>
                <w:bCs w:val="0"/>
                <w:color w:val="auto"/>
                <w:sz w:val="21"/>
                <w:szCs w:val="21"/>
                <w:highlight w:val="none"/>
                <w:lang w:val="en-US" w:eastAsia="zh-CN"/>
              </w:rPr>
              <w:t>259</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0.</w:t>
            </w:r>
            <w:r>
              <w:rPr>
                <w:rFonts w:hint="eastAsia" w:ascii="宋体" w:hAnsi="宋体" w:eastAsia="宋体" w:cs="宋体"/>
                <w:b w:val="0"/>
                <w:bCs w:val="0"/>
                <w:color w:val="auto"/>
                <w:sz w:val="21"/>
                <w:szCs w:val="21"/>
                <w:highlight w:val="none"/>
                <w:lang w:val="en-US" w:eastAsia="zh-CN"/>
              </w:rPr>
              <w:t>259，</w:t>
            </w:r>
            <w:r>
              <w:rPr>
                <w:rFonts w:hint="eastAsia" w:ascii="宋体" w:hAnsi="宋体" w:eastAsia="宋体" w:cs="宋体"/>
                <w:b w:val="0"/>
                <w:bCs w:val="0"/>
                <w:color w:val="auto"/>
                <w:sz w:val="21"/>
                <w:szCs w:val="21"/>
                <w:highlight w:val="none"/>
              </w:rPr>
              <w:t xml:space="preserve"> 0.</w:t>
            </w:r>
            <w:r>
              <w:rPr>
                <w:rFonts w:hint="eastAsia" w:ascii="宋体" w:hAnsi="宋体" w:eastAsia="宋体" w:cs="宋体"/>
                <w:b w:val="0"/>
                <w:bCs w:val="0"/>
                <w:color w:val="auto"/>
                <w:sz w:val="21"/>
                <w:szCs w:val="21"/>
                <w:highlight w:val="none"/>
                <w:lang w:val="en-US" w:eastAsia="zh-CN"/>
              </w:rPr>
              <w:t>261，</w:t>
            </w:r>
            <w:r>
              <w:rPr>
                <w:rFonts w:hint="eastAsia" w:ascii="宋体" w:hAnsi="宋体" w:eastAsia="宋体" w:cs="宋体"/>
                <w:b w:val="0"/>
                <w:bCs w:val="0"/>
                <w:color w:val="auto"/>
                <w:sz w:val="21"/>
                <w:szCs w:val="21"/>
                <w:highlight w:val="none"/>
              </w:rPr>
              <w:t>0.</w:t>
            </w:r>
            <w:r>
              <w:rPr>
                <w:rFonts w:hint="eastAsia" w:ascii="宋体" w:hAnsi="宋体" w:eastAsia="宋体" w:cs="宋体"/>
                <w:b w:val="0"/>
                <w:bCs w:val="0"/>
                <w:color w:val="auto"/>
                <w:sz w:val="21"/>
                <w:szCs w:val="21"/>
                <w:highlight w:val="none"/>
                <w:lang w:val="en-US" w:eastAsia="zh-CN"/>
              </w:rPr>
              <w:t>257</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0.</w:t>
            </w:r>
            <w:r>
              <w:rPr>
                <w:rFonts w:hint="eastAsia" w:ascii="宋体" w:hAnsi="宋体" w:eastAsia="宋体" w:cs="宋体"/>
                <w:b w:val="0"/>
                <w:bCs w:val="0"/>
                <w:color w:val="auto"/>
                <w:sz w:val="21"/>
                <w:szCs w:val="21"/>
                <w:highlight w:val="none"/>
                <w:lang w:val="en-US" w:eastAsia="zh-CN"/>
              </w:rPr>
              <w:t>259，</w:t>
            </w:r>
            <w:r>
              <w:rPr>
                <w:rFonts w:hint="eastAsia" w:ascii="宋体" w:hAnsi="宋体" w:eastAsia="宋体" w:cs="宋体"/>
                <w:b w:val="0"/>
                <w:bCs w:val="0"/>
                <w:color w:val="auto"/>
                <w:sz w:val="21"/>
                <w:szCs w:val="21"/>
                <w:highlight w:val="none"/>
              </w:rPr>
              <w:t>0.</w:t>
            </w:r>
            <w:r>
              <w:rPr>
                <w:rFonts w:hint="eastAsia" w:ascii="宋体" w:hAnsi="宋体" w:eastAsia="宋体" w:cs="宋体"/>
                <w:b w:val="0"/>
                <w:bCs w:val="0"/>
                <w:color w:val="auto"/>
                <w:sz w:val="21"/>
                <w:szCs w:val="21"/>
                <w:highlight w:val="none"/>
                <w:lang w:val="en-US" w:eastAsia="zh-CN"/>
              </w:rPr>
              <w:t>259，</w:t>
            </w:r>
            <w:r>
              <w:rPr>
                <w:rFonts w:hint="eastAsia" w:ascii="宋体" w:hAnsi="宋体" w:eastAsia="宋体" w:cs="宋体"/>
                <w:b w:val="0"/>
                <w:bCs w:val="0"/>
                <w:color w:val="auto"/>
                <w:sz w:val="21"/>
                <w:szCs w:val="21"/>
                <w:highlight w:val="none"/>
              </w:rPr>
              <w:t>0.</w:t>
            </w:r>
            <w:r>
              <w:rPr>
                <w:rFonts w:hint="eastAsia" w:ascii="宋体" w:hAnsi="宋体" w:eastAsia="宋体" w:cs="宋体"/>
                <w:b w:val="0"/>
                <w:bCs w:val="0"/>
                <w:color w:val="auto"/>
                <w:sz w:val="21"/>
                <w:szCs w:val="21"/>
                <w:highlight w:val="none"/>
                <w:lang w:val="en-US" w:eastAsia="zh-CN"/>
              </w:rPr>
              <w:t>258</w:t>
            </w:r>
          </w:p>
        </w:tc>
        <w:tc>
          <w:tcPr>
            <w:tcW w:w="1188" w:type="dxa"/>
            <w:vAlign w:val="center"/>
          </w:tcPr>
          <w:p w14:paraId="06FAF874">
            <w:pPr>
              <w:keepNext w:val="0"/>
              <w:keepLines w:val="0"/>
              <w:pageBreakBefore w:val="0"/>
              <w:kinsoku/>
              <w:wordWrap/>
              <w:overflowPunct/>
              <w:topLinePunct w:val="0"/>
              <w:bidi w:val="0"/>
              <w:snapToGrid/>
              <w:spacing w:line="400" w:lineRule="exact"/>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0.</w:t>
            </w:r>
            <w:r>
              <w:rPr>
                <w:rFonts w:hint="eastAsia" w:ascii="宋体" w:hAnsi="宋体" w:eastAsia="宋体" w:cs="宋体"/>
                <w:b w:val="0"/>
                <w:bCs w:val="0"/>
                <w:color w:val="auto"/>
                <w:sz w:val="21"/>
                <w:szCs w:val="21"/>
                <w:highlight w:val="none"/>
                <w:lang w:val="en-US" w:eastAsia="zh-CN"/>
              </w:rPr>
              <w:t>259</w:t>
            </w:r>
          </w:p>
        </w:tc>
        <w:tc>
          <w:tcPr>
            <w:tcW w:w="1404" w:type="dxa"/>
            <w:vAlign w:val="center"/>
          </w:tcPr>
          <w:p w14:paraId="1F8D23D7">
            <w:pPr>
              <w:keepNext w:val="0"/>
              <w:keepLines w:val="0"/>
              <w:pageBreakBefore w:val="0"/>
              <w:kinsoku/>
              <w:wordWrap/>
              <w:overflowPunct/>
              <w:topLinePunct w:val="0"/>
              <w:bidi w:val="0"/>
              <w:snapToGrid/>
              <w:spacing w:line="400" w:lineRule="exact"/>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0.00</w:t>
            </w:r>
            <w:r>
              <w:rPr>
                <w:rFonts w:hint="eastAsia" w:ascii="宋体" w:hAnsi="宋体" w:eastAsia="宋体" w:cs="宋体"/>
                <w:b w:val="0"/>
                <w:bCs w:val="0"/>
                <w:color w:val="auto"/>
                <w:sz w:val="21"/>
                <w:szCs w:val="21"/>
                <w:highlight w:val="none"/>
                <w:lang w:val="en-US" w:eastAsia="zh-CN"/>
              </w:rPr>
              <w:t>11</w:t>
            </w:r>
          </w:p>
        </w:tc>
      </w:tr>
    </w:tbl>
    <w:p w14:paraId="6234D14F">
      <w:pPr>
        <w:keepNext w:val="0"/>
        <w:keepLines w:val="0"/>
        <w:pageBreakBefore w:val="0"/>
        <w:kinsoku/>
        <w:wordWrap/>
        <w:overflowPunct/>
        <w:topLinePunct w:val="0"/>
        <w:bidi w:val="0"/>
        <w:snapToGrid/>
        <w:spacing w:line="400" w:lineRule="exact"/>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试验结果及验证单位结果表明：</w:t>
      </w:r>
      <w:r>
        <w:rPr>
          <w:rFonts w:hint="eastAsia" w:ascii="宋体" w:hAnsi="宋体" w:eastAsia="宋体" w:cs="宋体"/>
          <w:color w:val="auto"/>
          <w:sz w:val="21"/>
          <w:szCs w:val="21"/>
          <w:highlight w:val="none"/>
          <w:lang w:eastAsia="zh-CN"/>
        </w:rPr>
        <w:t>工作曲线</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最高浓度标准溶液吸光度的标准偏差不超过其平均吸光度的1.0%；最低浓度标准溶液吸光度的标准偏差不超过最高浓度标准溶液平均吸光度的0.5%。即最高和最低吸光度值精密度均满足最小精密度要求</w:t>
      </w:r>
      <w:r>
        <w:rPr>
          <w:rFonts w:hint="eastAsia" w:ascii="宋体" w:hAnsi="宋体" w:eastAsia="宋体" w:cs="宋体"/>
          <w:color w:val="auto"/>
          <w:sz w:val="21"/>
          <w:szCs w:val="21"/>
          <w:highlight w:val="none"/>
          <w:lang w:eastAsia="zh-CN"/>
        </w:rPr>
        <w:t>。</w:t>
      </w:r>
    </w:p>
    <w:p w14:paraId="764D8317">
      <w:pPr>
        <w:keepNext w:val="0"/>
        <w:keepLines w:val="0"/>
        <w:pageBreakBefore w:val="0"/>
        <w:kinsoku/>
        <w:wordWrap/>
        <w:overflowPunct/>
        <w:topLinePunct w:val="0"/>
        <w:bidi w:val="0"/>
        <w:snapToGrid/>
        <w:spacing w:line="400" w:lineRule="exact"/>
        <w:ind w:firstLine="420" w:firstLineChars="200"/>
        <w:rPr>
          <w:rFonts w:hint="eastAsia" w:ascii="宋体" w:hAnsi="宋体" w:eastAsia="宋体" w:cs="宋体"/>
          <w:color w:val="auto"/>
          <w:sz w:val="21"/>
          <w:szCs w:val="21"/>
          <w:highlight w:val="none"/>
          <w:lang w:eastAsia="zh-CN"/>
        </w:rPr>
      </w:pPr>
    </w:p>
    <w:p w14:paraId="71A299F5">
      <w:pPr>
        <w:keepNext w:val="0"/>
        <w:keepLines w:val="0"/>
        <w:pageBreakBefore w:val="0"/>
        <w:kinsoku/>
        <w:wordWrap/>
        <w:overflowPunct/>
        <w:topLinePunct w:val="0"/>
        <w:bidi w:val="0"/>
        <w:snapToGrid/>
        <w:spacing w:line="400" w:lineRule="exact"/>
        <w:ind w:firstLine="420" w:firstLineChars="200"/>
        <w:rPr>
          <w:rFonts w:hint="eastAsia" w:ascii="黑体" w:hAnsi="黑体" w:eastAsia="黑体" w:cs="黑体"/>
          <w:b w:val="0"/>
          <w:bCs w:val="0"/>
          <w:color w:val="auto"/>
          <w:sz w:val="21"/>
          <w:szCs w:val="21"/>
          <w:highlight w:val="none"/>
          <w:lang w:val="en-US" w:eastAsia="zh-CN"/>
        </w:rPr>
      </w:pPr>
      <w:r>
        <w:rPr>
          <w:rFonts w:hint="eastAsia" w:ascii="黑体" w:hAnsi="黑体" w:eastAsia="黑体" w:cs="黑体"/>
          <w:b w:val="0"/>
          <w:bCs w:val="0"/>
          <w:color w:val="auto"/>
          <w:sz w:val="21"/>
          <w:szCs w:val="21"/>
          <w:highlight w:val="none"/>
          <w:lang w:val="en-US" w:eastAsia="zh-CN"/>
        </w:rPr>
        <w:t>1.3.4.2 镉质量分数为0.10%</w:t>
      </w:r>
      <w:r>
        <w:rPr>
          <w:rFonts w:hint="default" w:ascii="Times New Roman" w:hAnsi="Times New Roman" w:eastAsia="黑体" w:cs="Times New Roman"/>
          <w:b w:val="0"/>
          <w:bCs w:val="0"/>
          <w:color w:val="auto"/>
          <w:sz w:val="21"/>
          <w:szCs w:val="21"/>
          <w:highlight w:val="none"/>
          <w:lang w:val="en-US" w:eastAsia="zh-CN"/>
        </w:rPr>
        <w:t>~</w:t>
      </w:r>
      <w:r>
        <w:rPr>
          <w:rFonts w:hint="eastAsia" w:ascii="黑体" w:hAnsi="黑体" w:eastAsia="黑体" w:cs="黑体"/>
          <w:b w:val="0"/>
          <w:bCs w:val="0"/>
          <w:color w:val="auto"/>
          <w:sz w:val="21"/>
          <w:szCs w:val="21"/>
          <w:highlight w:val="none"/>
          <w:lang w:val="en-US" w:eastAsia="zh-CN"/>
        </w:rPr>
        <w:t>2.00%时</w:t>
      </w:r>
      <w:r>
        <w:rPr>
          <w:rFonts w:hint="eastAsia" w:ascii="黑体" w:hAnsi="黑体" w:eastAsia="黑体" w:cs="黑体"/>
          <w:b w:val="0"/>
          <w:bCs w:val="0"/>
          <w:color w:val="000000"/>
          <w:sz w:val="21"/>
          <w:szCs w:val="21"/>
          <w:highlight w:val="none"/>
        </w:rPr>
        <w:t>工作曲线</w:t>
      </w:r>
      <w:r>
        <w:rPr>
          <w:rFonts w:hint="eastAsia" w:ascii="黑体" w:hAnsi="黑体" w:eastAsia="黑体" w:cs="黑体"/>
          <w:b w:val="0"/>
          <w:bCs w:val="0"/>
          <w:color w:val="000000"/>
          <w:sz w:val="21"/>
          <w:szCs w:val="21"/>
          <w:highlight w:val="none"/>
          <w:lang w:val="en-US" w:eastAsia="zh-CN"/>
        </w:rPr>
        <w:t>2</w:t>
      </w:r>
      <w:r>
        <w:rPr>
          <w:rFonts w:hint="eastAsia" w:ascii="黑体" w:hAnsi="黑体" w:eastAsia="黑体" w:cs="黑体"/>
          <w:b w:val="0"/>
          <w:bCs w:val="0"/>
          <w:color w:val="auto"/>
          <w:sz w:val="21"/>
          <w:szCs w:val="21"/>
          <w:highlight w:val="none"/>
          <w:lang w:val="en-US" w:eastAsia="zh-CN"/>
        </w:rPr>
        <w:t>精密度要求</w:t>
      </w:r>
    </w:p>
    <w:p w14:paraId="1EE595E3">
      <w:pPr>
        <w:keepNext w:val="0"/>
        <w:keepLines w:val="0"/>
        <w:pageBreakBefore w:val="0"/>
        <w:kinsoku/>
        <w:wordWrap/>
        <w:overflowPunct/>
        <w:topLinePunct w:val="0"/>
        <w:bidi w:val="0"/>
        <w:snapToGrid/>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用最高浓度</w:t>
      </w:r>
      <w:r>
        <w:rPr>
          <w:rFonts w:hint="eastAsia" w:ascii="宋体" w:hAnsi="宋体" w:eastAsia="宋体" w:cs="宋体"/>
          <w:color w:val="auto"/>
          <w:sz w:val="21"/>
          <w:szCs w:val="21"/>
          <w:highlight w:val="none"/>
          <w:lang w:val="en-US" w:eastAsia="zh-CN"/>
        </w:rPr>
        <w:t>2.50</w:t>
      </w:r>
      <w:r>
        <w:rPr>
          <w:rFonts w:hint="eastAsia" w:ascii="宋体" w:hAnsi="宋体" w:eastAsia="宋体" w:cs="宋体"/>
          <w:color w:val="auto"/>
          <w:sz w:val="21"/>
          <w:szCs w:val="21"/>
          <w:highlight w:val="none"/>
        </w:rPr>
        <w:t>μg/mL和最低浓度</w:t>
      </w:r>
      <w:r>
        <w:rPr>
          <w:rFonts w:hint="eastAsia" w:ascii="宋体" w:hAnsi="宋体" w:eastAsia="宋体" w:cs="宋体"/>
          <w:color w:val="auto"/>
          <w:sz w:val="21"/>
          <w:szCs w:val="21"/>
          <w:highlight w:val="none"/>
          <w:lang w:val="en-US" w:eastAsia="zh-CN"/>
        </w:rPr>
        <w:t>0.50</w:t>
      </w:r>
      <w:r>
        <w:rPr>
          <w:rFonts w:hint="eastAsia" w:ascii="宋体" w:hAnsi="宋体" w:eastAsia="宋体" w:cs="宋体"/>
          <w:color w:val="auto"/>
          <w:sz w:val="21"/>
          <w:szCs w:val="21"/>
          <w:highlight w:val="none"/>
        </w:rPr>
        <w:t>μg/mL</w:t>
      </w:r>
      <w:r>
        <w:rPr>
          <w:rFonts w:hint="eastAsia" w:ascii="宋体" w:hAnsi="宋体" w:eastAsia="宋体" w:cs="宋体"/>
          <w:color w:val="auto"/>
          <w:sz w:val="21"/>
          <w:szCs w:val="21"/>
          <w:highlight w:val="none"/>
          <w:lang w:eastAsia="zh-CN"/>
        </w:rPr>
        <w:t>镉</w:t>
      </w:r>
      <w:r>
        <w:rPr>
          <w:rFonts w:hint="eastAsia" w:ascii="宋体" w:hAnsi="宋体" w:eastAsia="宋体" w:cs="宋体"/>
          <w:color w:val="auto"/>
          <w:sz w:val="21"/>
          <w:szCs w:val="21"/>
          <w:highlight w:val="none"/>
        </w:rPr>
        <w:t>标准溶液各测量10次，结果见表</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w:t>
      </w:r>
    </w:p>
    <w:p w14:paraId="294DD451">
      <w:pPr>
        <w:keepNext w:val="0"/>
        <w:keepLines w:val="0"/>
        <w:pageBreakBefore w:val="0"/>
        <w:kinsoku/>
        <w:wordWrap/>
        <w:overflowPunct/>
        <w:topLinePunct w:val="0"/>
        <w:bidi w:val="0"/>
        <w:snapToGrid/>
        <w:spacing w:line="400" w:lineRule="exact"/>
        <w:jc w:val="center"/>
        <w:rPr>
          <w:rFonts w:hint="eastAsia" w:ascii="宋体" w:hAnsi="宋体" w:eastAsia="宋体" w:cs="宋体"/>
          <w:b w:val="0"/>
          <w:bCs w:val="0"/>
          <w:color w:val="auto"/>
          <w:sz w:val="21"/>
          <w:szCs w:val="21"/>
          <w:highlight w:val="none"/>
          <w:lang w:eastAsia="zh-CN"/>
        </w:rPr>
      </w:pPr>
      <w:r>
        <w:rPr>
          <w:rFonts w:hint="eastAsia" w:ascii="黑体" w:hAnsi="黑体" w:eastAsia="黑体" w:cs="黑体"/>
          <w:b w:val="0"/>
          <w:bCs w:val="0"/>
          <w:color w:val="auto"/>
          <w:sz w:val="21"/>
          <w:szCs w:val="21"/>
          <w:highlight w:val="none"/>
        </w:rPr>
        <w:t>表</w:t>
      </w:r>
      <w:r>
        <w:rPr>
          <w:rFonts w:hint="eastAsia" w:ascii="黑体" w:hAnsi="黑体" w:eastAsia="黑体" w:cs="黑体"/>
          <w:b w:val="0"/>
          <w:bCs w:val="0"/>
          <w:color w:val="auto"/>
          <w:sz w:val="21"/>
          <w:szCs w:val="21"/>
          <w:highlight w:val="none"/>
          <w:lang w:val="en-US" w:eastAsia="zh-CN"/>
        </w:rPr>
        <w:t>8</w:t>
      </w:r>
      <w:r>
        <w:rPr>
          <w:rFonts w:hint="eastAsia" w:ascii="黑体" w:hAnsi="黑体" w:eastAsia="黑体" w:cs="黑体"/>
          <w:b w:val="0"/>
          <w:bCs w:val="0"/>
          <w:color w:val="auto"/>
          <w:sz w:val="21"/>
          <w:szCs w:val="21"/>
          <w:highlight w:val="none"/>
        </w:rPr>
        <w:t xml:space="preserve"> </w:t>
      </w:r>
      <w:r>
        <w:rPr>
          <w:rFonts w:hint="eastAsia" w:ascii="黑体" w:hAnsi="黑体" w:eastAsia="黑体" w:cs="黑体"/>
          <w:b w:val="0"/>
          <w:bCs w:val="0"/>
          <w:color w:val="auto"/>
          <w:sz w:val="21"/>
          <w:szCs w:val="21"/>
          <w:highlight w:val="none"/>
          <w:lang w:eastAsia="zh-CN"/>
        </w:rPr>
        <w:t>工作曲线</w:t>
      </w:r>
      <w:r>
        <w:rPr>
          <w:rFonts w:hint="eastAsia" w:ascii="黑体" w:hAnsi="黑体" w:eastAsia="黑体" w:cs="黑体"/>
          <w:b w:val="0"/>
          <w:bCs w:val="0"/>
          <w:color w:val="auto"/>
          <w:sz w:val="21"/>
          <w:szCs w:val="21"/>
          <w:highlight w:val="none"/>
          <w:lang w:val="en-US" w:eastAsia="zh-CN"/>
        </w:rPr>
        <w:t>2</w:t>
      </w:r>
      <w:r>
        <w:rPr>
          <w:rFonts w:hint="eastAsia" w:ascii="黑体" w:hAnsi="黑体" w:eastAsia="黑体" w:cs="黑体"/>
          <w:b w:val="0"/>
          <w:bCs w:val="0"/>
          <w:color w:val="auto"/>
          <w:sz w:val="21"/>
          <w:szCs w:val="21"/>
          <w:highlight w:val="none"/>
        </w:rPr>
        <w:t>精密度</w:t>
      </w:r>
      <w:r>
        <w:rPr>
          <w:rFonts w:hint="eastAsia" w:ascii="黑体" w:hAnsi="黑体" w:eastAsia="黑体" w:cs="黑体"/>
          <w:b w:val="0"/>
          <w:bCs w:val="0"/>
          <w:color w:val="auto"/>
          <w:sz w:val="21"/>
          <w:szCs w:val="21"/>
          <w:highlight w:val="none"/>
          <w:lang w:eastAsia="zh-CN"/>
        </w:rPr>
        <w:t>要求</w:t>
      </w:r>
    </w:p>
    <w:tbl>
      <w:tblPr>
        <w:tblStyle w:val="12"/>
        <w:tblW w:w="534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44"/>
        <w:gridCol w:w="1266"/>
        <w:gridCol w:w="3658"/>
        <w:gridCol w:w="1188"/>
        <w:gridCol w:w="1404"/>
      </w:tblGrid>
      <w:tr w14:paraId="53AA4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44" w:type="dxa"/>
            <w:vAlign w:val="center"/>
          </w:tcPr>
          <w:p w14:paraId="7CBA163E">
            <w:pPr>
              <w:keepNext w:val="0"/>
              <w:keepLines w:val="0"/>
              <w:pageBreakBefore w:val="0"/>
              <w:kinsoku/>
              <w:wordWrap/>
              <w:overflowPunct/>
              <w:topLinePunct w:val="0"/>
              <w:bidi w:val="0"/>
              <w:snapToGrid/>
              <w:spacing w:line="400" w:lineRule="exact"/>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实验室</w:t>
            </w:r>
          </w:p>
        </w:tc>
        <w:tc>
          <w:tcPr>
            <w:tcW w:w="1266" w:type="dxa"/>
            <w:vAlign w:val="top"/>
          </w:tcPr>
          <w:p w14:paraId="46A4F65C">
            <w:pPr>
              <w:keepNext w:val="0"/>
              <w:keepLines w:val="0"/>
              <w:pageBreakBefore w:val="0"/>
              <w:kinsoku/>
              <w:wordWrap/>
              <w:overflowPunct/>
              <w:topLinePunct w:val="0"/>
              <w:bidi w:val="0"/>
              <w:snapToGrid/>
              <w:spacing w:line="400" w:lineRule="exact"/>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Cd</w:t>
            </w:r>
            <w:r>
              <w:rPr>
                <w:rFonts w:hint="eastAsia" w:ascii="宋体" w:hAnsi="宋体" w:eastAsia="宋体" w:cs="宋体"/>
                <w:b w:val="0"/>
                <w:bCs w:val="0"/>
                <w:color w:val="auto"/>
                <w:sz w:val="21"/>
                <w:szCs w:val="21"/>
                <w:highlight w:val="none"/>
              </w:rPr>
              <w:t>浓度</w:t>
            </w:r>
          </w:p>
          <w:p w14:paraId="6AAF8165">
            <w:pPr>
              <w:keepNext w:val="0"/>
              <w:keepLines w:val="0"/>
              <w:pageBreakBefore w:val="0"/>
              <w:kinsoku/>
              <w:wordWrap/>
              <w:overflowPunct/>
              <w:topLinePunct w:val="0"/>
              <w:bidi w:val="0"/>
              <w:snapToGrid/>
              <w:spacing w:line="400" w:lineRule="exact"/>
              <w:jc w:val="center"/>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μg/mL</w:t>
            </w:r>
            <w:r>
              <w:rPr>
                <w:rFonts w:hint="eastAsia" w:ascii="宋体" w:hAnsi="宋体" w:eastAsia="宋体" w:cs="宋体"/>
                <w:b w:val="0"/>
                <w:bCs w:val="0"/>
                <w:color w:val="auto"/>
                <w:sz w:val="21"/>
                <w:szCs w:val="21"/>
                <w:highlight w:val="none"/>
                <w:lang w:eastAsia="zh-CN"/>
              </w:rPr>
              <w:t>）</w:t>
            </w:r>
          </w:p>
        </w:tc>
        <w:tc>
          <w:tcPr>
            <w:tcW w:w="3658" w:type="dxa"/>
            <w:vAlign w:val="center"/>
          </w:tcPr>
          <w:p w14:paraId="643CFF6F">
            <w:pPr>
              <w:keepNext w:val="0"/>
              <w:keepLines w:val="0"/>
              <w:pageBreakBefore w:val="0"/>
              <w:kinsoku/>
              <w:wordWrap/>
              <w:overflowPunct/>
              <w:topLinePunct w:val="0"/>
              <w:bidi w:val="0"/>
              <w:snapToGrid/>
              <w:spacing w:line="400" w:lineRule="exact"/>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吸光度</w:t>
            </w:r>
            <w:r>
              <w:rPr>
                <w:rFonts w:hint="eastAsia" w:ascii="宋体" w:hAnsi="宋体" w:eastAsia="宋体" w:cs="宋体"/>
                <w:b w:val="0"/>
                <w:bCs w:val="0"/>
                <w:i/>
                <w:iCs/>
                <w:color w:val="auto"/>
                <w:sz w:val="21"/>
                <w:szCs w:val="21"/>
                <w:highlight w:val="none"/>
              </w:rPr>
              <w:t>A</w:t>
            </w:r>
          </w:p>
        </w:tc>
        <w:tc>
          <w:tcPr>
            <w:tcW w:w="1188" w:type="dxa"/>
            <w:vAlign w:val="center"/>
          </w:tcPr>
          <w:p w14:paraId="6F58BF9D">
            <w:pPr>
              <w:keepNext w:val="0"/>
              <w:keepLines w:val="0"/>
              <w:pageBreakBefore w:val="0"/>
              <w:kinsoku/>
              <w:wordWrap/>
              <w:overflowPunct/>
              <w:topLinePunct w:val="0"/>
              <w:bidi w:val="0"/>
              <w:snapToGrid/>
              <w:spacing w:line="400" w:lineRule="exact"/>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平均值</w:t>
            </w:r>
            <w:r>
              <w:rPr>
                <w:rFonts w:hint="eastAsia" w:ascii="宋体" w:hAnsi="宋体" w:eastAsia="宋体" w:cs="宋体"/>
                <w:b w:val="0"/>
                <w:bCs w:val="0"/>
                <w:color w:val="auto"/>
                <w:sz w:val="21"/>
                <w:szCs w:val="21"/>
                <w:highlight w:val="none"/>
              </w:rPr>
              <w:drawing>
                <wp:inline distT="0" distB="0" distL="0" distR="0">
                  <wp:extent cx="151765" cy="202565"/>
                  <wp:effectExtent l="0" t="0" r="635" b="11430"/>
                  <wp:docPr id="15" name="_x0000_i1029"/>
                  <wp:cNvGraphicFramePr/>
                  <a:graphic xmlns:a="http://schemas.openxmlformats.org/drawingml/2006/main">
                    <a:graphicData uri="http://schemas.openxmlformats.org/drawingml/2006/picture">
                      <pic:pic xmlns:pic="http://schemas.openxmlformats.org/drawingml/2006/picture">
                        <pic:nvPicPr>
                          <pic:cNvPr id="15" name="_x0000_i1029"/>
                          <pic:cNvPicPr/>
                        </pic:nvPicPr>
                        <pic:blipFill>
                          <a:blip r:embed="rId7"/>
                          <a:stretch>
                            <a:fillRect/>
                          </a:stretch>
                        </pic:blipFill>
                        <pic:spPr>
                          <a:xfrm>
                            <a:off x="0" y="0"/>
                            <a:ext cx="152372" cy="203172"/>
                          </a:xfrm>
                          <a:prstGeom prst="rect">
                            <a:avLst/>
                          </a:prstGeom>
                        </pic:spPr>
                      </pic:pic>
                    </a:graphicData>
                  </a:graphic>
                </wp:inline>
              </w:drawing>
            </w:r>
          </w:p>
        </w:tc>
        <w:tc>
          <w:tcPr>
            <w:tcW w:w="1404" w:type="dxa"/>
            <w:vAlign w:val="center"/>
          </w:tcPr>
          <w:p w14:paraId="51309724">
            <w:pPr>
              <w:keepNext w:val="0"/>
              <w:keepLines w:val="0"/>
              <w:pageBreakBefore w:val="0"/>
              <w:kinsoku/>
              <w:wordWrap/>
              <w:overflowPunct/>
              <w:topLinePunct w:val="0"/>
              <w:bidi w:val="0"/>
              <w:snapToGrid/>
              <w:spacing w:line="400" w:lineRule="exact"/>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标准偏差</w:t>
            </w:r>
            <w:r>
              <w:rPr>
                <w:rFonts w:hint="eastAsia" w:ascii="宋体" w:hAnsi="宋体" w:eastAsia="宋体" w:cs="宋体"/>
                <w:b w:val="0"/>
                <w:bCs w:val="0"/>
                <w:i/>
                <w:iCs/>
                <w:color w:val="auto"/>
                <w:sz w:val="21"/>
                <w:szCs w:val="21"/>
                <w:highlight w:val="none"/>
                <w:lang w:val="en-US" w:eastAsia="zh-CN"/>
              </w:rPr>
              <w:t>S</w:t>
            </w:r>
          </w:p>
        </w:tc>
      </w:tr>
      <w:tr w14:paraId="4D8DE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44" w:type="dxa"/>
            <w:vMerge w:val="restart"/>
            <w:vAlign w:val="center"/>
          </w:tcPr>
          <w:p w14:paraId="4AE1D4B6">
            <w:pPr>
              <w:keepNext w:val="0"/>
              <w:keepLines w:val="0"/>
              <w:pageBreakBefore w:val="0"/>
              <w:kinsoku/>
              <w:wordWrap/>
              <w:overflowPunct/>
              <w:topLinePunct w:val="0"/>
              <w:bidi w:val="0"/>
              <w:snapToGrid/>
              <w:spacing w:line="400" w:lineRule="exact"/>
              <w:jc w:val="center"/>
              <w:rPr>
                <w:rFonts w:hint="eastAsia" w:ascii="宋体" w:hAnsi="宋体" w:eastAsia="宋体" w:cs="宋体"/>
                <w:b w:val="0"/>
                <w:bCs w:val="0"/>
                <w:color w:val="auto"/>
                <w:sz w:val="21"/>
                <w:szCs w:val="21"/>
                <w:highlight w:val="none"/>
              </w:rPr>
            </w:pPr>
            <w:r>
              <w:rPr>
                <w:rFonts w:hint="eastAsia" w:ascii="宋体" w:hAnsi="宋体"/>
                <w:sz w:val="21"/>
                <w:szCs w:val="21"/>
                <w:lang w:val="en-US" w:eastAsia="zh-CN"/>
              </w:rPr>
              <w:t>中铝洛铜</w:t>
            </w:r>
          </w:p>
        </w:tc>
        <w:tc>
          <w:tcPr>
            <w:tcW w:w="1266" w:type="dxa"/>
            <w:vAlign w:val="center"/>
          </w:tcPr>
          <w:p w14:paraId="61BA4196">
            <w:pPr>
              <w:keepNext w:val="0"/>
              <w:keepLines w:val="0"/>
              <w:pageBreakBefore w:val="0"/>
              <w:kinsoku/>
              <w:wordWrap/>
              <w:overflowPunct/>
              <w:topLinePunct w:val="0"/>
              <w:bidi w:val="0"/>
              <w:snapToGrid/>
              <w:spacing w:line="400" w:lineRule="exact"/>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0.</w:t>
            </w:r>
            <w:r>
              <w:rPr>
                <w:rFonts w:hint="eastAsia" w:ascii="宋体" w:hAnsi="宋体" w:eastAsia="宋体" w:cs="宋体"/>
                <w:b w:val="0"/>
                <w:bCs w:val="0"/>
                <w:color w:val="auto"/>
                <w:sz w:val="21"/>
                <w:szCs w:val="21"/>
                <w:highlight w:val="none"/>
                <w:lang w:val="en-US" w:eastAsia="zh-CN"/>
              </w:rPr>
              <w:t>50</w:t>
            </w:r>
          </w:p>
        </w:tc>
        <w:tc>
          <w:tcPr>
            <w:tcW w:w="3658" w:type="dxa"/>
            <w:vAlign w:val="center"/>
          </w:tcPr>
          <w:p w14:paraId="0DB4A20E">
            <w:pPr>
              <w:keepNext w:val="0"/>
              <w:keepLines w:val="0"/>
              <w:pageBreakBefore w:val="0"/>
              <w:kinsoku/>
              <w:wordWrap/>
              <w:overflowPunct/>
              <w:topLinePunct w:val="0"/>
              <w:bidi w:val="0"/>
              <w:snapToGrid/>
              <w:spacing w:line="400" w:lineRule="exact"/>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0.0</w:t>
            </w:r>
            <w:r>
              <w:rPr>
                <w:rFonts w:hint="eastAsia" w:ascii="宋体" w:hAnsi="宋体" w:eastAsia="宋体" w:cs="宋体"/>
                <w:b w:val="0"/>
                <w:bCs w:val="0"/>
                <w:color w:val="auto"/>
                <w:sz w:val="21"/>
                <w:szCs w:val="21"/>
                <w:highlight w:val="none"/>
                <w:lang w:val="en-US" w:eastAsia="zh-CN"/>
              </w:rPr>
              <w:t>57，</w:t>
            </w:r>
            <w:r>
              <w:rPr>
                <w:rFonts w:hint="eastAsia" w:ascii="宋体" w:hAnsi="宋体" w:eastAsia="宋体" w:cs="宋体"/>
                <w:b w:val="0"/>
                <w:bCs w:val="0"/>
                <w:color w:val="auto"/>
                <w:sz w:val="21"/>
                <w:szCs w:val="21"/>
                <w:highlight w:val="none"/>
              </w:rPr>
              <w:t>0.0</w:t>
            </w:r>
            <w:r>
              <w:rPr>
                <w:rFonts w:hint="eastAsia" w:ascii="宋体" w:hAnsi="宋体" w:eastAsia="宋体" w:cs="宋体"/>
                <w:b w:val="0"/>
                <w:bCs w:val="0"/>
                <w:color w:val="auto"/>
                <w:sz w:val="21"/>
                <w:szCs w:val="21"/>
                <w:highlight w:val="none"/>
                <w:lang w:val="en-US" w:eastAsia="zh-CN"/>
              </w:rPr>
              <w:t>57</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0.0</w:t>
            </w:r>
            <w:r>
              <w:rPr>
                <w:rFonts w:hint="eastAsia" w:ascii="宋体" w:hAnsi="宋体" w:eastAsia="宋体" w:cs="宋体"/>
                <w:b w:val="0"/>
                <w:bCs w:val="0"/>
                <w:color w:val="auto"/>
                <w:sz w:val="21"/>
                <w:szCs w:val="21"/>
                <w:highlight w:val="none"/>
                <w:lang w:val="en-US" w:eastAsia="zh-CN"/>
              </w:rPr>
              <w:t>56</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0.0</w:t>
            </w:r>
            <w:r>
              <w:rPr>
                <w:rFonts w:hint="eastAsia" w:ascii="宋体" w:hAnsi="宋体" w:eastAsia="宋体" w:cs="宋体"/>
                <w:b w:val="0"/>
                <w:bCs w:val="0"/>
                <w:color w:val="auto"/>
                <w:sz w:val="21"/>
                <w:szCs w:val="21"/>
                <w:highlight w:val="none"/>
                <w:lang w:val="en-US" w:eastAsia="zh-CN"/>
              </w:rPr>
              <w:t>57，</w:t>
            </w:r>
            <w:r>
              <w:rPr>
                <w:rFonts w:hint="eastAsia" w:ascii="宋体" w:hAnsi="宋体" w:eastAsia="宋体" w:cs="宋体"/>
                <w:b w:val="0"/>
                <w:bCs w:val="0"/>
                <w:color w:val="auto"/>
                <w:sz w:val="21"/>
                <w:szCs w:val="21"/>
                <w:highlight w:val="none"/>
              </w:rPr>
              <w:t>0.0</w:t>
            </w:r>
            <w:r>
              <w:rPr>
                <w:rFonts w:hint="eastAsia" w:ascii="宋体" w:hAnsi="宋体" w:eastAsia="宋体" w:cs="宋体"/>
                <w:b w:val="0"/>
                <w:bCs w:val="0"/>
                <w:color w:val="auto"/>
                <w:sz w:val="21"/>
                <w:szCs w:val="21"/>
                <w:highlight w:val="none"/>
                <w:lang w:val="en-US" w:eastAsia="zh-CN"/>
              </w:rPr>
              <w:t>57，</w:t>
            </w:r>
            <w:r>
              <w:rPr>
                <w:rFonts w:hint="eastAsia" w:ascii="宋体" w:hAnsi="宋体" w:eastAsia="宋体" w:cs="宋体"/>
                <w:b w:val="0"/>
                <w:bCs w:val="0"/>
                <w:color w:val="auto"/>
                <w:sz w:val="21"/>
                <w:szCs w:val="21"/>
                <w:highlight w:val="none"/>
              </w:rPr>
              <w:t xml:space="preserve"> 0.0</w:t>
            </w:r>
            <w:r>
              <w:rPr>
                <w:rFonts w:hint="eastAsia" w:ascii="宋体" w:hAnsi="宋体" w:eastAsia="宋体" w:cs="宋体"/>
                <w:b w:val="0"/>
                <w:bCs w:val="0"/>
                <w:color w:val="auto"/>
                <w:sz w:val="21"/>
                <w:szCs w:val="21"/>
                <w:highlight w:val="none"/>
                <w:lang w:val="en-US" w:eastAsia="zh-CN"/>
              </w:rPr>
              <w:t>56，</w:t>
            </w:r>
            <w:r>
              <w:rPr>
                <w:rFonts w:hint="eastAsia" w:ascii="宋体" w:hAnsi="宋体" w:eastAsia="宋体" w:cs="宋体"/>
                <w:b w:val="0"/>
                <w:bCs w:val="0"/>
                <w:color w:val="auto"/>
                <w:sz w:val="21"/>
                <w:szCs w:val="21"/>
                <w:highlight w:val="none"/>
              </w:rPr>
              <w:t>0.0</w:t>
            </w:r>
            <w:r>
              <w:rPr>
                <w:rFonts w:hint="eastAsia" w:ascii="宋体" w:hAnsi="宋体" w:eastAsia="宋体" w:cs="宋体"/>
                <w:b w:val="0"/>
                <w:bCs w:val="0"/>
                <w:color w:val="auto"/>
                <w:sz w:val="21"/>
                <w:szCs w:val="21"/>
                <w:highlight w:val="none"/>
                <w:lang w:val="en-US" w:eastAsia="zh-CN"/>
              </w:rPr>
              <w:t>57，</w:t>
            </w:r>
            <w:r>
              <w:rPr>
                <w:rFonts w:hint="eastAsia" w:ascii="宋体" w:hAnsi="宋体" w:eastAsia="宋体" w:cs="宋体"/>
                <w:b w:val="0"/>
                <w:bCs w:val="0"/>
                <w:color w:val="auto"/>
                <w:sz w:val="21"/>
                <w:szCs w:val="21"/>
                <w:highlight w:val="none"/>
              </w:rPr>
              <w:t>0.0</w:t>
            </w:r>
            <w:r>
              <w:rPr>
                <w:rFonts w:hint="eastAsia" w:ascii="宋体" w:hAnsi="宋体" w:eastAsia="宋体" w:cs="宋体"/>
                <w:b w:val="0"/>
                <w:bCs w:val="0"/>
                <w:color w:val="auto"/>
                <w:sz w:val="21"/>
                <w:szCs w:val="21"/>
                <w:highlight w:val="none"/>
                <w:lang w:val="en-US" w:eastAsia="zh-CN"/>
              </w:rPr>
              <w:t>56</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0.0</w:t>
            </w:r>
            <w:r>
              <w:rPr>
                <w:rFonts w:hint="eastAsia" w:ascii="宋体" w:hAnsi="宋体" w:eastAsia="宋体" w:cs="宋体"/>
                <w:b w:val="0"/>
                <w:bCs w:val="0"/>
                <w:color w:val="auto"/>
                <w:sz w:val="21"/>
                <w:szCs w:val="21"/>
                <w:highlight w:val="none"/>
                <w:lang w:val="en-US" w:eastAsia="zh-CN"/>
              </w:rPr>
              <w:t>55，</w:t>
            </w:r>
            <w:r>
              <w:rPr>
                <w:rFonts w:hint="eastAsia" w:ascii="宋体" w:hAnsi="宋体" w:eastAsia="宋体" w:cs="宋体"/>
                <w:b w:val="0"/>
                <w:bCs w:val="0"/>
                <w:color w:val="auto"/>
                <w:sz w:val="21"/>
                <w:szCs w:val="21"/>
                <w:highlight w:val="none"/>
              </w:rPr>
              <w:t>0.0</w:t>
            </w:r>
            <w:r>
              <w:rPr>
                <w:rFonts w:hint="eastAsia" w:ascii="宋体" w:hAnsi="宋体" w:eastAsia="宋体" w:cs="宋体"/>
                <w:b w:val="0"/>
                <w:bCs w:val="0"/>
                <w:color w:val="auto"/>
                <w:sz w:val="21"/>
                <w:szCs w:val="21"/>
                <w:highlight w:val="none"/>
                <w:lang w:val="en-US" w:eastAsia="zh-CN"/>
              </w:rPr>
              <w:t>56</w:t>
            </w:r>
          </w:p>
        </w:tc>
        <w:tc>
          <w:tcPr>
            <w:tcW w:w="1188" w:type="dxa"/>
            <w:vAlign w:val="center"/>
          </w:tcPr>
          <w:p w14:paraId="4C40E74F">
            <w:pPr>
              <w:keepNext w:val="0"/>
              <w:keepLines w:val="0"/>
              <w:pageBreakBefore w:val="0"/>
              <w:kinsoku/>
              <w:wordWrap/>
              <w:overflowPunct/>
              <w:topLinePunct w:val="0"/>
              <w:bidi w:val="0"/>
              <w:snapToGrid/>
              <w:spacing w:line="400" w:lineRule="exact"/>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0.0</w:t>
            </w:r>
            <w:r>
              <w:rPr>
                <w:rFonts w:hint="eastAsia" w:ascii="宋体" w:hAnsi="宋体" w:eastAsia="宋体" w:cs="宋体"/>
                <w:b w:val="0"/>
                <w:bCs w:val="0"/>
                <w:color w:val="auto"/>
                <w:sz w:val="21"/>
                <w:szCs w:val="21"/>
                <w:highlight w:val="none"/>
                <w:lang w:val="en-US" w:eastAsia="zh-CN"/>
              </w:rPr>
              <w:t>57</w:t>
            </w:r>
          </w:p>
        </w:tc>
        <w:tc>
          <w:tcPr>
            <w:tcW w:w="1404" w:type="dxa"/>
            <w:vAlign w:val="center"/>
          </w:tcPr>
          <w:p w14:paraId="54367786">
            <w:pPr>
              <w:keepNext w:val="0"/>
              <w:keepLines w:val="0"/>
              <w:pageBreakBefore w:val="0"/>
              <w:kinsoku/>
              <w:wordWrap/>
              <w:overflowPunct/>
              <w:topLinePunct w:val="0"/>
              <w:bidi w:val="0"/>
              <w:snapToGrid/>
              <w:spacing w:line="400" w:lineRule="exact"/>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0.00</w:t>
            </w:r>
            <w:r>
              <w:rPr>
                <w:rFonts w:hint="eastAsia" w:ascii="宋体" w:hAnsi="宋体" w:eastAsia="宋体" w:cs="宋体"/>
                <w:b w:val="0"/>
                <w:bCs w:val="0"/>
                <w:color w:val="auto"/>
                <w:sz w:val="21"/>
                <w:szCs w:val="21"/>
                <w:highlight w:val="none"/>
                <w:lang w:val="en-US" w:eastAsia="zh-CN"/>
              </w:rPr>
              <w:t>053</w:t>
            </w:r>
          </w:p>
        </w:tc>
      </w:tr>
      <w:tr w14:paraId="1BCF2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44" w:type="dxa"/>
            <w:vMerge w:val="continue"/>
            <w:vAlign w:val="center"/>
          </w:tcPr>
          <w:p w14:paraId="6A05CCB8">
            <w:pPr>
              <w:keepNext w:val="0"/>
              <w:keepLines w:val="0"/>
              <w:pageBreakBefore w:val="0"/>
              <w:kinsoku/>
              <w:wordWrap/>
              <w:overflowPunct/>
              <w:topLinePunct w:val="0"/>
              <w:bidi w:val="0"/>
              <w:snapToGrid/>
              <w:spacing w:line="400" w:lineRule="exact"/>
              <w:jc w:val="center"/>
              <w:rPr>
                <w:rFonts w:hint="eastAsia" w:ascii="宋体" w:hAnsi="宋体" w:eastAsia="宋体" w:cs="宋体"/>
                <w:b w:val="0"/>
                <w:bCs w:val="0"/>
                <w:color w:val="auto"/>
                <w:sz w:val="21"/>
                <w:szCs w:val="21"/>
                <w:highlight w:val="none"/>
                <w:lang w:val="en-US" w:eastAsia="zh-CN"/>
              </w:rPr>
            </w:pPr>
          </w:p>
        </w:tc>
        <w:tc>
          <w:tcPr>
            <w:tcW w:w="1266" w:type="dxa"/>
            <w:vAlign w:val="center"/>
          </w:tcPr>
          <w:p w14:paraId="6D225A2B">
            <w:pPr>
              <w:keepNext w:val="0"/>
              <w:keepLines w:val="0"/>
              <w:pageBreakBefore w:val="0"/>
              <w:kinsoku/>
              <w:wordWrap/>
              <w:overflowPunct/>
              <w:topLinePunct w:val="0"/>
              <w:bidi w:val="0"/>
              <w:snapToGrid/>
              <w:spacing w:line="400" w:lineRule="exact"/>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2.50</w:t>
            </w:r>
          </w:p>
        </w:tc>
        <w:tc>
          <w:tcPr>
            <w:tcW w:w="3658" w:type="dxa"/>
            <w:vAlign w:val="center"/>
          </w:tcPr>
          <w:p w14:paraId="76D5F785">
            <w:pPr>
              <w:keepNext w:val="0"/>
              <w:keepLines w:val="0"/>
              <w:pageBreakBefore w:val="0"/>
              <w:kinsoku/>
              <w:wordWrap/>
              <w:overflowPunct/>
              <w:topLinePunct w:val="0"/>
              <w:bidi w:val="0"/>
              <w:snapToGrid/>
              <w:spacing w:line="400" w:lineRule="exact"/>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0.</w:t>
            </w:r>
            <w:r>
              <w:rPr>
                <w:rFonts w:hint="eastAsia" w:ascii="宋体" w:hAnsi="宋体" w:eastAsia="宋体" w:cs="宋体"/>
                <w:b w:val="0"/>
                <w:bCs w:val="0"/>
                <w:color w:val="auto"/>
                <w:sz w:val="21"/>
                <w:szCs w:val="21"/>
                <w:highlight w:val="none"/>
                <w:lang w:val="en-US" w:eastAsia="zh-CN"/>
              </w:rPr>
              <w:t>257，</w:t>
            </w:r>
            <w:r>
              <w:rPr>
                <w:rFonts w:hint="eastAsia" w:ascii="宋体" w:hAnsi="宋体" w:eastAsia="宋体" w:cs="宋体"/>
                <w:b w:val="0"/>
                <w:bCs w:val="0"/>
                <w:color w:val="auto"/>
                <w:sz w:val="21"/>
                <w:szCs w:val="21"/>
                <w:highlight w:val="none"/>
              </w:rPr>
              <w:t>0.</w:t>
            </w:r>
            <w:r>
              <w:rPr>
                <w:rFonts w:hint="eastAsia" w:ascii="宋体" w:hAnsi="宋体" w:eastAsia="宋体" w:cs="宋体"/>
                <w:b w:val="0"/>
                <w:bCs w:val="0"/>
                <w:color w:val="auto"/>
                <w:sz w:val="21"/>
                <w:szCs w:val="21"/>
                <w:highlight w:val="none"/>
                <w:lang w:val="en-US" w:eastAsia="zh-CN"/>
              </w:rPr>
              <w:t>258，</w:t>
            </w:r>
            <w:r>
              <w:rPr>
                <w:rFonts w:hint="eastAsia" w:ascii="宋体" w:hAnsi="宋体" w:eastAsia="宋体" w:cs="宋体"/>
                <w:b w:val="0"/>
                <w:bCs w:val="0"/>
                <w:color w:val="auto"/>
                <w:sz w:val="21"/>
                <w:szCs w:val="21"/>
                <w:highlight w:val="none"/>
              </w:rPr>
              <w:t>0.</w:t>
            </w:r>
            <w:r>
              <w:rPr>
                <w:rFonts w:hint="eastAsia" w:ascii="宋体" w:hAnsi="宋体" w:eastAsia="宋体" w:cs="宋体"/>
                <w:b w:val="0"/>
                <w:bCs w:val="0"/>
                <w:color w:val="auto"/>
                <w:sz w:val="21"/>
                <w:szCs w:val="21"/>
                <w:highlight w:val="none"/>
                <w:lang w:val="en-US" w:eastAsia="zh-CN"/>
              </w:rPr>
              <w:t>258，</w:t>
            </w:r>
            <w:r>
              <w:rPr>
                <w:rFonts w:hint="eastAsia" w:ascii="宋体" w:hAnsi="宋体" w:eastAsia="宋体" w:cs="宋体"/>
                <w:b w:val="0"/>
                <w:bCs w:val="0"/>
                <w:color w:val="auto"/>
                <w:sz w:val="21"/>
                <w:szCs w:val="21"/>
                <w:highlight w:val="none"/>
              </w:rPr>
              <w:t>0.</w:t>
            </w:r>
            <w:r>
              <w:rPr>
                <w:rFonts w:hint="eastAsia" w:ascii="宋体" w:hAnsi="宋体" w:eastAsia="宋体" w:cs="宋体"/>
                <w:b w:val="0"/>
                <w:bCs w:val="0"/>
                <w:color w:val="auto"/>
                <w:sz w:val="21"/>
                <w:szCs w:val="21"/>
                <w:highlight w:val="none"/>
                <w:lang w:val="en-US" w:eastAsia="zh-CN"/>
              </w:rPr>
              <w:t>258</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0.</w:t>
            </w:r>
            <w:r>
              <w:rPr>
                <w:rFonts w:hint="eastAsia" w:ascii="宋体" w:hAnsi="宋体" w:eastAsia="宋体" w:cs="宋体"/>
                <w:b w:val="0"/>
                <w:bCs w:val="0"/>
                <w:color w:val="auto"/>
                <w:sz w:val="21"/>
                <w:szCs w:val="21"/>
                <w:highlight w:val="none"/>
                <w:lang w:val="en-US" w:eastAsia="zh-CN"/>
              </w:rPr>
              <w:t>256</w:t>
            </w:r>
            <w:r>
              <w:rPr>
                <w:rFonts w:hint="eastAsia" w:ascii="宋体" w:hAnsi="宋体" w:eastAsia="宋体" w:cs="宋体"/>
                <w:b w:val="0"/>
                <w:bCs w:val="0"/>
                <w:color w:val="auto"/>
                <w:sz w:val="21"/>
                <w:szCs w:val="21"/>
                <w:highlight w:val="none"/>
              </w:rPr>
              <w:t xml:space="preserve"> 0.</w:t>
            </w:r>
            <w:r>
              <w:rPr>
                <w:rFonts w:hint="eastAsia" w:ascii="宋体" w:hAnsi="宋体" w:eastAsia="宋体" w:cs="宋体"/>
                <w:b w:val="0"/>
                <w:bCs w:val="0"/>
                <w:color w:val="auto"/>
                <w:sz w:val="21"/>
                <w:szCs w:val="21"/>
                <w:highlight w:val="none"/>
                <w:lang w:val="en-US" w:eastAsia="zh-CN"/>
              </w:rPr>
              <w:t>255，</w:t>
            </w:r>
            <w:r>
              <w:rPr>
                <w:rFonts w:hint="eastAsia" w:ascii="宋体" w:hAnsi="宋体" w:eastAsia="宋体" w:cs="宋体"/>
                <w:b w:val="0"/>
                <w:bCs w:val="0"/>
                <w:color w:val="auto"/>
                <w:sz w:val="21"/>
                <w:szCs w:val="21"/>
                <w:highlight w:val="none"/>
              </w:rPr>
              <w:t>0.</w:t>
            </w:r>
            <w:r>
              <w:rPr>
                <w:rFonts w:hint="eastAsia" w:ascii="宋体" w:hAnsi="宋体" w:eastAsia="宋体" w:cs="宋体"/>
                <w:b w:val="0"/>
                <w:bCs w:val="0"/>
                <w:color w:val="auto"/>
                <w:sz w:val="21"/>
                <w:szCs w:val="21"/>
                <w:highlight w:val="none"/>
                <w:lang w:val="en-US" w:eastAsia="zh-CN"/>
              </w:rPr>
              <w:t>257</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0.</w:t>
            </w:r>
            <w:r>
              <w:rPr>
                <w:rFonts w:hint="eastAsia" w:ascii="宋体" w:hAnsi="宋体" w:eastAsia="宋体" w:cs="宋体"/>
                <w:b w:val="0"/>
                <w:bCs w:val="0"/>
                <w:color w:val="auto"/>
                <w:sz w:val="21"/>
                <w:szCs w:val="21"/>
                <w:highlight w:val="none"/>
                <w:lang w:val="en-US" w:eastAsia="zh-CN"/>
              </w:rPr>
              <w:t>256，</w:t>
            </w:r>
            <w:r>
              <w:rPr>
                <w:rFonts w:hint="eastAsia" w:ascii="宋体" w:hAnsi="宋体" w:eastAsia="宋体" w:cs="宋体"/>
                <w:b w:val="0"/>
                <w:bCs w:val="0"/>
                <w:color w:val="auto"/>
                <w:sz w:val="21"/>
                <w:szCs w:val="21"/>
                <w:highlight w:val="none"/>
              </w:rPr>
              <w:t>0.</w:t>
            </w:r>
            <w:r>
              <w:rPr>
                <w:rFonts w:hint="eastAsia" w:ascii="宋体" w:hAnsi="宋体" w:eastAsia="宋体" w:cs="宋体"/>
                <w:b w:val="0"/>
                <w:bCs w:val="0"/>
                <w:color w:val="auto"/>
                <w:sz w:val="21"/>
                <w:szCs w:val="21"/>
                <w:highlight w:val="none"/>
                <w:lang w:val="en-US" w:eastAsia="zh-CN"/>
              </w:rPr>
              <w:t>254，</w:t>
            </w:r>
            <w:r>
              <w:rPr>
                <w:rFonts w:hint="eastAsia" w:ascii="宋体" w:hAnsi="宋体" w:eastAsia="宋体" w:cs="宋体"/>
                <w:b w:val="0"/>
                <w:bCs w:val="0"/>
                <w:color w:val="auto"/>
                <w:sz w:val="21"/>
                <w:szCs w:val="21"/>
                <w:highlight w:val="none"/>
              </w:rPr>
              <w:t>0.</w:t>
            </w:r>
            <w:r>
              <w:rPr>
                <w:rFonts w:hint="eastAsia" w:ascii="宋体" w:hAnsi="宋体" w:eastAsia="宋体" w:cs="宋体"/>
                <w:b w:val="0"/>
                <w:bCs w:val="0"/>
                <w:color w:val="auto"/>
                <w:sz w:val="21"/>
                <w:szCs w:val="21"/>
                <w:highlight w:val="none"/>
                <w:lang w:val="en-US" w:eastAsia="zh-CN"/>
              </w:rPr>
              <w:t>258</w:t>
            </w:r>
          </w:p>
        </w:tc>
        <w:tc>
          <w:tcPr>
            <w:tcW w:w="1188" w:type="dxa"/>
            <w:vAlign w:val="center"/>
          </w:tcPr>
          <w:p w14:paraId="4493D9B2">
            <w:pPr>
              <w:keepNext w:val="0"/>
              <w:keepLines w:val="0"/>
              <w:pageBreakBefore w:val="0"/>
              <w:kinsoku/>
              <w:wordWrap/>
              <w:overflowPunct/>
              <w:topLinePunct w:val="0"/>
              <w:bidi w:val="0"/>
              <w:snapToGrid/>
              <w:spacing w:line="400" w:lineRule="exact"/>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0.</w:t>
            </w:r>
            <w:r>
              <w:rPr>
                <w:rFonts w:hint="eastAsia" w:ascii="宋体" w:hAnsi="宋体" w:eastAsia="宋体" w:cs="宋体"/>
                <w:b w:val="0"/>
                <w:bCs w:val="0"/>
                <w:color w:val="auto"/>
                <w:sz w:val="21"/>
                <w:szCs w:val="21"/>
                <w:highlight w:val="none"/>
                <w:lang w:val="en-US" w:eastAsia="zh-CN"/>
              </w:rPr>
              <w:t>257</w:t>
            </w:r>
          </w:p>
        </w:tc>
        <w:tc>
          <w:tcPr>
            <w:tcW w:w="1404" w:type="dxa"/>
            <w:vAlign w:val="center"/>
          </w:tcPr>
          <w:p w14:paraId="36F0068B">
            <w:pPr>
              <w:keepNext w:val="0"/>
              <w:keepLines w:val="0"/>
              <w:pageBreakBefore w:val="0"/>
              <w:kinsoku/>
              <w:wordWrap/>
              <w:overflowPunct/>
              <w:topLinePunct w:val="0"/>
              <w:bidi w:val="0"/>
              <w:snapToGrid/>
              <w:spacing w:line="400" w:lineRule="exact"/>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0.00</w:t>
            </w:r>
            <w:r>
              <w:rPr>
                <w:rFonts w:hint="eastAsia" w:ascii="宋体" w:hAnsi="宋体" w:eastAsia="宋体" w:cs="宋体"/>
                <w:b w:val="0"/>
                <w:bCs w:val="0"/>
                <w:color w:val="auto"/>
                <w:sz w:val="21"/>
                <w:szCs w:val="21"/>
                <w:highlight w:val="none"/>
                <w:lang w:val="en-US" w:eastAsia="zh-CN"/>
              </w:rPr>
              <w:t>14</w:t>
            </w:r>
          </w:p>
        </w:tc>
      </w:tr>
    </w:tbl>
    <w:p w14:paraId="54506BBC">
      <w:pPr>
        <w:keepNext w:val="0"/>
        <w:keepLines w:val="0"/>
        <w:pageBreakBefore w:val="0"/>
        <w:kinsoku/>
        <w:wordWrap/>
        <w:overflowPunct/>
        <w:topLinePunct w:val="0"/>
        <w:bidi w:val="0"/>
        <w:snapToGrid/>
        <w:spacing w:line="400" w:lineRule="exact"/>
        <w:jc w:val="center"/>
        <w:rPr>
          <w:rFonts w:hint="eastAsia" w:ascii="宋体" w:hAnsi="宋体" w:eastAsia="宋体" w:cs="宋体"/>
          <w:b w:val="0"/>
          <w:bCs w:val="0"/>
          <w:color w:val="auto"/>
          <w:sz w:val="21"/>
          <w:szCs w:val="21"/>
          <w:highlight w:val="none"/>
        </w:rPr>
      </w:pPr>
    </w:p>
    <w:p w14:paraId="3278C5A8">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黑体" w:hAnsi="黑体" w:eastAsia="黑体" w:cs="黑体"/>
          <w:szCs w:val="21"/>
          <w:lang w:val="en-US" w:eastAsia="zh-CN"/>
        </w:rPr>
      </w:pPr>
      <w:r>
        <w:rPr>
          <w:rFonts w:hint="eastAsia" w:ascii="宋体" w:hAnsi="宋体" w:eastAsia="宋体" w:cs="宋体"/>
          <w:color w:val="auto"/>
          <w:sz w:val="21"/>
          <w:szCs w:val="21"/>
          <w:highlight w:val="none"/>
        </w:rPr>
        <w:t>试验结果及验证单位结果表明：</w:t>
      </w:r>
      <w:r>
        <w:rPr>
          <w:rFonts w:hint="eastAsia" w:ascii="宋体" w:hAnsi="宋体" w:eastAsia="宋体" w:cs="宋体"/>
          <w:color w:val="auto"/>
          <w:sz w:val="21"/>
          <w:szCs w:val="21"/>
          <w:highlight w:val="none"/>
          <w:lang w:eastAsia="zh-CN"/>
        </w:rPr>
        <w:t>工作曲线</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最高浓度标准溶液吸光度的标准偏差不超过其平均吸光度的1.0%；最低浓度标准溶液吸光度的标准偏差不超过最高浓度标准溶液平均吸光度的0.5%。即最高和最低吸光度值精密度均满足最小精密度要求</w:t>
      </w:r>
      <w:r>
        <w:rPr>
          <w:rFonts w:hint="eastAsia" w:ascii="宋体" w:hAnsi="宋体" w:eastAsia="宋体" w:cs="宋体"/>
          <w:color w:val="auto"/>
          <w:sz w:val="21"/>
          <w:szCs w:val="21"/>
          <w:highlight w:val="none"/>
          <w:lang w:eastAsia="zh-CN"/>
        </w:rPr>
        <w:t>。</w:t>
      </w:r>
    </w:p>
    <w:p w14:paraId="0B24888E">
      <w:pPr>
        <w:keepNext w:val="0"/>
        <w:keepLines w:val="0"/>
        <w:pageBreakBefore w:val="0"/>
        <w:kinsoku/>
        <w:wordWrap/>
        <w:overflowPunct/>
        <w:topLinePunct w:val="0"/>
        <w:bidi w:val="0"/>
        <w:snapToGrid/>
        <w:spacing w:line="400" w:lineRule="exact"/>
        <w:rPr>
          <w:rFonts w:hint="eastAsia" w:ascii="黑体" w:hAnsi="黑体" w:eastAsia="黑体" w:cs="黑体"/>
          <w:b w:val="0"/>
          <w:bCs w:val="0"/>
          <w:color w:val="000000"/>
          <w:sz w:val="21"/>
          <w:szCs w:val="21"/>
          <w:highlight w:val="none"/>
        </w:rPr>
      </w:pPr>
      <w:r>
        <w:rPr>
          <w:rFonts w:hint="eastAsia" w:ascii="黑体" w:hAnsi="黑体" w:eastAsia="黑体" w:cs="黑体"/>
          <w:b w:val="0"/>
          <w:bCs w:val="0"/>
          <w:color w:val="000000"/>
          <w:sz w:val="21"/>
          <w:szCs w:val="21"/>
          <w:highlight w:val="none"/>
          <w:lang w:val="en-US" w:eastAsia="zh-CN"/>
        </w:rPr>
        <w:t>1</w:t>
      </w:r>
      <w:r>
        <w:rPr>
          <w:rFonts w:hint="eastAsia" w:ascii="黑体" w:hAnsi="黑体" w:eastAsia="黑体" w:cs="黑体"/>
          <w:b w:val="0"/>
          <w:bCs w:val="0"/>
          <w:color w:val="000000"/>
          <w:sz w:val="21"/>
          <w:szCs w:val="21"/>
          <w:highlight w:val="none"/>
        </w:rPr>
        <w:t>.</w:t>
      </w:r>
      <w:r>
        <w:rPr>
          <w:rFonts w:hint="eastAsia" w:ascii="黑体" w:hAnsi="黑体" w:eastAsia="黑体" w:cs="黑体"/>
          <w:b w:val="0"/>
          <w:bCs w:val="0"/>
          <w:color w:val="000000"/>
          <w:sz w:val="21"/>
          <w:szCs w:val="21"/>
          <w:highlight w:val="none"/>
          <w:lang w:val="en-US" w:eastAsia="zh-CN"/>
        </w:rPr>
        <w:t>4</w:t>
      </w:r>
      <w:r>
        <w:rPr>
          <w:rFonts w:hint="eastAsia" w:ascii="黑体" w:hAnsi="黑体" w:eastAsia="黑体" w:cs="黑体"/>
          <w:b w:val="0"/>
          <w:bCs w:val="0"/>
          <w:color w:val="000000"/>
          <w:sz w:val="21"/>
          <w:szCs w:val="21"/>
          <w:highlight w:val="none"/>
        </w:rPr>
        <w:t xml:space="preserve"> 测定酸度的影响</w:t>
      </w:r>
    </w:p>
    <w:p w14:paraId="59BA2660">
      <w:pPr>
        <w:keepNext w:val="0"/>
        <w:keepLines w:val="0"/>
        <w:pageBreakBefore w:val="0"/>
        <w:kinsoku/>
        <w:wordWrap/>
        <w:overflowPunct/>
        <w:topLinePunct w:val="0"/>
        <w:bidi w:val="0"/>
        <w:snapToGrid/>
        <w:spacing w:line="400" w:lineRule="exact"/>
        <w:ind w:firstLine="420" w:firstLineChars="200"/>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在1</w:t>
      </w:r>
      <w:r>
        <w:rPr>
          <w:rFonts w:hint="eastAsia" w:ascii="宋体" w:hAnsi="宋体" w:eastAsia="宋体" w:cs="宋体"/>
          <w:color w:val="auto"/>
          <w:sz w:val="21"/>
          <w:szCs w:val="21"/>
          <w:highlight w:val="none"/>
          <w:lang w:val="en-US" w:eastAsia="zh-CN"/>
        </w:rPr>
        <w:t>.00</w:t>
      </w:r>
      <w:r>
        <w:rPr>
          <w:rFonts w:hint="eastAsia" w:ascii="宋体" w:hAnsi="宋体" w:eastAsia="宋体" w:cs="宋体"/>
          <w:color w:val="auto"/>
          <w:sz w:val="21"/>
          <w:szCs w:val="21"/>
          <w:highlight w:val="none"/>
        </w:rPr>
        <w:t>µg/mL镉标准溶液中分别加入</w:t>
      </w:r>
      <w:r>
        <w:rPr>
          <w:rFonts w:hint="eastAsia" w:ascii="宋体" w:hAnsi="宋体" w:eastAsia="宋体" w:cs="宋体"/>
          <w:color w:val="auto"/>
          <w:sz w:val="21"/>
          <w:szCs w:val="21"/>
          <w:highlight w:val="none"/>
          <w:lang w:val="en-US" w:eastAsia="zh-CN"/>
        </w:rPr>
        <w:t>2mL、5mL、10mL、15mL</w:t>
      </w:r>
      <w:r>
        <w:rPr>
          <w:rFonts w:hint="eastAsia" w:ascii="宋体" w:hAnsi="宋体" w:eastAsia="宋体" w:cs="宋体"/>
          <w:color w:val="auto"/>
          <w:sz w:val="21"/>
          <w:szCs w:val="21"/>
          <w:highlight w:val="none"/>
          <w:lang w:eastAsia="zh-CN"/>
        </w:rPr>
        <w:t>混合酸，</w:t>
      </w:r>
      <w:r>
        <w:rPr>
          <w:rFonts w:hint="eastAsia" w:ascii="宋体" w:hAnsi="宋体" w:eastAsia="宋体" w:cs="宋体"/>
          <w:color w:val="auto"/>
          <w:sz w:val="21"/>
          <w:szCs w:val="21"/>
          <w:highlight w:val="none"/>
        </w:rPr>
        <w:t>用水稀释至刻度，混匀，测量吸光度。结果见表</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w:t>
      </w:r>
    </w:p>
    <w:p w14:paraId="1D390A9C">
      <w:pPr>
        <w:keepNext w:val="0"/>
        <w:keepLines w:val="0"/>
        <w:pageBreakBefore w:val="0"/>
        <w:kinsoku/>
        <w:wordWrap/>
        <w:overflowPunct/>
        <w:topLinePunct w:val="0"/>
        <w:bidi w:val="0"/>
        <w:snapToGrid/>
        <w:spacing w:line="400" w:lineRule="exact"/>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表</w:t>
      </w:r>
      <w:r>
        <w:rPr>
          <w:rFonts w:hint="eastAsia" w:ascii="宋体" w:hAnsi="宋体" w:eastAsia="宋体" w:cs="宋体"/>
          <w:b w:val="0"/>
          <w:bCs w:val="0"/>
          <w:color w:val="auto"/>
          <w:sz w:val="21"/>
          <w:szCs w:val="21"/>
          <w:highlight w:val="none"/>
          <w:lang w:val="en-US" w:eastAsia="zh-CN"/>
        </w:rPr>
        <w:t>9</w:t>
      </w:r>
      <w:r>
        <w:rPr>
          <w:rFonts w:hint="eastAsia" w:ascii="宋体" w:hAnsi="宋体" w:eastAsia="宋体" w:cs="宋体"/>
          <w:b w:val="0"/>
          <w:bCs w:val="0"/>
          <w:color w:val="auto"/>
          <w:sz w:val="21"/>
          <w:szCs w:val="21"/>
          <w:highlight w:val="none"/>
        </w:rPr>
        <w:t xml:space="preserve"> 酸度对</w:t>
      </w:r>
      <w:r>
        <w:rPr>
          <w:rFonts w:hint="eastAsia" w:ascii="宋体" w:hAnsi="宋体" w:eastAsia="宋体" w:cs="宋体"/>
          <w:b w:val="0"/>
          <w:bCs w:val="0"/>
          <w:color w:val="auto"/>
          <w:sz w:val="21"/>
          <w:szCs w:val="21"/>
          <w:highlight w:val="none"/>
          <w:lang w:eastAsia="zh-CN"/>
        </w:rPr>
        <w:t>镉</w:t>
      </w:r>
      <w:r>
        <w:rPr>
          <w:rFonts w:hint="eastAsia" w:ascii="宋体" w:hAnsi="宋体" w:eastAsia="宋体" w:cs="宋体"/>
          <w:b w:val="0"/>
          <w:bCs w:val="0"/>
          <w:color w:val="auto"/>
          <w:sz w:val="21"/>
          <w:szCs w:val="21"/>
          <w:highlight w:val="none"/>
        </w:rPr>
        <w:t>测定的影响</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31"/>
        <w:gridCol w:w="2464"/>
        <w:gridCol w:w="2366"/>
      </w:tblGrid>
      <w:tr w14:paraId="3C439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2231" w:type="dxa"/>
            <w:vAlign w:val="center"/>
          </w:tcPr>
          <w:p w14:paraId="7F1762B9">
            <w:pPr>
              <w:keepNext w:val="0"/>
              <w:keepLines w:val="0"/>
              <w:pageBreakBefore w:val="0"/>
              <w:kinsoku/>
              <w:wordWrap/>
              <w:overflowPunct/>
              <w:topLinePunct w:val="0"/>
              <w:bidi w:val="0"/>
              <w:snapToGrid/>
              <w:spacing w:line="400" w:lineRule="exact"/>
              <w:jc w:val="center"/>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实验室</w:t>
            </w:r>
          </w:p>
        </w:tc>
        <w:tc>
          <w:tcPr>
            <w:tcW w:w="2464" w:type="dxa"/>
            <w:vAlign w:val="center"/>
          </w:tcPr>
          <w:p w14:paraId="6D3B131D">
            <w:pPr>
              <w:keepNext w:val="0"/>
              <w:keepLines w:val="0"/>
              <w:pageBreakBefore w:val="0"/>
              <w:kinsoku/>
              <w:wordWrap/>
              <w:overflowPunct/>
              <w:topLinePunct w:val="0"/>
              <w:bidi w:val="0"/>
              <w:snapToGrid/>
              <w:spacing w:line="400" w:lineRule="exact"/>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eastAsia="zh-CN"/>
              </w:rPr>
              <w:t>混合酸液</w:t>
            </w:r>
            <w:r>
              <w:rPr>
                <w:rFonts w:hint="eastAsia" w:ascii="宋体" w:hAnsi="宋体" w:eastAsia="宋体" w:cs="宋体"/>
                <w:b w:val="0"/>
                <w:bCs w:val="0"/>
                <w:color w:val="auto"/>
                <w:sz w:val="21"/>
                <w:szCs w:val="21"/>
                <w:highlight w:val="none"/>
              </w:rPr>
              <w:t>加入量</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mL</w:t>
            </w:r>
            <w:r>
              <w:rPr>
                <w:rFonts w:hint="eastAsia" w:ascii="宋体" w:hAnsi="宋体" w:eastAsia="宋体" w:cs="宋体"/>
                <w:b w:val="0"/>
                <w:bCs w:val="0"/>
                <w:color w:val="auto"/>
                <w:sz w:val="21"/>
                <w:szCs w:val="21"/>
                <w:highlight w:val="none"/>
                <w:lang w:eastAsia="zh-CN"/>
              </w:rPr>
              <w:t>）</w:t>
            </w:r>
          </w:p>
        </w:tc>
        <w:tc>
          <w:tcPr>
            <w:tcW w:w="2366" w:type="dxa"/>
            <w:vAlign w:val="center"/>
          </w:tcPr>
          <w:p w14:paraId="06E6B8F9">
            <w:pPr>
              <w:keepNext w:val="0"/>
              <w:keepLines w:val="0"/>
              <w:pageBreakBefore w:val="0"/>
              <w:kinsoku/>
              <w:wordWrap/>
              <w:overflowPunct/>
              <w:topLinePunct w:val="0"/>
              <w:bidi w:val="0"/>
              <w:snapToGrid/>
              <w:spacing w:line="400" w:lineRule="exact"/>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µg/mL</w:t>
            </w:r>
            <w:r>
              <w:rPr>
                <w:rFonts w:hint="eastAsia" w:ascii="宋体" w:hAnsi="宋体" w:eastAsia="宋体" w:cs="宋体"/>
                <w:b w:val="0"/>
                <w:bCs w:val="0"/>
                <w:color w:val="auto"/>
                <w:sz w:val="21"/>
                <w:szCs w:val="21"/>
                <w:highlight w:val="none"/>
                <w:lang w:val="en-US" w:eastAsia="zh-CN"/>
              </w:rPr>
              <w:t xml:space="preserve"> Cd </w:t>
            </w:r>
            <w:r>
              <w:rPr>
                <w:rFonts w:hint="eastAsia" w:ascii="宋体" w:hAnsi="宋体" w:eastAsia="宋体" w:cs="宋体"/>
                <w:b w:val="0"/>
                <w:bCs w:val="0"/>
                <w:color w:val="auto"/>
                <w:sz w:val="21"/>
                <w:szCs w:val="21"/>
                <w:highlight w:val="none"/>
              </w:rPr>
              <w:t>吸光度</w:t>
            </w:r>
            <w:r>
              <w:rPr>
                <w:rFonts w:hint="eastAsia" w:ascii="宋体" w:hAnsi="宋体" w:eastAsia="宋体" w:cs="宋体"/>
                <w:b w:val="0"/>
                <w:bCs w:val="0"/>
                <w:i/>
                <w:iCs/>
                <w:color w:val="auto"/>
                <w:sz w:val="21"/>
                <w:szCs w:val="21"/>
                <w:highlight w:val="none"/>
              </w:rPr>
              <w:t>A</w:t>
            </w:r>
          </w:p>
        </w:tc>
      </w:tr>
      <w:tr w14:paraId="41F04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2231" w:type="dxa"/>
            <w:vMerge w:val="restart"/>
            <w:shd w:val="clear" w:color="auto" w:fill="auto"/>
            <w:vAlign w:val="center"/>
          </w:tcPr>
          <w:p w14:paraId="1E275725">
            <w:pPr>
              <w:keepNext w:val="0"/>
              <w:keepLines w:val="0"/>
              <w:pageBreakBefore w:val="0"/>
              <w:kinsoku/>
              <w:wordWrap/>
              <w:overflowPunct/>
              <w:topLinePunct w:val="0"/>
              <w:bidi w:val="0"/>
              <w:snapToGrid/>
              <w:spacing w:line="400" w:lineRule="exact"/>
              <w:jc w:val="center"/>
              <w:rPr>
                <w:rFonts w:hint="eastAsia" w:ascii="宋体" w:hAnsi="宋体"/>
                <w:sz w:val="21"/>
                <w:szCs w:val="21"/>
                <w:lang w:val="en-US" w:eastAsia="zh-CN"/>
              </w:rPr>
            </w:pPr>
          </w:p>
          <w:p w14:paraId="29E86CD7">
            <w:pPr>
              <w:keepNext w:val="0"/>
              <w:keepLines w:val="0"/>
              <w:pageBreakBefore w:val="0"/>
              <w:kinsoku/>
              <w:wordWrap/>
              <w:overflowPunct/>
              <w:topLinePunct w:val="0"/>
              <w:bidi w:val="0"/>
              <w:snapToGrid/>
              <w:spacing w:line="400" w:lineRule="exact"/>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sz w:val="21"/>
                <w:szCs w:val="21"/>
                <w:lang w:val="en-US" w:eastAsia="zh-CN"/>
              </w:rPr>
              <w:t>中铝洛铜</w:t>
            </w:r>
          </w:p>
          <w:p w14:paraId="1E0FAD2E">
            <w:pPr>
              <w:keepNext w:val="0"/>
              <w:keepLines w:val="0"/>
              <w:pageBreakBefore w:val="0"/>
              <w:kinsoku/>
              <w:wordWrap/>
              <w:overflowPunct/>
              <w:topLinePunct w:val="0"/>
              <w:bidi w:val="0"/>
              <w:snapToGrid/>
              <w:spacing w:line="400" w:lineRule="exact"/>
              <w:jc w:val="center"/>
              <w:rPr>
                <w:rFonts w:hint="eastAsia" w:ascii="宋体" w:hAnsi="宋体" w:eastAsia="宋体" w:cs="宋体"/>
                <w:b w:val="0"/>
                <w:bCs w:val="0"/>
                <w:color w:val="auto"/>
                <w:sz w:val="21"/>
                <w:szCs w:val="21"/>
                <w:highlight w:val="none"/>
                <w:lang w:eastAsia="zh-CN"/>
              </w:rPr>
            </w:pPr>
          </w:p>
        </w:tc>
        <w:tc>
          <w:tcPr>
            <w:tcW w:w="2464" w:type="dxa"/>
            <w:vAlign w:val="center"/>
          </w:tcPr>
          <w:p w14:paraId="77923F87">
            <w:pPr>
              <w:keepNext w:val="0"/>
              <w:keepLines w:val="0"/>
              <w:pageBreakBefore w:val="0"/>
              <w:kinsoku/>
              <w:wordWrap/>
              <w:overflowPunct/>
              <w:topLinePunct w:val="0"/>
              <w:bidi w:val="0"/>
              <w:snapToGrid/>
              <w:spacing w:line="400" w:lineRule="exact"/>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w:t>
            </w:r>
          </w:p>
        </w:tc>
        <w:tc>
          <w:tcPr>
            <w:tcW w:w="2366" w:type="dxa"/>
            <w:vAlign w:val="center"/>
          </w:tcPr>
          <w:p w14:paraId="50843FED">
            <w:pPr>
              <w:keepNext w:val="0"/>
              <w:keepLines w:val="0"/>
              <w:pageBreakBefore w:val="0"/>
              <w:kinsoku/>
              <w:wordWrap/>
              <w:overflowPunct/>
              <w:topLinePunct w:val="0"/>
              <w:bidi w:val="0"/>
              <w:snapToGrid/>
              <w:spacing w:line="400" w:lineRule="exact"/>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0.229</w:t>
            </w:r>
          </w:p>
        </w:tc>
      </w:tr>
      <w:tr w14:paraId="65E84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31" w:type="dxa"/>
            <w:vMerge w:val="continue"/>
            <w:vAlign w:val="center"/>
          </w:tcPr>
          <w:p w14:paraId="6578E0DE">
            <w:pPr>
              <w:keepNext w:val="0"/>
              <w:keepLines w:val="0"/>
              <w:pageBreakBefore w:val="0"/>
              <w:kinsoku/>
              <w:wordWrap/>
              <w:overflowPunct/>
              <w:topLinePunct w:val="0"/>
              <w:bidi w:val="0"/>
              <w:snapToGrid/>
              <w:spacing w:line="400" w:lineRule="exact"/>
              <w:jc w:val="center"/>
              <w:rPr>
                <w:rFonts w:hint="eastAsia" w:ascii="宋体" w:hAnsi="宋体" w:eastAsia="宋体" w:cs="宋体"/>
                <w:b w:val="0"/>
                <w:bCs w:val="0"/>
                <w:color w:val="auto"/>
                <w:sz w:val="21"/>
                <w:szCs w:val="21"/>
                <w:highlight w:val="none"/>
                <w:lang w:eastAsia="zh-CN"/>
              </w:rPr>
            </w:pPr>
          </w:p>
        </w:tc>
        <w:tc>
          <w:tcPr>
            <w:tcW w:w="2464" w:type="dxa"/>
            <w:vAlign w:val="center"/>
          </w:tcPr>
          <w:p w14:paraId="2AD88BF6">
            <w:pPr>
              <w:keepNext w:val="0"/>
              <w:keepLines w:val="0"/>
              <w:pageBreakBefore w:val="0"/>
              <w:kinsoku/>
              <w:wordWrap/>
              <w:overflowPunct/>
              <w:topLinePunct w:val="0"/>
              <w:bidi w:val="0"/>
              <w:snapToGrid/>
              <w:spacing w:line="400" w:lineRule="exact"/>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5</w:t>
            </w:r>
          </w:p>
        </w:tc>
        <w:tc>
          <w:tcPr>
            <w:tcW w:w="2366" w:type="dxa"/>
            <w:vAlign w:val="center"/>
          </w:tcPr>
          <w:p w14:paraId="302A9A30">
            <w:pPr>
              <w:keepNext w:val="0"/>
              <w:keepLines w:val="0"/>
              <w:pageBreakBefore w:val="0"/>
              <w:kinsoku/>
              <w:wordWrap/>
              <w:overflowPunct/>
              <w:topLinePunct w:val="0"/>
              <w:bidi w:val="0"/>
              <w:snapToGrid/>
              <w:spacing w:line="400" w:lineRule="exact"/>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0.233</w:t>
            </w:r>
          </w:p>
        </w:tc>
      </w:tr>
      <w:tr w14:paraId="37B4B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31" w:type="dxa"/>
            <w:vMerge w:val="continue"/>
            <w:shd w:val="clear" w:color="auto" w:fill="auto"/>
            <w:vAlign w:val="center"/>
          </w:tcPr>
          <w:p w14:paraId="1A04211A">
            <w:pPr>
              <w:keepNext w:val="0"/>
              <w:keepLines w:val="0"/>
              <w:pageBreakBefore w:val="0"/>
              <w:kinsoku/>
              <w:wordWrap/>
              <w:overflowPunct/>
              <w:topLinePunct w:val="0"/>
              <w:bidi w:val="0"/>
              <w:snapToGrid/>
              <w:spacing w:line="400" w:lineRule="exact"/>
              <w:jc w:val="center"/>
              <w:rPr>
                <w:rFonts w:hint="eastAsia" w:ascii="宋体" w:hAnsi="宋体" w:eastAsia="宋体" w:cs="宋体"/>
                <w:b w:val="0"/>
                <w:bCs w:val="0"/>
                <w:color w:val="auto"/>
                <w:sz w:val="21"/>
                <w:szCs w:val="21"/>
                <w:highlight w:val="none"/>
                <w:lang w:val="en-US" w:eastAsia="zh-CN"/>
              </w:rPr>
            </w:pPr>
          </w:p>
        </w:tc>
        <w:tc>
          <w:tcPr>
            <w:tcW w:w="2464" w:type="dxa"/>
            <w:vAlign w:val="center"/>
          </w:tcPr>
          <w:p w14:paraId="532D0ACF">
            <w:pPr>
              <w:keepNext w:val="0"/>
              <w:keepLines w:val="0"/>
              <w:pageBreakBefore w:val="0"/>
              <w:kinsoku/>
              <w:wordWrap/>
              <w:overflowPunct/>
              <w:topLinePunct w:val="0"/>
              <w:bidi w:val="0"/>
              <w:snapToGrid/>
              <w:spacing w:line="400" w:lineRule="exact"/>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10</w:t>
            </w:r>
          </w:p>
        </w:tc>
        <w:tc>
          <w:tcPr>
            <w:tcW w:w="2366" w:type="dxa"/>
            <w:vAlign w:val="center"/>
          </w:tcPr>
          <w:p w14:paraId="3662BB2C">
            <w:pPr>
              <w:keepNext w:val="0"/>
              <w:keepLines w:val="0"/>
              <w:pageBreakBefore w:val="0"/>
              <w:kinsoku/>
              <w:wordWrap/>
              <w:overflowPunct/>
              <w:topLinePunct w:val="0"/>
              <w:bidi w:val="0"/>
              <w:snapToGrid/>
              <w:spacing w:line="400" w:lineRule="exact"/>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0.234</w:t>
            </w:r>
          </w:p>
        </w:tc>
      </w:tr>
      <w:tr w14:paraId="2A27E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31" w:type="dxa"/>
            <w:vMerge w:val="continue"/>
            <w:vAlign w:val="center"/>
          </w:tcPr>
          <w:p w14:paraId="3177E532">
            <w:pPr>
              <w:keepNext w:val="0"/>
              <w:keepLines w:val="0"/>
              <w:pageBreakBefore w:val="0"/>
              <w:kinsoku/>
              <w:wordWrap/>
              <w:overflowPunct/>
              <w:topLinePunct w:val="0"/>
              <w:bidi w:val="0"/>
              <w:snapToGrid/>
              <w:spacing w:line="400" w:lineRule="exact"/>
              <w:jc w:val="center"/>
              <w:rPr>
                <w:rFonts w:hint="eastAsia" w:ascii="宋体" w:hAnsi="宋体" w:eastAsia="宋体" w:cs="宋体"/>
                <w:b w:val="0"/>
                <w:bCs w:val="0"/>
                <w:color w:val="auto"/>
                <w:sz w:val="21"/>
                <w:szCs w:val="21"/>
                <w:highlight w:val="none"/>
                <w:lang w:val="en-US" w:eastAsia="zh-CN"/>
              </w:rPr>
            </w:pPr>
          </w:p>
        </w:tc>
        <w:tc>
          <w:tcPr>
            <w:tcW w:w="2464" w:type="dxa"/>
            <w:vAlign w:val="center"/>
          </w:tcPr>
          <w:p w14:paraId="6E32D3D1">
            <w:pPr>
              <w:keepNext w:val="0"/>
              <w:keepLines w:val="0"/>
              <w:pageBreakBefore w:val="0"/>
              <w:kinsoku/>
              <w:wordWrap/>
              <w:overflowPunct/>
              <w:topLinePunct w:val="0"/>
              <w:bidi w:val="0"/>
              <w:snapToGrid/>
              <w:spacing w:line="400" w:lineRule="exact"/>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15</w:t>
            </w:r>
          </w:p>
        </w:tc>
        <w:tc>
          <w:tcPr>
            <w:tcW w:w="2366" w:type="dxa"/>
            <w:vAlign w:val="center"/>
          </w:tcPr>
          <w:p w14:paraId="3B4AAF84">
            <w:pPr>
              <w:keepNext w:val="0"/>
              <w:keepLines w:val="0"/>
              <w:pageBreakBefore w:val="0"/>
              <w:kinsoku/>
              <w:wordWrap/>
              <w:overflowPunct/>
              <w:topLinePunct w:val="0"/>
              <w:bidi w:val="0"/>
              <w:snapToGrid/>
              <w:spacing w:line="400" w:lineRule="exact"/>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0.235</w:t>
            </w:r>
          </w:p>
        </w:tc>
      </w:tr>
    </w:tbl>
    <w:p w14:paraId="193ED599">
      <w:pPr>
        <w:keepNext w:val="0"/>
        <w:keepLines w:val="0"/>
        <w:pageBreakBefore w:val="0"/>
        <w:kinsoku/>
        <w:wordWrap/>
        <w:overflowPunct/>
        <w:topLinePunct w:val="0"/>
        <w:bidi w:val="0"/>
        <w:snapToGrid/>
        <w:spacing w:line="400" w:lineRule="exact"/>
        <w:ind w:firstLine="420" w:firstLineChars="20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试验表明，</w:t>
      </w:r>
      <w:r>
        <w:rPr>
          <w:rFonts w:hint="eastAsia" w:ascii="宋体" w:hAnsi="宋体" w:eastAsia="宋体" w:cs="宋体"/>
          <w:b w:val="0"/>
          <w:bCs w:val="0"/>
          <w:color w:val="auto"/>
          <w:sz w:val="21"/>
          <w:szCs w:val="21"/>
          <w:highlight w:val="none"/>
          <w:lang w:eastAsia="zh-CN"/>
        </w:rPr>
        <w:t>混合酸加入量为</w:t>
      </w:r>
      <w:r>
        <w:rPr>
          <w:rFonts w:hint="eastAsia" w:ascii="宋体" w:hAnsi="宋体" w:eastAsia="宋体" w:cs="宋体"/>
          <w:b w:val="0"/>
          <w:bCs w:val="0"/>
          <w:color w:val="auto"/>
          <w:sz w:val="21"/>
          <w:szCs w:val="21"/>
          <w:highlight w:val="none"/>
          <w:lang w:val="en-US" w:eastAsia="zh-CN"/>
        </w:rPr>
        <w:t>5</w:t>
      </w:r>
      <w:r>
        <w:rPr>
          <w:rFonts w:hint="default" w:ascii="Times New Roman" w:hAnsi="Times New Roman" w:eastAsia="宋体" w:cs="Times New Roman"/>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lang w:val="en-US" w:eastAsia="zh-CN"/>
        </w:rPr>
        <w:t>15mL时，吸光度达到最高，为保持与试样溶液酸度一致，故选择</w:t>
      </w:r>
      <w:r>
        <w:rPr>
          <w:rFonts w:hint="eastAsia" w:ascii="宋体" w:hAnsi="宋体" w:eastAsia="宋体" w:cs="宋体"/>
          <w:b w:val="0"/>
          <w:bCs w:val="0"/>
          <w:color w:val="auto"/>
          <w:sz w:val="21"/>
          <w:szCs w:val="21"/>
          <w:highlight w:val="none"/>
          <w:lang w:eastAsia="zh-CN"/>
        </w:rPr>
        <w:t>混合酸加入量为</w:t>
      </w:r>
      <w:r>
        <w:rPr>
          <w:rFonts w:hint="eastAsia" w:ascii="宋体" w:hAnsi="宋体" w:eastAsia="宋体" w:cs="宋体"/>
          <w:b w:val="0"/>
          <w:bCs w:val="0"/>
          <w:color w:val="auto"/>
          <w:sz w:val="21"/>
          <w:szCs w:val="21"/>
          <w:highlight w:val="none"/>
          <w:lang w:val="en-US" w:eastAsia="zh-CN"/>
        </w:rPr>
        <w:t>10mL</w:t>
      </w:r>
      <w:r>
        <w:rPr>
          <w:rFonts w:hint="eastAsia" w:ascii="宋体" w:hAnsi="宋体" w:eastAsia="宋体" w:cs="宋体"/>
          <w:b w:val="0"/>
          <w:bCs w:val="0"/>
          <w:color w:val="auto"/>
          <w:sz w:val="21"/>
          <w:szCs w:val="21"/>
          <w:highlight w:val="none"/>
        </w:rPr>
        <w:t>。</w:t>
      </w:r>
    </w:p>
    <w:p w14:paraId="63F0C85E">
      <w:pPr>
        <w:keepNext w:val="0"/>
        <w:keepLines w:val="0"/>
        <w:pageBreakBefore w:val="0"/>
        <w:kinsoku/>
        <w:wordWrap/>
        <w:overflowPunct/>
        <w:topLinePunct w:val="0"/>
        <w:bidi w:val="0"/>
        <w:snapToGrid/>
        <w:spacing w:line="400" w:lineRule="exact"/>
        <w:rPr>
          <w:rFonts w:hint="eastAsia" w:ascii="宋体" w:hAnsi="宋体" w:eastAsia="宋体" w:cs="宋体"/>
          <w:b/>
          <w:bCs/>
          <w:color w:val="auto"/>
          <w:sz w:val="21"/>
          <w:szCs w:val="21"/>
          <w:highlight w:val="none"/>
        </w:rPr>
      </w:pPr>
    </w:p>
    <w:p w14:paraId="740C9517">
      <w:pPr>
        <w:keepNext w:val="0"/>
        <w:keepLines w:val="0"/>
        <w:pageBreakBefore w:val="0"/>
        <w:kinsoku/>
        <w:wordWrap/>
        <w:overflowPunct/>
        <w:topLinePunct w:val="0"/>
        <w:bidi w:val="0"/>
        <w:snapToGrid/>
        <w:spacing w:line="400" w:lineRule="exact"/>
        <w:rPr>
          <w:rFonts w:hint="eastAsia" w:ascii="黑体" w:hAnsi="黑体" w:eastAsia="黑体" w:cs="黑体"/>
          <w:b w:val="0"/>
          <w:bCs w:val="0"/>
          <w:color w:val="auto"/>
          <w:sz w:val="21"/>
          <w:szCs w:val="21"/>
          <w:highlight w:val="none"/>
        </w:rPr>
      </w:pPr>
      <w:r>
        <w:rPr>
          <w:rFonts w:hint="eastAsia" w:ascii="黑体" w:hAnsi="黑体" w:eastAsia="黑体" w:cs="黑体"/>
          <w:b w:val="0"/>
          <w:bCs w:val="0"/>
          <w:color w:val="auto"/>
          <w:sz w:val="21"/>
          <w:szCs w:val="21"/>
          <w:highlight w:val="none"/>
          <w:lang w:val="en-US" w:eastAsia="zh-CN"/>
        </w:rPr>
        <w:t>1</w:t>
      </w:r>
      <w:r>
        <w:rPr>
          <w:rFonts w:hint="eastAsia" w:ascii="黑体" w:hAnsi="黑体" w:eastAsia="黑体" w:cs="黑体"/>
          <w:b w:val="0"/>
          <w:bCs w:val="0"/>
          <w:color w:val="auto"/>
          <w:sz w:val="21"/>
          <w:szCs w:val="21"/>
          <w:highlight w:val="none"/>
        </w:rPr>
        <w:t>.5 铜基体干扰试验</w:t>
      </w:r>
    </w:p>
    <w:p w14:paraId="60D37CED">
      <w:pPr>
        <w:keepNext w:val="0"/>
        <w:keepLines w:val="0"/>
        <w:pageBreakBefore w:val="0"/>
        <w:kinsoku/>
        <w:wordWrap/>
        <w:overflowPunct/>
        <w:topLinePunct w:val="0"/>
        <w:bidi w:val="0"/>
        <w:snapToGrid/>
        <w:spacing w:line="400" w:lineRule="exact"/>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称取1</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g</w:t>
      </w:r>
      <w:r>
        <w:rPr>
          <w:rFonts w:hint="eastAsia" w:ascii="宋体" w:hAnsi="宋体" w:eastAsia="宋体" w:cs="宋体"/>
          <w:color w:val="auto"/>
          <w:sz w:val="21"/>
          <w:szCs w:val="21"/>
          <w:highlight w:val="none"/>
          <w:lang w:eastAsia="zh-CN"/>
        </w:rPr>
        <w:t>纯</w:t>
      </w:r>
      <w:r>
        <w:rPr>
          <w:rFonts w:hint="eastAsia" w:ascii="宋体" w:hAnsi="宋体" w:eastAsia="宋体" w:cs="宋体"/>
          <w:color w:val="auto"/>
          <w:sz w:val="21"/>
          <w:szCs w:val="21"/>
          <w:highlight w:val="none"/>
        </w:rPr>
        <w:t>铜</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铜含量</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99.99%</w:t>
      </w:r>
      <w:r>
        <w:rPr>
          <w:rFonts w:hint="eastAsia" w:ascii="宋体" w:hAnsi="宋体" w:eastAsia="宋体" w:cs="宋体"/>
          <w:color w:val="auto"/>
          <w:sz w:val="21"/>
          <w:szCs w:val="21"/>
          <w:highlight w:val="none"/>
          <w:lang w:eastAsia="zh-CN"/>
        </w:rPr>
        <w:t>，镉的质量分数＜</w:t>
      </w:r>
      <w:r>
        <w:rPr>
          <w:rFonts w:hint="eastAsia" w:ascii="宋体" w:hAnsi="宋体" w:eastAsia="宋体" w:cs="宋体"/>
          <w:color w:val="auto"/>
          <w:sz w:val="21"/>
          <w:szCs w:val="21"/>
          <w:highlight w:val="none"/>
          <w:lang w:val="en-US" w:eastAsia="zh-CN"/>
        </w:rPr>
        <w:t>0.00005%</w:t>
      </w:r>
      <w:r>
        <w:rPr>
          <w:rFonts w:hint="eastAsia" w:ascii="宋体" w:hAnsi="宋体" w:eastAsia="宋体" w:cs="宋体"/>
          <w:color w:val="auto"/>
          <w:sz w:val="21"/>
          <w:szCs w:val="21"/>
          <w:highlight w:val="none"/>
        </w:rPr>
        <w:t>），按试验方法处理样品，加入</w:t>
      </w:r>
      <w:r>
        <w:rPr>
          <w:rFonts w:hint="eastAsia" w:ascii="宋体" w:hAnsi="宋体" w:eastAsia="宋体" w:cs="宋体"/>
          <w:color w:val="auto"/>
          <w:sz w:val="21"/>
          <w:szCs w:val="21"/>
          <w:highlight w:val="none"/>
          <w:lang w:eastAsia="zh-CN"/>
        </w:rPr>
        <w:t>镉</w:t>
      </w:r>
      <w:r>
        <w:rPr>
          <w:rFonts w:hint="eastAsia" w:ascii="宋体" w:hAnsi="宋体" w:eastAsia="宋体" w:cs="宋体"/>
          <w:color w:val="auto"/>
          <w:sz w:val="21"/>
          <w:szCs w:val="21"/>
          <w:highlight w:val="none"/>
        </w:rPr>
        <w:t>标准溶液</w:t>
      </w:r>
      <w:r>
        <w:rPr>
          <w:rFonts w:hint="eastAsia" w:ascii="宋体" w:hAnsi="宋体" w:eastAsia="宋体" w:cs="宋体"/>
          <w:color w:val="auto"/>
          <w:sz w:val="21"/>
          <w:szCs w:val="21"/>
          <w:highlight w:val="none"/>
          <w:lang w:val="en-US" w:eastAsia="zh-CN"/>
        </w:rPr>
        <w:t>100</w:t>
      </w:r>
      <w:r>
        <w:rPr>
          <w:rFonts w:hint="eastAsia" w:ascii="宋体" w:hAnsi="宋体" w:eastAsia="宋体" w:cs="宋体"/>
          <w:color w:val="auto"/>
          <w:sz w:val="21"/>
          <w:szCs w:val="21"/>
          <w:highlight w:val="none"/>
        </w:rPr>
        <w:t>µg、</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mL</w:t>
      </w:r>
      <w:r>
        <w:rPr>
          <w:rFonts w:hint="eastAsia" w:ascii="宋体" w:hAnsi="宋体" w:eastAsia="宋体" w:cs="宋体"/>
          <w:color w:val="auto"/>
          <w:sz w:val="21"/>
          <w:szCs w:val="21"/>
          <w:highlight w:val="none"/>
          <w:lang w:eastAsia="zh-CN"/>
        </w:rPr>
        <w:t>混合酸（</w:t>
      </w:r>
      <w:r>
        <w:rPr>
          <w:rFonts w:hint="eastAsia" w:ascii="宋体" w:hAnsi="宋体" w:eastAsia="宋体" w:cs="宋体"/>
          <w:sz w:val="21"/>
          <w:szCs w:val="21"/>
          <w:highlight w:val="none"/>
          <w:lang w:val="en-US" w:eastAsia="zh-CN"/>
        </w:rPr>
        <w:t>1.1.2.5</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，定容到100mL容量瓶中，</w:t>
      </w:r>
      <w:r>
        <w:rPr>
          <w:rFonts w:hint="eastAsia" w:ascii="宋体" w:hAnsi="宋体" w:eastAsia="宋体" w:cs="宋体"/>
          <w:color w:val="auto"/>
          <w:sz w:val="21"/>
          <w:szCs w:val="21"/>
          <w:highlight w:val="none"/>
          <w:lang w:eastAsia="zh-CN"/>
        </w:rPr>
        <w:t>镉</w:t>
      </w:r>
      <w:r>
        <w:rPr>
          <w:rFonts w:hint="eastAsia" w:ascii="宋体" w:hAnsi="宋体" w:eastAsia="宋体" w:cs="宋体"/>
          <w:color w:val="auto"/>
          <w:sz w:val="21"/>
          <w:szCs w:val="21"/>
          <w:highlight w:val="none"/>
        </w:rPr>
        <w:t>标准溶液</w:t>
      </w:r>
      <w:r>
        <w:rPr>
          <w:rFonts w:hint="eastAsia" w:ascii="宋体" w:hAnsi="宋体" w:eastAsia="宋体" w:cs="宋体"/>
          <w:color w:val="auto"/>
          <w:sz w:val="21"/>
          <w:szCs w:val="21"/>
          <w:highlight w:val="none"/>
          <w:lang w:eastAsia="zh-CN"/>
        </w:rPr>
        <w:t>浓度</w:t>
      </w:r>
      <w:r>
        <w:rPr>
          <w:rFonts w:hint="eastAsia" w:ascii="宋体" w:hAnsi="宋体" w:eastAsia="宋体" w:cs="宋体"/>
          <w:color w:val="auto"/>
          <w:sz w:val="21"/>
          <w:szCs w:val="21"/>
          <w:highlight w:val="none"/>
          <w:lang w:val="en-US" w:eastAsia="zh-CN"/>
        </w:rPr>
        <w:t>1.00</w:t>
      </w:r>
      <w:r>
        <w:rPr>
          <w:rFonts w:hint="eastAsia" w:ascii="宋体" w:hAnsi="宋体" w:eastAsia="宋体" w:cs="宋体"/>
          <w:color w:val="auto"/>
          <w:sz w:val="21"/>
          <w:szCs w:val="21"/>
          <w:highlight w:val="none"/>
        </w:rPr>
        <w:t>µg/mL</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同样方法制取一组不含铜试液，测定吸光度</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结果见表1</w:t>
      </w:r>
      <w:r>
        <w:rPr>
          <w:rFonts w:hint="eastAsia" w:ascii="宋体" w:hAnsi="宋体" w:eastAsia="宋体" w:cs="宋体"/>
          <w:color w:val="auto"/>
          <w:sz w:val="21"/>
          <w:szCs w:val="21"/>
          <w:highlight w:val="none"/>
          <w:lang w:val="en-US" w:eastAsia="zh-CN"/>
        </w:rPr>
        <w:t>0</w:t>
      </w:r>
      <w:r>
        <w:rPr>
          <w:rFonts w:hint="eastAsia" w:ascii="宋体" w:hAnsi="宋体" w:cs="宋体"/>
          <w:color w:val="auto"/>
          <w:sz w:val="21"/>
          <w:szCs w:val="21"/>
          <w:highlight w:val="none"/>
          <w:lang w:eastAsia="zh-CN"/>
        </w:rPr>
        <w:t>。</w:t>
      </w:r>
    </w:p>
    <w:p w14:paraId="7FEA6BE5">
      <w:pPr>
        <w:keepNext w:val="0"/>
        <w:keepLines w:val="0"/>
        <w:pageBreakBefore w:val="0"/>
        <w:kinsoku/>
        <w:wordWrap/>
        <w:overflowPunct/>
        <w:topLinePunct w:val="0"/>
        <w:bidi w:val="0"/>
        <w:snapToGrid/>
        <w:spacing w:line="400" w:lineRule="exact"/>
        <w:jc w:val="center"/>
        <w:rPr>
          <w:rFonts w:hint="eastAsia" w:ascii="黑体" w:hAnsi="黑体" w:eastAsia="黑体" w:cs="黑体"/>
          <w:b w:val="0"/>
          <w:bCs w:val="0"/>
          <w:color w:val="auto"/>
          <w:sz w:val="21"/>
          <w:szCs w:val="21"/>
          <w:highlight w:val="none"/>
        </w:rPr>
      </w:pPr>
      <w:r>
        <w:rPr>
          <w:rFonts w:hint="eastAsia" w:ascii="黑体" w:hAnsi="黑体" w:eastAsia="黑体" w:cs="黑体"/>
          <w:b w:val="0"/>
          <w:bCs w:val="0"/>
          <w:color w:val="auto"/>
          <w:sz w:val="21"/>
          <w:szCs w:val="21"/>
          <w:highlight w:val="none"/>
        </w:rPr>
        <w:t>表1</w:t>
      </w:r>
      <w:r>
        <w:rPr>
          <w:rFonts w:hint="eastAsia" w:ascii="黑体" w:hAnsi="黑体" w:eastAsia="黑体" w:cs="黑体"/>
          <w:b w:val="0"/>
          <w:bCs w:val="0"/>
          <w:color w:val="auto"/>
          <w:sz w:val="21"/>
          <w:szCs w:val="21"/>
          <w:highlight w:val="none"/>
          <w:lang w:val="en-US" w:eastAsia="zh-CN"/>
        </w:rPr>
        <w:t>0</w:t>
      </w:r>
      <w:r>
        <w:rPr>
          <w:rFonts w:hint="eastAsia" w:ascii="黑体" w:hAnsi="黑体" w:eastAsia="黑体" w:cs="黑体"/>
          <w:b w:val="0"/>
          <w:bCs w:val="0"/>
          <w:color w:val="auto"/>
          <w:sz w:val="21"/>
          <w:szCs w:val="21"/>
          <w:highlight w:val="none"/>
        </w:rPr>
        <w:t xml:space="preserve"> 铜基体干扰试验</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51"/>
        <w:gridCol w:w="2051"/>
        <w:gridCol w:w="2092"/>
        <w:gridCol w:w="2365"/>
      </w:tblGrid>
      <w:tr w14:paraId="5889C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51" w:type="dxa"/>
            <w:vAlign w:val="center"/>
          </w:tcPr>
          <w:p w14:paraId="4B013D07">
            <w:pPr>
              <w:keepNext w:val="0"/>
              <w:keepLines w:val="0"/>
              <w:pageBreakBefore w:val="0"/>
              <w:kinsoku/>
              <w:wordWrap/>
              <w:overflowPunct/>
              <w:topLinePunct w:val="0"/>
              <w:bidi w:val="0"/>
              <w:snapToGrid/>
              <w:spacing w:line="40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实验室</w:t>
            </w:r>
          </w:p>
        </w:tc>
        <w:tc>
          <w:tcPr>
            <w:tcW w:w="2051" w:type="dxa"/>
            <w:vAlign w:val="center"/>
          </w:tcPr>
          <w:p w14:paraId="2EE20B84">
            <w:pPr>
              <w:keepNext w:val="0"/>
              <w:keepLines w:val="0"/>
              <w:pageBreakBefore w:val="0"/>
              <w:kinsoku/>
              <w:wordWrap/>
              <w:overflowPunct/>
              <w:topLinePunct w:val="0"/>
              <w:bidi w:val="0"/>
              <w:snapToGrid/>
              <w:spacing w:line="40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铜基体加入量</w:t>
            </w:r>
          </w:p>
        </w:tc>
        <w:tc>
          <w:tcPr>
            <w:tcW w:w="2092" w:type="dxa"/>
            <w:vAlign w:val="center"/>
          </w:tcPr>
          <w:p w14:paraId="4BFC96BC">
            <w:pPr>
              <w:keepNext w:val="0"/>
              <w:keepLines w:val="0"/>
              <w:pageBreakBefore w:val="0"/>
              <w:kinsoku/>
              <w:wordWrap/>
              <w:overflowPunct/>
              <w:topLinePunct w:val="0"/>
              <w:bidi w:val="0"/>
              <w:snapToGrid/>
              <w:spacing w:line="400" w:lineRule="exact"/>
              <w:jc w:val="cente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含铜基体</w:t>
            </w:r>
            <w:r>
              <w:rPr>
                <w:rFonts w:hint="eastAsia" w:ascii="宋体" w:hAnsi="宋体" w:eastAsia="宋体" w:cs="宋体"/>
                <w:color w:val="auto"/>
                <w:sz w:val="21"/>
                <w:szCs w:val="21"/>
                <w:highlight w:val="none"/>
              </w:rPr>
              <w:t>吸光度</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i/>
                <w:iCs/>
                <w:color w:val="auto"/>
                <w:sz w:val="21"/>
                <w:szCs w:val="21"/>
                <w:highlight w:val="none"/>
                <w:lang w:val="en-US" w:eastAsia="zh-CN"/>
              </w:rPr>
              <w:t>A</w:t>
            </w:r>
          </w:p>
        </w:tc>
        <w:tc>
          <w:tcPr>
            <w:tcW w:w="2365" w:type="dxa"/>
            <w:vAlign w:val="center"/>
          </w:tcPr>
          <w:p w14:paraId="046A29EC">
            <w:pPr>
              <w:keepNext w:val="0"/>
              <w:keepLines w:val="0"/>
              <w:pageBreakBefore w:val="0"/>
              <w:kinsoku/>
              <w:wordWrap/>
              <w:overflowPunct/>
              <w:topLinePunct w:val="0"/>
              <w:bidi w:val="0"/>
              <w:snapToGrid/>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无</w:t>
            </w:r>
            <w:r>
              <w:rPr>
                <w:rFonts w:hint="eastAsia" w:ascii="宋体" w:hAnsi="宋体" w:cs="宋体"/>
                <w:color w:val="auto"/>
                <w:sz w:val="21"/>
                <w:szCs w:val="21"/>
                <w:highlight w:val="none"/>
                <w:lang w:eastAsia="zh-CN"/>
              </w:rPr>
              <w:t>铜基体</w:t>
            </w:r>
            <w:r>
              <w:rPr>
                <w:rFonts w:hint="eastAsia" w:ascii="宋体" w:hAnsi="宋体" w:eastAsia="宋体" w:cs="宋体"/>
                <w:color w:val="auto"/>
                <w:sz w:val="21"/>
                <w:szCs w:val="21"/>
                <w:highlight w:val="none"/>
              </w:rPr>
              <w:t>吸光度</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i/>
                <w:iCs/>
                <w:color w:val="auto"/>
                <w:sz w:val="21"/>
                <w:szCs w:val="21"/>
                <w:highlight w:val="none"/>
                <w:lang w:val="en-US" w:eastAsia="zh-CN"/>
              </w:rPr>
              <w:t>A</w:t>
            </w:r>
          </w:p>
        </w:tc>
      </w:tr>
      <w:tr w14:paraId="105CC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51" w:type="dxa"/>
            <w:vAlign w:val="center"/>
          </w:tcPr>
          <w:p w14:paraId="4B542BE0">
            <w:pPr>
              <w:keepNext w:val="0"/>
              <w:keepLines w:val="0"/>
              <w:pageBreakBefore w:val="0"/>
              <w:kinsoku/>
              <w:wordWrap/>
              <w:overflowPunct/>
              <w:topLinePunct w:val="0"/>
              <w:bidi w:val="0"/>
              <w:snapToGrid/>
              <w:spacing w:line="400" w:lineRule="exact"/>
              <w:jc w:val="center"/>
              <w:rPr>
                <w:rFonts w:hint="eastAsia" w:ascii="宋体" w:hAnsi="宋体" w:cs="宋体"/>
                <w:color w:val="auto"/>
                <w:sz w:val="21"/>
                <w:szCs w:val="21"/>
                <w:highlight w:val="none"/>
                <w:lang w:val="en-US" w:eastAsia="zh-CN"/>
              </w:rPr>
            </w:pPr>
            <w:r>
              <w:rPr>
                <w:rFonts w:hint="eastAsia" w:ascii="宋体" w:hAnsi="宋体"/>
                <w:sz w:val="21"/>
                <w:szCs w:val="21"/>
                <w:lang w:val="en-US" w:eastAsia="zh-CN"/>
              </w:rPr>
              <w:t>中铝洛铜</w:t>
            </w:r>
          </w:p>
        </w:tc>
        <w:tc>
          <w:tcPr>
            <w:tcW w:w="2051" w:type="dxa"/>
            <w:vAlign w:val="center"/>
          </w:tcPr>
          <w:p w14:paraId="67D6666B">
            <w:pPr>
              <w:keepNext w:val="0"/>
              <w:keepLines w:val="0"/>
              <w:pageBreakBefore w:val="0"/>
              <w:kinsoku/>
              <w:wordWrap/>
              <w:overflowPunct/>
              <w:topLinePunct w:val="0"/>
              <w:bidi w:val="0"/>
              <w:snapToGrid/>
              <w:spacing w:line="400" w:lineRule="exact"/>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1.0g</w:t>
            </w:r>
          </w:p>
        </w:tc>
        <w:tc>
          <w:tcPr>
            <w:tcW w:w="2092" w:type="dxa"/>
            <w:vAlign w:val="center"/>
          </w:tcPr>
          <w:p w14:paraId="63EDF95E">
            <w:pPr>
              <w:keepNext w:val="0"/>
              <w:keepLines w:val="0"/>
              <w:pageBreakBefore w:val="0"/>
              <w:kinsoku/>
              <w:wordWrap/>
              <w:overflowPunct/>
              <w:topLinePunct w:val="0"/>
              <w:bidi w:val="0"/>
              <w:snapToGrid/>
              <w:spacing w:line="40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0.24</w:t>
            </w:r>
            <w:r>
              <w:rPr>
                <w:rFonts w:hint="eastAsia" w:ascii="宋体" w:hAnsi="宋体" w:cs="宋体"/>
                <w:color w:val="auto"/>
                <w:sz w:val="21"/>
                <w:szCs w:val="21"/>
                <w:highlight w:val="none"/>
                <w:lang w:val="en-US" w:eastAsia="zh-CN"/>
              </w:rPr>
              <w:t>6</w:t>
            </w:r>
          </w:p>
        </w:tc>
        <w:tc>
          <w:tcPr>
            <w:tcW w:w="2365" w:type="dxa"/>
            <w:vAlign w:val="center"/>
          </w:tcPr>
          <w:p w14:paraId="7E9213CD">
            <w:pPr>
              <w:keepNext w:val="0"/>
              <w:keepLines w:val="0"/>
              <w:pageBreakBefore w:val="0"/>
              <w:kinsoku/>
              <w:wordWrap/>
              <w:overflowPunct/>
              <w:topLinePunct w:val="0"/>
              <w:bidi w:val="0"/>
              <w:snapToGrid/>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0.24</w:t>
            </w:r>
            <w:r>
              <w:rPr>
                <w:rFonts w:hint="eastAsia" w:ascii="宋体" w:hAnsi="宋体" w:cs="宋体"/>
                <w:color w:val="auto"/>
                <w:sz w:val="21"/>
                <w:szCs w:val="21"/>
                <w:highlight w:val="none"/>
                <w:lang w:val="en-US" w:eastAsia="zh-CN"/>
              </w:rPr>
              <w:t>4</w:t>
            </w:r>
          </w:p>
        </w:tc>
      </w:tr>
    </w:tbl>
    <w:p w14:paraId="79C60E88">
      <w:pPr>
        <w:keepNext w:val="0"/>
        <w:keepLines w:val="0"/>
        <w:pageBreakBefore w:val="0"/>
        <w:kinsoku/>
        <w:wordWrap/>
        <w:overflowPunct/>
        <w:topLinePunct w:val="0"/>
        <w:bidi w:val="0"/>
        <w:snapToGrid/>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试验表明，</w:t>
      </w:r>
      <w:r>
        <w:rPr>
          <w:rFonts w:hint="eastAsia" w:ascii="宋体" w:hAnsi="宋体" w:eastAsia="宋体" w:cs="宋体"/>
          <w:color w:val="auto"/>
          <w:sz w:val="21"/>
          <w:szCs w:val="21"/>
          <w:highlight w:val="none"/>
        </w:rPr>
        <w:t>铜基体浓度在</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 xml:space="preserve"> mg/mL内对</w:t>
      </w:r>
      <w:r>
        <w:rPr>
          <w:rFonts w:hint="eastAsia" w:ascii="宋体" w:hAnsi="宋体" w:eastAsia="宋体" w:cs="宋体"/>
          <w:color w:val="auto"/>
          <w:sz w:val="21"/>
          <w:szCs w:val="21"/>
          <w:highlight w:val="none"/>
          <w:lang w:eastAsia="zh-CN"/>
        </w:rPr>
        <w:t>镉</w:t>
      </w:r>
      <w:r>
        <w:rPr>
          <w:rFonts w:hint="eastAsia" w:ascii="宋体" w:hAnsi="宋体" w:eastAsia="宋体" w:cs="宋体"/>
          <w:color w:val="auto"/>
          <w:sz w:val="21"/>
          <w:szCs w:val="21"/>
          <w:highlight w:val="none"/>
        </w:rPr>
        <w:t>的测定</w:t>
      </w:r>
      <w:r>
        <w:rPr>
          <w:rFonts w:hint="eastAsia" w:ascii="宋体" w:hAnsi="宋体" w:eastAsia="宋体" w:cs="宋体"/>
          <w:color w:val="auto"/>
          <w:sz w:val="21"/>
          <w:szCs w:val="21"/>
          <w:highlight w:val="none"/>
          <w:lang w:eastAsia="zh-CN"/>
        </w:rPr>
        <w:t>基本</w:t>
      </w:r>
      <w:r>
        <w:rPr>
          <w:rFonts w:hint="eastAsia" w:ascii="宋体" w:hAnsi="宋体" w:eastAsia="宋体" w:cs="宋体"/>
          <w:color w:val="auto"/>
          <w:sz w:val="21"/>
          <w:szCs w:val="21"/>
          <w:highlight w:val="none"/>
        </w:rPr>
        <w:t>无影响。</w:t>
      </w:r>
    </w:p>
    <w:p w14:paraId="1AC3FC71">
      <w:pPr>
        <w:keepNext w:val="0"/>
        <w:keepLines w:val="0"/>
        <w:pageBreakBefore w:val="0"/>
        <w:kinsoku/>
        <w:wordWrap/>
        <w:overflowPunct/>
        <w:topLinePunct w:val="0"/>
        <w:bidi w:val="0"/>
        <w:snapToGrid/>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故工作曲线</w:t>
      </w:r>
      <w:r>
        <w:rPr>
          <w:rFonts w:hint="eastAsia" w:ascii="宋体" w:hAnsi="宋体" w:cs="宋体"/>
          <w:color w:val="auto"/>
          <w:sz w:val="21"/>
          <w:szCs w:val="21"/>
          <w:highlight w:val="none"/>
          <w:lang w:eastAsia="zh-CN"/>
        </w:rPr>
        <w:t>无需进行</w:t>
      </w:r>
      <w:r>
        <w:rPr>
          <w:rFonts w:hint="eastAsia" w:ascii="宋体" w:hAnsi="宋体" w:eastAsia="宋体" w:cs="宋体"/>
          <w:color w:val="auto"/>
          <w:sz w:val="21"/>
          <w:szCs w:val="21"/>
          <w:highlight w:val="none"/>
        </w:rPr>
        <w:t>基体匹配。</w:t>
      </w:r>
    </w:p>
    <w:p w14:paraId="27B8373D">
      <w:pPr>
        <w:keepNext w:val="0"/>
        <w:keepLines w:val="0"/>
        <w:pageBreakBefore w:val="0"/>
        <w:kinsoku/>
        <w:wordWrap/>
        <w:overflowPunct/>
        <w:topLinePunct w:val="0"/>
        <w:bidi w:val="0"/>
        <w:snapToGrid/>
        <w:spacing w:line="400" w:lineRule="exact"/>
        <w:ind w:firstLine="420" w:firstLineChars="200"/>
        <w:rPr>
          <w:rFonts w:hint="eastAsia" w:ascii="宋体" w:hAnsi="宋体" w:eastAsia="宋体" w:cs="宋体"/>
          <w:color w:val="auto"/>
          <w:sz w:val="21"/>
          <w:szCs w:val="21"/>
          <w:highlight w:val="none"/>
        </w:rPr>
      </w:pPr>
    </w:p>
    <w:p w14:paraId="2BFA716F">
      <w:pPr>
        <w:keepNext w:val="0"/>
        <w:keepLines w:val="0"/>
        <w:pageBreakBefore w:val="0"/>
        <w:kinsoku/>
        <w:wordWrap/>
        <w:overflowPunct/>
        <w:topLinePunct w:val="0"/>
        <w:bidi w:val="0"/>
        <w:snapToGrid/>
        <w:spacing w:line="400" w:lineRule="exact"/>
        <w:jc w:val="left"/>
        <w:rPr>
          <w:rFonts w:hint="eastAsia" w:ascii="黑体" w:hAnsi="黑体" w:eastAsia="黑体" w:cs="黑体"/>
          <w:b w:val="0"/>
          <w:bCs w:val="0"/>
          <w:color w:val="auto"/>
          <w:sz w:val="21"/>
          <w:szCs w:val="21"/>
          <w:highlight w:val="none"/>
        </w:rPr>
      </w:pPr>
      <w:r>
        <w:rPr>
          <w:rFonts w:hint="eastAsia" w:ascii="黑体" w:hAnsi="黑体" w:eastAsia="黑体" w:cs="黑体"/>
          <w:b w:val="0"/>
          <w:bCs w:val="0"/>
          <w:color w:val="auto"/>
          <w:sz w:val="21"/>
          <w:szCs w:val="21"/>
          <w:highlight w:val="none"/>
          <w:lang w:val="en-US" w:eastAsia="zh-CN"/>
        </w:rPr>
        <w:t>1</w:t>
      </w:r>
      <w:r>
        <w:rPr>
          <w:rFonts w:hint="eastAsia" w:ascii="黑体" w:hAnsi="黑体" w:eastAsia="黑体" w:cs="黑体"/>
          <w:b w:val="0"/>
          <w:bCs w:val="0"/>
          <w:color w:val="auto"/>
          <w:sz w:val="21"/>
          <w:szCs w:val="21"/>
          <w:highlight w:val="none"/>
        </w:rPr>
        <w:t>.6 杂质元素干扰试验</w:t>
      </w:r>
    </w:p>
    <w:p w14:paraId="5CEC425F">
      <w:pPr>
        <w:keepNext w:val="0"/>
        <w:keepLines w:val="0"/>
        <w:pageBreakBefore w:val="0"/>
        <w:kinsoku/>
        <w:wordWrap/>
        <w:overflowPunct/>
        <w:topLinePunct w:val="0"/>
        <w:bidi w:val="0"/>
        <w:snapToGrid/>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在</w:t>
      </w: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.00</w:t>
      </w:r>
      <w:r>
        <w:rPr>
          <w:rFonts w:hint="eastAsia" w:ascii="宋体" w:hAnsi="宋体" w:eastAsia="宋体" w:cs="宋体"/>
          <w:color w:val="auto"/>
          <w:sz w:val="21"/>
          <w:szCs w:val="21"/>
          <w:highlight w:val="none"/>
        </w:rPr>
        <w:t>µg/mL镉标准溶液中，分别加入铜合金中可能存在元素的最高含量以及混合杂质元素，按照试验方法，测定吸光度，结果见表1</w:t>
      </w:r>
      <w:r>
        <w:rPr>
          <w:rFonts w:hint="eastAsia" w:ascii="宋体" w:hAnsi="宋体" w:eastAsia="宋体" w:cs="宋体"/>
          <w:color w:val="auto"/>
          <w:sz w:val="21"/>
          <w:szCs w:val="21"/>
          <w:highlight w:val="none"/>
          <w:lang w:val="en-US" w:eastAsia="zh-CN"/>
        </w:rPr>
        <w:t>1-1</w:t>
      </w:r>
      <w:r>
        <w:rPr>
          <w:rFonts w:hint="eastAsia" w:ascii="宋体" w:hAnsi="宋体" w:eastAsia="宋体" w:cs="宋体"/>
          <w:color w:val="auto"/>
          <w:sz w:val="21"/>
          <w:szCs w:val="21"/>
          <w:highlight w:val="none"/>
        </w:rPr>
        <w:t>。</w:t>
      </w:r>
    </w:p>
    <w:p w14:paraId="61E5DE7C">
      <w:pPr>
        <w:keepNext w:val="0"/>
        <w:keepLines w:val="0"/>
        <w:pageBreakBefore w:val="0"/>
        <w:kinsoku/>
        <w:wordWrap/>
        <w:overflowPunct/>
        <w:topLinePunct w:val="0"/>
        <w:bidi w:val="0"/>
        <w:snapToGrid/>
        <w:spacing w:line="400" w:lineRule="exact"/>
        <w:jc w:val="center"/>
        <w:rPr>
          <w:rFonts w:hint="eastAsia" w:ascii="黑体" w:hAnsi="黑体" w:eastAsia="黑体" w:cs="黑体"/>
          <w:b w:val="0"/>
          <w:bCs w:val="0"/>
          <w:color w:val="auto"/>
          <w:sz w:val="21"/>
          <w:szCs w:val="21"/>
          <w:highlight w:val="none"/>
          <w:lang w:eastAsia="zh-CN"/>
        </w:rPr>
      </w:pPr>
      <w:r>
        <w:rPr>
          <w:rFonts w:hint="eastAsia" w:ascii="黑体" w:hAnsi="黑体" w:eastAsia="黑体" w:cs="黑体"/>
          <w:b w:val="0"/>
          <w:bCs w:val="0"/>
          <w:color w:val="auto"/>
          <w:sz w:val="21"/>
          <w:szCs w:val="21"/>
          <w:highlight w:val="none"/>
        </w:rPr>
        <w:t>表</w:t>
      </w:r>
      <w:r>
        <w:rPr>
          <w:rFonts w:hint="eastAsia" w:ascii="黑体" w:hAnsi="黑体" w:eastAsia="黑体" w:cs="黑体"/>
          <w:b w:val="0"/>
          <w:bCs w:val="0"/>
          <w:color w:val="auto"/>
          <w:sz w:val="21"/>
          <w:szCs w:val="21"/>
          <w:highlight w:val="none"/>
          <w:lang w:val="en-US" w:eastAsia="zh-CN"/>
        </w:rPr>
        <w:t>11</w:t>
      </w:r>
      <w:r>
        <w:rPr>
          <w:rFonts w:hint="eastAsia" w:ascii="黑体" w:hAnsi="黑体" w:eastAsia="黑体" w:cs="黑体"/>
          <w:b w:val="0"/>
          <w:bCs w:val="0"/>
          <w:color w:val="auto"/>
          <w:sz w:val="21"/>
          <w:szCs w:val="21"/>
          <w:highlight w:val="none"/>
        </w:rPr>
        <w:t>杂质元素干扰试验</w:t>
      </w:r>
      <w:r>
        <w:rPr>
          <w:rFonts w:hint="eastAsia" w:ascii="黑体" w:hAnsi="黑体" w:eastAsia="黑体" w:cs="黑体"/>
          <w:szCs w:val="21"/>
          <w:lang w:val="en-US" w:eastAsia="zh-CN"/>
        </w:rPr>
        <w:t>（中铝洛铜）</w:t>
      </w:r>
    </w:p>
    <w:tbl>
      <w:tblPr>
        <w:tblStyle w:val="12"/>
        <w:tblW w:w="881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35"/>
        <w:gridCol w:w="2184"/>
        <w:gridCol w:w="2030"/>
        <w:gridCol w:w="6"/>
        <w:gridCol w:w="2860"/>
      </w:tblGrid>
      <w:tr w14:paraId="297FA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5" w:type="dxa"/>
            <w:vAlign w:val="center"/>
          </w:tcPr>
          <w:p w14:paraId="6A89CC6A">
            <w:pPr>
              <w:keepNext w:val="0"/>
              <w:keepLines w:val="0"/>
              <w:pageBreakBefore w:val="0"/>
              <w:kinsoku/>
              <w:wordWrap/>
              <w:overflowPunct/>
              <w:topLinePunct w:val="0"/>
              <w:bidi w:val="0"/>
              <w:snapToGrid/>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杂质元素</w:t>
            </w:r>
          </w:p>
        </w:tc>
        <w:tc>
          <w:tcPr>
            <w:tcW w:w="2184" w:type="dxa"/>
            <w:vAlign w:val="center"/>
          </w:tcPr>
          <w:p w14:paraId="15316C59">
            <w:pPr>
              <w:keepNext w:val="0"/>
              <w:keepLines w:val="0"/>
              <w:pageBreakBefore w:val="0"/>
              <w:kinsoku/>
              <w:wordWrap/>
              <w:overflowPunct/>
              <w:topLinePunct w:val="0"/>
              <w:bidi w:val="0"/>
              <w:snapToGrid/>
              <w:spacing w:line="40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杂质元素加入量</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mg</w:t>
            </w:r>
            <w:r>
              <w:rPr>
                <w:rFonts w:hint="eastAsia" w:ascii="宋体" w:hAnsi="宋体" w:eastAsia="宋体" w:cs="宋体"/>
                <w:color w:val="auto"/>
                <w:sz w:val="21"/>
                <w:szCs w:val="21"/>
                <w:highlight w:val="none"/>
                <w:lang w:eastAsia="zh-CN"/>
              </w:rPr>
              <w:t>）</w:t>
            </w:r>
          </w:p>
        </w:tc>
        <w:tc>
          <w:tcPr>
            <w:tcW w:w="2030" w:type="dxa"/>
            <w:vAlign w:val="center"/>
          </w:tcPr>
          <w:p w14:paraId="48B52E11">
            <w:pPr>
              <w:keepNext w:val="0"/>
              <w:keepLines w:val="0"/>
              <w:pageBreakBefore w:val="0"/>
              <w:kinsoku/>
              <w:wordWrap/>
              <w:overflowPunct/>
              <w:topLinePunct w:val="0"/>
              <w:bidi w:val="0"/>
              <w:snapToGrid/>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吸光度</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i/>
                <w:iCs/>
                <w:color w:val="auto"/>
                <w:sz w:val="21"/>
                <w:szCs w:val="21"/>
                <w:highlight w:val="none"/>
                <w:lang w:val="en-US" w:eastAsia="zh-CN"/>
              </w:rPr>
              <w:t>A</w:t>
            </w:r>
          </w:p>
        </w:tc>
        <w:tc>
          <w:tcPr>
            <w:tcW w:w="2866" w:type="dxa"/>
            <w:gridSpan w:val="2"/>
            <w:vAlign w:val="center"/>
          </w:tcPr>
          <w:p w14:paraId="53E72C59">
            <w:pPr>
              <w:keepNext w:val="0"/>
              <w:keepLines w:val="0"/>
              <w:pageBreakBefore w:val="0"/>
              <w:kinsoku/>
              <w:wordWrap/>
              <w:overflowPunct/>
              <w:topLinePunct w:val="0"/>
              <w:bidi w:val="0"/>
              <w:snapToGrid/>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不含</w:t>
            </w:r>
            <w:r>
              <w:rPr>
                <w:rFonts w:hint="eastAsia" w:ascii="宋体" w:hAnsi="宋体" w:eastAsia="宋体" w:cs="宋体"/>
                <w:color w:val="auto"/>
                <w:sz w:val="21"/>
                <w:szCs w:val="21"/>
                <w:highlight w:val="none"/>
              </w:rPr>
              <w:t>杂质</w:t>
            </w:r>
            <w:r>
              <w:rPr>
                <w:rFonts w:hint="eastAsia" w:ascii="宋体" w:hAnsi="宋体" w:eastAsia="宋体" w:cs="宋体"/>
                <w:color w:val="auto"/>
                <w:sz w:val="21"/>
                <w:szCs w:val="21"/>
                <w:highlight w:val="none"/>
                <w:lang w:eastAsia="zh-CN"/>
              </w:rPr>
              <w:t>元素时</w:t>
            </w:r>
            <w:r>
              <w:rPr>
                <w:rFonts w:hint="eastAsia" w:ascii="宋体" w:hAnsi="宋体" w:eastAsia="宋体" w:cs="宋体"/>
                <w:color w:val="auto"/>
                <w:sz w:val="21"/>
                <w:szCs w:val="21"/>
                <w:highlight w:val="none"/>
              </w:rPr>
              <w:t>吸光度</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i/>
                <w:iCs/>
                <w:color w:val="auto"/>
                <w:sz w:val="21"/>
                <w:szCs w:val="21"/>
                <w:highlight w:val="none"/>
                <w:lang w:val="en-US" w:eastAsia="zh-CN"/>
              </w:rPr>
              <w:t>A</w:t>
            </w:r>
          </w:p>
        </w:tc>
      </w:tr>
      <w:tr w14:paraId="0F64C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5" w:type="dxa"/>
            <w:vAlign w:val="center"/>
          </w:tcPr>
          <w:p w14:paraId="5662B4A7">
            <w:pPr>
              <w:keepNext w:val="0"/>
              <w:keepLines w:val="0"/>
              <w:pageBreakBefore w:val="0"/>
              <w:kinsoku/>
              <w:wordWrap/>
              <w:overflowPunct/>
              <w:topLinePunct w:val="0"/>
              <w:bidi w:val="0"/>
              <w:snapToGrid/>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Zn</w:t>
            </w:r>
          </w:p>
        </w:tc>
        <w:tc>
          <w:tcPr>
            <w:tcW w:w="2184" w:type="dxa"/>
            <w:vAlign w:val="center"/>
          </w:tcPr>
          <w:p w14:paraId="3213967F">
            <w:pPr>
              <w:keepNext w:val="0"/>
              <w:keepLines w:val="0"/>
              <w:pageBreakBefore w:val="0"/>
              <w:kinsoku/>
              <w:wordWrap/>
              <w:overflowPunct/>
              <w:topLinePunct w:val="0"/>
              <w:bidi w:val="0"/>
              <w:snapToGrid/>
              <w:spacing w:line="40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440</w:t>
            </w:r>
          </w:p>
        </w:tc>
        <w:tc>
          <w:tcPr>
            <w:tcW w:w="2030" w:type="dxa"/>
            <w:vAlign w:val="center"/>
          </w:tcPr>
          <w:p w14:paraId="54F7BD88">
            <w:pPr>
              <w:keepNext w:val="0"/>
              <w:keepLines w:val="0"/>
              <w:pageBreakBefore w:val="0"/>
              <w:kinsoku/>
              <w:wordWrap/>
              <w:overflowPunct/>
              <w:topLinePunct w:val="0"/>
              <w:bidi w:val="0"/>
              <w:snapToGrid/>
              <w:spacing w:line="40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0.244</w:t>
            </w:r>
          </w:p>
        </w:tc>
        <w:tc>
          <w:tcPr>
            <w:tcW w:w="2866" w:type="dxa"/>
            <w:gridSpan w:val="2"/>
            <w:vMerge w:val="restart"/>
            <w:vAlign w:val="center"/>
          </w:tcPr>
          <w:p w14:paraId="1130CC23">
            <w:pPr>
              <w:keepNext w:val="0"/>
              <w:keepLines w:val="0"/>
              <w:pageBreakBefore w:val="0"/>
              <w:kinsoku/>
              <w:wordWrap/>
              <w:overflowPunct/>
              <w:topLinePunct w:val="0"/>
              <w:bidi w:val="0"/>
              <w:snapToGrid/>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0.245</w:t>
            </w:r>
          </w:p>
        </w:tc>
      </w:tr>
      <w:tr w14:paraId="4BEE0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5" w:type="dxa"/>
            <w:vAlign w:val="center"/>
          </w:tcPr>
          <w:p w14:paraId="5DDB1248">
            <w:pPr>
              <w:keepNext w:val="0"/>
              <w:keepLines w:val="0"/>
              <w:pageBreakBefore w:val="0"/>
              <w:kinsoku/>
              <w:wordWrap/>
              <w:overflowPunct/>
              <w:topLinePunct w:val="0"/>
              <w:bidi w:val="0"/>
              <w:snapToGrid/>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Bi</w:t>
            </w:r>
          </w:p>
        </w:tc>
        <w:tc>
          <w:tcPr>
            <w:tcW w:w="2184" w:type="dxa"/>
            <w:vAlign w:val="center"/>
          </w:tcPr>
          <w:p w14:paraId="155D97D7">
            <w:pPr>
              <w:keepNext w:val="0"/>
              <w:keepLines w:val="0"/>
              <w:pageBreakBefore w:val="0"/>
              <w:kinsoku/>
              <w:wordWrap/>
              <w:overflowPunct/>
              <w:topLinePunct w:val="0"/>
              <w:bidi w:val="0"/>
              <w:snapToGrid/>
              <w:spacing w:line="40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35.0</w:t>
            </w:r>
          </w:p>
        </w:tc>
        <w:tc>
          <w:tcPr>
            <w:tcW w:w="2030" w:type="dxa"/>
            <w:vAlign w:val="center"/>
          </w:tcPr>
          <w:p w14:paraId="13F6DCB5">
            <w:pPr>
              <w:keepNext w:val="0"/>
              <w:keepLines w:val="0"/>
              <w:pageBreakBefore w:val="0"/>
              <w:kinsoku/>
              <w:wordWrap/>
              <w:overflowPunct/>
              <w:topLinePunct w:val="0"/>
              <w:bidi w:val="0"/>
              <w:snapToGrid/>
              <w:spacing w:line="40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0.247</w:t>
            </w:r>
          </w:p>
        </w:tc>
        <w:tc>
          <w:tcPr>
            <w:tcW w:w="2866" w:type="dxa"/>
            <w:gridSpan w:val="2"/>
            <w:vMerge w:val="continue"/>
            <w:vAlign w:val="center"/>
          </w:tcPr>
          <w:p w14:paraId="2BAB9EE1">
            <w:pPr>
              <w:keepNext w:val="0"/>
              <w:keepLines w:val="0"/>
              <w:pageBreakBefore w:val="0"/>
              <w:kinsoku/>
              <w:wordWrap/>
              <w:overflowPunct/>
              <w:topLinePunct w:val="0"/>
              <w:bidi w:val="0"/>
              <w:snapToGrid/>
              <w:spacing w:line="400" w:lineRule="exact"/>
              <w:jc w:val="center"/>
              <w:rPr>
                <w:rFonts w:hint="eastAsia" w:ascii="宋体" w:hAnsi="宋体" w:eastAsia="宋体" w:cs="宋体"/>
                <w:color w:val="auto"/>
                <w:sz w:val="21"/>
                <w:szCs w:val="21"/>
                <w:highlight w:val="none"/>
              </w:rPr>
            </w:pPr>
          </w:p>
        </w:tc>
      </w:tr>
      <w:tr w14:paraId="55C29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5" w:type="dxa"/>
            <w:vAlign w:val="center"/>
          </w:tcPr>
          <w:p w14:paraId="280C3129">
            <w:pPr>
              <w:keepNext w:val="0"/>
              <w:keepLines w:val="0"/>
              <w:pageBreakBefore w:val="0"/>
              <w:kinsoku/>
              <w:wordWrap/>
              <w:overflowPunct/>
              <w:topLinePunct w:val="0"/>
              <w:bidi w:val="0"/>
              <w:snapToGrid/>
              <w:spacing w:line="40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Mg</w:t>
            </w:r>
          </w:p>
        </w:tc>
        <w:tc>
          <w:tcPr>
            <w:tcW w:w="2184" w:type="dxa"/>
            <w:vAlign w:val="center"/>
          </w:tcPr>
          <w:p w14:paraId="023F96E8">
            <w:pPr>
              <w:keepNext w:val="0"/>
              <w:keepLines w:val="0"/>
              <w:pageBreakBefore w:val="0"/>
              <w:kinsoku/>
              <w:wordWrap/>
              <w:overflowPunct/>
              <w:topLinePunct w:val="0"/>
              <w:bidi w:val="0"/>
              <w:snapToGrid/>
              <w:spacing w:line="40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20.0</w:t>
            </w:r>
          </w:p>
        </w:tc>
        <w:tc>
          <w:tcPr>
            <w:tcW w:w="2030" w:type="dxa"/>
            <w:vAlign w:val="center"/>
          </w:tcPr>
          <w:p w14:paraId="33DCFC9D">
            <w:pPr>
              <w:keepNext w:val="0"/>
              <w:keepLines w:val="0"/>
              <w:pageBreakBefore w:val="0"/>
              <w:kinsoku/>
              <w:wordWrap/>
              <w:overflowPunct/>
              <w:topLinePunct w:val="0"/>
              <w:bidi w:val="0"/>
              <w:snapToGrid/>
              <w:spacing w:line="40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0.243</w:t>
            </w:r>
          </w:p>
        </w:tc>
        <w:tc>
          <w:tcPr>
            <w:tcW w:w="2866" w:type="dxa"/>
            <w:gridSpan w:val="2"/>
            <w:vMerge w:val="continue"/>
            <w:vAlign w:val="center"/>
          </w:tcPr>
          <w:p w14:paraId="53F01D34">
            <w:pPr>
              <w:keepNext w:val="0"/>
              <w:keepLines w:val="0"/>
              <w:pageBreakBefore w:val="0"/>
              <w:kinsoku/>
              <w:wordWrap/>
              <w:overflowPunct/>
              <w:topLinePunct w:val="0"/>
              <w:bidi w:val="0"/>
              <w:snapToGrid/>
              <w:spacing w:line="400" w:lineRule="exact"/>
              <w:jc w:val="center"/>
              <w:rPr>
                <w:rFonts w:hint="eastAsia" w:ascii="宋体" w:hAnsi="宋体" w:eastAsia="宋体" w:cs="宋体"/>
                <w:color w:val="auto"/>
                <w:sz w:val="21"/>
                <w:szCs w:val="21"/>
                <w:highlight w:val="none"/>
              </w:rPr>
            </w:pPr>
          </w:p>
        </w:tc>
      </w:tr>
      <w:tr w14:paraId="4B2EB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5" w:type="dxa"/>
            <w:vAlign w:val="center"/>
          </w:tcPr>
          <w:p w14:paraId="49302B87">
            <w:pPr>
              <w:keepNext w:val="0"/>
              <w:keepLines w:val="0"/>
              <w:pageBreakBefore w:val="0"/>
              <w:kinsoku/>
              <w:wordWrap/>
              <w:overflowPunct/>
              <w:topLinePunct w:val="0"/>
              <w:bidi w:val="0"/>
              <w:snapToGrid/>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Sb</w:t>
            </w:r>
          </w:p>
        </w:tc>
        <w:tc>
          <w:tcPr>
            <w:tcW w:w="2184" w:type="dxa"/>
            <w:vAlign w:val="center"/>
          </w:tcPr>
          <w:p w14:paraId="6F4750F0">
            <w:pPr>
              <w:keepNext w:val="0"/>
              <w:keepLines w:val="0"/>
              <w:pageBreakBefore w:val="0"/>
              <w:kinsoku/>
              <w:wordWrap/>
              <w:overflowPunct/>
              <w:topLinePunct w:val="0"/>
              <w:bidi w:val="0"/>
              <w:snapToGrid/>
              <w:spacing w:line="40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15.0</w:t>
            </w:r>
          </w:p>
        </w:tc>
        <w:tc>
          <w:tcPr>
            <w:tcW w:w="2030" w:type="dxa"/>
            <w:vAlign w:val="center"/>
          </w:tcPr>
          <w:p w14:paraId="364CE0E3">
            <w:pPr>
              <w:keepNext w:val="0"/>
              <w:keepLines w:val="0"/>
              <w:pageBreakBefore w:val="0"/>
              <w:kinsoku/>
              <w:wordWrap/>
              <w:overflowPunct/>
              <w:topLinePunct w:val="0"/>
              <w:bidi w:val="0"/>
              <w:snapToGrid/>
              <w:spacing w:line="40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0.245</w:t>
            </w:r>
          </w:p>
        </w:tc>
        <w:tc>
          <w:tcPr>
            <w:tcW w:w="2866" w:type="dxa"/>
            <w:gridSpan w:val="2"/>
            <w:vMerge w:val="continue"/>
            <w:vAlign w:val="center"/>
          </w:tcPr>
          <w:p w14:paraId="4CF41402">
            <w:pPr>
              <w:keepNext w:val="0"/>
              <w:keepLines w:val="0"/>
              <w:pageBreakBefore w:val="0"/>
              <w:kinsoku/>
              <w:wordWrap/>
              <w:overflowPunct/>
              <w:topLinePunct w:val="0"/>
              <w:bidi w:val="0"/>
              <w:snapToGrid/>
              <w:spacing w:line="400" w:lineRule="exact"/>
              <w:jc w:val="center"/>
              <w:rPr>
                <w:rFonts w:hint="eastAsia" w:ascii="宋体" w:hAnsi="宋体" w:eastAsia="宋体" w:cs="宋体"/>
                <w:color w:val="auto"/>
                <w:sz w:val="21"/>
                <w:szCs w:val="21"/>
                <w:highlight w:val="none"/>
              </w:rPr>
            </w:pPr>
          </w:p>
        </w:tc>
      </w:tr>
      <w:tr w14:paraId="10FA4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5" w:type="dxa"/>
            <w:vAlign w:val="center"/>
          </w:tcPr>
          <w:p w14:paraId="116A7C77">
            <w:pPr>
              <w:keepNext w:val="0"/>
              <w:keepLines w:val="0"/>
              <w:pageBreakBefore w:val="0"/>
              <w:kinsoku/>
              <w:wordWrap/>
              <w:overflowPunct/>
              <w:topLinePunct w:val="0"/>
              <w:bidi w:val="0"/>
              <w:snapToGrid/>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Sn</w:t>
            </w:r>
          </w:p>
        </w:tc>
        <w:tc>
          <w:tcPr>
            <w:tcW w:w="2184" w:type="dxa"/>
            <w:vAlign w:val="center"/>
          </w:tcPr>
          <w:p w14:paraId="663B1911">
            <w:pPr>
              <w:keepNext w:val="0"/>
              <w:keepLines w:val="0"/>
              <w:pageBreakBefore w:val="0"/>
              <w:kinsoku/>
              <w:wordWrap/>
              <w:overflowPunct/>
              <w:topLinePunct w:val="0"/>
              <w:bidi w:val="0"/>
              <w:snapToGrid/>
              <w:spacing w:line="40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15.0</w:t>
            </w:r>
          </w:p>
        </w:tc>
        <w:tc>
          <w:tcPr>
            <w:tcW w:w="2030" w:type="dxa"/>
            <w:vAlign w:val="center"/>
          </w:tcPr>
          <w:p w14:paraId="20B868D7">
            <w:pPr>
              <w:keepNext w:val="0"/>
              <w:keepLines w:val="0"/>
              <w:pageBreakBefore w:val="0"/>
              <w:kinsoku/>
              <w:wordWrap/>
              <w:overflowPunct/>
              <w:topLinePunct w:val="0"/>
              <w:bidi w:val="0"/>
              <w:snapToGrid/>
              <w:spacing w:line="40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0.242</w:t>
            </w:r>
          </w:p>
        </w:tc>
        <w:tc>
          <w:tcPr>
            <w:tcW w:w="2866" w:type="dxa"/>
            <w:gridSpan w:val="2"/>
            <w:vMerge w:val="continue"/>
            <w:vAlign w:val="center"/>
          </w:tcPr>
          <w:p w14:paraId="2C43FFC2">
            <w:pPr>
              <w:keepNext w:val="0"/>
              <w:keepLines w:val="0"/>
              <w:pageBreakBefore w:val="0"/>
              <w:kinsoku/>
              <w:wordWrap/>
              <w:overflowPunct/>
              <w:topLinePunct w:val="0"/>
              <w:bidi w:val="0"/>
              <w:snapToGrid/>
              <w:spacing w:line="400" w:lineRule="exact"/>
              <w:jc w:val="center"/>
              <w:rPr>
                <w:rFonts w:hint="eastAsia" w:ascii="宋体" w:hAnsi="宋体" w:eastAsia="宋体" w:cs="宋体"/>
                <w:color w:val="auto"/>
                <w:sz w:val="21"/>
                <w:szCs w:val="21"/>
                <w:highlight w:val="none"/>
              </w:rPr>
            </w:pPr>
          </w:p>
        </w:tc>
      </w:tr>
      <w:tr w14:paraId="78BA8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5" w:type="dxa"/>
            <w:shd w:val="clear" w:color="auto" w:fill="auto"/>
            <w:vAlign w:val="center"/>
          </w:tcPr>
          <w:p w14:paraId="352A9525">
            <w:pPr>
              <w:keepNext w:val="0"/>
              <w:keepLines w:val="0"/>
              <w:pageBreakBefore w:val="0"/>
              <w:kinsoku/>
              <w:wordWrap/>
              <w:overflowPunct/>
              <w:topLinePunct w:val="0"/>
              <w:bidi w:val="0"/>
              <w:snapToGrid/>
              <w:spacing w:line="40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Al</w:t>
            </w:r>
          </w:p>
        </w:tc>
        <w:tc>
          <w:tcPr>
            <w:tcW w:w="2184" w:type="dxa"/>
            <w:shd w:val="clear" w:color="auto" w:fill="auto"/>
            <w:vAlign w:val="center"/>
          </w:tcPr>
          <w:p w14:paraId="3D02E164">
            <w:pPr>
              <w:keepNext w:val="0"/>
              <w:keepLines w:val="0"/>
              <w:pageBreakBefore w:val="0"/>
              <w:kinsoku/>
              <w:wordWrap/>
              <w:overflowPunct/>
              <w:topLinePunct w:val="0"/>
              <w:bidi w:val="0"/>
              <w:snapToGrid/>
              <w:spacing w:line="40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.0</w:t>
            </w:r>
          </w:p>
        </w:tc>
        <w:tc>
          <w:tcPr>
            <w:tcW w:w="2030" w:type="dxa"/>
            <w:vAlign w:val="center"/>
          </w:tcPr>
          <w:p w14:paraId="7E9C12DE">
            <w:pPr>
              <w:keepNext w:val="0"/>
              <w:keepLines w:val="0"/>
              <w:pageBreakBefore w:val="0"/>
              <w:kinsoku/>
              <w:wordWrap/>
              <w:overflowPunct/>
              <w:topLinePunct w:val="0"/>
              <w:bidi w:val="0"/>
              <w:snapToGrid/>
              <w:spacing w:line="40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0.243</w:t>
            </w:r>
          </w:p>
        </w:tc>
        <w:tc>
          <w:tcPr>
            <w:tcW w:w="2866" w:type="dxa"/>
            <w:gridSpan w:val="2"/>
            <w:vMerge w:val="continue"/>
            <w:vAlign w:val="center"/>
          </w:tcPr>
          <w:p w14:paraId="5E9EAA21">
            <w:pPr>
              <w:keepNext w:val="0"/>
              <w:keepLines w:val="0"/>
              <w:pageBreakBefore w:val="0"/>
              <w:kinsoku/>
              <w:wordWrap/>
              <w:overflowPunct/>
              <w:topLinePunct w:val="0"/>
              <w:bidi w:val="0"/>
              <w:snapToGrid/>
              <w:spacing w:line="400" w:lineRule="exact"/>
              <w:jc w:val="center"/>
              <w:rPr>
                <w:rFonts w:hint="eastAsia" w:ascii="宋体" w:hAnsi="宋体" w:eastAsia="宋体" w:cs="宋体"/>
                <w:color w:val="auto"/>
                <w:sz w:val="21"/>
                <w:szCs w:val="21"/>
                <w:highlight w:val="none"/>
              </w:rPr>
            </w:pPr>
          </w:p>
        </w:tc>
      </w:tr>
      <w:tr w14:paraId="5755E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5" w:type="dxa"/>
            <w:vAlign w:val="center"/>
          </w:tcPr>
          <w:p w14:paraId="0058C18A">
            <w:pPr>
              <w:keepNext w:val="0"/>
              <w:keepLines w:val="0"/>
              <w:pageBreakBefore w:val="0"/>
              <w:kinsoku/>
              <w:wordWrap/>
              <w:overflowPunct/>
              <w:topLinePunct w:val="0"/>
              <w:bidi w:val="0"/>
              <w:snapToGrid/>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Ni</w:t>
            </w:r>
          </w:p>
        </w:tc>
        <w:tc>
          <w:tcPr>
            <w:tcW w:w="2184" w:type="dxa"/>
            <w:vAlign w:val="center"/>
          </w:tcPr>
          <w:p w14:paraId="30C7DA53">
            <w:pPr>
              <w:keepNext w:val="0"/>
              <w:keepLines w:val="0"/>
              <w:pageBreakBefore w:val="0"/>
              <w:kinsoku/>
              <w:wordWrap/>
              <w:overflowPunct/>
              <w:topLinePunct w:val="0"/>
              <w:bidi w:val="0"/>
              <w:snapToGrid/>
              <w:spacing w:line="40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12.0</w:t>
            </w:r>
          </w:p>
        </w:tc>
        <w:tc>
          <w:tcPr>
            <w:tcW w:w="2030" w:type="dxa"/>
            <w:vAlign w:val="center"/>
          </w:tcPr>
          <w:p w14:paraId="4767DB80">
            <w:pPr>
              <w:keepNext w:val="0"/>
              <w:keepLines w:val="0"/>
              <w:pageBreakBefore w:val="0"/>
              <w:kinsoku/>
              <w:wordWrap/>
              <w:overflowPunct/>
              <w:topLinePunct w:val="0"/>
              <w:bidi w:val="0"/>
              <w:snapToGrid/>
              <w:spacing w:line="40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0.246</w:t>
            </w:r>
          </w:p>
        </w:tc>
        <w:tc>
          <w:tcPr>
            <w:tcW w:w="2866" w:type="dxa"/>
            <w:gridSpan w:val="2"/>
            <w:vMerge w:val="continue"/>
            <w:vAlign w:val="center"/>
          </w:tcPr>
          <w:p w14:paraId="1DEE992D">
            <w:pPr>
              <w:keepNext w:val="0"/>
              <w:keepLines w:val="0"/>
              <w:pageBreakBefore w:val="0"/>
              <w:kinsoku/>
              <w:wordWrap/>
              <w:overflowPunct/>
              <w:topLinePunct w:val="0"/>
              <w:bidi w:val="0"/>
              <w:snapToGrid/>
              <w:spacing w:line="400" w:lineRule="exact"/>
              <w:jc w:val="center"/>
              <w:rPr>
                <w:rFonts w:hint="eastAsia" w:ascii="宋体" w:hAnsi="宋体" w:eastAsia="宋体" w:cs="宋体"/>
                <w:color w:val="auto"/>
                <w:sz w:val="21"/>
                <w:szCs w:val="21"/>
                <w:highlight w:val="none"/>
              </w:rPr>
            </w:pPr>
          </w:p>
        </w:tc>
      </w:tr>
      <w:tr w14:paraId="62FD6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5" w:type="dxa"/>
            <w:shd w:val="clear" w:color="auto" w:fill="auto"/>
            <w:vAlign w:val="center"/>
          </w:tcPr>
          <w:p w14:paraId="5C508A15">
            <w:pPr>
              <w:keepNext w:val="0"/>
              <w:keepLines w:val="0"/>
              <w:pageBreakBefore w:val="0"/>
              <w:kinsoku/>
              <w:wordWrap/>
              <w:overflowPunct/>
              <w:topLinePunct w:val="0"/>
              <w:bidi w:val="0"/>
              <w:snapToGrid/>
              <w:spacing w:line="40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B</w:t>
            </w:r>
          </w:p>
        </w:tc>
        <w:tc>
          <w:tcPr>
            <w:tcW w:w="2184" w:type="dxa"/>
            <w:shd w:val="clear" w:color="auto" w:fill="auto"/>
            <w:vAlign w:val="center"/>
          </w:tcPr>
          <w:p w14:paraId="5A323A53">
            <w:pPr>
              <w:keepNext w:val="0"/>
              <w:keepLines w:val="0"/>
              <w:pageBreakBefore w:val="0"/>
              <w:kinsoku/>
              <w:wordWrap/>
              <w:overflowPunct/>
              <w:topLinePunct w:val="0"/>
              <w:bidi w:val="0"/>
              <w:snapToGrid/>
              <w:spacing w:line="40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12</w:t>
            </w:r>
          </w:p>
        </w:tc>
        <w:tc>
          <w:tcPr>
            <w:tcW w:w="2030" w:type="dxa"/>
            <w:vAlign w:val="center"/>
          </w:tcPr>
          <w:p w14:paraId="1495C537">
            <w:pPr>
              <w:keepNext w:val="0"/>
              <w:keepLines w:val="0"/>
              <w:pageBreakBefore w:val="0"/>
              <w:kinsoku/>
              <w:wordWrap/>
              <w:overflowPunct/>
              <w:topLinePunct w:val="0"/>
              <w:bidi w:val="0"/>
              <w:snapToGrid/>
              <w:spacing w:line="40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0.243</w:t>
            </w:r>
          </w:p>
        </w:tc>
        <w:tc>
          <w:tcPr>
            <w:tcW w:w="2866" w:type="dxa"/>
            <w:gridSpan w:val="2"/>
            <w:vMerge w:val="continue"/>
            <w:vAlign w:val="center"/>
          </w:tcPr>
          <w:p w14:paraId="58510CA3">
            <w:pPr>
              <w:keepNext w:val="0"/>
              <w:keepLines w:val="0"/>
              <w:pageBreakBefore w:val="0"/>
              <w:kinsoku/>
              <w:wordWrap/>
              <w:overflowPunct/>
              <w:topLinePunct w:val="0"/>
              <w:bidi w:val="0"/>
              <w:snapToGrid/>
              <w:spacing w:line="400" w:lineRule="exact"/>
              <w:jc w:val="center"/>
              <w:rPr>
                <w:rFonts w:hint="eastAsia" w:ascii="宋体" w:hAnsi="宋体" w:eastAsia="宋体" w:cs="宋体"/>
                <w:color w:val="auto"/>
                <w:sz w:val="21"/>
                <w:szCs w:val="21"/>
                <w:highlight w:val="none"/>
              </w:rPr>
            </w:pPr>
          </w:p>
        </w:tc>
      </w:tr>
      <w:tr w14:paraId="5EAD1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5" w:type="dxa"/>
            <w:vAlign w:val="center"/>
          </w:tcPr>
          <w:p w14:paraId="5C459335">
            <w:pPr>
              <w:keepNext w:val="0"/>
              <w:keepLines w:val="0"/>
              <w:pageBreakBefore w:val="0"/>
              <w:kinsoku/>
              <w:wordWrap/>
              <w:overflowPunct/>
              <w:topLinePunct w:val="0"/>
              <w:bidi w:val="0"/>
              <w:snapToGrid/>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Fe</w:t>
            </w:r>
          </w:p>
        </w:tc>
        <w:tc>
          <w:tcPr>
            <w:tcW w:w="2184" w:type="dxa"/>
            <w:vAlign w:val="center"/>
          </w:tcPr>
          <w:p w14:paraId="577D4749">
            <w:pPr>
              <w:keepNext w:val="0"/>
              <w:keepLines w:val="0"/>
              <w:pageBreakBefore w:val="0"/>
              <w:kinsoku/>
              <w:wordWrap/>
              <w:overflowPunct/>
              <w:topLinePunct w:val="0"/>
              <w:bidi w:val="0"/>
              <w:snapToGrid/>
              <w:spacing w:line="400" w:lineRule="exact"/>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9.0</w:t>
            </w:r>
          </w:p>
        </w:tc>
        <w:tc>
          <w:tcPr>
            <w:tcW w:w="2030" w:type="dxa"/>
            <w:vAlign w:val="center"/>
          </w:tcPr>
          <w:p w14:paraId="724AAF24">
            <w:pPr>
              <w:keepNext w:val="0"/>
              <w:keepLines w:val="0"/>
              <w:pageBreakBefore w:val="0"/>
              <w:kinsoku/>
              <w:wordWrap/>
              <w:overflowPunct/>
              <w:topLinePunct w:val="0"/>
              <w:bidi w:val="0"/>
              <w:snapToGrid/>
              <w:spacing w:line="40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0.246</w:t>
            </w:r>
          </w:p>
        </w:tc>
        <w:tc>
          <w:tcPr>
            <w:tcW w:w="2866" w:type="dxa"/>
            <w:gridSpan w:val="2"/>
            <w:vMerge w:val="continue"/>
            <w:vAlign w:val="center"/>
          </w:tcPr>
          <w:p w14:paraId="0A8C9480">
            <w:pPr>
              <w:keepNext w:val="0"/>
              <w:keepLines w:val="0"/>
              <w:pageBreakBefore w:val="0"/>
              <w:kinsoku/>
              <w:wordWrap/>
              <w:overflowPunct/>
              <w:topLinePunct w:val="0"/>
              <w:bidi w:val="0"/>
              <w:snapToGrid/>
              <w:spacing w:line="400" w:lineRule="exact"/>
              <w:jc w:val="center"/>
              <w:rPr>
                <w:rFonts w:hint="eastAsia" w:ascii="宋体" w:hAnsi="宋体" w:eastAsia="宋体" w:cs="宋体"/>
                <w:color w:val="auto"/>
                <w:sz w:val="21"/>
                <w:szCs w:val="21"/>
                <w:highlight w:val="none"/>
              </w:rPr>
            </w:pPr>
          </w:p>
        </w:tc>
      </w:tr>
      <w:tr w14:paraId="3D85D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5" w:type="dxa"/>
            <w:vAlign w:val="center"/>
          </w:tcPr>
          <w:p w14:paraId="174B8D21">
            <w:pPr>
              <w:keepNext w:val="0"/>
              <w:keepLines w:val="0"/>
              <w:pageBreakBefore w:val="0"/>
              <w:kinsoku/>
              <w:wordWrap/>
              <w:overflowPunct/>
              <w:topLinePunct w:val="0"/>
              <w:bidi w:val="0"/>
              <w:snapToGrid/>
              <w:spacing w:line="40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Te</w:t>
            </w:r>
          </w:p>
        </w:tc>
        <w:tc>
          <w:tcPr>
            <w:tcW w:w="2184" w:type="dxa"/>
            <w:vAlign w:val="center"/>
          </w:tcPr>
          <w:p w14:paraId="42576C7A">
            <w:pPr>
              <w:keepNext w:val="0"/>
              <w:keepLines w:val="0"/>
              <w:pageBreakBefore w:val="0"/>
              <w:kinsoku/>
              <w:wordWrap/>
              <w:overflowPunct/>
              <w:topLinePunct w:val="0"/>
              <w:bidi w:val="0"/>
              <w:snapToGrid/>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.0</w:t>
            </w:r>
          </w:p>
        </w:tc>
        <w:tc>
          <w:tcPr>
            <w:tcW w:w="2030" w:type="dxa"/>
            <w:vAlign w:val="center"/>
          </w:tcPr>
          <w:p w14:paraId="28BBC1E9">
            <w:pPr>
              <w:keepNext w:val="0"/>
              <w:keepLines w:val="0"/>
              <w:pageBreakBefore w:val="0"/>
              <w:kinsoku/>
              <w:wordWrap/>
              <w:overflowPunct/>
              <w:topLinePunct w:val="0"/>
              <w:bidi w:val="0"/>
              <w:snapToGrid/>
              <w:spacing w:line="40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0.244</w:t>
            </w:r>
          </w:p>
        </w:tc>
        <w:tc>
          <w:tcPr>
            <w:tcW w:w="2866" w:type="dxa"/>
            <w:gridSpan w:val="2"/>
            <w:vMerge w:val="continue"/>
            <w:vAlign w:val="center"/>
          </w:tcPr>
          <w:p w14:paraId="0954F56A">
            <w:pPr>
              <w:keepNext w:val="0"/>
              <w:keepLines w:val="0"/>
              <w:pageBreakBefore w:val="0"/>
              <w:kinsoku/>
              <w:wordWrap/>
              <w:overflowPunct/>
              <w:topLinePunct w:val="0"/>
              <w:bidi w:val="0"/>
              <w:snapToGrid/>
              <w:spacing w:line="400" w:lineRule="exact"/>
              <w:jc w:val="center"/>
              <w:rPr>
                <w:rFonts w:hint="eastAsia" w:ascii="宋体" w:hAnsi="宋体" w:eastAsia="宋体" w:cs="宋体"/>
                <w:color w:val="auto"/>
                <w:sz w:val="21"/>
                <w:szCs w:val="21"/>
                <w:highlight w:val="none"/>
              </w:rPr>
            </w:pPr>
          </w:p>
        </w:tc>
      </w:tr>
      <w:tr w14:paraId="78FB1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5" w:type="dxa"/>
            <w:shd w:val="clear" w:color="auto" w:fill="auto"/>
            <w:vAlign w:val="center"/>
          </w:tcPr>
          <w:p w14:paraId="3D0C64DC">
            <w:pPr>
              <w:keepNext w:val="0"/>
              <w:keepLines w:val="0"/>
              <w:pageBreakBefore w:val="0"/>
              <w:kinsoku/>
              <w:wordWrap/>
              <w:overflowPunct/>
              <w:topLinePunct w:val="0"/>
              <w:bidi w:val="0"/>
              <w:snapToGrid/>
              <w:spacing w:line="40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Pb</w:t>
            </w:r>
          </w:p>
        </w:tc>
        <w:tc>
          <w:tcPr>
            <w:tcW w:w="2184" w:type="dxa"/>
            <w:shd w:val="clear" w:color="auto" w:fill="auto"/>
            <w:vAlign w:val="center"/>
          </w:tcPr>
          <w:p w14:paraId="37BE6204">
            <w:pPr>
              <w:keepNext w:val="0"/>
              <w:keepLines w:val="0"/>
              <w:pageBreakBefore w:val="0"/>
              <w:kinsoku/>
              <w:wordWrap/>
              <w:overflowPunct/>
              <w:topLinePunct w:val="0"/>
              <w:bidi w:val="0"/>
              <w:snapToGrid/>
              <w:spacing w:line="40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.0</w:t>
            </w:r>
          </w:p>
        </w:tc>
        <w:tc>
          <w:tcPr>
            <w:tcW w:w="2030" w:type="dxa"/>
            <w:vAlign w:val="center"/>
          </w:tcPr>
          <w:p w14:paraId="265DB1FD">
            <w:pPr>
              <w:keepNext w:val="0"/>
              <w:keepLines w:val="0"/>
              <w:pageBreakBefore w:val="0"/>
              <w:kinsoku/>
              <w:wordWrap/>
              <w:overflowPunct/>
              <w:topLinePunct w:val="0"/>
              <w:bidi w:val="0"/>
              <w:snapToGrid/>
              <w:spacing w:line="40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0.243</w:t>
            </w:r>
          </w:p>
        </w:tc>
        <w:tc>
          <w:tcPr>
            <w:tcW w:w="2866" w:type="dxa"/>
            <w:gridSpan w:val="2"/>
            <w:vMerge w:val="continue"/>
            <w:vAlign w:val="center"/>
          </w:tcPr>
          <w:p w14:paraId="3CD14608">
            <w:pPr>
              <w:keepNext w:val="0"/>
              <w:keepLines w:val="0"/>
              <w:pageBreakBefore w:val="0"/>
              <w:kinsoku/>
              <w:wordWrap/>
              <w:overflowPunct/>
              <w:topLinePunct w:val="0"/>
              <w:bidi w:val="0"/>
              <w:snapToGrid/>
              <w:spacing w:line="400" w:lineRule="exact"/>
              <w:jc w:val="center"/>
              <w:rPr>
                <w:rFonts w:hint="eastAsia" w:ascii="宋体" w:hAnsi="宋体" w:eastAsia="宋体" w:cs="宋体"/>
                <w:color w:val="auto"/>
                <w:sz w:val="21"/>
                <w:szCs w:val="21"/>
                <w:highlight w:val="none"/>
              </w:rPr>
            </w:pPr>
          </w:p>
        </w:tc>
      </w:tr>
      <w:tr w14:paraId="53B05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5" w:type="dxa"/>
            <w:shd w:val="clear" w:color="auto" w:fill="auto"/>
            <w:vAlign w:val="center"/>
          </w:tcPr>
          <w:p w14:paraId="26C5F587">
            <w:pPr>
              <w:keepNext w:val="0"/>
              <w:keepLines w:val="0"/>
              <w:pageBreakBefore w:val="0"/>
              <w:kinsoku/>
              <w:wordWrap/>
              <w:overflowPunct/>
              <w:topLinePunct w:val="0"/>
              <w:bidi w:val="0"/>
              <w:snapToGrid/>
              <w:spacing w:line="40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P</w:t>
            </w:r>
          </w:p>
        </w:tc>
        <w:tc>
          <w:tcPr>
            <w:tcW w:w="2184" w:type="dxa"/>
            <w:shd w:val="clear" w:color="auto" w:fill="auto"/>
            <w:vAlign w:val="center"/>
          </w:tcPr>
          <w:p w14:paraId="0BADA982">
            <w:pPr>
              <w:keepNext w:val="0"/>
              <w:keepLines w:val="0"/>
              <w:pageBreakBefore w:val="0"/>
              <w:kinsoku/>
              <w:wordWrap/>
              <w:overflowPunct/>
              <w:topLinePunct w:val="0"/>
              <w:bidi w:val="0"/>
              <w:snapToGrid/>
              <w:spacing w:line="40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1.5</w:t>
            </w:r>
          </w:p>
        </w:tc>
        <w:tc>
          <w:tcPr>
            <w:tcW w:w="2030" w:type="dxa"/>
            <w:vAlign w:val="center"/>
          </w:tcPr>
          <w:p w14:paraId="02CAB2C5">
            <w:pPr>
              <w:keepNext w:val="0"/>
              <w:keepLines w:val="0"/>
              <w:pageBreakBefore w:val="0"/>
              <w:kinsoku/>
              <w:wordWrap/>
              <w:overflowPunct/>
              <w:topLinePunct w:val="0"/>
              <w:bidi w:val="0"/>
              <w:snapToGrid/>
              <w:spacing w:line="40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0.245</w:t>
            </w:r>
          </w:p>
        </w:tc>
        <w:tc>
          <w:tcPr>
            <w:tcW w:w="2866" w:type="dxa"/>
            <w:gridSpan w:val="2"/>
            <w:vMerge w:val="continue"/>
            <w:vAlign w:val="center"/>
          </w:tcPr>
          <w:p w14:paraId="5607F65E">
            <w:pPr>
              <w:keepNext w:val="0"/>
              <w:keepLines w:val="0"/>
              <w:pageBreakBefore w:val="0"/>
              <w:kinsoku/>
              <w:wordWrap/>
              <w:overflowPunct/>
              <w:topLinePunct w:val="0"/>
              <w:bidi w:val="0"/>
              <w:snapToGrid/>
              <w:spacing w:line="400" w:lineRule="exact"/>
              <w:jc w:val="center"/>
              <w:rPr>
                <w:rFonts w:hint="eastAsia" w:ascii="宋体" w:hAnsi="宋体" w:eastAsia="宋体" w:cs="宋体"/>
                <w:color w:val="auto"/>
                <w:sz w:val="21"/>
                <w:szCs w:val="21"/>
                <w:highlight w:val="none"/>
              </w:rPr>
            </w:pPr>
          </w:p>
        </w:tc>
      </w:tr>
      <w:tr w14:paraId="1EA90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5" w:type="dxa"/>
            <w:shd w:val="clear" w:color="auto" w:fill="auto"/>
            <w:vAlign w:val="center"/>
          </w:tcPr>
          <w:p w14:paraId="6E242ADF">
            <w:pPr>
              <w:keepNext w:val="0"/>
              <w:keepLines w:val="0"/>
              <w:pageBreakBefore w:val="0"/>
              <w:kinsoku/>
              <w:wordWrap/>
              <w:overflowPunct/>
              <w:topLinePunct w:val="0"/>
              <w:bidi w:val="0"/>
              <w:snapToGrid/>
              <w:spacing w:line="40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Mn</w:t>
            </w:r>
          </w:p>
        </w:tc>
        <w:tc>
          <w:tcPr>
            <w:tcW w:w="2184" w:type="dxa"/>
            <w:shd w:val="clear" w:color="auto" w:fill="auto"/>
            <w:vAlign w:val="center"/>
          </w:tcPr>
          <w:p w14:paraId="34C1E1CA">
            <w:pPr>
              <w:keepNext w:val="0"/>
              <w:keepLines w:val="0"/>
              <w:pageBreakBefore w:val="0"/>
              <w:kinsoku/>
              <w:wordWrap/>
              <w:overflowPunct/>
              <w:topLinePunct w:val="0"/>
              <w:bidi w:val="0"/>
              <w:snapToGrid/>
              <w:spacing w:line="40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w:t>
            </w:r>
          </w:p>
        </w:tc>
        <w:tc>
          <w:tcPr>
            <w:tcW w:w="2030" w:type="dxa"/>
            <w:vAlign w:val="center"/>
          </w:tcPr>
          <w:p w14:paraId="0545D74B">
            <w:pPr>
              <w:keepNext w:val="0"/>
              <w:keepLines w:val="0"/>
              <w:pageBreakBefore w:val="0"/>
              <w:kinsoku/>
              <w:wordWrap/>
              <w:overflowPunct/>
              <w:topLinePunct w:val="0"/>
              <w:bidi w:val="0"/>
              <w:snapToGrid/>
              <w:spacing w:line="40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0.244</w:t>
            </w:r>
          </w:p>
        </w:tc>
        <w:tc>
          <w:tcPr>
            <w:tcW w:w="2866" w:type="dxa"/>
            <w:gridSpan w:val="2"/>
            <w:vMerge w:val="continue"/>
            <w:vAlign w:val="center"/>
          </w:tcPr>
          <w:p w14:paraId="1549AE7D">
            <w:pPr>
              <w:keepNext w:val="0"/>
              <w:keepLines w:val="0"/>
              <w:pageBreakBefore w:val="0"/>
              <w:kinsoku/>
              <w:wordWrap/>
              <w:overflowPunct/>
              <w:topLinePunct w:val="0"/>
              <w:bidi w:val="0"/>
              <w:snapToGrid/>
              <w:spacing w:line="400" w:lineRule="exact"/>
              <w:jc w:val="center"/>
              <w:rPr>
                <w:rFonts w:hint="eastAsia" w:ascii="宋体" w:hAnsi="宋体" w:eastAsia="宋体" w:cs="宋体"/>
                <w:color w:val="auto"/>
                <w:sz w:val="21"/>
                <w:szCs w:val="21"/>
                <w:highlight w:val="none"/>
                <w:lang w:val="en-US" w:eastAsia="zh-CN"/>
              </w:rPr>
            </w:pPr>
          </w:p>
        </w:tc>
      </w:tr>
      <w:tr w14:paraId="11FEB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5" w:type="dxa"/>
            <w:shd w:val="clear" w:color="auto" w:fill="auto"/>
            <w:vAlign w:val="center"/>
          </w:tcPr>
          <w:p w14:paraId="0AD95957">
            <w:pPr>
              <w:keepNext w:val="0"/>
              <w:keepLines w:val="0"/>
              <w:pageBreakBefore w:val="0"/>
              <w:kinsoku/>
              <w:wordWrap/>
              <w:overflowPunct/>
              <w:topLinePunct w:val="0"/>
              <w:bidi w:val="0"/>
              <w:snapToGrid/>
              <w:spacing w:line="40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Ti</w:t>
            </w:r>
          </w:p>
        </w:tc>
        <w:tc>
          <w:tcPr>
            <w:tcW w:w="2184" w:type="dxa"/>
            <w:shd w:val="clear" w:color="auto" w:fill="auto"/>
            <w:vAlign w:val="center"/>
          </w:tcPr>
          <w:p w14:paraId="11D125CD">
            <w:pPr>
              <w:keepNext w:val="0"/>
              <w:keepLines w:val="0"/>
              <w:pageBreakBefore w:val="0"/>
              <w:kinsoku/>
              <w:wordWrap/>
              <w:overflowPunct/>
              <w:topLinePunct w:val="0"/>
              <w:bidi w:val="0"/>
              <w:snapToGrid/>
              <w:spacing w:line="40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0.6</w:t>
            </w:r>
          </w:p>
        </w:tc>
        <w:tc>
          <w:tcPr>
            <w:tcW w:w="2030" w:type="dxa"/>
            <w:vAlign w:val="center"/>
          </w:tcPr>
          <w:p w14:paraId="112EBA8A">
            <w:pPr>
              <w:keepNext w:val="0"/>
              <w:keepLines w:val="0"/>
              <w:pageBreakBefore w:val="0"/>
              <w:kinsoku/>
              <w:wordWrap/>
              <w:overflowPunct/>
              <w:topLinePunct w:val="0"/>
              <w:bidi w:val="0"/>
              <w:snapToGrid/>
              <w:spacing w:line="40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0.243</w:t>
            </w:r>
          </w:p>
        </w:tc>
        <w:tc>
          <w:tcPr>
            <w:tcW w:w="2866" w:type="dxa"/>
            <w:gridSpan w:val="2"/>
            <w:vMerge w:val="continue"/>
            <w:vAlign w:val="center"/>
          </w:tcPr>
          <w:p w14:paraId="71E1193D">
            <w:pPr>
              <w:keepNext w:val="0"/>
              <w:keepLines w:val="0"/>
              <w:pageBreakBefore w:val="0"/>
              <w:kinsoku/>
              <w:wordWrap/>
              <w:overflowPunct/>
              <w:topLinePunct w:val="0"/>
              <w:bidi w:val="0"/>
              <w:snapToGrid/>
              <w:spacing w:line="400" w:lineRule="exact"/>
              <w:jc w:val="center"/>
              <w:rPr>
                <w:rFonts w:hint="eastAsia" w:ascii="宋体" w:hAnsi="宋体" w:eastAsia="宋体" w:cs="宋体"/>
                <w:color w:val="auto"/>
                <w:sz w:val="21"/>
                <w:szCs w:val="21"/>
                <w:highlight w:val="none"/>
              </w:rPr>
            </w:pPr>
          </w:p>
        </w:tc>
      </w:tr>
      <w:tr w14:paraId="056CE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5" w:type="dxa"/>
            <w:shd w:val="clear" w:color="auto" w:fill="auto"/>
            <w:vAlign w:val="center"/>
          </w:tcPr>
          <w:p w14:paraId="7827A411">
            <w:pPr>
              <w:keepNext w:val="0"/>
              <w:keepLines w:val="0"/>
              <w:pageBreakBefore w:val="0"/>
              <w:kinsoku/>
              <w:wordWrap/>
              <w:overflowPunct/>
              <w:topLinePunct w:val="0"/>
              <w:bidi w:val="0"/>
              <w:snapToGrid/>
              <w:spacing w:line="40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Cr</w:t>
            </w:r>
          </w:p>
        </w:tc>
        <w:tc>
          <w:tcPr>
            <w:tcW w:w="2184" w:type="dxa"/>
            <w:shd w:val="clear" w:color="auto" w:fill="auto"/>
            <w:vAlign w:val="center"/>
          </w:tcPr>
          <w:p w14:paraId="4BF29A14">
            <w:pPr>
              <w:keepNext w:val="0"/>
              <w:keepLines w:val="0"/>
              <w:pageBreakBefore w:val="0"/>
              <w:kinsoku/>
              <w:wordWrap/>
              <w:overflowPunct/>
              <w:topLinePunct w:val="0"/>
              <w:bidi w:val="0"/>
              <w:snapToGrid/>
              <w:spacing w:line="40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0.3</w:t>
            </w:r>
          </w:p>
        </w:tc>
        <w:tc>
          <w:tcPr>
            <w:tcW w:w="2030" w:type="dxa"/>
            <w:vAlign w:val="center"/>
          </w:tcPr>
          <w:p w14:paraId="3D39ED27">
            <w:pPr>
              <w:keepNext w:val="0"/>
              <w:keepLines w:val="0"/>
              <w:pageBreakBefore w:val="0"/>
              <w:kinsoku/>
              <w:wordWrap/>
              <w:overflowPunct/>
              <w:topLinePunct w:val="0"/>
              <w:bidi w:val="0"/>
              <w:snapToGrid/>
              <w:spacing w:line="40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0.242</w:t>
            </w:r>
          </w:p>
        </w:tc>
        <w:tc>
          <w:tcPr>
            <w:tcW w:w="2866" w:type="dxa"/>
            <w:gridSpan w:val="2"/>
            <w:vMerge w:val="continue"/>
            <w:vAlign w:val="center"/>
          </w:tcPr>
          <w:p w14:paraId="53E8D828">
            <w:pPr>
              <w:keepNext w:val="0"/>
              <w:keepLines w:val="0"/>
              <w:pageBreakBefore w:val="0"/>
              <w:kinsoku/>
              <w:wordWrap/>
              <w:overflowPunct/>
              <w:topLinePunct w:val="0"/>
              <w:bidi w:val="0"/>
              <w:snapToGrid/>
              <w:spacing w:line="400" w:lineRule="exact"/>
              <w:jc w:val="center"/>
              <w:rPr>
                <w:rFonts w:hint="eastAsia" w:ascii="宋体" w:hAnsi="宋体" w:eastAsia="宋体" w:cs="宋体"/>
                <w:color w:val="auto"/>
                <w:sz w:val="21"/>
                <w:szCs w:val="21"/>
                <w:highlight w:val="none"/>
              </w:rPr>
            </w:pPr>
          </w:p>
        </w:tc>
      </w:tr>
      <w:tr w14:paraId="18D4B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5" w:type="dxa"/>
            <w:shd w:val="clear" w:color="auto" w:fill="auto"/>
            <w:vAlign w:val="center"/>
          </w:tcPr>
          <w:p w14:paraId="556F4D66">
            <w:pPr>
              <w:keepNext w:val="0"/>
              <w:keepLines w:val="0"/>
              <w:pageBreakBefore w:val="0"/>
              <w:kinsoku/>
              <w:wordWrap/>
              <w:overflowPunct/>
              <w:topLinePunct w:val="0"/>
              <w:bidi w:val="0"/>
              <w:snapToGrid/>
              <w:spacing w:line="40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As</w:t>
            </w:r>
          </w:p>
        </w:tc>
        <w:tc>
          <w:tcPr>
            <w:tcW w:w="2184" w:type="dxa"/>
            <w:shd w:val="clear" w:color="auto" w:fill="auto"/>
            <w:vAlign w:val="center"/>
          </w:tcPr>
          <w:p w14:paraId="14CEB2F0">
            <w:pPr>
              <w:keepNext w:val="0"/>
              <w:keepLines w:val="0"/>
              <w:pageBreakBefore w:val="0"/>
              <w:kinsoku/>
              <w:wordWrap/>
              <w:overflowPunct/>
              <w:topLinePunct w:val="0"/>
              <w:bidi w:val="0"/>
              <w:snapToGrid/>
              <w:spacing w:line="40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w:t>
            </w:r>
            <w:r>
              <w:rPr>
                <w:rFonts w:hint="eastAsia" w:ascii="宋体" w:hAnsi="宋体" w:eastAsia="宋体" w:cs="宋体"/>
                <w:color w:val="auto"/>
                <w:sz w:val="21"/>
                <w:szCs w:val="21"/>
                <w:highlight w:val="none"/>
                <w:lang w:val="en-US" w:eastAsia="zh-CN"/>
              </w:rPr>
              <w:t>1</w:t>
            </w:r>
          </w:p>
        </w:tc>
        <w:tc>
          <w:tcPr>
            <w:tcW w:w="2030" w:type="dxa"/>
            <w:vAlign w:val="center"/>
          </w:tcPr>
          <w:p w14:paraId="070D5016">
            <w:pPr>
              <w:keepNext w:val="0"/>
              <w:keepLines w:val="0"/>
              <w:pageBreakBefore w:val="0"/>
              <w:kinsoku/>
              <w:wordWrap/>
              <w:overflowPunct/>
              <w:topLinePunct w:val="0"/>
              <w:bidi w:val="0"/>
              <w:snapToGrid/>
              <w:spacing w:line="40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0.246</w:t>
            </w:r>
          </w:p>
        </w:tc>
        <w:tc>
          <w:tcPr>
            <w:tcW w:w="2866" w:type="dxa"/>
            <w:gridSpan w:val="2"/>
            <w:vMerge w:val="continue"/>
            <w:vAlign w:val="center"/>
          </w:tcPr>
          <w:p w14:paraId="2F5B3AE9">
            <w:pPr>
              <w:keepNext w:val="0"/>
              <w:keepLines w:val="0"/>
              <w:pageBreakBefore w:val="0"/>
              <w:kinsoku/>
              <w:wordWrap/>
              <w:overflowPunct/>
              <w:topLinePunct w:val="0"/>
              <w:bidi w:val="0"/>
              <w:snapToGrid/>
              <w:spacing w:line="400" w:lineRule="exact"/>
              <w:jc w:val="center"/>
              <w:rPr>
                <w:rFonts w:hint="eastAsia" w:ascii="宋体" w:hAnsi="宋体" w:eastAsia="宋体" w:cs="宋体"/>
                <w:color w:val="auto"/>
                <w:sz w:val="21"/>
                <w:szCs w:val="21"/>
                <w:highlight w:val="none"/>
              </w:rPr>
            </w:pPr>
          </w:p>
        </w:tc>
      </w:tr>
      <w:tr w14:paraId="6103A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5" w:type="dxa"/>
            <w:vAlign w:val="center"/>
          </w:tcPr>
          <w:p w14:paraId="39EB86E2">
            <w:pPr>
              <w:keepNext w:val="0"/>
              <w:keepLines w:val="0"/>
              <w:pageBreakBefore w:val="0"/>
              <w:kinsoku/>
              <w:wordWrap/>
              <w:overflowPunct/>
              <w:topLinePunct w:val="0"/>
              <w:bidi w:val="0"/>
              <w:snapToGrid/>
              <w:spacing w:line="40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表中所有元素混合（含铜基体）</w:t>
            </w:r>
          </w:p>
        </w:tc>
        <w:tc>
          <w:tcPr>
            <w:tcW w:w="2184" w:type="dxa"/>
            <w:vAlign w:val="center"/>
          </w:tcPr>
          <w:p w14:paraId="5F8E743B">
            <w:pPr>
              <w:keepNext w:val="0"/>
              <w:keepLines w:val="0"/>
              <w:pageBreakBefore w:val="0"/>
              <w:kinsoku/>
              <w:wordWrap/>
              <w:overflowPunct/>
              <w:topLinePunct w:val="0"/>
              <w:bidi w:val="0"/>
              <w:snapToGrid/>
              <w:spacing w:line="40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表中所有单元素相应加入量</w:t>
            </w:r>
          </w:p>
        </w:tc>
        <w:tc>
          <w:tcPr>
            <w:tcW w:w="2036" w:type="dxa"/>
            <w:gridSpan w:val="2"/>
            <w:vAlign w:val="center"/>
          </w:tcPr>
          <w:p w14:paraId="6A213085">
            <w:pPr>
              <w:keepNext w:val="0"/>
              <w:keepLines w:val="0"/>
              <w:pageBreakBefore w:val="0"/>
              <w:kinsoku/>
              <w:wordWrap/>
              <w:overflowPunct/>
              <w:topLinePunct w:val="0"/>
              <w:bidi w:val="0"/>
              <w:snapToGrid/>
              <w:spacing w:line="40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0.231</w:t>
            </w:r>
          </w:p>
        </w:tc>
        <w:tc>
          <w:tcPr>
            <w:tcW w:w="2860" w:type="dxa"/>
            <w:vAlign w:val="center"/>
          </w:tcPr>
          <w:p w14:paraId="609893E8">
            <w:pPr>
              <w:keepNext w:val="0"/>
              <w:keepLines w:val="0"/>
              <w:pageBreakBefore w:val="0"/>
              <w:kinsoku/>
              <w:wordWrap/>
              <w:overflowPunct/>
              <w:topLinePunct w:val="0"/>
              <w:bidi w:val="0"/>
              <w:snapToGrid/>
              <w:spacing w:line="40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0.233</w:t>
            </w:r>
          </w:p>
        </w:tc>
      </w:tr>
    </w:tbl>
    <w:p w14:paraId="42C2D263">
      <w:pPr>
        <w:keepNext w:val="0"/>
        <w:keepLines w:val="0"/>
        <w:pageBreakBefore w:val="0"/>
        <w:kinsoku/>
        <w:wordWrap/>
        <w:overflowPunct/>
        <w:topLinePunct w:val="0"/>
        <w:bidi w:val="0"/>
        <w:snapToGrid/>
        <w:spacing w:line="400" w:lineRule="exact"/>
        <w:ind w:firstLine="420" w:firstLineChars="200"/>
        <w:rPr>
          <w:rFonts w:hint="eastAsia" w:ascii="宋体" w:hAnsi="宋体" w:eastAsia="宋体" w:cs="宋体"/>
          <w:color w:val="auto"/>
          <w:sz w:val="21"/>
          <w:szCs w:val="21"/>
          <w:highlight w:val="none"/>
        </w:rPr>
      </w:pPr>
    </w:p>
    <w:p w14:paraId="5CF16CCC">
      <w:pPr>
        <w:rPr>
          <w:rFonts w:hint="default" w:ascii="黑体" w:hAnsi="黑体" w:eastAsia="黑体" w:cs="黑体"/>
          <w:szCs w:val="21"/>
          <w:lang w:val="en-US" w:eastAsia="zh-CN"/>
        </w:rPr>
      </w:pPr>
    </w:p>
    <w:p w14:paraId="29E71B05">
      <w:pPr>
        <w:keepNext w:val="0"/>
        <w:keepLines w:val="0"/>
        <w:pageBreakBefore w:val="0"/>
        <w:kinsoku/>
        <w:wordWrap/>
        <w:overflowPunct/>
        <w:topLinePunct w:val="0"/>
        <w:bidi w:val="0"/>
        <w:snapToGrid/>
        <w:spacing w:line="400" w:lineRule="exact"/>
        <w:jc w:val="left"/>
        <w:rPr>
          <w:rFonts w:hint="eastAsia" w:ascii="黑体" w:hAnsi="黑体" w:eastAsia="黑体" w:cs="黑体"/>
          <w:b w:val="0"/>
          <w:bCs w:val="0"/>
          <w:color w:val="000000"/>
          <w:sz w:val="21"/>
          <w:szCs w:val="21"/>
          <w:highlight w:val="none"/>
        </w:rPr>
      </w:pPr>
      <w:bookmarkStart w:id="1" w:name="_Toc29498"/>
      <w:r>
        <w:rPr>
          <w:rFonts w:hint="eastAsia" w:ascii="黑体" w:hAnsi="黑体" w:eastAsia="黑体" w:cs="黑体"/>
          <w:b w:val="0"/>
          <w:bCs w:val="0"/>
          <w:color w:val="000000"/>
          <w:sz w:val="21"/>
          <w:szCs w:val="21"/>
          <w:highlight w:val="none"/>
          <w:lang w:val="en-US" w:eastAsia="zh-CN"/>
        </w:rPr>
        <w:t>1</w:t>
      </w:r>
      <w:r>
        <w:rPr>
          <w:rFonts w:hint="eastAsia" w:ascii="黑体" w:hAnsi="黑体" w:eastAsia="黑体" w:cs="黑体"/>
          <w:b w:val="0"/>
          <w:bCs w:val="0"/>
          <w:color w:val="000000"/>
          <w:sz w:val="21"/>
          <w:szCs w:val="21"/>
          <w:highlight w:val="none"/>
        </w:rPr>
        <w:t>.7 精密度试验</w:t>
      </w:r>
    </w:p>
    <w:p w14:paraId="38E761C9">
      <w:pPr>
        <w:keepNext w:val="0"/>
        <w:keepLines w:val="0"/>
        <w:pageBreakBefore w:val="0"/>
        <w:kinsoku/>
        <w:wordWrap/>
        <w:overflowPunct/>
        <w:topLinePunct w:val="0"/>
        <w:bidi w:val="0"/>
        <w:snapToGrid/>
        <w:spacing w:line="400" w:lineRule="exact"/>
        <w:jc w:val="left"/>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 xml:space="preserve">   </w:t>
      </w:r>
      <w:r>
        <w:rPr>
          <w:rFonts w:hint="eastAsia" w:ascii="宋体" w:hAnsi="宋体" w:eastAsia="宋体" w:cs="宋体"/>
          <w:color w:val="000000"/>
          <w:sz w:val="21"/>
          <w:szCs w:val="21"/>
          <w:highlight w:val="none"/>
        </w:rPr>
        <w:t>按照试验方法对四个</w:t>
      </w:r>
      <w:r>
        <w:rPr>
          <w:rFonts w:hint="eastAsia" w:ascii="宋体" w:hAnsi="宋体" w:eastAsia="宋体" w:cs="宋体"/>
          <w:color w:val="000000"/>
          <w:sz w:val="21"/>
          <w:szCs w:val="21"/>
          <w:highlight w:val="none"/>
          <w:lang w:eastAsia="zh-CN"/>
        </w:rPr>
        <w:t>镉</w:t>
      </w:r>
      <w:r>
        <w:rPr>
          <w:rFonts w:hint="eastAsia" w:ascii="宋体" w:hAnsi="宋体" w:eastAsia="宋体" w:cs="宋体"/>
          <w:color w:val="000000"/>
          <w:sz w:val="21"/>
          <w:szCs w:val="21"/>
          <w:highlight w:val="none"/>
        </w:rPr>
        <w:t>含量不同的样品</w:t>
      </w:r>
      <w:r>
        <w:rPr>
          <w:rFonts w:hint="eastAsia" w:ascii="宋体" w:hAnsi="宋体" w:eastAsia="宋体" w:cs="宋体"/>
          <w:color w:val="000000"/>
          <w:sz w:val="21"/>
          <w:szCs w:val="21"/>
          <w:highlight w:val="none"/>
          <w:lang w:eastAsia="zh-CN"/>
        </w:rPr>
        <w:t>分别独立</w:t>
      </w:r>
      <w:r>
        <w:rPr>
          <w:rFonts w:hint="eastAsia" w:ascii="宋体" w:hAnsi="宋体" w:eastAsia="宋体" w:cs="宋体"/>
          <w:color w:val="000000"/>
          <w:sz w:val="21"/>
          <w:szCs w:val="21"/>
          <w:highlight w:val="none"/>
        </w:rPr>
        <w:t>进行7次测定，计算平均值及相对标准偏差，结果见表1</w:t>
      </w:r>
      <w:r>
        <w:rPr>
          <w:rFonts w:hint="eastAsia" w:ascii="宋体" w:hAnsi="宋体" w:eastAsia="宋体" w:cs="宋体"/>
          <w:color w:val="000000"/>
          <w:sz w:val="21"/>
          <w:szCs w:val="21"/>
          <w:highlight w:val="none"/>
          <w:lang w:val="en-US" w:eastAsia="zh-CN"/>
        </w:rPr>
        <w:t>2</w:t>
      </w:r>
      <w:r>
        <w:rPr>
          <w:rFonts w:hint="eastAsia" w:ascii="宋体" w:hAnsi="宋体" w:eastAsia="宋体" w:cs="宋体"/>
          <w:color w:val="000000"/>
          <w:sz w:val="21"/>
          <w:szCs w:val="21"/>
          <w:highlight w:val="none"/>
        </w:rPr>
        <w:t>。</w:t>
      </w:r>
    </w:p>
    <w:p w14:paraId="2649D414">
      <w:pPr>
        <w:keepNext w:val="0"/>
        <w:keepLines w:val="0"/>
        <w:pageBreakBefore w:val="0"/>
        <w:kinsoku/>
        <w:wordWrap/>
        <w:overflowPunct/>
        <w:topLinePunct w:val="0"/>
        <w:bidi w:val="0"/>
        <w:snapToGrid/>
        <w:spacing w:line="400" w:lineRule="exact"/>
        <w:jc w:val="center"/>
        <w:rPr>
          <w:rFonts w:hint="eastAsia" w:ascii="宋体" w:hAnsi="宋体" w:eastAsia="宋体" w:cs="宋体"/>
          <w:b w:val="0"/>
          <w:bCs w:val="0"/>
          <w:color w:val="000000"/>
          <w:sz w:val="21"/>
          <w:szCs w:val="21"/>
          <w:highlight w:val="none"/>
          <w:lang w:eastAsia="zh-CN"/>
        </w:rPr>
      </w:pPr>
      <w:r>
        <w:rPr>
          <w:rFonts w:hint="eastAsia" w:ascii="黑体" w:hAnsi="黑体" w:eastAsia="黑体" w:cs="黑体"/>
          <w:b w:val="0"/>
          <w:bCs w:val="0"/>
          <w:color w:val="000000"/>
          <w:sz w:val="21"/>
          <w:szCs w:val="21"/>
          <w:highlight w:val="none"/>
        </w:rPr>
        <w:t>表1</w:t>
      </w:r>
      <w:r>
        <w:rPr>
          <w:rFonts w:hint="eastAsia" w:ascii="黑体" w:hAnsi="黑体" w:eastAsia="黑体" w:cs="黑体"/>
          <w:b w:val="0"/>
          <w:bCs w:val="0"/>
          <w:color w:val="000000"/>
          <w:sz w:val="21"/>
          <w:szCs w:val="21"/>
          <w:highlight w:val="none"/>
          <w:lang w:val="en-US" w:eastAsia="zh-CN"/>
        </w:rPr>
        <w:t>2</w:t>
      </w:r>
      <w:r>
        <w:rPr>
          <w:rFonts w:hint="eastAsia" w:ascii="黑体" w:hAnsi="黑体" w:eastAsia="黑体" w:cs="黑体"/>
          <w:b w:val="0"/>
          <w:bCs w:val="0"/>
          <w:color w:val="000000"/>
          <w:sz w:val="21"/>
          <w:szCs w:val="21"/>
          <w:highlight w:val="none"/>
        </w:rPr>
        <w:t xml:space="preserve"> 精密度试验</w:t>
      </w:r>
      <w:r>
        <w:rPr>
          <w:rFonts w:hint="eastAsia" w:ascii="黑体" w:hAnsi="黑体" w:eastAsia="黑体" w:cs="黑体"/>
          <w:szCs w:val="21"/>
          <w:lang w:val="en-US" w:eastAsia="zh-CN"/>
        </w:rPr>
        <w:t>（中铝洛铜）</w:t>
      </w:r>
    </w:p>
    <w:tbl>
      <w:tblPr>
        <w:tblStyle w:val="12"/>
        <w:tblW w:w="888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3844"/>
        <w:gridCol w:w="1437"/>
        <w:gridCol w:w="1251"/>
        <w:gridCol w:w="1116"/>
      </w:tblGrid>
      <w:tr w14:paraId="03070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9" w:type="dxa"/>
            <w:vAlign w:val="center"/>
          </w:tcPr>
          <w:p w14:paraId="07E7C32D">
            <w:pPr>
              <w:keepNext w:val="0"/>
              <w:keepLines w:val="0"/>
              <w:pageBreakBefore w:val="0"/>
              <w:kinsoku/>
              <w:wordWrap/>
              <w:overflowPunct/>
              <w:topLinePunct w:val="0"/>
              <w:bidi w:val="0"/>
              <w:snapToGrid/>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试样编号</w:t>
            </w:r>
          </w:p>
        </w:tc>
        <w:tc>
          <w:tcPr>
            <w:tcW w:w="3844" w:type="dxa"/>
            <w:vAlign w:val="center"/>
          </w:tcPr>
          <w:p w14:paraId="37DA5CAB">
            <w:pPr>
              <w:keepNext w:val="0"/>
              <w:keepLines w:val="0"/>
              <w:pageBreakBefore w:val="0"/>
              <w:kinsoku/>
              <w:wordWrap/>
              <w:overflowPunct/>
              <w:topLinePunct w:val="0"/>
              <w:bidi w:val="0"/>
              <w:snapToGrid/>
              <w:spacing w:line="40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测定结果</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w:t>
            </w:r>
          </w:p>
        </w:tc>
        <w:tc>
          <w:tcPr>
            <w:tcW w:w="1437" w:type="dxa"/>
            <w:vAlign w:val="center"/>
          </w:tcPr>
          <w:p w14:paraId="08BCD727">
            <w:pPr>
              <w:keepNext w:val="0"/>
              <w:keepLines w:val="0"/>
              <w:pageBreakBefore w:val="0"/>
              <w:kinsoku/>
              <w:wordWrap/>
              <w:overflowPunct/>
              <w:topLinePunct w:val="0"/>
              <w:bidi w:val="0"/>
              <w:snapToGrid/>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平均</w:t>
            </w:r>
            <w:r>
              <w:rPr>
                <w:rFonts w:hint="eastAsia" w:ascii="宋体" w:hAnsi="宋体" w:eastAsia="宋体" w:cs="宋体"/>
                <w:color w:val="auto"/>
                <w:sz w:val="21"/>
                <w:szCs w:val="21"/>
                <w:highlight w:val="none"/>
                <w:lang w:eastAsia="zh-CN"/>
              </w:rPr>
              <w:t>值（</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w:t>
            </w:r>
          </w:p>
        </w:tc>
        <w:tc>
          <w:tcPr>
            <w:tcW w:w="1251" w:type="dxa"/>
            <w:vAlign w:val="center"/>
          </w:tcPr>
          <w:p w14:paraId="69D100BD">
            <w:pPr>
              <w:keepNext w:val="0"/>
              <w:keepLines w:val="0"/>
              <w:pageBreakBefore w:val="0"/>
              <w:kinsoku/>
              <w:wordWrap/>
              <w:overflowPunct/>
              <w:topLinePunct w:val="0"/>
              <w:bidi w:val="0"/>
              <w:snapToGrid/>
              <w:spacing w:line="400" w:lineRule="exact"/>
              <w:jc w:val="center"/>
              <w:rPr>
                <w:rFonts w:hint="eastAsia" w:ascii="宋体" w:hAnsi="宋体" w:eastAsia="宋体" w:cs="宋体"/>
                <w:i/>
                <w:iCs/>
                <w:color w:val="auto"/>
                <w:sz w:val="21"/>
                <w:szCs w:val="21"/>
                <w:highlight w:val="none"/>
              </w:rPr>
            </w:pPr>
            <w:r>
              <w:rPr>
                <w:rFonts w:hint="eastAsia" w:ascii="宋体" w:hAnsi="宋体" w:eastAsia="宋体" w:cs="宋体"/>
                <w:i/>
                <w:iCs/>
                <w:color w:val="auto"/>
                <w:sz w:val="21"/>
                <w:szCs w:val="21"/>
                <w:highlight w:val="none"/>
              </w:rPr>
              <w:t>SD</w:t>
            </w:r>
          </w:p>
        </w:tc>
        <w:tc>
          <w:tcPr>
            <w:tcW w:w="1116" w:type="dxa"/>
            <w:vAlign w:val="center"/>
          </w:tcPr>
          <w:p w14:paraId="416C80CD">
            <w:pPr>
              <w:keepNext w:val="0"/>
              <w:keepLines w:val="0"/>
              <w:pageBreakBefore w:val="0"/>
              <w:kinsoku/>
              <w:wordWrap/>
              <w:overflowPunct/>
              <w:topLinePunct w:val="0"/>
              <w:bidi w:val="0"/>
              <w:snapToGrid/>
              <w:spacing w:line="40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i/>
                <w:iCs/>
                <w:color w:val="auto"/>
                <w:sz w:val="21"/>
                <w:szCs w:val="21"/>
                <w:highlight w:val="none"/>
              </w:rPr>
              <w:t>RSD</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w:t>
            </w:r>
          </w:p>
        </w:tc>
      </w:tr>
      <w:tr w14:paraId="1CCB8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9" w:type="dxa"/>
            <w:vAlign w:val="center"/>
          </w:tcPr>
          <w:p w14:paraId="4A054C07">
            <w:pPr>
              <w:keepNext w:val="0"/>
              <w:keepLines w:val="0"/>
              <w:pageBreakBefore w:val="0"/>
              <w:kinsoku/>
              <w:wordWrap/>
              <w:overflowPunct/>
              <w:topLinePunct w:val="0"/>
              <w:bidi w:val="0"/>
              <w:snapToGrid/>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CuCd</w:t>
            </w:r>
            <w:r>
              <w:rPr>
                <w:rFonts w:hint="eastAsia" w:ascii="宋体" w:hAnsi="宋体" w:eastAsia="宋体" w:cs="宋体"/>
                <w:color w:val="auto"/>
                <w:sz w:val="21"/>
                <w:szCs w:val="21"/>
                <w:highlight w:val="none"/>
              </w:rPr>
              <w:t>1</w:t>
            </w:r>
          </w:p>
        </w:tc>
        <w:tc>
          <w:tcPr>
            <w:tcW w:w="3844" w:type="dxa"/>
            <w:vAlign w:val="center"/>
          </w:tcPr>
          <w:p w14:paraId="08077BD5">
            <w:pPr>
              <w:keepNext w:val="0"/>
              <w:keepLines w:val="0"/>
              <w:pageBreakBefore w:val="0"/>
              <w:kinsoku/>
              <w:wordWrap/>
              <w:overflowPunct/>
              <w:topLinePunct w:val="0"/>
              <w:bidi w:val="0"/>
              <w:snapToGrid/>
              <w:spacing w:line="40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0.00168，0.00169，0.00166，0.00168， 0.00167，0.00164，0.00167</w:t>
            </w:r>
          </w:p>
        </w:tc>
        <w:tc>
          <w:tcPr>
            <w:tcW w:w="1437" w:type="dxa"/>
            <w:vAlign w:val="center"/>
          </w:tcPr>
          <w:p w14:paraId="36D52235">
            <w:pPr>
              <w:keepNext w:val="0"/>
              <w:keepLines w:val="0"/>
              <w:pageBreakBefore w:val="0"/>
              <w:kinsoku/>
              <w:wordWrap/>
              <w:overflowPunct/>
              <w:topLinePunct w:val="0"/>
              <w:bidi w:val="0"/>
              <w:snapToGrid/>
              <w:spacing w:line="40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0.0</w:t>
            </w:r>
            <w:r>
              <w:rPr>
                <w:rFonts w:hint="eastAsia" w:ascii="宋体" w:hAnsi="宋体" w:eastAsia="宋体" w:cs="宋体"/>
                <w:color w:val="auto"/>
                <w:sz w:val="21"/>
                <w:szCs w:val="21"/>
                <w:highlight w:val="none"/>
                <w:lang w:val="en-US" w:eastAsia="zh-CN"/>
              </w:rPr>
              <w:t>0167</w:t>
            </w:r>
          </w:p>
        </w:tc>
        <w:tc>
          <w:tcPr>
            <w:tcW w:w="1251" w:type="dxa"/>
            <w:vAlign w:val="center"/>
          </w:tcPr>
          <w:p w14:paraId="49F91D97">
            <w:pPr>
              <w:keepNext w:val="0"/>
              <w:keepLines w:val="0"/>
              <w:pageBreakBefore w:val="0"/>
              <w:kinsoku/>
              <w:wordWrap/>
              <w:overflowPunct/>
              <w:topLinePunct w:val="0"/>
              <w:bidi w:val="0"/>
              <w:snapToGrid/>
              <w:spacing w:line="40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0.000</w:t>
            </w:r>
            <w:r>
              <w:rPr>
                <w:rFonts w:hint="eastAsia" w:ascii="宋体" w:hAnsi="宋体" w:eastAsia="宋体" w:cs="宋体"/>
                <w:color w:val="auto"/>
                <w:sz w:val="21"/>
                <w:szCs w:val="21"/>
                <w:highlight w:val="none"/>
                <w:lang w:val="en-US" w:eastAsia="zh-CN"/>
              </w:rPr>
              <w:t>016</w:t>
            </w:r>
          </w:p>
        </w:tc>
        <w:tc>
          <w:tcPr>
            <w:tcW w:w="1116" w:type="dxa"/>
            <w:vAlign w:val="center"/>
          </w:tcPr>
          <w:p w14:paraId="4B232F6C">
            <w:pPr>
              <w:keepNext w:val="0"/>
              <w:keepLines w:val="0"/>
              <w:pageBreakBefore w:val="0"/>
              <w:kinsoku/>
              <w:wordWrap/>
              <w:overflowPunct/>
              <w:topLinePunct w:val="0"/>
              <w:bidi w:val="0"/>
              <w:snapToGrid/>
              <w:spacing w:line="40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0.97</w:t>
            </w:r>
          </w:p>
        </w:tc>
      </w:tr>
      <w:tr w14:paraId="04A7C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9" w:type="dxa"/>
            <w:vAlign w:val="center"/>
          </w:tcPr>
          <w:p w14:paraId="193AB896">
            <w:pPr>
              <w:keepNext w:val="0"/>
              <w:keepLines w:val="0"/>
              <w:pageBreakBefore w:val="0"/>
              <w:kinsoku/>
              <w:wordWrap/>
              <w:overflowPunct/>
              <w:topLinePunct w:val="0"/>
              <w:bidi w:val="0"/>
              <w:snapToGrid/>
              <w:spacing w:line="40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CuCd2</w:t>
            </w:r>
          </w:p>
        </w:tc>
        <w:tc>
          <w:tcPr>
            <w:tcW w:w="3844" w:type="dxa"/>
            <w:vAlign w:val="center"/>
          </w:tcPr>
          <w:p w14:paraId="4619B8D5">
            <w:pPr>
              <w:keepNext w:val="0"/>
              <w:keepLines w:val="0"/>
              <w:pageBreakBefore w:val="0"/>
              <w:kinsoku/>
              <w:wordWrap/>
              <w:overflowPunct/>
              <w:topLinePunct w:val="0"/>
              <w:bidi w:val="0"/>
              <w:snapToGrid/>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0.0172，0.0173，0.0169，0.0173，0.0170，0.0177，0.0168  </w:t>
            </w:r>
          </w:p>
        </w:tc>
        <w:tc>
          <w:tcPr>
            <w:tcW w:w="1437" w:type="dxa"/>
            <w:vAlign w:val="center"/>
          </w:tcPr>
          <w:p w14:paraId="477287B8">
            <w:pPr>
              <w:keepNext w:val="0"/>
              <w:keepLines w:val="0"/>
              <w:pageBreakBefore w:val="0"/>
              <w:kinsoku/>
              <w:wordWrap/>
              <w:overflowPunct/>
              <w:topLinePunct w:val="0"/>
              <w:bidi w:val="0"/>
              <w:snapToGrid/>
              <w:spacing w:line="40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0.</w:t>
            </w:r>
            <w:r>
              <w:rPr>
                <w:rFonts w:hint="eastAsia" w:ascii="宋体" w:hAnsi="宋体" w:eastAsia="宋体" w:cs="宋体"/>
                <w:color w:val="auto"/>
                <w:sz w:val="21"/>
                <w:szCs w:val="21"/>
                <w:highlight w:val="none"/>
                <w:lang w:val="en-US" w:eastAsia="zh-CN"/>
              </w:rPr>
              <w:t>0172</w:t>
            </w:r>
          </w:p>
        </w:tc>
        <w:tc>
          <w:tcPr>
            <w:tcW w:w="1251" w:type="dxa"/>
            <w:vAlign w:val="center"/>
          </w:tcPr>
          <w:p w14:paraId="14E4CBD2">
            <w:pPr>
              <w:keepNext w:val="0"/>
              <w:keepLines w:val="0"/>
              <w:pageBreakBefore w:val="0"/>
              <w:kinsoku/>
              <w:wordWrap/>
              <w:overflowPunct/>
              <w:topLinePunct w:val="0"/>
              <w:bidi w:val="0"/>
              <w:snapToGrid/>
              <w:spacing w:line="40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0.00028</w:t>
            </w:r>
          </w:p>
        </w:tc>
        <w:tc>
          <w:tcPr>
            <w:tcW w:w="1116" w:type="dxa"/>
            <w:vAlign w:val="center"/>
          </w:tcPr>
          <w:p w14:paraId="1DEAB685">
            <w:pPr>
              <w:keepNext w:val="0"/>
              <w:keepLines w:val="0"/>
              <w:pageBreakBefore w:val="0"/>
              <w:kinsoku/>
              <w:wordWrap/>
              <w:overflowPunct/>
              <w:topLinePunct w:val="0"/>
              <w:bidi w:val="0"/>
              <w:snapToGrid/>
              <w:spacing w:line="40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61</w:t>
            </w:r>
          </w:p>
        </w:tc>
      </w:tr>
      <w:tr w14:paraId="41931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9" w:type="dxa"/>
            <w:vAlign w:val="center"/>
          </w:tcPr>
          <w:p w14:paraId="2098F72F">
            <w:pPr>
              <w:keepNext w:val="0"/>
              <w:keepLines w:val="0"/>
              <w:pageBreakBefore w:val="0"/>
              <w:kinsoku/>
              <w:wordWrap/>
              <w:overflowPunct/>
              <w:topLinePunct w:val="0"/>
              <w:bidi w:val="0"/>
              <w:snapToGrid/>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CuCd</w:t>
            </w:r>
            <w:r>
              <w:rPr>
                <w:rFonts w:hint="eastAsia" w:ascii="宋体" w:hAnsi="宋体" w:eastAsia="宋体" w:cs="宋体"/>
                <w:color w:val="auto"/>
                <w:sz w:val="21"/>
                <w:szCs w:val="21"/>
                <w:highlight w:val="none"/>
              </w:rPr>
              <w:t>3</w:t>
            </w:r>
          </w:p>
        </w:tc>
        <w:tc>
          <w:tcPr>
            <w:tcW w:w="3844" w:type="dxa"/>
            <w:vAlign w:val="center"/>
          </w:tcPr>
          <w:p w14:paraId="1B4E1DBF">
            <w:pPr>
              <w:keepNext w:val="0"/>
              <w:keepLines w:val="0"/>
              <w:pageBreakBefore w:val="0"/>
              <w:kinsoku/>
              <w:wordWrap/>
              <w:overflowPunct/>
              <w:topLinePunct w:val="0"/>
              <w:bidi w:val="0"/>
              <w:snapToGrid/>
              <w:spacing w:line="40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0.150，0.151，0.150，0.152，0.148，  0.149  0.150  </w:t>
            </w:r>
          </w:p>
        </w:tc>
        <w:tc>
          <w:tcPr>
            <w:tcW w:w="1437" w:type="dxa"/>
            <w:vAlign w:val="center"/>
          </w:tcPr>
          <w:p w14:paraId="47A9A035">
            <w:pPr>
              <w:keepNext w:val="0"/>
              <w:keepLines w:val="0"/>
              <w:pageBreakBefore w:val="0"/>
              <w:kinsoku/>
              <w:wordWrap/>
              <w:overflowPunct/>
              <w:topLinePunct w:val="0"/>
              <w:bidi w:val="0"/>
              <w:snapToGrid/>
              <w:spacing w:line="40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0.150</w:t>
            </w:r>
          </w:p>
        </w:tc>
        <w:tc>
          <w:tcPr>
            <w:tcW w:w="1251" w:type="dxa"/>
            <w:vAlign w:val="center"/>
          </w:tcPr>
          <w:p w14:paraId="271FE0D5">
            <w:pPr>
              <w:keepNext w:val="0"/>
              <w:keepLines w:val="0"/>
              <w:pageBreakBefore w:val="0"/>
              <w:kinsoku/>
              <w:wordWrap/>
              <w:overflowPunct/>
              <w:topLinePunct w:val="0"/>
              <w:bidi w:val="0"/>
              <w:snapToGrid/>
              <w:spacing w:line="40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0.0012</w:t>
            </w:r>
          </w:p>
        </w:tc>
        <w:tc>
          <w:tcPr>
            <w:tcW w:w="1116" w:type="dxa"/>
            <w:vAlign w:val="center"/>
          </w:tcPr>
          <w:p w14:paraId="289B3F4D">
            <w:pPr>
              <w:keepNext w:val="0"/>
              <w:keepLines w:val="0"/>
              <w:pageBreakBefore w:val="0"/>
              <w:kinsoku/>
              <w:wordWrap/>
              <w:overflowPunct/>
              <w:topLinePunct w:val="0"/>
              <w:bidi w:val="0"/>
              <w:snapToGrid/>
              <w:spacing w:line="40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0.80</w:t>
            </w:r>
          </w:p>
        </w:tc>
      </w:tr>
      <w:tr w14:paraId="62742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9" w:type="dxa"/>
            <w:vAlign w:val="center"/>
          </w:tcPr>
          <w:p w14:paraId="2F50EEAB">
            <w:pPr>
              <w:keepNext w:val="0"/>
              <w:keepLines w:val="0"/>
              <w:pageBreakBefore w:val="0"/>
              <w:kinsoku/>
              <w:wordWrap/>
              <w:overflowPunct/>
              <w:topLinePunct w:val="0"/>
              <w:bidi w:val="0"/>
              <w:snapToGrid/>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CuCd</w:t>
            </w:r>
            <w:r>
              <w:rPr>
                <w:rFonts w:hint="eastAsia" w:ascii="宋体" w:hAnsi="宋体" w:eastAsia="宋体" w:cs="宋体"/>
                <w:color w:val="auto"/>
                <w:sz w:val="21"/>
                <w:szCs w:val="21"/>
                <w:highlight w:val="none"/>
              </w:rPr>
              <w:t>4</w:t>
            </w:r>
          </w:p>
        </w:tc>
        <w:tc>
          <w:tcPr>
            <w:tcW w:w="3844" w:type="dxa"/>
            <w:vAlign w:val="center"/>
          </w:tcPr>
          <w:p w14:paraId="1CBBE90D">
            <w:pPr>
              <w:keepNext w:val="0"/>
              <w:keepLines w:val="0"/>
              <w:pageBreakBefore w:val="0"/>
              <w:kinsoku/>
              <w:wordWrap/>
              <w:overflowPunct/>
              <w:topLinePunct w:val="0"/>
              <w:bidi w:val="0"/>
              <w:snapToGrid/>
              <w:spacing w:line="40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1.739，1.720，1.721，1.726，1.705，</w:t>
            </w:r>
          </w:p>
          <w:p w14:paraId="4C9F4E4E">
            <w:pPr>
              <w:keepNext w:val="0"/>
              <w:keepLines w:val="0"/>
              <w:pageBreakBefore w:val="0"/>
              <w:kinsoku/>
              <w:wordWrap/>
              <w:overflowPunct/>
              <w:topLinePunct w:val="0"/>
              <w:bidi w:val="0"/>
              <w:snapToGrid/>
              <w:spacing w:line="40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1.690，1.699  </w:t>
            </w:r>
          </w:p>
        </w:tc>
        <w:tc>
          <w:tcPr>
            <w:tcW w:w="1437" w:type="dxa"/>
            <w:vAlign w:val="center"/>
          </w:tcPr>
          <w:p w14:paraId="65187E0D">
            <w:pPr>
              <w:keepNext w:val="0"/>
              <w:keepLines w:val="0"/>
              <w:pageBreakBefore w:val="0"/>
              <w:kinsoku/>
              <w:wordWrap/>
              <w:overflowPunct/>
              <w:topLinePunct w:val="0"/>
              <w:bidi w:val="0"/>
              <w:snapToGrid/>
              <w:spacing w:line="40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1.714</w:t>
            </w:r>
          </w:p>
        </w:tc>
        <w:tc>
          <w:tcPr>
            <w:tcW w:w="1251" w:type="dxa"/>
            <w:vAlign w:val="center"/>
          </w:tcPr>
          <w:p w14:paraId="111D3B68">
            <w:pPr>
              <w:keepNext w:val="0"/>
              <w:keepLines w:val="0"/>
              <w:pageBreakBefore w:val="0"/>
              <w:kinsoku/>
              <w:wordWrap/>
              <w:overflowPunct/>
              <w:topLinePunct w:val="0"/>
              <w:bidi w:val="0"/>
              <w:snapToGrid/>
              <w:spacing w:line="40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0.017</w:t>
            </w:r>
          </w:p>
        </w:tc>
        <w:tc>
          <w:tcPr>
            <w:tcW w:w="1116" w:type="dxa"/>
            <w:vAlign w:val="center"/>
          </w:tcPr>
          <w:p w14:paraId="1DDF9A66">
            <w:pPr>
              <w:keepNext w:val="0"/>
              <w:keepLines w:val="0"/>
              <w:pageBreakBefore w:val="0"/>
              <w:kinsoku/>
              <w:wordWrap/>
              <w:overflowPunct/>
              <w:topLinePunct w:val="0"/>
              <w:bidi w:val="0"/>
              <w:snapToGrid/>
              <w:spacing w:line="40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0.99</w:t>
            </w:r>
          </w:p>
        </w:tc>
      </w:tr>
    </w:tbl>
    <w:p w14:paraId="6660C389">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表</w:t>
      </w:r>
      <w:r>
        <w:rPr>
          <w:rFonts w:hint="eastAsia" w:ascii="宋体" w:hAnsi="宋体" w:eastAsia="宋体" w:cs="宋体"/>
          <w:color w:val="000000"/>
          <w:sz w:val="21"/>
          <w:szCs w:val="21"/>
          <w:highlight w:val="none"/>
          <w:lang w:val="en-US" w:eastAsia="zh-CN"/>
        </w:rPr>
        <w:t>12-1</w:t>
      </w:r>
      <w:r>
        <w:rPr>
          <w:rFonts w:hint="eastAsia" w:ascii="宋体" w:hAnsi="宋体" w:eastAsia="宋体" w:cs="宋体"/>
          <w:color w:val="000000"/>
          <w:sz w:val="21"/>
          <w:szCs w:val="21"/>
          <w:highlight w:val="none"/>
        </w:rPr>
        <w:t>结果表明，用本方法对</w:t>
      </w:r>
      <w:r>
        <w:rPr>
          <w:rFonts w:hint="eastAsia" w:ascii="宋体" w:hAnsi="宋体" w:eastAsia="宋体" w:cs="宋体"/>
          <w:color w:val="000000"/>
          <w:sz w:val="21"/>
          <w:szCs w:val="21"/>
          <w:highlight w:val="none"/>
          <w:lang w:val="en-US" w:eastAsia="zh-CN"/>
        </w:rPr>
        <w:t>4</w:t>
      </w:r>
      <w:r>
        <w:rPr>
          <w:rFonts w:hint="eastAsia" w:ascii="宋体" w:hAnsi="宋体" w:eastAsia="宋体" w:cs="宋体"/>
          <w:color w:val="000000"/>
          <w:sz w:val="21"/>
          <w:szCs w:val="21"/>
          <w:highlight w:val="none"/>
        </w:rPr>
        <w:t>个不同</w:t>
      </w:r>
      <w:r>
        <w:rPr>
          <w:rFonts w:hint="eastAsia" w:ascii="宋体" w:hAnsi="宋体" w:eastAsia="宋体" w:cs="宋体"/>
          <w:color w:val="000000"/>
          <w:sz w:val="21"/>
          <w:szCs w:val="21"/>
          <w:highlight w:val="none"/>
          <w:lang w:eastAsia="zh-CN"/>
        </w:rPr>
        <w:t>镉</w:t>
      </w:r>
      <w:r>
        <w:rPr>
          <w:rFonts w:hint="eastAsia" w:ascii="宋体" w:hAnsi="宋体" w:eastAsia="宋体" w:cs="宋体"/>
          <w:color w:val="000000"/>
          <w:sz w:val="21"/>
          <w:szCs w:val="21"/>
          <w:highlight w:val="none"/>
        </w:rPr>
        <w:t>含量</w:t>
      </w:r>
      <w:r>
        <w:rPr>
          <w:rFonts w:hint="eastAsia" w:ascii="宋体" w:hAnsi="宋体" w:eastAsia="宋体" w:cs="宋体"/>
          <w:color w:val="000000"/>
          <w:sz w:val="21"/>
          <w:szCs w:val="21"/>
          <w:highlight w:val="none"/>
          <w:lang w:eastAsia="zh-CN"/>
        </w:rPr>
        <w:t>的</w:t>
      </w:r>
      <w:r>
        <w:rPr>
          <w:rFonts w:hint="eastAsia" w:ascii="宋体" w:hAnsi="宋体" w:eastAsia="宋体" w:cs="宋体"/>
          <w:color w:val="000000"/>
          <w:sz w:val="21"/>
          <w:szCs w:val="21"/>
          <w:highlight w:val="none"/>
        </w:rPr>
        <w:t>铜合金试样进行精密度试验，相对标准偏差在0.</w:t>
      </w:r>
      <w:r>
        <w:rPr>
          <w:rFonts w:hint="eastAsia" w:ascii="宋体" w:hAnsi="宋体" w:eastAsia="宋体" w:cs="宋体"/>
          <w:color w:val="000000"/>
          <w:sz w:val="21"/>
          <w:szCs w:val="21"/>
          <w:highlight w:val="none"/>
          <w:lang w:val="en-US" w:eastAsia="zh-CN"/>
        </w:rPr>
        <w:t>80</w:t>
      </w:r>
      <w:r>
        <w:rPr>
          <w:rFonts w:hint="eastAsia" w:ascii="宋体" w:hAnsi="宋体" w:eastAsia="宋体" w:cs="宋体"/>
          <w:color w:val="000000"/>
          <w:sz w:val="21"/>
          <w:szCs w:val="21"/>
          <w:highlight w:val="none"/>
        </w:rPr>
        <w:t>%～</w:t>
      </w:r>
      <w:r>
        <w:rPr>
          <w:rFonts w:hint="eastAsia" w:ascii="宋体" w:hAnsi="宋体" w:eastAsia="宋体" w:cs="宋体"/>
          <w:color w:val="000000"/>
          <w:sz w:val="21"/>
          <w:szCs w:val="21"/>
          <w:highlight w:val="none"/>
          <w:lang w:val="en-US" w:eastAsia="zh-CN"/>
        </w:rPr>
        <w:t>1.61</w:t>
      </w:r>
      <w:r>
        <w:rPr>
          <w:rFonts w:hint="eastAsia" w:ascii="宋体" w:hAnsi="宋体" w:eastAsia="宋体" w:cs="宋体"/>
          <w:color w:val="000000"/>
          <w:sz w:val="21"/>
          <w:szCs w:val="21"/>
          <w:highlight w:val="none"/>
        </w:rPr>
        <w:t>%之间，</w:t>
      </w:r>
      <w:r>
        <w:rPr>
          <w:rFonts w:hint="eastAsia" w:ascii="宋体" w:hAnsi="宋体" w:eastAsia="宋体" w:cs="宋体"/>
          <w:color w:val="000000"/>
          <w:sz w:val="21"/>
          <w:szCs w:val="21"/>
          <w:highlight w:val="none"/>
          <w:lang w:eastAsia="zh-CN"/>
        </w:rPr>
        <w:t>本</w:t>
      </w:r>
      <w:r>
        <w:rPr>
          <w:rFonts w:hint="eastAsia" w:ascii="宋体" w:hAnsi="宋体" w:eastAsia="宋体" w:cs="宋体"/>
          <w:color w:val="000000"/>
          <w:sz w:val="21"/>
          <w:szCs w:val="21"/>
          <w:highlight w:val="none"/>
        </w:rPr>
        <w:t>方法精密度能满足检测需求。</w:t>
      </w:r>
    </w:p>
    <w:p w14:paraId="4E756170">
      <w:pPr>
        <w:keepNext w:val="0"/>
        <w:keepLines w:val="0"/>
        <w:pageBreakBefore w:val="0"/>
        <w:widowControl w:val="0"/>
        <w:kinsoku/>
        <w:wordWrap/>
        <w:overflowPunct/>
        <w:topLinePunct w:val="0"/>
        <w:autoSpaceDE/>
        <w:autoSpaceDN/>
        <w:bidi w:val="0"/>
        <w:adjustRightInd/>
        <w:snapToGrid/>
        <w:spacing w:before="157" w:beforeLines="50" w:after="157" w:afterLines="50" w:line="400" w:lineRule="exact"/>
        <w:jc w:val="left"/>
        <w:textAlignment w:val="auto"/>
        <w:rPr>
          <w:rFonts w:hint="eastAsia" w:ascii="黑体" w:hAnsi="黑体" w:eastAsia="黑体" w:cs="黑体"/>
          <w:b w:val="0"/>
          <w:bCs w:val="0"/>
          <w:color w:val="000000"/>
          <w:sz w:val="21"/>
          <w:szCs w:val="21"/>
          <w:highlight w:val="none"/>
        </w:rPr>
      </w:pPr>
      <w:r>
        <w:rPr>
          <w:rFonts w:hint="eastAsia" w:ascii="黑体" w:hAnsi="黑体" w:eastAsia="黑体" w:cs="黑体"/>
          <w:b w:val="0"/>
          <w:bCs w:val="0"/>
          <w:color w:val="000000"/>
          <w:sz w:val="21"/>
          <w:szCs w:val="21"/>
          <w:highlight w:val="none"/>
          <w:lang w:val="en-US" w:eastAsia="zh-CN"/>
        </w:rPr>
        <w:t>1</w:t>
      </w:r>
      <w:r>
        <w:rPr>
          <w:rFonts w:hint="eastAsia" w:ascii="黑体" w:hAnsi="黑体" w:eastAsia="黑体" w:cs="黑体"/>
          <w:b w:val="0"/>
          <w:bCs w:val="0"/>
          <w:color w:val="000000"/>
          <w:sz w:val="21"/>
          <w:szCs w:val="21"/>
          <w:highlight w:val="none"/>
        </w:rPr>
        <w:t>.8方法准确性试验</w:t>
      </w:r>
    </w:p>
    <w:p w14:paraId="45F6586E">
      <w:pPr>
        <w:keepNext w:val="0"/>
        <w:keepLines w:val="0"/>
        <w:pageBreakBefore w:val="0"/>
        <w:kinsoku/>
        <w:wordWrap/>
        <w:overflowPunct/>
        <w:topLinePunct w:val="0"/>
        <w:bidi w:val="0"/>
        <w:snapToGrid/>
        <w:spacing w:line="400" w:lineRule="exact"/>
        <w:jc w:val="left"/>
        <w:rPr>
          <w:rFonts w:hint="eastAsia" w:ascii="黑体" w:hAnsi="黑体" w:eastAsia="黑体" w:cs="黑体"/>
          <w:b w:val="0"/>
          <w:bCs w:val="0"/>
          <w:color w:val="000000"/>
          <w:sz w:val="21"/>
          <w:szCs w:val="21"/>
          <w:highlight w:val="none"/>
        </w:rPr>
      </w:pPr>
      <w:r>
        <w:rPr>
          <w:rFonts w:hint="eastAsia" w:ascii="黑体" w:hAnsi="黑体" w:eastAsia="黑体" w:cs="黑体"/>
          <w:b w:val="0"/>
          <w:bCs w:val="0"/>
          <w:color w:val="000000"/>
          <w:sz w:val="21"/>
          <w:szCs w:val="21"/>
          <w:highlight w:val="none"/>
          <w:lang w:val="en-US" w:eastAsia="zh-CN"/>
        </w:rPr>
        <w:t>1</w:t>
      </w:r>
      <w:r>
        <w:rPr>
          <w:rFonts w:hint="eastAsia" w:ascii="黑体" w:hAnsi="黑体" w:eastAsia="黑体" w:cs="黑体"/>
          <w:b w:val="0"/>
          <w:bCs w:val="0"/>
          <w:color w:val="000000"/>
          <w:sz w:val="21"/>
          <w:szCs w:val="21"/>
          <w:highlight w:val="none"/>
        </w:rPr>
        <w:t>.8.1标</w:t>
      </w:r>
      <w:r>
        <w:rPr>
          <w:rFonts w:hint="eastAsia" w:ascii="黑体" w:hAnsi="黑体" w:eastAsia="黑体" w:cs="黑体"/>
          <w:b w:val="0"/>
          <w:bCs w:val="0"/>
          <w:color w:val="000000"/>
          <w:sz w:val="21"/>
          <w:szCs w:val="21"/>
          <w:highlight w:val="none"/>
          <w:lang w:eastAsia="zh-CN"/>
        </w:rPr>
        <w:t>准样品</w:t>
      </w:r>
      <w:r>
        <w:rPr>
          <w:rFonts w:hint="eastAsia" w:ascii="黑体" w:hAnsi="黑体" w:eastAsia="黑体" w:cs="黑体"/>
          <w:b w:val="0"/>
          <w:bCs w:val="0"/>
          <w:color w:val="000000"/>
          <w:sz w:val="21"/>
          <w:szCs w:val="21"/>
          <w:highlight w:val="none"/>
        </w:rPr>
        <w:t>验证</w:t>
      </w:r>
    </w:p>
    <w:p w14:paraId="1B9F5888">
      <w:pPr>
        <w:keepNext w:val="0"/>
        <w:keepLines w:val="0"/>
        <w:pageBreakBefore w:val="0"/>
        <w:kinsoku/>
        <w:wordWrap/>
        <w:overflowPunct/>
        <w:topLinePunct w:val="0"/>
        <w:bidi w:val="0"/>
        <w:snapToGrid/>
        <w:spacing w:line="400" w:lineRule="exact"/>
        <w:ind w:firstLine="420" w:firstLineChars="200"/>
        <w:jc w:val="left"/>
        <w:rPr>
          <w:rFonts w:hint="eastAsia" w:ascii="宋体" w:hAnsi="宋体" w:eastAsia="宋体" w:cs="宋体"/>
          <w:b w:val="0"/>
          <w:bCs w:val="0"/>
          <w:color w:val="000000"/>
          <w:sz w:val="21"/>
          <w:szCs w:val="21"/>
          <w:highlight w:val="none"/>
        </w:rPr>
      </w:pPr>
      <w:r>
        <w:rPr>
          <w:rFonts w:hint="eastAsia" w:ascii="宋体" w:hAnsi="宋体" w:eastAsia="宋体" w:cs="宋体"/>
          <w:color w:val="000000"/>
          <w:sz w:val="21"/>
          <w:szCs w:val="21"/>
          <w:highlight w:val="none"/>
        </w:rPr>
        <w:t>选用的</w:t>
      </w:r>
      <w:r>
        <w:rPr>
          <w:rFonts w:hint="eastAsia" w:ascii="宋体" w:hAnsi="宋体" w:eastAsia="宋体" w:cs="宋体"/>
          <w:color w:val="auto"/>
          <w:sz w:val="21"/>
          <w:szCs w:val="21"/>
          <w:highlight w:val="none"/>
          <w:lang w:val="en-US" w:eastAsia="zh-CN"/>
        </w:rPr>
        <w:t>CuCd</w:t>
      </w:r>
      <w:r>
        <w:rPr>
          <w:rFonts w:hint="eastAsia" w:ascii="宋体" w:hAnsi="宋体" w:eastAsia="宋体" w:cs="宋体"/>
          <w:color w:val="auto"/>
          <w:sz w:val="21"/>
          <w:szCs w:val="21"/>
          <w:highlight w:val="none"/>
        </w:rPr>
        <w:t>1</w:t>
      </w:r>
      <w:r>
        <w:rPr>
          <w:rFonts w:hint="eastAsia" w:ascii="宋体" w:hAnsi="宋体" w:eastAsia="宋体" w:cs="宋体"/>
          <w:color w:val="000000"/>
          <w:sz w:val="21"/>
          <w:szCs w:val="21"/>
          <w:highlight w:val="none"/>
        </w:rPr>
        <w:t>水平样为标准样品，编号为GSB 04-3766-2020</w:t>
      </w:r>
      <w:r>
        <w:rPr>
          <w:rFonts w:hint="eastAsia" w:ascii="宋体" w:hAnsi="宋体" w:eastAsia="宋体" w:cs="宋体"/>
          <w:color w:val="000000"/>
          <w:sz w:val="21"/>
          <w:szCs w:val="21"/>
          <w:highlight w:val="none"/>
          <w:lang w:val="en-US" w:eastAsia="zh-CN"/>
        </w:rPr>
        <w:t xml:space="preserve"> TP2</w:t>
      </w:r>
      <w:r>
        <w:rPr>
          <w:rFonts w:hint="eastAsia" w:ascii="宋体" w:hAnsi="宋体" w:eastAsia="宋体" w:cs="宋体"/>
          <w:color w:val="000000"/>
          <w:sz w:val="21"/>
          <w:szCs w:val="21"/>
          <w:highlight w:val="none"/>
        </w:rPr>
        <w:t>，测定及对照结果见表1</w:t>
      </w:r>
      <w:r>
        <w:rPr>
          <w:rFonts w:hint="eastAsia" w:ascii="宋体" w:hAnsi="宋体" w:eastAsia="宋体" w:cs="宋体"/>
          <w:color w:val="000000"/>
          <w:sz w:val="21"/>
          <w:szCs w:val="21"/>
          <w:highlight w:val="none"/>
          <w:lang w:val="en-US" w:eastAsia="zh-CN"/>
        </w:rPr>
        <w:t>3</w:t>
      </w:r>
      <w:r>
        <w:rPr>
          <w:rFonts w:hint="eastAsia" w:ascii="宋体" w:hAnsi="宋体" w:eastAsia="宋体" w:cs="宋体"/>
          <w:color w:val="000000"/>
          <w:sz w:val="21"/>
          <w:szCs w:val="21"/>
          <w:highlight w:val="none"/>
        </w:rPr>
        <w:t>。</w:t>
      </w:r>
    </w:p>
    <w:p w14:paraId="2D2502E9">
      <w:pPr>
        <w:keepNext w:val="0"/>
        <w:keepLines w:val="0"/>
        <w:pageBreakBefore w:val="0"/>
        <w:kinsoku/>
        <w:wordWrap/>
        <w:overflowPunct/>
        <w:topLinePunct w:val="0"/>
        <w:bidi w:val="0"/>
        <w:snapToGrid/>
        <w:spacing w:line="400" w:lineRule="exact"/>
        <w:ind w:firstLine="420" w:firstLineChars="200"/>
        <w:jc w:val="center"/>
        <w:rPr>
          <w:rFonts w:hint="eastAsia" w:ascii="宋体" w:hAnsi="宋体" w:eastAsia="宋体" w:cs="宋体"/>
          <w:b w:val="0"/>
          <w:bCs w:val="0"/>
          <w:color w:val="000000"/>
          <w:sz w:val="21"/>
          <w:szCs w:val="21"/>
          <w:highlight w:val="none"/>
        </w:rPr>
      </w:pPr>
      <w:r>
        <w:rPr>
          <w:rFonts w:hint="eastAsia" w:ascii="宋体" w:hAnsi="宋体" w:eastAsia="宋体" w:cs="宋体"/>
          <w:b w:val="0"/>
          <w:bCs w:val="0"/>
          <w:color w:val="000000"/>
          <w:sz w:val="21"/>
          <w:szCs w:val="21"/>
          <w:highlight w:val="none"/>
        </w:rPr>
        <w:t>表1</w:t>
      </w:r>
      <w:r>
        <w:rPr>
          <w:rFonts w:hint="eastAsia" w:ascii="宋体" w:hAnsi="宋体" w:eastAsia="宋体" w:cs="宋体"/>
          <w:b w:val="0"/>
          <w:bCs w:val="0"/>
          <w:color w:val="000000"/>
          <w:sz w:val="21"/>
          <w:szCs w:val="21"/>
          <w:highlight w:val="none"/>
          <w:lang w:val="en-US" w:eastAsia="zh-CN"/>
        </w:rPr>
        <w:t>3</w:t>
      </w:r>
      <w:r>
        <w:rPr>
          <w:rFonts w:hint="eastAsia" w:ascii="宋体" w:hAnsi="宋体" w:eastAsia="宋体" w:cs="宋体"/>
          <w:b w:val="0"/>
          <w:bCs w:val="0"/>
          <w:color w:val="000000"/>
          <w:sz w:val="21"/>
          <w:szCs w:val="21"/>
          <w:highlight w:val="none"/>
        </w:rPr>
        <w:t xml:space="preserve"> 准确性试验</w:t>
      </w:r>
    </w:p>
    <w:tbl>
      <w:tblPr>
        <w:tblStyle w:val="12"/>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53"/>
        <w:gridCol w:w="2853"/>
        <w:gridCol w:w="2853"/>
      </w:tblGrid>
      <w:tr w14:paraId="13207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6" w:type="dxa"/>
            <w:vAlign w:val="center"/>
          </w:tcPr>
          <w:p w14:paraId="160CCA93">
            <w:pPr>
              <w:keepNext w:val="0"/>
              <w:keepLines w:val="0"/>
              <w:pageBreakBefore w:val="0"/>
              <w:kinsoku/>
              <w:wordWrap/>
              <w:overflowPunct/>
              <w:topLinePunct w:val="0"/>
              <w:bidi w:val="0"/>
              <w:snapToGrid/>
              <w:spacing w:line="400" w:lineRule="exact"/>
              <w:jc w:val="center"/>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lang w:eastAsia="zh-CN"/>
              </w:rPr>
              <w:t>标准样品</w:t>
            </w:r>
            <w:r>
              <w:rPr>
                <w:rFonts w:hint="eastAsia" w:ascii="宋体" w:hAnsi="宋体" w:eastAsia="宋体" w:cs="宋体"/>
                <w:color w:val="000000"/>
                <w:sz w:val="21"/>
                <w:szCs w:val="21"/>
                <w:highlight w:val="none"/>
              </w:rPr>
              <w:t>编号</w:t>
            </w:r>
          </w:p>
        </w:tc>
        <w:tc>
          <w:tcPr>
            <w:tcW w:w="1666" w:type="dxa"/>
            <w:vAlign w:val="center"/>
          </w:tcPr>
          <w:p w14:paraId="4100DF7E">
            <w:pPr>
              <w:keepNext w:val="0"/>
              <w:keepLines w:val="0"/>
              <w:pageBreakBefore w:val="0"/>
              <w:kinsoku/>
              <w:wordWrap/>
              <w:overflowPunct/>
              <w:topLinePunct w:val="0"/>
              <w:bidi w:val="0"/>
              <w:snapToGrid/>
              <w:spacing w:line="400" w:lineRule="exact"/>
              <w:jc w:val="center"/>
              <w:rPr>
                <w:rFonts w:hint="eastAsia" w:ascii="宋体" w:hAnsi="宋体" w:eastAsia="宋体" w:cs="宋体"/>
                <w:color w:val="000000"/>
                <w:sz w:val="21"/>
                <w:szCs w:val="21"/>
                <w:highlight w:val="none"/>
                <w:lang w:eastAsia="zh-CN"/>
              </w:rPr>
            </w:pPr>
            <w:r>
              <w:rPr>
                <w:rFonts w:hint="eastAsia" w:ascii="宋体" w:hAnsi="宋体" w:eastAsia="宋体" w:cs="宋体"/>
                <w:color w:val="auto"/>
                <w:sz w:val="21"/>
                <w:szCs w:val="21"/>
                <w:highlight w:val="none"/>
              </w:rPr>
              <w:t>标</w:t>
            </w:r>
            <w:r>
              <w:rPr>
                <w:rFonts w:hint="eastAsia" w:ascii="宋体" w:hAnsi="宋体" w:eastAsia="宋体" w:cs="宋体"/>
                <w:color w:val="auto"/>
                <w:sz w:val="21"/>
                <w:szCs w:val="21"/>
                <w:highlight w:val="none"/>
                <w:lang w:eastAsia="zh-CN"/>
              </w:rPr>
              <w:t>准</w:t>
            </w:r>
            <w:r>
              <w:rPr>
                <w:rFonts w:hint="eastAsia" w:ascii="宋体" w:hAnsi="宋体" w:eastAsia="宋体" w:cs="宋体"/>
                <w:color w:val="auto"/>
                <w:sz w:val="21"/>
                <w:szCs w:val="21"/>
                <w:highlight w:val="none"/>
              </w:rPr>
              <w:t>值</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lang w:val="en-US" w:eastAsia="zh-CN"/>
              </w:rPr>
              <w:t>%）</w:t>
            </w:r>
          </w:p>
        </w:tc>
        <w:tc>
          <w:tcPr>
            <w:tcW w:w="1666" w:type="dxa"/>
            <w:vAlign w:val="center"/>
          </w:tcPr>
          <w:p w14:paraId="42ADA497">
            <w:pPr>
              <w:keepNext w:val="0"/>
              <w:keepLines w:val="0"/>
              <w:pageBreakBefore w:val="0"/>
              <w:kinsoku/>
              <w:wordWrap/>
              <w:overflowPunct/>
              <w:topLinePunct w:val="0"/>
              <w:bidi w:val="0"/>
              <w:snapToGrid/>
              <w:spacing w:line="400" w:lineRule="exact"/>
              <w:jc w:val="center"/>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rPr>
              <w:t>测定值</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lang w:val="en-US" w:eastAsia="zh-CN"/>
              </w:rPr>
              <w:t>%）</w:t>
            </w:r>
          </w:p>
        </w:tc>
      </w:tr>
      <w:tr w14:paraId="1286D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6" w:type="dxa"/>
            <w:vAlign w:val="center"/>
          </w:tcPr>
          <w:p w14:paraId="190B7984">
            <w:pPr>
              <w:keepNext w:val="0"/>
              <w:keepLines w:val="0"/>
              <w:pageBreakBefore w:val="0"/>
              <w:kinsoku/>
              <w:wordWrap/>
              <w:overflowPunct/>
              <w:topLinePunct w:val="0"/>
              <w:bidi w:val="0"/>
              <w:snapToGrid/>
              <w:spacing w:line="400" w:lineRule="exact"/>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GSB 04-3766-2020</w:t>
            </w:r>
            <w:r>
              <w:rPr>
                <w:rFonts w:hint="eastAsia" w:ascii="宋体" w:hAnsi="宋体" w:eastAsia="宋体" w:cs="宋体"/>
                <w:color w:val="000000"/>
                <w:sz w:val="21"/>
                <w:szCs w:val="21"/>
                <w:highlight w:val="none"/>
                <w:lang w:val="en-US" w:eastAsia="zh-CN"/>
              </w:rPr>
              <w:t xml:space="preserve">  TP2</w:t>
            </w:r>
          </w:p>
        </w:tc>
        <w:tc>
          <w:tcPr>
            <w:tcW w:w="1666" w:type="dxa"/>
            <w:vAlign w:val="center"/>
          </w:tcPr>
          <w:p w14:paraId="24CCF35D">
            <w:pPr>
              <w:keepNext w:val="0"/>
              <w:keepLines w:val="0"/>
              <w:pageBreakBefore w:val="0"/>
              <w:kinsoku/>
              <w:wordWrap/>
              <w:overflowPunct/>
              <w:topLinePunct w:val="0"/>
              <w:bidi w:val="0"/>
              <w:snapToGrid/>
              <w:spacing w:line="40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0.0017</w:t>
            </w:r>
          </w:p>
        </w:tc>
        <w:tc>
          <w:tcPr>
            <w:tcW w:w="1666" w:type="dxa"/>
            <w:vAlign w:val="center"/>
          </w:tcPr>
          <w:p w14:paraId="70A02240">
            <w:pPr>
              <w:keepNext w:val="0"/>
              <w:keepLines w:val="0"/>
              <w:pageBreakBefore w:val="0"/>
              <w:kinsoku/>
              <w:wordWrap/>
              <w:overflowPunct/>
              <w:topLinePunct w:val="0"/>
              <w:bidi w:val="0"/>
              <w:snapToGrid/>
              <w:spacing w:line="40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0.00167</w:t>
            </w:r>
          </w:p>
        </w:tc>
      </w:tr>
    </w:tbl>
    <w:p w14:paraId="0A89B641">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b w:val="0"/>
          <w:bCs w:val="0"/>
          <w:color w:val="000000"/>
          <w:sz w:val="21"/>
          <w:szCs w:val="21"/>
          <w:highlight w:val="none"/>
        </w:rPr>
      </w:pPr>
      <w:r>
        <w:rPr>
          <w:rFonts w:hint="eastAsia" w:ascii="宋体" w:hAnsi="宋体" w:eastAsia="宋体" w:cs="宋体"/>
          <w:b w:val="0"/>
          <w:bCs w:val="0"/>
          <w:color w:val="000000"/>
          <w:sz w:val="21"/>
          <w:szCs w:val="21"/>
          <w:highlight w:val="none"/>
        </w:rPr>
        <w:t>由表</w:t>
      </w:r>
      <w:r>
        <w:rPr>
          <w:rFonts w:hint="eastAsia" w:ascii="宋体" w:hAnsi="宋体" w:eastAsia="宋体" w:cs="宋体"/>
          <w:b w:val="0"/>
          <w:bCs w:val="0"/>
          <w:color w:val="000000"/>
          <w:sz w:val="21"/>
          <w:szCs w:val="21"/>
          <w:highlight w:val="none"/>
          <w:lang w:val="en-US" w:eastAsia="zh-CN"/>
        </w:rPr>
        <w:t>13</w:t>
      </w:r>
      <w:r>
        <w:rPr>
          <w:rFonts w:hint="eastAsia" w:ascii="宋体" w:hAnsi="宋体" w:eastAsia="宋体" w:cs="宋体"/>
          <w:b w:val="0"/>
          <w:bCs w:val="0"/>
          <w:color w:val="000000"/>
          <w:sz w:val="21"/>
          <w:szCs w:val="21"/>
          <w:highlight w:val="none"/>
        </w:rPr>
        <w:t>结果可知，与有证标准样品标准值的偏差</w:t>
      </w:r>
      <w:r>
        <w:rPr>
          <w:rFonts w:hint="eastAsia" w:ascii="宋体" w:hAnsi="宋体" w:eastAsia="宋体" w:cs="宋体"/>
          <w:b w:val="0"/>
          <w:bCs w:val="0"/>
          <w:color w:val="000000"/>
          <w:sz w:val="21"/>
          <w:szCs w:val="21"/>
          <w:highlight w:val="none"/>
          <w:lang w:eastAsia="zh-CN"/>
        </w:rPr>
        <w:t>为</w:t>
      </w:r>
      <w:r>
        <w:rPr>
          <w:rFonts w:hint="eastAsia" w:ascii="宋体" w:hAnsi="宋体" w:eastAsia="宋体" w:cs="宋体"/>
          <w:b w:val="0"/>
          <w:bCs w:val="0"/>
          <w:color w:val="000000"/>
          <w:sz w:val="21"/>
          <w:szCs w:val="21"/>
          <w:highlight w:val="none"/>
          <w:lang w:val="en-US" w:eastAsia="zh-CN"/>
        </w:rPr>
        <w:t>0.00003%</w:t>
      </w:r>
      <w:r>
        <w:rPr>
          <w:rFonts w:hint="eastAsia" w:ascii="宋体" w:hAnsi="宋体" w:eastAsia="宋体" w:cs="宋体"/>
          <w:b w:val="0"/>
          <w:bCs w:val="0"/>
          <w:color w:val="000000"/>
          <w:sz w:val="21"/>
          <w:szCs w:val="21"/>
          <w:highlight w:val="none"/>
        </w:rPr>
        <w:t>，证明本方法有较好的准确度。</w:t>
      </w:r>
    </w:p>
    <w:p w14:paraId="6F51D530">
      <w:pPr>
        <w:keepNext w:val="0"/>
        <w:keepLines w:val="0"/>
        <w:pageBreakBefore w:val="0"/>
        <w:kinsoku/>
        <w:wordWrap/>
        <w:overflowPunct/>
        <w:topLinePunct w:val="0"/>
        <w:bidi w:val="0"/>
        <w:snapToGrid/>
        <w:spacing w:line="400" w:lineRule="exact"/>
        <w:jc w:val="left"/>
        <w:rPr>
          <w:rFonts w:hint="eastAsia" w:ascii="宋体" w:hAnsi="宋体" w:eastAsia="宋体" w:cs="宋体"/>
          <w:b/>
          <w:bCs/>
          <w:color w:val="000000"/>
          <w:sz w:val="21"/>
          <w:szCs w:val="21"/>
          <w:highlight w:val="none"/>
        </w:rPr>
      </w:pPr>
    </w:p>
    <w:p w14:paraId="23055CD8">
      <w:pPr>
        <w:keepNext w:val="0"/>
        <w:keepLines w:val="0"/>
        <w:pageBreakBefore w:val="0"/>
        <w:kinsoku/>
        <w:wordWrap/>
        <w:overflowPunct/>
        <w:topLinePunct w:val="0"/>
        <w:bidi w:val="0"/>
        <w:snapToGrid/>
        <w:spacing w:line="400" w:lineRule="exact"/>
        <w:jc w:val="left"/>
        <w:rPr>
          <w:rFonts w:hint="eastAsia" w:ascii="黑体" w:hAnsi="黑体" w:eastAsia="黑体" w:cs="黑体"/>
          <w:b w:val="0"/>
          <w:bCs w:val="0"/>
          <w:color w:val="000000"/>
          <w:sz w:val="21"/>
          <w:szCs w:val="21"/>
          <w:highlight w:val="none"/>
        </w:rPr>
      </w:pPr>
      <w:r>
        <w:rPr>
          <w:rFonts w:hint="eastAsia" w:ascii="黑体" w:hAnsi="黑体" w:eastAsia="黑体" w:cs="黑体"/>
          <w:b w:val="0"/>
          <w:bCs w:val="0"/>
          <w:color w:val="000000"/>
          <w:sz w:val="21"/>
          <w:szCs w:val="21"/>
          <w:highlight w:val="none"/>
          <w:lang w:val="en-US" w:eastAsia="zh-CN"/>
        </w:rPr>
        <w:t>1</w:t>
      </w:r>
      <w:r>
        <w:rPr>
          <w:rFonts w:hint="eastAsia" w:ascii="黑体" w:hAnsi="黑体" w:eastAsia="黑体" w:cs="黑体"/>
          <w:b w:val="0"/>
          <w:bCs w:val="0"/>
          <w:color w:val="000000"/>
          <w:sz w:val="21"/>
          <w:szCs w:val="21"/>
          <w:highlight w:val="none"/>
        </w:rPr>
        <w:t>.8.2 加标回收</w:t>
      </w:r>
    </w:p>
    <w:p w14:paraId="663E20DE">
      <w:pPr>
        <w:keepNext w:val="0"/>
        <w:keepLines w:val="0"/>
        <w:pageBreakBefore w:val="0"/>
        <w:kinsoku/>
        <w:wordWrap/>
        <w:overflowPunct/>
        <w:topLinePunct w:val="0"/>
        <w:bidi w:val="0"/>
        <w:snapToGrid/>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分别称取1</w:t>
      </w:r>
      <w:r>
        <w:rPr>
          <w:rFonts w:hint="eastAsia" w:ascii="宋体" w:hAnsi="宋体" w:cs="宋体"/>
          <w:color w:val="auto"/>
          <w:sz w:val="21"/>
          <w:szCs w:val="21"/>
          <w:highlight w:val="none"/>
          <w:lang w:val="en-US" w:eastAsia="zh-CN"/>
        </w:rPr>
        <w:t>.00</w:t>
      </w:r>
      <w:r>
        <w:rPr>
          <w:rFonts w:hint="eastAsia" w:ascii="宋体" w:hAnsi="宋体" w:eastAsia="宋体" w:cs="宋体"/>
          <w:color w:val="auto"/>
          <w:sz w:val="21"/>
          <w:szCs w:val="21"/>
          <w:highlight w:val="none"/>
          <w:lang w:val="en-US" w:eastAsia="zh-CN"/>
        </w:rPr>
        <w:t>gCuCd2</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1</w:t>
      </w:r>
      <w:r>
        <w:rPr>
          <w:rFonts w:hint="eastAsia" w:ascii="宋体" w:hAnsi="宋体" w:cs="宋体"/>
          <w:color w:val="auto"/>
          <w:sz w:val="21"/>
          <w:szCs w:val="21"/>
          <w:highlight w:val="none"/>
          <w:lang w:val="en-US" w:eastAsia="zh-CN"/>
        </w:rPr>
        <w:t>.00</w:t>
      </w:r>
      <w:r>
        <w:rPr>
          <w:rFonts w:hint="eastAsia" w:ascii="宋体" w:hAnsi="宋体" w:eastAsia="宋体" w:cs="宋体"/>
          <w:color w:val="auto"/>
          <w:sz w:val="21"/>
          <w:szCs w:val="21"/>
          <w:highlight w:val="none"/>
          <w:lang w:val="en-US" w:eastAsia="zh-CN"/>
        </w:rPr>
        <w:t>gCuCd3、0.1</w:t>
      </w:r>
      <w:r>
        <w:rPr>
          <w:rFonts w:hint="eastAsia" w:ascii="宋体" w:hAnsi="宋体" w:cs="宋体"/>
          <w:color w:val="auto"/>
          <w:sz w:val="21"/>
          <w:szCs w:val="21"/>
          <w:highlight w:val="none"/>
          <w:lang w:val="en-US" w:eastAsia="zh-CN"/>
        </w:rPr>
        <w:t>0</w:t>
      </w:r>
      <w:r>
        <w:rPr>
          <w:rFonts w:hint="eastAsia" w:ascii="宋体" w:hAnsi="宋体" w:eastAsia="宋体" w:cs="宋体"/>
          <w:color w:val="auto"/>
          <w:sz w:val="21"/>
          <w:szCs w:val="21"/>
          <w:highlight w:val="none"/>
          <w:lang w:val="en-US" w:eastAsia="zh-CN"/>
        </w:rPr>
        <w:t>gCuCd4</w:t>
      </w:r>
      <w:r>
        <w:rPr>
          <w:rFonts w:hint="eastAsia" w:ascii="宋体" w:hAnsi="宋体" w:eastAsia="宋体" w:cs="宋体"/>
          <w:color w:val="auto"/>
          <w:sz w:val="21"/>
          <w:szCs w:val="21"/>
          <w:highlight w:val="none"/>
        </w:rPr>
        <w:t>样品进行加标回收试验</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加入表1</w:t>
      </w: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rPr>
        <w:t>所列</w:t>
      </w:r>
      <w:r>
        <w:rPr>
          <w:rFonts w:hint="eastAsia" w:ascii="宋体" w:hAnsi="宋体" w:eastAsia="宋体" w:cs="宋体"/>
          <w:color w:val="auto"/>
          <w:sz w:val="21"/>
          <w:szCs w:val="21"/>
          <w:highlight w:val="none"/>
          <w:lang w:eastAsia="zh-CN"/>
        </w:rPr>
        <w:t>镉</w:t>
      </w:r>
      <w:r>
        <w:rPr>
          <w:rFonts w:hint="eastAsia" w:ascii="宋体" w:hAnsi="宋体" w:eastAsia="宋体" w:cs="宋体"/>
          <w:color w:val="auto"/>
          <w:sz w:val="21"/>
          <w:szCs w:val="21"/>
          <w:highlight w:val="none"/>
        </w:rPr>
        <w:t>量，按照</w:t>
      </w:r>
      <w:r>
        <w:rPr>
          <w:rFonts w:hint="eastAsia" w:ascii="宋体" w:hAnsi="宋体" w:eastAsia="宋体" w:cs="宋体"/>
          <w:color w:val="auto"/>
          <w:sz w:val="21"/>
          <w:szCs w:val="21"/>
          <w:highlight w:val="none"/>
          <w:lang w:eastAsia="zh-CN"/>
        </w:rPr>
        <w:t>表</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实验方法溶解并稀释分取测量，结果见表</w:t>
      </w:r>
      <w:r>
        <w:rPr>
          <w:rFonts w:hint="eastAsia" w:ascii="宋体" w:hAnsi="宋体" w:eastAsia="宋体" w:cs="宋体"/>
          <w:color w:val="auto"/>
          <w:sz w:val="21"/>
          <w:szCs w:val="21"/>
          <w:highlight w:val="none"/>
          <w:lang w:val="en-US" w:eastAsia="zh-CN"/>
        </w:rPr>
        <w:t>14</w:t>
      </w:r>
      <w:r>
        <w:rPr>
          <w:rFonts w:hint="eastAsia" w:ascii="宋体" w:hAnsi="宋体" w:eastAsia="宋体" w:cs="宋体"/>
          <w:color w:val="auto"/>
          <w:sz w:val="21"/>
          <w:szCs w:val="21"/>
          <w:highlight w:val="none"/>
        </w:rPr>
        <w:t>。</w:t>
      </w:r>
    </w:p>
    <w:p w14:paraId="36274F37">
      <w:pPr>
        <w:keepNext w:val="0"/>
        <w:keepLines w:val="0"/>
        <w:pageBreakBefore w:val="0"/>
        <w:kinsoku/>
        <w:wordWrap/>
        <w:overflowPunct/>
        <w:topLinePunct w:val="0"/>
        <w:bidi w:val="0"/>
        <w:snapToGrid/>
        <w:spacing w:line="400" w:lineRule="exact"/>
        <w:ind w:firstLine="420" w:firstLineChars="200"/>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表1</w:t>
      </w:r>
      <w:r>
        <w:rPr>
          <w:rFonts w:hint="eastAsia" w:ascii="宋体" w:hAnsi="宋体" w:eastAsia="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 xml:space="preserve"> 回收率试验</w:t>
      </w:r>
    </w:p>
    <w:tbl>
      <w:tblPr>
        <w:tblStyle w:val="1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4"/>
        <w:gridCol w:w="1041"/>
        <w:gridCol w:w="1044"/>
        <w:gridCol w:w="1313"/>
        <w:gridCol w:w="1443"/>
        <w:gridCol w:w="1495"/>
        <w:gridCol w:w="1270"/>
      </w:tblGrid>
      <w:tr w14:paraId="1DDEE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3" w:type="dxa"/>
            <w:vAlign w:val="center"/>
          </w:tcPr>
          <w:p w14:paraId="749F05E4">
            <w:pPr>
              <w:keepNext w:val="0"/>
              <w:keepLines w:val="0"/>
              <w:pageBreakBefore w:val="0"/>
              <w:kinsoku/>
              <w:wordWrap/>
              <w:overflowPunct/>
              <w:topLinePunct w:val="0"/>
              <w:bidi w:val="0"/>
              <w:snapToGrid/>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样品编号</w:t>
            </w:r>
          </w:p>
        </w:tc>
        <w:tc>
          <w:tcPr>
            <w:tcW w:w="1047" w:type="dxa"/>
            <w:vAlign w:val="center"/>
          </w:tcPr>
          <w:p w14:paraId="0E224041">
            <w:pPr>
              <w:keepNext w:val="0"/>
              <w:keepLines w:val="0"/>
              <w:pageBreakBefore w:val="0"/>
              <w:kinsoku/>
              <w:wordWrap/>
              <w:overflowPunct/>
              <w:topLinePunct w:val="0"/>
              <w:bidi w:val="0"/>
              <w:snapToGrid/>
              <w:spacing w:line="40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称样量</w:t>
            </w:r>
          </w:p>
          <w:p w14:paraId="0082222B">
            <w:pPr>
              <w:keepNext w:val="0"/>
              <w:keepLines w:val="0"/>
              <w:pageBreakBefore w:val="0"/>
              <w:kinsoku/>
              <w:wordWrap/>
              <w:overflowPunct/>
              <w:topLinePunct w:val="0"/>
              <w:bidi w:val="0"/>
              <w:snapToGrid/>
              <w:spacing w:line="40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g</w:t>
            </w:r>
            <w:r>
              <w:rPr>
                <w:rFonts w:hint="eastAsia" w:ascii="宋体" w:hAnsi="宋体" w:eastAsia="宋体" w:cs="宋体"/>
                <w:color w:val="auto"/>
                <w:sz w:val="21"/>
                <w:szCs w:val="21"/>
                <w:highlight w:val="none"/>
                <w:lang w:eastAsia="zh-CN"/>
              </w:rPr>
              <w:t>）</w:t>
            </w:r>
          </w:p>
        </w:tc>
        <w:tc>
          <w:tcPr>
            <w:tcW w:w="1047" w:type="dxa"/>
            <w:vAlign w:val="center"/>
          </w:tcPr>
          <w:p w14:paraId="1F66CD34">
            <w:pPr>
              <w:keepNext w:val="0"/>
              <w:keepLines w:val="0"/>
              <w:pageBreakBefore w:val="0"/>
              <w:kinsoku/>
              <w:wordWrap/>
              <w:overflowPunct/>
              <w:topLinePunct w:val="0"/>
              <w:bidi w:val="0"/>
              <w:snapToGrid/>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镉</w:t>
            </w:r>
            <w:r>
              <w:rPr>
                <w:rFonts w:hint="eastAsia" w:ascii="宋体" w:hAnsi="宋体" w:eastAsia="宋体" w:cs="宋体"/>
                <w:color w:val="auto"/>
                <w:sz w:val="21"/>
                <w:szCs w:val="21"/>
                <w:highlight w:val="none"/>
              </w:rPr>
              <w:t>含量</w:t>
            </w:r>
          </w:p>
          <w:p w14:paraId="3F97F92D">
            <w:pPr>
              <w:keepNext w:val="0"/>
              <w:keepLines w:val="0"/>
              <w:pageBreakBefore w:val="0"/>
              <w:kinsoku/>
              <w:wordWrap/>
              <w:overflowPunct/>
              <w:topLinePunct w:val="0"/>
              <w:bidi w:val="0"/>
              <w:snapToGrid/>
              <w:spacing w:line="40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µg</w:t>
            </w:r>
            <w:r>
              <w:rPr>
                <w:rFonts w:hint="eastAsia" w:ascii="宋体" w:hAnsi="宋体" w:eastAsia="宋体" w:cs="宋体"/>
                <w:color w:val="auto"/>
                <w:sz w:val="21"/>
                <w:szCs w:val="21"/>
                <w:highlight w:val="none"/>
                <w:lang w:eastAsia="zh-CN"/>
              </w:rPr>
              <w:t>）</w:t>
            </w:r>
          </w:p>
        </w:tc>
        <w:tc>
          <w:tcPr>
            <w:tcW w:w="1323" w:type="dxa"/>
            <w:vAlign w:val="center"/>
          </w:tcPr>
          <w:p w14:paraId="4BE561FD">
            <w:pPr>
              <w:keepNext w:val="0"/>
              <w:keepLines w:val="0"/>
              <w:pageBreakBefore w:val="0"/>
              <w:kinsoku/>
              <w:wordWrap/>
              <w:overflowPunct/>
              <w:topLinePunct w:val="0"/>
              <w:bidi w:val="0"/>
              <w:snapToGrid/>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加入</w:t>
            </w:r>
            <w:r>
              <w:rPr>
                <w:rFonts w:hint="eastAsia" w:ascii="宋体" w:hAnsi="宋体" w:eastAsia="宋体" w:cs="宋体"/>
                <w:color w:val="auto"/>
                <w:sz w:val="21"/>
                <w:szCs w:val="21"/>
                <w:highlight w:val="none"/>
                <w:lang w:eastAsia="zh-CN"/>
              </w:rPr>
              <w:t>镉</w:t>
            </w:r>
            <w:r>
              <w:rPr>
                <w:rFonts w:hint="eastAsia" w:ascii="宋体" w:hAnsi="宋体" w:eastAsia="宋体" w:cs="宋体"/>
                <w:color w:val="auto"/>
                <w:sz w:val="21"/>
                <w:szCs w:val="21"/>
                <w:highlight w:val="none"/>
              </w:rPr>
              <w:t>量</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µg</w:t>
            </w:r>
            <w:r>
              <w:rPr>
                <w:rFonts w:hint="eastAsia" w:ascii="宋体" w:hAnsi="宋体" w:eastAsia="宋体" w:cs="宋体"/>
                <w:color w:val="auto"/>
                <w:sz w:val="21"/>
                <w:szCs w:val="21"/>
                <w:highlight w:val="none"/>
                <w:lang w:eastAsia="zh-CN"/>
              </w:rPr>
              <w:t>）</w:t>
            </w:r>
          </w:p>
        </w:tc>
        <w:tc>
          <w:tcPr>
            <w:tcW w:w="1457" w:type="dxa"/>
            <w:vAlign w:val="center"/>
          </w:tcPr>
          <w:p w14:paraId="298433A5">
            <w:pPr>
              <w:keepNext w:val="0"/>
              <w:keepLines w:val="0"/>
              <w:pageBreakBefore w:val="0"/>
              <w:kinsoku/>
              <w:wordWrap/>
              <w:overflowPunct/>
              <w:topLinePunct w:val="0"/>
              <w:bidi w:val="0"/>
              <w:snapToGrid/>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测得总量</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µg</w:t>
            </w:r>
            <w:r>
              <w:rPr>
                <w:rFonts w:hint="eastAsia" w:ascii="宋体" w:hAnsi="宋体" w:eastAsia="宋体" w:cs="宋体"/>
                <w:color w:val="auto"/>
                <w:sz w:val="21"/>
                <w:szCs w:val="21"/>
                <w:highlight w:val="none"/>
                <w:lang w:eastAsia="zh-CN"/>
              </w:rPr>
              <w:t>）</w:t>
            </w:r>
          </w:p>
        </w:tc>
        <w:tc>
          <w:tcPr>
            <w:tcW w:w="1510" w:type="dxa"/>
            <w:vAlign w:val="center"/>
          </w:tcPr>
          <w:p w14:paraId="5DA2C33B">
            <w:pPr>
              <w:keepNext w:val="0"/>
              <w:keepLines w:val="0"/>
              <w:pageBreakBefore w:val="0"/>
              <w:kinsoku/>
              <w:wordWrap/>
              <w:overflowPunct/>
              <w:topLinePunct w:val="0"/>
              <w:bidi w:val="0"/>
              <w:snapToGrid/>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回收</w:t>
            </w:r>
            <w:r>
              <w:rPr>
                <w:rFonts w:hint="eastAsia" w:ascii="宋体" w:hAnsi="宋体" w:eastAsia="宋体" w:cs="宋体"/>
                <w:color w:val="auto"/>
                <w:sz w:val="21"/>
                <w:szCs w:val="21"/>
                <w:highlight w:val="none"/>
                <w:lang w:eastAsia="zh-CN"/>
              </w:rPr>
              <w:t>镉</w:t>
            </w:r>
            <w:r>
              <w:rPr>
                <w:rFonts w:hint="eastAsia" w:ascii="宋体" w:hAnsi="宋体" w:eastAsia="宋体" w:cs="宋体"/>
                <w:color w:val="auto"/>
                <w:sz w:val="21"/>
                <w:szCs w:val="21"/>
                <w:highlight w:val="none"/>
              </w:rPr>
              <w:t>量</w:t>
            </w:r>
          </w:p>
          <w:p w14:paraId="4E01D787">
            <w:pPr>
              <w:keepNext w:val="0"/>
              <w:keepLines w:val="0"/>
              <w:pageBreakBefore w:val="0"/>
              <w:kinsoku/>
              <w:wordWrap/>
              <w:overflowPunct/>
              <w:topLinePunct w:val="0"/>
              <w:bidi w:val="0"/>
              <w:snapToGrid/>
              <w:spacing w:line="40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µg</w:t>
            </w:r>
            <w:r>
              <w:rPr>
                <w:rFonts w:hint="eastAsia" w:ascii="宋体" w:hAnsi="宋体" w:eastAsia="宋体" w:cs="宋体"/>
                <w:color w:val="auto"/>
                <w:sz w:val="21"/>
                <w:szCs w:val="21"/>
                <w:highlight w:val="none"/>
                <w:lang w:eastAsia="zh-CN"/>
              </w:rPr>
              <w:t>）</w:t>
            </w:r>
          </w:p>
        </w:tc>
        <w:tc>
          <w:tcPr>
            <w:tcW w:w="1282" w:type="dxa"/>
            <w:vAlign w:val="center"/>
          </w:tcPr>
          <w:p w14:paraId="668EAFE3">
            <w:pPr>
              <w:keepNext w:val="0"/>
              <w:keepLines w:val="0"/>
              <w:pageBreakBefore w:val="0"/>
              <w:kinsoku/>
              <w:wordWrap/>
              <w:overflowPunct/>
              <w:topLinePunct w:val="0"/>
              <w:bidi w:val="0"/>
              <w:snapToGrid/>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回收率</w:t>
            </w:r>
          </w:p>
          <w:p w14:paraId="268B93AE">
            <w:pPr>
              <w:keepNext w:val="0"/>
              <w:keepLines w:val="0"/>
              <w:pageBreakBefore w:val="0"/>
              <w:kinsoku/>
              <w:wordWrap/>
              <w:overflowPunct/>
              <w:topLinePunct w:val="0"/>
              <w:bidi w:val="0"/>
              <w:snapToGrid/>
              <w:spacing w:line="40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w:t>
            </w:r>
          </w:p>
        </w:tc>
      </w:tr>
      <w:tr w14:paraId="313EA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3" w:type="dxa"/>
            <w:vMerge w:val="restart"/>
            <w:vAlign w:val="center"/>
          </w:tcPr>
          <w:p w14:paraId="081B8F63">
            <w:pPr>
              <w:keepNext w:val="0"/>
              <w:keepLines w:val="0"/>
              <w:pageBreakBefore w:val="0"/>
              <w:kinsoku/>
              <w:wordWrap/>
              <w:overflowPunct/>
              <w:topLinePunct w:val="0"/>
              <w:bidi w:val="0"/>
              <w:snapToGrid/>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CuCd2</w:t>
            </w:r>
          </w:p>
        </w:tc>
        <w:tc>
          <w:tcPr>
            <w:tcW w:w="1047" w:type="dxa"/>
            <w:vAlign w:val="center"/>
          </w:tcPr>
          <w:p w14:paraId="3F50C3B3">
            <w:pPr>
              <w:keepNext w:val="0"/>
              <w:keepLines w:val="0"/>
              <w:pageBreakBefore w:val="0"/>
              <w:kinsoku/>
              <w:wordWrap/>
              <w:overflowPunct/>
              <w:topLinePunct w:val="0"/>
              <w:bidi w:val="0"/>
              <w:snapToGrid/>
              <w:spacing w:line="40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1.0010</w:t>
            </w:r>
          </w:p>
        </w:tc>
        <w:tc>
          <w:tcPr>
            <w:tcW w:w="1047" w:type="dxa"/>
            <w:vAlign w:val="center"/>
          </w:tcPr>
          <w:p w14:paraId="7F15FC68">
            <w:pPr>
              <w:keepNext w:val="0"/>
              <w:keepLines w:val="0"/>
              <w:pageBreakBefore w:val="0"/>
              <w:kinsoku/>
              <w:wordWrap/>
              <w:overflowPunct/>
              <w:topLinePunct w:val="0"/>
              <w:bidi w:val="0"/>
              <w:snapToGrid/>
              <w:spacing w:line="40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172.17</w:t>
            </w:r>
          </w:p>
        </w:tc>
        <w:tc>
          <w:tcPr>
            <w:tcW w:w="1323" w:type="dxa"/>
            <w:vAlign w:val="center"/>
          </w:tcPr>
          <w:p w14:paraId="6EE5471A">
            <w:pPr>
              <w:keepNext w:val="0"/>
              <w:keepLines w:val="0"/>
              <w:pageBreakBefore w:val="0"/>
              <w:kinsoku/>
              <w:wordWrap/>
              <w:overflowPunct/>
              <w:topLinePunct w:val="0"/>
              <w:bidi w:val="0"/>
              <w:snapToGrid/>
              <w:spacing w:line="400" w:lineRule="exact"/>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100.00</w:t>
            </w:r>
          </w:p>
        </w:tc>
        <w:tc>
          <w:tcPr>
            <w:tcW w:w="1457" w:type="dxa"/>
            <w:vAlign w:val="center"/>
          </w:tcPr>
          <w:p w14:paraId="1282FC32">
            <w:pPr>
              <w:keepNext w:val="0"/>
              <w:keepLines w:val="0"/>
              <w:pageBreakBefore w:val="0"/>
              <w:kinsoku/>
              <w:wordWrap/>
              <w:overflowPunct/>
              <w:topLinePunct w:val="0"/>
              <w:bidi w:val="0"/>
              <w:snapToGrid/>
              <w:spacing w:line="40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274.00</w:t>
            </w:r>
          </w:p>
        </w:tc>
        <w:tc>
          <w:tcPr>
            <w:tcW w:w="1510" w:type="dxa"/>
            <w:vAlign w:val="center"/>
          </w:tcPr>
          <w:p w14:paraId="793DCDA4">
            <w:pPr>
              <w:keepNext w:val="0"/>
              <w:keepLines w:val="0"/>
              <w:pageBreakBefore w:val="0"/>
              <w:kinsoku/>
              <w:wordWrap/>
              <w:overflowPunct/>
              <w:topLinePunct w:val="0"/>
              <w:bidi w:val="0"/>
              <w:snapToGrid/>
              <w:spacing w:line="400" w:lineRule="exact"/>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101.83</w:t>
            </w:r>
          </w:p>
        </w:tc>
        <w:tc>
          <w:tcPr>
            <w:tcW w:w="1282" w:type="dxa"/>
            <w:vAlign w:val="center"/>
          </w:tcPr>
          <w:p w14:paraId="0D729432">
            <w:pPr>
              <w:keepNext w:val="0"/>
              <w:keepLines w:val="0"/>
              <w:pageBreakBefore w:val="0"/>
              <w:kinsoku/>
              <w:wordWrap/>
              <w:overflowPunct/>
              <w:topLinePunct w:val="0"/>
              <w:bidi w:val="0"/>
              <w:snapToGrid/>
              <w:spacing w:line="40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101.83</w:t>
            </w:r>
          </w:p>
        </w:tc>
      </w:tr>
      <w:tr w14:paraId="77838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3" w:type="dxa"/>
            <w:vMerge w:val="continue"/>
            <w:vAlign w:val="center"/>
          </w:tcPr>
          <w:p w14:paraId="63975BFF">
            <w:pPr>
              <w:keepNext w:val="0"/>
              <w:keepLines w:val="0"/>
              <w:pageBreakBefore w:val="0"/>
              <w:kinsoku/>
              <w:wordWrap/>
              <w:overflowPunct/>
              <w:topLinePunct w:val="0"/>
              <w:bidi w:val="0"/>
              <w:snapToGrid/>
              <w:spacing w:line="400" w:lineRule="exact"/>
              <w:jc w:val="center"/>
              <w:rPr>
                <w:rFonts w:hint="eastAsia" w:ascii="宋体" w:hAnsi="宋体" w:eastAsia="宋体" w:cs="宋体"/>
                <w:color w:val="auto"/>
                <w:sz w:val="21"/>
                <w:szCs w:val="21"/>
                <w:highlight w:val="none"/>
              </w:rPr>
            </w:pPr>
          </w:p>
        </w:tc>
        <w:tc>
          <w:tcPr>
            <w:tcW w:w="1047" w:type="dxa"/>
            <w:vAlign w:val="center"/>
          </w:tcPr>
          <w:p w14:paraId="242582E9">
            <w:pPr>
              <w:keepNext w:val="0"/>
              <w:keepLines w:val="0"/>
              <w:pageBreakBefore w:val="0"/>
              <w:kinsoku/>
              <w:wordWrap/>
              <w:overflowPunct/>
              <w:topLinePunct w:val="0"/>
              <w:bidi w:val="0"/>
              <w:snapToGrid/>
              <w:spacing w:line="40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1.0013</w:t>
            </w:r>
          </w:p>
        </w:tc>
        <w:tc>
          <w:tcPr>
            <w:tcW w:w="1047" w:type="dxa"/>
            <w:vAlign w:val="center"/>
          </w:tcPr>
          <w:p w14:paraId="5F36DE62">
            <w:pPr>
              <w:keepNext w:val="0"/>
              <w:keepLines w:val="0"/>
              <w:pageBreakBefore w:val="0"/>
              <w:kinsoku/>
              <w:wordWrap/>
              <w:overflowPunct/>
              <w:topLinePunct w:val="0"/>
              <w:bidi w:val="0"/>
              <w:snapToGrid/>
              <w:spacing w:line="40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172.22</w:t>
            </w:r>
          </w:p>
        </w:tc>
        <w:tc>
          <w:tcPr>
            <w:tcW w:w="1323" w:type="dxa"/>
            <w:vAlign w:val="center"/>
          </w:tcPr>
          <w:p w14:paraId="55930B64">
            <w:pPr>
              <w:keepNext w:val="0"/>
              <w:keepLines w:val="0"/>
              <w:pageBreakBefore w:val="0"/>
              <w:kinsoku/>
              <w:wordWrap/>
              <w:overflowPunct/>
              <w:topLinePunct w:val="0"/>
              <w:bidi w:val="0"/>
              <w:snapToGrid/>
              <w:spacing w:line="400" w:lineRule="exact"/>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200.00</w:t>
            </w:r>
          </w:p>
        </w:tc>
        <w:tc>
          <w:tcPr>
            <w:tcW w:w="1457" w:type="dxa"/>
            <w:vAlign w:val="center"/>
          </w:tcPr>
          <w:p w14:paraId="53CCA91F">
            <w:pPr>
              <w:keepNext w:val="0"/>
              <w:keepLines w:val="0"/>
              <w:pageBreakBefore w:val="0"/>
              <w:kinsoku/>
              <w:wordWrap/>
              <w:overflowPunct/>
              <w:topLinePunct w:val="0"/>
              <w:bidi w:val="0"/>
              <w:snapToGrid/>
              <w:spacing w:line="40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372.30</w:t>
            </w:r>
          </w:p>
        </w:tc>
        <w:tc>
          <w:tcPr>
            <w:tcW w:w="1510" w:type="dxa"/>
            <w:vAlign w:val="center"/>
          </w:tcPr>
          <w:p w14:paraId="3B8E3635">
            <w:pPr>
              <w:keepNext w:val="0"/>
              <w:keepLines w:val="0"/>
              <w:pageBreakBefore w:val="0"/>
              <w:kinsoku/>
              <w:wordWrap/>
              <w:overflowPunct/>
              <w:topLinePunct w:val="0"/>
              <w:bidi w:val="0"/>
              <w:snapToGrid/>
              <w:spacing w:line="400" w:lineRule="exact"/>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200.08</w:t>
            </w:r>
          </w:p>
        </w:tc>
        <w:tc>
          <w:tcPr>
            <w:tcW w:w="1282" w:type="dxa"/>
            <w:vAlign w:val="center"/>
          </w:tcPr>
          <w:p w14:paraId="4373083E">
            <w:pPr>
              <w:keepNext w:val="0"/>
              <w:keepLines w:val="0"/>
              <w:pageBreakBefore w:val="0"/>
              <w:kinsoku/>
              <w:wordWrap/>
              <w:overflowPunct/>
              <w:topLinePunct w:val="0"/>
              <w:bidi w:val="0"/>
              <w:snapToGrid/>
              <w:spacing w:line="40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100.04</w:t>
            </w:r>
          </w:p>
        </w:tc>
      </w:tr>
      <w:tr w14:paraId="0ABB4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3" w:type="dxa"/>
            <w:vMerge w:val="restart"/>
            <w:shd w:val="clear" w:color="auto" w:fill="auto"/>
            <w:vAlign w:val="center"/>
          </w:tcPr>
          <w:p w14:paraId="67CBDD4A">
            <w:pPr>
              <w:keepNext w:val="0"/>
              <w:keepLines w:val="0"/>
              <w:pageBreakBefore w:val="0"/>
              <w:kinsoku/>
              <w:wordWrap/>
              <w:overflowPunct/>
              <w:topLinePunct w:val="0"/>
              <w:bidi w:val="0"/>
              <w:snapToGrid/>
              <w:spacing w:line="400" w:lineRule="exact"/>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CuCd3</w:t>
            </w:r>
          </w:p>
        </w:tc>
        <w:tc>
          <w:tcPr>
            <w:tcW w:w="1047" w:type="dxa"/>
            <w:shd w:val="clear" w:color="auto" w:fill="auto"/>
            <w:vAlign w:val="center"/>
          </w:tcPr>
          <w:p w14:paraId="26060133">
            <w:pPr>
              <w:keepNext w:val="0"/>
              <w:keepLines w:val="0"/>
              <w:pageBreakBefore w:val="0"/>
              <w:kinsoku/>
              <w:wordWrap/>
              <w:overflowPunct/>
              <w:topLinePunct w:val="0"/>
              <w:bidi w:val="0"/>
              <w:snapToGrid/>
              <w:spacing w:line="40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0.9995</w:t>
            </w:r>
          </w:p>
        </w:tc>
        <w:tc>
          <w:tcPr>
            <w:tcW w:w="1047" w:type="dxa"/>
            <w:shd w:val="clear" w:color="auto" w:fill="auto"/>
            <w:vAlign w:val="center"/>
          </w:tcPr>
          <w:p w14:paraId="2347132D">
            <w:pPr>
              <w:keepNext w:val="0"/>
              <w:keepLines w:val="0"/>
              <w:pageBreakBefore w:val="0"/>
              <w:kinsoku/>
              <w:wordWrap/>
              <w:overflowPunct/>
              <w:topLinePunct w:val="0"/>
              <w:bidi w:val="0"/>
              <w:snapToGrid/>
              <w:spacing w:line="400" w:lineRule="exact"/>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1499.25</w:t>
            </w:r>
          </w:p>
        </w:tc>
        <w:tc>
          <w:tcPr>
            <w:tcW w:w="1323" w:type="dxa"/>
            <w:shd w:val="clear" w:color="auto" w:fill="auto"/>
            <w:vAlign w:val="center"/>
          </w:tcPr>
          <w:p w14:paraId="47E3A64F">
            <w:pPr>
              <w:keepNext w:val="0"/>
              <w:keepLines w:val="0"/>
              <w:pageBreakBefore w:val="0"/>
              <w:kinsoku/>
              <w:wordWrap/>
              <w:overflowPunct/>
              <w:topLinePunct w:val="0"/>
              <w:bidi w:val="0"/>
              <w:snapToGrid/>
              <w:spacing w:line="400" w:lineRule="exact"/>
              <w:jc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1000.00</w:t>
            </w:r>
          </w:p>
        </w:tc>
        <w:tc>
          <w:tcPr>
            <w:tcW w:w="1457" w:type="dxa"/>
            <w:shd w:val="clear" w:color="auto" w:fill="auto"/>
            <w:vAlign w:val="center"/>
          </w:tcPr>
          <w:p w14:paraId="3BD40DDC">
            <w:pPr>
              <w:keepNext w:val="0"/>
              <w:keepLines w:val="0"/>
              <w:pageBreakBefore w:val="0"/>
              <w:kinsoku/>
              <w:wordWrap/>
              <w:overflowPunct/>
              <w:topLinePunct w:val="0"/>
              <w:bidi w:val="0"/>
              <w:snapToGrid/>
              <w:spacing w:line="40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2499.94</w:t>
            </w:r>
          </w:p>
        </w:tc>
        <w:tc>
          <w:tcPr>
            <w:tcW w:w="1510" w:type="dxa"/>
            <w:shd w:val="clear" w:color="auto" w:fill="auto"/>
            <w:vAlign w:val="center"/>
          </w:tcPr>
          <w:p w14:paraId="53C36F2A">
            <w:pPr>
              <w:keepNext w:val="0"/>
              <w:keepLines w:val="0"/>
              <w:pageBreakBefore w:val="0"/>
              <w:kinsoku/>
              <w:wordWrap/>
              <w:overflowPunct/>
              <w:topLinePunct w:val="0"/>
              <w:bidi w:val="0"/>
              <w:snapToGrid/>
              <w:spacing w:line="40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1000.69</w:t>
            </w:r>
          </w:p>
        </w:tc>
        <w:tc>
          <w:tcPr>
            <w:tcW w:w="1282" w:type="dxa"/>
            <w:shd w:val="clear" w:color="auto" w:fill="auto"/>
            <w:vAlign w:val="center"/>
          </w:tcPr>
          <w:p w14:paraId="27789DF5">
            <w:pPr>
              <w:keepNext w:val="0"/>
              <w:keepLines w:val="0"/>
              <w:pageBreakBefore w:val="0"/>
              <w:kinsoku/>
              <w:wordWrap/>
              <w:overflowPunct/>
              <w:topLinePunct w:val="0"/>
              <w:bidi w:val="0"/>
              <w:snapToGrid/>
              <w:spacing w:line="40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100.07</w:t>
            </w:r>
          </w:p>
        </w:tc>
      </w:tr>
      <w:tr w14:paraId="5260D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3" w:type="dxa"/>
            <w:vMerge w:val="continue"/>
            <w:vAlign w:val="center"/>
          </w:tcPr>
          <w:p w14:paraId="1F917AEA">
            <w:pPr>
              <w:keepNext w:val="0"/>
              <w:keepLines w:val="0"/>
              <w:pageBreakBefore w:val="0"/>
              <w:kinsoku/>
              <w:wordWrap/>
              <w:overflowPunct/>
              <w:topLinePunct w:val="0"/>
              <w:bidi w:val="0"/>
              <w:snapToGrid/>
              <w:spacing w:line="400" w:lineRule="exact"/>
              <w:jc w:val="center"/>
              <w:rPr>
                <w:rFonts w:hint="eastAsia" w:ascii="宋体" w:hAnsi="宋体" w:eastAsia="宋体" w:cs="宋体"/>
                <w:color w:val="auto"/>
                <w:sz w:val="21"/>
                <w:szCs w:val="21"/>
                <w:highlight w:val="none"/>
              </w:rPr>
            </w:pPr>
          </w:p>
        </w:tc>
        <w:tc>
          <w:tcPr>
            <w:tcW w:w="1047" w:type="dxa"/>
            <w:vAlign w:val="center"/>
          </w:tcPr>
          <w:p w14:paraId="60B7AA35">
            <w:pPr>
              <w:keepNext w:val="0"/>
              <w:keepLines w:val="0"/>
              <w:pageBreakBefore w:val="0"/>
              <w:kinsoku/>
              <w:wordWrap/>
              <w:overflowPunct/>
              <w:topLinePunct w:val="0"/>
              <w:bidi w:val="0"/>
              <w:snapToGrid/>
              <w:spacing w:line="40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1.0012</w:t>
            </w:r>
          </w:p>
        </w:tc>
        <w:tc>
          <w:tcPr>
            <w:tcW w:w="1047" w:type="dxa"/>
            <w:vAlign w:val="center"/>
          </w:tcPr>
          <w:p w14:paraId="6BF718D4">
            <w:pPr>
              <w:keepNext w:val="0"/>
              <w:keepLines w:val="0"/>
              <w:pageBreakBefore w:val="0"/>
              <w:kinsoku/>
              <w:wordWrap/>
              <w:overflowPunct/>
              <w:topLinePunct w:val="0"/>
              <w:bidi w:val="0"/>
              <w:snapToGrid/>
              <w:spacing w:line="40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1501.80</w:t>
            </w:r>
          </w:p>
        </w:tc>
        <w:tc>
          <w:tcPr>
            <w:tcW w:w="1323" w:type="dxa"/>
            <w:shd w:val="clear" w:color="auto" w:fill="auto"/>
            <w:vAlign w:val="center"/>
          </w:tcPr>
          <w:p w14:paraId="15F8E0BA">
            <w:pPr>
              <w:keepNext w:val="0"/>
              <w:keepLines w:val="0"/>
              <w:pageBreakBefore w:val="0"/>
              <w:kinsoku/>
              <w:wordWrap/>
              <w:overflowPunct/>
              <w:topLinePunct w:val="0"/>
              <w:bidi w:val="0"/>
              <w:snapToGrid/>
              <w:spacing w:line="400" w:lineRule="exact"/>
              <w:jc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2000.00</w:t>
            </w:r>
          </w:p>
        </w:tc>
        <w:tc>
          <w:tcPr>
            <w:tcW w:w="1457" w:type="dxa"/>
            <w:shd w:val="clear" w:color="auto" w:fill="auto"/>
            <w:vAlign w:val="center"/>
          </w:tcPr>
          <w:p w14:paraId="4FC214CB">
            <w:pPr>
              <w:keepNext w:val="0"/>
              <w:keepLines w:val="0"/>
              <w:pageBreakBefore w:val="0"/>
              <w:kinsoku/>
              <w:wordWrap/>
              <w:overflowPunct/>
              <w:topLinePunct w:val="0"/>
              <w:bidi w:val="0"/>
              <w:snapToGrid/>
              <w:spacing w:line="40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3462.54</w:t>
            </w:r>
          </w:p>
        </w:tc>
        <w:tc>
          <w:tcPr>
            <w:tcW w:w="1510" w:type="dxa"/>
            <w:shd w:val="clear" w:color="auto" w:fill="auto"/>
            <w:vAlign w:val="center"/>
          </w:tcPr>
          <w:p w14:paraId="142F8688">
            <w:pPr>
              <w:keepNext w:val="0"/>
              <w:keepLines w:val="0"/>
              <w:pageBreakBefore w:val="0"/>
              <w:kinsoku/>
              <w:wordWrap/>
              <w:overflowPunct/>
              <w:topLinePunct w:val="0"/>
              <w:bidi w:val="0"/>
              <w:snapToGrid/>
              <w:spacing w:line="40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1960.74</w:t>
            </w:r>
          </w:p>
        </w:tc>
        <w:tc>
          <w:tcPr>
            <w:tcW w:w="1282" w:type="dxa"/>
            <w:shd w:val="clear" w:color="auto" w:fill="auto"/>
            <w:vAlign w:val="center"/>
          </w:tcPr>
          <w:p w14:paraId="2A7826A4">
            <w:pPr>
              <w:keepNext w:val="0"/>
              <w:keepLines w:val="0"/>
              <w:pageBreakBefore w:val="0"/>
              <w:kinsoku/>
              <w:wordWrap/>
              <w:overflowPunct/>
              <w:topLinePunct w:val="0"/>
              <w:bidi w:val="0"/>
              <w:snapToGrid/>
              <w:spacing w:line="40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98.04</w:t>
            </w:r>
          </w:p>
        </w:tc>
      </w:tr>
      <w:tr w14:paraId="09961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3" w:type="dxa"/>
            <w:vMerge w:val="restart"/>
            <w:shd w:val="clear" w:color="auto" w:fill="auto"/>
            <w:vAlign w:val="center"/>
          </w:tcPr>
          <w:p w14:paraId="4EFA6A9B">
            <w:pPr>
              <w:keepNext w:val="0"/>
              <w:keepLines w:val="0"/>
              <w:pageBreakBefore w:val="0"/>
              <w:kinsoku/>
              <w:wordWrap/>
              <w:overflowPunct/>
              <w:topLinePunct w:val="0"/>
              <w:bidi w:val="0"/>
              <w:snapToGrid/>
              <w:spacing w:line="40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CuCd4</w:t>
            </w:r>
          </w:p>
        </w:tc>
        <w:tc>
          <w:tcPr>
            <w:tcW w:w="1047" w:type="dxa"/>
            <w:shd w:val="clear" w:color="auto" w:fill="auto"/>
            <w:vAlign w:val="center"/>
          </w:tcPr>
          <w:p w14:paraId="03F83612">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0.1001</w:t>
            </w:r>
          </w:p>
        </w:tc>
        <w:tc>
          <w:tcPr>
            <w:tcW w:w="1047" w:type="dxa"/>
            <w:shd w:val="clear" w:color="auto" w:fill="auto"/>
            <w:vAlign w:val="center"/>
          </w:tcPr>
          <w:p w14:paraId="552B0F80">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1715.71</w:t>
            </w:r>
          </w:p>
        </w:tc>
        <w:tc>
          <w:tcPr>
            <w:tcW w:w="1323" w:type="dxa"/>
            <w:shd w:val="clear" w:color="auto" w:fill="auto"/>
            <w:vAlign w:val="center"/>
          </w:tcPr>
          <w:p w14:paraId="60E18124">
            <w:pPr>
              <w:keepNext w:val="0"/>
              <w:keepLines w:val="0"/>
              <w:pageBreakBefore w:val="0"/>
              <w:kinsoku/>
              <w:wordWrap/>
              <w:overflowPunct/>
              <w:topLinePunct w:val="0"/>
              <w:bidi w:val="0"/>
              <w:snapToGrid/>
              <w:spacing w:line="400" w:lineRule="exact"/>
              <w:jc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1000.00</w:t>
            </w:r>
          </w:p>
        </w:tc>
        <w:tc>
          <w:tcPr>
            <w:tcW w:w="1457" w:type="dxa"/>
            <w:shd w:val="clear" w:color="auto" w:fill="auto"/>
            <w:vAlign w:val="center"/>
          </w:tcPr>
          <w:p w14:paraId="6C168F3B">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2716.04</w:t>
            </w:r>
          </w:p>
        </w:tc>
        <w:tc>
          <w:tcPr>
            <w:tcW w:w="1510" w:type="dxa"/>
            <w:shd w:val="clear" w:color="auto" w:fill="auto"/>
            <w:vAlign w:val="center"/>
          </w:tcPr>
          <w:p w14:paraId="386982D6">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1002.04</w:t>
            </w:r>
          </w:p>
        </w:tc>
        <w:tc>
          <w:tcPr>
            <w:tcW w:w="1282" w:type="dxa"/>
            <w:shd w:val="clear" w:color="auto" w:fill="auto"/>
            <w:vAlign w:val="center"/>
          </w:tcPr>
          <w:p w14:paraId="5E3B2B15">
            <w:pPr>
              <w:keepNext w:val="0"/>
              <w:keepLines w:val="0"/>
              <w:pageBreakBefore w:val="0"/>
              <w:kinsoku/>
              <w:wordWrap/>
              <w:overflowPunct/>
              <w:topLinePunct w:val="0"/>
              <w:bidi w:val="0"/>
              <w:snapToGrid/>
              <w:spacing w:line="40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100.20</w:t>
            </w:r>
          </w:p>
        </w:tc>
      </w:tr>
      <w:tr w14:paraId="487CC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3" w:type="dxa"/>
            <w:vMerge w:val="continue"/>
            <w:vAlign w:val="center"/>
          </w:tcPr>
          <w:p w14:paraId="11DEA561">
            <w:pPr>
              <w:keepNext w:val="0"/>
              <w:keepLines w:val="0"/>
              <w:pageBreakBefore w:val="0"/>
              <w:kinsoku/>
              <w:wordWrap/>
              <w:overflowPunct/>
              <w:topLinePunct w:val="0"/>
              <w:bidi w:val="0"/>
              <w:snapToGrid/>
              <w:spacing w:line="400" w:lineRule="exact"/>
              <w:jc w:val="center"/>
              <w:rPr>
                <w:rFonts w:hint="eastAsia" w:ascii="宋体" w:hAnsi="宋体" w:eastAsia="宋体" w:cs="宋体"/>
                <w:color w:val="auto"/>
                <w:sz w:val="21"/>
                <w:szCs w:val="21"/>
                <w:highlight w:val="none"/>
              </w:rPr>
            </w:pPr>
          </w:p>
        </w:tc>
        <w:tc>
          <w:tcPr>
            <w:tcW w:w="1047" w:type="dxa"/>
            <w:vAlign w:val="center"/>
          </w:tcPr>
          <w:p w14:paraId="7E06D1ED">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000000"/>
                <w:kern w:val="0"/>
                <w:sz w:val="21"/>
                <w:szCs w:val="21"/>
                <w:u w:val="none"/>
                <w:lang w:val="en-US" w:eastAsia="zh-CN" w:bidi="ar"/>
              </w:rPr>
              <w:t>0.1002</w:t>
            </w:r>
          </w:p>
        </w:tc>
        <w:tc>
          <w:tcPr>
            <w:tcW w:w="1047" w:type="dxa"/>
            <w:vAlign w:val="center"/>
          </w:tcPr>
          <w:p w14:paraId="78FDFCB1">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000000"/>
                <w:kern w:val="0"/>
                <w:sz w:val="21"/>
                <w:szCs w:val="21"/>
                <w:u w:val="none"/>
                <w:lang w:val="en-US" w:eastAsia="zh-CN" w:bidi="ar"/>
              </w:rPr>
              <w:t>1717.43</w:t>
            </w:r>
          </w:p>
        </w:tc>
        <w:tc>
          <w:tcPr>
            <w:tcW w:w="1323" w:type="dxa"/>
            <w:shd w:val="clear" w:color="auto" w:fill="auto"/>
            <w:vAlign w:val="center"/>
          </w:tcPr>
          <w:p w14:paraId="22FABD60">
            <w:pPr>
              <w:keepNext w:val="0"/>
              <w:keepLines w:val="0"/>
              <w:pageBreakBefore w:val="0"/>
              <w:kinsoku/>
              <w:wordWrap/>
              <w:overflowPunct/>
              <w:topLinePunct w:val="0"/>
              <w:bidi w:val="0"/>
              <w:snapToGrid/>
              <w:spacing w:line="400" w:lineRule="exact"/>
              <w:jc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2000.00</w:t>
            </w:r>
          </w:p>
        </w:tc>
        <w:tc>
          <w:tcPr>
            <w:tcW w:w="1457" w:type="dxa"/>
            <w:shd w:val="clear" w:color="auto" w:fill="auto"/>
            <w:vAlign w:val="center"/>
          </w:tcPr>
          <w:p w14:paraId="4369AC01">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3698.28</w:t>
            </w:r>
          </w:p>
        </w:tc>
        <w:tc>
          <w:tcPr>
            <w:tcW w:w="1510" w:type="dxa"/>
            <w:shd w:val="clear" w:color="auto" w:fill="auto"/>
            <w:vAlign w:val="center"/>
          </w:tcPr>
          <w:p w14:paraId="08C66A87">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1984.28</w:t>
            </w:r>
          </w:p>
        </w:tc>
        <w:tc>
          <w:tcPr>
            <w:tcW w:w="1282" w:type="dxa"/>
            <w:shd w:val="clear" w:color="auto" w:fill="auto"/>
            <w:vAlign w:val="center"/>
          </w:tcPr>
          <w:p w14:paraId="1529577F">
            <w:pPr>
              <w:keepNext w:val="0"/>
              <w:keepLines w:val="0"/>
              <w:pageBreakBefore w:val="0"/>
              <w:kinsoku/>
              <w:wordWrap/>
              <w:overflowPunct/>
              <w:topLinePunct w:val="0"/>
              <w:bidi w:val="0"/>
              <w:snapToGrid/>
              <w:spacing w:line="40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99.21</w:t>
            </w:r>
          </w:p>
        </w:tc>
      </w:tr>
    </w:tbl>
    <w:p w14:paraId="7D8E85F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outlineLvl w:val="2"/>
        <w:rPr>
          <w:rFonts w:hint="eastAsia" w:ascii="黑体" w:hAnsi="黑体" w:eastAsia="黑体" w:cs="黑体"/>
          <w:b w:val="0"/>
          <w:bCs w:val="0"/>
          <w:kern w:val="2"/>
          <w:sz w:val="21"/>
          <w:szCs w:val="21"/>
          <w:lang w:val="en-US" w:eastAsia="zh-CN" w:bidi="ar-SA"/>
        </w:rPr>
      </w:pPr>
      <w:r>
        <w:rPr>
          <w:rFonts w:hint="eastAsia" w:ascii="宋体" w:hAnsi="宋体" w:eastAsia="宋体" w:cs="宋体"/>
          <w:color w:val="auto"/>
          <w:sz w:val="21"/>
          <w:szCs w:val="21"/>
          <w:highlight w:val="none"/>
        </w:rPr>
        <w:t>由表1</w:t>
      </w:r>
      <w:r>
        <w:rPr>
          <w:rFonts w:hint="eastAsia" w:ascii="宋体" w:hAnsi="宋体" w:eastAsia="宋体" w:cs="宋体"/>
          <w:color w:val="auto"/>
          <w:sz w:val="21"/>
          <w:szCs w:val="21"/>
          <w:highlight w:val="none"/>
          <w:lang w:val="en-US" w:eastAsia="zh-CN"/>
        </w:rPr>
        <w:t>4可知</w:t>
      </w:r>
      <w:r>
        <w:rPr>
          <w:rFonts w:hint="eastAsia" w:ascii="宋体" w:hAnsi="宋体" w:eastAsia="宋体" w:cs="宋体"/>
          <w:color w:val="auto"/>
          <w:sz w:val="21"/>
          <w:szCs w:val="21"/>
          <w:highlight w:val="none"/>
        </w:rPr>
        <w:t>，方法的回收率在98</w:t>
      </w:r>
      <w:r>
        <w:rPr>
          <w:rFonts w:hint="eastAsia" w:ascii="宋体" w:hAnsi="宋体" w:eastAsia="宋体" w:cs="宋体"/>
          <w:color w:val="auto"/>
          <w:sz w:val="21"/>
          <w:szCs w:val="21"/>
          <w:highlight w:val="none"/>
          <w:lang w:val="en-US" w:eastAsia="zh-CN"/>
        </w:rPr>
        <w:t>.04</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101.83</w:t>
      </w:r>
      <w:r>
        <w:rPr>
          <w:rFonts w:hint="eastAsia" w:ascii="宋体" w:hAnsi="宋体" w:eastAsia="宋体" w:cs="宋体"/>
          <w:color w:val="auto"/>
          <w:sz w:val="21"/>
          <w:szCs w:val="21"/>
          <w:highlight w:val="none"/>
        </w:rPr>
        <w:t>% 之间，</w:t>
      </w:r>
      <w:r>
        <w:rPr>
          <w:rFonts w:hint="eastAsia" w:ascii="宋体" w:hAnsi="宋体" w:eastAsia="宋体" w:cs="宋体"/>
          <w:b w:val="0"/>
          <w:bCs w:val="0"/>
          <w:color w:val="000000"/>
          <w:sz w:val="21"/>
          <w:szCs w:val="21"/>
          <w:highlight w:val="none"/>
        </w:rPr>
        <w:t>证明本方法有较好的准确度</w:t>
      </w:r>
      <w:r>
        <w:rPr>
          <w:rFonts w:hint="eastAsia" w:ascii="宋体" w:hAnsi="宋体" w:eastAsia="宋体" w:cs="宋体"/>
          <w:color w:val="auto"/>
          <w:sz w:val="21"/>
          <w:szCs w:val="21"/>
          <w:highlight w:val="none"/>
        </w:rPr>
        <w:t>。</w:t>
      </w:r>
    </w:p>
    <w:p w14:paraId="1102CDF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outlineLvl w:val="2"/>
        <w:rPr>
          <w:rFonts w:hint="eastAsia" w:ascii="黑体" w:hAnsi="黑体" w:eastAsia="黑体" w:cs="黑体"/>
          <w:b w:val="0"/>
          <w:bCs w:val="0"/>
          <w:kern w:val="2"/>
          <w:sz w:val="21"/>
          <w:szCs w:val="21"/>
          <w:lang w:val="en-US" w:eastAsia="zh-CN" w:bidi="ar-SA"/>
        </w:rPr>
      </w:pPr>
    </w:p>
    <w:bookmarkEnd w:id="1"/>
    <w:p w14:paraId="3D090F3D">
      <w:pPr>
        <w:pStyle w:val="3"/>
        <w:keepNext w:val="0"/>
        <w:keepLines w:val="0"/>
        <w:pageBreakBefore w:val="0"/>
        <w:widowControl w:val="0"/>
        <w:kinsoku/>
        <w:wordWrap/>
        <w:overflowPunct/>
        <w:topLinePunct w:val="0"/>
        <w:autoSpaceDE/>
        <w:autoSpaceDN/>
        <w:bidi w:val="0"/>
        <w:adjustRightInd/>
        <w:snapToGrid/>
        <w:textAlignment w:val="auto"/>
        <w:rPr>
          <w:rFonts w:hint="eastAsia"/>
          <w:b w:val="0"/>
          <w:bCs/>
          <w:color w:val="auto"/>
          <w:szCs w:val="21"/>
        </w:rPr>
      </w:pPr>
    </w:p>
    <w:p w14:paraId="233434CE">
      <w:pPr>
        <w:pStyle w:val="3"/>
        <w:numPr>
          <w:ilvl w:val="0"/>
          <w:numId w:val="0"/>
        </w:numPr>
        <w:ind w:firstLine="420" w:firstLineChars="200"/>
        <w:jc w:val="center"/>
        <w:rPr>
          <w:rFonts w:hint="default"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w:t>
      </w:r>
    </w:p>
    <w:p w14:paraId="7A8585F2">
      <w:pPr>
        <w:pStyle w:val="3"/>
        <w:numPr>
          <w:ilvl w:val="0"/>
          <w:numId w:val="0"/>
        </w:numPr>
        <w:ind w:leftChars="0"/>
        <w:rPr>
          <w:rFonts w:hint="eastAsia" w:ascii="黑体" w:hAnsi="宋体" w:eastAsia="黑体" w:cs="宋体"/>
          <w:bCs/>
          <w:color w:val="auto"/>
          <w:sz w:val="21"/>
          <w:szCs w:val="21"/>
          <w:lang w:val="en-US" w:eastAsia="zh-CN"/>
        </w:rPr>
      </w:pPr>
      <w:r>
        <w:rPr>
          <w:rFonts w:hint="eastAsia" w:ascii="黑体" w:hAnsi="宋体" w:eastAsia="黑体" w:cs="宋体"/>
          <w:bCs/>
          <w:color w:val="auto"/>
          <w:sz w:val="21"/>
          <w:szCs w:val="21"/>
          <w:lang w:val="en-US" w:eastAsia="zh-CN"/>
        </w:rPr>
        <w:t>（四）标准的先进性、创新性、标准实施后预期产生的经济效益和社会效益</w:t>
      </w:r>
    </w:p>
    <w:p w14:paraId="1514DCBD">
      <w:pPr>
        <w:pStyle w:val="3"/>
        <w:numPr>
          <w:ilvl w:val="0"/>
          <w:numId w:val="0"/>
        </w:numPr>
        <w:ind w:firstLine="422" w:firstLineChars="200"/>
        <w:rPr>
          <w:rFonts w:hint="eastAsia" w:ascii="宋体" w:hAnsi="宋体" w:eastAsiaTheme="minorEastAsia" w:cstheme="minorBidi"/>
          <w:b/>
          <w:bCs/>
          <w:color w:val="auto"/>
          <w:kern w:val="2"/>
          <w:sz w:val="21"/>
          <w:szCs w:val="21"/>
          <w:lang w:val="en-US" w:eastAsia="zh-CN" w:bidi="ar-SA"/>
        </w:rPr>
      </w:pPr>
      <w:r>
        <w:rPr>
          <w:rFonts w:hint="eastAsia" w:ascii="宋体" w:hAnsi="宋体" w:eastAsiaTheme="minorEastAsia" w:cstheme="minorBidi"/>
          <w:b/>
          <w:bCs/>
          <w:color w:val="auto"/>
          <w:kern w:val="2"/>
          <w:sz w:val="21"/>
          <w:szCs w:val="21"/>
          <w:lang w:val="en-US" w:eastAsia="zh-CN" w:bidi="ar-SA"/>
        </w:rPr>
        <w:t>4.1先进性、创新性</w:t>
      </w:r>
    </w:p>
    <w:p w14:paraId="59DAAC14">
      <w:pPr>
        <w:pStyle w:val="3"/>
        <w:numPr>
          <w:ilvl w:val="0"/>
          <w:numId w:val="0"/>
        </w:numPr>
        <w:ind w:firstLine="420" w:firstLineChars="200"/>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该标准的制定，对铜及铜合金产品的生产、研发和贸易有重要的指导意义，也使GB/T 5121系列标准更加完善，增强其实用性和适用范围，发挥国家标准在国内和国际市场上作用，提高我国检测标准水平，具有良好的社会效益。对推动我国铜及铜合金材料的研发、生产和贸易等活动有着重要意义。</w:t>
      </w:r>
    </w:p>
    <w:p w14:paraId="50AF659D">
      <w:pPr>
        <w:pStyle w:val="3"/>
        <w:numPr>
          <w:ilvl w:val="0"/>
          <w:numId w:val="0"/>
        </w:numPr>
        <w:ind w:firstLine="422" w:firstLineChars="200"/>
        <w:rPr>
          <w:rFonts w:hint="eastAsia" w:ascii="宋体" w:hAnsi="宋体" w:eastAsiaTheme="minorEastAsia" w:cstheme="minorBidi"/>
          <w:b/>
          <w:bCs/>
          <w:color w:val="auto"/>
          <w:kern w:val="2"/>
          <w:sz w:val="21"/>
          <w:szCs w:val="21"/>
          <w:lang w:val="en-US" w:eastAsia="zh-CN" w:bidi="ar-SA"/>
        </w:rPr>
      </w:pPr>
      <w:r>
        <w:rPr>
          <w:rFonts w:hint="eastAsia" w:ascii="宋体" w:hAnsi="宋体" w:eastAsiaTheme="minorEastAsia" w:cstheme="minorBidi"/>
          <w:b/>
          <w:bCs/>
          <w:color w:val="auto"/>
          <w:kern w:val="2"/>
          <w:sz w:val="21"/>
          <w:szCs w:val="21"/>
          <w:lang w:val="en-US" w:eastAsia="zh-CN" w:bidi="ar-SA"/>
        </w:rPr>
        <w:t>4.2经济效益</w:t>
      </w:r>
    </w:p>
    <w:p w14:paraId="6382ECCD">
      <w:pPr>
        <w:pStyle w:val="3"/>
        <w:numPr>
          <w:ilvl w:val="0"/>
          <w:numId w:val="0"/>
        </w:numPr>
        <w:ind w:firstLine="420" w:firstLineChars="200"/>
        <w:rPr>
          <w:rFonts w:hint="eastAsia" w:ascii="宋体" w:hAnsi="宋体" w:eastAsiaTheme="minorEastAsia" w:cstheme="minorBidi"/>
          <w:color w:val="auto"/>
          <w:kern w:val="2"/>
          <w:sz w:val="21"/>
          <w:szCs w:val="21"/>
          <w:lang w:val="en-US" w:eastAsia="zh-CN" w:bidi="ar-SA"/>
        </w:rPr>
      </w:pPr>
      <w:r>
        <w:rPr>
          <w:rFonts w:hint="eastAsia" w:ascii="宋体" w:eastAsia="宋体"/>
          <w:sz w:val="21"/>
          <w:szCs w:val="21"/>
          <w:lang w:val="en-US" w:eastAsia="zh-CN"/>
        </w:rPr>
        <w:t>新标准的制定和发布将推动铜及铜合金产业的发展，提升产品的质量和竞争力。通过完善铋含量的测定方法，企业可以更加准确地控制产品中的镉含量，从而生产出符合市场需求的高品质铜及铜合金产品。这将有助于提高企业的生产效率和经济效益，增强其在国内外市场的竞争力</w:t>
      </w:r>
      <w:r>
        <w:rPr>
          <w:rFonts w:hint="eastAsia" w:ascii="宋体" w:hAnsi="宋体" w:eastAsiaTheme="minorEastAsia" w:cstheme="minorBidi"/>
          <w:color w:val="auto"/>
          <w:kern w:val="2"/>
          <w:sz w:val="21"/>
          <w:szCs w:val="21"/>
          <w:lang w:val="en-US" w:eastAsia="zh-CN" w:bidi="ar-SA"/>
        </w:rPr>
        <w:t>。</w:t>
      </w:r>
    </w:p>
    <w:p w14:paraId="1D65C90E">
      <w:pPr>
        <w:pStyle w:val="4"/>
        <w:keepNext w:val="0"/>
        <w:keepLines w:val="0"/>
        <w:pageBreakBefore w:val="0"/>
        <w:widowControl w:val="0"/>
        <w:kinsoku/>
        <w:wordWrap/>
        <w:overflowPunct/>
        <w:topLinePunct w:val="0"/>
        <w:autoSpaceDE/>
        <w:autoSpaceDN/>
        <w:bidi w:val="0"/>
        <w:adjustRightInd/>
        <w:snapToGrid/>
        <w:spacing w:line="240" w:lineRule="auto"/>
        <w:ind w:firstLine="422" w:firstLineChars="200"/>
        <w:jc w:val="both"/>
        <w:textAlignment w:val="auto"/>
        <w:rPr>
          <w:rFonts w:hint="eastAsia" w:ascii="宋体" w:hAnsi="宋体" w:eastAsiaTheme="minorEastAsia" w:cstheme="minorBidi"/>
          <w:b/>
          <w:bCs/>
          <w:color w:val="auto"/>
          <w:kern w:val="2"/>
          <w:sz w:val="21"/>
          <w:szCs w:val="21"/>
          <w:lang w:val="en-US" w:eastAsia="zh-CN" w:bidi="ar-SA"/>
        </w:rPr>
      </w:pPr>
      <w:r>
        <w:rPr>
          <w:rFonts w:hint="eastAsia" w:ascii="宋体" w:hAnsi="宋体" w:eastAsiaTheme="minorEastAsia" w:cstheme="minorBidi"/>
          <w:b/>
          <w:bCs/>
          <w:color w:val="auto"/>
          <w:kern w:val="2"/>
          <w:sz w:val="21"/>
          <w:szCs w:val="21"/>
          <w:lang w:val="en-US" w:eastAsia="zh-CN" w:bidi="ar-SA"/>
        </w:rPr>
        <w:t>4.3社会效益</w:t>
      </w:r>
    </w:p>
    <w:p w14:paraId="79A8E373">
      <w:pPr>
        <w:pStyle w:val="4"/>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rPr>
          <w:rFonts w:hint="eastAsia" w:ascii="宋体" w:hAnsi="宋体" w:eastAsiaTheme="minorEastAsia" w:cstheme="minorBidi"/>
          <w:b/>
          <w:bCs/>
          <w:color w:val="auto"/>
          <w:kern w:val="2"/>
          <w:sz w:val="21"/>
          <w:szCs w:val="21"/>
          <w:lang w:val="en-US" w:eastAsia="zh-CN" w:bidi="ar-SA"/>
        </w:rPr>
      </w:pPr>
      <w:r>
        <w:rPr>
          <w:rFonts w:hint="eastAsia" w:ascii="宋体" w:eastAsia="宋体"/>
          <w:b w:val="0"/>
          <w:bCs w:val="0"/>
          <w:sz w:val="21"/>
          <w:szCs w:val="21"/>
          <w:lang w:val="en-US" w:eastAsia="zh-CN"/>
        </w:rPr>
        <w:t>该项目的实施还将促进有色金属标准化体系的优化升级，使GB/T 5121系列标准更加完善，提升我国在国际标准化领域的影响力和话语权。通过与国际国外同类型标准相比，本项目结项后有望达到国际先进水平，这将有助于提升我国的国际形象和地位，推动我国经济的高质量发展</w:t>
      </w:r>
      <w:r>
        <w:rPr>
          <w:rFonts w:hint="eastAsia" w:ascii="宋体"/>
          <w:b w:val="0"/>
          <w:bCs w:val="0"/>
          <w:sz w:val="21"/>
          <w:szCs w:val="21"/>
          <w:lang w:val="en-US" w:eastAsia="zh-CN"/>
        </w:rPr>
        <w:t>。</w:t>
      </w:r>
    </w:p>
    <w:p w14:paraId="28E52AE8">
      <w:pPr>
        <w:pStyle w:val="4"/>
        <w:keepNext w:val="0"/>
        <w:keepLines w:val="0"/>
        <w:pageBreakBefore w:val="0"/>
        <w:widowControl w:val="0"/>
        <w:kinsoku/>
        <w:wordWrap/>
        <w:overflowPunct/>
        <w:topLinePunct w:val="0"/>
        <w:autoSpaceDE/>
        <w:autoSpaceDN/>
        <w:bidi w:val="0"/>
        <w:adjustRightInd/>
        <w:snapToGrid/>
        <w:spacing w:line="240" w:lineRule="auto"/>
        <w:ind w:firstLine="422" w:firstLineChars="200"/>
        <w:jc w:val="both"/>
        <w:textAlignment w:val="auto"/>
        <w:rPr>
          <w:rFonts w:hint="eastAsia" w:ascii="宋体" w:eastAsia="宋体"/>
          <w:b w:val="0"/>
          <w:bCs w:val="0"/>
          <w:sz w:val="21"/>
          <w:szCs w:val="21"/>
          <w:lang w:val="en-US" w:eastAsia="zh-CN"/>
        </w:rPr>
      </w:pPr>
      <w:r>
        <w:rPr>
          <w:rFonts w:hint="eastAsia" w:ascii="宋体" w:hAnsi="宋体" w:eastAsiaTheme="minorEastAsia" w:cstheme="minorBidi"/>
          <w:b/>
          <w:bCs/>
          <w:color w:val="auto"/>
          <w:kern w:val="2"/>
          <w:sz w:val="21"/>
          <w:szCs w:val="21"/>
          <w:lang w:val="en-US" w:eastAsia="zh-CN" w:bidi="ar-SA"/>
        </w:rPr>
        <w:t>4.4 生态效益</w:t>
      </w:r>
    </w:p>
    <w:p w14:paraId="0685DC3A">
      <w:pPr>
        <w:pStyle w:val="3"/>
        <w:numPr>
          <w:ilvl w:val="0"/>
          <w:numId w:val="0"/>
        </w:numPr>
        <w:ind w:firstLine="420" w:firstLineChars="200"/>
        <w:rPr>
          <w:rFonts w:hint="eastAsia" w:ascii="宋体" w:hAnsi="宋体" w:eastAsiaTheme="minorEastAsia" w:cstheme="minorBidi"/>
          <w:color w:val="auto"/>
          <w:kern w:val="2"/>
          <w:sz w:val="21"/>
          <w:szCs w:val="21"/>
          <w:lang w:val="en-US" w:eastAsia="zh-CN" w:bidi="ar-SA"/>
        </w:rPr>
      </w:pPr>
      <w:r>
        <w:rPr>
          <w:rFonts w:hint="eastAsia" w:ascii="宋体" w:eastAsia="宋体"/>
          <w:sz w:val="21"/>
          <w:szCs w:val="21"/>
          <w:lang w:val="en-US" w:eastAsia="zh-CN"/>
        </w:rPr>
        <w:t>在社会环境效益方面，通过准确测定铜及铜合金中的镉含量，企业可以更好地控制材料的成分和性能，从而生产出更加环保、可持续的铜合金产品。这将有助于减少环境污染和资源浪费，推动绿色发展和可持续发展</w:t>
      </w:r>
      <w:r>
        <w:rPr>
          <w:rFonts w:hint="eastAsia" w:ascii="宋体" w:hAnsi="宋体" w:eastAsiaTheme="minorEastAsia" w:cstheme="minorBidi"/>
          <w:color w:val="auto"/>
          <w:kern w:val="2"/>
          <w:sz w:val="21"/>
          <w:szCs w:val="21"/>
          <w:lang w:val="en-US" w:eastAsia="zh-CN" w:bidi="ar-SA"/>
        </w:rPr>
        <w:t>。</w:t>
      </w:r>
    </w:p>
    <w:p w14:paraId="73918671">
      <w:pPr>
        <w:pStyle w:val="3"/>
        <w:numPr>
          <w:ilvl w:val="0"/>
          <w:numId w:val="0"/>
        </w:numPr>
        <w:rPr>
          <w:rFonts w:hint="default" w:ascii="黑体" w:hAnsi="宋体" w:eastAsia="黑体" w:cs="宋体"/>
          <w:bCs/>
          <w:color w:val="auto"/>
          <w:sz w:val="21"/>
          <w:szCs w:val="21"/>
          <w:lang w:val="en-US"/>
        </w:rPr>
      </w:pPr>
      <w:r>
        <w:rPr>
          <w:rFonts w:hint="eastAsia" w:ascii="黑体" w:hAnsi="宋体" w:eastAsia="黑体" w:cs="宋体"/>
          <w:bCs/>
          <w:color w:val="auto"/>
          <w:sz w:val="21"/>
          <w:szCs w:val="21"/>
          <w:lang w:val="en-US" w:eastAsia="zh-CN"/>
        </w:rPr>
        <w:t>四、与国际标准和国外先进标准技术内容的对比</w:t>
      </w:r>
    </w:p>
    <w:p w14:paraId="569AC062">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对于铜及铜合金中镉的化学分析方法，国外主要还有以下标准：国际标准ISO 5960：1984，已被本标准采用；欧盟标准EN 15616:2012，采用火焰原子吸收光谱法，测定范围分别为0.0005%～0.10%；日本标准JIS H1069：2006，分别采用两项火焰原子吸收光谱法、一项萃取-火焰原子吸收光谱法和ICP-OES法，测定范围分别为0.0005%～2.00%、0.0005%～0.010%、0.00002%～0.0003%和0.0005%～0.010%。</w:t>
      </w:r>
    </w:p>
    <w:p w14:paraId="4326B5BD">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eastAsia" w:ascii="宋体" w:hAnsi="宋体" w:eastAsia="宋体" w:cs="宋体"/>
          <w:kern w:val="2"/>
          <w:sz w:val="21"/>
          <w:szCs w:val="21"/>
          <w:highlight w:val="yellow"/>
          <w:lang w:val="en-US" w:eastAsia="zh-CN" w:bidi="ar-SA"/>
        </w:rPr>
      </w:pPr>
      <w:r>
        <w:rPr>
          <w:rFonts w:hint="eastAsia" w:ascii="宋体" w:hAnsi="宋体" w:eastAsia="宋体" w:cs="宋体"/>
          <w:kern w:val="2"/>
          <w:sz w:val="21"/>
          <w:szCs w:val="21"/>
          <w:highlight w:val="none"/>
          <w:lang w:val="en-US" w:eastAsia="zh-CN" w:bidi="ar-SA"/>
        </w:rPr>
        <w:t>本标准与上述国际及国外先进标准在技术内容上既有共性，也存在一定差异。共性方面，均围绕铜及铜合金中镉含量的准确测定展开，且火焰原子吸收光谱法是国际上广泛应用的成熟技术，本标准与EN 15616:2012、JIS H1069：2006中的部分方法原理一致，均利用镉原子对特定波长光的吸收特性进行定量分析。在测定范围上，本标准覆盖了0.00005%～2.00%的镉质量分数，相较于EN 15616:2012的0.0005%～0.10%，以及JIS H1069：2006的0.00002%～2.00%（其中0.00002%～0.0005%需采用萃取-火焰原子吸收光谱法），本标准无需采用萃取等复杂前处理步骤，直接通过优化仪器参数和基体干扰消除措施，即可实现0.00005%～2.00%的宽范围覆盖，在保证低检出限的同时，简化了操作流程，提升了分析效率。在干扰因素处理方面，本标准针对铜基体以及铜合金中常见的Zn、Bi、Mg、Sb、Sn等多种杂质元素进行了系统的干扰试验，明确了铜基体浓度在10 mg/mL内无显著干扰，且各杂质元素在其最高可能含量下对镉测定的吸光度影响微小，无需进行复杂的基体匹配或分离操作，这与部分国外标准中可能需要额外基体匹配或萃取分离以消除干扰的做法相比，更具操作简便性和实用性。综合来看，本标准在测定范围的实用性、操作的简便性、精密度和准确度的可靠性以及对复杂基体和杂质干扰的有效控制等方面，均达到或优于国际及国外先进标准水平，为铜及铜合金中镉含量的测定提供了更为高效、经济且可靠的技术方案。</w:t>
      </w:r>
    </w:p>
    <w:p w14:paraId="384A44B5">
      <w:pPr>
        <w:keepNext w:val="0"/>
        <w:keepLines w:val="0"/>
        <w:pageBreakBefore w:val="0"/>
        <w:numPr>
          <w:ilvl w:val="0"/>
          <w:numId w:val="11"/>
        </w:numPr>
        <w:kinsoku/>
        <w:wordWrap/>
        <w:overflowPunct/>
        <w:topLinePunct w:val="0"/>
        <w:bidi w:val="0"/>
        <w:snapToGrid/>
        <w:spacing w:beforeLines="50" w:afterLines="50" w:line="440" w:lineRule="exact"/>
        <w:textAlignment w:val="auto"/>
        <w:rPr>
          <w:rFonts w:ascii="黑体" w:hAnsi="宋体" w:eastAsia="黑体" w:cs="宋体"/>
          <w:bCs/>
          <w:color w:val="auto"/>
          <w:sz w:val="21"/>
          <w:szCs w:val="21"/>
        </w:rPr>
      </w:pPr>
      <w:r>
        <w:rPr>
          <w:rFonts w:hint="eastAsia" w:ascii="黑体" w:hAnsi="宋体" w:eastAsia="黑体" w:cs="宋体"/>
          <w:bCs/>
          <w:color w:val="auto"/>
          <w:sz w:val="21"/>
          <w:szCs w:val="21"/>
          <w:lang w:val="en-US" w:eastAsia="zh-CN"/>
        </w:rPr>
        <w:t>以国际标准为基础的起草情况以及是否合规采用国际国外标准、未采用国际标准的原因</w:t>
      </w:r>
    </w:p>
    <w:p w14:paraId="30B0674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textAlignment w:val="auto"/>
        <w:rPr>
          <w:rFonts w:hint="default"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本标准修改采用了ISO 5960：1984，在采用过程中，对原国际标准的技术内容进行了必要的验证和适应性调整。首先，针对我国铜及铜合金产品的实际特点和检测需求，对标准的测定范围进行了优化，将原ISO标准中检测下限从0.0005%提高至0.0010%，使其在具备更好的检测精度情况下，与方法一的检测范围相衔接。其次，在试验方法上，通过系统的干扰试验，补充了针对我国铜合金中常见高含量元素（如Zn、Bi、Mg等）的干扰数据和消除措施，进一步完善了方法的抗干扰能力，这部分内容在原ISO标准中未作详细阐述。特别是铜基体的干扰试验，简化了原国际标准中可能需要的基体匹配步骤，通过实验验证明确了铜基体浓度在10 mg/mL内对镉测定无显著影响，从而无需进行复杂的基体匹配，有效提升了检测效率。</w:t>
      </w:r>
    </w:p>
    <w:p w14:paraId="5CAF0553">
      <w:pPr>
        <w:keepNext w:val="0"/>
        <w:keepLines w:val="0"/>
        <w:pageBreakBefore w:val="0"/>
        <w:widowControl w:val="0"/>
        <w:numPr>
          <w:ilvl w:val="0"/>
          <w:numId w:val="0"/>
        </w:numPr>
        <w:kinsoku/>
        <w:wordWrap/>
        <w:overflowPunct/>
        <w:topLinePunct w:val="0"/>
        <w:autoSpaceDE/>
        <w:autoSpaceDN/>
        <w:bidi w:val="0"/>
        <w:adjustRightInd/>
        <w:snapToGrid/>
        <w:spacing w:beforeLines="50" w:afterLines="50" w:line="240" w:lineRule="auto"/>
        <w:ind w:firstLine="420" w:firstLineChars="200"/>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highlight w:val="none"/>
          <w:lang w:val="en-US" w:eastAsia="zh-CN" w:bidi="ar-SA"/>
        </w:rPr>
        <w:t>未完全等同采用ISO 5960：1984的主要原因在于，原国际标准发布时间较早（1984年），部分技术内容已不能完全适应当前国内铜及铜合金产业的发展现状和检测技术的进步，通过上述修改和补充，使本标准在保持与国际标准技术原理一致性的基础上，更具科学性、先进性和实用性，能够更好地服务于国内相关产业的发展和国际贸易需求。</w:t>
      </w:r>
    </w:p>
    <w:p w14:paraId="5EDE5AA9">
      <w:pPr>
        <w:keepNext w:val="0"/>
        <w:keepLines w:val="0"/>
        <w:pageBreakBefore w:val="0"/>
        <w:numPr>
          <w:ilvl w:val="0"/>
          <w:numId w:val="11"/>
        </w:numPr>
        <w:kinsoku/>
        <w:wordWrap/>
        <w:overflowPunct/>
        <w:topLinePunct w:val="0"/>
        <w:bidi w:val="0"/>
        <w:snapToGrid/>
        <w:spacing w:beforeLines="50" w:afterLines="50" w:line="440" w:lineRule="exact"/>
        <w:textAlignment w:val="auto"/>
        <w:rPr>
          <w:rFonts w:ascii="黑体" w:hAnsi="宋体" w:eastAsia="黑体" w:cs="宋体"/>
          <w:bCs/>
          <w:color w:val="auto"/>
          <w:sz w:val="21"/>
          <w:szCs w:val="21"/>
        </w:rPr>
      </w:pPr>
      <w:r>
        <w:rPr>
          <w:rFonts w:hint="eastAsia" w:ascii="黑体" w:hAnsi="宋体" w:eastAsia="黑体" w:cs="宋体"/>
          <w:bCs/>
          <w:color w:val="auto"/>
          <w:sz w:val="21"/>
          <w:szCs w:val="21"/>
        </w:rPr>
        <w:t>与</w:t>
      </w:r>
      <w:r>
        <w:rPr>
          <w:rFonts w:hint="eastAsia" w:ascii="黑体" w:hAnsi="宋体" w:eastAsia="黑体" w:cs="宋体"/>
          <w:bCs/>
          <w:color w:val="auto"/>
          <w:sz w:val="21"/>
          <w:szCs w:val="21"/>
          <w:lang w:val="en-US" w:eastAsia="zh-CN"/>
        </w:rPr>
        <w:t>有关</w:t>
      </w:r>
      <w:r>
        <w:rPr>
          <w:rFonts w:hint="eastAsia" w:ascii="黑体" w:hAnsi="宋体" w:eastAsia="黑体" w:cs="宋体"/>
          <w:bCs/>
          <w:color w:val="auto"/>
          <w:sz w:val="21"/>
          <w:szCs w:val="21"/>
        </w:rPr>
        <w:t>法律、</w:t>
      </w:r>
      <w:r>
        <w:rPr>
          <w:rFonts w:hint="eastAsia" w:ascii="黑体" w:hAnsi="宋体" w:eastAsia="黑体" w:cs="宋体"/>
          <w:bCs/>
          <w:color w:val="auto"/>
          <w:sz w:val="21"/>
          <w:szCs w:val="21"/>
          <w:lang w:val="en-US" w:eastAsia="zh-CN"/>
        </w:rPr>
        <w:t>行政</w:t>
      </w:r>
      <w:r>
        <w:rPr>
          <w:rFonts w:hint="eastAsia" w:ascii="黑体" w:hAnsi="宋体" w:eastAsia="黑体" w:cs="宋体"/>
          <w:bCs/>
          <w:color w:val="auto"/>
          <w:sz w:val="21"/>
          <w:szCs w:val="21"/>
        </w:rPr>
        <w:t>法规及相关标准</w:t>
      </w:r>
      <w:r>
        <w:rPr>
          <w:rFonts w:hint="eastAsia" w:ascii="黑体" w:hAnsi="宋体" w:eastAsia="黑体" w:cs="宋体"/>
          <w:bCs/>
          <w:color w:val="auto"/>
          <w:sz w:val="21"/>
          <w:szCs w:val="21"/>
          <w:lang w:val="en-US" w:eastAsia="zh-CN"/>
        </w:rPr>
        <w:t>的关系</w:t>
      </w:r>
    </w:p>
    <w:p w14:paraId="5DDE9058">
      <w:pPr>
        <w:pStyle w:val="2"/>
        <w:keepNext w:val="0"/>
        <w:keepLines w:val="0"/>
        <w:pageBreakBefore w:val="0"/>
        <w:kinsoku/>
        <w:wordWrap/>
        <w:overflowPunct/>
        <w:topLinePunct w:val="0"/>
        <w:bidi w:val="0"/>
        <w:snapToGrid/>
        <w:spacing w:line="240" w:lineRule="auto"/>
        <w:ind w:firstLine="420" w:firstLineChars="200"/>
        <w:textAlignment w:val="auto"/>
        <w:rPr>
          <w:rFonts w:hint="eastAsia" w:eastAsia="宋体"/>
          <w:color w:val="auto"/>
          <w:sz w:val="21"/>
          <w:szCs w:val="21"/>
          <w:lang w:eastAsia="zh-CN"/>
        </w:rPr>
      </w:pPr>
      <w:r>
        <w:rPr>
          <w:rFonts w:hint="eastAsia" w:ascii="宋体" w:hAnsi="宋体" w:eastAsia="宋体" w:cs="宋体"/>
          <w:sz w:val="21"/>
          <w:szCs w:val="21"/>
          <w:lang w:val="en-US" w:eastAsia="zh-CN"/>
        </w:rPr>
        <w:t>目前，该标准与正在实施的GB/T 5121系列标准中的其他28个部分配套使用，本部分测定的元素为</w:t>
      </w:r>
      <w:r>
        <w:rPr>
          <w:rFonts w:hint="eastAsia" w:cs="宋体"/>
          <w:sz w:val="21"/>
          <w:szCs w:val="21"/>
          <w:lang w:val="en-US" w:eastAsia="zh-CN"/>
        </w:rPr>
        <w:t>镉</w:t>
      </w:r>
      <w:r>
        <w:rPr>
          <w:rFonts w:hint="eastAsia" w:ascii="宋体" w:hAnsi="宋体" w:eastAsia="宋体" w:cs="宋体"/>
          <w:sz w:val="21"/>
          <w:szCs w:val="21"/>
          <w:lang w:val="en-US" w:eastAsia="zh-CN"/>
        </w:rPr>
        <w:t>，与其他各部分均无重复和冲突。该系列标准目前尚无其他部分正在制定中，因此本标准</w:t>
      </w:r>
      <w:r>
        <w:rPr>
          <w:rFonts w:hint="eastAsia" w:ascii="宋体" w:hAnsi="宋体" w:eastAsia="宋体" w:cs="宋体"/>
          <w:sz w:val="21"/>
          <w:szCs w:val="21"/>
        </w:rPr>
        <w:t>与现有标准、制定中标准</w:t>
      </w:r>
      <w:r>
        <w:rPr>
          <w:rFonts w:hint="eastAsia" w:ascii="宋体" w:hAnsi="宋体" w:eastAsia="宋体" w:cs="宋体"/>
          <w:sz w:val="21"/>
          <w:szCs w:val="21"/>
          <w:lang w:eastAsia="zh-CN"/>
        </w:rPr>
        <w:t>没有矛盾。</w:t>
      </w:r>
    </w:p>
    <w:p w14:paraId="6E528D9E">
      <w:pPr>
        <w:keepNext w:val="0"/>
        <w:keepLines w:val="0"/>
        <w:pageBreakBefore w:val="0"/>
        <w:kinsoku/>
        <w:wordWrap/>
        <w:overflowPunct/>
        <w:topLinePunct w:val="0"/>
        <w:bidi w:val="0"/>
        <w:snapToGrid/>
        <w:spacing w:line="240" w:lineRule="auto"/>
        <w:ind w:firstLine="420" w:firstLineChars="200"/>
        <w:textAlignment w:val="auto"/>
        <w:rPr>
          <w:rFonts w:ascii="宋体" w:hAnsi="宋体"/>
          <w:color w:val="auto"/>
          <w:sz w:val="21"/>
          <w:szCs w:val="21"/>
        </w:rPr>
      </w:pPr>
      <w:r>
        <w:rPr>
          <w:rFonts w:hint="eastAsia" w:ascii="宋体" w:hAnsi="宋体"/>
          <w:color w:val="auto"/>
          <w:sz w:val="21"/>
          <w:szCs w:val="21"/>
        </w:rPr>
        <w:t>本标准符合现行法律、法规的要求，并与其他同类国家标准、国家J用标准、行业标准无冲突、重叠和不协调之处。</w:t>
      </w:r>
    </w:p>
    <w:p w14:paraId="64DA2FDF">
      <w:pPr>
        <w:keepNext w:val="0"/>
        <w:keepLines w:val="0"/>
        <w:pageBreakBefore w:val="0"/>
        <w:numPr>
          <w:ilvl w:val="0"/>
          <w:numId w:val="11"/>
        </w:numPr>
        <w:kinsoku/>
        <w:wordWrap/>
        <w:overflowPunct/>
        <w:topLinePunct w:val="0"/>
        <w:bidi w:val="0"/>
        <w:snapToGrid/>
        <w:spacing w:beforeLines="50" w:afterLines="50" w:line="440" w:lineRule="exact"/>
        <w:ind w:left="0" w:leftChars="0" w:firstLine="0" w:firstLineChars="0"/>
        <w:textAlignment w:val="auto"/>
        <w:rPr>
          <w:rFonts w:hint="eastAsia"/>
          <w:lang w:val="en-US" w:eastAsia="zh-CN"/>
        </w:rPr>
      </w:pPr>
      <w:bookmarkStart w:id="2" w:name="_Toc32100"/>
      <w:r>
        <w:rPr>
          <w:rFonts w:hint="eastAsia" w:ascii="黑体" w:hAnsi="宋体" w:eastAsia="黑体" w:cs="宋体"/>
          <w:bCs/>
          <w:color w:val="auto"/>
          <w:sz w:val="21"/>
          <w:szCs w:val="21"/>
          <w:lang w:val="en-US" w:eastAsia="zh-CN"/>
        </w:rPr>
        <w:t>重大分歧意见的处理经过和依据</w:t>
      </w:r>
    </w:p>
    <w:p w14:paraId="27C01A9E">
      <w:pPr>
        <w:keepNext w:val="0"/>
        <w:keepLines w:val="0"/>
        <w:pageBreakBefore w:val="0"/>
        <w:kinsoku/>
        <w:wordWrap/>
        <w:overflowPunct/>
        <w:topLinePunct w:val="0"/>
        <w:bidi w:val="0"/>
        <w:snapToGrid/>
        <w:spacing w:line="440" w:lineRule="exact"/>
        <w:ind w:firstLine="420" w:firstLineChars="200"/>
        <w:textAlignment w:val="auto"/>
        <w:rPr>
          <w:rFonts w:hint="eastAsia" w:ascii="宋体" w:hAnsi="宋体" w:eastAsiaTheme="minorEastAsia"/>
          <w:color w:val="auto"/>
          <w:sz w:val="21"/>
          <w:szCs w:val="21"/>
          <w:lang w:eastAsia="zh-CN"/>
        </w:rPr>
      </w:pPr>
      <w:r>
        <w:rPr>
          <w:rFonts w:hint="eastAsia" w:ascii="宋体" w:hAnsi="宋体"/>
          <w:color w:val="auto"/>
          <w:sz w:val="21"/>
          <w:szCs w:val="21"/>
        </w:rPr>
        <w:t>暂无。</w:t>
      </w:r>
    </w:p>
    <w:p w14:paraId="6F080003">
      <w:pPr>
        <w:pStyle w:val="3"/>
        <w:rPr>
          <w:rFonts w:hint="eastAsia"/>
          <w:lang w:val="en-US" w:eastAsia="zh-CN"/>
        </w:rPr>
      </w:pPr>
    </w:p>
    <w:p w14:paraId="71C50F35">
      <w:pPr>
        <w:keepNext w:val="0"/>
        <w:keepLines w:val="0"/>
        <w:pageBreakBefore w:val="0"/>
        <w:numPr>
          <w:ilvl w:val="0"/>
          <w:numId w:val="0"/>
        </w:numPr>
        <w:kinsoku/>
        <w:wordWrap/>
        <w:overflowPunct/>
        <w:topLinePunct w:val="0"/>
        <w:bidi w:val="0"/>
        <w:snapToGrid/>
        <w:spacing w:beforeLines="50" w:afterLines="50" w:line="440" w:lineRule="exact"/>
        <w:ind w:leftChars="0"/>
        <w:textAlignment w:val="auto"/>
        <w:rPr>
          <w:rFonts w:hint="default" w:ascii="黑体" w:hAnsi="宋体" w:eastAsia="黑体" w:cs="宋体"/>
          <w:bCs/>
          <w:color w:val="auto"/>
          <w:sz w:val="21"/>
          <w:szCs w:val="21"/>
          <w:lang w:val="en-US" w:eastAsia="zh-CN"/>
        </w:rPr>
      </w:pPr>
      <w:r>
        <w:rPr>
          <w:rFonts w:hint="eastAsia" w:ascii="黑体" w:hAnsi="宋体" w:eastAsia="黑体" w:cs="宋体"/>
          <w:bCs/>
          <w:color w:val="auto"/>
          <w:sz w:val="21"/>
          <w:szCs w:val="21"/>
          <w:lang w:val="en-US" w:eastAsia="zh-CN"/>
        </w:rPr>
        <w:t>八、涉及专利的有关说明</w:t>
      </w:r>
    </w:p>
    <w:p w14:paraId="5D347207">
      <w:pPr>
        <w:pStyle w:val="3"/>
        <w:ind w:firstLine="420" w:firstLineChars="200"/>
        <w:rPr>
          <w:rFonts w:hint="default"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本标准不涉及专利问题。</w:t>
      </w:r>
    </w:p>
    <w:bookmarkEnd w:id="2"/>
    <w:p w14:paraId="108A9374">
      <w:pPr>
        <w:keepNext w:val="0"/>
        <w:keepLines w:val="0"/>
        <w:pageBreakBefore w:val="0"/>
        <w:kinsoku/>
        <w:wordWrap/>
        <w:overflowPunct/>
        <w:topLinePunct w:val="0"/>
        <w:bidi w:val="0"/>
        <w:snapToGrid/>
        <w:spacing w:beforeLines="50" w:afterLines="50" w:line="440" w:lineRule="exact"/>
        <w:textAlignment w:val="auto"/>
        <w:rPr>
          <w:rFonts w:ascii="黑体" w:hAnsi="宋体" w:eastAsia="黑体" w:cs="宋体"/>
          <w:bCs/>
          <w:color w:val="auto"/>
          <w:sz w:val="21"/>
          <w:szCs w:val="21"/>
        </w:rPr>
      </w:pPr>
      <w:bookmarkStart w:id="3" w:name="_Toc15989"/>
      <w:r>
        <w:rPr>
          <w:rFonts w:hint="eastAsia" w:ascii="黑体" w:hAnsi="宋体" w:eastAsia="黑体" w:cs="宋体"/>
          <w:bCs/>
          <w:color w:val="auto"/>
          <w:sz w:val="21"/>
          <w:szCs w:val="21"/>
          <w:lang w:val="en-US" w:eastAsia="zh-CN"/>
        </w:rPr>
        <w:t>九</w:t>
      </w:r>
      <w:r>
        <w:rPr>
          <w:rFonts w:hint="eastAsia" w:ascii="黑体" w:hAnsi="宋体" w:eastAsia="黑体" w:cs="宋体"/>
          <w:bCs/>
          <w:color w:val="auto"/>
          <w:sz w:val="21"/>
          <w:szCs w:val="21"/>
        </w:rPr>
        <w:t>、</w:t>
      </w:r>
      <w:r>
        <w:rPr>
          <w:rFonts w:hint="eastAsia" w:ascii="黑体" w:hAnsi="宋体" w:eastAsia="黑体" w:cs="宋体"/>
          <w:bCs/>
          <w:color w:val="auto"/>
          <w:sz w:val="21"/>
          <w:szCs w:val="21"/>
          <w:lang w:val="en-US" w:eastAsia="zh-CN"/>
        </w:rPr>
        <w:t>实施国家标准的要求以及组织措施、技术措施、过渡期和实施日期的建议等措施建议</w:t>
      </w:r>
      <w:bookmarkEnd w:id="3"/>
    </w:p>
    <w:p w14:paraId="33392F36">
      <w:pPr>
        <w:keepNext w:val="0"/>
        <w:keepLines w:val="0"/>
        <w:pageBreakBefore w:val="0"/>
        <w:kinsoku/>
        <w:wordWrap/>
        <w:overflowPunct/>
        <w:topLinePunct w:val="0"/>
        <w:bidi w:val="0"/>
        <w:snapToGrid/>
        <w:spacing w:line="240" w:lineRule="auto"/>
        <w:ind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该标准的修订，对铜及铜合金产品的生产、研发和贸易有重要的指导意义，也使GB/T 5121系列标准更加完善，增强其实用性和适用范围，发挥国家标准在国内和国际市场上作用，提高我国检测标准水平，具有良好的社会效益。对推动我国铜及铜合金材料的研发、生产和贸易等活动有着重要意义</w:t>
      </w:r>
      <w:r>
        <w:rPr>
          <w:rFonts w:hint="eastAsia" w:ascii="宋体" w:hAnsi="宋体" w:eastAsia="宋体" w:cs="宋体"/>
          <w:color w:val="auto"/>
          <w:sz w:val="21"/>
          <w:szCs w:val="21"/>
          <w:lang w:eastAsia="zh-CN"/>
        </w:rPr>
        <w:t>。</w:t>
      </w:r>
    </w:p>
    <w:p w14:paraId="4555D66C">
      <w:pPr>
        <w:keepNext w:val="0"/>
        <w:keepLines w:val="0"/>
        <w:pageBreakBefore w:val="0"/>
        <w:kinsoku/>
        <w:wordWrap/>
        <w:overflowPunct/>
        <w:topLinePunct w:val="0"/>
        <w:bidi w:val="0"/>
        <w:snapToGrid/>
        <w:spacing w:line="24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本标准建议作为推荐性</w:t>
      </w:r>
      <w:r>
        <w:rPr>
          <w:rFonts w:hint="eastAsia" w:ascii="宋体" w:hAnsi="宋体" w:eastAsia="宋体" w:cs="宋体"/>
          <w:color w:val="auto"/>
          <w:sz w:val="21"/>
          <w:szCs w:val="21"/>
          <w:lang w:val="en-US" w:eastAsia="zh-CN"/>
        </w:rPr>
        <w:t>国家标准</w:t>
      </w:r>
      <w:r>
        <w:rPr>
          <w:rFonts w:hint="eastAsia" w:ascii="宋体" w:hAnsi="宋体" w:eastAsia="宋体" w:cs="宋体"/>
          <w:color w:val="auto"/>
          <w:sz w:val="21"/>
          <w:szCs w:val="21"/>
        </w:rPr>
        <w:t>发布。</w:t>
      </w:r>
      <w:bookmarkStart w:id="4" w:name="_Toc15588"/>
    </w:p>
    <w:p w14:paraId="76D2D91C">
      <w:pPr>
        <w:keepNext w:val="0"/>
        <w:keepLines w:val="0"/>
        <w:pageBreakBefore w:val="0"/>
        <w:kinsoku/>
        <w:wordWrap/>
        <w:overflowPunct/>
        <w:topLinePunct w:val="0"/>
        <w:bidi w:val="0"/>
        <w:snapToGrid/>
        <w:spacing w:line="240" w:lineRule="auto"/>
        <w:ind w:firstLine="420" w:firstLineChars="200"/>
        <w:textAlignment w:val="auto"/>
        <w:rPr>
          <w:rFonts w:hint="eastAsia" w:ascii="宋体" w:hAnsi="Courier New" w:eastAsia="宋体" w:cs="Courier New"/>
          <w:kern w:val="2"/>
          <w:sz w:val="21"/>
          <w:szCs w:val="21"/>
          <w:lang w:val="en-US" w:eastAsia="zh-CN" w:bidi="ar-SA"/>
        </w:rPr>
      </w:pPr>
      <w:r>
        <w:rPr>
          <w:rFonts w:hint="eastAsia" w:ascii="宋体" w:hAnsi="Courier New" w:eastAsia="宋体" w:cs="Courier New"/>
          <w:kern w:val="2"/>
          <w:sz w:val="21"/>
          <w:szCs w:val="21"/>
          <w:lang w:val="en-US" w:eastAsia="zh-CN" w:bidi="ar-SA"/>
        </w:rPr>
        <w:t>为使标准能更好地发挥作用，提高铜及铜合金生产企业的控制水平，建议针对本标准制订切实可行的贯彻措施，做好宣传培训工作，使各相关单位充分掌握标准中所规定的检测方法，并加强示范推广，让标准在铜及铜合金的生产和使用过程中得以广泛应用。</w:t>
      </w:r>
    </w:p>
    <w:p w14:paraId="73B4F948">
      <w:pPr>
        <w:keepNext w:val="0"/>
        <w:keepLines w:val="0"/>
        <w:pageBreakBefore w:val="0"/>
        <w:kinsoku/>
        <w:wordWrap/>
        <w:overflowPunct/>
        <w:topLinePunct w:val="0"/>
        <w:bidi w:val="0"/>
        <w:snapToGrid/>
        <w:spacing w:line="240" w:lineRule="auto"/>
        <w:ind w:firstLine="420" w:firstLineChars="200"/>
        <w:textAlignment w:val="auto"/>
        <w:rPr>
          <w:rFonts w:hint="eastAsia" w:ascii="宋体" w:hAnsi="宋体" w:eastAsia="宋体" w:cs="宋体"/>
          <w:color w:val="auto"/>
          <w:sz w:val="21"/>
          <w:szCs w:val="21"/>
          <w:lang w:eastAsia="zh-CN"/>
        </w:rPr>
      </w:pPr>
      <w:r>
        <w:rPr>
          <w:rFonts w:hint="eastAsia" w:ascii="宋体" w:hAnsi="Courier New" w:eastAsia="宋体" w:cs="Courier New"/>
          <w:kern w:val="2"/>
          <w:sz w:val="21"/>
          <w:szCs w:val="21"/>
          <w:lang w:val="en-US" w:eastAsia="zh-CN" w:bidi="ar-SA"/>
        </w:rPr>
        <w:t>同时，对标准执行情况进行跟踪调查，及时发现标准执行中的问题，不断修改完善，提升标准水平，提高标准的科学性、合理性、协调性和可操作性。</w:t>
      </w:r>
    </w:p>
    <w:bookmarkEnd w:id="4"/>
    <w:p w14:paraId="7611A273">
      <w:pPr>
        <w:keepNext w:val="0"/>
        <w:keepLines w:val="0"/>
        <w:pageBreakBefore w:val="0"/>
        <w:kinsoku/>
        <w:wordWrap/>
        <w:overflowPunct/>
        <w:topLinePunct w:val="0"/>
        <w:bidi w:val="0"/>
        <w:snapToGrid/>
        <w:spacing w:line="240" w:lineRule="auto"/>
        <w:ind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kern w:val="2"/>
          <w:sz w:val="21"/>
          <w:szCs w:val="21"/>
          <w:lang w:val="en-US" w:eastAsia="zh-CN" w:bidi="ar-SA"/>
        </w:rPr>
        <w:t>本标准为第二次修订，可以替代现行标准GB/T 5121.22-2008《铜及铜合化学分析方法 第22部分 镉含量的测定》。建议本标准自发布之日起代替GB/T 5121.22-2008《铜及铜合化学分析方法 第22部分 镉含量的测定》，</w:t>
      </w:r>
      <w:r>
        <w:rPr>
          <w:rFonts w:hint="eastAsia" w:ascii="宋体" w:hAnsi="宋体" w:eastAsia="宋体" w:cs="宋体"/>
          <w:color w:val="auto"/>
          <w:sz w:val="21"/>
          <w:szCs w:val="21"/>
          <w:highlight w:val="none"/>
          <w:lang w:val="en-US" w:eastAsia="zh-CN"/>
        </w:rPr>
        <w:t>标准发布后6个月实施。</w:t>
      </w:r>
    </w:p>
    <w:p w14:paraId="3801584C">
      <w:pPr>
        <w:keepNext w:val="0"/>
        <w:keepLines w:val="0"/>
        <w:pageBreakBefore w:val="0"/>
        <w:numPr>
          <w:ilvl w:val="0"/>
          <w:numId w:val="12"/>
        </w:numPr>
        <w:kinsoku/>
        <w:wordWrap/>
        <w:overflowPunct/>
        <w:topLinePunct w:val="0"/>
        <w:bidi w:val="0"/>
        <w:snapToGrid/>
        <w:spacing w:beforeLines="50" w:afterLines="50" w:line="440" w:lineRule="exact"/>
        <w:textAlignment w:val="auto"/>
        <w:rPr>
          <w:rFonts w:hint="eastAsia"/>
        </w:rPr>
      </w:pPr>
      <w:bookmarkStart w:id="5" w:name="_Toc22451"/>
      <w:r>
        <w:rPr>
          <w:rFonts w:hint="eastAsia" w:ascii="黑体" w:hAnsi="宋体" w:eastAsia="黑体" w:cs="宋体"/>
          <w:bCs/>
          <w:color w:val="auto"/>
          <w:sz w:val="21"/>
          <w:szCs w:val="21"/>
        </w:rPr>
        <w:t>公平竞争审查</w:t>
      </w:r>
    </w:p>
    <w:p w14:paraId="0EF8D08D">
      <w:pPr>
        <w:pStyle w:val="3"/>
        <w:ind w:firstLine="630" w:firstLineChars="300"/>
        <w:rPr>
          <w:rFonts w:hint="eastAsia" w:ascii="宋体" w:hAnsi="宋体" w:eastAsia="宋体" w:cs="宋体"/>
          <w:b/>
          <w:bCs/>
        </w:rPr>
      </w:pPr>
      <w:r>
        <w:rPr>
          <w:rFonts w:hint="eastAsia" w:ascii="宋体" w:hAnsi="宋体" w:eastAsia="宋体" w:cs="宋体"/>
          <w:color w:val="auto"/>
          <w:highlight w:val="none"/>
          <w:lang w:val="en-US" w:eastAsia="zh-CN"/>
        </w:rPr>
        <w:t>本标准研制过程中，开展了公平竞争审查，经对照，没有发现限制或者变相限制市场准入和退出，没有限制商品要素的自由流动、不影响生产经营成本以及生产经营行为。同时填写了《公平竞争审查》。</w:t>
      </w:r>
    </w:p>
    <w:p w14:paraId="6F9810AA">
      <w:pPr>
        <w:keepNext w:val="0"/>
        <w:keepLines w:val="0"/>
        <w:pageBreakBefore w:val="0"/>
        <w:numPr>
          <w:ilvl w:val="0"/>
          <w:numId w:val="12"/>
        </w:numPr>
        <w:kinsoku/>
        <w:wordWrap/>
        <w:overflowPunct/>
        <w:topLinePunct w:val="0"/>
        <w:bidi w:val="0"/>
        <w:snapToGrid/>
        <w:spacing w:beforeLines="50" w:afterLines="50" w:line="440" w:lineRule="exact"/>
        <w:textAlignment w:val="auto"/>
        <w:rPr>
          <w:rFonts w:ascii="黑体" w:hAnsi="宋体" w:eastAsia="黑体" w:cs="宋体"/>
          <w:bCs/>
          <w:color w:val="auto"/>
          <w:sz w:val="21"/>
          <w:szCs w:val="21"/>
        </w:rPr>
      </w:pPr>
      <w:r>
        <w:rPr>
          <w:rFonts w:hint="eastAsia" w:ascii="黑体" w:hAnsi="宋体" w:eastAsia="黑体" w:cs="宋体"/>
          <w:bCs/>
          <w:color w:val="auto"/>
          <w:sz w:val="21"/>
          <w:szCs w:val="21"/>
        </w:rPr>
        <w:t>其他</w:t>
      </w:r>
      <w:r>
        <w:rPr>
          <w:rFonts w:hint="eastAsia" w:ascii="黑体" w:hAnsi="宋体" w:eastAsia="黑体" w:cs="宋体"/>
          <w:bCs/>
          <w:color w:val="auto"/>
          <w:sz w:val="21"/>
          <w:szCs w:val="21"/>
          <w:lang w:val="en-US" w:eastAsia="zh-CN"/>
        </w:rPr>
        <w:t>应当说明的事项</w:t>
      </w:r>
      <w:r>
        <w:rPr>
          <w:rFonts w:hint="eastAsia" w:ascii="黑体" w:hAnsi="宋体" w:eastAsia="黑体" w:cs="宋体"/>
          <w:bCs/>
          <w:color w:val="auto"/>
          <w:sz w:val="21"/>
          <w:szCs w:val="21"/>
        </w:rPr>
        <w:t>。</w:t>
      </w:r>
      <w:bookmarkEnd w:id="5"/>
    </w:p>
    <w:p w14:paraId="091F4987">
      <w:pPr>
        <w:keepNext w:val="0"/>
        <w:keepLines w:val="0"/>
        <w:pageBreakBefore w:val="0"/>
        <w:kinsoku/>
        <w:wordWrap/>
        <w:overflowPunct/>
        <w:topLinePunct w:val="0"/>
        <w:bidi w:val="0"/>
        <w:snapToGrid/>
        <w:spacing w:line="440" w:lineRule="exact"/>
        <w:ind w:firstLine="420" w:firstLineChars="200"/>
        <w:textAlignment w:val="auto"/>
        <w:rPr>
          <w:rFonts w:hint="eastAsia" w:ascii="宋体" w:hAnsi="宋体" w:cs="宋体" w:eastAsiaTheme="minorEastAsia"/>
          <w:color w:val="auto"/>
          <w:sz w:val="21"/>
          <w:szCs w:val="21"/>
          <w:lang w:eastAsia="zh-CN"/>
        </w:rPr>
      </w:pPr>
      <w:r>
        <w:rPr>
          <w:rFonts w:hint="eastAsia" w:ascii="宋体" w:hAnsi="宋体" w:cs="宋体"/>
          <w:color w:val="auto"/>
          <w:sz w:val="21"/>
          <w:szCs w:val="21"/>
        </w:rPr>
        <w:t>无。</w:t>
      </w:r>
    </w:p>
    <w:p w14:paraId="55607B84">
      <w:pPr>
        <w:keepNext w:val="0"/>
        <w:keepLines w:val="0"/>
        <w:pageBreakBefore w:val="0"/>
        <w:kinsoku/>
        <w:wordWrap/>
        <w:overflowPunct/>
        <w:topLinePunct w:val="0"/>
        <w:bidi w:val="0"/>
        <w:snapToGrid/>
        <w:spacing w:line="440" w:lineRule="exact"/>
        <w:jc w:val="right"/>
        <w:textAlignment w:val="auto"/>
        <w:rPr>
          <w:rFonts w:ascii="宋体" w:hAnsi="宋体" w:eastAsia="宋体"/>
          <w:color w:val="auto"/>
          <w:sz w:val="21"/>
          <w:szCs w:val="21"/>
        </w:rPr>
      </w:pPr>
      <w:r>
        <w:rPr>
          <w:rFonts w:hint="eastAsia"/>
          <w:color w:val="auto"/>
          <w:sz w:val="21"/>
          <w:szCs w:val="21"/>
        </w:rPr>
        <w:t xml:space="preserve">                           </w:t>
      </w:r>
      <w:r>
        <w:rPr>
          <w:rFonts w:hint="eastAsia" w:ascii="宋体" w:hAnsi="宋体" w:eastAsia="宋体" w:cs="宋体"/>
          <w:kern w:val="2"/>
          <w:sz w:val="21"/>
          <w:szCs w:val="21"/>
          <w:lang w:val="en-US" w:eastAsia="zh-CN" w:bidi="ar-SA"/>
        </w:rPr>
        <w:t>《铜及铜合化学分析方法 第22部分 镉含量的测定</w:t>
      </w:r>
      <w:r>
        <w:rPr>
          <w:rFonts w:hint="eastAsia"/>
          <w:color w:val="auto"/>
          <w:sz w:val="21"/>
          <w:szCs w:val="21"/>
        </w:rPr>
        <w:t>》</w:t>
      </w:r>
      <w:r>
        <w:rPr>
          <w:rFonts w:hint="eastAsia" w:ascii="宋体" w:hAnsi="宋体" w:eastAsia="宋体"/>
          <w:color w:val="auto"/>
          <w:sz w:val="21"/>
          <w:szCs w:val="21"/>
        </w:rPr>
        <w:t>编制组</w:t>
      </w:r>
    </w:p>
    <w:p w14:paraId="279A9FF9">
      <w:pPr>
        <w:keepNext w:val="0"/>
        <w:keepLines w:val="0"/>
        <w:pageBreakBefore w:val="0"/>
        <w:kinsoku/>
        <w:wordWrap/>
        <w:overflowPunct/>
        <w:topLinePunct w:val="0"/>
        <w:bidi w:val="0"/>
        <w:snapToGrid/>
        <w:spacing w:beforeLines="100" w:line="440" w:lineRule="exact"/>
        <w:jc w:val="right"/>
        <w:textAlignment w:val="auto"/>
        <w:rPr>
          <w:rFonts w:hint="default" w:ascii="宋体" w:hAnsi="宋体" w:eastAsia="宋体"/>
          <w:color w:val="auto"/>
          <w:sz w:val="21"/>
          <w:szCs w:val="21"/>
          <w:lang w:val="en-US" w:eastAsia="zh-CN"/>
        </w:rPr>
      </w:pPr>
      <w:r>
        <w:rPr>
          <w:rFonts w:hint="eastAsia" w:ascii="宋体" w:hAnsi="宋体" w:eastAsia="宋体"/>
          <w:color w:val="auto"/>
          <w:sz w:val="21"/>
          <w:szCs w:val="21"/>
        </w:rPr>
        <w:t xml:space="preserve">                             20</w:t>
      </w:r>
      <w:r>
        <w:rPr>
          <w:rFonts w:hint="eastAsia" w:ascii="宋体" w:hAnsi="宋体" w:eastAsia="宋体"/>
          <w:color w:val="auto"/>
          <w:sz w:val="21"/>
          <w:szCs w:val="21"/>
          <w:lang w:val="en-US" w:eastAsia="zh-CN"/>
        </w:rPr>
        <w:t>26</w:t>
      </w:r>
      <w:r>
        <w:rPr>
          <w:rFonts w:hint="eastAsia" w:ascii="宋体" w:hAnsi="宋体" w:eastAsia="宋体"/>
          <w:color w:val="auto"/>
          <w:sz w:val="21"/>
          <w:szCs w:val="21"/>
        </w:rPr>
        <w:t>年</w:t>
      </w:r>
      <w:r>
        <w:rPr>
          <w:rFonts w:hint="eastAsia" w:ascii="宋体" w:hAnsi="宋体" w:eastAsia="宋体"/>
          <w:color w:val="auto"/>
          <w:sz w:val="21"/>
          <w:szCs w:val="21"/>
          <w:lang w:val="en-US" w:eastAsia="zh-CN"/>
        </w:rPr>
        <w:t>04</w:t>
      </w:r>
      <w:r>
        <w:rPr>
          <w:rFonts w:hint="eastAsia" w:ascii="宋体" w:hAnsi="宋体" w:eastAsia="宋体"/>
          <w:color w:val="auto"/>
          <w:sz w:val="21"/>
          <w:szCs w:val="21"/>
        </w:rPr>
        <w:t>月</w:t>
      </w:r>
      <w:r>
        <w:rPr>
          <w:rFonts w:hint="eastAsia" w:ascii="宋体" w:hAnsi="宋体" w:eastAsia="宋体"/>
          <w:color w:val="auto"/>
          <w:sz w:val="21"/>
          <w:szCs w:val="21"/>
          <w:lang w:val="en-US" w:eastAsia="zh-CN"/>
        </w:rPr>
        <w:t>09</w:t>
      </w:r>
      <w:r>
        <w:rPr>
          <w:rFonts w:hint="eastAsia" w:ascii="宋体" w:hAnsi="宋体" w:eastAsia="宋体"/>
          <w:color w:val="auto"/>
          <w:sz w:val="21"/>
          <w:szCs w:val="21"/>
        </w:rPr>
        <w:t>日</w:t>
      </w:r>
    </w:p>
    <w:sectPr>
      <w:pgSz w:w="11906" w:h="16838"/>
      <w:pgMar w:top="1440" w:right="1780" w:bottom="1440" w:left="178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D38E06D"/>
    <w:multiLevelType w:val="singleLevel"/>
    <w:tmpl w:val="AD38E06D"/>
    <w:lvl w:ilvl="0" w:tentative="0">
      <w:start w:val="1"/>
      <w:numFmt w:val="decimal"/>
      <w:suff w:val="space"/>
      <w:lvlText w:val="%1."/>
      <w:lvlJc w:val="left"/>
    </w:lvl>
  </w:abstractNum>
  <w:abstractNum w:abstractNumId="1">
    <w:nsid w:val="D01FE678"/>
    <w:multiLevelType w:val="singleLevel"/>
    <w:tmpl w:val="D01FE678"/>
    <w:lvl w:ilvl="0" w:tentative="0">
      <w:start w:val="1"/>
      <w:numFmt w:val="decimal"/>
      <w:suff w:val="nothing"/>
      <w:lvlText w:val="（%1）"/>
      <w:lvlJc w:val="left"/>
    </w:lvl>
  </w:abstractNum>
  <w:abstractNum w:abstractNumId="2">
    <w:nsid w:val="DA9F0784"/>
    <w:multiLevelType w:val="singleLevel"/>
    <w:tmpl w:val="DA9F0784"/>
    <w:lvl w:ilvl="0" w:tentative="0">
      <w:start w:val="5"/>
      <w:numFmt w:val="chineseCounting"/>
      <w:suff w:val="nothing"/>
      <w:lvlText w:val="%1、"/>
      <w:lvlJc w:val="left"/>
      <w:rPr>
        <w:rFonts w:hint="eastAsia" w:ascii="黑体" w:hAnsi="黑体" w:eastAsia="黑体" w:cs="黑体"/>
      </w:rPr>
    </w:lvl>
  </w:abstractNum>
  <w:abstractNum w:abstractNumId="3">
    <w:nsid w:val="EB4C7DAF"/>
    <w:multiLevelType w:val="singleLevel"/>
    <w:tmpl w:val="EB4C7DAF"/>
    <w:lvl w:ilvl="0" w:tentative="0">
      <w:start w:val="2"/>
      <w:numFmt w:val="chineseCounting"/>
      <w:suff w:val="nothing"/>
      <w:lvlText w:val="（%1）"/>
      <w:lvlJc w:val="left"/>
      <w:rPr>
        <w:rFonts w:hint="eastAsia"/>
      </w:rPr>
    </w:lvl>
  </w:abstractNum>
  <w:abstractNum w:abstractNumId="4">
    <w:nsid w:val="0E2B40FB"/>
    <w:multiLevelType w:val="singleLevel"/>
    <w:tmpl w:val="0E2B40FB"/>
    <w:lvl w:ilvl="0" w:tentative="0">
      <w:start w:val="1"/>
      <w:numFmt w:val="upperLetter"/>
      <w:lvlText w:val="%1."/>
      <w:lvlJc w:val="left"/>
      <w:pPr>
        <w:tabs>
          <w:tab w:val="left" w:pos="312"/>
        </w:tabs>
      </w:pPr>
    </w:lvl>
  </w:abstractNum>
  <w:abstractNum w:abstractNumId="5">
    <w:nsid w:val="11D898E2"/>
    <w:multiLevelType w:val="singleLevel"/>
    <w:tmpl w:val="11D898E2"/>
    <w:lvl w:ilvl="0" w:tentative="0">
      <w:start w:val="10"/>
      <w:numFmt w:val="chineseCounting"/>
      <w:suff w:val="nothing"/>
      <w:lvlText w:val="%1、"/>
      <w:lvlJc w:val="left"/>
      <w:rPr>
        <w:rFonts w:hint="eastAsia" w:ascii="黑体" w:hAnsi="黑体" w:eastAsia="黑体" w:cs="黑体"/>
        <w:b w:val="0"/>
        <w:bCs w:val="0"/>
      </w:rPr>
    </w:lvl>
  </w:abstractNum>
  <w:abstractNum w:abstractNumId="6">
    <w:nsid w:val="20CDE2E5"/>
    <w:multiLevelType w:val="singleLevel"/>
    <w:tmpl w:val="20CDE2E5"/>
    <w:lvl w:ilvl="0" w:tentative="0">
      <w:start w:val="1"/>
      <w:numFmt w:val="decimal"/>
      <w:lvlText w:val="%1."/>
      <w:lvlJc w:val="left"/>
      <w:pPr>
        <w:ind w:left="425" w:hanging="425"/>
      </w:pPr>
      <w:rPr>
        <w:rFonts w:hint="default"/>
      </w:rPr>
    </w:lvl>
  </w:abstractNum>
  <w:abstractNum w:abstractNumId="7">
    <w:nsid w:val="212844A9"/>
    <w:multiLevelType w:val="singleLevel"/>
    <w:tmpl w:val="212844A9"/>
    <w:lvl w:ilvl="0" w:tentative="0">
      <w:start w:val="1"/>
      <w:numFmt w:val="decimal"/>
      <w:suff w:val="nothing"/>
      <w:lvlText w:val="（%1）"/>
      <w:lvlJc w:val="left"/>
    </w:lvl>
  </w:abstractNum>
  <w:abstractNum w:abstractNumId="8">
    <w:nsid w:val="4916F4FC"/>
    <w:multiLevelType w:val="singleLevel"/>
    <w:tmpl w:val="4916F4FC"/>
    <w:lvl w:ilvl="0" w:tentative="0">
      <w:start w:val="3"/>
      <w:numFmt w:val="chineseCounting"/>
      <w:suff w:val="nothing"/>
      <w:lvlText w:val="%1、"/>
      <w:lvlJc w:val="left"/>
      <w:rPr>
        <w:rFonts w:hint="eastAsia"/>
      </w:rPr>
    </w:lvl>
  </w:abstractNum>
  <w:abstractNum w:abstractNumId="9">
    <w:nsid w:val="514E4EF8"/>
    <w:multiLevelType w:val="singleLevel"/>
    <w:tmpl w:val="514E4EF8"/>
    <w:lvl w:ilvl="0" w:tentative="0">
      <w:start w:val="1"/>
      <w:numFmt w:val="lowerLetter"/>
      <w:lvlText w:val="%1)"/>
      <w:lvlJc w:val="left"/>
      <w:pPr>
        <w:tabs>
          <w:tab w:val="left" w:pos="312"/>
        </w:tabs>
      </w:pPr>
    </w:lvl>
  </w:abstractNum>
  <w:abstractNum w:abstractNumId="10">
    <w:nsid w:val="646260FA"/>
    <w:multiLevelType w:val="multilevel"/>
    <w:tmpl w:val="646260FA"/>
    <w:lvl w:ilvl="0" w:tentative="0">
      <w:start w:val="1"/>
      <w:numFmt w:val="decimal"/>
      <w:pStyle w:val="24"/>
      <w:suff w:val="nothing"/>
      <w:lvlText w:val="表%1　"/>
      <w:lvlJc w:val="left"/>
      <w:pPr>
        <w:ind w:left="3686" w:firstLine="0"/>
      </w:pPr>
      <w:rPr>
        <w:rFonts w:hint="eastAsia" w:ascii="黑体" w:hAnsi="Times New Roman" w:eastAsia="黑体"/>
        <w:b w:val="0"/>
        <w:i w:val="0"/>
        <w:sz w:val="21"/>
      </w:rPr>
    </w:lvl>
    <w:lvl w:ilvl="1" w:tentative="0">
      <w:start w:val="1"/>
      <w:numFmt w:val="decimal"/>
      <w:lvlText w:val="%1.%2"/>
      <w:lvlJc w:val="left"/>
      <w:pPr>
        <w:tabs>
          <w:tab w:val="left" w:pos="4678"/>
        </w:tabs>
        <w:ind w:left="4678" w:hanging="567"/>
      </w:pPr>
      <w:rPr>
        <w:rFonts w:hint="eastAsia"/>
      </w:rPr>
    </w:lvl>
    <w:lvl w:ilvl="2" w:tentative="0">
      <w:start w:val="1"/>
      <w:numFmt w:val="decimal"/>
      <w:lvlText w:val="%1.%2.%3"/>
      <w:lvlJc w:val="left"/>
      <w:pPr>
        <w:tabs>
          <w:tab w:val="left" w:pos="5104"/>
        </w:tabs>
        <w:ind w:left="5104" w:hanging="567"/>
      </w:pPr>
      <w:rPr>
        <w:rFonts w:hint="eastAsia"/>
      </w:rPr>
    </w:lvl>
    <w:lvl w:ilvl="3" w:tentative="0">
      <w:start w:val="1"/>
      <w:numFmt w:val="decimal"/>
      <w:lvlText w:val="%1.%2.%3.%4"/>
      <w:lvlJc w:val="left"/>
      <w:pPr>
        <w:tabs>
          <w:tab w:val="left" w:pos="5670"/>
        </w:tabs>
        <w:ind w:left="5670" w:hanging="708"/>
      </w:pPr>
      <w:rPr>
        <w:rFonts w:hint="eastAsia"/>
      </w:rPr>
    </w:lvl>
    <w:lvl w:ilvl="4" w:tentative="0">
      <w:start w:val="1"/>
      <w:numFmt w:val="decimal"/>
      <w:lvlText w:val="%1.%2.%3.%4.%5"/>
      <w:lvlJc w:val="left"/>
      <w:pPr>
        <w:tabs>
          <w:tab w:val="left" w:pos="6237"/>
        </w:tabs>
        <w:ind w:left="6237" w:hanging="850"/>
      </w:pPr>
      <w:rPr>
        <w:rFonts w:hint="eastAsia"/>
      </w:rPr>
    </w:lvl>
    <w:lvl w:ilvl="5" w:tentative="0">
      <w:start w:val="1"/>
      <w:numFmt w:val="decimal"/>
      <w:lvlText w:val="%1.%2.%3.%4.%5.%6"/>
      <w:lvlJc w:val="left"/>
      <w:pPr>
        <w:tabs>
          <w:tab w:val="left" w:pos="6946"/>
        </w:tabs>
        <w:ind w:left="6946" w:hanging="1134"/>
      </w:pPr>
      <w:rPr>
        <w:rFonts w:hint="eastAsia"/>
      </w:rPr>
    </w:lvl>
    <w:lvl w:ilvl="6" w:tentative="0">
      <w:start w:val="1"/>
      <w:numFmt w:val="decimal"/>
      <w:lvlText w:val="%1.%2.%3.%4.%5.%6.%7"/>
      <w:lvlJc w:val="left"/>
      <w:pPr>
        <w:tabs>
          <w:tab w:val="left" w:pos="7513"/>
        </w:tabs>
        <w:ind w:left="7513" w:hanging="1276"/>
      </w:pPr>
      <w:rPr>
        <w:rFonts w:hint="eastAsia"/>
      </w:rPr>
    </w:lvl>
    <w:lvl w:ilvl="7" w:tentative="0">
      <w:start w:val="1"/>
      <w:numFmt w:val="decimal"/>
      <w:lvlText w:val="%1.%2.%3.%4.%5.%6.%7.%8"/>
      <w:lvlJc w:val="left"/>
      <w:pPr>
        <w:tabs>
          <w:tab w:val="left" w:pos="8080"/>
        </w:tabs>
        <w:ind w:left="8080" w:hanging="1418"/>
      </w:pPr>
      <w:rPr>
        <w:rFonts w:hint="eastAsia"/>
      </w:rPr>
    </w:lvl>
    <w:lvl w:ilvl="8" w:tentative="0">
      <w:start w:val="1"/>
      <w:numFmt w:val="decimal"/>
      <w:lvlText w:val="%1.%2.%3.%4.%5.%6.%7.%8.%9"/>
      <w:lvlJc w:val="left"/>
      <w:pPr>
        <w:tabs>
          <w:tab w:val="left" w:pos="8788"/>
        </w:tabs>
        <w:ind w:left="8788" w:hanging="1700"/>
      </w:pPr>
      <w:rPr>
        <w:rFonts w:hint="eastAsia"/>
      </w:rPr>
    </w:lvl>
  </w:abstractNum>
  <w:abstractNum w:abstractNumId="11">
    <w:nsid w:val="75657C17"/>
    <w:multiLevelType w:val="singleLevel"/>
    <w:tmpl w:val="75657C17"/>
    <w:lvl w:ilvl="0" w:tentative="0">
      <w:start w:val="3"/>
      <w:numFmt w:val="decimal"/>
      <w:suff w:val="nothing"/>
      <w:lvlText w:val="%1、"/>
      <w:lvlJc w:val="left"/>
      <w:rPr>
        <w:rFonts w:hint="default"/>
        <w:color w:val="auto"/>
      </w:rPr>
    </w:lvl>
  </w:abstractNum>
  <w:num w:numId="1">
    <w:abstractNumId w:val="10"/>
  </w:num>
  <w:num w:numId="2">
    <w:abstractNumId w:val="7"/>
  </w:num>
  <w:num w:numId="3">
    <w:abstractNumId w:val="6"/>
  </w:num>
  <w:num w:numId="4">
    <w:abstractNumId w:val="1"/>
  </w:num>
  <w:num w:numId="5">
    <w:abstractNumId w:val="4"/>
  </w:num>
  <w:num w:numId="6">
    <w:abstractNumId w:val="11"/>
  </w:num>
  <w:num w:numId="7">
    <w:abstractNumId w:val="9"/>
  </w:num>
  <w:num w:numId="8">
    <w:abstractNumId w:val="8"/>
  </w:num>
  <w:num w:numId="9">
    <w:abstractNumId w:val="3"/>
  </w:num>
  <w:num w:numId="10">
    <w:abstractNumId w:val="0"/>
  </w:num>
  <w:num w:numId="11">
    <w:abstractNumId w:val="2"/>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docVars>
    <w:docVar w:name="commondata" w:val="eyJoZGlkIjoiMDMxNGEzNDk1ZjY1ZDdlOWU3ZmFiZDlhOTM4NTZhMjEifQ=="/>
  </w:docVars>
  <w:rsids>
    <w:rsidRoot w:val="0049152D"/>
    <w:rsid w:val="00000899"/>
    <w:rsid w:val="00002C81"/>
    <w:rsid w:val="0000483E"/>
    <w:rsid w:val="0000533A"/>
    <w:rsid w:val="00006069"/>
    <w:rsid w:val="00007345"/>
    <w:rsid w:val="0000734E"/>
    <w:rsid w:val="000119A5"/>
    <w:rsid w:val="00011F52"/>
    <w:rsid w:val="0001287D"/>
    <w:rsid w:val="00013051"/>
    <w:rsid w:val="00013700"/>
    <w:rsid w:val="00014230"/>
    <w:rsid w:val="000142A3"/>
    <w:rsid w:val="0001434A"/>
    <w:rsid w:val="000146E1"/>
    <w:rsid w:val="00015683"/>
    <w:rsid w:val="00015B66"/>
    <w:rsid w:val="00016452"/>
    <w:rsid w:val="00016C1B"/>
    <w:rsid w:val="000174E9"/>
    <w:rsid w:val="00017703"/>
    <w:rsid w:val="00020B8D"/>
    <w:rsid w:val="00020E6C"/>
    <w:rsid w:val="0002350F"/>
    <w:rsid w:val="00025C36"/>
    <w:rsid w:val="00026B44"/>
    <w:rsid w:val="00026C0C"/>
    <w:rsid w:val="000312D7"/>
    <w:rsid w:val="00032958"/>
    <w:rsid w:val="00033C9E"/>
    <w:rsid w:val="00035A30"/>
    <w:rsid w:val="000362EA"/>
    <w:rsid w:val="0003648A"/>
    <w:rsid w:val="000370C9"/>
    <w:rsid w:val="000376FC"/>
    <w:rsid w:val="00041459"/>
    <w:rsid w:val="000425E5"/>
    <w:rsid w:val="00043943"/>
    <w:rsid w:val="00047256"/>
    <w:rsid w:val="00047897"/>
    <w:rsid w:val="00047C97"/>
    <w:rsid w:val="000538E0"/>
    <w:rsid w:val="00053978"/>
    <w:rsid w:val="000543AE"/>
    <w:rsid w:val="00056B2E"/>
    <w:rsid w:val="00057549"/>
    <w:rsid w:val="00060E9C"/>
    <w:rsid w:val="00061A95"/>
    <w:rsid w:val="00061BAC"/>
    <w:rsid w:val="00062BA9"/>
    <w:rsid w:val="000630E4"/>
    <w:rsid w:val="0006311A"/>
    <w:rsid w:val="000632D5"/>
    <w:rsid w:val="000634E4"/>
    <w:rsid w:val="00063E72"/>
    <w:rsid w:val="000647B0"/>
    <w:rsid w:val="000647D1"/>
    <w:rsid w:val="000648D5"/>
    <w:rsid w:val="00064F0E"/>
    <w:rsid w:val="0006509C"/>
    <w:rsid w:val="000661DC"/>
    <w:rsid w:val="0006634E"/>
    <w:rsid w:val="00067F99"/>
    <w:rsid w:val="0007025D"/>
    <w:rsid w:val="0007113B"/>
    <w:rsid w:val="00072938"/>
    <w:rsid w:val="00072B7E"/>
    <w:rsid w:val="00073823"/>
    <w:rsid w:val="000738A3"/>
    <w:rsid w:val="00073EA4"/>
    <w:rsid w:val="00074BD0"/>
    <w:rsid w:val="00075228"/>
    <w:rsid w:val="00076905"/>
    <w:rsid w:val="00083504"/>
    <w:rsid w:val="00083671"/>
    <w:rsid w:val="0008539E"/>
    <w:rsid w:val="0008748A"/>
    <w:rsid w:val="00087579"/>
    <w:rsid w:val="00090932"/>
    <w:rsid w:val="0009564E"/>
    <w:rsid w:val="000956AA"/>
    <w:rsid w:val="00095716"/>
    <w:rsid w:val="00095B00"/>
    <w:rsid w:val="000968E7"/>
    <w:rsid w:val="000A25DA"/>
    <w:rsid w:val="000A2674"/>
    <w:rsid w:val="000A46E3"/>
    <w:rsid w:val="000A68B0"/>
    <w:rsid w:val="000A68DC"/>
    <w:rsid w:val="000B0288"/>
    <w:rsid w:val="000B12AD"/>
    <w:rsid w:val="000B20BA"/>
    <w:rsid w:val="000C2E3D"/>
    <w:rsid w:val="000C4435"/>
    <w:rsid w:val="000C7BE6"/>
    <w:rsid w:val="000D004B"/>
    <w:rsid w:val="000D146E"/>
    <w:rsid w:val="000D255F"/>
    <w:rsid w:val="000D2968"/>
    <w:rsid w:val="000D3C54"/>
    <w:rsid w:val="000D419A"/>
    <w:rsid w:val="000D6C50"/>
    <w:rsid w:val="000E0E5D"/>
    <w:rsid w:val="000E12A2"/>
    <w:rsid w:val="000E2F2B"/>
    <w:rsid w:val="000E3BE4"/>
    <w:rsid w:val="000E5601"/>
    <w:rsid w:val="000E5B35"/>
    <w:rsid w:val="000E7291"/>
    <w:rsid w:val="000E7398"/>
    <w:rsid w:val="000E7492"/>
    <w:rsid w:val="000E75F6"/>
    <w:rsid w:val="000F0726"/>
    <w:rsid w:val="000F21CD"/>
    <w:rsid w:val="000F2931"/>
    <w:rsid w:val="000F60BA"/>
    <w:rsid w:val="000F7EE8"/>
    <w:rsid w:val="0010164F"/>
    <w:rsid w:val="00103B79"/>
    <w:rsid w:val="00103F5A"/>
    <w:rsid w:val="001043C6"/>
    <w:rsid w:val="0011080B"/>
    <w:rsid w:val="00112E27"/>
    <w:rsid w:val="001133B5"/>
    <w:rsid w:val="0011342C"/>
    <w:rsid w:val="00115E89"/>
    <w:rsid w:val="001169BC"/>
    <w:rsid w:val="001172DB"/>
    <w:rsid w:val="0011791C"/>
    <w:rsid w:val="0011799D"/>
    <w:rsid w:val="00117A27"/>
    <w:rsid w:val="00120FE8"/>
    <w:rsid w:val="001215B6"/>
    <w:rsid w:val="00122E35"/>
    <w:rsid w:val="00123CA5"/>
    <w:rsid w:val="00125817"/>
    <w:rsid w:val="00125CAC"/>
    <w:rsid w:val="00126111"/>
    <w:rsid w:val="001268D7"/>
    <w:rsid w:val="00130CC9"/>
    <w:rsid w:val="0013566C"/>
    <w:rsid w:val="001360C1"/>
    <w:rsid w:val="001421CF"/>
    <w:rsid w:val="00142C75"/>
    <w:rsid w:val="00143A39"/>
    <w:rsid w:val="00144F28"/>
    <w:rsid w:val="00145147"/>
    <w:rsid w:val="00145188"/>
    <w:rsid w:val="001455A0"/>
    <w:rsid w:val="00147858"/>
    <w:rsid w:val="001502D3"/>
    <w:rsid w:val="0015114D"/>
    <w:rsid w:val="001517E4"/>
    <w:rsid w:val="00151DFA"/>
    <w:rsid w:val="00152A50"/>
    <w:rsid w:val="00152CEE"/>
    <w:rsid w:val="00152F27"/>
    <w:rsid w:val="001531DA"/>
    <w:rsid w:val="0016143F"/>
    <w:rsid w:val="00161FB3"/>
    <w:rsid w:val="00162FCD"/>
    <w:rsid w:val="00164041"/>
    <w:rsid w:val="00164320"/>
    <w:rsid w:val="0016453D"/>
    <w:rsid w:val="00165B11"/>
    <w:rsid w:val="00167FF7"/>
    <w:rsid w:val="001710BE"/>
    <w:rsid w:val="001728AD"/>
    <w:rsid w:val="00173330"/>
    <w:rsid w:val="00175F20"/>
    <w:rsid w:val="0017788A"/>
    <w:rsid w:val="00180F34"/>
    <w:rsid w:val="00181FDF"/>
    <w:rsid w:val="00183DBE"/>
    <w:rsid w:val="00183F8C"/>
    <w:rsid w:val="00184A11"/>
    <w:rsid w:val="00185294"/>
    <w:rsid w:val="00186327"/>
    <w:rsid w:val="001866BE"/>
    <w:rsid w:val="001868B2"/>
    <w:rsid w:val="0019074F"/>
    <w:rsid w:val="001909E7"/>
    <w:rsid w:val="0019306C"/>
    <w:rsid w:val="001936E4"/>
    <w:rsid w:val="001945B5"/>
    <w:rsid w:val="00194AB3"/>
    <w:rsid w:val="00195204"/>
    <w:rsid w:val="0019675D"/>
    <w:rsid w:val="00196900"/>
    <w:rsid w:val="00196D91"/>
    <w:rsid w:val="0019747E"/>
    <w:rsid w:val="001976D2"/>
    <w:rsid w:val="00197920"/>
    <w:rsid w:val="001A0EA6"/>
    <w:rsid w:val="001A2F17"/>
    <w:rsid w:val="001A577D"/>
    <w:rsid w:val="001B1F37"/>
    <w:rsid w:val="001B2EA2"/>
    <w:rsid w:val="001B548E"/>
    <w:rsid w:val="001B6C1B"/>
    <w:rsid w:val="001B7E54"/>
    <w:rsid w:val="001C010F"/>
    <w:rsid w:val="001C1800"/>
    <w:rsid w:val="001C1A61"/>
    <w:rsid w:val="001C1C7F"/>
    <w:rsid w:val="001C3BD9"/>
    <w:rsid w:val="001C3C44"/>
    <w:rsid w:val="001C5F5B"/>
    <w:rsid w:val="001C63FA"/>
    <w:rsid w:val="001C6400"/>
    <w:rsid w:val="001C64E2"/>
    <w:rsid w:val="001D1CBF"/>
    <w:rsid w:val="001D29BF"/>
    <w:rsid w:val="001D2E17"/>
    <w:rsid w:val="001D3A88"/>
    <w:rsid w:val="001D4C7B"/>
    <w:rsid w:val="001D50AF"/>
    <w:rsid w:val="001E0750"/>
    <w:rsid w:val="001E1C8D"/>
    <w:rsid w:val="001E2613"/>
    <w:rsid w:val="001E35D2"/>
    <w:rsid w:val="001E5CB5"/>
    <w:rsid w:val="001E7143"/>
    <w:rsid w:val="001E77A0"/>
    <w:rsid w:val="001F0609"/>
    <w:rsid w:val="001F1028"/>
    <w:rsid w:val="001F18F7"/>
    <w:rsid w:val="001F21E5"/>
    <w:rsid w:val="001F3BE7"/>
    <w:rsid w:val="001F4570"/>
    <w:rsid w:val="001F64BD"/>
    <w:rsid w:val="001F7AA9"/>
    <w:rsid w:val="001F7D16"/>
    <w:rsid w:val="001F7D87"/>
    <w:rsid w:val="002007E1"/>
    <w:rsid w:val="00201957"/>
    <w:rsid w:val="002028F6"/>
    <w:rsid w:val="00202F21"/>
    <w:rsid w:val="00203916"/>
    <w:rsid w:val="00204E1B"/>
    <w:rsid w:val="00205696"/>
    <w:rsid w:val="00210806"/>
    <w:rsid w:val="00210D97"/>
    <w:rsid w:val="00211DAA"/>
    <w:rsid w:val="00212C2F"/>
    <w:rsid w:val="00213C05"/>
    <w:rsid w:val="00213CB8"/>
    <w:rsid w:val="002149D3"/>
    <w:rsid w:val="00215CF2"/>
    <w:rsid w:val="00217EB2"/>
    <w:rsid w:val="00221A02"/>
    <w:rsid w:val="00221D88"/>
    <w:rsid w:val="0022398D"/>
    <w:rsid w:val="002252C9"/>
    <w:rsid w:val="00230C35"/>
    <w:rsid w:val="00231422"/>
    <w:rsid w:val="00232045"/>
    <w:rsid w:val="002320C8"/>
    <w:rsid w:val="00233226"/>
    <w:rsid w:val="00233A1C"/>
    <w:rsid w:val="0023455B"/>
    <w:rsid w:val="00234F74"/>
    <w:rsid w:val="00234FE4"/>
    <w:rsid w:val="00235328"/>
    <w:rsid w:val="002356F0"/>
    <w:rsid w:val="00240E23"/>
    <w:rsid w:val="00246A1A"/>
    <w:rsid w:val="00251FCE"/>
    <w:rsid w:val="002531B1"/>
    <w:rsid w:val="0025380C"/>
    <w:rsid w:val="00254BF3"/>
    <w:rsid w:val="002601E8"/>
    <w:rsid w:val="00260A33"/>
    <w:rsid w:val="00260CFE"/>
    <w:rsid w:val="0026166B"/>
    <w:rsid w:val="0026175A"/>
    <w:rsid w:val="00262CCF"/>
    <w:rsid w:val="00262E37"/>
    <w:rsid w:val="0026368F"/>
    <w:rsid w:val="00263946"/>
    <w:rsid w:val="00264E80"/>
    <w:rsid w:val="002653CB"/>
    <w:rsid w:val="002662BE"/>
    <w:rsid w:val="00267B20"/>
    <w:rsid w:val="00271A24"/>
    <w:rsid w:val="002727E2"/>
    <w:rsid w:val="002727F2"/>
    <w:rsid w:val="00276418"/>
    <w:rsid w:val="002766E1"/>
    <w:rsid w:val="00277D55"/>
    <w:rsid w:val="00277DE9"/>
    <w:rsid w:val="00280742"/>
    <w:rsid w:val="00281A43"/>
    <w:rsid w:val="002870F4"/>
    <w:rsid w:val="002931B8"/>
    <w:rsid w:val="00293432"/>
    <w:rsid w:val="00293797"/>
    <w:rsid w:val="002A119B"/>
    <w:rsid w:val="002A1596"/>
    <w:rsid w:val="002A39FC"/>
    <w:rsid w:val="002A477A"/>
    <w:rsid w:val="002A52DB"/>
    <w:rsid w:val="002A5373"/>
    <w:rsid w:val="002A61D8"/>
    <w:rsid w:val="002A7451"/>
    <w:rsid w:val="002B0BEE"/>
    <w:rsid w:val="002B12B9"/>
    <w:rsid w:val="002B1C35"/>
    <w:rsid w:val="002B2BCB"/>
    <w:rsid w:val="002B33F4"/>
    <w:rsid w:val="002B351D"/>
    <w:rsid w:val="002B45E4"/>
    <w:rsid w:val="002B4A70"/>
    <w:rsid w:val="002B6C88"/>
    <w:rsid w:val="002C11C3"/>
    <w:rsid w:val="002C33FD"/>
    <w:rsid w:val="002C3F54"/>
    <w:rsid w:val="002C6308"/>
    <w:rsid w:val="002C7E20"/>
    <w:rsid w:val="002D16DB"/>
    <w:rsid w:val="002D29B7"/>
    <w:rsid w:val="002D6F42"/>
    <w:rsid w:val="002D75D7"/>
    <w:rsid w:val="002E22A3"/>
    <w:rsid w:val="002E34A8"/>
    <w:rsid w:val="002E3C9C"/>
    <w:rsid w:val="002E7402"/>
    <w:rsid w:val="002E743E"/>
    <w:rsid w:val="002F0868"/>
    <w:rsid w:val="002F0A63"/>
    <w:rsid w:val="002F18EC"/>
    <w:rsid w:val="002F3E1F"/>
    <w:rsid w:val="002F3FA9"/>
    <w:rsid w:val="002F4638"/>
    <w:rsid w:val="002F47B1"/>
    <w:rsid w:val="002F56D7"/>
    <w:rsid w:val="002F6351"/>
    <w:rsid w:val="002F6E9F"/>
    <w:rsid w:val="002F7378"/>
    <w:rsid w:val="00300AFD"/>
    <w:rsid w:val="00301047"/>
    <w:rsid w:val="00304AE0"/>
    <w:rsid w:val="003058A9"/>
    <w:rsid w:val="00306204"/>
    <w:rsid w:val="00310C92"/>
    <w:rsid w:val="00311726"/>
    <w:rsid w:val="00311A03"/>
    <w:rsid w:val="00311EF2"/>
    <w:rsid w:val="00311F46"/>
    <w:rsid w:val="00321BF3"/>
    <w:rsid w:val="003222DE"/>
    <w:rsid w:val="00323A14"/>
    <w:rsid w:val="00326E25"/>
    <w:rsid w:val="00327C26"/>
    <w:rsid w:val="0033114F"/>
    <w:rsid w:val="00332590"/>
    <w:rsid w:val="0033375D"/>
    <w:rsid w:val="003341F6"/>
    <w:rsid w:val="00334FD6"/>
    <w:rsid w:val="0033778F"/>
    <w:rsid w:val="00337C4B"/>
    <w:rsid w:val="00340915"/>
    <w:rsid w:val="00340C08"/>
    <w:rsid w:val="00340C89"/>
    <w:rsid w:val="0034101B"/>
    <w:rsid w:val="00341EAD"/>
    <w:rsid w:val="0034335F"/>
    <w:rsid w:val="0034452B"/>
    <w:rsid w:val="00344AA8"/>
    <w:rsid w:val="00345E08"/>
    <w:rsid w:val="00350386"/>
    <w:rsid w:val="003520BC"/>
    <w:rsid w:val="003530CC"/>
    <w:rsid w:val="00353342"/>
    <w:rsid w:val="00353EE8"/>
    <w:rsid w:val="0035503B"/>
    <w:rsid w:val="00357AB2"/>
    <w:rsid w:val="0036126F"/>
    <w:rsid w:val="0036236D"/>
    <w:rsid w:val="0036516E"/>
    <w:rsid w:val="0036648C"/>
    <w:rsid w:val="0036699F"/>
    <w:rsid w:val="00366FD6"/>
    <w:rsid w:val="00370D90"/>
    <w:rsid w:val="00371730"/>
    <w:rsid w:val="0037462A"/>
    <w:rsid w:val="00376214"/>
    <w:rsid w:val="003764C4"/>
    <w:rsid w:val="00376D7D"/>
    <w:rsid w:val="0038013C"/>
    <w:rsid w:val="0038064F"/>
    <w:rsid w:val="003807E6"/>
    <w:rsid w:val="003829D3"/>
    <w:rsid w:val="003854A7"/>
    <w:rsid w:val="003859E4"/>
    <w:rsid w:val="00387C73"/>
    <w:rsid w:val="00390678"/>
    <w:rsid w:val="003907CF"/>
    <w:rsid w:val="00395D8B"/>
    <w:rsid w:val="003966FD"/>
    <w:rsid w:val="003A004A"/>
    <w:rsid w:val="003A0A71"/>
    <w:rsid w:val="003A0D28"/>
    <w:rsid w:val="003A0E43"/>
    <w:rsid w:val="003A0F8D"/>
    <w:rsid w:val="003A226A"/>
    <w:rsid w:val="003A3735"/>
    <w:rsid w:val="003A3C95"/>
    <w:rsid w:val="003B0813"/>
    <w:rsid w:val="003B159B"/>
    <w:rsid w:val="003B1D01"/>
    <w:rsid w:val="003B2710"/>
    <w:rsid w:val="003B30B6"/>
    <w:rsid w:val="003B5DA9"/>
    <w:rsid w:val="003B6FED"/>
    <w:rsid w:val="003C0561"/>
    <w:rsid w:val="003C0C3F"/>
    <w:rsid w:val="003C1DF8"/>
    <w:rsid w:val="003C259D"/>
    <w:rsid w:val="003C4551"/>
    <w:rsid w:val="003C45CD"/>
    <w:rsid w:val="003C5329"/>
    <w:rsid w:val="003D00B3"/>
    <w:rsid w:val="003D078B"/>
    <w:rsid w:val="003D23D7"/>
    <w:rsid w:val="003D2D50"/>
    <w:rsid w:val="003D2E34"/>
    <w:rsid w:val="003D3021"/>
    <w:rsid w:val="003D3613"/>
    <w:rsid w:val="003D6715"/>
    <w:rsid w:val="003D697A"/>
    <w:rsid w:val="003D70CD"/>
    <w:rsid w:val="003D763B"/>
    <w:rsid w:val="003D77DA"/>
    <w:rsid w:val="003E0B81"/>
    <w:rsid w:val="003E1850"/>
    <w:rsid w:val="003E28B7"/>
    <w:rsid w:val="003E29D5"/>
    <w:rsid w:val="003E57D1"/>
    <w:rsid w:val="003E6ADF"/>
    <w:rsid w:val="003E6EF7"/>
    <w:rsid w:val="003F49C6"/>
    <w:rsid w:val="003F555E"/>
    <w:rsid w:val="003F614E"/>
    <w:rsid w:val="003F7502"/>
    <w:rsid w:val="003F7BA1"/>
    <w:rsid w:val="00406567"/>
    <w:rsid w:val="0040765C"/>
    <w:rsid w:val="004076E2"/>
    <w:rsid w:val="0040773D"/>
    <w:rsid w:val="00407C11"/>
    <w:rsid w:val="00410088"/>
    <w:rsid w:val="004116FB"/>
    <w:rsid w:val="00412931"/>
    <w:rsid w:val="00414A71"/>
    <w:rsid w:val="004153B6"/>
    <w:rsid w:val="00416FB1"/>
    <w:rsid w:val="00417CE4"/>
    <w:rsid w:val="00421809"/>
    <w:rsid w:val="00422048"/>
    <w:rsid w:val="00424370"/>
    <w:rsid w:val="00425776"/>
    <w:rsid w:val="00425D82"/>
    <w:rsid w:val="004261BD"/>
    <w:rsid w:val="00427873"/>
    <w:rsid w:val="00430126"/>
    <w:rsid w:val="004301D5"/>
    <w:rsid w:val="004304B8"/>
    <w:rsid w:val="00432144"/>
    <w:rsid w:val="00435E7B"/>
    <w:rsid w:val="0043627F"/>
    <w:rsid w:val="0043704E"/>
    <w:rsid w:val="00440278"/>
    <w:rsid w:val="004405DE"/>
    <w:rsid w:val="0044264F"/>
    <w:rsid w:val="00442AA5"/>
    <w:rsid w:val="0044332E"/>
    <w:rsid w:val="00444E84"/>
    <w:rsid w:val="0044667C"/>
    <w:rsid w:val="00446C4C"/>
    <w:rsid w:val="004514C8"/>
    <w:rsid w:val="00451F87"/>
    <w:rsid w:val="00452906"/>
    <w:rsid w:val="004529DD"/>
    <w:rsid w:val="00452DAC"/>
    <w:rsid w:val="00453850"/>
    <w:rsid w:val="00454EB1"/>
    <w:rsid w:val="004565BC"/>
    <w:rsid w:val="004576A5"/>
    <w:rsid w:val="00460FA1"/>
    <w:rsid w:val="00462143"/>
    <w:rsid w:val="0046322F"/>
    <w:rsid w:val="004666E1"/>
    <w:rsid w:val="0046734F"/>
    <w:rsid w:val="004720CB"/>
    <w:rsid w:val="004728DF"/>
    <w:rsid w:val="00473AA0"/>
    <w:rsid w:val="0047455F"/>
    <w:rsid w:val="00474C54"/>
    <w:rsid w:val="004765D1"/>
    <w:rsid w:val="004767A9"/>
    <w:rsid w:val="00476BD5"/>
    <w:rsid w:val="00480137"/>
    <w:rsid w:val="00480F80"/>
    <w:rsid w:val="00480FD3"/>
    <w:rsid w:val="00481581"/>
    <w:rsid w:val="0048184E"/>
    <w:rsid w:val="00482782"/>
    <w:rsid w:val="004840FC"/>
    <w:rsid w:val="00486195"/>
    <w:rsid w:val="004863ED"/>
    <w:rsid w:val="00486436"/>
    <w:rsid w:val="004869D0"/>
    <w:rsid w:val="00487974"/>
    <w:rsid w:val="004900F7"/>
    <w:rsid w:val="0049152D"/>
    <w:rsid w:val="00494307"/>
    <w:rsid w:val="004943AB"/>
    <w:rsid w:val="00495C7F"/>
    <w:rsid w:val="00496CFF"/>
    <w:rsid w:val="00497207"/>
    <w:rsid w:val="004A1953"/>
    <w:rsid w:val="004A28E4"/>
    <w:rsid w:val="004A2B95"/>
    <w:rsid w:val="004B0F1A"/>
    <w:rsid w:val="004B12D0"/>
    <w:rsid w:val="004C37E3"/>
    <w:rsid w:val="004C5DDC"/>
    <w:rsid w:val="004C639B"/>
    <w:rsid w:val="004C7324"/>
    <w:rsid w:val="004D0ACA"/>
    <w:rsid w:val="004D29DA"/>
    <w:rsid w:val="004D3777"/>
    <w:rsid w:val="004E166F"/>
    <w:rsid w:val="004E1E35"/>
    <w:rsid w:val="004E353D"/>
    <w:rsid w:val="004E4B54"/>
    <w:rsid w:val="004E5227"/>
    <w:rsid w:val="004E555F"/>
    <w:rsid w:val="004E6E7F"/>
    <w:rsid w:val="004F40C5"/>
    <w:rsid w:val="004F4C96"/>
    <w:rsid w:val="004F69A5"/>
    <w:rsid w:val="004F76C2"/>
    <w:rsid w:val="00500130"/>
    <w:rsid w:val="00504978"/>
    <w:rsid w:val="0050730B"/>
    <w:rsid w:val="00511BD6"/>
    <w:rsid w:val="0051428E"/>
    <w:rsid w:val="005147F3"/>
    <w:rsid w:val="00515D70"/>
    <w:rsid w:val="00517579"/>
    <w:rsid w:val="005176CE"/>
    <w:rsid w:val="005200E9"/>
    <w:rsid w:val="00522BD3"/>
    <w:rsid w:val="00523E5C"/>
    <w:rsid w:val="00524C16"/>
    <w:rsid w:val="005254B4"/>
    <w:rsid w:val="00525782"/>
    <w:rsid w:val="005267EB"/>
    <w:rsid w:val="00526A34"/>
    <w:rsid w:val="00526AAF"/>
    <w:rsid w:val="005276A6"/>
    <w:rsid w:val="00531DC8"/>
    <w:rsid w:val="00532265"/>
    <w:rsid w:val="00533A74"/>
    <w:rsid w:val="0053413C"/>
    <w:rsid w:val="00534433"/>
    <w:rsid w:val="00535449"/>
    <w:rsid w:val="00535487"/>
    <w:rsid w:val="00536839"/>
    <w:rsid w:val="00540BF2"/>
    <w:rsid w:val="0054112B"/>
    <w:rsid w:val="0054246B"/>
    <w:rsid w:val="005425CC"/>
    <w:rsid w:val="0054373A"/>
    <w:rsid w:val="005446B5"/>
    <w:rsid w:val="0054479D"/>
    <w:rsid w:val="00544E4C"/>
    <w:rsid w:val="005452B7"/>
    <w:rsid w:val="005464CA"/>
    <w:rsid w:val="00550C8A"/>
    <w:rsid w:val="00550D1E"/>
    <w:rsid w:val="00552199"/>
    <w:rsid w:val="0055331E"/>
    <w:rsid w:val="005562D8"/>
    <w:rsid w:val="00557088"/>
    <w:rsid w:val="00561B33"/>
    <w:rsid w:val="00563071"/>
    <w:rsid w:val="005652D7"/>
    <w:rsid w:val="00573390"/>
    <w:rsid w:val="005757B3"/>
    <w:rsid w:val="0057757C"/>
    <w:rsid w:val="0058145D"/>
    <w:rsid w:val="00582510"/>
    <w:rsid w:val="00582834"/>
    <w:rsid w:val="005829BF"/>
    <w:rsid w:val="00582FD9"/>
    <w:rsid w:val="00583048"/>
    <w:rsid w:val="00583845"/>
    <w:rsid w:val="00583960"/>
    <w:rsid w:val="005849A6"/>
    <w:rsid w:val="005859AF"/>
    <w:rsid w:val="00590E7B"/>
    <w:rsid w:val="00591422"/>
    <w:rsid w:val="005940E3"/>
    <w:rsid w:val="005946AF"/>
    <w:rsid w:val="005947B8"/>
    <w:rsid w:val="0059508E"/>
    <w:rsid w:val="00595137"/>
    <w:rsid w:val="00595729"/>
    <w:rsid w:val="00596591"/>
    <w:rsid w:val="005A0829"/>
    <w:rsid w:val="005A0EB2"/>
    <w:rsid w:val="005A1119"/>
    <w:rsid w:val="005A264C"/>
    <w:rsid w:val="005A3477"/>
    <w:rsid w:val="005A366C"/>
    <w:rsid w:val="005A3B0F"/>
    <w:rsid w:val="005A3B3F"/>
    <w:rsid w:val="005B1210"/>
    <w:rsid w:val="005B15F5"/>
    <w:rsid w:val="005B2378"/>
    <w:rsid w:val="005B58D2"/>
    <w:rsid w:val="005B6AD4"/>
    <w:rsid w:val="005B6B92"/>
    <w:rsid w:val="005B7284"/>
    <w:rsid w:val="005C0088"/>
    <w:rsid w:val="005C0357"/>
    <w:rsid w:val="005C0611"/>
    <w:rsid w:val="005C0980"/>
    <w:rsid w:val="005C0D65"/>
    <w:rsid w:val="005C0EE2"/>
    <w:rsid w:val="005C14A3"/>
    <w:rsid w:val="005C153A"/>
    <w:rsid w:val="005C1E43"/>
    <w:rsid w:val="005C40D0"/>
    <w:rsid w:val="005C566E"/>
    <w:rsid w:val="005D069C"/>
    <w:rsid w:val="005D179F"/>
    <w:rsid w:val="005D1EDE"/>
    <w:rsid w:val="005D489F"/>
    <w:rsid w:val="005D6DF8"/>
    <w:rsid w:val="005E200B"/>
    <w:rsid w:val="005E2355"/>
    <w:rsid w:val="005E3A3E"/>
    <w:rsid w:val="005E6CA1"/>
    <w:rsid w:val="005E702C"/>
    <w:rsid w:val="005E73C2"/>
    <w:rsid w:val="005E7C44"/>
    <w:rsid w:val="005F197A"/>
    <w:rsid w:val="005F2927"/>
    <w:rsid w:val="005F2DF7"/>
    <w:rsid w:val="005F3007"/>
    <w:rsid w:val="005F304B"/>
    <w:rsid w:val="005F5F6F"/>
    <w:rsid w:val="005F698A"/>
    <w:rsid w:val="00600538"/>
    <w:rsid w:val="00605CDD"/>
    <w:rsid w:val="00605EA7"/>
    <w:rsid w:val="0060674D"/>
    <w:rsid w:val="00606A00"/>
    <w:rsid w:val="00607A0D"/>
    <w:rsid w:val="006107CF"/>
    <w:rsid w:val="006110A4"/>
    <w:rsid w:val="0061333F"/>
    <w:rsid w:val="0061335C"/>
    <w:rsid w:val="00613FB1"/>
    <w:rsid w:val="006147B6"/>
    <w:rsid w:val="006155CA"/>
    <w:rsid w:val="0061668E"/>
    <w:rsid w:val="00616F62"/>
    <w:rsid w:val="006170F3"/>
    <w:rsid w:val="0061742C"/>
    <w:rsid w:val="006179B6"/>
    <w:rsid w:val="00621FD6"/>
    <w:rsid w:val="00624E56"/>
    <w:rsid w:val="00625A71"/>
    <w:rsid w:val="00627441"/>
    <w:rsid w:val="006316F9"/>
    <w:rsid w:val="006325B0"/>
    <w:rsid w:val="0063264C"/>
    <w:rsid w:val="006328AF"/>
    <w:rsid w:val="006331CE"/>
    <w:rsid w:val="00633980"/>
    <w:rsid w:val="00633EE8"/>
    <w:rsid w:val="006350C0"/>
    <w:rsid w:val="00636185"/>
    <w:rsid w:val="0063664A"/>
    <w:rsid w:val="0063792B"/>
    <w:rsid w:val="006425BC"/>
    <w:rsid w:val="00644904"/>
    <w:rsid w:val="00644F62"/>
    <w:rsid w:val="006451CB"/>
    <w:rsid w:val="00645383"/>
    <w:rsid w:val="00646E4E"/>
    <w:rsid w:val="0064758B"/>
    <w:rsid w:val="0064769A"/>
    <w:rsid w:val="00650546"/>
    <w:rsid w:val="006518DC"/>
    <w:rsid w:val="006519D0"/>
    <w:rsid w:val="00652836"/>
    <w:rsid w:val="0065321E"/>
    <w:rsid w:val="006533FD"/>
    <w:rsid w:val="00653D6B"/>
    <w:rsid w:val="006550B2"/>
    <w:rsid w:val="0065605D"/>
    <w:rsid w:val="006570C7"/>
    <w:rsid w:val="006577D8"/>
    <w:rsid w:val="00657B29"/>
    <w:rsid w:val="00657B50"/>
    <w:rsid w:val="006602A7"/>
    <w:rsid w:val="00660496"/>
    <w:rsid w:val="00660F14"/>
    <w:rsid w:val="0066162E"/>
    <w:rsid w:val="006617FA"/>
    <w:rsid w:val="00661B7A"/>
    <w:rsid w:val="00663325"/>
    <w:rsid w:val="006636FE"/>
    <w:rsid w:val="00664255"/>
    <w:rsid w:val="00664476"/>
    <w:rsid w:val="00664A10"/>
    <w:rsid w:val="0066541E"/>
    <w:rsid w:val="006654CA"/>
    <w:rsid w:val="00665C20"/>
    <w:rsid w:val="00673DCE"/>
    <w:rsid w:val="006749E5"/>
    <w:rsid w:val="00675C9D"/>
    <w:rsid w:val="00675DA5"/>
    <w:rsid w:val="00676165"/>
    <w:rsid w:val="00676CB1"/>
    <w:rsid w:val="00686291"/>
    <w:rsid w:val="00686FA4"/>
    <w:rsid w:val="00691E65"/>
    <w:rsid w:val="00691EA1"/>
    <w:rsid w:val="00693886"/>
    <w:rsid w:val="00694BE9"/>
    <w:rsid w:val="00696114"/>
    <w:rsid w:val="0069667F"/>
    <w:rsid w:val="00696D4A"/>
    <w:rsid w:val="006974AF"/>
    <w:rsid w:val="00697728"/>
    <w:rsid w:val="006A03C8"/>
    <w:rsid w:val="006A07EB"/>
    <w:rsid w:val="006A1279"/>
    <w:rsid w:val="006A1CD6"/>
    <w:rsid w:val="006A362D"/>
    <w:rsid w:val="006A5E39"/>
    <w:rsid w:val="006A615E"/>
    <w:rsid w:val="006A641C"/>
    <w:rsid w:val="006B048C"/>
    <w:rsid w:val="006B210C"/>
    <w:rsid w:val="006B2C4A"/>
    <w:rsid w:val="006B2D1C"/>
    <w:rsid w:val="006B35DA"/>
    <w:rsid w:val="006B53F6"/>
    <w:rsid w:val="006B655F"/>
    <w:rsid w:val="006C11BE"/>
    <w:rsid w:val="006C1F06"/>
    <w:rsid w:val="006C2DB2"/>
    <w:rsid w:val="006C43B5"/>
    <w:rsid w:val="006C5E78"/>
    <w:rsid w:val="006C615F"/>
    <w:rsid w:val="006C6E2E"/>
    <w:rsid w:val="006C773D"/>
    <w:rsid w:val="006D28A5"/>
    <w:rsid w:val="006D2F81"/>
    <w:rsid w:val="006D3518"/>
    <w:rsid w:val="006D3F0C"/>
    <w:rsid w:val="006D4494"/>
    <w:rsid w:val="006D4AFF"/>
    <w:rsid w:val="006D53EB"/>
    <w:rsid w:val="006D67E7"/>
    <w:rsid w:val="006D6A30"/>
    <w:rsid w:val="006D76DB"/>
    <w:rsid w:val="006E1599"/>
    <w:rsid w:val="006E3F66"/>
    <w:rsid w:val="006E58C8"/>
    <w:rsid w:val="006E669A"/>
    <w:rsid w:val="006E7C7B"/>
    <w:rsid w:val="006F1F44"/>
    <w:rsid w:val="006F2ADA"/>
    <w:rsid w:val="006F2AE7"/>
    <w:rsid w:val="006F2D52"/>
    <w:rsid w:val="006F3591"/>
    <w:rsid w:val="006F7B7C"/>
    <w:rsid w:val="0070002A"/>
    <w:rsid w:val="00700DAE"/>
    <w:rsid w:val="007015A1"/>
    <w:rsid w:val="0070297A"/>
    <w:rsid w:val="00704090"/>
    <w:rsid w:val="00706102"/>
    <w:rsid w:val="00711461"/>
    <w:rsid w:val="0071373D"/>
    <w:rsid w:val="00713758"/>
    <w:rsid w:val="00715907"/>
    <w:rsid w:val="00720307"/>
    <w:rsid w:val="00722D85"/>
    <w:rsid w:val="007236C0"/>
    <w:rsid w:val="00724361"/>
    <w:rsid w:val="00724564"/>
    <w:rsid w:val="007255E3"/>
    <w:rsid w:val="007265F0"/>
    <w:rsid w:val="007269E3"/>
    <w:rsid w:val="00732460"/>
    <w:rsid w:val="00733D7B"/>
    <w:rsid w:val="00735881"/>
    <w:rsid w:val="00735F13"/>
    <w:rsid w:val="007364A0"/>
    <w:rsid w:val="007408D5"/>
    <w:rsid w:val="0074154C"/>
    <w:rsid w:val="00741FDE"/>
    <w:rsid w:val="00742757"/>
    <w:rsid w:val="007430B3"/>
    <w:rsid w:val="007453E5"/>
    <w:rsid w:val="00746363"/>
    <w:rsid w:val="007464AF"/>
    <w:rsid w:val="00746C27"/>
    <w:rsid w:val="007474E2"/>
    <w:rsid w:val="00750371"/>
    <w:rsid w:val="00750941"/>
    <w:rsid w:val="00750BF7"/>
    <w:rsid w:val="0075108D"/>
    <w:rsid w:val="007557DC"/>
    <w:rsid w:val="00760148"/>
    <w:rsid w:val="007611F3"/>
    <w:rsid w:val="00762451"/>
    <w:rsid w:val="007656EE"/>
    <w:rsid w:val="00766B87"/>
    <w:rsid w:val="00767F5A"/>
    <w:rsid w:val="00771493"/>
    <w:rsid w:val="00771A62"/>
    <w:rsid w:val="0077338A"/>
    <w:rsid w:val="00773A59"/>
    <w:rsid w:val="00774701"/>
    <w:rsid w:val="007771DC"/>
    <w:rsid w:val="00777F89"/>
    <w:rsid w:val="00782574"/>
    <w:rsid w:val="007831CE"/>
    <w:rsid w:val="0078347B"/>
    <w:rsid w:val="00784F06"/>
    <w:rsid w:val="00790B45"/>
    <w:rsid w:val="0079220D"/>
    <w:rsid w:val="00792719"/>
    <w:rsid w:val="00792749"/>
    <w:rsid w:val="007928CE"/>
    <w:rsid w:val="00792ADA"/>
    <w:rsid w:val="00793ECE"/>
    <w:rsid w:val="00796E22"/>
    <w:rsid w:val="0079778C"/>
    <w:rsid w:val="00797E1A"/>
    <w:rsid w:val="007A35C4"/>
    <w:rsid w:val="007A3CC4"/>
    <w:rsid w:val="007A4418"/>
    <w:rsid w:val="007A45F1"/>
    <w:rsid w:val="007A56FF"/>
    <w:rsid w:val="007A5B54"/>
    <w:rsid w:val="007A766F"/>
    <w:rsid w:val="007B1B31"/>
    <w:rsid w:val="007B2921"/>
    <w:rsid w:val="007B392C"/>
    <w:rsid w:val="007B4388"/>
    <w:rsid w:val="007B45BA"/>
    <w:rsid w:val="007B49CE"/>
    <w:rsid w:val="007B4E9A"/>
    <w:rsid w:val="007B5474"/>
    <w:rsid w:val="007B5E52"/>
    <w:rsid w:val="007B69A9"/>
    <w:rsid w:val="007B79BB"/>
    <w:rsid w:val="007C0298"/>
    <w:rsid w:val="007C08B0"/>
    <w:rsid w:val="007C1163"/>
    <w:rsid w:val="007C1847"/>
    <w:rsid w:val="007C2376"/>
    <w:rsid w:val="007C23F5"/>
    <w:rsid w:val="007C45B1"/>
    <w:rsid w:val="007C482F"/>
    <w:rsid w:val="007C6371"/>
    <w:rsid w:val="007C672B"/>
    <w:rsid w:val="007D2756"/>
    <w:rsid w:val="007D280C"/>
    <w:rsid w:val="007D3C02"/>
    <w:rsid w:val="007D4395"/>
    <w:rsid w:val="007D4964"/>
    <w:rsid w:val="007D49A6"/>
    <w:rsid w:val="007D4B36"/>
    <w:rsid w:val="007D70B2"/>
    <w:rsid w:val="007D7313"/>
    <w:rsid w:val="007E0FC8"/>
    <w:rsid w:val="007E12FA"/>
    <w:rsid w:val="007E1C58"/>
    <w:rsid w:val="007E1D94"/>
    <w:rsid w:val="007E29EB"/>
    <w:rsid w:val="007E2B9F"/>
    <w:rsid w:val="007E4197"/>
    <w:rsid w:val="007E59FE"/>
    <w:rsid w:val="007E5C58"/>
    <w:rsid w:val="007E6320"/>
    <w:rsid w:val="007E640E"/>
    <w:rsid w:val="007E72D7"/>
    <w:rsid w:val="007F11F4"/>
    <w:rsid w:val="007F2366"/>
    <w:rsid w:val="007F2A06"/>
    <w:rsid w:val="007F4F74"/>
    <w:rsid w:val="007F5A11"/>
    <w:rsid w:val="007F62FA"/>
    <w:rsid w:val="007F6887"/>
    <w:rsid w:val="00801520"/>
    <w:rsid w:val="008020B9"/>
    <w:rsid w:val="0080321B"/>
    <w:rsid w:val="008057DB"/>
    <w:rsid w:val="00807805"/>
    <w:rsid w:val="00810C47"/>
    <w:rsid w:val="00810DC1"/>
    <w:rsid w:val="008122E0"/>
    <w:rsid w:val="0081279E"/>
    <w:rsid w:val="008139A3"/>
    <w:rsid w:val="008139C1"/>
    <w:rsid w:val="00813A79"/>
    <w:rsid w:val="0081473C"/>
    <w:rsid w:val="0081684A"/>
    <w:rsid w:val="00816BB8"/>
    <w:rsid w:val="00817F38"/>
    <w:rsid w:val="00820E4E"/>
    <w:rsid w:val="0082207A"/>
    <w:rsid w:val="00823429"/>
    <w:rsid w:val="008309E3"/>
    <w:rsid w:val="008314BA"/>
    <w:rsid w:val="00832337"/>
    <w:rsid w:val="00832B7B"/>
    <w:rsid w:val="00832FFA"/>
    <w:rsid w:val="008347F7"/>
    <w:rsid w:val="008353FC"/>
    <w:rsid w:val="00837C2E"/>
    <w:rsid w:val="00837FDA"/>
    <w:rsid w:val="00841543"/>
    <w:rsid w:val="00841833"/>
    <w:rsid w:val="008418E3"/>
    <w:rsid w:val="00842E49"/>
    <w:rsid w:val="00843D2B"/>
    <w:rsid w:val="00843FE0"/>
    <w:rsid w:val="00844357"/>
    <w:rsid w:val="008443F9"/>
    <w:rsid w:val="00844C65"/>
    <w:rsid w:val="00845862"/>
    <w:rsid w:val="00846311"/>
    <w:rsid w:val="008470F0"/>
    <w:rsid w:val="008473F7"/>
    <w:rsid w:val="00847750"/>
    <w:rsid w:val="008478D1"/>
    <w:rsid w:val="00850C3C"/>
    <w:rsid w:val="00851A9C"/>
    <w:rsid w:val="0085300C"/>
    <w:rsid w:val="008608E6"/>
    <w:rsid w:val="00860B78"/>
    <w:rsid w:val="00860BCC"/>
    <w:rsid w:val="00861880"/>
    <w:rsid w:val="0086195A"/>
    <w:rsid w:val="00861B47"/>
    <w:rsid w:val="0086229E"/>
    <w:rsid w:val="00862CED"/>
    <w:rsid w:val="0086480A"/>
    <w:rsid w:val="00864CD8"/>
    <w:rsid w:val="00867F87"/>
    <w:rsid w:val="00870279"/>
    <w:rsid w:val="00870603"/>
    <w:rsid w:val="0087096F"/>
    <w:rsid w:val="008755BA"/>
    <w:rsid w:val="00881208"/>
    <w:rsid w:val="00884FC6"/>
    <w:rsid w:val="0089080C"/>
    <w:rsid w:val="00890C8E"/>
    <w:rsid w:val="00895D8D"/>
    <w:rsid w:val="008A172E"/>
    <w:rsid w:val="008A1F51"/>
    <w:rsid w:val="008A2695"/>
    <w:rsid w:val="008A33D5"/>
    <w:rsid w:val="008A45E8"/>
    <w:rsid w:val="008A5D75"/>
    <w:rsid w:val="008A7719"/>
    <w:rsid w:val="008A7A9A"/>
    <w:rsid w:val="008B0AFD"/>
    <w:rsid w:val="008B3B41"/>
    <w:rsid w:val="008B44DA"/>
    <w:rsid w:val="008B4D42"/>
    <w:rsid w:val="008B5CA8"/>
    <w:rsid w:val="008B6FB0"/>
    <w:rsid w:val="008C1AB9"/>
    <w:rsid w:val="008C32CD"/>
    <w:rsid w:val="008C4891"/>
    <w:rsid w:val="008C64BD"/>
    <w:rsid w:val="008C7A4C"/>
    <w:rsid w:val="008C7F9B"/>
    <w:rsid w:val="008D1583"/>
    <w:rsid w:val="008D38F1"/>
    <w:rsid w:val="008D509B"/>
    <w:rsid w:val="008D53A8"/>
    <w:rsid w:val="008D716B"/>
    <w:rsid w:val="008E047F"/>
    <w:rsid w:val="008E0678"/>
    <w:rsid w:val="008E110C"/>
    <w:rsid w:val="008E11F8"/>
    <w:rsid w:val="008E4D3C"/>
    <w:rsid w:val="008E4E14"/>
    <w:rsid w:val="008E7F39"/>
    <w:rsid w:val="008F0A69"/>
    <w:rsid w:val="008F102D"/>
    <w:rsid w:val="008F14A2"/>
    <w:rsid w:val="008F4D5D"/>
    <w:rsid w:val="008F7204"/>
    <w:rsid w:val="009047FC"/>
    <w:rsid w:val="0090530E"/>
    <w:rsid w:val="009058EC"/>
    <w:rsid w:val="00905CA5"/>
    <w:rsid w:val="009064C3"/>
    <w:rsid w:val="00906858"/>
    <w:rsid w:val="00906E4E"/>
    <w:rsid w:val="00907177"/>
    <w:rsid w:val="009071AD"/>
    <w:rsid w:val="00907A06"/>
    <w:rsid w:val="00907A43"/>
    <w:rsid w:val="009131C0"/>
    <w:rsid w:val="0091413D"/>
    <w:rsid w:val="009155A6"/>
    <w:rsid w:val="00916FAC"/>
    <w:rsid w:val="009175F1"/>
    <w:rsid w:val="00920DC1"/>
    <w:rsid w:val="00920F09"/>
    <w:rsid w:val="00922FA5"/>
    <w:rsid w:val="00923B5B"/>
    <w:rsid w:val="00923DD8"/>
    <w:rsid w:val="00924FEC"/>
    <w:rsid w:val="009250A2"/>
    <w:rsid w:val="00926375"/>
    <w:rsid w:val="00930551"/>
    <w:rsid w:val="00931EF1"/>
    <w:rsid w:val="00932C17"/>
    <w:rsid w:val="0093307B"/>
    <w:rsid w:val="009331B2"/>
    <w:rsid w:val="009351F3"/>
    <w:rsid w:val="00937229"/>
    <w:rsid w:val="00941C1D"/>
    <w:rsid w:val="00941EF0"/>
    <w:rsid w:val="009423AA"/>
    <w:rsid w:val="009423AC"/>
    <w:rsid w:val="00943218"/>
    <w:rsid w:val="009453A2"/>
    <w:rsid w:val="00946AB1"/>
    <w:rsid w:val="009504B8"/>
    <w:rsid w:val="009517F6"/>
    <w:rsid w:val="00953281"/>
    <w:rsid w:val="00953B8E"/>
    <w:rsid w:val="00956565"/>
    <w:rsid w:val="00957FDC"/>
    <w:rsid w:val="009601AB"/>
    <w:rsid w:val="00960D92"/>
    <w:rsid w:val="00961947"/>
    <w:rsid w:val="00962C7C"/>
    <w:rsid w:val="00962F2C"/>
    <w:rsid w:val="0096331D"/>
    <w:rsid w:val="00963579"/>
    <w:rsid w:val="00963C26"/>
    <w:rsid w:val="00963D08"/>
    <w:rsid w:val="00963E4F"/>
    <w:rsid w:val="00965CA7"/>
    <w:rsid w:val="00966160"/>
    <w:rsid w:val="009672AC"/>
    <w:rsid w:val="00967EDD"/>
    <w:rsid w:val="00971910"/>
    <w:rsid w:val="00972B8E"/>
    <w:rsid w:val="00973A55"/>
    <w:rsid w:val="00974C45"/>
    <w:rsid w:val="00975A1E"/>
    <w:rsid w:val="00975C75"/>
    <w:rsid w:val="00980B13"/>
    <w:rsid w:val="00980F6D"/>
    <w:rsid w:val="00982E2D"/>
    <w:rsid w:val="00982F94"/>
    <w:rsid w:val="00983EDA"/>
    <w:rsid w:val="00985422"/>
    <w:rsid w:val="009867CF"/>
    <w:rsid w:val="00986DCF"/>
    <w:rsid w:val="00991021"/>
    <w:rsid w:val="00992A6C"/>
    <w:rsid w:val="00992B39"/>
    <w:rsid w:val="00996DF4"/>
    <w:rsid w:val="009A02E4"/>
    <w:rsid w:val="009A0A3D"/>
    <w:rsid w:val="009A1442"/>
    <w:rsid w:val="009A1C7C"/>
    <w:rsid w:val="009A2D3A"/>
    <w:rsid w:val="009A3F87"/>
    <w:rsid w:val="009A4F82"/>
    <w:rsid w:val="009A5325"/>
    <w:rsid w:val="009A659A"/>
    <w:rsid w:val="009A67B4"/>
    <w:rsid w:val="009A7570"/>
    <w:rsid w:val="009B475F"/>
    <w:rsid w:val="009B4A1E"/>
    <w:rsid w:val="009C0E14"/>
    <w:rsid w:val="009C1DA6"/>
    <w:rsid w:val="009C32A2"/>
    <w:rsid w:val="009C3472"/>
    <w:rsid w:val="009C6B17"/>
    <w:rsid w:val="009D2013"/>
    <w:rsid w:val="009D203D"/>
    <w:rsid w:val="009D558F"/>
    <w:rsid w:val="009E0477"/>
    <w:rsid w:val="009E0E03"/>
    <w:rsid w:val="009E12AC"/>
    <w:rsid w:val="009E1533"/>
    <w:rsid w:val="009E196E"/>
    <w:rsid w:val="009E1CB5"/>
    <w:rsid w:val="009E32E0"/>
    <w:rsid w:val="009E40D0"/>
    <w:rsid w:val="009E4365"/>
    <w:rsid w:val="009E4C53"/>
    <w:rsid w:val="009E52D8"/>
    <w:rsid w:val="009E5AB1"/>
    <w:rsid w:val="009E5CBB"/>
    <w:rsid w:val="009F096D"/>
    <w:rsid w:val="009F394D"/>
    <w:rsid w:val="009F3CC4"/>
    <w:rsid w:val="009F43BE"/>
    <w:rsid w:val="009F44E0"/>
    <w:rsid w:val="009F571B"/>
    <w:rsid w:val="009F5B90"/>
    <w:rsid w:val="009F6357"/>
    <w:rsid w:val="009F6C02"/>
    <w:rsid w:val="009F74B2"/>
    <w:rsid w:val="009F7D94"/>
    <w:rsid w:val="00A0147C"/>
    <w:rsid w:val="00A01902"/>
    <w:rsid w:val="00A02DC2"/>
    <w:rsid w:val="00A03480"/>
    <w:rsid w:val="00A04AF7"/>
    <w:rsid w:val="00A070B7"/>
    <w:rsid w:val="00A11CA2"/>
    <w:rsid w:val="00A12756"/>
    <w:rsid w:val="00A13D77"/>
    <w:rsid w:val="00A1573B"/>
    <w:rsid w:val="00A15EFB"/>
    <w:rsid w:val="00A230A8"/>
    <w:rsid w:val="00A246A8"/>
    <w:rsid w:val="00A2660D"/>
    <w:rsid w:val="00A2730C"/>
    <w:rsid w:val="00A27CF3"/>
    <w:rsid w:val="00A30BC4"/>
    <w:rsid w:val="00A30C4E"/>
    <w:rsid w:val="00A32843"/>
    <w:rsid w:val="00A33131"/>
    <w:rsid w:val="00A40C00"/>
    <w:rsid w:val="00A4126E"/>
    <w:rsid w:val="00A42D32"/>
    <w:rsid w:val="00A43BE4"/>
    <w:rsid w:val="00A46A63"/>
    <w:rsid w:val="00A47F91"/>
    <w:rsid w:val="00A520A0"/>
    <w:rsid w:val="00A54547"/>
    <w:rsid w:val="00A547CF"/>
    <w:rsid w:val="00A54B05"/>
    <w:rsid w:val="00A55E9E"/>
    <w:rsid w:val="00A56B65"/>
    <w:rsid w:val="00A57154"/>
    <w:rsid w:val="00A574FC"/>
    <w:rsid w:val="00A60A2E"/>
    <w:rsid w:val="00A60D3C"/>
    <w:rsid w:val="00A60F66"/>
    <w:rsid w:val="00A628C6"/>
    <w:rsid w:val="00A62AB4"/>
    <w:rsid w:val="00A63BA4"/>
    <w:rsid w:val="00A653EC"/>
    <w:rsid w:val="00A6711F"/>
    <w:rsid w:val="00A67BD6"/>
    <w:rsid w:val="00A70051"/>
    <w:rsid w:val="00A72527"/>
    <w:rsid w:val="00A727F9"/>
    <w:rsid w:val="00A72AD6"/>
    <w:rsid w:val="00A72EDD"/>
    <w:rsid w:val="00A75BF2"/>
    <w:rsid w:val="00A824D5"/>
    <w:rsid w:val="00A8270A"/>
    <w:rsid w:val="00A86745"/>
    <w:rsid w:val="00A928A8"/>
    <w:rsid w:val="00A93F20"/>
    <w:rsid w:val="00A94AAE"/>
    <w:rsid w:val="00A94C7E"/>
    <w:rsid w:val="00A9692C"/>
    <w:rsid w:val="00A97F66"/>
    <w:rsid w:val="00AA324F"/>
    <w:rsid w:val="00AA539D"/>
    <w:rsid w:val="00AA56B6"/>
    <w:rsid w:val="00AA763A"/>
    <w:rsid w:val="00AA7A54"/>
    <w:rsid w:val="00AB046D"/>
    <w:rsid w:val="00AB074C"/>
    <w:rsid w:val="00AB1416"/>
    <w:rsid w:val="00AB29C1"/>
    <w:rsid w:val="00AB50CF"/>
    <w:rsid w:val="00AC0055"/>
    <w:rsid w:val="00AC007F"/>
    <w:rsid w:val="00AC0677"/>
    <w:rsid w:val="00AC2558"/>
    <w:rsid w:val="00AC2F81"/>
    <w:rsid w:val="00AC3B25"/>
    <w:rsid w:val="00AC4DB2"/>
    <w:rsid w:val="00AC5119"/>
    <w:rsid w:val="00AC59E2"/>
    <w:rsid w:val="00AC6BA8"/>
    <w:rsid w:val="00AC711A"/>
    <w:rsid w:val="00AD046A"/>
    <w:rsid w:val="00AD258F"/>
    <w:rsid w:val="00AD3BBA"/>
    <w:rsid w:val="00AD3C09"/>
    <w:rsid w:val="00AD3C7F"/>
    <w:rsid w:val="00AD48C6"/>
    <w:rsid w:val="00AD4B16"/>
    <w:rsid w:val="00AD528D"/>
    <w:rsid w:val="00AD6C53"/>
    <w:rsid w:val="00AE433E"/>
    <w:rsid w:val="00AF1E7D"/>
    <w:rsid w:val="00AF26BD"/>
    <w:rsid w:val="00AF51F2"/>
    <w:rsid w:val="00B000EC"/>
    <w:rsid w:val="00B017D4"/>
    <w:rsid w:val="00B01EA1"/>
    <w:rsid w:val="00B03376"/>
    <w:rsid w:val="00B043A6"/>
    <w:rsid w:val="00B0560D"/>
    <w:rsid w:val="00B05895"/>
    <w:rsid w:val="00B05FC1"/>
    <w:rsid w:val="00B101C3"/>
    <w:rsid w:val="00B1049D"/>
    <w:rsid w:val="00B112A3"/>
    <w:rsid w:val="00B11A4B"/>
    <w:rsid w:val="00B120FE"/>
    <w:rsid w:val="00B12BC6"/>
    <w:rsid w:val="00B17AF0"/>
    <w:rsid w:val="00B239A7"/>
    <w:rsid w:val="00B245DB"/>
    <w:rsid w:val="00B26620"/>
    <w:rsid w:val="00B27045"/>
    <w:rsid w:val="00B27C98"/>
    <w:rsid w:val="00B300F4"/>
    <w:rsid w:val="00B30765"/>
    <w:rsid w:val="00B31DD6"/>
    <w:rsid w:val="00B32630"/>
    <w:rsid w:val="00B34CAA"/>
    <w:rsid w:val="00B412DC"/>
    <w:rsid w:val="00B41CD9"/>
    <w:rsid w:val="00B41DD3"/>
    <w:rsid w:val="00B426B4"/>
    <w:rsid w:val="00B46CCD"/>
    <w:rsid w:val="00B5039F"/>
    <w:rsid w:val="00B51FC9"/>
    <w:rsid w:val="00B5314F"/>
    <w:rsid w:val="00B54DDA"/>
    <w:rsid w:val="00B54F3A"/>
    <w:rsid w:val="00B567B2"/>
    <w:rsid w:val="00B56A7D"/>
    <w:rsid w:val="00B571FF"/>
    <w:rsid w:val="00B60946"/>
    <w:rsid w:val="00B6558E"/>
    <w:rsid w:val="00B67193"/>
    <w:rsid w:val="00B67D35"/>
    <w:rsid w:val="00B67E9F"/>
    <w:rsid w:val="00B70F4B"/>
    <w:rsid w:val="00B718C4"/>
    <w:rsid w:val="00B71B75"/>
    <w:rsid w:val="00B74F18"/>
    <w:rsid w:val="00B77617"/>
    <w:rsid w:val="00B77CBF"/>
    <w:rsid w:val="00B80F2E"/>
    <w:rsid w:val="00B829AB"/>
    <w:rsid w:val="00B82F45"/>
    <w:rsid w:val="00B83405"/>
    <w:rsid w:val="00B83F20"/>
    <w:rsid w:val="00B84E6B"/>
    <w:rsid w:val="00B86A84"/>
    <w:rsid w:val="00B9018E"/>
    <w:rsid w:val="00B903A5"/>
    <w:rsid w:val="00B905C3"/>
    <w:rsid w:val="00B92054"/>
    <w:rsid w:val="00B920B7"/>
    <w:rsid w:val="00B9478E"/>
    <w:rsid w:val="00B9488C"/>
    <w:rsid w:val="00B95859"/>
    <w:rsid w:val="00B96A70"/>
    <w:rsid w:val="00B97FB6"/>
    <w:rsid w:val="00BA05ED"/>
    <w:rsid w:val="00BA062A"/>
    <w:rsid w:val="00BA46D7"/>
    <w:rsid w:val="00BA48AB"/>
    <w:rsid w:val="00BA5670"/>
    <w:rsid w:val="00BA66CE"/>
    <w:rsid w:val="00BA7712"/>
    <w:rsid w:val="00BA7B09"/>
    <w:rsid w:val="00BB2044"/>
    <w:rsid w:val="00BB432B"/>
    <w:rsid w:val="00BB4DA6"/>
    <w:rsid w:val="00BC02C5"/>
    <w:rsid w:val="00BC2CDB"/>
    <w:rsid w:val="00BC371D"/>
    <w:rsid w:val="00BC4A6E"/>
    <w:rsid w:val="00BC548D"/>
    <w:rsid w:val="00BC6356"/>
    <w:rsid w:val="00BC6621"/>
    <w:rsid w:val="00BC6D78"/>
    <w:rsid w:val="00BD0BA6"/>
    <w:rsid w:val="00BD1290"/>
    <w:rsid w:val="00BD1A8F"/>
    <w:rsid w:val="00BD24D4"/>
    <w:rsid w:val="00BD4E7A"/>
    <w:rsid w:val="00BD5E18"/>
    <w:rsid w:val="00BD6E7A"/>
    <w:rsid w:val="00BE01B3"/>
    <w:rsid w:val="00BE09B6"/>
    <w:rsid w:val="00BE3B1F"/>
    <w:rsid w:val="00BE4F7B"/>
    <w:rsid w:val="00BE5598"/>
    <w:rsid w:val="00BE5A42"/>
    <w:rsid w:val="00BE6C70"/>
    <w:rsid w:val="00BE6DA3"/>
    <w:rsid w:val="00BE7612"/>
    <w:rsid w:val="00BF109A"/>
    <w:rsid w:val="00BF3586"/>
    <w:rsid w:val="00C03BA0"/>
    <w:rsid w:val="00C078B4"/>
    <w:rsid w:val="00C07D37"/>
    <w:rsid w:val="00C1073D"/>
    <w:rsid w:val="00C123A9"/>
    <w:rsid w:val="00C131D6"/>
    <w:rsid w:val="00C13379"/>
    <w:rsid w:val="00C13F24"/>
    <w:rsid w:val="00C15DA6"/>
    <w:rsid w:val="00C165DE"/>
    <w:rsid w:val="00C214C2"/>
    <w:rsid w:val="00C25ED7"/>
    <w:rsid w:val="00C26002"/>
    <w:rsid w:val="00C26983"/>
    <w:rsid w:val="00C274C9"/>
    <w:rsid w:val="00C30622"/>
    <w:rsid w:val="00C31586"/>
    <w:rsid w:val="00C31ADD"/>
    <w:rsid w:val="00C3339F"/>
    <w:rsid w:val="00C34EA3"/>
    <w:rsid w:val="00C3551D"/>
    <w:rsid w:val="00C35FC9"/>
    <w:rsid w:val="00C3704C"/>
    <w:rsid w:val="00C377C5"/>
    <w:rsid w:val="00C43BE1"/>
    <w:rsid w:val="00C44DBD"/>
    <w:rsid w:val="00C461DC"/>
    <w:rsid w:val="00C46671"/>
    <w:rsid w:val="00C46E46"/>
    <w:rsid w:val="00C50BA4"/>
    <w:rsid w:val="00C52F3F"/>
    <w:rsid w:val="00C55615"/>
    <w:rsid w:val="00C57FA6"/>
    <w:rsid w:val="00C60DFE"/>
    <w:rsid w:val="00C611F1"/>
    <w:rsid w:val="00C616EE"/>
    <w:rsid w:val="00C63123"/>
    <w:rsid w:val="00C640E1"/>
    <w:rsid w:val="00C6449E"/>
    <w:rsid w:val="00C64727"/>
    <w:rsid w:val="00C655DD"/>
    <w:rsid w:val="00C668FA"/>
    <w:rsid w:val="00C72066"/>
    <w:rsid w:val="00C74A04"/>
    <w:rsid w:val="00C81BE8"/>
    <w:rsid w:val="00C825D1"/>
    <w:rsid w:val="00C82BDE"/>
    <w:rsid w:val="00C84386"/>
    <w:rsid w:val="00C84DA9"/>
    <w:rsid w:val="00C8690B"/>
    <w:rsid w:val="00C872CC"/>
    <w:rsid w:val="00C875A8"/>
    <w:rsid w:val="00C8771D"/>
    <w:rsid w:val="00C87997"/>
    <w:rsid w:val="00C9040C"/>
    <w:rsid w:val="00C904F3"/>
    <w:rsid w:val="00C91D12"/>
    <w:rsid w:val="00C9646E"/>
    <w:rsid w:val="00CA164D"/>
    <w:rsid w:val="00CA3BD2"/>
    <w:rsid w:val="00CA429B"/>
    <w:rsid w:val="00CA6B0F"/>
    <w:rsid w:val="00CA7768"/>
    <w:rsid w:val="00CA792E"/>
    <w:rsid w:val="00CA7EF2"/>
    <w:rsid w:val="00CB162D"/>
    <w:rsid w:val="00CB1736"/>
    <w:rsid w:val="00CB5EF9"/>
    <w:rsid w:val="00CB77E9"/>
    <w:rsid w:val="00CC0327"/>
    <w:rsid w:val="00CC1E9D"/>
    <w:rsid w:val="00CC3C57"/>
    <w:rsid w:val="00CC4EE1"/>
    <w:rsid w:val="00CC6124"/>
    <w:rsid w:val="00CC671A"/>
    <w:rsid w:val="00CC72F2"/>
    <w:rsid w:val="00CC76BC"/>
    <w:rsid w:val="00CD01B1"/>
    <w:rsid w:val="00CD07D4"/>
    <w:rsid w:val="00CD12BB"/>
    <w:rsid w:val="00CD6611"/>
    <w:rsid w:val="00CD6966"/>
    <w:rsid w:val="00CE11ED"/>
    <w:rsid w:val="00CE1291"/>
    <w:rsid w:val="00CE2583"/>
    <w:rsid w:val="00CE289E"/>
    <w:rsid w:val="00CE3A9F"/>
    <w:rsid w:val="00CE3C02"/>
    <w:rsid w:val="00CE587F"/>
    <w:rsid w:val="00CE5A82"/>
    <w:rsid w:val="00CE6ED1"/>
    <w:rsid w:val="00CE72FB"/>
    <w:rsid w:val="00CE7DF7"/>
    <w:rsid w:val="00CF16E4"/>
    <w:rsid w:val="00CF31CB"/>
    <w:rsid w:val="00CF44DA"/>
    <w:rsid w:val="00D003B0"/>
    <w:rsid w:val="00D029DE"/>
    <w:rsid w:val="00D03BD1"/>
    <w:rsid w:val="00D06D79"/>
    <w:rsid w:val="00D10277"/>
    <w:rsid w:val="00D107FE"/>
    <w:rsid w:val="00D10961"/>
    <w:rsid w:val="00D14AB0"/>
    <w:rsid w:val="00D1521D"/>
    <w:rsid w:val="00D169BB"/>
    <w:rsid w:val="00D212C5"/>
    <w:rsid w:val="00D2148D"/>
    <w:rsid w:val="00D22C7B"/>
    <w:rsid w:val="00D23904"/>
    <w:rsid w:val="00D23B55"/>
    <w:rsid w:val="00D24065"/>
    <w:rsid w:val="00D24DCE"/>
    <w:rsid w:val="00D256AC"/>
    <w:rsid w:val="00D26994"/>
    <w:rsid w:val="00D320AC"/>
    <w:rsid w:val="00D3304B"/>
    <w:rsid w:val="00D359BF"/>
    <w:rsid w:val="00D36DB4"/>
    <w:rsid w:val="00D371D3"/>
    <w:rsid w:val="00D37299"/>
    <w:rsid w:val="00D4083C"/>
    <w:rsid w:val="00D42141"/>
    <w:rsid w:val="00D42448"/>
    <w:rsid w:val="00D42D11"/>
    <w:rsid w:val="00D430A0"/>
    <w:rsid w:val="00D44EEB"/>
    <w:rsid w:val="00D45141"/>
    <w:rsid w:val="00D4564B"/>
    <w:rsid w:val="00D47251"/>
    <w:rsid w:val="00D50B05"/>
    <w:rsid w:val="00D513C2"/>
    <w:rsid w:val="00D51EB8"/>
    <w:rsid w:val="00D53469"/>
    <w:rsid w:val="00D53C4A"/>
    <w:rsid w:val="00D55B61"/>
    <w:rsid w:val="00D56420"/>
    <w:rsid w:val="00D578D6"/>
    <w:rsid w:val="00D60251"/>
    <w:rsid w:val="00D61BA1"/>
    <w:rsid w:val="00D61EC4"/>
    <w:rsid w:val="00D63B93"/>
    <w:rsid w:val="00D644F7"/>
    <w:rsid w:val="00D64D43"/>
    <w:rsid w:val="00D6533E"/>
    <w:rsid w:val="00D66304"/>
    <w:rsid w:val="00D66B6B"/>
    <w:rsid w:val="00D675A8"/>
    <w:rsid w:val="00D67794"/>
    <w:rsid w:val="00D7004B"/>
    <w:rsid w:val="00D7190C"/>
    <w:rsid w:val="00D7207F"/>
    <w:rsid w:val="00D72152"/>
    <w:rsid w:val="00D72F0A"/>
    <w:rsid w:val="00D75AFF"/>
    <w:rsid w:val="00D75EC4"/>
    <w:rsid w:val="00D7634D"/>
    <w:rsid w:val="00D830F3"/>
    <w:rsid w:val="00D84245"/>
    <w:rsid w:val="00D84264"/>
    <w:rsid w:val="00D85B2B"/>
    <w:rsid w:val="00D86727"/>
    <w:rsid w:val="00D941C7"/>
    <w:rsid w:val="00D94661"/>
    <w:rsid w:val="00D94930"/>
    <w:rsid w:val="00D95A89"/>
    <w:rsid w:val="00D95D4E"/>
    <w:rsid w:val="00D966A4"/>
    <w:rsid w:val="00D966F4"/>
    <w:rsid w:val="00D97FC7"/>
    <w:rsid w:val="00DA1558"/>
    <w:rsid w:val="00DA1891"/>
    <w:rsid w:val="00DA31A6"/>
    <w:rsid w:val="00DA3763"/>
    <w:rsid w:val="00DA6543"/>
    <w:rsid w:val="00DB0A43"/>
    <w:rsid w:val="00DB6BA8"/>
    <w:rsid w:val="00DB7F50"/>
    <w:rsid w:val="00DC0AFF"/>
    <w:rsid w:val="00DC0D5D"/>
    <w:rsid w:val="00DC0F59"/>
    <w:rsid w:val="00DC1118"/>
    <w:rsid w:val="00DC1B4D"/>
    <w:rsid w:val="00DC278C"/>
    <w:rsid w:val="00DC315C"/>
    <w:rsid w:val="00DC35F5"/>
    <w:rsid w:val="00DC3D99"/>
    <w:rsid w:val="00DC3E2F"/>
    <w:rsid w:val="00DC5106"/>
    <w:rsid w:val="00DC63B9"/>
    <w:rsid w:val="00DC7379"/>
    <w:rsid w:val="00DD08E9"/>
    <w:rsid w:val="00DD334E"/>
    <w:rsid w:val="00DD4B17"/>
    <w:rsid w:val="00DD53B0"/>
    <w:rsid w:val="00DD5B2C"/>
    <w:rsid w:val="00DD5CAA"/>
    <w:rsid w:val="00DE06BD"/>
    <w:rsid w:val="00DE1107"/>
    <w:rsid w:val="00DE2848"/>
    <w:rsid w:val="00DE3511"/>
    <w:rsid w:val="00DE3CCF"/>
    <w:rsid w:val="00DE403C"/>
    <w:rsid w:val="00DE459E"/>
    <w:rsid w:val="00DE5FE8"/>
    <w:rsid w:val="00DE66E7"/>
    <w:rsid w:val="00DE7104"/>
    <w:rsid w:val="00DF2795"/>
    <w:rsid w:val="00DF4176"/>
    <w:rsid w:val="00DF4C0F"/>
    <w:rsid w:val="00DF5045"/>
    <w:rsid w:val="00DF5BB3"/>
    <w:rsid w:val="00DF62F9"/>
    <w:rsid w:val="00DF7057"/>
    <w:rsid w:val="00DF7937"/>
    <w:rsid w:val="00E0023D"/>
    <w:rsid w:val="00E0111A"/>
    <w:rsid w:val="00E01169"/>
    <w:rsid w:val="00E02E01"/>
    <w:rsid w:val="00E04563"/>
    <w:rsid w:val="00E07309"/>
    <w:rsid w:val="00E07C98"/>
    <w:rsid w:val="00E1281A"/>
    <w:rsid w:val="00E14896"/>
    <w:rsid w:val="00E1628E"/>
    <w:rsid w:val="00E208B5"/>
    <w:rsid w:val="00E20BEE"/>
    <w:rsid w:val="00E21947"/>
    <w:rsid w:val="00E21C42"/>
    <w:rsid w:val="00E225FB"/>
    <w:rsid w:val="00E22E25"/>
    <w:rsid w:val="00E22F70"/>
    <w:rsid w:val="00E2655E"/>
    <w:rsid w:val="00E32CEB"/>
    <w:rsid w:val="00E337BC"/>
    <w:rsid w:val="00E34B24"/>
    <w:rsid w:val="00E35CAB"/>
    <w:rsid w:val="00E35CAD"/>
    <w:rsid w:val="00E37145"/>
    <w:rsid w:val="00E40019"/>
    <w:rsid w:val="00E40492"/>
    <w:rsid w:val="00E4058F"/>
    <w:rsid w:val="00E40F2A"/>
    <w:rsid w:val="00E42948"/>
    <w:rsid w:val="00E42DC1"/>
    <w:rsid w:val="00E44814"/>
    <w:rsid w:val="00E44FFF"/>
    <w:rsid w:val="00E4610E"/>
    <w:rsid w:val="00E4738F"/>
    <w:rsid w:val="00E51633"/>
    <w:rsid w:val="00E5245D"/>
    <w:rsid w:val="00E549AA"/>
    <w:rsid w:val="00E54B99"/>
    <w:rsid w:val="00E55819"/>
    <w:rsid w:val="00E560F1"/>
    <w:rsid w:val="00E6161B"/>
    <w:rsid w:val="00E61FCC"/>
    <w:rsid w:val="00E62057"/>
    <w:rsid w:val="00E6290C"/>
    <w:rsid w:val="00E62ED4"/>
    <w:rsid w:val="00E6334B"/>
    <w:rsid w:val="00E651D0"/>
    <w:rsid w:val="00E653C7"/>
    <w:rsid w:val="00E67634"/>
    <w:rsid w:val="00E701CD"/>
    <w:rsid w:val="00E731A1"/>
    <w:rsid w:val="00E81BCB"/>
    <w:rsid w:val="00E82AD6"/>
    <w:rsid w:val="00E82E2C"/>
    <w:rsid w:val="00E8477B"/>
    <w:rsid w:val="00E84C73"/>
    <w:rsid w:val="00E91F16"/>
    <w:rsid w:val="00EA0835"/>
    <w:rsid w:val="00EA12F8"/>
    <w:rsid w:val="00EA219D"/>
    <w:rsid w:val="00EA2B7E"/>
    <w:rsid w:val="00EA6CBC"/>
    <w:rsid w:val="00EB0229"/>
    <w:rsid w:val="00EB0BA2"/>
    <w:rsid w:val="00EB113C"/>
    <w:rsid w:val="00EB178D"/>
    <w:rsid w:val="00EB2177"/>
    <w:rsid w:val="00EB225D"/>
    <w:rsid w:val="00EB3C97"/>
    <w:rsid w:val="00EB497E"/>
    <w:rsid w:val="00EB658B"/>
    <w:rsid w:val="00EB69C2"/>
    <w:rsid w:val="00EB74C1"/>
    <w:rsid w:val="00EC18F1"/>
    <w:rsid w:val="00EC2B47"/>
    <w:rsid w:val="00EC2C8C"/>
    <w:rsid w:val="00EC3079"/>
    <w:rsid w:val="00EC44CD"/>
    <w:rsid w:val="00EC454B"/>
    <w:rsid w:val="00EC4D79"/>
    <w:rsid w:val="00EC511E"/>
    <w:rsid w:val="00EC5F37"/>
    <w:rsid w:val="00ED1496"/>
    <w:rsid w:val="00ED187D"/>
    <w:rsid w:val="00ED27CB"/>
    <w:rsid w:val="00ED3B99"/>
    <w:rsid w:val="00ED5530"/>
    <w:rsid w:val="00ED67F0"/>
    <w:rsid w:val="00ED7DAF"/>
    <w:rsid w:val="00ED7F88"/>
    <w:rsid w:val="00EE3498"/>
    <w:rsid w:val="00EE3BB1"/>
    <w:rsid w:val="00EE50B9"/>
    <w:rsid w:val="00EE5257"/>
    <w:rsid w:val="00EE7488"/>
    <w:rsid w:val="00EE7EA8"/>
    <w:rsid w:val="00EF04A1"/>
    <w:rsid w:val="00EF1488"/>
    <w:rsid w:val="00EF1E76"/>
    <w:rsid w:val="00EF3FF1"/>
    <w:rsid w:val="00EF4571"/>
    <w:rsid w:val="00EF564A"/>
    <w:rsid w:val="00EF778C"/>
    <w:rsid w:val="00F02D20"/>
    <w:rsid w:val="00F03EAC"/>
    <w:rsid w:val="00F0584C"/>
    <w:rsid w:val="00F05FB0"/>
    <w:rsid w:val="00F10080"/>
    <w:rsid w:val="00F113B0"/>
    <w:rsid w:val="00F1264C"/>
    <w:rsid w:val="00F1534B"/>
    <w:rsid w:val="00F16179"/>
    <w:rsid w:val="00F17F04"/>
    <w:rsid w:val="00F20246"/>
    <w:rsid w:val="00F22756"/>
    <w:rsid w:val="00F233D8"/>
    <w:rsid w:val="00F25618"/>
    <w:rsid w:val="00F2761F"/>
    <w:rsid w:val="00F312FC"/>
    <w:rsid w:val="00F31D7C"/>
    <w:rsid w:val="00F31EB6"/>
    <w:rsid w:val="00F34DC7"/>
    <w:rsid w:val="00F358A8"/>
    <w:rsid w:val="00F363B9"/>
    <w:rsid w:val="00F40BFC"/>
    <w:rsid w:val="00F41101"/>
    <w:rsid w:val="00F42C31"/>
    <w:rsid w:val="00F432B1"/>
    <w:rsid w:val="00F4350A"/>
    <w:rsid w:val="00F44A8B"/>
    <w:rsid w:val="00F45328"/>
    <w:rsid w:val="00F508A3"/>
    <w:rsid w:val="00F51096"/>
    <w:rsid w:val="00F517C3"/>
    <w:rsid w:val="00F51CD7"/>
    <w:rsid w:val="00F52075"/>
    <w:rsid w:val="00F52EEF"/>
    <w:rsid w:val="00F5330E"/>
    <w:rsid w:val="00F551D5"/>
    <w:rsid w:val="00F57548"/>
    <w:rsid w:val="00F605E4"/>
    <w:rsid w:val="00F606ED"/>
    <w:rsid w:val="00F60856"/>
    <w:rsid w:val="00F63CFD"/>
    <w:rsid w:val="00F63D21"/>
    <w:rsid w:val="00F64434"/>
    <w:rsid w:val="00F64482"/>
    <w:rsid w:val="00F64498"/>
    <w:rsid w:val="00F64579"/>
    <w:rsid w:val="00F65568"/>
    <w:rsid w:val="00F65623"/>
    <w:rsid w:val="00F65B8F"/>
    <w:rsid w:val="00F66B71"/>
    <w:rsid w:val="00F67A22"/>
    <w:rsid w:val="00F67D08"/>
    <w:rsid w:val="00F67EFB"/>
    <w:rsid w:val="00F7083B"/>
    <w:rsid w:val="00F70CBA"/>
    <w:rsid w:val="00F7168B"/>
    <w:rsid w:val="00F742F1"/>
    <w:rsid w:val="00F74832"/>
    <w:rsid w:val="00F759F4"/>
    <w:rsid w:val="00F7660E"/>
    <w:rsid w:val="00F77803"/>
    <w:rsid w:val="00F77947"/>
    <w:rsid w:val="00F805C2"/>
    <w:rsid w:val="00F810C0"/>
    <w:rsid w:val="00F81430"/>
    <w:rsid w:val="00F818E2"/>
    <w:rsid w:val="00F86DAF"/>
    <w:rsid w:val="00F90F78"/>
    <w:rsid w:val="00F92C1F"/>
    <w:rsid w:val="00F93877"/>
    <w:rsid w:val="00F93EB8"/>
    <w:rsid w:val="00F93EF3"/>
    <w:rsid w:val="00F945CD"/>
    <w:rsid w:val="00F96986"/>
    <w:rsid w:val="00FA27DF"/>
    <w:rsid w:val="00FA33A5"/>
    <w:rsid w:val="00FA4826"/>
    <w:rsid w:val="00FA4EE7"/>
    <w:rsid w:val="00FA74C7"/>
    <w:rsid w:val="00FA7CC4"/>
    <w:rsid w:val="00FB3C03"/>
    <w:rsid w:val="00FB65AE"/>
    <w:rsid w:val="00FC060E"/>
    <w:rsid w:val="00FC159E"/>
    <w:rsid w:val="00FC1EFA"/>
    <w:rsid w:val="00FC2CB8"/>
    <w:rsid w:val="00FC3698"/>
    <w:rsid w:val="00FC3E35"/>
    <w:rsid w:val="00FC429E"/>
    <w:rsid w:val="00FC42D5"/>
    <w:rsid w:val="00FC661B"/>
    <w:rsid w:val="00FC7C0C"/>
    <w:rsid w:val="00FC7FD0"/>
    <w:rsid w:val="00FD0408"/>
    <w:rsid w:val="00FD1841"/>
    <w:rsid w:val="00FD24FF"/>
    <w:rsid w:val="00FD39DE"/>
    <w:rsid w:val="00FD49D7"/>
    <w:rsid w:val="00FD6082"/>
    <w:rsid w:val="00FD69C9"/>
    <w:rsid w:val="00FD7D68"/>
    <w:rsid w:val="00FE0469"/>
    <w:rsid w:val="00FE0A11"/>
    <w:rsid w:val="00FE0D9F"/>
    <w:rsid w:val="00FE1194"/>
    <w:rsid w:val="00FE1381"/>
    <w:rsid w:val="00FE20C4"/>
    <w:rsid w:val="00FE2AF3"/>
    <w:rsid w:val="00FE3D79"/>
    <w:rsid w:val="00FE4718"/>
    <w:rsid w:val="00FE79C3"/>
    <w:rsid w:val="00FE7A1F"/>
    <w:rsid w:val="00FF1726"/>
    <w:rsid w:val="00FF34B2"/>
    <w:rsid w:val="00FF42EE"/>
    <w:rsid w:val="00FF5BB4"/>
    <w:rsid w:val="016E044A"/>
    <w:rsid w:val="053C1A4C"/>
    <w:rsid w:val="0559183C"/>
    <w:rsid w:val="070B5632"/>
    <w:rsid w:val="08FD4BD5"/>
    <w:rsid w:val="0A794B51"/>
    <w:rsid w:val="0B3643CE"/>
    <w:rsid w:val="0B9114C3"/>
    <w:rsid w:val="0C482343"/>
    <w:rsid w:val="0FE8081B"/>
    <w:rsid w:val="10D118CA"/>
    <w:rsid w:val="126550C0"/>
    <w:rsid w:val="12E27315"/>
    <w:rsid w:val="13383C82"/>
    <w:rsid w:val="16D05547"/>
    <w:rsid w:val="1706559C"/>
    <w:rsid w:val="1839079F"/>
    <w:rsid w:val="18704CB4"/>
    <w:rsid w:val="188D3F5A"/>
    <w:rsid w:val="192E28F8"/>
    <w:rsid w:val="1B754A9E"/>
    <w:rsid w:val="1BD46463"/>
    <w:rsid w:val="22C80A1D"/>
    <w:rsid w:val="234A45D7"/>
    <w:rsid w:val="23B720F8"/>
    <w:rsid w:val="27196C5B"/>
    <w:rsid w:val="27FD5779"/>
    <w:rsid w:val="28E92B74"/>
    <w:rsid w:val="2AF42FD1"/>
    <w:rsid w:val="2B7A0A55"/>
    <w:rsid w:val="2CF17ED9"/>
    <w:rsid w:val="2D491F9E"/>
    <w:rsid w:val="2DD6396D"/>
    <w:rsid w:val="2E583F97"/>
    <w:rsid w:val="2EE3075D"/>
    <w:rsid w:val="2F20599A"/>
    <w:rsid w:val="2F625CAF"/>
    <w:rsid w:val="2FE50BA9"/>
    <w:rsid w:val="311B4B2E"/>
    <w:rsid w:val="317F0BCA"/>
    <w:rsid w:val="32832A04"/>
    <w:rsid w:val="32EB3B6C"/>
    <w:rsid w:val="348A45B5"/>
    <w:rsid w:val="375A600E"/>
    <w:rsid w:val="391C28EE"/>
    <w:rsid w:val="3962445C"/>
    <w:rsid w:val="398B39B3"/>
    <w:rsid w:val="3A6C3919"/>
    <w:rsid w:val="3B7A0F58"/>
    <w:rsid w:val="3C672EE2"/>
    <w:rsid w:val="3D6D6541"/>
    <w:rsid w:val="424A7489"/>
    <w:rsid w:val="42770160"/>
    <w:rsid w:val="42D35CEF"/>
    <w:rsid w:val="44906321"/>
    <w:rsid w:val="46DF3663"/>
    <w:rsid w:val="48960B41"/>
    <w:rsid w:val="493733B5"/>
    <w:rsid w:val="49EC224C"/>
    <w:rsid w:val="4C4C62F7"/>
    <w:rsid w:val="4EC00E25"/>
    <w:rsid w:val="4FD37F56"/>
    <w:rsid w:val="50CE10DD"/>
    <w:rsid w:val="56C836F9"/>
    <w:rsid w:val="5DCD3CEB"/>
    <w:rsid w:val="5E687CBE"/>
    <w:rsid w:val="5F5B16E0"/>
    <w:rsid w:val="61E110B5"/>
    <w:rsid w:val="64275087"/>
    <w:rsid w:val="64656A2B"/>
    <w:rsid w:val="65613696"/>
    <w:rsid w:val="6B3E697D"/>
    <w:rsid w:val="6CC06B72"/>
    <w:rsid w:val="6D5757DC"/>
    <w:rsid w:val="6E3C6504"/>
    <w:rsid w:val="6F3335BA"/>
    <w:rsid w:val="6FEE7313"/>
    <w:rsid w:val="70887EA9"/>
    <w:rsid w:val="70E91006"/>
    <w:rsid w:val="76A76695"/>
    <w:rsid w:val="76E521D9"/>
    <w:rsid w:val="77516163"/>
    <w:rsid w:val="787E5EB6"/>
    <w:rsid w:val="7A241826"/>
    <w:rsid w:val="7B5D6256"/>
    <w:rsid w:val="7B8239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20"/>
    <w:qFormat/>
    <w:uiPriority w:val="0"/>
    <w:pPr>
      <w:spacing w:line="360" w:lineRule="auto"/>
      <w:jc w:val="left"/>
    </w:pPr>
    <w:rPr>
      <w:rFonts w:ascii="宋体" w:hAnsi="宋体" w:eastAsia="宋体" w:cs="Times New Roman"/>
      <w:szCs w:val="24"/>
    </w:rPr>
  </w:style>
  <w:style w:type="paragraph" w:styleId="3">
    <w:name w:val="Body Text"/>
    <w:basedOn w:val="1"/>
    <w:next w:val="4"/>
    <w:unhideWhenUsed/>
    <w:qFormat/>
    <w:uiPriority w:val="99"/>
    <w:pPr>
      <w:spacing w:after="120"/>
    </w:pPr>
    <w:rPr>
      <w:rFonts w:eastAsia="仿宋_GB2312"/>
    </w:rPr>
  </w:style>
  <w:style w:type="paragraph" w:styleId="4">
    <w:name w:val="Subtitle"/>
    <w:basedOn w:val="1"/>
    <w:next w:val="1"/>
    <w:qFormat/>
    <w:uiPriority w:val="0"/>
    <w:pPr>
      <w:spacing w:before="240" w:after="60" w:line="312" w:lineRule="auto"/>
      <w:jc w:val="center"/>
      <w:outlineLvl w:val="1"/>
    </w:pPr>
    <w:rPr>
      <w:rFonts w:ascii="Cambria" w:hAnsi="Cambria" w:eastAsia="宋体" w:cs="Times New Roman"/>
      <w:b/>
      <w:bCs/>
      <w:kern w:val="28"/>
      <w:sz w:val="32"/>
      <w:szCs w:val="32"/>
    </w:rPr>
  </w:style>
  <w:style w:type="paragraph" w:styleId="5">
    <w:name w:val="Body Text Indent"/>
    <w:basedOn w:val="1"/>
    <w:link w:val="19"/>
    <w:qFormat/>
    <w:uiPriority w:val="0"/>
    <w:pPr>
      <w:ind w:firstLine="420"/>
    </w:pPr>
    <w:rPr>
      <w:rFonts w:ascii="Times New Roman" w:hAnsi="Times New Roman" w:eastAsia="宋体" w:cs="Times New Roman"/>
      <w:sz w:val="24"/>
      <w:szCs w:val="24"/>
    </w:rPr>
  </w:style>
  <w:style w:type="paragraph" w:styleId="6">
    <w:name w:val="Plain Text"/>
    <w:basedOn w:val="1"/>
    <w:next w:val="3"/>
    <w:qFormat/>
    <w:uiPriority w:val="0"/>
    <w:rPr>
      <w:rFonts w:ascii="宋体" w:hAnsi="Courier New" w:cs="Courier New"/>
      <w:szCs w:val="21"/>
    </w:rPr>
  </w:style>
  <w:style w:type="paragraph" w:styleId="7">
    <w:name w:val="Balloon Text"/>
    <w:basedOn w:val="1"/>
    <w:link w:val="15"/>
    <w:semiHidden/>
    <w:unhideWhenUsed/>
    <w:qFormat/>
    <w:uiPriority w:val="99"/>
    <w:rPr>
      <w:sz w:val="18"/>
      <w:szCs w:val="18"/>
    </w:rPr>
  </w:style>
  <w:style w:type="paragraph" w:styleId="8">
    <w:name w:val="footer"/>
    <w:basedOn w:val="1"/>
    <w:link w:val="17"/>
    <w:semiHidden/>
    <w:unhideWhenUsed/>
    <w:qFormat/>
    <w:uiPriority w:val="99"/>
    <w:pPr>
      <w:tabs>
        <w:tab w:val="center" w:pos="4153"/>
        <w:tab w:val="right" w:pos="8306"/>
      </w:tabs>
      <w:snapToGrid w:val="0"/>
      <w:jc w:val="left"/>
    </w:pPr>
    <w:rPr>
      <w:sz w:val="18"/>
      <w:szCs w:val="18"/>
    </w:rPr>
  </w:style>
  <w:style w:type="paragraph" w:styleId="9">
    <w:name w:val="header"/>
    <w:basedOn w:val="1"/>
    <w:link w:val="16"/>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1">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table" w:styleId="13">
    <w:name w:val="Table Grid"/>
    <w:basedOn w:val="12"/>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5">
    <w:name w:val="批注框文本 Char"/>
    <w:basedOn w:val="14"/>
    <w:link w:val="7"/>
    <w:semiHidden/>
    <w:qFormat/>
    <w:uiPriority w:val="99"/>
    <w:rPr>
      <w:sz w:val="18"/>
      <w:szCs w:val="18"/>
    </w:rPr>
  </w:style>
  <w:style w:type="character" w:customStyle="1" w:styleId="16">
    <w:name w:val="页眉 Char"/>
    <w:basedOn w:val="14"/>
    <w:link w:val="9"/>
    <w:semiHidden/>
    <w:qFormat/>
    <w:uiPriority w:val="99"/>
    <w:rPr>
      <w:sz w:val="18"/>
      <w:szCs w:val="18"/>
    </w:rPr>
  </w:style>
  <w:style w:type="character" w:customStyle="1" w:styleId="17">
    <w:name w:val="页脚 Char"/>
    <w:basedOn w:val="14"/>
    <w:link w:val="8"/>
    <w:semiHidden/>
    <w:qFormat/>
    <w:uiPriority w:val="99"/>
    <w:rPr>
      <w:sz w:val="18"/>
      <w:szCs w:val="18"/>
    </w:rPr>
  </w:style>
  <w:style w:type="paragraph" w:customStyle="1" w:styleId="18">
    <w:name w:val="章标题"/>
    <w:next w:val="1"/>
    <w:qFormat/>
    <w:uiPriority w:val="0"/>
    <w:pPr>
      <w:spacing w:beforeLines="50" w:afterLines="50"/>
      <w:jc w:val="both"/>
      <w:outlineLvl w:val="1"/>
    </w:pPr>
    <w:rPr>
      <w:rFonts w:ascii="黑体" w:hAnsi="Times New Roman" w:eastAsia="黑体" w:cs="Times New Roman"/>
      <w:kern w:val="0"/>
      <w:sz w:val="21"/>
      <w:szCs w:val="20"/>
      <w:lang w:val="en-US" w:eastAsia="zh-CN" w:bidi="ar-SA"/>
    </w:rPr>
  </w:style>
  <w:style w:type="character" w:customStyle="1" w:styleId="19">
    <w:name w:val="正文文本缩进 Char"/>
    <w:basedOn w:val="14"/>
    <w:link w:val="5"/>
    <w:qFormat/>
    <w:uiPriority w:val="0"/>
    <w:rPr>
      <w:rFonts w:ascii="Times New Roman" w:hAnsi="Times New Roman" w:eastAsia="宋体" w:cs="Times New Roman"/>
      <w:sz w:val="24"/>
      <w:szCs w:val="24"/>
    </w:rPr>
  </w:style>
  <w:style w:type="character" w:customStyle="1" w:styleId="20">
    <w:name w:val="批注文字 Char"/>
    <w:basedOn w:val="14"/>
    <w:link w:val="2"/>
    <w:qFormat/>
    <w:uiPriority w:val="0"/>
    <w:rPr>
      <w:rFonts w:ascii="宋体" w:hAnsi="宋体" w:eastAsia="宋体" w:cs="Times New Roman"/>
      <w:szCs w:val="24"/>
    </w:rPr>
  </w:style>
  <w:style w:type="paragraph" w:styleId="21">
    <w:name w:val="List Paragraph"/>
    <w:basedOn w:val="1"/>
    <w:qFormat/>
    <w:uiPriority w:val="34"/>
    <w:pPr>
      <w:ind w:firstLine="420" w:firstLineChars="200"/>
    </w:pPr>
  </w:style>
  <w:style w:type="paragraph" w:customStyle="1" w:styleId="22">
    <w:name w:val="段"/>
    <w:link w:val="23"/>
    <w:qFormat/>
    <w:uiPriority w:val="0"/>
    <w:pPr>
      <w:autoSpaceDE w:val="0"/>
      <w:autoSpaceDN w:val="0"/>
      <w:ind w:firstLine="200" w:firstLineChars="200"/>
      <w:jc w:val="both"/>
    </w:pPr>
    <w:rPr>
      <w:rFonts w:ascii="宋体" w:hAnsi="Times New Roman" w:eastAsia="宋体" w:cs="Times New Roman"/>
      <w:kern w:val="0"/>
      <w:sz w:val="21"/>
      <w:szCs w:val="22"/>
      <w:lang w:val="en-US" w:eastAsia="zh-CN" w:bidi="ar-SA"/>
    </w:rPr>
  </w:style>
  <w:style w:type="character" w:customStyle="1" w:styleId="23">
    <w:name w:val="段 Char"/>
    <w:link w:val="22"/>
    <w:qFormat/>
    <w:uiPriority w:val="0"/>
    <w:rPr>
      <w:rFonts w:ascii="宋体" w:hAnsi="Times New Roman" w:eastAsia="宋体" w:cs="Times New Roman"/>
      <w:kern w:val="0"/>
    </w:rPr>
  </w:style>
  <w:style w:type="paragraph" w:customStyle="1" w:styleId="24">
    <w:name w:val="正文表标题"/>
    <w:next w:val="22"/>
    <w:qFormat/>
    <w:uiPriority w:val="0"/>
    <w:pPr>
      <w:numPr>
        <w:ilvl w:val="0"/>
        <w:numId w:val="1"/>
      </w:num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25">
    <w:name w:val="一级条标题"/>
    <w:basedOn w:val="18"/>
    <w:next w:val="1"/>
    <w:autoRedefine/>
    <w:qFormat/>
    <w:uiPriority w:val="0"/>
    <w:pPr>
      <w:spacing w:beforeLines="0" w:afterLines="0"/>
      <w:outlineLvl w:val="2"/>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image" Target="media/image2.wmf"/><Relationship Id="rId6" Type="http://schemas.openxmlformats.org/officeDocument/2006/relationships/image" Target="media/image1.wmf"/><Relationship Id="rId5" Type="http://schemas.openxmlformats.org/officeDocument/2006/relationships/chart" Target="charts/chart2.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E:\&#24352;&#36164;&#26009;\&#38108;&#21512;&#37329;&#26631;&#20934;\Cd\&#25968;&#25454;.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E:\&#24352;&#36164;&#26009;\&#38108;&#21512;&#37329;&#26631;&#20934;\Cd\&#25968;&#25454;(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77759634225996"/>
          <c:y val="0.141361293917115"/>
          <c:w val="0.703608752449379"/>
          <c:h val="0.656023506366308"/>
        </c:manualLayout>
      </c:layout>
      <c:scatterChart>
        <c:scatterStyle val="marker"/>
        <c:varyColors val="0"/>
        <c:ser>
          <c:idx val="0"/>
          <c:order val="0"/>
          <c:tx>
            <c:strRef>
              <c:f>[数据.xlsx]检出限10.27!$G$86</c:f>
              <c:strCache>
                <c:ptCount val="1"/>
                <c:pt idx="0">
                  <c:v>吸光度A</c:v>
                </c:pt>
              </c:strCache>
            </c:strRef>
          </c:tx>
          <c:spPr>
            <a:ln w="19050" cap="rnd">
              <a:noFill/>
              <a:round/>
            </a:ln>
            <a:effectLst/>
          </c:spPr>
          <c:marker>
            <c:symbol val="circle"/>
            <c:size val="5"/>
            <c:spPr>
              <a:solidFill>
                <a:schemeClr val="accent1"/>
              </a:solidFill>
              <a:ln w="9525">
                <a:solidFill>
                  <a:schemeClr val="accent1"/>
                </a:solidFill>
              </a:ln>
              <a:effectLst/>
            </c:spPr>
          </c:marker>
          <c:dLbls>
            <c:delete val="1"/>
          </c:dLbls>
          <c:trendline>
            <c:spPr>
              <a:ln w="19050" cap="rnd">
                <a:solidFill>
                  <a:schemeClr val="accent1"/>
                </a:solidFill>
                <a:prstDash val="sysDot"/>
              </a:ln>
              <a:effectLst/>
            </c:spPr>
            <c:trendlineType val="linear"/>
            <c:dispRSqr val="0"/>
            <c:dispEq val="0"/>
          </c:trendline>
          <c:trendline>
            <c:spPr>
              <a:ln w="19050" cap="rnd">
                <a:solidFill>
                  <a:schemeClr val="accent1"/>
                </a:solidFill>
                <a:prstDash val="sysDot"/>
              </a:ln>
              <a:effectLst/>
            </c:spPr>
            <c:trendlineType val="linear"/>
            <c:dispRSqr val="0"/>
            <c:dispEq val="0"/>
          </c:trendline>
          <c:trendline>
            <c:spPr>
              <a:ln w="19050" cap="rnd">
                <a:solidFill>
                  <a:schemeClr val="accent1"/>
                </a:solidFill>
                <a:prstDash val="sysDot"/>
              </a:ln>
              <a:effectLst/>
            </c:spPr>
            <c:trendlineType val="linear"/>
            <c:dispRSqr val="0"/>
            <c:dispEq val="0"/>
          </c:trendline>
          <c:trendline>
            <c:spPr>
              <a:ln w="19050" cap="rnd">
                <a:solidFill>
                  <a:schemeClr val="accent1"/>
                </a:solidFill>
                <a:prstDash val="sysDot"/>
              </a:ln>
              <a:effectLst/>
            </c:spPr>
            <c:trendlineType val="linear"/>
            <c:dispRSqr val="0"/>
            <c:dispEq val="0"/>
          </c:trendline>
          <c:xVal>
            <c:numRef>
              <c:f>[数据.xlsx]检出限10.27!$F$87:$F$92</c:f>
              <c:numCache>
                <c:formatCode>General</c:formatCode>
                <c:ptCount val="6"/>
                <c:pt idx="0">
                  <c:v>0</c:v>
                </c:pt>
                <c:pt idx="1">
                  <c:v>0.2</c:v>
                </c:pt>
                <c:pt idx="2">
                  <c:v>0.4</c:v>
                </c:pt>
                <c:pt idx="3">
                  <c:v>0.6</c:v>
                </c:pt>
                <c:pt idx="4">
                  <c:v>0.8</c:v>
                </c:pt>
                <c:pt idx="5" c:formatCode="0.0_ ">
                  <c:v>1</c:v>
                </c:pt>
              </c:numCache>
            </c:numRef>
          </c:xVal>
          <c:yVal>
            <c:numRef>
              <c:f>[数据.xlsx]检出限10.27!$G$87:$G$92</c:f>
              <c:numCache>
                <c:formatCode>General</c:formatCode>
                <c:ptCount val="6"/>
                <c:pt idx="0">
                  <c:v>0</c:v>
                </c:pt>
                <c:pt idx="1">
                  <c:v>0.056</c:v>
                </c:pt>
                <c:pt idx="2">
                  <c:v>0.108</c:v>
                </c:pt>
                <c:pt idx="3">
                  <c:v>0.161</c:v>
                </c:pt>
                <c:pt idx="4">
                  <c:v>0.213</c:v>
                </c:pt>
                <c:pt idx="5" c:formatCode="0.000_ ">
                  <c:v>0.26</c:v>
                </c:pt>
              </c:numCache>
            </c:numRef>
          </c:yVal>
          <c:smooth val="0"/>
        </c:ser>
        <c:dLbls>
          <c:showLegendKey val="0"/>
          <c:showVal val="0"/>
          <c:showCatName val="0"/>
          <c:showSerName val="0"/>
          <c:showPercent val="0"/>
          <c:showBubbleSize val="0"/>
        </c:dLbls>
        <c:axId val="898476399"/>
        <c:axId val="619543014"/>
      </c:scatterChart>
      <c:valAx>
        <c:axId val="898476399"/>
        <c:scaling>
          <c:orientation val="minMax"/>
        </c:scaling>
        <c:delete val="0"/>
        <c:axPos val="b"/>
        <c:majorGridlines>
          <c:spPr>
            <a:ln w="9525" cap="flat" cmpd="sng" algn="ctr">
              <a:solidFill>
                <a:schemeClr val="lt1">
                  <a:lumMod val="90200"/>
                </a:schemeClr>
              </a:solidFill>
              <a:round/>
            </a:ln>
            <a:effectLst/>
          </c:spPr>
        </c:majorGridlines>
        <c:title>
          <c:tx>
            <c:rich>
              <a:bodyPr rot="0" spcFirstLastPara="0" vertOverflow="ellipsis" vert="horz" wrap="square" anchor="ctr" anchorCtr="1"/>
              <a:lstStyle/>
              <a:p>
                <a:pPr defTabSz="914400">
                  <a:defRPr lang="zh-CN" sz="1000" b="1" i="0" u="none" strike="noStrike" kern="1200" baseline="0">
                    <a:solidFill>
                      <a:schemeClr val="tx1">
                        <a:lumMod val="65000"/>
                        <a:lumOff val="35000"/>
                      </a:schemeClr>
                    </a:solidFill>
                    <a:latin typeface="+mn-lt"/>
                    <a:ea typeface="+mn-ea"/>
                    <a:cs typeface="+mn-cs"/>
                  </a:defRPr>
                </a:pPr>
                <a:r>
                  <a:rPr lang="en-US" altLang="zh-CN" b="1"/>
                  <a:t>Cd</a:t>
                </a:r>
                <a:r>
                  <a:rPr altLang="en-US" b="1"/>
                  <a:t>浓度</a:t>
                </a:r>
                <a:r>
                  <a:rPr lang="en-US" altLang="zh-CN" b="1"/>
                  <a:t>C</a:t>
                </a:r>
                <a:r>
                  <a:rPr altLang="en-US" b="1"/>
                  <a:t>（μg/mL）</a:t>
                </a:r>
                <a:endParaRPr altLang="en-US" b="1"/>
              </a:p>
            </c:rich>
          </c:tx>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1" i="0" u="none" strike="noStrike" kern="1200" baseline="0">
                <a:solidFill>
                  <a:schemeClr val="tx1">
                    <a:lumMod val="65000"/>
                    <a:lumOff val="35000"/>
                  </a:schemeClr>
                </a:solidFill>
                <a:latin typeface="+mn-lt"/>
                <a:ea typeface="+mn-ea"/>
                <a:cs typeface="+mn-cs"/>
              </a:defRPr>
            </a:pPr>
          </a:p>
        </c:txPr>
        <c:crossAx val="619543014"/>
        <c:crosses val="autoZero"/>
        <c:crossBetween val="midCat"/>
      </c:valAx>
      <c:valAx>
        <c:axId val="619543014"/>
        <c:scaling>
          <c:orientation val="minMax"/>
        </c:scaling>
        <c:delete val="0"/>
        <c:axPos val="l"/>
        <c:majorGridlines>
          <c:spPr>
            <a:ln w="9525" cap="flat" cmpd="sng" algn="ctr">
              <a:solidFill>
                <a:schemeClr val="lt1">
                  <a:lumMod val="90200"/>
                </a:schemeClr>
              </a:solidFill>
              <a:round/>
            </a:ln>
            <a:effectLst/>
          </c:spPr>
        </c:majorGridlines>
        <c:title>
          <c:tx>
            <c:rich>
              <a:bodyPr rot="-5400000" spcFirstLastPara="0" vertOverflow="ellipsis" vert="horz" wrap="square" anchor="ctr" anchorCtr="1"/>
              <a:lstStyle/>
              <a:p>
                <a:pPr defTabSz="914400">
                  <a:defRPr lang="zh-CN" sz="1000" b="1" i="0" u="none" strike="noStrike" kern="1200" baseline="0">
                    <a:solidFill>
                      <a:schemeClr val="tx1">
                        <a:lumMod val="65000"/>
                        <a:lumOff val="35000"/>
                      </a:schemeClr>
                    </a:solidFill>
                    <a:latin typeface="+mn-lt"/>
                    <a:ea typeface="+mn-ea"/>
                    <a:cs typeface="+mn-cs"/>
                  </a:defRPr>
                </a:pPr>
                <a:r>
                  <a:rPr altLang="en-US" b="1"/>
                  <a:t>吸光度</a:t>
                </a:r>
                <a:r>
                  <a:rPr lang="en-US" altLang="zh-CN" b="1"/>
                  <a:t>A</a:t>
                </a:r>
                <a:endParaRPr lang="en-US" altLang="zh-CN" b="1"/>
              </a:p>
            </c:rich>
          </c:tx>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1" i="0" u="none" strike="noStrike" kern="1200" baseline="0">
                <a:solidFill>
                  <a:schemeClr val="tx1">
                    <a:lumMod val="65000"/>
                    <a:lumOff val="35000"/>
                  </a:schemeClr>
                </a:solidFill>
                <a:latin typeface="+mn-lt"/>
                <a:ea typeface="+mn-ea"/>
                <a:cs typeface="+mn-cs"/>
              </a:defRPr>
            </a:pPr>
          </a:p>
        </c:txPr>
        <c:crossAx val="898476399"/>
        <c:crosses val="autoZero"/>
        <c:crossBetween val="midCat"/>
      </c:valAx>
      <c:spPr>
        <a:noFill/>
        <a:ln w="9525" cap="flat" cmpd="sng" algn="ctr">
          <a:solidFill>
            <a:schemeClr val="tx1">
              <a:lumMod val="15000"/>
              <a:lumOff val="85000"/>
            </a:schemeClr>
          </a:solidFill>
          <a:round/>
        </a:ln>
        <a:effectLst/>
      </c:spPr>
    </c:plotArea>
    <c:plotVisOnly val="1"/>
    <c:dispBlanksAs val="gap"/>
    <c:showDLblsOverMax val="0"/>
    <c:extLst>
      <c:ext uri="{0b15fc19-7d7d-44ad-8c2d-2c3a37ce22c3}">
        <chartProps xmlns="https://web.wps.cn/et/2018/main" chartId="{15977cd3-0b0b-4be3-a977-37237c3f9c5f}"/>
      </c:ext>
    </c:extLst>
  </c:chart>
  <c:spPr>
    <a:solidFill>
      <a:schemeClr val="bg1"/>
    </a:solidFill>
    <a:ln w="9525" cap="flat" cmpd="sng" algn="ctr">
      <a:solidFill>
        <a:schemeClr val="tx1">
          <a:lumMod val="15000"/>
          <a:lumOff val="85000"/>
        </a:schemeClr>
      </a:solidFill>
      <a:round/>
    </a:ln>
    <a:effectLst/>
  </c:spPr>
  <c:txPr>
    <a:bodyPr/>
    <a:lstStyle/>
    <a:p>
      <a:pPr>
        <a:defRPr lang="zh-CN" b="1"/>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55036185896229"/>
          <c:y val="0.0959753771255367"/>
          <c:w val="0.798182719312737"/>
          <c:h val="0.701384451544196"/>
        </c:manualLayout>
      </c:layout>
      <c:scatterChart>
        <c:scatterStyle val="marker"/>
        <c:varyColors val="0"/>
        <c:ser>
          <c:idx val="0"/>
          <c:order val="0"/>
          <c:tx>
            <c:strRef>
              <c:f>'[数据(1).xlsx]11.7  加标回收'!$J$3</c:f>
              <c:strCache>
                <c:ptCount val="1"/>
                <c:pt idx="0">
                  <c:v>吸光度A</c:v>
                </c:pt>
              </c:strCache>
            </c:strRef>
          </c:tx>
          <c:spPr>
            <a:ln w="19050" cap="rnd">
              <a:noFill/>
              <a:round/>
            </a:ln>
            <a:effectLst/>
          </c:spPr>
          <c:marker>
            <c:symbol val="circle"/>
            <c:size val="5"/>
            <c:spPr>
              <a:solidFill>
                <a:schemeClr val="accent1"/>
              </a:solidFill>
              <a:ln w="9525">
                <a:solidFill>
                  <a:schemeClr val="accent1"/>
                </a:solidFill>
              </a:ln>
              <a:effectLst/>
            </c:spPr>
          </c:marker>
          <c:dLbls>
            <c:delete val="1"/>
          </c:dLbls>
          <c:trendline>
            <c:spPr>
              <a:ln w="19050" cap="rnd">
                <a:solidFill>
                  <a:schemeClr val="accent1"/>
                </a:solidFill>
                <a:prstDash val="sysDot"/>
              </a:ln>
              <a:effectLst/>
            </c:spPr>
            <c:trendlineType val="linear"/>
            <c:dispRSqr val="0"/>
            <c:dispEq val="1"/>
            <c:trendlineLbl>
              <c:layout/>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trendlineLbl>
          </c:trendline>
          <c:xVal>
            <c:numRef>
              <c:f>'[数据(1).xlsx]11.7  加标回收'!$I$4:$I$9</c:f>
              <c:numCache>
                <c:formatCode>General</c:formatCode>
                <c:ptCount val="6"/>
                <c:pt idx="0">
                  <c:v>0</c:v>
                </c:pt>
                <c:pt idx="1">
                  <c:v>0.5</c:v>
                </c:pt>
                <c:pt idx="2">
                  <c:v>1</c:v>
                </c:pt>
                <c:pt idx="3">
                  <c:v>1.5</c:v>
                </c:pt>
                <c:pt idx="4">
                  <c:v>2</c:v>
                </c:pt>
                <c:pt idx="5" c:formatCode="0.0_ ">
                  <c:v>2.5</c:v>
                </c:pt>
              </c:numCache>
            </c:numRef>
          </c:xVal>
          <c:yVal>
            <c:numRef>
              <c:f>'[数据(1).xlsx]11.7  加标回收'!$J$4:$J$9</c:f>
              <c:numCache>
                <c:formatCode>General</c:formatCode>
                <c:ptCount val="6"/>
                <c:pt idx="0">
                  <c:v>0.001</c:v>
                </c:pt>
                <c:pt idx="1">
                  <c:v>0.057</c:v>
                </c:pt>
                <c:pt idx="2">
                  <c:v>0.11</c:v>
                </c:pt>
                <c:pt idx="3">
                  <c:v>0.159</c:v>
                </c:pt>
                <c:pt idx="4">
                  <c:v>0.209</c:v>
                </c:pt>
                <c:pt idx="5" c:formatCode="0.000_ ">
                  <c:v>0.256</c:v>
                </c:pt>
              </c:numCache>
            </c:numRef>
          </c:yVal>
          <c:smooth val="0"/>
        </c:ser>
        <c:dLbls>
          <c:showLegendKey val="0"/>
          <c:showVal val="0"/>
          <c:showCatName val="0"/>
          <c:showSerName val="0"/>
          <c:showPercent val="0"/>
          <c:showBubbleSize val="0"/>
        </c:dLbls>
        <c:axId val="190138563"/>
        <c:axId val="992430117"/>
      </c:scatterChart>
      <c:valAx>
        <c:axId val="190138563"/>
        <c:scaling>
          <c:orientation val="minMax"/>
        </c:scaling>
        <c:delete val="0"/>
        <c:axPos val="b"/>
        <c:majorGridlines>
          <c:spPr>
            <a:ln w="9525" cap="flat" cmpd="sng" algn="ctr">
              <a:solidFill>
                <a:schemeClr val="lt1">
                  <a:lumMod val="90200"/>
                </a:schemeClr>
              </a:solidFill>
              <a:round/>
            </a:ln>
            <a:effectLst/>
          </c:spPr>
        </c:majorGridlines>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t>Cd浓度C（μg/mL）</a:t>
                </a:r>
              </a:p>
            </c:rich>
          </c:tx>
          <c:layout>
            <c:manualLayout>
              <c:xMode val="edge"/>
              <c:yMode val="edge"/>
              <c:x val="0.405633570130514"/>
              <c:y val="0.912673056443025"/>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92430117"/>
        <c:crosses val="autoZero"/>
        <c:crossBetween val="midCat"/>
      </c:valAx>
      <c:valAx>
        <c:axId val="992430117"/>
        <c:scaling>
          <c:orientation val="minMax"/>
        </c:scaling>
        <c:delete val="0"/>
        <c:axPos val="l"/>
        <c:majorGridlines>
          <c:spPr>
            <a:ln w="9525" cap="flat" cmpd="sng" algn="ctr">
              <a:solidFill>
                <a:schemeClr val="lt1">
                  <a:lumMod val="90200"/>
                </a:schemeClr>
              </a:solidFill>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t>吸光度</a:t>
                </a:r>
                <a:r>
                  <a:rPr lang="en-US" altLang="zh-CN"/>
                  <a:t>A</a:t>
                </a:r>
                <a:endParaRPr lang="en-US" altLang="zh-CN"/>
              </a:p>
            </c:rich>
          </c:tx>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90138563"/>
        <c:crosses val="autoZero"/>
        <c:crossBetween val="midCat"/>
      </c:valAx>
      <c:spPr>
        <a:noFill/>
        <a:ln w="9525" cap="flat" cmpd="sng" algn="ctr">
          <a:solidFill>
            <a:schemeClr val="tx1">
              <a:lumMod val="15000"/>
              <a:lumOff val="85000"/>
            </a:schemeClr>
          </a:solidFill>
          <a:round/>
        </a:ln>
        <a:effectLst/>
      </c:spPr>
    </c:plotArea>
    <c:plotVisOnly val="1"/>
    <c:dispBlanksAs val="gap"/>
    <c:showDLblsOverMax val="0"/>
    <c:extLst>
      <c:ext uri="{0b15fc19-7d7d-44ad-8c2d-2c3a37ce22c3}">
        <chartProps xmlns="https://web.wps.cn/et/2018/main" chartId="{99867135-ed05-4c7d-b3a6-4a570ea0301b}"/>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17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w="19050" cap="rnd">
        <a:noFill/>
        <a:round/>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dk1"/>
    </cs:fontRef>
    <cs:spPr>
      <a:ln w="9525">
        <a:solidFill>
          <a:schemeClr val="phClr"/>
        </a:solidFill>
      </a:ln>
      <a:effectLst/>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spPr>
      <a:ln w="9525" cap="flat" cmpd="sng" algn="ctr">
        <a:solidFill>
          <a:schemeClr val="tx1">
            <a:lumMod val="15000"/>
            <a:lumOff val="85000"/>
          </a:schemeClr>
        </a:solidFill>
        <a:round/>
      </a:ln>
    </cs:spPr>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17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w="19050" cap="rnd">
        <a:noFill/>
        <a:round/>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dk1"/>
    </cs:fontRef>
    <cs:spPr>
      <a:ln w="9525">
        <a:solidFill>
          <a:schemeClr val="phClr"/>
        </a:solidFill>
      </a:ln>
      <a:effectLst/>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spPr>
      <a:ln w="9525" cap="flat" cmpd="sng" algn="ctr">
        <a:solidFill>
          <a:schemeClr val="tx1">
            <a:lumMod val="15000"/>
            <a:lumOff val="85000"/>
          </a:schemeClr>
        </a:solidFill>
        <a:round/>
      </a:ln>
    </cs:spPr>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32C55B-7085-467F-ABDB-CBEB33EA7829}">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19</Pages>
  <Words>6422</Words>
  <Characters>6840</Characters>
  <Lines>68</Lines>
  <Paragraphs>19</Paragraphs>
  <TotalTime>0</TotalTime>
  <ScaleCrop>false</ScaleCrop>
  <LinksUpToDate>false</LinksUpToDate>
  <CharactersWithSpaces>6870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2022-08-03T02:17:00Z</dcterms:created>
  <dc:creator>Sky123.Org</dc:creator>
  <cp:lastModifiedBy>张砚博</cp:lastModifiedBy>
  <cp:lastPrinted>2026-03-31T01:22:00Z</cp:lastPrinted>
  <dcterms:modified xsi:type="dcterms:W3CDTF">2026-04-09T12:18:59Z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73794E7302A54839BDCAFCC345F79FFD</vt:lpwstr>
  </property>
  <property fmtid="{D5CDD505-2E9C-101B-9397-08002B2CF9AE}" pid="4" name="KSOTemplateDocerSaveRecord">
    <vt:lpwstr>eyJoZGlkIjoiZmNjYzZmNjlhMjYwNGRjMjRkOGUwNjYwMDE0OTUxZTAiLCJ1c2VySWQiOiI0Mzk4ODQ3NDYifQ==</vt:lpwstr>
  </property>
</Properties>
</file>