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8AFAE">
      <w:pPr>
        <w:pStyle w:val="98"/>
        <w:jc w:val="center"/>
        <w:rPr>
          <w:rFonts w:hint="eastAsia" w:ascii="黑体" w:hAnsi="黑体" w:eastAsia="黑体"/>
          <w:sz w:val="24"/>
          <w:szCs w:val="24"/>
        </w:rPr>
      </w:pPr>
      <w:bookmarkStart w:id="0" w:name="_Toc464728891"/>
      <w:bookmarkStart w:id="1" w:name="SectionMark4"/>
    </w:p>
    <w:p w14:paraId="0218799C">
      <w:pPr>
        <w:pStyle w:val="98"/>
        <w:jc w:val="center"/>
        <w:rPr>
          <w:rFonts w:hint="eastAsia" w:ascii="黑体" w:hAnsi="黑体" w:eastAsia="黑体"/>
          <w:sz w:val="24"/>
          <w:szCs w:val="24"/>
        </w:rPr>
      </w:pPr>
    </w:p>
    <w:p w14:paraId="7FFE0F83">
      <w:pPr>
        <w:pStyle w:val="98"/>
        <w:jc w:val="center"/>
        <w:rPr>
          <w:rFonts w:hint="eastAsia" w:ascii="黑体" w:hAnsi="黑体" w:eastAsia="黑体"/>
          <w:sz w:val="24"/>
          <w:szCs w:val="24"/>
        </w:rPr>
      </w:pPr>
    </w:p>
    <w:p w14:paraId="50A61D7C">
      <w:pPr>
        <w:pStyle w:val="98"/>
        <w:jc w:val="center"/>
        <w:rPr>
          <w:rFonts w:hint="eastAsia" w:ascii="黑体" w:hAnsi="黑体" w:eastAsia="黑体"/>
          <w:sz w:val="24"/>
          <w:szCs w:val="24"/>
        </w:rPr>
      </w:pPr>
    </w:p>
    <w:p w14:paraId="0FC6096C">
      <w:pPr>
        <w:pStyle w:val="98"/>
        <w:jc w:val="center"/>
        <w:rPr>
          <w:rFonts w:hint="eastAsia" w:ascii="黑体" w:hAnsi="黑体" w:eastAsia="黑体"/>
          <w:sz w:val="24"/>
          <w:szCs w:val="24"/>
        </w:rPr>
      </w:pPr>
    </w:p>
    <w:p w14:paraId="3B6432E0">
      <w:pPr>
        <w:pStyle w:val="98"/>
        <w:jc w:val="center"/>
        <w:rPr>
          <w:rFonts w:hint="eastAsia" w:ascii="黑体" w:hAnsi="黑体" w:eastAsia="黑体"/>
          <w:sz w:val="24"/>
          <w:szCs w:val="24"/>
        </w:rPr>
      </w:pPr>
    </w:p>
    <w:p w14:paraId="0E008F86">
      <w:pPr>
        <w:pStyle w:val="98"/>
        <w:jc w:val="center"/>
        <w:rPr>
          <w:rFonts w:hint="eastAsia"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052C2084">
                            <w:pPr>
                              <w:pStyle w:val="75"/>
                              <w:rPr>
                                <w:rFonts w:hint="eastAsia" w:hAnsi="黑体" w:cs="黑体"/>
                                <w:sz w:val="44"/>
                                <w:szCs w:val="44"/>
                              </w:rPr>
                            </w:pPr>
                            <w:bookmarkStart w:id="74" w:name="_Hlk23687263"/>
                            <w:r>
                              <w:rPr>
                                <w:rFonts w:hint="eastAsia" w:hAnsi="黑体" w:cs="黑体"/>
                                <w:sz w:val="44"/>
                                <w:szCs w:val="44"/>
                              </w:rPr>
                              <w:t>JJFZ（有色金属）008—2025</w:t>
                            </w:r>
                          </w:p>
                          <w:bookmarkEnd w:id="74"/>
                          <w:p w14:paraId="08E808B3">
                            <w:pPr>
                              <w:pStyle w:val="75"/>
                              <w:rPr>
                                <w:rFonts w:hint="eastAsia" w:hAnsi="黑体" w:cs="黑体"/>
                                <w:szCs w:val="52"/>
                              </w:rPr>
                            </w:pPr>
                            <w:r>
                              <w:rPr>
                                <w:rFonts w:hint="eastAsia" w:hAnsi="黑体" w:cs="黑体"/>
                                <w:szCs w:val="52"/>
                              </w:rPr>
                              <w:t>有色金属涡流电导率仪校准规范</w:t>
                            </w:r>
                          </w:p>
                          <w:p w14:paraId="48A27CF7">
                            <w:pPr>
                              <w:jc w:val="center"/>
                              <w:rPr>
                                <w:rFonts w:hint="eastAsia"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052C2084">
                      <w:pPr>
                        <w:pStyle w:val="75"/>
                        <w:rPr>
                          <w:rFonts w:hint="eastAsia" w:hAnsi="黑体" w:cs="黑体"/>
                          <w:sz w:val="44"/>
                          <w:szCs w:val="44"/>
                        </w:rPr>
                      </w:pPr>
                      <w:bookmarkStart w:id="74" w:name="_Hlk23687263"/>
                      <w:r>
                        <w:rPr>
                          <w:rFonts w:hint="eastAsia" w:hAnsi="黑体" w:cs="黑体"/>
                          <w:sz w:val="44"/>
                          <w:szCs w:val="44"/>
                        </w:rPr>
                        <w:t>JJFZ（有色金属）008—2025</w:t>
                      </w:r>
                    </w:p>
                    <w:bookmarkEnd w:id="74"/>
                    <w:p w14:paraId="08E808B3">
                      <w:pPr>
                        <w:pStyle w:val="75"/>
                        <w:rPr>
                          <w:rFonts w:hint="eastAsia" w:hAnsi="黑体" w:cs="黑体"/>
                          <w:szCs w:val="52"/>
                        </w:rPr>
                      </w:pPr>
                      <w:r>
                        <w:rPr>
                          <w:rFonts w:hint="eastAsia" w:hAnsi="黑体" w:cs="黑体"/>
                          <w:szCs w:val="52"/>
                        </w:rPr>
                        <w:t>有色金属涡流电导率仪校准规范</w:t>
                      </w:r>
                    </w:p>
                    <w:p w14:paraId="48A27CF7">
                      <w:pPr>
                        <w:jc w:val="center"/>
                        <w:rPr>
                          <w:rFonts w:hint="eastAsia"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468EBA7B">
      <w:pPr>
        <w:pStyle w:val="98"/>
        <w:jc w:val="center"/>
        <w:rPr>
          <w:rFonts w:hint="eastAsia" w:ascii="黑体" w:hAnsi="黑体" w:eastAsia="黑体"/>
          <w:sz w:val="24"/>
          <w:szCs w:val="24"/>
        </w:rPr>
      </w:pPr>
    </w:p>
    <w:p w14:paraId="6C94E05D">
      <w:pPr>
        <w:pStyle w:val="98"/>
        <w:jc w:val="center"/>
        <w:rPr>
          <w:rFonts w:hint="eastAsia" w:ascii="黑体" w:hAnsi="黑体" w:eastAsia="黑体"/>
          <w:sz w:val="24"/>
          <w:szCs w:val="24"/>
        </w:rPr>
      </w:pPr>
    </w:p>
    <w:p w14:paraId="26704E44">
      <w:pPr>
        <w:pStyle w:val="98"/>
        <w:jc w:val="center"/>
        <w:rPr>
          <w:rFonts w:hint="eastAsia" w:ascii="黑体" w:hAnsi="黑体" w:eastAsia="黑体"/>
          <w:sz w:val="24"/>
          <w:szCs w:val="24"/>
        </w:rPr>
      </w:pPr>
    </w:p>
    <w:p w14:paraId="3D77518F">
      <w:pPr>
        <w:pStyle w:val="98"/>
        <w:jc w:val="center"/>
        <w:rPr>
          <w:rFonts w:hint="eastAsia" w:ascii="黑体" w:hAnsi="黑体" w:eastAsia="黑体"/>
          <w:sz w:val="24"/>
          <w:szCs w:val="24"/>
        </w:rPr>
      </w:pPr>
    </w:p>
    <w:p w14:paraId="2580A009">
      <w:pPr>
        <w:pStyle w:val="98"/>
        <w:jc w:val="center"/>
        <w:rPr>
          <w:rFonts w:hint="eastAsia" w:ascii="黑体" w:hAnsi="黑体" w:eastAsia="黑体"/>
          <w:sz w:val="24"/>
          <w:szCs w:val="24"/>
        </w:rPr>
      </w:pPr>
    </w:p>
    <w:p w14:paraId="52883EE1">
      <w:pPr>
        <w:pStyle w:val="98"/>
        <w:jc w:val="center"/>
        <w:rPr>
          <w:rFonts w:hint="eastAsia" w:ascii="黑体" w:hAnsi="黑体" w:eastAsia="黑体"/>
          <w:sz w:val="24"/>
          <w:szCs w:val="24"/>
        </w:rPr>
      </w:pPr>
    </w:p>
    <w:p w14:paraId="4FE10DC3">
      <w:pPr>
        <w:pStyle w:val="98"/>
        <w:jc w:val="center"/>
        <w:rPr>
          <w:rFonts w:hint="eastAsia" w:ascii="黑体" w:hAnsi="黑体" w:eastAsia="黑体"/>
          <w:sz w:val="24"/>
          <w:szCs w:val="24"/>
        </w:rPr>
      </w:pPr>
    </w:p>
    <w:p w14:paraId="07D9CB62">
      <w:pPr>
        <w:pStyle w:val="98"/>
        <w:jc w:val="center"/>
        <w:rPr>
          <w:rFonts w:hint="eastAsia" w:ascii="黑体" w:hAnsi="黑体" w:eastAsia="黑体"/>
          <w:sz w:val="24"/>
          <w:szCs w:val="24"/>
        </w:rPr>
      </w:pPr>
    </w:p>
    <w:p w14:paraId="495C2466">
      <w:pPr>
        <w:pStyle w:val="98"/>
        <w:jc w:val="center"/>
        <w:rPr>
          <w:rFonts w:hint="eastAsia" w:ascii="黑体" w:hAnsi="黑体" w:eastAsia="黑体"/>
          <w:sz w:val="24"/>
          <w:szCs w:val="24"/>
        </w:rPr>
      </w:pPr>
    </w:p>
    <w:p w14:paraId="6EED46ED">
      <w:pPr>
        <w:pStyle w:val="98"/>
        <w:jc w:val="center"/>
        <w:rPr>
          <w:rFonts w:hint="eastAsia" w:ascii="黑体" w:hAnsi="黑体" w:eastAsia="黑体"/>
          <w:sz w:val="24"/>
          <w:szCs w:val="24"/>
        </w:rPr>
      </w:pPr>
    </w:p>
    <w:p w14:paraId="1FC6E531">
      <w:pPr>
        <w:pStyle w:val="98"/>
        <w:jc w:val="center"/>
        <w:rPr>
          <w:rFonts w:hint="eastAsia" w:ascii="黑体" w:hAnsi="黑体" w:eastAsia="黑体"/>
          <w:sz w:val="24"/>
          <w:szCs w:val="24"/>
        </w:rPr>
      </w:pPr>
    </w:p>
    <w:p w14:paraId="2C533C47">
      <w:pPr>
        <w:pStyle w:val="98"/>
        <w:jc w:val="center"/>
        <w:rPr>
          <w:rFonts w:hint="eastAsia" w:ascii="黑体" w:hAnsi="黑体" w:eastAsia="黑体"/>
          <w:sz w:val="24"/>
          <w:szCs w:val="24"/>
        </w:rPr>
      </w:pPr>
    </w:p>
    <w:p w14:paraId="103C4178">
      <w:pPr>
        <w:pStyle w:val="98"/>
        <w:jc w:val="center"/>
        <w:rPr>
          <w:rFonts w:hint="eastAsia" w:ascii="黑体" w:hAnsi="黑体" w:eastAsia="黑体"/>
          <w:sz w:val="24"/>
          <w:szCs w:val="24"/>
        </w:rPr>
      </w:pPr>
    </w:p>
    <w:p w14:paraId="72A84B9E">
      <w:pPr>
        <w:pStyle w:val="98"/>
        <w:jc w:val="center"/>
        <w:rPr>
          <w:rFonts w:hint="eastAsia" w:ascii="黑体" w:hAnsi="黑体" w:eastAsia="黑体"/>
          <w:sz w:val="24"/>
          <w:szCs w:val="24"/>
        </w:rPr>
      </w:pPr>
    </w:p>
    <w:p w14:paraId="3D69E0FD">
      <w:pPr>
        <w:pStyle w:val="98"/>
        <w:jc w:val="center"/>
        <w:rPr>
          <w:rFonts w:hint="eastAsia" w:ascii="黑体" w:hAnsi="黑体" w:eastAsia="黑体"/>
          <w:sz w:val="24"/>
          <w:szCs w:val="24"/>
        </w:rPr>
      </w:pPr>
    </w:p>
    <w:p w14:paraId="21E915AA">
      <w:pPr>
        <w:pStyle w:val="98"/>
        <w:jc w:val="center"/>
        <w:rPr>
          <w:rFonts w:hint="eastAsia" w:ascii="黑体" w:hAnsi="黑体" w:eastAsia="黑体"/>
          <w:sz w:val="24"/>
          <w:szCs w:val="24"/>
        </w:rPr>
      </w:pPr>
    </w:p>
    <w:p w14:paraId="05F0E6BD">
      <w:pPr>
        <w:pStyle w:val="98"/>
        <w:jc w:val="center"/>
        <w:rPr>
          <w:rFonts w:hint="eastAsia"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347620E">
                            <w:pPr>
                              <w:pStyle w:val="67"/>
                              <w:spacing w:before="600"/>
                              <w:rPr>
                                <w:rFonts w:hint="eastAsia" w:ascii="黑体" w:hAnsi="黑体" w:eastAsia="黑体"/>
                                <w:sz w:val="36"/>
                                <w:szCs w:val="36"/>
                              </w:rPr>
                            </w:pPr>
                            <w:r>
                              <w:rPr>
                                <w:rFonts w:hint="eastAsia" w:ascii="黑体" w:hAnsi="黑体" w:eastAsia="黑体"/>
                                <w:sz w:val="36"/>
                                <w:szCs w:val="36"/>
                              </w:rPr>
                              <w:t>讨论稿</w:t>
                            </w:r>
                          </w:p>
                          <w:p w14:paraId="4489A341">
                            <w:pPr>
                              <w:pStyle w:val="67"/>
                              <w:spacing w:before="600"/>
                              <w:rPr>
                                <w:rFonts w:hint="eastAsia"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6-05</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6347620E">
                      <w:pPr>
                        <w:pStyle w:val="67"/>
                        <w:spacing w:before="600"/>
                        <w:rPr>
                          <w:rFonts w:hint="eastAsia" w:ascii="黑体" w:hAnsi="黑体" w:eastAsia="黑体"/>
                          <w:sz w:val="36"/>
                          <w:szCs w:val="36"/>
                        </w:rPr>
                      </w:pPr>
                      <w:r>
                        <w:rPr>
                          <w:rFonts w:hint="eastAsia" w:ascii="黑体" w:hAnsi="黑体" w:eastAsia="黑体"/>
                          <w:sz w:val="36"/>
                          <w:szCs w:val="36"/>
                        </w:rPr>
                        <w:t>讨论稿</w:t>
                      </w:r>
                    </w:p>
                    <w:p w14:paraId="4489A341">
                      <w:pPr>
                        <w:pStyle w:val="67"/>
                        <w:spacing w:before="600"/>
                        <w:rPr>
                          <w:rFonts w:hint="eastAsia"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6-05</w:t>
                      </w:r>
                    </w:p>
                  </w:txbxContent>
                </v:textbox>
                <w10:anchorlock/>
              </v:rect>
            </w:pict>
          </mc:Fallback>
        </mc:AlternateContent>
      </w:r>
    </w:p>
    <w:p w14:paraId="05D09B2F">
      <w:pPr>
        <w:pStyle w:val="98"/>
        <w:jc w:val="center"/>
        <w:rPr>
          <w:rFonts w:hint="eastAsia" w:ascii="黑体" w:hAnsi="黑体" w:eastAsia="黑体"/>
          <w:sz w:val="24"/>
          <w:szCs w:val="24"/>
        </w:rPr>
      </w:pPr>
    </w:p>
    <w:p w14:paraId="2EDE083B">
      <w:pPr>
        <w:pStyle w:val="98"/>
        <w:jc w:val="center"/>
        <w:rPr>
          <w:rFonts w:hint="eastAsia" w:ascii="黑体" w:hAnsi="黑体" w:eastAsia="黑体"/>
          <w:sz w:val="24"/>
          <w:szCs w:val="24"/>
        </w:rPr>
      </w:pPr>
    </w:p>
    <w:p w14:paraId="16EE9514">
      <w:pPr>
        <w:pStyle w:val="98"/>
        <w:jc w:val="center"/>
        <w:rPr>
          <w:rFonts w:hint="eastAsia" w:ascii="黑体" w:hAnsi="黑体" w:eastAsia="黑体"/>
          <w:sz w:val="24"/>
          <w:szCs w:val="24"/>
        </w:rPr>
      </w:pPr>
    </w:p>
    <w:p w14:paraId="59D9EB58">
      <w:pPr>
        <w:pStyle w:val="98"/>
        <w:jc w:val="center"/>
        <w:rPr>
          <w:rFonts w:hint="eastAsia" w:ascii="黑体" w:hAnsi="黑体" w:eastAsia="黑体"/>
          <w:sz w:val="24"/>
          <w:szCs w:val="24"/>
        </w:rPr>
      </w:pPr>
    </w:p>
    <w:p w14:paraId="182668F6">
      <w:pPr>
        <w:pStyle w:val="98"/>
        <w:jc w:val="center"/>
        <w:rPr>
          <w:rFonts w:hint="eastAsia" w:ascii="黑体" w:hAnsi="黑体" w:eastAsia="黑体"/>
          <w:sz w:val="24"/>
          <w:szCs w:val="24"/>
        </w:rPr>
      </w:pPr>
    </w:p>
    <w:p w14:paraId="14955E9E">
      <w:pPr>
        <w:pStyle w:val="98"/>
        <w:jc w:val="center"/>
        <w:rPr>
          <w:rFonts w:hint="eastAsia" w:ascii="黑体" w:hAnsi="黑体" w:eastAsia="黑体"/>
          <w:sz w:val="24"/>
          <w:szCs w:val="24"/>
        </w:rPr>
      </w:pPr>
    </w:p>
    <w:p w14:paraId="415B7E2F">
      <w:pPr>
        <w:pStyle w:val="98"/>
        <w:jc w:val="center"/>
        <w:rPr>
          <w:rFonts w:hint="eastAsia" w:ascii="黑体" w:hAnsi="黑体" w:eastAsia="黑体"/>
          <w:sz w:val="24"/>
          <w:szCs w:val="24"/>
        </w:rPr>
      </w:pPr>
    </w:p>
    <w:p w14:paraId="6E04A00C">
      <w:pPr>
        <w:pStyle w:val="98"/>
        <w:jc w:val="center"/>
        <w:rPr>
          <w:rFonts w:hint="eastAsia" w:ascii="黑体" w:hAnsi="黑体" w:eastAsia="黑体"/>
          <w:sz w:val="24"/>
          <w:szCs w:val="24"/>
        </w:rPr>
      </w:pPr>
    </w:p>
    <w:p w14:paraId="427CD76F">
      <w:pPr>
        <w:pStyle w:val="98"/>
        <w:jc w:val="center"/>
        <w:rPr>
          <w:rFonts w:hint="eastAsia" w:ascii="黑体" w:hAnsi="黑体" w:eastAsia="黑体"/>
          <w:sz w:val="24"/>
          <w:szCs w:val="24"/>
        </w:rPr>
      </w:pPr>
    </w:p>
    <w:p w14:paraId="4A618687">
      <w:pPr>
        <w:pStyle w:val="98"/>
        <w:jc w:val="center"/>
        <w:rPr>
          <w:rFonts w:hint="eastAsia" w:ascii="黑体" w:hAnsi="黑体" w:eastAsia="黑体"/>
          <w:sz w:val="24"/>
          <w:szCs w:val="24"/>
        </w:rPr>
      </w:pPr>
    </w:p>
    <w:p w14:paraId="1A72D4A5">
      <w:pPr>
        <w:pStyle w:val="98"/>
        <w:jc w:val="center"/>
        <w:rPr>
          <w:rFonts w:hint="eastAsia" w:ascii="黑体" w:hAnsi="黑体" w:eastAsia="黑体"/>
          <w:sz w:val="24"/>
          <w:szCs w:val="24"/>
        </w:rPr>
      </w:pPr>
    </w:p>
    <w:p w14:paraId="42546B20">
      <w:pPr>
        <w:pStyle w:val="98"/>
        <w:jc w:val="center"/>
        <w:rPr>
          <w:rFonts w:hint="eastAsia" w:ascii="黑体" w:hAnsi="黑体" w:eastAsia="黑体"/>
          <w:sz w:val="24"/>
          <w:szCs w:val="24"/>
        </w:rPr>
      </w:pPr>
    </w:p>
    <w:p w14:paraId="3B9E7268">
      <w:pPr>
        <w:pStyle w:val="98"/>
        <w:jc w:val="center"/>
        <w:rPr>
          <w:rFonts w:hint="eastAsia" w:ascii="黑体" w:hAnsi="黑体" w:eastAsia="黑体"/>
          <w:sz w:val="24"/>
          <w:szCs w:val="24"/>
        </w:rPr>
      </w:pPr>
    </w:p>
    <w:p w14:paraId="4897DA12">
      <w:pPr>
        <w:pStyle w:val="98"/>
        <w:jc w:val="center"/>
        <w:rPr>
          <w:rFonts w:hint="eastAsia"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56A96F5F">
                            <w:pPr>
                              <w:pStyle w:val="75"/>
                              <w:rPr>
                                <w:rFonts w:hint="eastAsia" w:ascii="宋体" w:hAnsi="宋体" w:eastAsia="宋体" w:cs="宋体"/>
                                <w:spacing w:val="58"/>
                                <w:w w:val="120"/>
                                <w:kern w:val="2"/>
                                <w:sz w:val="28"/>
                                <w:szCs w:val="28"/>
                              </w:rPr>
                            </w:pPr>
                          </w:p>
                          <w:p w14:paraId="3D2280BB">
                            <w:pPr>
                              <w:jc w:val="center"/>
                              <w:rPr>
                                <w:rFonts w:hint="eastAsia" w:ascii="宋体" w:hAnsi="宋体" w:cs="宋体"/>
                                <w:spacing w:val="58"/>
                                <w:w w:val="120"/>
                                <w:sz w:val="28"/>
                                <w:szCs w:val="28"/>
                              </w:rPr>
                            </w:pPr>
                            <w:r>
                              <w:rPr>
                                <w:rFonts w:hint="eastAsia" w:ascii="宋体" w:hAnsi="宋体" w:cs="宋体"/>
                                <w:spacing w:val="58"/>
                                <w:w w:val="120"/>
                                <w:sz w:val="28"/>
                                <w:szCs w:val="28"/>
                              </w:rPr>
                              <w:t>有色金属涡流电导率仪校准规范</w:t>
                            </w:r>
                          </w:p>
                          <w:p w14:paraId="6FB14B04">
                            <w:pPr>
                              <w:jc w:val="center"/>
                              <w:rPr>
                                <w:rFonts w:hint="eastAsia" w:ascii="宋体" w:hAnsi="宋体" w:cs="宋体"/>
                                <w:sz w:val="28"/>
                                <w:szCs w:val="28"/>
                              </w:rPr>
                            </w:pPr>
                            <w:r>
                              <w:rPr>
                                <w:rFonts w:hint="eastAsia" w:ascii="宋体" w:hAnsi="宋体" w:cs="宋体"/>
                                <w:spacing w:val="58"/>
                                <w:w w:val="120"/>
                                <w:sz w:val="28"/>
                                <w:szCs w:val="28"/>
                              </w:rPr>
                              <w:t>编制组</w:t>
                            </w:r>
                          </w:p>
                          <w:p w14:paraId="7F97C46C">
                            <w:pPr>
                              <w:pStyle w:val="114"/>
                              <w:rPr>
                                <w:rFonts w:hint="eastAsia" w:ascii="宋体" w:hAnsi="宋体" w:eastAsia="宋体" w:cs="宋体"/>
                                <w:sz w:val="28"/>
                                <w:szCs w:val="28"/>
                              </w:rPr>
                            </w:pPr>
                            <w:r>
                              <w:rPr>
                                <w:rFonts w:hint="eastAsia" w:ascii="宋体" w:hAnsi="宋体" w:eastAsia="宋体" w:cs="宋体"/>
                                <w:sz w:val="28"/>
                                <w:szCs w:val="28"/>
                              </w:rPr>
                              <w:t>主编单位：西南铝业（集团）有限责任公司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56A96F5F">
                      <w:pPr>
                        <w:pStyle w:val="75"/>
                        <w:rPr>
                          <w:rFonts w:hint="eastAsia" w:ascii="宋体" w:hAnsi="宋体" w:eastAsia="宋体" w:cs="宋体"/>
                          <w:spacing w:val="58"/>
                          <w:w w:val="120"/>
                          <w:kern w:val="2"/>
                          <w:sz w:val="28"/>
                          <w:szCs w:val="28"/>
                        </w:rPr>
                      </w:pPr>
                    </w:p>
                    <w:p w14:paraId="3D2280BB">
                      <w:pPr>
                        <w:jc w:val="center"/>
                        <w:rPr>
                          <w:rFonts w:hint="eastAsia" w:ascii="宋体" w:hAnsi="宋体" w:cs="宋体"/>
                          <w:spacing w:val="58"/>
                          <w:w w:val="120"/>
                          <w:sz w:val="28"/>
                          <w:szCs w:val="28"/>
                        </w:rPr>
                      </w:pPr>
                      <w:r>
                        <w:rPr>
                          <w:rFonts w:hint="eastAsia" w:ascii="宋体" w:hAnsi="宋体" w:cs="宋体"/>
                          <w:spacing w:val="58"/>
                          <w:w w:val="120"/>
                          <w:sz w:val="28"/>
                          <w:szCs w:val="28"/>
                        </w:rPr>
                        <w:t>有色金属涡流电导率仪校准规范</w:t>
                      </w:r>
                    </w:p>
                    <w:p w14:paraId="6FB14B04">
                      <w:pPr>
                        <w:jc w:val="center"/>
                        <w:rPr>
                          <w:rFonts w:hint="eastAsia" w:ascii="宋体" w:hAnsi="宋体" w:cs="宋体"/>
                          <w:sz w:val="28"/>
                          <w:szCs w:val="28"/>
                        </w:rPr>
                      </w:pPr>
                      <w:r>
                        <w:rPr>
                          <w:rFonts w:hint="eastAsia" w:ascii="宋体" w:hAnsi="宋体" w:cs="宋体"/>
                          <w:spacing w:val="58"/>
                          <w:w w:val="120"/>
                          <w:sz w:val="28"/>
                          <w:szCs w:val="28"/>
                        </w:rPr>
                        <w:t>编制组</w:t>
                      </w:r>
                    </w:p>
                    <w:p w14:paraId="7F97C46C">
                      <w:pPr>
                        <w:pStyle w:val="114"/>
                        <w:rPr>
                          <w:rFonts w:hint="eastAsia" w:ascii="宋体" w:hAnsi="宋体" w:eastAsia="宋体" w:cs="宋体"/>
                          <w:sz w:val="28"/>
                          <w:szCs w:val="28"/>
                        </w:rPr>
                      </w:pPr>
                      <w:r>
                        <w:rPr>
                          <w:rFonts w:hint="eastAsia" w:ascii="宋体" w:hAnsi="宋体" w:eastAsia="宋体" w:cs="宋体"/>
                          <w:sz w:val="28"/>
                          <w:szCs w:val="28"/>
                        </w:rPr>
                        <w:t>主编单位：西南铝业（集团）有限责任公司</w:t>
                      </w:r>
                    </w:p>
                  </w:txbxContent>
                </v:textbox>
                <w10:anchorlock/>
              </v:rect>
            </w:pict>
          </mc:Fallback>
        </mc:AlternateContent>
      </w:r>
    </w:p>
    <w:p w14:paraId="0495B9A9">
      <w:pPr>
        <w:pStyle w:val="98"/>
        <w:jc w:val="center"/>
        <w:rPr>
          <w:rFonts w:hint="eastAsia" w:ascii="黑体" w:hAnsi="黑体" w:eastAsia="黑体"/>
          <w:sz w:val="24"/>
          <w:szCs w:val="24"/>
        </w:rPr>
      </w:pPr>
    </w:p>
    <w:p w14:paraId="7F00490E">
      <w:pPr>
        <w:pStyle w:val="98"/>
        <w:jc w:val="center"/>
        <w:rPr>
          <w:rFonts w:hint="eastAsia" w:ascii="黑体" w:hAnsi="黑体" w:eastAsia="黑体"/>
          <w:sz w:val="24"/>
          <w:szCs w:val="24"/>
        </w:rPr>
      </w:pPr>
    </w:p>
    <w:p w14:paraId="48FF94EC">
      <w:pPr>
        <w:pStyle w:val="98"/>
        <w:jc w:val="center"/>
        <w:rPr>
          <w:rFonts w:hint="eastAsia" w:ascii="黑体" w:hAnsi="黑体" w:eastAsia="黑体"/>
          <w:sz w:val="24"/>
          <w:szCs w:val="24"/>
        </w:rPr>
      </w:pPr>
    </w:p>
    <w:p w14:paraId="1000FEE0">
      <w:pPr>
        <w:pStyle w:val="98"/>
        <w:jc w:val="center"/>
        <w:rPr>
          <w:rFonts w:hint="eastAsia" w:ascii="黑体" w:hAnsi="黑体" w:eastAsia="黑体"/>
          <w:sz w:val="24"/>
          <w:szCs w:val="24"/>
        </w:rPr>
      </w:pPr>
    </w:p>
    <w:p w14:paraId="113E8263">
      <w:pPr>
        <w:pStyle w:val="98"/>
        <w:jc w:val="center"/>
        <w:rPr>
          <w:rFonts w:hint="eastAsia" w:ascii="黑体" w:hAnsi="黑体" w:eastAsia="黑体"/>
          <w:sz w:val="24"/>
          <w:szCs w:val="24"/>
        </w:rPr>
      </w:pPr>
    </w:p>
    <w:p w14:paraId="261CCD7C">
      <w:pPr>
        <w:pStyle w:val="98"/>
        <w:jc w:val="center"/>
        <w:rPr>
          <w:rFonts w:hint="eastAsia" w:ascii="黑体" w:hAnsi="黑体" w:eastAsia="黑体"/>
          <w:sz w:val="24"/>
          <w:szCs w:val="24"/>
        </w:rPr>
      </w:pPr>
    </w:p>
    <w:p w14:paraId="3A03C665">
      <w:pPr>
        <w:pStyle w:val="98"/>
        <w:jc w:val="center"/>
        <w:rPr>
          <w:rFonts w:hint="eastAsia" w:ascii="黑体" w:hAnsi="黑体" w:eastAsia="黑体"/>
          <w:sz w:val="24"/>
          <w:szCs w:val="24"/>
        </w:rPr>
      </w:pPr>
    </w:p>
    <w:p w14:paraId="3DDEDAF2">
      <w:pPr>
        <w:pStyle w:val="2"/>
        <w:spacing w:before="156" w:after="156"/>
        <w:rPr>
          <w:b w:val="0"/>
          <w:bCs w:val="0"/>
        </w:rPr>
      </w:pPr>
      <w:r>
        <w:rPr>
          <w:rFonts w:hint="eastAsia"/>
          <w:b w:val="0"/>
          <w:bCs w:val="0"/>
        </w:rPr>
        <w:t>一、工作简况</w:t>
      </w:r>
      <w:bookmarkEnd w:id="0"/>
      <w:bookmarkStart w:id="2" w:name="_Toc464728896"/>
    </w:p>
    <w:p w14:paraId="29824FFB">
      <w:pPr>
        <w:pStyle w:val="3"/>
        <w:spacing w:before="156" w:after="156"/>
        <w:rPr>
          <w:b w:val="0"/>
          <w:bCs w:val="0"/>
        </w:rPr>
      </w:pPr>
      <w:r>
        <w:rPr>
          <w:rFonts w:hint="eastAsia"/>
          <w:b w:val="0"/>
          <w:bCs w:val="0"/>
        </w:rPr>
        <w:t>1.立项目的</w:t>
      </w:r>
    </w:p>
    <w:p w14:paraId="792BBC49">
      <w:pPr>
        <w:pStyle w:val="21"/>
        <w:spacing w:line="400" w:lineRule="exact"/>
        <w:ind w:firstLine="420" w:firstLineChars="200"/>
        <w:rPr>
          <w:rFonts w:hint="eastAsia" w:hAnsi="宋体"/>
          <w:szCs w:val="21"/>
          <w:highlight w:val="none"/>
        </w:rPr>
      </w:pPr>
      <w:r>
        <w:rPr>
          <w:rFonts w:hint="eastAsia" w:hAnsi="宋体"/>
          <w:szCs w:val="21"/>
          <w:highlight w:val="none"/>
        </w:rPr>
        <w:t>涡流电导率仪主要用于检测导电材料的电导率值。航空铝材在生产过程中需要对铝材进行电导率测试，以判断铝材的热处理状态是否符合要求、电导率值是否满足产品标准要求。涡流电导率仪由于在检测时，线圈不需要接触工件，也无需耦合介质，所以检测速度快，因此它在有色金属材料性能检测中应用十分广泛。</w:t>
      </w:r>
    </w:p>
    <w:p w14:paraId="1CA97E11">
      <w:pPr>
        <w:pStyle w:val="21"/>
        <w:spacing w:line="400" w:lineRule="exact"/>
        <w:ind w:firstLine="420" w:firstLineChars="200"/>
        <w:rPr>
          <w:rFonts w:hint="eastAsia" w:hAnsi="宋体"/>
          <w:szCs w:val="21"/>
          <w:highlight w:val="none"/>
        </w:rPr>
      </w:pPr>
      <w:r>
        <w:rPr>
          <w:rFonts w:hint="eastAsia" w:hAnsi="宋体"/>
          <w:szCs w:val="21"/>
          <w:highlight w:val="none"/>
        </w:rPr>
        <w:t>目前在用的技术规范GBT 12966-2022《铝及铝合金电导率涡流测试方法》、MIL-STD-1537C《采用涡流方式验证铝合金热处理后的涡流电导率的标准测试方法》、BAC5651《涡流电导率检测》、ASTM E1004-17《使用电磁的（涡流）方法测定电导率的标准方法》等对涡流电导率仪的示值误差、灵敏度、提离效应、稳定性、重复性等计量特性提出了要求，同时GBT 12966-2022还对探头的性能检测作出了要求。但现有的JJF1692-2018《涡流电导率仪校准规范》只对电导率示值误差这一计量特性进行了校准，JJG（民航）0092-2006《涡流电导率测试仪检定规程》只对电导率示值误差、稳定性进行了校准，涡流电导率仪的灵敏度、提离效应、重复性</w:t>
      </w:r>
      <w:r>
        <w:rPr>
          <w:rFonts w:hint="eastAsia" w:hAnsi="宋体"/>
          <w:szCs w:val="21"/>
          <w:highlight w:val="none"/>
          <w:lang w:eastAsia="zh-CN"/>
        </w:rPr>
        <w:t>、</w:t>
      </w:r>
      <w:r>
        <w:rPr>
          <w:rFonts w:hint="eastAsia" w:hAnsi="宋体"/>
          <w:szCs w:val="21"/>
          <w:highlight w:val="none"/>
          <w:lang w:val="en-US" w:eastAsia="zh-CN"/>
        </w:rPr>
        <w:t>探头性能</w:t>
      </w:r>
      <w:r>
        <w:rPr>
          <w:rFonts w:hint="eastAsia" w:hAnsi="宋体"/>
          <w:szCs w:val="21"/>
          <w:highlight w:val="none"/>
        </w:rPr>
        <w:t>等计量特性没有校准方法进行溯源。</w:t>
      </w:r>
    </w:p>
    <w:p w14:paraId="522B7088">
      <w:pPr>
        <w:pStyle w:val="21"/>
        <w:spacing w:line="400" w:lineRule="exact"/>
        <w:ind w:firstLine="420" w:firstLineChars="200"/>
        <w:rPr>
          <w:rFonts w:hint="eastAsia" w:hAnsi="宋体"/>
          <w:szCs w:val="21"/>
          <w:highlight w:val="none"/>
        </w:rPr>
      </w:pPr>
      <w:r>
        <w:rPr>
          <w:rFonts w:hint="eastAsia" w:hAnsi="宋体"/>
          <w:szCs w:val="21"/>
          <w:highlight w:val="none"/>
        </w:rPr>
        <w:t>因此,为保证涡流电导率仪测试结果的准确可靠，需要对其</w:t>
      </w:r>
      <w:r>
        <w:rPr>
          <w:rFonts w:hint="eastAsia" w:hAnsi="宋体"/>
          <w:szCs w:val="21"/>
          <w:highlight w:val="none"/>
          <w:lang w:val="en-US" w:eastAsia="zh-CN"/>
        </w:rPr>
        <w:t>所有计量特性</w:t>
      </w:r>
      <w:r>
        <w:rPr>
          <w:rFonts w:hint="eastAsia" w:hAnsi="宋体"/>
          <w:szCs w:val="21"/>
          <w:highlight w:val="none"/>
        </w:rPr>
        <w:t>进行校准，以有利于</w:t>
      </w:r>
      <w:r>
        <w:rPr>
          <w:rFonts w:hint="eastAsia" w:hAnsi="宋体"/>
          <w:szCs w:val="21"/>
          <w:highlight w:val="none"/>
          <w:lang w:val="en-US" w:eastAsia="zh-CN"/>
        </w:rPr>
        <w:t>有色金属行业产品</w:t>
      </w:r>
      <w:r>
        <w:rPr>
          <w:rFonts w:hint="eastAsia" w:hAnsi="宋体"/>
          <w:szCs w:val="21"/>
          <w:highlight w:val="none"/>
        </w:rPr>
        <w:t>质量提升。</w:t>
      </w:r>
    </w:p>
    <w:p w14:paraId="45FF82FA">
      <w:pPr>
        <w:pStyle w:val="3"/>
        <w:spacing w:before="156" w:after="156"/>
        <w:rPr>
          <w:b w:val="0"/>
          <w:bCs w:val="0"/>
        </w:rPr>
      </w:pPr>
      <w:r>
        <w:rPr>
          <w:rFonts w:hint="eastAsia"/>
          <w:b w:val="0"/>
          <w:bCs w:val="0"/>
        </w:rPr>
        <w:t>2.任务来源</w:t>
      </w:r>
      <w:bookmarkEnd w:id="2"/>
    </w:p>
    <w:p w14:paraId="7650985E">
      <w:pPr>
        <w:spacing w:line="360" w:lineRule="auto"/>
        <w:ind w:firstLine="420" w:firstLineChars="200"/>
        <w:rPr>
          <w:szCs w:val="21"/>
        </w:rPr>
      </w:pPr>
      <w:r>
        <w:rPr>
          <w:rFonts w:hint="eastAsia"/>
          <w:szCs w:val="21"/>
        </w:rPr>
        <w:t>根据工业和信息化部《关于印发2025年行业计量技术规范制修订计划的通知》（工厅科［2025］299号）文的要求，行业计量技术规范《铝及铝合金压滤法测渣仪校准规范》由西南铝业（集团）有限责任公司负责起草。该项目计划编号为JJFZ（有色金属）008-2025。按计划要求，本计量规范应于2027年12月完成制定。</w:t>
      </w:r>
    </w:p>
    <w:p w14:paraId="0CF24F67">
      <w:pPr>
        <w:pStyle w:val="3"/>
        <w:spacing w:before="156" w:after="156"/>
        <w:rPr>
          <w:b w:val="0"/>
          <w:bCs w:val="0"/>
        </w:rPr>
      </w:pPr>
      <w:r>
        <w:rPr>
          <w:rFonts w:hint="eastAsia"/>
          <w:b w:val="0"/>
          <w:bCs w:val="0"/>
        </w:rPr>
        <w:t>3.项目编制组单位简况</w:t>
      </w:r>
    </w:p>
    <w:p w14:paraId="46DCE2A2">
      <w:pPr>
        <w:pStyle w:val="4"/>
        <w:spacing w:before="156" w:after="156"/>
        <w:rPr>
          <w:b w:val="0"/>
          <w:bCs w:val="0"/>
        </w:rPr>
      </w:pPr>
      <w:r>
        <w:rPr>
          <w:rFonts w:hint="eastAsia"/>
          <w:b w:val="0"/>
          <w:bCs w:val="0"/>
        </w:rPr>
        <w:t>3.1编制组成员单位</w:t>
      </w:r>
    </w:p>
    <w:p w14:paraId="22EF2DE1">
      <w:pPr>
        <w:widowControl/>
        <w:autoSpaceDE w:val="0"/>
        <w:autoSpaceDN w:val="0"/>
        <w:spacing w:line="400" w:lineRule="exact"/>
        <w:ind w:firstLine="420" w:firstLineChars="200"/>
        <w:rPr>
          <w:szCs w:val="21"/>
        </w:rPr>
      </w:pPr>
      <w:bookmarkStart w:id="3" w:name="_Toc464728900"/>
      <w:bookmarkStart w:id="4" w:name="_Toc462884344"/>
      <w:r>
        <w:rPr>
          <w:rFonts w:hint="eastAsia"/>
          <w:szCs w:val="21"/>
        </w:rPr>
        <w:t>本规范的编制组单位为：西南铝业（集团）有限责任公司、东北轻合金有限责任公司、国合通用（青岛）测试评价股份有限公司、国标（北京）检验认证有限公司、广东省科学院工业分析检测中心、西安汉唐分析检测有限公司、中国船舶集团有限公司第七二五研究所、广东省科学院新材料研究所、中铝洛阳铜加工有限公司、国合通用（重庆）测试评价认证有限公司、上海有色金属工业技术监测中心有限公司等</w:t>
      </w:r>
    </w:p>
    <w:p w14:paraId="4CBFE016">
      <w:pPr>
        <w:pStyle w:val="4"/>
        <w:spacing w:before="156" w:after="156"/>
        <w:rPr>
          <w:b w:val="0"/>
          <w:bCs w:val="0"/>
        </w:rPr>
      </w:pPr>
      <w:r>
        <w:rPr>
          <w:rFonts w:hint="eastAsia"/>
          <w:b w:val="0"/>
          <w:bCs w:val="0"/>
        </w:rPr>
        <w:t>3.2 主编单位简介</w:t>
      </w:r>
    </w:p>
    <w:bookmarkEnd w:id="3"/>
    <w:bookmarkEnd w:id="4"/>
    <w:p w14:paraId="7804938A">
      <w:pPr>
        <w:spacing w:line="400" w:lineRule="exact"/>
        <w:ind w:firstLine="420" w:firstLineChars="200"/>
        <w:contextualSpacing/>
        <w:jc w:val="left"/>
        <w:rPr>
          <w:szCs w:val="21"/>
        </w:rPr>
      </w:pPr>
      <w:r>
        <w:rPr>
          <w:rFonts w:hint="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特殊津贴专家30余人，建有院士工作站,拥有国家级企业技术中心。西南铝建有校准实验室与检测实验室，均通过了CNAS认可，具备对涡流电导率仪、涡流电导率块、闭路循环法铝及铝合金液态测氢仪、衡器、材料试验机、金属布氏硬度计、电子天平、压力表、数字压力计、温度显示仪等123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西南铝主持和参与国家、行业标准277项，作为主编单位起草了《行业校准规范《闭路循环法铝及铝合金液态测氢仪校准规范》、《电热恒温水浴锅校准规范》、《电子式温湿度计校准规范》、《油膜测厚仪校准规范校准规范》、《支辊式弯曲试验机校准规范》、《叉式热电偶校准规范》、《铝板带在线测厚仪校准规范》。</w:t>
      </w:r>
    </w:p>
    <w:p w14:paraId="629D1662">
      <w:pPr>
        <w:spacing w:line="400" w:lineRule="exact"/>
        <w:ind w:firstLine="420" w:firstLineChars="20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讨论稿》进行认真的讨论，并就提出的意见和建议进行反馈和修改，在编制组中发挥了主要带头作用。</w:t>
      </w:r>
    </w:p>
    <w:p w14:paraId="3F70942E">
      <w:pPr>
        <w:pStyle w:val="60"/>
        <w:numPr>
          <w:ilvl w:val="0"/>
          <w:numId w:val="0"/>
        </w:numPr>
        <w:spacing w:before="156" w:beforeLines="50" w:after="156" w:afterLines="50"/>
        <w:rPr>
          <w:color w:val="auto"/>
        </w:rPr>
      </w:pPr>
      <w:bookmarkStart w:id="5" w:name="_Toc464728901"/>
      <w:bookmarkStart w:id="6" w:name="_Toc462884345"/>
      <w:r>
        <w:rPr>
          <w:rFonts w:hint="eastAsia"/>
          <w:color w:val="auto"/>
        </w:rPr>
        <w:t>3.3成员单位简介</w:t>
      </w:r>
      <w:bookmarkEnd w:id="5"/>
      <w:bookmarkEnd w:id="6"/>
    </w:p>
    <w:p w14:paraId="5CF175BC">
      <w:pPr>
        <w:pStyle w:val="59"/>
        <w:numPr>
          <w:ilvl w:val="0"/>
          <w:numId w:val="0"/>
        </w:numPr>
        <w:spacing w:before="156" w:beforeLines="50" w:after="156" w:afterLines="50"/>
        <w:contextualSpacing/>
        <w:rPr>
          <w:rFonts w:hint="eastAsia"/>
          <w:szCs w:val="21"/>
        </w:rPr>
      </w:pPr>
      <w:r>
        <w:rPr>
          <w:rFonts w:hint="eastAsia"/>
        </w:rPr>
        <w:t>3.3.1</w:t>
      </w:r>
      <w:r>
        <w:rPr>
          <w:rFonts w:hint="eastAsia" w:ascii="Times New Roman"/>
        </w:rPr>
        <w:t xml:space="preserve">   </w:t>
      </w:r>
      <w:r>
        <w:rPr>
          <w:rFonts w:hint="eastAsia"/>
          <w:szCs w:val="21"/>
        </w:rPr>
        <w:t>东北轻合金有限责任公司</w:t>
      </w:r>
    </w:p>
    <w:p w14:paraId="363EA303">
      <w:pPr>
        <w:spacing w:line="400" w:lineRule="exact"/>
        <w:ind w:firstLine="420" w:firstLineChars="200"/>
        <w:contextualSpacing/>
        <w:jc w:val="left"/>
        <w:rPr>
          <w:szCs w:val="21"/>
        </w:rPr>
      </w:pPr>
      <w:r>
        <w:rPr>
          <w:rFonts w:hint="eastAsia"/>
          <w:szCs w:val="21"/>
        </w:rPr>
        <w:t>东北轻合金有限责任公司（即101厂，以下简称东轻公司）是建国初期陈云同志向党中央撰写报告，由毛泽东、朱德、周恩来、刘少奇亲自阅定、签批筹建的中国第一个铝镁合金加工企业，是国家“一五”期间156项重点工程中的2项。1952年建厂，1956年开工生产。1998年6月改制为国有独资公司，2000年7月划归哈尔滨市管理。2007年9月进入中国铝业公司，成为中国铝业公司铝加工五大基地之一。公司于1996年通过了ISO9001国际质量体系认证，近年来先后通过军工产品质量体系认证、AS9100、PED压力容器以及中国新时代认证中心的质量管理体系、职业健康安全和环境管理体系认证等。公司曾获得“国家质量管理奖”、“国家一级企业”、“质量、服务、信誉AAA级品牌、“国家优秀计量企业”，“黑龙江省先进计量企业”称号，并获得计量一级企业，2001年获得完善计量检测体系（GB／T19022.1）合格证书，2020年9月获得AAA级测量管理体系认证证书。</w:t>
      </w:r>
    </w:p>
    <w:p w14:paraId="1C006B48">
      <w:pPr>
        <w:pStyle w:val="59"/>
        <w:numPr>
          <w:ilvl w:val="0"/>
          <w:numId w:val="0"/>
        </w:numPr>
        <w:spacing w:before="156" w:beforeLines="50" w:after="156" w:afterLines="50"/>
        <w:contextualSpacing/>
        <w:rPr>
          <w:rFonts w:hint="eastAsia"/>
          <w:szCs w:val="21"/>
        </w:rPr>
      </w:pPr>
      <w:r>
        <w:rPr>
          <w:rFonts w:hint="eastAsia"/>
        </w:rPr>
        <w:t>3.3.2</w:t>
      </w:r>
      <w:r>
        <w:rPr>
          <w:rFonts w:hint="eastAsia" w:ascii="Times New Roman"/>
        </w:rPr>
        <w:t xml:space="preserve">  </w:t>
      </w:r>
      <w:r>
        <w:rPr>
          <w:rFonts w:hint="eastAsia"/>
          <w:szCs w:val="21"/>
        </w:rPr>
        <w:t>国标（北京）检验认证有限公司</w:t>
      </w:r>
    </w:p>
    <w:p w14:paraId="57205DAE">
      <w:pPr>
        <w:spacing w:line="360" w:lineRule="auto"/>
        <w:ind w:firstLine="420" w:firstLineChars="200"/>
      </w:pPr>
      <w:r>
        <w:rPr>
          <w:rFonts w:hint="eastAsia"/>
        </w:rPr>
        <w:t>国标（北京）检验认证有限公司是我国有色行业的材料研究和材料检测的权威机构。该公司运行着国家有色金属质量监督检验中心，是我国有色行业金属材料检测的权威机构。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14:paraId="0FB6C2B7">
      <w:pPr>
        <w:pStyle w:val="59"/>
        <w:numPr>
          <w:ilvl w:val="0"/>
          <w:numId w:val="0"/>
        </w:numPr>
        <w:spacing w:before="156" w:beforeLines="50" w:after="156" w:afterLines="50"/>
        <w:contextualSpacing/>
        <w:rPr>
          <w:rFonts w:hint="eastAsia"/>
          <w:szCs w:val="21"/>
        </w:rPr>
      </w:pPr>
      <w:r>
        <w:rPr>
          <w:rFonts w:hint="eastAsia"/>
        </w:rPr>
        <w:t>3.3.3</w:t>
      </w:r>
      <w:r>
        <w:rPr>
          <w:rFonts w:hint="eastAsia" w:ascii="Times New Roman"/>
        </w:rPr>
        <w:t xml:space="preserve">  </w:t>
      </w:r>
      <w:r>
        <w:rPr>
          <w:rFonts w:hint="eastAsia"/>
          <w:szCs w:val="21"/>
        </w:rPr>
        <w:t>西安汉唐分析检测有限公司</w:t>
      </w:r>
    </w:p>
    <w:p w14:paraId="7158AC89">
      <w:pPr>
        <w:pStyle w:val="58"/>
        <w:spacing w:line="360" w:lineRule="auto"/>
        <w:ind w:firstLine="420"/>
        <w:rPr>
          <w:rFonts w:ascii="Times New Roman" w:hAnsi="Times New Roman"/>
          <w:kern w:val="2"/>
          <w:szCs w:val="24"/>
        </w:rPr>
      </w:pPr>
      <w:r>
        <w:rPr>
          <w:rFonts w:hint="eastAsia" w:ascii="Times New Roman" w:hAnsi="Times New Roman"/>
          <w:kern w:val="2"/>
          <w:szCs w:val="24"/>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14:paraId="71DFFD9A">
      <w:pPr>
        <w:pStyle w:val="58"/>
        <w:spacing w:line="360" w:lineRule="auto"/>
        <w:ind w:firstLine="420"/>
        <w:rPr>
          <w:rFonts w:ascii="Times New Roman" w:hAnsi="Times New Roman"/>
          <w:kern w:val="2"/>
          <w:szCs w:val="24"/>
        </w:rPr>
      </w:pPr>
      <w:r>
        <w:rPr>
          <w:rFonts w:hint="eastAsia"/>
        </w:rPr>
        <w:t>该单位积极参与编制组的各项工作会议，对规范的校准方法提出了有效建议，在编制组中发挥了主要作用。</w:t>
      </w:r>
    </w:p>
    <w:p w14:paraId="3910E446">
      <w:pPr>
        <w:pStyle w:val="59"/>
        <w:numPr>
          <w:ilvl w:val="0"/>
          <w:numId w:val="0"/>
        </w:numPr>
        <w:spacing w:before="156" w:beforeLines="50" w:after="156" w:afterLines="50"/>
        <w:contextualSpacing/>
        <w:rPr>
          <w:rFonts w:hint="eastAsia"/>
          <w:szCs w:val="21"/>
        </w:rPr>
      </w:pPr>
      <w:r>
        <w:rPr>
          <w:rFonts w:hint="eastAsia"/>
        </w:rPr>
        <w:t>3.3.4</w:t>
      </w:r>
      <w:r>
        <w:rPr>
          <w:rFonts w:hint="eastAsia" w:ascii="Times New Roman"/>
        </w:rPr>
        <w:t xml:space="preserve">  </w:t>
      </w:r>
      <w:r>
        <w:rPr>
          <w:rFonts w:hint="eastAsia"/>
          <w:szCs w:val="21"/>
        </w:rPr>
        <w:t>广东省科学院工业分析检测中心</w:t>
      </w:r>
    </w:p>
    <w:p w14:paraId="5812177D">
      <w:pPr>
        <w:pStyle w:val="58"/>
        <w:spacing w:line="360" w:lineRule="auto"/>
        <w:ind w:firstLine="420"/>
      </w:pPr>
      <w:r>
        <w:rPr>
          <w:rFonts w:hint="eastAsia"/>
        </w:rPr>
        <w:t>广东省科学院工业分析检测中心始建于1971 年，先后隶属于广州有色金属研究院、广东省工业技术研究院（广州有色金属研究院），2015年12月经广东省机构编制委员会批准成为广东省科学院属下的独立二级事业法人单位。是我国从事矿产品、金属材料、冶金产品、化工产品、再生资源质量检测和性能评价，欧盟环保（RoHS）指令的有害物质检测、金属材料综合利用检测以及分析测试技术研究与技术咨询的专业机构。中心现有高、中、初级专业技术和管理人员100余人，其中教授有15人，高级工程师24人，硕博士20人，具有中级职称以上科技人员占80%。累计申请专利19件，其中授权发明专利8件、授权实用新型专利2件。承担国家、省级各类项目50余项，主持和参与国家、行业标准200余项，发表专著5部，发表论文300余篇。</w:t>
      </w:r>
    </w:p>
    <w:p w14:paraId="127BF099">
      <w:pPr>
        <w:widowControl/>
        <w:spacing w:before="156" w:beforeLines="50" w:after="156" w:afterLines="50" w:line="300" w:lineRule="auto"/>
        <w:contextualSpacing/>
        <w:outlineLvl w:val="3"/>
        <w:rPr>
          <w:rFonts w:ascii="黑体" w:hAnsi="黑体" w:eastAsia="黑体"/>
          <w:color w:val="000000" w:themeColor="text1"/>
          <w:spacing w:val="-6"/>
          <w:kern w:val="0"/>
          <w:szCs w:val="21"/>
          <w14:textFill>
            <w14:solidFill>
              <w14:schemeClr w14:val="tx1"/>
            </w14:solidFill>
          </w14:textFill>
        </w:rPr>
      </w:pPr>
      <w:bookmarkStart w:id="7" w:name="OLE_LINK2"/>
      <w:r>
        <w:rPr>
          <w:rFonts w:hint="eastAsia" w:ascii="黑体" w:hAnsi="黑体" w:eastAsia="黑体"/>
          <w:color w:val="000000" w:themeColor="text1"/>
          <w:spacing w:val="-6"/>
          <w:kern w:val="0"/>
          <w14:textFill>
            <w14:solidFill>
              <w14:schemeClr w14:val="tx1"/>
            </w14:solidFill>
          </w14:textFill>
        </w:rPr>
        <w:t>3.3.5</w:t>
      </w:r>
      <w:r>
        <w:rPr>
          <w:rFonts w:hint="eastAsia" w:hAnsi="黑体" w:eastAsia="黑体"/>
          <w:color w:val="000000" w:themeColor="text1"/>
          <w:spacing w:val="-6"/>
          <w:kern w:val="0"/>
          <w14:textFill>
            <w14:solidFill>
              <w14:schemeClr w14:val="tx1"/>
            </w14:solidFill>
          </w14:textFill>
        </w:rPr>
        <w:t xml:space="preserve">  </w:t>
      </w:r>
      <w:r>
        <w:rPr>
          <w:rFonts w:hint="eastAsia" w:ascii="黑体" w:hAnsi="黑体" w:eastAsia="黑体"/>
          <w:color w:val="000000" w:themeColor="text1"/>
          <w:spacing w:val="-6"/>
          <w:kern w:val="0"/>
          <w:szCs w:val="21"/>
          <w14:textFill>
            <w14:solidFill>
              <w14:schemeClr w14:val="tx1"/>
            </w14:solidFill>
          </w14:textFill>
        </w:rPr>
        <w:t>国合通用(青岛)测试评价股份有限公司</w:t>
      </w:r>
    </w:p>
    <w:p w14:paraId="5A5DD822">
      <w:pPr>
        <w:widowControl/>
        <w:spacing w:before="156" w:beforeLines="50" w:after="156" w:afterLines="50" w:line="300" w:lineRule="auto"/>
        <w:contextualSpacing/>
        <w:outlineLvl w:val="3"/>
        <w:rPr>
          <w:rFonts w:ascii="黑体" w:hAnsi="黑体" w:eastAsia="黑体"/>
          <w:color w:val="000000" w:themeColor="text1"/>
          <w:spacing w:val="-6"/>
          <w:kern w:val="0"/>
          <w:szCs w:val="21"/>
          <w14:textFill>
            <w14:solidFill>
              <w14:schemeClr w14:val="tx1"/>
            </w14:solidFill>
          </w14:textFill>
        </w:rPr>
      </w:pPr>
    </w:p>
    <w:p w14:paraId="6F9D3E0C">
      <w:pPr>
        <w:widowControl/>
        <w:spacing w:before="156" w:beforeLines="50" w:after="156" w:afterLines="50" w:line="300" w:lineRule="auto"/>
        <w:contextualSpacing/>
        <w:outlineLvl w:val="3"/>
        <w:rPr>
          <w:rFonts w:ascii="黑体" w:hAnsi="黑体" w:eastAsia="黑体"/>
          <w:color w:val="000000" w:themeColor="text1"/>
          <w:spacing w:val="-6"/>
          <w:kern w:val="0"/>
          <w:szCs w:val="21"/>
          <w14:textFill>
            <w14:solidFill>
              <w14:schemeClr w14:val="tx1"/>
            </w14:solidFill>
          </w14:textFill>
        </w:rPr>
      </w:pPr>
      <w:r>
        <w:rPr>
          <w:rFonts w:hint="eastAsia" w:ascii="黑体" w:hAnsi="黑体" w:eastAsia="黑体"/>
          <w:color w:val="000000" w:themeColor="text1"/>
          <w:spacing w:val="-6"/>
          <w:kern w:val="0"/>
          <w:szCs w:val="21"/>
          <w14:textFill>
            <w14:solidFill>
              <w14:schemeClr w14:val="tx1"/>
            </w14:solidFill>
          </w14:textFill>
        </w:rPr>
        <w:t>3.3.6  中国船舶集团有限公司第七二五研究所</w:t>
      </w:r>
    </w:p>
    <w:p w14:paraId="6A47932A">
      <w:pPr>
        <w:widowControl/>
        <w:spacing w:before="156" w:beforeLines="50" w:after="156" w:afterLines="50" w:line="300" w:lineRule="auto"/>
        <w:contextualSpacing/>
        <w:outlineLvl w:val="3"/>
        <w:rPr>
          <w:rFonts w:ascii="黑体" w:hAnsi="黑体" w:eastAsia="黑体"/>
          <w:color w:val="000000" w:themeColor="text1"/>
          <w:spacing w:val="-6"/>
          <w:kern w:val="0"/>
          <w:szCs w:val="21"/>
          <w14:textFill>
            <w14:solidFill>
              <w14:schemeClr w14:val="tx1"/>
            </w14:solidFill>
          </w14:textFill>
        </w:rPr>
      </w:pPr>
    </w:p>
    <w:p w14:paraId="62E0DAAB">
      <w:pPr>
        <w:widowControl/>
        <w:spacing w:before="156" w:beforeLines="50" w:after="156" w:afterLines="50" w:line="300" w:lineRule="auto"/>
        <w:contextualSpacing/>
        <w:outlineLvl w:val="3"/>
        <w:rPr>
          <w:rFonts w:ascii="黑体" w:hAnsi="黑体" w:eastAsia="黑体"/>
          <w:color w:val="000000" w:themeColor="text1"/>
          <w:spacing w:val="-6"/>
          <w:kern w:val="0"/>
          <w:szCs w:val="21"/>
          <w14:textFill>
            <w14:solidFill>
              <w14:schemeClr w14:val="tx1"/>
            </w14:solidFill>
          </w14:textFill>
        </w:rPr>
      </w:pPr>
      <w:r>
        <w:rPr>
          <w:rFonts w:hint="eastAsia" w:ascii="黑体" w:hAnsi="黑体" w:eastAsia="黑体"/>
          <w:color w:val="000000" w:themeColor="text1"/>
          <w:spacing w:val="-6"/>
          <w:kern w:val="0"/>
          <w14:textFill>
            <w14:solidFill>
              <w14:schemeClr w14:val="tx1"/>
            </w14:solidFill>
          </w14:textFill>
        </w:rPr>
        <w:t>3.3.7</w:t>
      </w:r>
      <w:r>
        <w:rPr>
          <w:rFonts w:hint="eastAsia" w:hAnsi="黑体" w:eastAsia="黑体"/>
          <w:color w:val="000000" w:themeColor="text1"/>
          <w:spacing w:val="-6"/>
          <w:kern w:val="0"/>
          <w14:textFill>
            <w14:solidFill>
              <w14:schemeClr w14:val="tx1"/>
            </w14:solidFill>
          </w14:textFill>
        </w:rPr>
        <w:t xml:space="preserve">  </w:t>
      </w:r>
      <w:r>
        <w:rPr>
          <w:rFonts w:hint="eastAsia" w:ascii="黑体" w:hAnsi="黑体" w:eastAsia="黑体"/>
          <w:color w:val="000000" w:themeColor="text1"/>
          <w:spacing w:val="-6"/>
          <w:kern w:val="0"/>
          <w:szCs w:val="21"/>
          <w14:textFill>
            <w14:solidFill>
              <w14:schemeClr w14:val="tx1"/>
            </w14:solidFill>
          </w14:textFill>
        </w:rPr>
        <w:t>广东省科学院新材料研究所</w:t>
      </w:r>
    </w:p>
    <w:p w14:paraId="5893FA82">
      <w:pPr>
        <w:widowControl/>
        <w:spacing w:before="156" w:beforeLines="50" w:after="156" w:afterLines="50" w:line="300" w:lineRule="auto"/>
        <w:contextualSpacing/>
        <w:outlineLvl w:val="3"/>
        <w:rPr>
          <w:rFonts w:ascii="黑体" w:hAnsi="黑体" w:eastAsia="黑体"/>
          <w:color w:val="000000" w:themeColor="text1"/>
          <w:spacing w:val="-6"/>
          <w:kern w:val="0"/>
          <w:szCs w:val="21"/>
          <w14:textFill>
            <w14:solidFill>
              <w14:schemeClr w14:val="tx1"/>
            </w14:solidFill>
          </w14:textFill>
        </w:rPr>
      </w:pPr>
    </w:p>
    <w:p w14:paraId="4DBE1A6C">
      <w:pPr>
        <w:widowControl/>
        <w:spacing w:before="156" w:beforeLines="50" w:after="156" w:afterLines="50" w:line="300" w:lineRule="auto"/>
        <w:contextualSpacing/>
        <w:outlineLvl w:val="3"/>
        <w:rPr>
          <w:rFonts w:hint="eastAsia" w:ascii="黑体" w:hAnsi="黑体" w:eastAsia="黑体"/>
          <w:color w:val="000000" w:themeColor="text1"/>
          <w:spacing w:val="-6"/>
          <w:kern w:val="0"/>
          <w:szCs w:val="21"/>
          <w14:textFill>
            <w14:solidFill>
              <w14:schemeClr w14:val="tx1"/>
            </w14:solidFill>
          </w14:textFill>
        </w:rPr>
      </w:pPr>
      <w:r>
        <w:rPr>
          <w:rFonts w:hint="eastAsia" w:ascii="黑体" w:hAnsi="黑体" w:eastAsia="黑体"/>
          <w:color w:val="000000" w:themeColor="text1"/>
          <w:spacing w:val="-6"/>
          <w:kern w:val="0"/>
          <w14:textFill>
            <w14:solidFill>
              <w14:schemeClr w14:val="tx1"/>
            </w14:solidFill>
          </w14:textFill>
        </w:rPr>
        <w:t>3.3.8</w:t>
      </w:r>
      <w:r>
        <w:rPr>
          <w:rFonts w:hint="eastAsia" w:hAnsi="黑体" w:eastAsia="黑体"/>
          <w:color w:val="000000" w:themeColor="text1"/>
          <w:spacing w:val="-6"/>
          <w:kern w:val="0"/>
          <w14:textFill>
            <w14:solidFill>
              <w14:schemeClr w14:val="tx1"/>
            </w14:solidFill>
          </w14:textFill>
        </w:rPr>
        <w:t xml:space="preserve">  </w:t>
      </w:r>
      <w:r>
        <w:rPr>
          <w:rFonts w:hint="eastAsia" w:ascii="黑体" w:hAnsi="黑体" w:eastAsia="黑体"/>
          <w:color w:val="000000" w:themeColor="text1"/>
          <w:spacing w:val="-6"/>
          <w:kern w:val="0"/>
          <w:szCs w:val="21"/>
          <w14:textFill>
            <w14:solidFill>
              <w14:schemeClr w14:val="tx1"/>
            </w14:solidFill>
          </w14:textFill>
        </w:rPr>
        <w:t>中铝洛阳铜加工有限公司</w:t>
      </w:r>
    </w:p>
    <w:p w14:paraId="15A8F7C8">
      <w:pPr>
        <w:widowControl/>
        <w:spacing w:before="156" w:beforeLines="50" w:after="156" w:afterLines="50" w:line="300" w:lineRule="auto"/>
        <w:contextualSpacing/>
        <w:outlineLvl w:val="3"/>
        <w:rPr>
          <w:rFonts w:ascii="黑体" w:hAnsi="黑体" w:eastAsia="黑体"/>
          <w:color w:val="000000" w:themeColor="text1"/>
          <w:spacing w:val="-6"/>
          <w:kern w:val="0"/>
          <w:szCs w:val="21"/>
          <w14:textFill>
            <w14:solidFill>
              <w14:schemeClr w14:val="tx1"/>
            </w14:solidFill>
          </w14:textFill>
        </w:rPr>
      </w:pPr>
    </w:p>
    <w:p w14:paraId="47DC8D00">
      <w:pPr>
        <w:widowControl/>
        <w:spacing w:before="156" w:beforeLines="50" w:after="156" w:afterLines="50" w:line="300" w:lineRule="auto"/>
        <w:contextualSpacing/>
        <w:outlineLvl w:val="3"/>
        <w:rPr>
          <w:rFonts w:hint="eastAsia" w:ascii="黑体" w:hAnsi="黑体" w:eastAsia="黑体"/>
          <w:color w:val="000000" w:themeColor="text1"/>
          <w:spacing w:val="-6"/>
          <w:kern w:val="0"/>
          <w:szCs w:val="21"/>
          <w14:textFill>
            <w14:solidFill>
              <w14:schemeClr w14:val="tx1"/>
            </w14:solidFill>
          </w14:textFill>
        </w:rPr>
      </w:pPr>
      <w:r>
        <w:rPr>
          <w:rFonts w:hint="eastAsia" w:ascii="黑体" w:hAnsi="黑体" w:eastAsia="黑体"/>
          <w:color w:val="000000" w:themeColor="text1"/>
          <w:spacing w:val="-6"/>
          <w:kern w:val="0"/>
          <w14:textFill>
            <w14:solidFill>
              <w14:schemeClr w14:val="tx1"/>
            </w14:solidFill>
          </w14:textFill>
        </w:rPr>
        <w:t>3.3.9</w:t>
      </w:r>
      <w:r>
        <w:rPr>
          <w:rFonts w:hint="eastAsia" w:hAnsi="黑体" w:eastAsia="黑体"/>
          <w:color w:val="000000" w:themeColor="text1"/>
          <w:spacing w:val="-6"/>
          <w:kern w:val="0"/>
          <w14:textFill>
            <w14:solidFill>
              <w14:schemeClr w14:val="tx1"/>
            </w14:solidFill>
          </w14:textFill>
        </w:rPr>
        <w:t xml:space="preserve">  </w:t>
      </w:r>
      <w:r>
        <w:rPr>
          <w:rFonts w:hint="eastAsia" w:ascii="黑体" w:hAnsi="黑体" w:eastAsia="黑体"/>
          <w:color w:val="000000" w:themeColor="text1"/>
          <w:spacing w:val="-6"/>
          <w:kern w:val="0"/>
          <w:szCs w:val="21"/>
          <w14:textFill>
            <w14:solidFill>
              <w14:schemeClr w14:val="tx1"/>
            </w14:solidFill>
          </w14:textFill>
        </w:rPr>
        <w:t>国合通用（重庆）测试评价认证有限公司</w:t>
      </w:r>
    </w:p>
    <w:p w14:paraId="6333CCD7">
      <w:pPr>
        <w:widowControl/>
        <w:spacing w:before="156" w:beforeLines="50" w:after="156" w:afterLines="50" w:line="300" w:lineRule="auto"/>
        <w:contextualSpacing/>
        <w:outlineLvl w:val="3"/>
        <w:rPr>
          <w:rFonts w:ascii="黑体" w:hAnsi="黑体" w:eastAsia="黑体"/>
          <w:color w:val="000000" w:themeColor="text1"/>
          <w:spacing w:val="-6"/>
          <w:kern w:val="0"/>
          <w:szCs w:val="21"/>
          <w14:textFill>
            <w14:solidFill>
              <w14:schemeClr w14:val="tx1"/>
            </w14:solidFill>
          </w14:textFill>
        </w:rPr>
      </w:pPr>
    </w:p>
    <w:p w14:paraId="69BE8ED3">
      <w:pPr>
        <w:widowControl/>
        <w:spacing w:before="156" w:beforeLines="50" w:after="156" w:afterLines="50" w:line="300" w:lineRule="auto"/>
        <w:contextualSpacing/>
        <w:outlineLvl w:val="3"/>
        <w:rPr>
          <w:rFonts w:hint="eastAsia" w:ascii="黑体" w:hAnsi="黑体" w:eastAsia="黑体"/>
          <w:color w:val="000000" w:themeColor="text1"/>
          <w:spacing w:val="-6"/>
          <w:kern w:val="0"/>
          <w:szCs w:val="21"/>
          <w14:textFill>
            <w14:solidFill>
              <w14:schemeClr w14:val="tx1"/>
            </w14:solidFill>
          </w14:textFill>
        </w:rPr>
      </w:pPr>
      <w:r>
        <w:rPr>
          <w:rFonts w:hint="eastAsia" w:ascii="黑体" w:hAnsi="黑体" w:eastAsia="黑体"/>
          <w:color w:val="000000" w:themeColor="text1"/>
          <w:spacing w:val="-6"/>
          <w:kern w:val="0"/>
          <w14:textFill>
            <w14:solidFill>
              <w14:schemeClr w14:val="tx1"/>
            </w14:solidFill>
          </w14:textFill>
        </w:rPr>
        <w:t>3.3.10</w:t>
      </w:r>
      <w:r>
        <w:rPr>
          <w:rFonts w:hint="eastAsia" w:hAnsi="黑体" w:eastAsia="黑体"/>
          <w:color w:val="000000" w:themeColor="text1"/>
          <w:spacing w:val="-6"/>
          <w:kern w:val="0"/>
          <w14:textFill>
            <w14:solidFill>
              <w14:schemeClr w14:val="tx1"/>
            </w14:solidFill>
          </w14:textFill>
        </w:rPr>
        <w:t xml:space="preserve">  </w:t>
      </w:r>
      <w:r>
        <w:rPr>
          <w:rFonts w:hint="eastAsia" w:ascii="黑体" w:hAnsi="黑体" w:eastAsia="黑体"/>
          <w:color w:val="000000" w:themeColor="text1"/>
          <w:spacing w:val="-6"/>
          <w:kern w:val="0"/>
          <w:szCs w:val="21"/>
          <w14:textFill>
            <w14:solidFill>
              <w14:schemeClr w14:val="tx1"/>
            </w14:solidFill>
          </w14:textFill>
        </w:rPr>
        <w:t>上海有色金属工业技术监测中心有限公司</w:t>
      </w:r>
    </w:p>
    <w:p w14:paraId="040D878E">
      <w:pPr>
        <w:widowControl/>
        <w:spacing w:before="156" w:beforeLines="50" w:after="156" w:afterLines="50" w:line="300" w:lineRule="auto"/>
        <w:contextualSpacing/>
        <w:outlineLvl w:val="3"/>
        <w:rPr>
          <w:rFonts w:hint="eastAsia" w:ascii="黑体" w:hAnsi="黑体" w:eastAsia="黑体"/>
          <w:color w:val="000000" w:themeColor="text1"/>
          <w:spacing w:val="-6"/>
          <w:kern w:val="0"/>
          <w:szCs w:val="21"/>
          <w14:textFill>
            <w14:solidFill>
              <w14:schemeClr w14:val="tx1"/>
            </w14:solidFill>
          </w14:textFill>
        </w:rPr>
      </w:pPr>
    </w:p>
    <w:bookmarkEnd w:id="7"/>
    <w:p w14:paraId="29999754">
      <w:pPr>
        <w:pStyle w:val="58"/>
        <w:spacing w:line="360" w:lineRule="auto"/>
        <w:ind w:firstLine="420"/>
        <w:rPr>
          <w:rFonts w:hint="eastAsia"/>
        </w:rPr>
      </w:pPr>
    </w:p>
    <w:p w14:paraId="491BE9E1">
      <w:pPr>
        <w:pStyle w:val="4"/>
        <w:spacing w:before="156" w:after="156"/>
        <w:rPr>
          <w:b w:val="0"/>
          <w:bCs w:val="0"/>
        </w:rPr>
      </w:pPr>
      <w:bookmarkStart w:id="8" w:name="_Toc462884357"/>
      <w:bookmarkStart w:id="9" w:name="_Toc464728913"/>
      <w:r>
        <w:rPr>
          <w:rFonts w:hint="eastAsia"/>
          <w:b w:val="0"/>
          <w:bCs w:val="0"/>
        </w:rPr>
        <w:t>4.主要工作过程</w:t>
      </w:r>
      <w:bookmarkEnd w:id="8"/>
      <w:bookmarkEnd w:id="9"/>
    </w:p>
    <w:p w14:paraId="4EE843EA">
      <w:pPr>
        <w:spacing w:line="400" w:lineRule="exact"/>
        <w:ind w:firstLine="420" w:firstLineChars="200"/>
      </w:pPr>
      <w:bookmarkStart w:id="10" w:name="_Hlk134448643"/>
      <w:r>
        <w:rPr>
          <w:rFonts w:hint="eastAsia"/>
          <w:bCs/>
        </w:rPr>
        <w:t>西南铝业（集团）有限责任公司于2025年7月接到有色金属行业计量技术委员会转发下达的制定任务后，成立了计量规范编制组。对计量技术规范编写工作进行了部署和分工，制定了制定原则及计划工作。本项目主要工作过程经过了以下几个阶段</w:t>
      </w:r>
      <w:r>
        <w:rPr>
          <w:rFonts w:hint="eastAsia"/>
        </w:rPr>
        <w:t>：</w:t>
      </w:r>
    </w:p>
    <w:p w14:paraId="3F82466B">
      <w:pPr>
        <w:spacing w:line="400" w:lineRule="exact"/>
        <w:ind w:firstLine="420" w:firstLineChars="200"/>
      </w:pPr>
      <w:r>
        <w:t>1</w:t>
      </w:r>
      <w:r>
        <w:rPr>
          <w:rFonts w:hint="eastAsia"/>
        </w:rPr>
        <w:t>）</w:t>
      </w:r>
      <w:r>
        <w:t>20</w:t>
      </w:r>
      <w:r>
        <w:rPr>
          <w:rFonts w:hint="eastAsia"/>
        </w:rPr>
        <w:t>25年</w:t>
      </w:r>
      <w:r>
        <w:rPr>
          <w:rFonts w:hint="eastAsia"/>
          <w:lang w:val="en-US" w:eastAsia="zh-CN"/>
        </w:rPr>
        <w:t>9</w:t>
      </w:r>
      <w:r>
        <w:rPr>
          <w:rFonts w:hint="eastAsia"/>
        </w:rPr>
        <w:t>月</w:t>
      </w:r>
      <w:r>
        <w:rPr>
          <w:rFonts w:hint="eastAsia"/>
          <w:lang w:val="en-US" w:eastAsia="zh-CN"/>
        </w:rPr>
        <w:t>在陕西省西安市召开了有色金属行业计量技术工作会议，会议对规范的起草进行了任务落实，</w:t>
      </w:r>
      <w:r>
        <w:rPr>
          <w:rFonts w:hint="eastAsia"/>
        </w:rPr>
        <w:t>成立了计量规范编制组，明确了编制组成员各自的工作内容和任务。</w:t>
      </w:r>
    </w:p>
    <w:p w14:paraId="03D44B9E">
      <w:pPr>
        <w:spacing w:line="400" w:lineRule="exact"/>
        <w:ind w:firstLine="420" w:firstLineChars="200"/>
      </w:pPr>
      <w:r>
        <w:rPr>
          <w:rFonts w:hint="eastAsia"/>
          <w:lang w:val="en-US" w:eastAsia="zh-CN"/>
        </w:rPr>
        <w:t>2）</w:t>
      </w:r>
      <w:r>
        <w:rPr>
          <w:rFonts w:hint="eastAsia"/>
        </w:rPr>
        <w:t>2025年</w:t>
      </w:r>
      <w:r>
        <w:rPr>
          <w:rFonts w:hint="eastAsia"/>
          <w:lang w:val="en-US" w:eastAsia="zh-CN"/>
        </w:rPr>
        <w:t>9</w:t>
      </w:r>
      <w:r>
        <w:rPr>
          <w:rFonts w:hint="eastAsia"/>
        </w:rPr>
        <w:t>月～2026年5月计量规范编制组成员对有色金属涡流电导率仪</w:t>
      </w:r>
      <w:r>
        <w:rPr>
          <w:rFonts w:hint="eastAsia"/>
          <w:szCs w:val="21"/>
        </w:rPr>
        <w:t>校准规范</w:t>
      </w:r>
      <w:r>
        <w:rPr>
          <w:rFonts w:hint="eastAsia"/>
        </w:rPr>
        <w:t>中的计量特性及校准方法进行了讨论，确定了校准项目和方法，在2025年5月形成了计量规范讨论稿。</w:t>
      </w:r>
    </w:p>
    <w:bookmarkEnd w:id="10"/>
    <w:p w14:paraId="0265B096">
      <w:pPr>
        <w:pStyle w:val="2"/>
        <w:spacing w:before="156" w:after="156"/>
        <w:rPr>
          <w:b w:val="0"/>
          <w:bCs w:val="0"/>
        </w:rPr>
      </w:pPr>
      <w:r>
        <w:rPr>
          <w:rFonts w:hint="eastAsia"/>
          <w:b w:val="0"/>
          <w:bCs w:val="0"/>
        </w:rPr>
        <w:t>二、编制原则和依据</w:t>
      </w:r>
    </w:p>
    <w:p w14:paraId="12342936">
      <w:pPr>
        <w:pStyle w:val="3"/>
        <w:spacing w:before="156" w:after="156"/>
        <w:rPr>
          <w:b w:val="0"/>
          <w:bCs w:val="0"/>
        </w:rPr>
      </w:pPr>
      <w:bookmarkStart w:id="11" w:name="_Toc464728925"/>
      <w:r>
        <w:rPr>
          <w:rFonts w:hint="eastAsia"/>
          <w:b w:val="0"/>
          <w:bCs w:val="0"/>
        </w:rPr>
        <w:t>（一）编制原则</w:t>
      </w:r>
      <w:bookmarkEnd w:id="11"/>
    </w:p>
    <w:p w14:paraId="761DB15E">
      <w:pPr>
        <w:spacing w:line="400" w:lineRule="exact"/>
        <w:ind w:firstLine="420" w:firstLineChars="200"/>
        <w:rPr>
          <w:szCs w:val="21"/>
        </w:rPr>
      </w:pPr>
      <w:bookmarkStart w:id="12" w:name="_Toc464728926"/>
      <w:r>
        <w:rPr>
          <w:rFonts w:hint="eastAsia"/>
          <w:szCs w:val="21"/>
        </w:rPr>
        <w:t>本规范是以JJF 1071-2010《国家计量校准规范编写规则》、JJF 1001-2011《通用计量术语及定义》和JJF 1059.1-2012《测量不确定度评定与表示》为基础性系列规范进行编写。</w:t>
      </w:r>
    </w:p>
    <w:p w14:paraId="6C2A4F31">
      <w:pPr>
        <w:spacing w:line="400" w:lineRule="exact"/>
        <w:ind w:firstLine="420" w:firstLineChars="200"/>
        <w:rPr>
          <w:szCs w:val="21"/>
        </w:rPr>
      </w:pPr>
      <w:r>
        <w:rPr>
          <w:rFonts w:hint="eastAsia"/>
          <w:szCs w:val="21"/>
        </w:rPr>
        <w:t>本规范参考了GBT 12966-2022《铝及铝合金电导率涡流测试方法》、JJF 1692-2018《涡流电导率仪校准规范》、JJG（民航）0092-2006《涡流电导率测试仪检定规程》、MIL-STD-1537C《采用涡流方式验证铝合金热处理后的涡流电导率的标准测试方法》、BAC5651《涡流电导率检测》、ASTM E1004 《涡流法测定材料电导率》的技术内容，对涡流电导率仪计量特性进行了详细描述，对有色金属涡流电导率仪</w:t>
      </w:r>
      <w:r>
        <w:rPr>
          <w:rFonts w:hint="eastAsia" w:asciiTheme="minorEastAsia" w:hAnsiTheme="minorEastAsia" w:eastAsiaTheme="minorEastAsia" w:cstheme="minorEastAsia"/>
          <w:bCs/>
          <w:szCs w:val="21"/>
        </w:rPr>
        <w:t>校准规范</w:t>
      </w:r>
      <w:r>
        <w:rPr>
          <w:rFonts w:hint="eastAsia"/>
          <w:szCs w:val="21"/>
        </w:rPr>
        <w:t>的校准方法和误差计算方法进行了详细的描述；对校准标准装置进行了详细的规定，对校准点也明确列出规定。</w:t>
      </w:r>
    </w:p>
    <w:p w14:paraId="2E2D084F">
      <w:pPr>
        <w:pStyle w:val="3"/>
        <w:spacing w:before="156" w:after="156"/>
        <w:rPr>
          <w:rFonts w:hint="eastAsia" w:ascii="宋体" w:hAnsi="宋体"/>
          <w:b w:val="0"/>
          <w:bCs w:val="0"/>
        </w:rPr>
      </w:pPr>
      <w:r>
        <w:rPr>
          <w:rFonts w:hint="eastAsia"/>
          <w:b w:val="0"/>
          <w:bCs w:val="0"/>
        </w:rPr>
        <w:t>（二）确定主要内</w:t>
      </w:r>
      <w:bookmarkEnd w:id="12"/>
      <w:r>
        <w:rPr>
          <w:rFonts w:hint="eastAsia"/>
          <w:b w:val="0"/>
          <w:bCs w:val="0"/>
        </w:rPr>
        <w:t>容</w:t>
      </w:r>
    </w:p>
    <w:p w14:paraId="10A47BC5">
      <w:pPr>
        <w:pStyle w:val="4"/>
        <w:spacing w:before="156" w:after="156"/>
        <w:rPr>
          <w:b w:val="0"/>
          <w:bCs w:val="0"/>
        </w:rPr>
      </w:pPr>
      <w:bookmarkStart w:id="13" w:name="_Toc193860208"/>
      <w:bookmarkStart w:id="14" w:name="_Toc23837_WPSOffice_Level1"/>
      <w:bookmarkStart w:id="15" w:name="_Toc500258929"/>
      <w:bookmarkStart w:id="16" w:name="_Toc193860027"/>
      <w:bookmarkStart w:id="17" w:name="_Toc193860177"/>
      <w:bookmarkStart w:id="18" w:name="_Toc464728964"/>
      <w:r>
        <w:rPr>
          <w:rFonts w:hint="eastAsia"/>
          <w:b w:val="0"/>
          <w:bCs w:val="0"/>
        </w:rPr>
        <w:t>1范围</w:t>
      </w:r>
      <w:bookmarkEnd w:id="13"/>
      <w:bookmarkEnd w:id="14"/>
      <w:bookmarkEnd w:id="15"/>
      <w:bookmarkEnd w:id="16"/>
      <w:bookmarkEnd w:id="17"/>
    </w:p>
    <w:p w14:paraId="112CE978">
      <w:pPr>
        <w:spacing w:line="400" w:lineRule="exact"/>
        <w:ind w:firstLine="420" w:firstLineChars="200"/>
        <w:rPr>
          <w:rFonts w:eastAsiaTheme="minorEastAsia"/>
          <w:kern w:val="0"/>
          <w:szCs w:val="21"/>
        </w:rPr>
      </w:pPr>
      <w:r>
        <w:rPr>
          <w:rFonts w:hint="eastAsia" w:ascii="宋体" w:hAnsi="宋体" w:cs="宋体"/>
          <w:bCs/>
          <w:szCs w:val="21"/>
        </w:rPr>
        <w:t>本规范适用于量程为0.5MS/m～60.5MS/m（0.9%IACS～104%IACS）的测量有色金属电导率的涡流电导率仪的校准</w:t>
      </w:r>
      <w:r>
        <w:rPr>
          <w:rFonts w:hint="eastAsia" w:eastAsiaTheme="minorEastAsia"/>
          <w:kern w:val="0"/>
          <w:szCs w:val="21"/>
        </w:rPr>
        <w:t>。</w:t>
      </w:r>
    </w:p>
    <w:p w14:paraId="03055D37">
      <w:pPr>
        <w:pStyle w:val="4"/>
        <w:spacing w:before="156" w:after="156"/>
        <w:rPr>
          <w:b w:val="0"/>
          <w:bCs w:val="0"/>
        </w:rPr>
      </w:pPr>
      <w:bookmarkStart w:id="19" w:name="_Toc193860028"/>
      <w:bookmarkStart w:id="20" w:name="_Toc193860178"/>
      <w:bookmarkStart w:id="21" w:name="_Toc193860209"/>
      <w:bookmarkStart w:id="22" w:name="_Toc7848_WPSOffice_Level1"/>
      <w:bookmarkStart w:id="23" w:name="_Toc500258930"/>
      <w:r>
        <w:rPr>
          <w:rFonts w:hint="eastAsia"/>
          <w:b w:val="0"/>
          <w:bCs w:val="0"/>
        </w:rPr>
        <w:t>2 引用文</w:t>
      </w:r>
      <w:bookmarkEnd w:id="19"/>
      <w:bookmarkEnd w:id="20"/>
      <w:bookmarkEnd w:id="21"/>
      <w:r>
        <w:rPr>
          <w:rFonts w:hint="eastAsia"/>
          <w:b w:val="0"/>
          <w:bCs w:val="0"/>
        </w:rPr>
        <w:t>件</w:t>
      </w:r>
      <w:bookmarkEnd w:id="22"/>
      <w:bookmarkEnd w:id="23"/>
    </w:p>
    <w:p w14:paraId="19600CDF">
      <w:pPr>
        <w:spacing w:line="400" w:lineRule="exact"/>
        <w:ind w:firstLine="420" w:firstLineChars="200"/>
        <w:rPr>
          <w:rFonts w:hint="eastAsia" w:ascii="宋体" w:hAnsi="宋体"/>
          <w:kern w:val="0"/>
          <w:szCs w:val="20"/>
        </w:rPr>
      </w:pPr>
      <w:r>
        <w:rPr>
          <w:rFonts w:hint="eastAsia" w:ascii="宋体" w:hAnsi="宋体"/>
          <w:kern w:val="0"/>
          <w:szCs w:val="20"/>
        </w:rPr>
        <w:t>本规范引用了下列文件：</w:t>
      </w:r>
    </w:p>
    <w:p w14:paraId="14DA8F2C">
      <w:pPr>
        <w:spacing w:line="400" w:lineRule="exact"/>
        <w:ind w:firstLine="420" w:firstLineChars="200"/>
        <w:rPr>
          <w:rFonts w:hint="eastAsia" w:ascii="宋体" w:hAnsi="宋体"/>
          <w:kern w:val="0"/>
          <w:szCs w:val="20"/>
        </w:rPr>
      </w:pPr>
      <w:r>
        <w:rPr>
          <w:rFonts w:hint="eastAsia" w:ascii="宋体" w:hAnsi="宋体"/>
          <w:kern w:val="0"/>
          <w:szCs w:val="20"/>
        </w:rPr>
        <w:t>JJF 1692-2018 涡流电导率仪校准规范</w:t>
      </w:r>
    </w:p>
    <w:p w14:paraId="1FB33B64">
      <w:pPr>
        <w:spacing w:line="400" w:lineRule="exact"/>
        <w:ind w:firstLine="420" w:firstLineChars="200"/>
        <w:rPr>
          <w:rFonts w:hint="eastAsia" w:ascii="宋体" w:hAnsi="宋体"/>
          <w:kern w:val="0"/>
          <w:szCs w:val="20"/>
        </w:rPr>
      </w:pPr>
      <w:r>
        <w:rPr>
          <w:rFonts w:hint="eastAsia" w:ascii="宋体" w:hAnsi="宋体"/>
          <w:kern w:val="0"/>
          <w:szCs w:val="20"/>
        </w:rPr>
        <w:t>BAC5651 涡流电导率检测</w:t>
      </w:r>
    </w:p>
    <w:p w14:paraId="39FA2BD8">
      <w:pPr>
        <w:spacing w:line="400" w:lineRule="exact"/>
        <w:ind w:firstLine="420" w:firstLineChars="200"/>
        <w:rPr>
          <w:rFonts w:hint="eastAsia" w:ascii="宋体" w:hAnsi="宋体"/>
          <w:kern w:val="0"/>
          <w:szCs w:val="20"/>
        </w:rPr>
      </w:pPr>
      <w:r>
        <w:rPr>
          <w:rFonts w:hint="eastAsia" w:ascii="宋体" w:hAnsi="宋体"/>
          <w:kern w:val="0"/>
          <w:szCs w:val="20"/>
        </w:rPr>
        <w:t>GBT 12966-2022 铝及铝合金电导率涡流测试方法</w:t>
      </w:r>
    </w:p>
    <w:p w14:paraId="4D70C001">
      <w:pPr>
        <w:spacing w:line="400" w:lineRule="exact"/>
        <w:ind w:firstLine="420" w:firstLineChars="200"/>
        <w:rPr>
          <w:rFonts w:hint="eastAsia" w:ascii="宋体" w:hAnsi="宋体"/>
          <w:kern w:val="0"/>
          <w:szCs w:val="20"/>
        </w:rPr>
      </w:pPr>
      <w:r>
        <w:rPr>
          <w:rFonts w:hint="eastAsia" w:ascii="宋体" w:hAnsi="宋体"/>
          <w:kern w:val="0"/>
          <w:szCs w:val="20"/>
        </w:rPr>
        <w:t>JJG（民航）0092-2006 涡流电导率测试仪检定规程</w:t>
      </w:r>
    </w:p>
    <w:p w14:paraId="442A3FB1">
      <w:pPr>
        <w:spacing w:line="400" w:lineRule="exact"/>
        <w:ind w:firstLine="420" w:firstLineChars="200"/>
        <w:rPr>
          <w:rFonts w:eastAsiaTheme="minorEastAsia"/>
          <w:kern w:val="0"/>
          <w:szCs w:val="21"/>
        </w:rPr>
      </w:pPr>
      <w:r>
        <w:rPr>
          <w:rFonts w:hint="eastAsia" w:ascii="宋体" w:hAnsi="宋体"/>
          <w:kern w:val="0"/>
          <w:szCs w:val="20"/>
        </w:rPr>
        <w:t>凡是注日期的引用文件，仅注日期的版本适用于本规范；凡是不注日期的引用文件，其最新版本（包括所有的修改单）适用于本规范。</w:t>
      </w:r>
      <w:r>
        <w:rPr>
          <w:rFonts w:hint="eastAsia" w:eastAsiaTheme="minorEastAsia"/>
          <w:kern w:val="0"/>
          <w:szCs w:val="21"/>
        </w:rPr>
        <w:t>。</w:t>
      </w:r>
    </w:p>
    <w:p w14:paraId="177F976A">
      <w:pPr>
        <w:pStyle w:val="4"/>
        <w:spacing w:before="156" w:after="156"/>
        <w:rPr>
          <w:b w:val="0"/>
          <w:bCs w:val="0"/>
        </w:rPr>
      </w:pPr>
      <w:bookmarkStart w:id="24" w:name="_Toc193860180"/>
      <w:bookmarkStart w:id="25" w:name="_Toc193860030"/>
      <w:bookmarkStart w:id="26" w:name="_Toc193860211"/>
      <w:bookmarkStart w:id="27" w:name="_Toc193619055"/>
      <w:bookmarkStart w:id="28" w:name="_Toc193618952"/>
      <w:bookmarkStart w:id="29" w:name="_Toc500258937"/>
      <w:bookmarkStart w:id="30" w:name="_Toc193619097"/>
      <w:bookmarkStart w:id="31" w:name="_Toc13054_WPSOffice_Level1"/>
      <w:r>
        <w:rPr>
          <w:rFonts w:hint="eastAsia"/>
          <w:b w:val="0"/>
          <w:bCs w:val="0"/>
        </w:rPr>
        <w:t>3术语</w:t>
      </w:r>
    </w:p>
    <w:p w14:paraId="47F10F96">
      <w:pPr>
        <w:widowControl/>
        <w:autoSpaceDE w:val="0"/>
        <w:autoSpaceDN w:val="0"/>
        <w:spacing w:line="360" w:lineRule="auto"/>
        <w:rPr>
          <w:kern w:val="0"/>
          <w:szCs w:val="21"/>
        </w:rPr>
      </w:pPr>
      <w:r>
        <w:rPr>
          <w:rFonts w:hint="eastAsia"/>
          <w:kern w:val="0"/>
          <w:szCs w:val="21"/>
        </w:rPr>
        <w:t>3.1 国际退火铜标准（IACS）</w:t>
      </w:r>
    </w:p>
    <w:p w14:paraId="05EFC503">
      <w:pPr>
        <w:widowControl/>
        <w:autoSpaceDE w:val="0"/>
        <w:autoSpaceDN w:val="0"/>
        <w:spacing w:line="360" w:lineRule="auto"/>
        <w:ind w:firstLine="420" w:firstLineChars="200"/>
        <w:rPr>
          <w:kern w:val="0"/>
          <w:szCs w:val="21"/>
        </w:rPr>
      </w:pPr>
      <w:r>
        <w:rPr>
          <w:rFonts w:hint="eastAsia"/>
          <w:kern w:val="0"/>
          <w:szCs w:val="21"/>
        </w:rPr>
        <w:t>在温度为20℃时，当均匀截面积为1mm</w:t>
      </w:r>
      <w:r>
        <w:rPr>
          <w:rFonts w:hint="eastAsia"/>
          <w:kern w:val="0"/>
          <w:szCs w:val="21"/>
          <w:vertAlign w:val="superscript"/>
        </w:rPr>
        <w:t>2</w:t>
      </w:r>
      <w:r>
        <w:rPr>
          <w:rFonts w:hint="eastAsia"/>
          <w:kern w:val="0"/>
          <w:szCs w:val="21"/>
        </w:rPr>
        <w:t>，长度为1m的铜线具有的电阻为（1/58）Ω时，规定它是100%的国际退火铜标准（即100%IACS），与国际单位制的换算公式如式（1）：</w:t>
      </w:r>
    </w:p>
    <w:p w14:paraId="5A65BD8F">
      <w:pPr>
        <w:widowControl/>
        <w:autoSpaceDE w:val="0"/>
        <w:autoSpaceDN w:val="0"/>
        <w:spacing w:line="360" w:lineRule="auto"/>
        <w:ind w:firstLine="1890" w:firstLineChars="900"/>
        <w:jc w:val="right"/>
        <w:rPr>
          <w:rFonts w:hint="eastAsia"/>
          <w:kern w:val="0"/>
          <w:szCs w:val="21"/>
        </w:rPr>
      </w:pPr>
      <w:r>
        <w:rPr>
          <w:rFonts w:hint="eastAsia"/>
          <w:kern w:val="0"/>
          <w:szCs w:val="21"/>
        </w:rPr>
        <w:t xml:space="preserve">100%IACS=58MS/m     </w:t>
      </w:r>
      <w:r>
        <w:rPr>
          <w:rFonts w:hint="eastAsia"/>
          <w:kern w:val="0"/>
          <w:szCs w:val="21"/>
          <w:lang w:val="en-US" w:eastAsia="zh-CN"/>
        </w:rPr>
        <w:t xml:space="preserve">   </w:t>
      </w:r>
      <w:r>
        <w:rPr>
          <w:rFonts w:hint="eastAsia"/>
          <w:kern w:val="0"/>
          <w:szCs w:val="21"/>
        </w:rPr>
        <w:t xml:space="preserve">                    （1）</w:t>
      </w:r>
    </w:p>
    <w:p w14:paraId="0C25FD01">
      <w:pPr>
        <w:widowControl/>
        <w:autoSpaceDE w:val="0"/>
        <w:autoSpaceDN w:val="0"/>
        <w:spacing w:line="360" w:lineRule="auto"/>
        <w:rPr>
          <w:rFonts w:hint="eastAsia"/>
          <w:kern w:val="0"/>
          <w:szCs w:val="21"/>
        </w:rPr>
      </w:pPr>
      <w:r>
        <w:rPr>
          <w:rFonts w:hint="eastAsia"/>
          <w:kern w:val="0"/>
          <w:szCs w:val="21"/>
        </w:rPr>
        <w:t>3.2 涡流</w:t>
      </w:r>
    </w:p>
    <w:p w14:paraId="2867D1FA">
      <w:pPr>
        <w:widowControl/>
        <w:autoSpaceDE w:val="0"/>
        <w:autoSpaceDN w:val="0"/>
        <w:spacing w:line="360" w:lineRule="auto"/>
        <w:ind w:firstLine="480"/>
        <w:rPr>
          <w:rFonts w:hint="eastAsia"/>
          <w:kern w:val="0"/>
          <w:szCs w:val="21"/>
        </w:rPr>
      </w:pPr>
      <w:r>
        <w:rPr>
          <w:rFonts w:hint="eastAsia"/>
          <w:kern w:val="0"/>
          <w:szCs w:val="21"/>
        </w:rPr>
        <w:t>由于外磁场在时间和空间上的变化而在导体表面及近表面产生的感应电流。</w:t>
      </w:r>
    </w:p>
    <w:p w14:paraId="31EF29A8">
      <w:pPr>
        <w:widowControl/>
        <w:autoSpaceDE w:val="0"/>
        <w:autoSpaceDN w:val="0"/>
        <w:spacing w:line="360" w:lineRule="auto"/>
        <w:rPr>
          <w:rFonts w:hint="eastAsia"/>
          <w:kern w:val="0"/>
          <w:szCs w:val="21"/>
        </w:rPr>
      </w:pPr>
      <w:r>
        <w:rPr>
          <w:rFonts w:hint="eastAsia"/>
          <w:kern w:val="0"/>
          <w:szCs w:val="21"/>
        </w:rPr>
        <w:t>3.3 标准渗透深度</w:t>
      </w:r>
    </w:p>
    <w:p w14:paraId="3F1DD099">
      <w:pPr>
        <w:widowControl/>
        <w:autoSpaceDE w:val="0"/>
        <w:autoSpaceDN w:val="0"/>
        <w:spacing w:line="360" w:lineRule="auto"/>
        <w:ind w:firstLine="480"/>
        <w:rPr>
          <w:rFonts w:hint="eastAsia"/>
          <w:kern w:val="0"/>
          <w:szCs w:val="21"/>
        </w:rPr>
      </w:pPr>
      <w:r>
        <w:rPr>
          <w:rFonts w:hint="eastAsia"/>
          <w:kern w:val="0"/>
          <w:szCs w:val="21"/>
        </w:rPr>
        <w:t>在涡流检测中，涡流密度降至样块表面层涡流密度的1/e（e为自然常数，数值约为2.71828）时的深度</w:t>
      </w:r>
      <w:r>
        <w:rPr>
          <w:kern w:val="0"/>
          <w:szCs w:val="21"/>
        </w:rPr>
        <w:drawing>
          <wp:inline distT="0" distB="0" distL="0" distR="0">
            <wp:extent cx="135890" cy="172085"/>
            <wp:effectExtent l="0" t="0" r="0" b="0"/>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5890" cy="172085"/>
                    </a:xfrm>
                    <a:prstGeom prst="rect">
                      <a:avLst/>
                    </a:prstGeom>
                    <a:noFill/>
                    <a:ln>
                      <a:noFill/>
                    </a:ln>
                  </pic:spPr>
                </pic:pic>
              </a:graphicData>
            </a:graphic>
          </wp:inline>
        </w:drawing>
      </w:r>
      <w:r>
        <w:rPr>
          <w:rFonts w:hint="eastAsia"/>
          <w:kern w:val="0"/>
          <w:szCs w:val="21"/>
        </w:rPr>
        <w:t>称为标准渗透深度，可用式（2）计算</w:t>
      </w:r>
    </w:p>
    <w:p w14:paraId="75D84AC1">
      <w:pPr>
        <w:widowControl/>
        <w:autoSpaceDE w:val="0"/>
        <w:autoSpaceDN w:val="0"/>
        <w:spacing w:line="360" w:lineRule="auto"/>
        <w:ind w:firstLine="2154" w:firstLineChars="1026"/>
        <w:jc w:val="right"/>
        <w:rPr>
          <w:rFonts w:hint="eastAsia"/>
          <w:kern w:val="0"/>
          <w:szCs w:val="21"/>
        </w:rPr>
      </w:pPr>
      <w:r>
        <w:rPr>
          <w:kern w:val="0"/>
          <w:szCs w:val="21"/>
        </w:rPr>
        <w:drawing>
          <wp:inline distT="0" distB="0" distL="0" distR="0">
            <wp:extent cx="973455" cy="457200"/>
            <wp:effectExtent l="0" t="0" r="0" b="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73455" cy="457200"/>
                    </a:xfrm>
                    <a:prstGeom prst="rect">
                      <a:avLst/>
                    </a:prstGeom>
                    <a:noFill/>
                    <a:ln>
                      <a:noFill/>
                    </a:ln>
                  </pic:spPr>
                </pic:pic>
              </a:graphicData>
            </a:graphic>
          </wp:inline>
        </w:drawing>
      </w:r>
      <w:r>
        <w:rPr>
          <w:rFonts w:hint="eastAsia"/>
          <w:kern w:val="0"/>
          <w:szCs w:val="21"/>
        </w:rPr>
        <w:t xml:space="preserve">                            （2）</w:t>
      </w:r>
    </w:p>
    <w:p w14:paraId="05B8D1C4">
      <w:pPr>
        <w:widowControl/>
        <w:autoSpaceDE w:val="0"/>
        <w:autoSpaceDN w:val="0"/>
        <w:spacing w:line="360" w:lineRule="auto"/>
        <w:ind w:firstLine="420" w:firstLineChars="200"/>
        <w:rPr>
          <w:rFonts w:hint="eastAsia"/>
          <w:kern w:val="0"/>
          <w:szCs w:val="21"/>
        </w:rPr>
      </w:pPr>
      <w:r>
        <w:rPr>
          <w:rFonts w:hint="eastAsia"/>
          <w:kern w:val="0"/>
          <w:szCs w:val="21"/>
        </w:rPr>
        <w:t>式中：</w:t>
      </w:r>
    </w:p>
    <w:p w14:paraId="1E54053A">
      <w:pPr>
        <w:widowControl/>
        <w:autoSpaceDE w:val="0"/>
        <w:autoSpaceDN w:val="0"/>
        <w:spacing w:line="360" w:lineRule="auto"/>
        <w:ind w:firstLine="420" w:firstLineChars="200"/>
        <w:rPr>
          <w:kern w:val="0"/>
          <w:szCs w:val="21"/>
        </w:rPr>
      </w:pPr>
      <w:r>
        <w:rPr>
          <w:kern w:val="0"/>
          <w:szCs w:val="21"/>
        </w:rPr>
        <w:drawing>
          <wp:inline distT="0" distB="0" distL="0" distR="0">
            <wp:extent cx="135890" cy="172085"/>
            <wp:effectExtent l="0" t="0" r="0" b="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5890" cy="172085"/>
                    </a:xfrm>
                    <a:prstGeom prst="rect">
                      <a:avLst/>
                    </a:prstGeom>
                    <a:noFill/>
                    <a:ln>
                      <a:noFill/>
                    </a:ln>
                  </pic:spPr>
                </pic:pic>
              </a:graphicData>
            </a:graphic>
          </wp:inline>
        </w:drawing>
      </w:r>
      <w:r>
        <w:rPr>
          <w:rFonts w:hint="eastAsia"/>
          <w:kern w:val="0"/>
          <w:szCs w:val="21"/>
        </w:rPr>
        <w:t>——标准渗透深度，m；</w:t>
      </w:r>
    </w:p>
    <w:p w14:paraId="18593E51">
      <w:pPr>
        <w:widowControl/>
        <w:autoSpaceDE w:val="0"/>
        <w:autoSpaceDN w:val="0"/>
        <w:spacing w:line="360" w:lineRule="auto"/>
        <w:ind w:firstLine="420" w:firstLineChars="200"/>
        <w:rPr>
          <w:kern w:val="0"/>
          <w:szCs w:val="21"/>
        </w:rPr>
      </w:pPr>
      <w:r>
        <w:rPr>
          <w:kern w:val="0"/>
          <w:szCs w:val="21"/>
        </w:rPr>
        <w:drawing>
          <wp:inline distT="0" distB="0" distL="0" distR="0">
            <wp:extent cx="153670" cy="135890"/>
            <wp:effectExtent l="0" t="0" r="0" b="0"/>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3670" cy="135890"/>
                    </a:xfrm>
                    <a:prstGeom prst="rect">
                      <a:avLst/>
                    </a:prstGeom>
                    <a:noFill/>
                    <a:ln>
                      <a:noFill/>
                    </a:ln>
                  </pic:spPr>
                </pic:pic>
              </a:graphicData>
            </a:graphic>
          </wp:inline>
        </w:drawing>
      </w:r>
      <w:r>
        <w:rPr>
          <w:rFonts w:hint="eastAsia"/>
          <w:kern w:val="0"/>
          <w:szCs w:val="21"/>
        </w:rPr>
        <w:t>——样块（标准块与仪器自校标准块）电导率，S/m；</w:t>
      </w:r>
    </w:p>
    <w:p w14:paraId="32B85E67">
      <w:pPr>
        <w:widowControl/>
        <w:autoSpaceDE w:val="0"/>
        <w:autoSpaceDN w:val="0"/>
        <w:spacing w:line="360" w:lineRule="auto"/>
        <w:ind w:firstLine="420" w:firstLineChars="200"/>
        <w:rPr>
          <w:kern w:val="0"/>
          <w:szCs w:val="21"/>
        </w:rPr>
      </w:pPr>
      <w:r>
        <w:rPr>
          <w:kern w:val="0"/>
          <w:szCs w:val="21"/>
        </w:rPr>
        <w:drawing>
          <wp:inline distT="0" distB="0" distL="0" distR="0">
            <wp:extent cx="153670" cy="199390"/>
            <wp:effectExtent l="0" t="0" r="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3670" cy="199390"/>
                    </a:xfrm>
                    <a:prstGeom prst="rect">
                      <a:avLst/>
                    </a:prstGeom>
                    <a:noFill/>
                    <a:ln>
                      <a:noFill/>
                    </a:ln>
                  </pic:spPr>
                </pic:pic>
              </a:graphicData>
            </a:graphic>
          </wp:inline>
        </w:drawing>
      </w:r>
      <w:r>
        <w:rPr>
          <w:rFonts w:hint="eastAsia"/>
          <w:kern w:val="0"/>
          <w:szCs w:val="21"/>
        </w:rPr>
        <w:t>——测试（探头激励源）频率，Hz；</w:t>
      </w:r>
    </w:p>
    <w:p w14:paraId="660A5900">
      <w:pPr>
        <w:widowControl/>
        <w:autoSpaceDE w:val="0"/>
        <w:autoSpaceDN w:val="0"/>
        <w:spacing w:line="360" w:lineRule="auto"/>
        <w:ind w:firstLine="420" w:firstLineChars="200"/>
        <w:rPr>
          <w:kern w:val="0"/>
          <w:szCs w:val="21"/>
        </w:rPr>
      </w:pPr>
      <w:r>
        <w:rPr>
          <w:kern w:val="0"/>
          <w:szCs w:val="21"/>
        </w:rPr>
        <w:drawing>
          <wp:inline distT="0" distB="0" distL="0" distR="0">
            <wp:extent cx="172085" cy="226060"/>
            <wp:effectExtent l="0" t="0" r="0" b="254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2085" cy="226060"/>
                    </a:xfrm>
                    <a:prstGeom prst="rect">
                      <a:avLst/>
                    </a:prstGeom>
                    <a:noFill/>
                    <a:ln>
                      <a:noFill/>
                    </a:ln>
                  </pic:spPr>
                </pic:pic>
              </a:graphicData>
            </a:graphic>
          </wp:inline>
        </w:drawing>
      </w:r>
      <w:r>
        <w:rPr>
          <w:rFonts w:hint="eastAsia"/>
          <w:kern w:val="0"/>
          <w:szCs w:val="21"/>
        </w:rPr>
        <w:t>——真空磁导率（</w:t>
      </w:r>
      <w:r>
        <w:rPr>
          <w:kern w:val="0"/>
          <w:szCs w:val="21"/>
        </w:rPr>
        <w:drawing>
          <wp:inline distT="0" distB="0" distL="0" distR="0">
            <wp:extent cx="873760" cy="240030"/>
            <wp:effectExtent l="0" t="0" r="2540" b="762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73760" cy="240030"/>
                    </a:xfrm>
                    <a:prstGeom prst="rect">
                      <a:avLst/>
                    </a:prstGeom>
                    <a:noFill/>
                    <a:ln>
                      <a:noFill/>
                    </a:ln>
                  </pic:spPr>
                </pic:pic>
              </a:graphicData>
            </a:graphic>
          </wp:inline>
        </w:drawing>
      </w:r>
      <w:r>
        <w:rPr>
          <w:rFonts w:hint="eastAsia"/>
          <w:kern w:val="0"/>
          <w:szCs w:val="21"/>
        </w:rPr>
        <w:t>），H/m；</w:t>
      </w:r>
    </w:p>
    <w:p w14:paraId="36054F0F">
      <w:pPr>
        <w:widowControl/>
        <w:autoSpaceDE w:val="0"/>
        <w:autoSpaceDN w:val="0"/>
        <w:spacing w:line="360" w:lineRule="auto"/>
        <w:ind w:firstLine="420" w:firstLineChars="200"/>
        <w:rPr>
          <w:kern w:val="0"/>
          <w:szCs w:val="21"/>
        </w:rPr>
      </w:pPr>
      <w:r>
        <w:rPr>
          <w:kern w:val="0"/>
          <w:szCs w:val="21"/>
        </w:rPr>
        <w:drawing>
          <wp:inline distT="0" distB="0" distL="0" distR="0">
            <wp:extent cx="163195" cy="208280"/>
            <wp:effectExtent l="0" t="0" r="8255" b="127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3195" cy="208280"/>
                    </a:xfrm>
                    <a:prstGeom prst="rect">
                      <a:avLst/>
                    </a:prstGeom>
                    <a:noFill/>
                    <a:ln>
                      <a:noFill/>
                    </a:ln>
                  </pic:spPr>
                </pic:pic>
              </a:graphicData>
            </a:graphic>
          </wp:inline>
        </w:drawing>
      </w:r>
      <w:r>
        <w:rPr>
          <w:rFonts w:hint="eastAsia"/>
          <w:kern w:val="0"/>
          <w:szCs w:val="21"/>
        </w:rPr>
        <w:t>——相对磁导率，对于非铁磁金属材料</w:t>
      </w:r>
      <w:r>
        <w:rPr>
          <w:kern w:val="0"/>
          <w:szCs w:val="21"/>
        </w:rPr>
        <w:drawing>
          <wp:inline distT="0" distB="0" distL="0" distR="0">
            <wp:extent cx="163195" cy="208280"/>
            <wp:effectExtent l="0" t="0" r="8255" b="127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3195" cy="208280"/>
                    </a:xfrm>
                    <a:prstGeom prst="rect">
                      <a:avLst/>
                    </a:prstGeom>
                    <a:noFill/>
                    <a:ln>
                      <a:noFill/>
                    </a:ln>
                  </pic:spPr>
                </pic:pic>
              </a:graphicData>
            </a:graphic>
          </wp:inline>
        </w:drawing>
      </w:r>
      <w:r>
        <w:rPr>
          <w:rFonts w:hint="eastAsia"/>
          <w:kern w:val="0"/>
          <w:szCs w:val="21"/>
        </w:rPr>
        <w:t>近似为1（实际按1计算），无量纲。</w:t>
      </w:r>
    </w:p>
    <w:p w14:paraId="04B6C82C">
      <w:pPr>
        <w:widowControl/>
        <w:autoSpaceDE w:val="0"/>
        <w:autoSpaceDN w:val="0"/>
        <w:spacing w:line="360" w:lineRule="auto"/>
        <w:rPr>
          <w:rFonts w:hint="eastAsia"/>
          <w:kern w:val="0"/>
          <w:szCs w:val="21"/>
        </w:rPr>
      </w:pPr>
      <w:r>
        <w:rPr>
          <w:rFonts w:hint="eastAsia"/>
          <w:kern w:val="0"/>
          <w:szCs w:val="21"/>
        </w:rPr>
        <w:t>3.4 提离效应</w:t>
      </w:r>
    </w:p>
    <w:p w14:paraId="7329EBAA">
      <w:pPr>
        <w:widowControl/>
        <w:autoSpaceDE w:val="0"/>
        <w:autoSpaceDN w:val="0"/>
        <w:spacing w:line="360" w:lineRule="auto"/>
        <w:ind w:firstLine="480"/>
        <w:rPr>
          <w:rFonts w:hint="eastAsia"/>
          <w:kern w:val="0"/>
          <w:szCs w:val="21"/>
        </w:rPr>
      </w:pPr>
      <w:r>
        <w:rPr>
          <w:rFonts w:hint="eastAsia"/>
          <w:kern w:val="0"/>
          <w:szCs w:val="21"/>
        </w:rPr>
        <w:t>涡流检测线圈与被检试件之间的距离改变时，其阻抗矢量产生变化的效应。</w:t>
      </w:r>
    </w:p>
    <w:p w14:paraId="2A42D4FE">
      <w:pPr>
        <w:widowControl/>
        <w:autoSpaceDE w:val="0"/>
        <w:autoSpaceDN w:val="0"/>
        <w:spacing w:line="360" w:lineRule="auto"/>
        <w:rPr>
          <w:rFonts w:hint="eastAsia"/>
          <w:kern w:val="0"/>
          <w:szCs w:val="21"/>
        </w:rPr>
      </w:pPr>
      <w:r>
        <w:rPr>
          <w:rFonts w:hint="eastAsia"/>
          <w:kern w:val="0"/>
          <w:szCs w:val="21"/>
        </w:rPr>
        <w:t>3.5 边缘效应</w:t>
      </w:r>
    </w:p>
    <w:p w14:paraId="60F1CE0B">
      <w:pPr>
        <w:widowControl/>
        <w:autoSpaceDE w:val="0"/>
        <w:autoSpaceDN w:val="0"/>
        <w:spacing w:line="360" w:lineRule="auto"/>
        <w:rPr>
          <w:rFonts w:hint="eastAsia"/>
          <w:kern w:val="0"/>
          <w:szCs w:val="21"/>
        </w:rPr>
      </w:pPr>
      <w:r>
        <w:rPr>
          <w:rFonts w:hint="eastAsia"/>
          <w:kern w:val="0"/>
          <w:szCs w:val="21"/>
        </w:rPr>
        <w:t xml:space="preserve">   在涡流检测中，由于试件几何形状的突变而产生的磁场和涡流的变化。</w:t>
      </w:r>
    </w:p>
    <w:p w14:paraId="4D542034">
      <w:pPr>
        <w:widowControl/>
        <w:autoSpaceDE w:val="0"/>
        <w:autoSpaceDN w:val="0"/>
        <w:spacing w:line="360" w:lineRule="auto"/>
        <w:rPr>
          <w:rFonts w:hint="default" w:eastAsia="宋体"/>
          <w:kern w:val="0"/>
          <w:szCs w:val="21"/>
          <w:lang w:val="en-US" w:eastAsia="zh-CN"/>
        </w:rPr>
      </w:pPr>
      <w:r>
        <w:rPr>
          <w:rFonts w:hint="eastAsia"/>
          <w:kern w:val="0"/>
          <w:szCs w:val="21"/>
          <w:lang w:val="en-US" w:eastAsia="zh-CN"/>
        </w:rPr>
        <w:t>这些术语引用自JJF 1692-2018 ：3术语和计量单位。</w:t>
      </w:r>
    </w:p>
    <w:p w14:paraId="23DA4AB6">
      <w:pPr>
        <w:pStyle w:val="4"/>
        <w:spacing w:before="156" w:after="156"/>
        <w:rPr>
          <w:b w:val="0"/>
          <w:bCs w:val="0"/>
        </w:rPr>
      </w:pPr>
      <w:r>
        <w:rPr>
          <w:rFonts w:hint="eastAsia"/>
          <w:b w:val="0"/>
          <w:bCs w:val="0"/>
        </w:rPr>
        <w:t>4 概述</w:t>
      </w:r>
      <w:bookmarkEnd w:id="24"/>
      <w:bookmarkEnd w:id="25"/>
      <w:bookmarkEnd w:id="26"/>
      <w:bookmarkEnd w:id="27"/>
      <w:bookmarkEnd w:id="28"/>
      <w:bookmarkEnd w:id="29"/>
      <w:bookmarkEnd w:id="30"/>
      <w:bookmarkEnd w:id="31"/>
    </w:p>
    <w:p w14:paraId="64321642">
      <w:pPr>
        <w:pStyle w:val="58"/>
        <w:spacing w:line="360" w:lineRule="auto"/>
        <w:ind w:firstLine="420"/>
        <w:rPr>
          <w:rFonts w:hint="eastAsia" w:ascii="Times New Roman" w:hAnsi="Times New Roman"/>
        </w:rPr>
      </w:pPr>
      <w:bookmarkStart w:id="32" w:name="_Toc193860031"/>
      <w:bookmarkStart w:id="33" w:name="_Toc500258938"/>
      <w:bookmarkStart w:id="34" w:name="_Toc193860212"/>
      <w:bookmarkStart w:id="35" w:name="_Toc19851_WPSOffice_Level1"/>
      <w:bookmarkStart w:id="36" w:name="_Toc193619056"/>
      <w:bookmarkStart w:id="37" w:name="_Toc193860181"/>
      <w:bookmarkStart w:id="38" w:name="_Toc193619098"/>
      <w:bookmarkStart w:id="39" w:name="_Toc193618953"/>
      <w:r>
        <w:rPr>
          <w:rFonts w:hint="eastAsia" w:ascii="Times New Roman" w:hAnsi="Times New Roman"/>
        </w:rPr>
        <w:t>涡流电导率仪（以下简称电导率仪）是用于测量非铁磁金属电导率的仪器，采用电磁感应原理。绕制电感线圈探头，接触并施加交变磁场作用于被测金属表面，使其产生感应涡流，该涡流所产生的磁场又反作用于探头线圈，使线圈阻抗改变，通过确定阻抗变化量来测定被测金属电导率。</w:t>
      </w:r>
    </w:p>
    <w:p w14:paraId="708CBCDD">
      <w:pPr>
        <w:pStyle w:val="58"/>
        <w:spacing w:line="360" w:lineRule="auto"/>
        <w:ind w:firstLine="420"/>
        <w:rPr>
          <w:rFonts w:hint="eastAsia" w:ascii="Times New Roman" w:hAnsi="Times New Roman"/>
        </w:rPr>
      </w:pPr>
      <w:r>
        <w:rPr>
          <w:rFonts w:hint="eastAsia" w:ascii="Times New Roman" w:hAnsi="Times New Roman"/>
        </w:rPr>
        <w:t>电导率仪测试频率一般在50kHz～500kHz，常用频率为60kHz。</w:t>
      </w:r>
    </w:p>
    <w:p w14:paraId="623650C9">
      <w:pPr>
        <w:pStyle w:val="58"/>
        <w:spacing w:line="360" w:lineRule="auto"/>
        <w:ind w:firstLine="420"/>
        <w:rPr>
          <w:rFonts w:hint="eastAsia" w:ascii="Times New Roman" w:hAnsi="Times New Roman"/>
        </w:rPr>
      </w:pPr>
      <w:r>
        <w:rPr>
          <w:rFonts w:hint="eastAsia" w:ascii="Times New Roman" w:hAnsi="Times New Roman"/>
        </w:rPr>
        <w:t>电导率仪按测试范围分为Ⅰ类、Ⅱ类、Ⅲ类：</w:t>
      </w:r>
    </w:p>
    <w:p w14:paraId="58C61B71">
      <w:pPr>
        <w:pStyle w:val="58"/>
        <w:spacing w:line="360" w:lineRule="auto"/>
        <w:ind w:firstLine="420"/>
        <w:rPr>
          <w:rFonts w:hint="eastAsia" w:ascii="Times New Roman" w:hAnsi="Times New Roman"/>
        </w:rPr>
      </w:pPr>
      <w:r>
        <w:rPr>
          <w:rFonts w:hint="eastAsia" w:ascii="Times New Roman" w:hAnsi="Times New Roman"/>
        </w:rPr>
        <w:t>Ⅰ类：0.5MS/m（0.9%IACS）～14.50MS/m（25%IACS）；</w:t>
      </w:r>
    </w:p>
    <w:p w14:paraId="43179185">
      <w:pPr>
        <w:pStyle w:val="58"/>
        <w:spacing w:line="360" w:lineRule="auto"/>
        <w:ind w:firstLine="420"/>
        <w:rPr>
          <w:rFonts w:hint="eastAsia" w:ascii="Times New Roman" w:hAnsi="Times New Roman"/>
        </w:rPr>
      </w:pPr>
      <w:r>
        <w:rPr>
          <w:rFonts w:hint="eastAsia" w:ascii="Times New Roman" w:hAnsi="Times New Roman"/>
        </w:rPr>
        <w:t>Ⅱ类：9.5MS/m（16%IACS）～35MS/m（60%IACS）；</w:t>
      </w:r>
    </w:p>
    <w:p w14:paraId="0870E0B1">
      <w:pPr>
        <w:pStyle w:val="58"/>
        <w:spacing w:line="360" w:lineRule="auto"/>
        <w:ind w:firstLine="420"/>
        <w:rPr>
          <w:rFonts w:hint="eastAsia" w:ascii="Times New Roman" w:hAnsi="Times New Roman"/>
        </w:rPr>
      </w:pPr>
      <w:r>
        <w:rPr>
          <w:rFonts w:hint="eastAsia" w:ascii="Times New Roman" w:hAnsi="Times New Roman"/>
        </w:rPr>
        <w:t>Ⅲ类：35MS/m（60%IACS）～59.16MS/m（102%IACS）。</w:t>
      </w:r>
    </w:p>
    <w:p w14:paraId="29463A71">
      <w:pPr>
        <w:pStyle w:val="58"/>
        <w:spacing w:line="360" w:lineRule="auto"/>
        <w:ind w:firstLine="420"/>
        <w:rPr>
          <w:rFonts w:hint="default" w:ascii="Times New Roman" w:hAnsi="Times New Roman" w:eastAsia="宋体"/>
          <w:lang w:val="en-US" w:eastAsia="zh-CN"/>
        </w:rPr>
      </w:pPr>
      <w:r>
        <w:rPr>
          <w:rFonts w:hint="eastAsia" w:ascii="Times New Roman" w:hAnsi="Times New Roman"/>
          <w:lang w:val="en-US" w:eastAsia="zh-CN"/>
        </w:rPr>
        <w:t>电导率仪的分类依据BAC5651的第2条分类。</w:t>
      </w:r>
    </w:p>
    <w:p w14:paraId="6D689F18">
      <w:pPr>
        <w:pStyle w:val="4"/>
        <w:spacing w:before="156" w:after="156"/>
        <w:rPr>
          <w:b w:val="0"/>
          <w:bCs w:val="0"/>
        </w:rPr>
      </w:pPr>
      <w:r>
        <w:rPr>
          <w:rFonts w:hint="eastAsia"/>
          <w:b w:val="0"/>
          <w:bCs w:val="0"/>
        </w:rPr>
        <w:t>5计量特性</w:t>
      </w:r>
      <w:bookmarkEnd w:id="32"/>
      <w:bookmarkEnd w:id="33"/>
      <w:bookmarkEnd w:id="34"/>
      <w:bookmarkEnd w:id="35"/>
      <w:bookmarkEnd w:id="36"/>
      <w:bookmarkEnd w:id="37"/>
      <w:bookmarkEnd w:id="38"/>
      <w:bookmarkEnd w:id="39"/>
      <w:bookmarkStart w:id="40" w:name="_Toc25829_WPSOffice_Level1"/>
    </w:p>
    <w:p w14:paraId="61AC4FC8">
      <w:pPr>
        <w:adjustRightInd w:val="0"/>
        <w:snapToGrid w:val="0"/>
        <w:spacing w:line="360" w:lineRule="auto"/>
        <w:ind w:firstLine="420" w:firstLineChars="200"/>
        <w:rPr>
          <w:rFonts w:hint="eastAsia" w:hAnsi="宋体"/>
          <w:bCs/>
          <w:szCs w:val="21"/>
        </w:rPr>
      </w:pPr>
      <w:r>
        <w:rPr>
          <w:rFonts w:hint="eastAsia" w:hAnsi="宋体"/>
          <w:bCs/>
          <w:szCs w:val="21"/>
        </w:rPr>
        <w:t>仪表的计量特性主要为示值误差、灵敏度、提离效应、稳定性、重复性、减小探头上操作压力的响应变化</w:t>
      </w:r>
      <w:r>
        <w:rPr>
          <w:rFonts w:hint="eastAsia" w:hAnsi="宋体"/>
          <w:bCs/>
          <w:szCs w:val="21"/>
          <w:lang w:eastAsia="zh-CN"/>
        </w:rPr>
        <w:t>、探头垂直方向倾斜20度的响应变化</w:t>
      </w:r>
      <w:r>
        <w:rPr>
          <w:rFonts w:hint="eastAsia" w:hAnsi="宋体"/>
          <w:bCs/>
          <w:szCs w:val="21"/>
        </w:rPr>
        <w:t>。</w:t>
      </w:r>
    </w:p>
    <w:p w14:paraId="634E15A0">
      <w:pPr>
        <w:adjustRightInd w:val="0"/>
        <w:snapToGrid w:val="0"/>
        <w:spacing w:line="360" w:lineRule="auto"/>
        <w:rPr>
          <w:rFonts w:hint="eastAsia" w:cstheme="majorBidi"/>
          <w:kern w:val="44"/>
        </w:rPr>
      </w:pPr>
      <w:r>
        <w:rPr>
          <w:rFonts w:hint="eastAsia" w:cstheme="majorBidi"/>
          <w:kern w:val="44"/>
        </w:rPr>
        <w:t>5.1示值误差</w:t>
      </w:r>
    </w:p>
    <w:p w14:paraId="03A6A72B">
      <w:pPr>
        <w:spacing w:line="360" w:lineRule="auto"/>
        <w:ind w:firstLine="480"/>
        <w:rPr>
          <w:rFonts w:hint="eastAsia" w:cstheme="majorBidi"/>
          <w:kern w:val="44"/>
        </w:rPr>
      </w:pPr>
      <w:r>
        <w:rPr>
          <w:rFonts w:hint="eastAsia" w:cstheme="majorBidi"/>
          <w:kern w:val="44"/>
        </w:rPr>
        <w:t>小于或等于35.96MS/m（62%IACS）时：±0.29MS/m（0.5%IACS）；</w:t>
      </w:r>
    </w:p>
    <w:p w14:paraId="2A7D936F">
      <w:pPr>
        <w:spacing w:line="360" w:lineRule="auto"/>
        <w:ind w:firstLine="480"/>
        <w:rPr>
          <w:rFonts w:cstheme="majorBidi"/>
          <w:kern w:val="44"/>
        </w:rPr>
      </w:pPr>
      <w:r>
        <w:rPr>
          <w:rFonts w:hint="eastAsia" w:cstheme="majorBidi"/>
          <w:kern w:val="44"/>
        </w:rPr>
        <w:t>大于35.96MS/m（62%IACS）时：±0.58MS/m（1%IACS）。</w:t>
      </w:r>
    </w:p>
    <w:p w14:paraId="1F91B5F7">
      <w:pPr>
        <w:spacing w:line="360" w:lineRule="auto"/>
        <w:ind w:firstLine="480"/>
        <w:rPr>
          <w:rFonts w:hint="eastAsia" w:cstheme="majorBidi"/>
          <w:kern w:val="44"/>
          <w:lang w:eastAsia="zh-CN"/>
        </w:rPr>
      </w:pPr>
      <w:r>
        <w:rPr>
          <w:rFonts w:hint="eastAsia" w:cstheme="majorBidi"/>
          <w:kern w:val="44"/>
          <w:lang w:val="en-US" w:eastAsia="zh-CN"/>
        </w:rPr>
        <w:t>该计量特性</w:t>
      </w:r>
      <w:r>
        <w:rPr>
          <w:rFonts w:hint="eastAsia" w:cstheme="majorBidi"/>
          <w:kern w:val="44"/>
        </w:rPr>
        <w:t>依据</w:t>
      </w:r>
      <w:r>
        <w:rPr>
          <w:rFonts w:hint="eastAsia" w:cstheme="majorBidi"/>
          <w:kern w:val="44"/>
          <w:lang w:eastAsia="zh-CN"/>
        </w:rPr>
        <w:t>：</w:t>
      </w:r>
    </w:p>
    <w:p w14:paraId="2E8DD2C1">
      <w:pPr>
        <w:spacing w:line="360" w:lineRule="auto"/>
        <w:ind w:firstLine="480"/>
        <w:rPr>
          <w:rFonts w:cstheme="majorBidi"/>
          <w:kern w:val="44"/>
        </w:rPr>
      </w:pPr>
      <w:r>
        <w:rPr>
          <w:rFonts w:hint="eastAsia" w:cstheme="majorBidi"/>
          <w:kern w:val="44"/>
          <w:lang w:val="en-US" w:eastAsia="zh-CN"/>
        </w:rPr>
        <w:t>BAC5651</w:t>
      </w:r>
      <w:r>
        <w:rPr>
          <w:rFonts w:hint="eastAsia" w:cstheme="majorBidi"/>
          <w:kern w:val="44"/>
        </w:rPr>
        <w:t>：</w:t>
      </w:r>
      <w:r>
        <w:rPr>
          <w:rFonts w:hint="eastAsia" w:cstheme="majorBidi"/>
          <w:kern w:val="44"/>
          <w:lang w:val="en-US" w:eastAsia="zh-CN"/>
        </w:rPr>
        <w:t>6.2.1 c条</w:t>
      </w:r>
      <w:r>
        <w:rPr>
          <w:rFonts w:hint="eastAsia" w:cstheme="majorBidi"/>
          <w:kern w:val="44"/>
        </w:rPr>
        <w:t>，导电性测试仪器应具备以下测量精度：在仪器认证范围（最高达62% IACS）内，相对于任何参考标准值的测量误差应控制在±0.5% IACS（0.3 MS/m）；对于大于62% IACS 的参考标准值，测量误差应控制在±1.0% IACS（0.6 MS/m）。该要求适用于裸露材料及厚度不超过0.003英寸（0.08 mm）的非导电涂层。</w:t>
      </w:r>
    </w:p>
    <w:p w14:paraId="64C40BA9">
      <w:pPr>
        <w:adjustRightInd w:val="0"/>
        <w:snapToGrid w:val="0"/>
        <w:spacing w:line="360" w:lineRule="auto"/>
        <w:rPr>
          <w:rFonts w:hint="eastAsia" w:cstheme="majorBidi"/>
          <w:kern w:val="44"/>
        </w:rPr>
      </w:pPr>
      <w:r>
        <w:rPr>
          <w:rFonts w:hint="eastAsia" w:cstheme="majorBidi"/>
          <w:kern w:val="44"/>
        </w:rPr>
        <w:t>5.</w:t>
      </w:r>
      <w:r>
        <w:rPr>
          <w:rFonts w:hint="eastAsia" w:cstheme="majorBidi"/>
          <w:kern w:val="44"/>
          <w:lang w:val="en-US" w:eastAsia="zh-CN"/>
        </w:rPr>
        <w:t>2</w:t>
      </w:r>
      <w:r>
        <w:rPr>
          <w:rFonts w:hint="eastAsia" w:cstheme="majorBidi"/>
          <w:kern w:val="44"/>
        </w:rPr>
        <w:t xml:space="preserve"> 重复性：0.29MS/m（0.5%IACS）。</w:t>
      </w:r>
    </w:p>
    <w:p w14:paraId="4E2685D7">
      <w:pPr>
        <w:spacing w:line="360" w:lineRule="auto"/>
        <w:ind w:firstLine="480"/>
        <w:rPr>
          <w:rFonts w:hint="eastAsia" w:cstheme="majorBidi"/>
          <w:kern w:val="44"/>
          <w:lang w:val="en-US" w:eastAsia="zh-CN"/>
        </w:rPr>
      </w:pPr>
      <w:r>
        <w:rPr>
          <w:rFonts w:hint="eastAsia" w:cstheme="majorBidi"/>
          <w:kern w:val="44"/>
          <w:lang w:val="en-US" w:eastAsia="zh-CN"/>
        </w:rPr>
        <w:t>该计量特性依据：</w:t>
      </w:r>
    </w:p>
    <w:p w14:paraId="1EA642D3">
      <w:pPr>
        <w:spacing w:line="360" w:lineRule="auto"/>
        <w:ind w:firstLine="480"/>
        <w:rPr>
          <w:rFonts w:hint="eastAsia" w:cstheme="majorBidi"/>
          <w:kern w:val="44"/>
        </w:rPr>
      </w:pPr>
      <w:r>
        <w:rPr>
          <w:rFonts w:hint="eastAsia" w:ascii="Times New Roman" w:hAnsi="Times New Roman" w:cstheme="majorBidi"/>
          <w:kern w:val="44"/>
          <w:lang w:val="en-US" w:eastAsia="zh-CN"/>
        </w:rPr>
        <w:t>BAC5651</w:t>
      </w:r>
      <w:r>
        <w:rPr>
          <w:rFonts w:hint="eastAsia" w:cstheme="majorBidi"/>
          <w:kern w:val="44"/>
        </w:rPr>
        <w:t>：</w:t>
      </w:r>
      <w:r>
        <w:rPr>
          <w:rFonts w:hint="eastAsia" w:cstheme="majorBidi"/>
          <w:kern w:val="44"/>
          <w:lang w:val="en-US" w:eastAsia="zh-CN"/>
        </w:rPr>
        <w:t>6.2.1 d条：电导率测试仪器的稳定性应确保在无需任何调整的情况下，能够连续进行至少15分钟的重复测量，测量结果的电导率偏差 ±0.5%IACS。</w:t>
      </w:r>
    </w:p>
    <w:p w14:paraId="248040FE">
      <w:pPr>
        <w:adjustRightInd w:val="0"/>
        <w:snapToGrid w:val="0"/>
        <w:spacing w:line="360" w:lineRule="auto"/>
        <w:rPr>
          <w:rFonts w:hint="eastAsia" w:cstheme="majorBidi"/>
          <w:kern w:val="44"/>
        </w:rPr>
      </w:pPr>
    </w:p>
    <w:p w14:paraId="5BEEC26E">
      <w:pPr>
        <w:adjustRightInd w:val="0"/>
        <w:snapToGrid w:val="0"/>
        <w:spacing w:line="360" w:lineRule="auto"/>
        <w:rPr>
          <w:rFonts w:hint="eastAsia" w:cstheme="majorBidi"/>
          <w:kern w:val="44"/>
        </w:rPr>
      </w:pPr>
      <w:r>
        <w:rPr>
          <w:rFonts w:hint="eastAsia" w:cstheme="majorBidi"/>
          <w:kern w:val="44"/>
        </w:rPr>
        <w:t>5.</w:t>
      </w:r>
      <w:r>
        <w:rPr>
          <w:rFonts w:hint="eastAsia" w:cstheme="majorBidi"/>
          <w:kern w:val="44"/>
          <w:lang w:val="en-US" w:eastAsia="zh-CN"/>
        </w:rPr>
        <w:t>3</w:t>
      </w:r>
      <w:r>
        <w:rPr>
          <w:rFonts w:hint="eastAsia" w:cstheme="majorBidi"/>
          <w:kern w:val="44"/>
        </w:rPr>
        <w:t xml:space="preserve"> 灵敏度：不大于0.29MS/m（0.5%IACS）。</w:t>
      </w:r>
    </w:p>
    <w:p w14:paraId="7233811A">
      <w:pPr>
        <w:spacing w:line="360" w:lineRule="auto"/>
        <w:ind w:firstLine="480"/>
        <w:rPr>
          <w:rFonts w:hint="eastAsia" w:cstheme="majorBidi"/>
          <w:kern w:val="44"/>
          <w:lang w:val="en-US" w:eastAsia="zh-CN"/>
        </w:rPr>
      </w:pPr>
      <w:r>
        <w:rPr>
          <w:rFonts w:hint="eastAsia" w:cstheme="majorBidi"/>
          <w:kern w:val="44"/>
          <w:lang w:val="en-US" w:eastAsia="zh-CN"/>
        </w:rPr>
        <w:t>该计量特性依据：</w:t>
      </w:r>
    </w:p>
    <w:p w14:paraId="4F18D73B">
      <w:pPr>
        <w:spacing w:line="360" w:lineRule="auto"/>
        <w:ind w:firstLine="480"/>
        <w:rPr>
          <w:rFonts w:hint="eastAsia" w:cstheme="majorBidi"/>
          <w:kern w:val="44"/>
          <w:lang w:val="en-US" w:eastAsia="zh-CN"/>
        </w:rPr>
      </w:pPr>
      <w:r>
        <w:rPr>
          <w:rFonts w:hint="eastAsia" w:cstheme="majorBidi"/>
          <w:kern w:val="44"/>
          <w:lang w:val="en-US" w:eastAsia="zh-CN"/>
        </w:rPr>
        <w:t>MIL-STD-1537C：2002的4.1.2条，仪器灵敏度。直接读数与间接读数仪器的灵敏度应满足：在被测铝合金的电导率范围内，至少0.5% IACS 的变化应能被清晰区分。</w:t>
      </w:r>
    </w:p>
    <w:p w14:paraId="7B73535B">
      <w:pPr>
        <w:spacing w:line="360" w:lineRule="auto"/>
        <w:ind w:firstLine="480"/>
        <w:rPr>
          <w:rFonts w:hint="eastAsia" w:cstheme="majorBidi"/>
          <w:kern w:val="44"/>
          <w:lang w:val="en-US" w:eastAsia="zh-CN"/>
        </w:rPr>
      </w:pPr>
      <w:r>
        <w:rPr>
          <w:rFonts w:hint="eastAsia" w:cstheme="majorBidi"/>
          <w:kern w:val="44"/>
          <w:lang w:val="en-US" w:eastAsia="zh-CN"/>
        </w:rPr>
        <w:t>BAC5651：6.2.1 b条：导电率测试仪的灵敏度应在目标导电率范围内清晰分辨0.5% IACS（0.3MS/m）的变化。</w:t>
      </w:r>
    </w:p>
    <w:p w14:paraId="15A57D89">
      <w:pPr>
        <w:adjustRightInd w:val="0"/>
        <w:snapToGrid w:val="0"/>
        <w:spacing w:line="360" w:lineRule="auto"/>
        <w:rPr>
          <w:rFonts w:hint="eastAsia" w:cstheme="majorBidi"/>
          <w:kern w:val="44"/>
        </w:rPr>
      </w:pPr>
      <w:r>
        <w:rPr>
          <w:rFonts w:hint="eastAsia" w:cstheme="majorBidi"/>
          <w:kern w:val="44"/>
        </w:rPr>
        <w:t>5.</w:t>
      </w:r>
      <w:r>
        <w:rPr>
          <w:rFonts w:hint="eastAsia" w:cstheme="majorBidi"/>
          <w:kern w:val="44"/>
          <w:lang w:val="en-US" w:eastAsia="zh-CN"/>
        </w:rPr>
        <w:t>4</w:t>
      </w:r>
      <w:r>
        <w:rPr>
          <w:rFonts w:hint="eastAsia" w:cstheme="majorBidi"/>
          <w:kern w:val="44"/>
        </w:rPr>
        <w:t xml:space="preserve"> 提离效应：</w:t>
      </w:r>
    </w:p>
    <w:p w14:paraId="1C2894C2">
      <w:pPr>
        <w:spacing w:line="360" w:lineRule="auto"/>
        <w:ind w:firstLine="480"/>
        <w:rPr>
          <w:rFonts w:hint="eastAsia" w:cstheme="majorBidi"/>
          <w:kern w:val="44"/>
          <w:lang w:val="en-US" w:eastAsia="zh-CN"/>
        </w:rPr>
      </w:pPr>
      <w:r>
        <w:rPr>
          <w:rFonts w:hint="eastAsia" w:cstheme="majorBidi"/>
          <w:kern w:val="44"/>
          <w:lang w:val="en-US" w:eastAsia="zh-CN"/>
        </w:rPr>
        <w:t>小于或等于35.96MS/m（62%IACS）时：±0.29MS/m（0.5%IACS）；</w:t>
      </w:r>
    </w:p>
    <w:p w14:paraId="14E2182A">
      <w:pPr>
        <w:spacing w:line="360" w:lineRule="auto"/>
        <w:ind w:firstLine="480"/>
        <w:rPr>
          <w:rFonts w:hint="eastAsia" w:cstheme="majorBidi"/>
          <w:kern w:val="44"/>
          <w:lang w:val="en-US" w:eastAsia="zh-CN"/>
        </w:rPr>
      </w:pPr>
      <w:r>
        <w:rPr>
          <w:rFonts w:hint="eastAsia" w:cstheme="majorBidi"/>
          <w:kern w:val="44"/>
          <w:lang w:val="en-US" w:eastAsia="zh-CN"/>
        </w:rPr>
        <w:t>大于35.96MS/m（62%IACS）时：±0.58MS/m（1%IACS）。</w:t>
      </w:r>
    </w:p>
    <w:p w14:paraId="16ACA94A">
      <w:pPr>
        <w:spacing w:line="360" w:lineRule="auto"/>
        <w:ind w:firstLine="480"/>
        <w:rPr>
          <w:rFonts w:hint="eastAsia" w:cstheme="majorBidi"/>
          <w:kern w:val="44"/>
          <w:lang w:eastAsia="zh-CN"/>
        </w:rPr>
      </w:pPr>
      <w:r>
        <w:rPr>
          <w:rFonts w:hint="eastAsia" w:cstheme="majorBidi"/>
          <w:kern w:val="44"/>
          <w:lang w:val="en-US" w:eastAsia="zh-CN"/>
        </w:rPr>
        <w:t>该计量特性</w:t>
      </w:r>
      <w:r>
        <w:rPr>
          <w:rFonts w:hint="eastAsia" w:cstheme="majorBidi"/>
          <w:kern w:val="44"/>
        </w:rPr>
        <w:t>依据</w:t>
      </w:r>
      <w:r>
        <w:rPr>
          <w:rFonts w:hint="eastAsia" w:cstheme="majorBidi"/>
          <w:kern w:val="44"/>
          <w:lang w:eastAsia="zh-CN"/>
        </w:rPr>
        <w:t>：</w:t>
      </w:r>
    </w:p>
    <w:p w14:paraId="72F29709">
      <w:pPr>
        <w:spacing w:line="360" w:lineRule="auto"/>
        <w:ind w:firstLine="480"/>
        <w:rPr>
          <w:rFonts w:cstheme="majorBidi"/>
          <w:kern w:val="44"/>
        </w:rPr>
      </w:pPr>
      <w:r>
        <w:rPr>
          <w:rFonts w:hint="eastAsia" w:cstheme="majorBidi"/>
          <w:kern w:val="44"/>
          <w:lang w:val="en-US" w:eastAsia="zh-CN"/>
        </w:rPr>
        <w:t>BAC5651</w:t>
      </w:r>
      <w:r>
        <w:rPr>
          <w:rFonts w:hint="eastAsia" w:cstheme="majorBidi"/>
          <w:kern w:val="44"/>
        </w:rPr>
        <w:t>：</w:t>
      </w:r>
      <w:r>
        <w:rPr>
          <w:rFonts w:hint="eastAsia" w:cstheme="majorBidi"/>
          <w:kern w:val="44"/>
          <w:lang w:val="en-US" w:eastAsia="zh-CN"/>
        </w:rPr>
        <w:t>6.2.1 c条</w:t>
      </w:r>
      <w:r>
        <w:rPr>
          <w:rFonts w:hint="eastAsia" w:cstheme="majorBidi"/>
          <w:kern w:val="44"/>
        </w:rPr>
        <w:t>，导电性测试仪器应具备以下测量精度：在仪器认证范围（最高达62% IACS）内，相对于任何参考标准值的测量误差应控制在±0.5% IACS（0.3 MS/m）；对于大于62% IACS 的参考标准值，测量误差应控制在±1.0% IACS（0.6 MS/m）。</w:t>
      </w:r>
      <w:r>
        <w:rPr>
          <w:rFonts w:hint="eastAsia" w:cstheme="majorBidi"/>
          <w:kern w:val="44"/>
          <w:highlight w:val="none"/>
        </w:rPr>
        <w:t>该要求适用于裸露材料及厚度不超过0.003英寸（0.08 mm）的非导电涂层。</w:t>
      </w:r>
    </w:p>
    <w:p w14:paraId="37197E98">
      <w:pPr>
        <w:adjustRightInd w:val="0"/>
        <w:snapToGrid w:val="0"/>
        <w:spacing w:line="360" w:lineRule="auto"/>
        <w:rPr>
          <w:rFonts w:hint="eastAsia" w:cstheme="majorBidi"/>
          <w:kern w:val="44"/>
        </w:rPr>
      </w:pPr>
      <w:r>
        <w:rPr>
          <w:rFonts w:hint="eastAsia" w:cstheme="majorBidi"/>
          <w:kern w:val="44"/>
        </w:rPr>
        <w:t>5.</w:t>
      </w:r>
      <w:r>
        <w:rPr>
          <w:rFonts w:hint="eastAsia" w:cstheme="majorBidi"/>
          <w:kern w:val="44"/>
          <w:lang w:val="en-US" w:eastAsia="zh-CN"/>
        </w:rPr>
        <w:t>5</w:t>
      </w:r>
      <w:bookmarkStart w:id="75" w:name="_GoBack"/>
      <w:bookmarkEnd w:id="75"/>
      <w:r>
        <w:rPr>
          <w:rFonts w:hint="eastAsia" w:cstheme="majorBidi"/>
          <w:kern w:val="44"/>
        </w:rPr>
        <w:t xml:space="preserve"> 稳定性：30min内变化不超过±0.29MS/m（0.5%IACS）。</w:t>
      </w:r>
    </w:p>
    <w:p w14:paraId="734442B7">
      <w:pPr>
        <w:spacing w:line="360" w:lineRule="auto"/>
        <w:ind w:firstLine="480"/>
        <w:rPr>
          <w:rFonts w:hint="eastAsia" w:cstheme="majorBidi"/>
          <w:kern w:val="44"/>
          <w:lang w:val="en-US" w:eastAsia="zh-CN"/>
        </w:rPr>
      </w:pPr>
      <w:r>
        <w:rPr>
          <w:rFonts w:hint="eastAsia" w:cstheme="majorBidi"/>
          <w:kern w:val="44"/>
          <w:lang w:val="en-US" w:eastAsia="zh-CN"/>
        </w:rPr>
        <w:t>该计量特性依据：</w:t>
      </w:r>
    </w:p>
    <w:p w14:paraId="11F1445B">
      <w:pPr>
        <w:spacing w:line="360" w:lineRule="auto"/>
        <w:ind w:firstLine="480"/>
        <w:rPr>
          <w:rFonts w:hint="default" w:eastAsia="宋体" w:cstheme="majorBidi"/>
          <w:kern w:val="44"/>
          <w:lang w:val="en-US" w:eastAsia="zh-CN"/>
        </w:rPr>
      </w:pPr>
      <w:r>
        <w:rPr>
          <w:rFonts w:hint="eastAsia" w:cstheme="majorBidi"/>
          <w:kern w:val="44"/>
          <w:lang w:val="en-US" w:eastAsia="zh-CN"/>
        </w:rPr>
        <w:t>BAC5651</w:t>
      </w:r>
      <w:r>
        <w:rPr>
          <w:rFonts w:hint="eastAsia" w:cstheme="majorBidi"/>
          <w:kern w:val="44"/>
        </w:rPr>
        <w:t>：</w:t>
      </w:r>
      <w:r>
        <w:rPr>
          <w:rFonts w:hint="eastAsia" w:cstheme="majorBidi"/>
          <w:kern w:val="44"/>
          <w:lang w:val="en-US" w:eastAsia="zh-CN"/>
        </w:rPr>
        <w:t>6.2.1 d条：电导率测试仪器的稳定性应确保在无需任何调整的情况下，能够连续进行至少15分钟的重复测量，测量结果的电导率偏差 ±0.5%IACS。</w:t>
      </w:r>
    </w:p>
    <w:p w14:paraId="110AF292">
      <w:pPr>
        <w:adjustRightInd w:val="0"/>
        <w:snapToGrid w:val="0"/>
        <w:spacing w:line="360" w:lineRule="auto"/>
        <w:rPr>
          <w:rFonts w:hint="eastAsia" w:cstheme="majorBidi"/>
          <w:kern w:val="44"/>
        </w:rPr>
      </w:pPr>
      <w:r>
        <w:rPr>
          <w:rFonts w:hint="eastAsia" w:cstheme="majorBidi"/>
          <w:kern w:val="44"/>
        </w:rPr>
        <w:t>5.6 减小探头上操作压力的响应变化：不大于0.29MS/m（0.5%IACS）。</w:t>
      </w:r>
    </w:p>
    <w:p w14:paraId="100A37DF">
      <w:pPr>
        <w:spacing w:line="360" w:lineRule="auto"/>
        <w:ind w:firstLine="480"/>
        <w:rPr>
          <w:rFonts w:hint="eastAsia" w:cstheme="majorBidi"/>
          <w:kern w:val="44"/>
          <w:lang w:val="en-US" w:eastAsia="zh-CN"/>
        </w:rPr>
      </w:pPr>
      <w:r>
        <w:rPr>
          <w:rFonts w:hint="eastAsia" w:cstheme="majorBidi"/>
          <w:kern w:val="44"/>
          <w:lang w:val="en-US" w:eastAsia="zh-CN"/>
        </w:rPr>
        <w:t>该计量特性依据：</w:t>
      </w:r>
    </w:p>
    <w:p w14:paraId="5EFF1BE3">
      <w:pPr>
        <w:spacing w:line="360" w:lineRule="auto"/>
        <w:ind w:firstLine="480"/>
        <w:rPr>
          <w:rFonts w:hint="eastAsia" w:cstheme="majorBidi"/>
          <w:kern w:val="44"/>
        </w:rPr>
      </w:pPr>
      <w:r>
        <w:rPr>
          <w:rFonts w:hint="eastAsia" w:cstheme="majorBidi"/>
          <w:kern w:val="44"/>
          <w:lang w:val="en-US" w:eastAsia="zh-CN"/>
        </w:rPr>
        <w:t>BAC5651</w:t>
      </w:r>
      <w:r>
        <w:rPr>
          <w:rFonts w:hint="eastAsia" w:cstheme="majorBidi"/>
          <w:kern w:val="44"/>
        </w:rPr>
        <w:t>：</w:t>
      </w:r>
      <w:r>
        <w:rPr>
          <w:rFonts w:hint="eastAsia" w:cstheme="majorBidi"/>
          <w:kern w:val="44"/>
          <w:lang w:val="en-US" w:eastAsia="zh-CN"/>
        </w:rPr>
        <w:t>6.3.3 c(1)条：</w:t>
      </w:r>
      <w:r>
        <w:rPr>
          <w:rFonts w:hint="eastAsia" w:cstheme="majorBidi"/>
          <w:kern w:val="44"/>
        </w:rPr>
        <w:t>探头承受的中等操作压力不应导致测试仪器响应值的变化超过0.5% IACS</w:t>
      </w:r>
    </w:p>
    <w:p w14:paraId="7FDBD9D3">
      <w:pPr>
        <w:adjustRightInd w:val="0"/>
        <w:snapToGrid w:val="0"/>
        <w:spacing w:line="360" w:lineRule="auto"/>
        <w:rPr>
          <w:rFonts w:hint="eastAsia" w:cstheme="majorBidi"/>
          <w:kern w:val="44"/>
        </w:rPr>
      </w:pPr>
      <w:r>
        <w:rPr>
          <w:rFonts w:hint="eastAsia" w:cstheme="majorBidi"/>
          <w:kern w:val="44"/>
        </w:rPr>
        <w:t>5.7 探头垂直方向倾斜20度的响应变化：不大于0.29MS/m（0.5%IACS）。</w:t>
      </w:r>
    </w:p>
    <w:p w14:paraId="38EC4DF5">
      <w:pPr>
        <w:spacing w:line="360" w:lineRule="auto"/>
        <w:ind w:firstLine="480"/>
        <w:rPr>
          <w:rFonts w:hint="eastAsia" w:cstheme="majorBidi"/>
          <w:kern w:val="44"/>
          <w:lang w:val="en-US" w:eastAsia="zh-CN"/>
        </w:rPr>
      </w:pPr>
      <w:r>
        <w:rPr>
          <w:rFonts w:hint="eastAsia" w:cstheme="majorBidi"/>
          <w:kern w:val="44"/>
          <w:lang w:val="en-US" w:eastAsia="zh-CN"/>
        </w:rPr>
        <w:t>该计量特性依据：</w:t>
      </w:r>
    </w:p>
    <w:p w14:paraId="351B90F2">
      <w:pPr>
        <w:spacing w:line="360" w:lineRule="auto"/>
        <w:ind w:firstLine="480"/>
        <w:rPr>
          <w:rFonts w:hint="eastAsia" w:cstheme="majorBidi"/>
          <w:kern w:val="44"/>
        </w:rPr>
      </w:pPr>
      <w:r>
        <w:rPr>
          <w:rFonts w:hint="eastAsia" w:cstheme="majorBidi"/>
          <w:kern w:val="44"/>
          <w:lang w:val="en-US" w:eastAsia="zh-CN"/>
        </w:rPr>
        <w:t>BAC5651</w:t>
      </w:r>
      <w:r>
        <w:rPr>
          <w:rFonts w:hint="eastAsia" w:cstheme="majorBidi"/>
          <w:kern w:val="44"/>
        </w:rPr>
        <w:t>：</w:t>
      </w:r>
      <w:r>
        <w:rPr>
          <w:rFonts w:hint="eastAsia" w:cstheme="majorBidi"/>
          <w:kern w:val="44"/>
          <w:lang w:val="en-US" w:eastAsia="zh-CN"/>
        </w:rPr>
        <w:t>6.3.3 c(2)条：圆尖铅笔形探头的圆头部分与垂直方向的倾斜角度不超过20度时，测试仪器的响应变化不应超过0.5% IACS(0.3MS/m)。</w:t>
      </w:r>
    </w:p>
    <w:p w14:paraId="55B80ADB">
      <w:pPr>
        <w:pStyle w:val="4"/>
        <w:spacing w:before="156" w:after="156"/>
        <w:rPr>
          <w:b w:val="0"/>
          <w:bCs w:val="0"/>
        </w:rPr>
      </w:pPr>
      <w:r>
        <w:rPr>
          <w:rFonts w:hint="eastAsia"/>
          <w:b w:val="0"/>
          <w:bCs w:val="0"/>
          <w:lang w:val="en-US" w:eastAsia="zh-CN"/>
        </w:rPr>
        <w:t>6</w:t>
      </w:r>
      <w:r>
        <w:rPr>
          <w:rFonts w:hint="eastAsia"/>
          <w:b w:val="0"/>
          <w:bCs w:val="0"/>
        </w:rPr>
        <w:t xml:space="preserve"> 校准条件</w:t>
      </w:r>
      <w:bookmarkEnd w:id="40"/>
      <w:bookmarkStart w:id="41" w:name="_Toc193860183"/>
      <w:bookmarkStart w:id="42" w:name="_Toc193860214"/>
      <w:bookmarkStart w:id="43" w:name="_Toc500258942"/>
      <w:bookmarkStart w:id="44" w:name="_Toc193860033"/>
    </w:p>
    <w:p w14:paraId="10855797">
      <w:pPr>
        <w:spacing w:line="360" w:lineRule="auto"/>
        <w:ind w:firstLine="420" w:firstLineChars="200"/>
        <w:rPr>
          <w:bCs/>
        </w:rPr>
      </w:pPr>
      <w:r>
        <w:rPr>
          <w:rFonts w:hint="eastAsia"/>
          <w:bCs/>
        </w:rPr>
        <w:t>校准条件包括校准用计量标准、其他设备、校准环境条件和其它条件，为了使测量结果具有尽可能小的不确定度，需要建立一种较优越的环境条件，降低环境因素对计量标准带来的附加误差；需要具备一定准确度要求的计量标准及其他设备以满足用户对测量不确定度的要求、能覆盖被校设备实际校准范围。本规范是按上述原则确定校准条件的。</w:t>
      </w:r>
    </w:p>
    <w:p w14:paraId="667E0223">
      <w:pPr>
        <w:adjustRightInd w:val="0"/>
        <w:snapToGrid w:val="0"/>
        <w:spacing w:line="360" w:lineRule="auto"/>
      </w:pPr>
      <w:r>
        <w:rPr>
          <w:rFonts w:hint="eastAsia"/>
          <w:lang w:val="en-US" w:eastAsia="zh-CN"/>
        </w:rPr>
        <w:t>6</w:t>
      </w:r>
      <w:r>
        <w:rPr>
          <w:rFonts w:hint="eastAsia"/>
        </w:rPr>
        <w:t xml:space="preserve">.1 </w:t>
      </w:r>
      <w:r>
        <w:rPr>
          <w:rFonts w:hint="eastAsia" w:ascii="宋体" w:hAnsi="宋体" w:cs="宋体"/>
          <w:kern w:val="44"/>
        </w:rPr>
        <w:t>环境</w:t>
      </w:r>
      <w:r>
        <w:rPr>
          <w:rFonts w:hint="eastAsia"/>
        </w:rPr>
        <w:t>条件</w:t>
      </w:r>
    </w:p>
    <w:p w14:paraId="1D1ADE96">
      <w:pPr>
        <w:spacing w:line="360" w:lineRule="auto"/>
        <w:ind w:firstLine="420" w:firstLineChars="200"/>
        <w:rPr>
          <w:rFonts w:hint="eastAsia"/>
        </w:rPr>
      </w:pPr>
      <w:r>
        <w:rPr>
          <w:rFonts w:hint="eastAsia"/>
        </w:rPr>
        <w:t>a)环境温度：（20±2）℃；</w:t>
      </w:r>
    </w:p>
    <w:p w14:paraId="42BA8148">
      <w:pPr>
        <w:spacing w:line="360" w:lineRule="auto"/>
        <w:ind w:firstLine="420" w:firstLineChars="200"/>
        <w:rPr>
          <w:rFonts w:hint="eastAsia"/>
        </w:rPr>
      </w:pPr>
      <w:r>
        <w:rPr>
          <w:rFonts w:hint="eastAsia"/>
        </w:rPr>
        <w:t>b)相对湿度：≤80%</w:t>
      </w:r>
    </w:p>
    <w:p w14:paraId="68A9CD70">
      <w:pPr>
        <w:spacing w:line="360" w:lineRule="auto"/>
        <w:ind w:firstLine="420" w:firstLineChars="200"/>
      </w:pPr>
      <w:r>
        <w:rPr>
          <w:rFonts w:hint="eastAsia"/>
        </w:rPr>
        <w:t>c)周围无影响仪器正常工作的电磁干扰和机械振动。</w:t>
      </w:r>
    </w:p>
    <w:p w14:paraId="1367B3A9">
      <w:pPr>
        <w:spacing w:line="360" w:lineRule="auto"/>
        <w:ind w:firstLine="420" w:firstLineChars="200"/>
        <w:rPr>
          <w:rFonts w:hint="default" w:eastAsia="宋体"/>
          <w:lang w:val="en-US" w:eastAsia="zh-CN"/>
        </w:rPr>
      </w:pPr>
      <w:r>
        <w:rPr>
          <w:rFonts w:hint="eastAsia"/>
          <w:lang w:val="en-US" w:eastAsia="zh-CN"/>
        </w:rPr>
        <w:t>该环境条件参考了JJF1692-2018涡流电导率仪校准规范6.1的要求。</w:t>
      </w:r>
    </w:p>
    <w:p w14:paraId="553B3168">
      <w:pPr>
        <w:adjustRightInd w:val="0"/>
        <w:snapToGrid w:val="0"/>
        <w:spacing w:line="360" w:lineRule="auto"/>
      </w:pPr>
      <w:r>
        <w:rPr>
          <w:rFonts w:hint="eastAsia"/>
          <w:lang w:val="en-US" w:eastAsia="zh-CN"/>
        </w:rPr>
        <w:t>6</w:t>
      </w:r>
      <w:r>
        <w:rPr>
          <w:rFonts w:hint="eastAsia"/>
        </w:rPr>
        <w:t>.2 测量标准及其他设备</w:t>
      </w:r>
    </w:p>
    <w:p w14:paraId="6789B06F">
      <w:pPr>
        <w:spacing w:line="360" w:lineRule="auto"/>
        <w:ind w:left="0" w:leftChars="0" w:firstLine="0" w:firstLineChars="0"/>
        <w:rPr>
          <w:rFonts w:hint="eastAsia"/>
        </w:rPr>
      </w:pPr>
      <w:r>
        <w:rPr>
          <w:rFonts w:hint="eastAsia"/>
          <w:lang w:val="en-US" w:eastAsia="zh-CN"/>
        </w:rPr>
        <w:t>6.2.1</w:t>
      </w:r>
      <w:r>
        <w:rPr>
          <w:rFonts w:hint="eastAsia"/>
        </w:rPr>
        <w:t>标准块（组）</w:t>
      </w:r>
    </w:p>
    <w:p w14:paraId="697EC0A8">
      <w:pPr>
        <w:spacing w:line="360" w:lineRule="auto"/>
        <w:ind w:firstLine="420" w:firstLineChars="200"/>
        <w:rPr>
          <w:rFonts w:hint="eastAsia"/>
        </w:rPr>
      </w:pPr>
      <w:r>
        <w:rPr>
          <w:rFonts w:hint="eastAsia"/>
        </w:rPr>
        <w:t>标准块（组）为非铁磁金属电导率二级及以上样（标）块，其电导率范围应均匀覆盖被校电导率仪的测量范围。</w:t>
      </w:r>
    </w:p>
    <w:p w14:paraId="4804005D">
      <w:pPr>
        <w:pStyle w:val="58"/>
        <w:spacing w:line="360" w:lineRule="auto"/>
        <w:ind w:firstLine="480"/>
        <w:rPr>
          <w:rFonts w:hint="eastAsia"/>
          <w:lang w:val="en-US" w:eastAsia="zh-CN"/>
        </w:rPr>
      </w:pPr>
      <w:r>
        <w:rPr>
          <w:rFonts w:hint="eastAsia"/>
          <w:lang w:val="en-US" w:eastAsia="zh-CN"/>
        </w:rPr>
        <w:t>标准块表面应保持清洁，不得有油脂、灰尘等附着物。标准块有效面积的几何尺寸应大于等于2.5倍探头直径，厚度大于等于2.6倍渗透深度，标准块表面应无镀层、无划痕、无凹槽。</w:t>
      </w:r>
    </w:p>
    <w:p w14:paraId="7F2368E2">
      <w:pPr>
        <w:pStyle w:val="58"/>
        <w:spacing w:line="360" w:lineRule="auto"/>
        <w:ind w:firstLine="480"/>
        <w:rPr>
          <w:rFonts w:hint="default"/>
          <w:lang w:val="en-US" w:eastAsia="zh-CN"/>
        </w:rPr>
      </w:pPr>
      <w:r>
        <w:rPr>
          <w:rFonts w:hint="eastAsia"/>
          <w:lang w:val="en-US" w:eastAsia="zh-CN"/>
        </w:rPr>
        <w:t>对各类测量范围所需标准块的数量应按照表1要求选取，标准块应有较大范围的数据点，其中每一类应有一个示值为低限和一个示值为高限的标准块。示值为低限的标准块应在该类测量范围低端的± 2.5% IACS (1.45 MS/m)以内，示值为高限的标准块应在该类测量范围高端的± 2.5% IACS (1.45 MS/m)以内。</w:t>
      </w:r>
    </w:p>
    <w:p w14:paraId="4CEEC609">
      <w:pPr>
        <w:pStyle w:val="58"/>
        <w:jc w:val="center"/>
        <w:rPr>
          <w:rStyle w:val="325"/>
          <w:rFonts w:hint="default" w:eastAsia="黑体"/>
          <w:color w:val="auto"/>
          <w:kern w:val="2"/>
          <w:highlight w:val="none"/>
          <w:lang w:val="en-US" w:eastAsia="zh-CN"/>
        </w:rPr>
      </w:pPr>
      <w:r>
        <w:rPr>
          <w:rStyle w:val="325"/>
          <w:rFonts w:hint="eastAsia" w:eastAsia="黑体"/>
          <w:color w:val="auto"/>
          <w:kern w:val="2"/>
          <w:highlight w:val="none"/>
          <w:lang w:val="en-US" w:eastAsia="zh-CN"/>
        </w:rPr>
        <w:t>表1 各类测量范围所需标准块要求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2777"/>
        <w:gridCol w:w="2909"/>
        <w:gridCol w:w="1735"/>
      </w:tblGrid>
      <w:tr w14:paraId="38BF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Merge w:val="restart"/>
            <w:vAlign w:val="center"/>
          </w:tcPr>
          <w:p w14:paraId="3E938B0E">
            <w:pPr>
              <w:pStyle w:val="58"/>
              <w:widowControl w:val="0"/>
              <w:ind w:left="0" w:leftChars="0" w:firstLine="0" w:firstLineChars="0"/>
              <w:jc w:val="center"/>
              <w:rPr>
                <w:rStyle w:val="324"/>
                <w:rFonts w:hint="default"/>
                <w:lang w:val="en-US" w:eastAsia="zh-CN"/>
              </w:rPr>
            </w:pPr>
            <w:r>
              <w:rPr>
                <w:rStyle w:val="324"/>
                <w:rFonts w:hint="eastAsia"/>
                <w:lang w:val="en-US" w:eastAsia="zh-CN"/>
              </w:rPr>
              <w:t>测量范围分类</w:t>
            </w:r>
          </w:p>
        </w:tc>
        <w:tc>
          <w:tcPr>
            <w:tcW w:w="5686" w:type="dxa"/>
            <w:gridSpan w:val="2"/>
            <w:vAlign w:val="center"/>
          </w:tcPr>
          <w:p w14:paraId="124EF654">
            <w:pPr>
              <w:pStyle w:val="58"/>
              <w:widowControl w:val="0"/>
              <w:ind w:left="0" w:leftChars="0" w:firstLine="0" w:firstLineChars="0"/>
              <w:jc w:val="center"/>
              <w:rPr>
                <w:rStyle w:val="324"/>
                <w:rFonts w:hint="eastAsia"/>
                <w:lang w:val="en-US" w:eastAsia="zh-CN"/>
              </w:rPr>
            </w:pPr>
            <w:r>
              <w:rPr>
                <w:rStyle w:val="324"/>
                <w:rFonts w:hint="eastAsia"/>
                <w:lang w:val="en-US" w:eastAsia="zh-CN"/>
              </w:rPr>
              <w:t>标准试样的电导率值/MS/m（%IACS）</w:t>
            </w:r>
          </w:p>
        </w:tc>
        <w:tc>
          <w:tcPr>
            <w:tcW w:w="1735" w:type="dxa"/>
            <w:vMerge w:val="restart"/>
            <w:vAlign w:val="center"/>
          </w:tcPr>
          <w:p w14:paraId="6F51CDCC">
            <w:pPr>
              <w:pStyle w:val="58"/>
              <w:widowControl w:val="0"/>
              <w:ind w:left="0" w:leftChars="0" w:firstLine="0" w:firstLineChars="0"/>
              <w:jc w:val="center"/>
              <w:rPr>
                <w:rStyle w:val="324"/>
                <w:rFonts w:hint="default"/>
                <w:lang w:val="en-US" w:eastAsia="zh-CN"/>
              </w:rPr>
            </w:pPr>
            <w:r>
              <w:rPr>
                <w:rStyle w:val="324"/>
                <w:rFonts w:hint="eastAsia"/>
                <w:lang w:val="en-US" w:eastAsia="zh-CN"/>
              </w:rPr>
              <w:t>校准需要的标准样块数量</w:t>
            </w:r>
          </w:p>
        </w:tc>
      </w:tr>
      <w:tr w14:paraId="763C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Merge w:val="continue"/>
            <w:vAlign w:val="center"/>
          </w:tcPr>
          <w:p w14:paraId="2D7E20DE">
            <w:pPr>
              <w:pStyle w:val="58"/>
              <w:widowControl w:val="0"/>
              <w:jc w:val="center"/>
              <w:rPr>
                <w:rStyle w:val="324"/>
                <w:rFonts w:hint="eastAsia"/>
                <w:lang w:val="en-US" w:eastAsia="zh-CN"/>
              </w:rPr>
            </w:pPr>
          </w:p>
        </w:tc>
        <w:tc>
          <w:tcPr>
            <w:tcW w:w="2777" w:type="dxa"/>
            <w:vAlign w:val="center"/>
          </w:tcPr>
          <w:p w14:paraId="3F4C1C2A">
            <w:pPr>
              <w:pStyle w:val="58"/>
              <w:widowControl w:val="0"/>
              <w:ind w:left="0" w:leftChars="0" w:firstLine="0" w:firstLineChars="0"/>
              <w:jc w:val="center"/>
              <w:rPr>
                <w:rStyle w:val="324"/>
                <w:rFonts w:hint="default"/>
                <w:lang w:val="en-US" w:eastAsia="zh-CN"/>
              </w:rPr>
            </w:pPr>
            <w:r>
              <w:rPr>
                <w:rStyle w:val="324"/>
                <w:rFonts w:hint="eastAsia"/>
                <w:lang w:val="en-US" w:eastAsia="zh-CN"/>
              </w:rPr>
              <w:t>低限</w:t>
            </w:r>
          </w:p>
        </w:tc>
        <w:tc>
          <w:tcPr>
            <w:tcW w:w="2909" w:type="dxa"/>
            <w:vAlign w:val="center"/>
          </w:tcPr>
          <w:p w14:paraId="34A5C81C">
            <w:pPr>
              <w:pStyle w:val="58"/>
              <w:widowControl w:val="0"/>
              <w:ind w:left="0" w:leftChars="0" w:firstLine="0" w:firstLineChars="0"/>
              <w:jc w:val="center"/>
              <w:rPr>
                <w:rStyle w:val="324"/>
                <w:rFonts w:hint="default"/>
                <w:lang w:val="en-US" w:eastAsia="zh-CN"/>
              </w:rPr>
            </w:pPr>
            <w:r>
              <w:rPr>
                <w:rStyle w:val="324"/>
                <w:rFonts w:hint="eastAsia"/>
                <w:lang w:val="en-US" w:eastAsia="zh-CN"/>
              </w:rPr>
              <w:t>高限</w:t>
            </w:r>
          </w:p>
        </w:tc>
        <w:tc>
          <w:tcPr>
            <w:tcW w:w="1735" w:type="dxa"/>
            <w:vMerge w:val="continue"/>
            <w:vAlign w:val="center"/>
          </w:tcPr>
          <w:p w14:paraId="3C8D642E">
            <w:pPr>
              <w:pStyle w:val="58"/>
              <w:widowControl w:val="0"/>
              <w:jc w:val="center"/>
              <w:rPr>
                <w:rStyle w:val="324"/>
                <w:rFonts w:hint="eastAsia"/>
                <w:lang w:val="en-US" w:eastAsia="zh-CN"/>
              </w:rPr>
            </w:pPr>
          </w:p>
        </w:tc>
      </w:tr>
      <w:tr w14:paraId="7D53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5DE586E7">
            <w:pPr>
              <w:pStyle w:val="58"/>
              <w:widowControl w:val="0"/>
              <w:ind w:left="0" w:leftChars="0" w:firstLine="0" w:firstLineChars="0"/>
              <w:jc w:val="center"/>
              <w:rPr>
                <w:rStyle w:val="324"/>
                <w:rFonts w:hint="default"/>
                <w:lang w:val="en-US" w:eastAsia="zh-CN"/>
              </w:rPr>
            </w:pPr>
            <w:r>
              <w:rPr>
                <w:rStyle w:val="324"/>
                <w:rFonts w:hint="eastAsia"/>
                <w:lang w:val="en-US" w:eastAsia="zh-CN"/>
              </w:rPr>
              <w:t>Ⅰ类</w:t>
            </w:r>
          </w:p>
        </w:tc>
        <w:tc>
          <w:tcPr>
            <w:tcW w:w="2777" w:type="dxa"/>
            <w:vAlign w:val="center"/>
          </w:tcPr>
          <w:p w14:paraId="49AFB0F3">
            <w:pPr>
              <w:pStyle w:val="58"/>
              <w:widowControl w:val="0"/>
              <w:ind w:left="0" w:leftChars="0" w:firstLine="0" w:firstLineChars="0"/>
              <w:jc w:val="center"/>
              <w:rPr>
                <w:rStyle w:val="324"/>
                <w:rFonts w:hint="default"/>
                <w:lang w:val="en-US" w:eastAsia="zh-CN"/>
              </w:rPr>
            </w:pPr>
            <w:r>
              <w:rPr>
                <w:rStyle w:val="324"/>
                <w:rFonts w:hint="eastAsia"/>
                <w:lang w:val="en-US" w:eastAsia="zh-CN"/>
              </w:rPr>
              <w:t>0</w:t>
            </w:r>
            <w:r>
              <w:rPr>
                <w:rStyle w:val="324"/>
                <w:rFonts w:hint="eastAsia" w:ascii="微软雅黑" w:hAnsi="微软雅黑" w:eastAsia="微软雅黑" w:cs="微软雅黑"/>
                <w:lang w:val="en-US" w:eastAsia="zh-CN"/>
              </w:rPr>
              <w:t>~</w:t>
            </w:r>
            <w:r>
              <w:rPr>
                <w:rStyle w:val="324"/>
                <w:rFonts w:hint="eastAsia"/>
                <w:lang w:val="en-US" w:eastAsia="zh-CN"/>
              </w:rPr>
              <w:t>1.97（0</w:t>
            </w:r>
            <w:r>
              <w:rPr>
                <w:rStyle w:val="324"/>
                <w:rFonts w:hint="eastAsia" w:ascii="微软雅黑" w:hAnsi="微软雅黑" w:eastAsia="微软雅黑" w:cs="微软雅黑"/>
                <w:lang w:val="en-US" w:eastAsia="zh-CN"/>
              </w:rPr>
              <w:t>~</w:t>
            </w:r>
            <w:r>
              <w:rPr>
                <w:rStyle w:val="324"/>
                <w:rFonts w:hint="eastAsia"/>
                <w:lang w:val="en-US" w:eastAsia="zh-CN"/>
              </w:rPr>
              <w:t>3.4）</w:t>
            </w:r>
          </w:p>
        </w:tc>
        <w:tc>
          <w:tcPr>
            <w:tcW w:w="2909" w:type="dxa"/>
            <w:vAlign w:val="center"/>
          </w:tcPr>
          <w:p w14:paraId="6D428608">
            <w:pPr>
              <w:pStyle w:val="58"/>
              <w:widowControl w:val="0"/>
              <w:ind w:left="0" w:leftChars="0" w:firstLine="0" w:firstLineChars="0"/>
              <w:jc w:val="center"/>
              <w:rPr>
                <w:rStyle w:val="324"/>
                <w:rFonts w:hint="eastAsia"/>
                <w:lang w:val="en-US" w:eastAsia="zh-CN"/>
              </w:rPr>
            </w:pPr>
            <w:r>
              <w:rPr>
                <w:rStyle w:val="324"/>
                <w:rFonts w:hint="eastAsia"/>
                <w:lang w:val="en-US" w:eastAsia="zh-CN"/>
              </w:rPr>
              <w:t>13.05</w:t>
            </w:r>
            <w:r>
              <w:rPr>
                <w:rStyle w:val="324"/>
                <w:rFonts w:hint="eastAsia" w:ascii="微软雅黑" w:hAnsi="微软雅黑" w:eastAsia="微软雅黑" w:cs="微软雅黑"/>
                <w:lang w:val="en-US" w:eastAsia="zh-CN"/>
              </w:rPr>
              <w:t>~</w:t>
            </w:r>
            <w:r>
              <w:rPr>
                <w:rStyle w:val="324"/>
                <w:rFonts w:hint="eastAsia"/>
                <w:lang w:val="en-US" w:eastAsia="zh-CN"/>
              </w:rPr>
              <w:t>15.95（22.5</w:t>
            </w:r>
            <w:r>
              <w:rPr>
                <w:rStyle w:val="324"/>
                <w:rFonts w:hint="eastAsia" w:ascii="微软雅黑" w:hAnsi="微软雅黑" w:eastAsia="微软雅黑" w:cs="微软雅黑"/>
                <w:lang w:val="en-US" w:eastAsia="zh-CN"/>
              </w:rPr>
              <w:t>~</w:t>
            </w:r>
            <w:r>
              <w:rPr>
                <w:rStyle w:val="324"/>
                <w:rFonts w:hint="eastAsia"/>
                <w:lang w:val="en-US" w:eastAsia="zh-CN"/>
              </w:rPr>
              <w:t>27.5）</w:t>
            </w:r>
          </w:p>
        </w:tc>
        <w:tc>
          <w:tcPr>
            <w:tcW w:w="1735" w:type="dxa"/>
            <w:vAlign w:val="center"/>
          </w:tcPr>
          <w:p w14:paraId="33AA7248">
            <w:pPr>
              <w:pStyle w:val="58"/>
              <w:widowControl w:val="0"/>
              <w:ind w:left="0" w:leftChars="0" w:firstLine="0" w:firstLineChars="0"/>
              <w:jc w:val="center"/>
              <w:rPr>
                <w:rStyle w:val="324"/>
                <w:rFonts w:hint="default"/>
                <w:lang w:val="en-US" w:eastAsia="zh-CN"/>
              </w:rPr>
            </w:pPr>
            <w:r>
              <w:rPr>
                <w:rStyle w:val="324"/>
                <w:rFonts w:hint="eastAsia"/>
                <w:lang w:val="en-US" w:eastAsia="zh-CN"/>
              </w:rPr>
              <w:t>3个</w:t>
            </w:r>
          </w:p>
        </w:tc>
      </w:tr>
      <w:tr w14:paraId="2F53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313CA9DD">
            <w:pPr>
              <w:pStyle w:val="58"/>
              <w:widowControl w:val="0"/>
              <w:ind w:left="0" w:leftChars="0" w:firstLine="0" w:firstLineChars="0"/>
              <w:jc w:val="center"/>
              <w:rPr>
                <w:rStyle w:val="324"/>
                <w:rFonts w:hint="default"/>
                <w:lang w:val="en-US" w:eastAsia="zh-CN"/>
              </w:rPr>
            </w:pPr>
            <w:r>
              <w:rPr>
                <w:rStyle w:val="324"/>
                <w:rFonts w:hint="eastAsia"/>
                <w:lang w:val="en-US" w:eastAsia="zh-CN"/>
              </w:rPr>
              <w:t>Ⅱ类</w:t>
            </w:r>
          </w:p>
        </w:tc>
        <w:tc>
          <w:tcPr>
            <w:tcW w:w="2777" w:type="dxa"/>
            <w:vAlign w:val="center"/>
          </w:tcPr>
          <w:p w14:paraId="21F969C1">
            <w:pPr>
              <w:pStyle w:val="58"/>
              <w:widowControl w:val="0"/>
              <w:ind w:left="0" w:leftChars="0" w:firstLine="0" w:firstLineChars="0"/>
              <w:jc w:val="center"/>
              <w:rPr>
                <w:rStyle w:val="324"/>
                <w:rFonts w:hint="eastAsia"/>
                <w:lang w:val="en-US" w:eastAsia="zh-CN"/>
              </w:rPr>
            </w:pPr>
            <w:r>
              <w:rPr>
                <w:rStyle w:val="324"/>
                <w:rFonts w:hint="eastAsia"/>
                <w:lang w:val="en-US" w:eastAsia="zh-CN"/>
              </w:rPr>
              <w:t>7.83</w:t>
            </w:r>
            <w:r>
              <w:rPr>
                <w:rStyle w:val="324"/>
                <w:rFonts w:hint="eastAsia" w:ascii="微软雅黑" w:hAnsi="微软雅黑" w:eastAsia="微软雅黑" w:cs="微软雅黑"/>
                <w:lang w:val="en-US" w:eastAsia="zh-CN"/>
              </w:rPr>
              <w:t>~</w:t>
            </w:r>
            <w:r>
              <w:rPr>
                <w:rStyle w:val="324"/>
                <w:rFonts w:hint="eastAsia"/>
                <w:lang w:val="en-US" w:eastAsia="zh-CN"/>
              </w:rPr>
              <w:t>10.73（13.5</w:t>
            </w:r>
            <w:r>
              <w:rPr>
                <w:rStyle w:val="324"/>
                <w:rFonts w:hint="eastAsia" w:ascii="微软雅黑" w:hAnsi="微软雅黑" w:eastAsia="微软雅黑" w:cs="微软雅黑"/>
                <w:lang w:val="en-US" w:eastAsia="zh-CN"/>
              </w:rPr>
              <w:t>~</w:t>
            </w:r>
            <w:r>
              <w:rPr>
                <w:rStyle w:val="324"/>
                <w:rFonts w:hint="eastAsia"/>
                <w:lang w:val="en-US" w:eastAsia="zh-CN"/>
              </w:rPr>
              <w:t>18.5）</w:t>
            </w:r>
          </w:p>
        </w:tc>
        <w:tc>
          <w:tcPr>
            <w:tcW w:w="2909" w:type="dxa"/>
            <w:vAlign w:val="center"/>
          </w:tcPr>
          <w:p w14:paraId="0FC73C9B">
            <w:pPr>
              <w:pStyle w:val="58"/>
              <w:widowControl w:val="0"/>
              <w:ind w:left="0" w:leftChars="0" w:firstLine="0" w:firstLineChars="0"/>
              <w:jc w:val="center"/>
              <w:rPr>
                <w:rStyle w:val="324"/>
                <w:rFonts w:hint="default"/>
                <w:lang w:val="en-US" w:eastAsia="zh-CN"/>
              </w:rPr>
            </w:pPr>
            <w:r>
              <w:rPr>
                <w:rStyle w:val="324"/>
                <w:rFonts w:hint="eastAsia"/>
                <w:lang w:val="en-US" w:eastAsia="zh-CN"/>
              </w:rPr>
              <w:t>33.35</w:t>
            </w:r>
            <w:r>
              <w:rPr>
                <w:rStyle w:val="324"/>
                <w:rFonts w:hint="eastAsia" w:ascii="微软雅黑" w:hAnsi="微软雅黑" w:eastAsia="微软雅黑" w:cs="微软雅黑"/>
                <w:lang w:val="en-US" w:eastAsia="zh-CN"/>
              </w:rPr>
              <w:t>~</w:t>
            </w:r>
            <w:r>
              <w:rPr>
                <w:rStyle w:val="324"/>
                <w:rFonts w:hint="eastAsia"/>
                <w:lang w:val="en-US" w:eastAsia="zh-CN"/>
              </w:rPr>
              <w:t>36.25（57.5</w:t>
            </w:r>
            <w:r>
              <w:rPr>
                <w:rStyle w:val="324"/>
                <w:rFonts w:hint="eastAsia" w:ascii="微软雅黑" w:hAnsi="微软雅黑" w:eastAsia="微软雅黑" w:cs="微软雅黑"/>
                <w:lang w:val="en-US" w:eastAsia="zh-CN"/>
              </w:rPr>
              <w:t>~</w:t>
            </w:r>
            <w:r>
              <w:rPr>
                <w:rStyle w:val="324"/>
                <w:rFonts w:hint="eastAsia"/>
                <w:lang w:val="en-US" w:eastAsia="zh-CN"/>
              </w:rPr>
              <w:t>62.5）</w:t>
            </w:r>
          </w:p>
        </w:tc>
        <w:tc>
          <w:tcPr>
            <w:tcW w:w="1735" w:type="dxa"/>
            <w:vAlign w:val="center"/>
          </w:tcPr>
          <w:p w14:paraId="76E957E0">
            <w:pPr>
              <w:pStyle w:val="58"/>
              <w:widowControl w:val="0"/>
              <w:ind w:left="0" w:leftChars="0" w:firstLine="0" w:firstLineChars="0"/>
              <w:jc w:val="center"/>
              <w:rPr>
                <w:rStyle w:val="324"/>
                <w:rFonts w:hint="default"/>
                <w:lang w:val="en-US" w:eastAsia="zh-CN"/>
              </w:rPr>
            </w:pPr>
            <w:r>
              <w:rPr>
                <w:rStyle w:val="324"/>
                <w:rFonts w:hint="eastAsia"/>
                <w:lang w:val="en-US" w:eastAsia="zh-CN"/>
              </w:rPr>
              <w:t>5个</w:t>
            </w:r>
          </w:p>
        </w:tc>
      </w:tr>
      <w:tr w14:paraId="56ED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39064CE8">
            <w:pPr>
              <w:pStyle w:val="58"/>
              <w:widowControl w:val="0"/>
              <w:ind w:left="0" w:leftChars="0" w:firstLine="0" w:firstLineChars="0"/>
              <w:jc w:val="center"/>
              <w:rPr>
                <w:rStyle w:val="324"/>
                <w:rFonts w:hint="default"/>
                <w:lang w:val="en-US" w:eastAsia="zh-CN"/>
              </w:rPr>
            </w:pPr>
            <w:r>
              <w:rPr>
                <w:rStyle w:val="324"/>
                <w:rFonts w:hint="eastAsia"/>
                <w:lang w:val="en-US" w:eastAsia="zh-CN"/>
              </w:rPr>
              <w:t>Ⅲ类</w:t>
            </w:r>
          </w:p>
        </w:tc>
        <w:tc>
          <w:tcPr>
            <w:tcW w:w="2777" w:type="dxa"/>
            <w:vAlign w:val="center"/>
          </w:tcPr>
          <w:p w14:paraId="13563BBD">
            <w:pPr>
              <w:pStyle w:val="58"/>
              <w:widowControl w:val="0"/>
              <w:ind w:left="0" w:leftChars="0" w:firstLine="0" w:firstLineChars="0"/>
              <w:jc w:val="center"/>
              <w:rPr>
                <w:rStyle w:val="324"/>
                <w:rFonts w:hint="eastAsia"/>
                <w:lang w:val="en-US" w:eastAsia="zh-CN"/>
              </w:rPr>
            </w:pPr>
            <w:r>
              <w:rPr>
                <w:rStyle w:val="324"/>
                <w:rFonts w:hint="eastAsia"/>
                <w:lang w:val="en-US" w:eastAsia="zh-CN"/>
              </w:rPr>
              <w:t>33.35</w:t>
            </w:r>
            <w:r>
              <w:rPr>
                <w:rStyle w:val="324"/>
                <w:rFonts w:hint="eastAsia" w:ascii="微软雅黑" w:hAnsi="微软雅黑" w:eastAsia="微软雅黑" w:cs="微软雅黑"/>
                <w:lang w:val="en-US" w:eastAsia="zh-CN"/>
              </w:rPr>
              <w:t>~</w:t>
            </w:r>
            <w:r>
              <w:rPr>
                <w:rStyle w:val="324"/>
                <w:rFonts w:hint="eastAsia"/>
                <w:lang w:val="en-US" w:eastAsia="zh-CN"/>
              </w:rPr>
              <w:t>36.25（57.5</w:t>
            </w:r>
            <w:r>
              <w:rPr>
                <w:rStyle w:val="324"/>
                <w:rFonts w:hint="eastAsia" w:ascii="微软雅黑" w:hAnsi="微软雅黑" w:eastAsia="微软雅黑" w:cs="微软雅黑"/>
                <w:lang w:val="en-US" w:eastAsia="zh-CN"/>
              </w:rPr>
              <w:t>~</w:t>
            </w:r>
            <w:r>
              <w:rPr>
                <w:rStyle w:val="324"/>
                <w:rFonts w:hint="eastAsia"/>
                <w:lang w:val="en-US" w:eastAsia="zh-CN"/>
              </w:rPr>
              <w:t>62.5）</w:t>
            </w:r>
          </w:p>
        </w:tc>
        <w:tc>
          <w:tcPr>
            <w:tcW w:w="2909" w:type="dxa"/>
            <w:vAlign w:val="center"/>
          </w:tcPr>
          <w:p w14:paraId="257CBE9C">
            <w:pPr>
              <w:pStyle w:val="58"/>
              <w:widowControl w:val="0"/>
              <w:ind w:left="0" w:leftChars="0" w:firstLine="0" w:firstLineChars="0"/>
              <w:jc w:val="center"/>
              <w:rPr>
                <w:rStyle w:val="324"/>
                <w:rFonts w:hint="eastAsia"/>
                <w:lang w:val="en-US" w:eastAsia="zh-CN"/>
              </w:rPr>
            </w:pPr>
            <w:r>
              <w:rPr>
                <w:rStyle w:val="324"/>
                <w:rFonts w:hint="eastAsia"/>
                <w:lang w:val="en-US" w:eastAsia="zh-CN"/>
              </w:rPr>
              <w:t>57.71</w:t>
            </w:r>
            <w:r>
              <w:rPr>
                <w:rStyle w:val="324"/>
                <w:rFonts w:hint="eastAsia" w:ascii="微软雅黑" w:hAnsi="微软雅黑" w:eastAsia="微软雅黑" w:cs="微软雅黑"/>
                <w:lang w:val="en-US" w:eastAsia="zh-CN"/>
              </w:rPr>
              <w:t>~</w:t>
            </w:r>
            <w:r>
              <w:rPr>
                <w:rStyle w:val="324"/>
                <w:rFonts w:hint="eastAsia"/>
                <w:lang w:val="en-US" w:eastAsia="zh-CN"/>
              </w:rPr>
              <w:t>60.61（99.5</w:t>
            </w:r>
            <w:r>
              <w:rPr>
                <w:rStyle w:val="324"/>
                <w:rFonts w:hint="eastAsia" w:ascii="微软雅黑" w:hAnsi="微软雅黑" w:eastAsia="微软雅黑" w:cs="微软雅黑"/>
                <w:lang w:val="en-US" w:eastAsia="zh-CN"/>
              </w:rPr>
              <w:t>~</w:t>
            </w:r>
            <w:r>
              <w:rPr>
                <w:rStyle w:val="324"/>
                <w:rFonts w:hint="eastAsia"/>
                <w:lang w:val="en-US" w:eastAsia="zh-CN"/>
              </w:rPr>
              <w:t>104.5）</w:t>
            </w:r>
          </w:p>
        </w:tc>
        <w:tc>
          <w:tcPr>
            <w:tcW w:w="1735" w:type="dxa"/>
            <w:vAlign w:val="center"/>
          </w:tcPr>
          <w:p w14:paraId="7CEBCA1C">
            <w:pPr>
              <w:pStyle w:val="58"/>
              <w:widowControl w:val="0"/>
              <w:ind w:left="0" w:leftChars="0" w:firstLine="0" w:firstLineChars="0"/>
              <w:jc w:val="center"/>
              <w:rPr>
                <w:rStyle w:val="324"/>
                <w:rFonts w:hint="default"/>
                <w:lang w:val="en-US" w:eastAsia="zh-CN"/>
              </w:rPr>
            </w:pPr>
            <w:r>
              <w:rPr>
                <w:rStyle w:val="324"/>
                <w:rFonts w:hint="eastAsia"/>
                <w:lang w:val="en-US" w:eastAsia="zh-CN"/>
              </w:rPr>
              <w:t>3个</w:t>
            </w:r>
          </w:p>
        </w:tc>
      </w:tr>
    </w:tbl>
    <w:p w14:paraId="4232D51B">
      <w:pPr>
        <w:pStyle w:val="58"/>
        <w:spacing w:line="360" w:lineRule="auto"/>
        <w:ind w:firstLine="480"/>
        <w:rPr>
          <w:rFonts w:hint="eastAsia"/>
          <w:highlight w:val="none"/>
          <w:lang w:eastAsia="zh-CN"/>
        </w:rPr>
      </w:pPr>
      <w:r>
        <w:rPr>
          <w:rFonts w:hint="eastAsia"/>
          <w:highlight w:val="none"/>
          <w:lang w:val="en-US" w:eastAsia="zh-CN"/>
        </w:rPr>
        <w:t>若测量范围覆盖</w:t>
      </w:r>
      <w:r>
        <w:rPr>
          <w:rFonts w:hint="eastAsia"/>
          <w:highlight w:val="none"/>
        </w:rPr>
        <w:t>I类、II类和III类</w:t>
      </w:r>
      <w:r>
        <w:rPr>
          <w:rFonts w:hint="eastAsia"/>
          <w:highlight w:val="none"/>
          <w:lang w:val="en-US" w:eastAsia="zh-CN"/>
        </w:rPr>
        <w:t>测量范围</w:t>
      </w:r>
      <w:r>
        <w:rPr>
          <w:rFonts w:hint="eastAsia"/>
          <w:highlight w:val="none"/>
        </w:rPr>
        <w:t>，至少需要</w:t>
      </w:r>
      <w:r>
        <w:rPr>
          <w:rFonts w:hint="eastAsia"/>
          <w:highlight w:val="none"/>
          <w:lang w:val="en-US" w:eastAsia="zh-CN"/>
        </w:rPr>
        <w:t>9</w:t>
      </w:r>
      <w:r>
        <w:rPr>
          <w:rFonts w:hint="eastAsia"/>
          <w:highlight w:val="none"/>
        </w:rPr>
        <w:t>个标</w:t>
      </w:r>
      <w:r>
        <w:rPr>
          <w:rFonts w:hint="eastAsia"/>
          <w:highlight w:val="none"/>
          <w:lang w:val="en-US" w:eastAsia="zh-CN"/>
        </w:rPr>
        <w:t>准</w:t>
      </w:r>
      <w:r>
        <w:rPr>
          <w:rFonts w:hint="eastAsia"/>
          <w:highlight w:val="none"/>
        </w:rPr>
        <w:t>块</w:t>
      </w:r>
      <w:r>
        <w:rPr>
          <w:rFonts w:hint="eastAsia"/>
          <w:highlight w:val="none"/>
          <w:lang w:eastAsia="zh-CN"/>
        </w:rPr>
        <w:t>。</w:t>
      </w:r>
    </w:p>
    <w:p w14:paraId="341E74C2">
      <w:pPr>
        <w:pStyle w:val="58"/>
        <w:spacing w:line="360" w:lineRule="auto"/>
        <w:ind w:firstLine="480"/>
        <w:rPr>
          <w:rFonts w:hint="default"/>
          <w:lang w:val="en-US"/>
        </w:rPr>
      </w:pPr>
      <w:r>
        <w:rPr>
          <w:rFonts w:hint="eastAsia" w:cs="Times New Roman"/>
          <w:highlight w:val="none"/>
          <w:lang w:val="en-US" w:eastAsia="zh-CN"/>
        </w:rPr>
        <w:t>该条对标准块（组）的要求参考</w:t>
      </w:r>
      <w:r>
        <w:rPr>
          <w:rFonts w:hint="eastAsia"/>
          <w:lang w:val="en-US" w:eastAsia="zh-CN"/>
        </w:rPr>
        <w:t>了BAC5651：</w:t>
      </w:r>
      <w:r>
        <w:rPr>
          <w:rFonts w:ascii="Arial" w:hAnsi="Arial" w:eastAsia="宋体" w:cs="Arial"/>
          <w:color w:val="000000"/>
          <w:kern w:val="0"/>
          <w:sz w:val="19"/>
          <w:szCs w:val="19"/>
          <w:lang w:val="en-US" w:eastAsia="zh-CN" w:bidi="ar"/>
        </w:rPr>
        <w:t>6.2.2.1</w:t>
      </w:r>
      <w:r>
        <w:rPr>
          <w:rFonts w:hint="eastAsia" w:ascii="Arial" w:hAnsi="Arial" w:cs="Arial"/>
          <w:color w:val="000000"/>
          <w:kern w:val="0"/>
          <w:sz w:val="19"/>
          <w:szCs w:val="19"/>
          <w:lang w:val="en-US" w:eastAsia="zh-CN" w:bidi="ar"/>
        </w:rPr>
        <w:t>条。</w:t>
      </w:r>
    </w:p>
    <w:bookmarkEnd w:id="41"/>
    <w:bookmarkEnd w:id="42"/>
    <w:bookmarkEnd w:id="43"/>
    <w:bookmarkEnd w:id="44"/>
    <w:p w14:paraId="369EE346">
      <w:pPr>
        <w:pStyle w:val="59"/>
        <w:numPr>
          <w:numId w:val="0"/>
        </w:numPr>
        <w:tabs>
          <w:tab w:val="left" w:pos="420"/>
        </w:tabs>
        <w:bidi w:val="0"/>
        <w:ind w:leftChars="0"/>
        <w:rPr>
          <w:rFonts w:hint="default"/>
          <w:lang w:val="en-US" w:eastAsia="zh-CN"/>
        </w:rPr>
      </w:pPr>
      <w:bookmarkStart w:id="45" w:name="_Toc193618955"/>
      <w:bookmarkStart w:id="46" w:name="_Toc193860035"/>
      <w:bookmarkStart w:id="47" w:name="_Toc193860185"/>
      <w:bookmarkStart w:id="48" w:name="_Toc2741_WPSOffice_Level1"/>
      <w:bookmarkStart w:id="49" w:name="_Toc193619058"/>
      <w:bookmarkStart w:id="50" w:name="_Toc193619100"/>
      <w:bookmarkStart w:id="51" w:name="_Toc500258944"/>
      <w:bookmarkStart w:id="52" w:name="_Toc193860216"/>
      <w:r>
        <w:rPr>
          <w:rFonts w:hint="eastAsia"/>
          <w:lang w:val="en-US" w:eastAsia="zh-CN"/>
        </w:rPr>
        <w:t>6.2.2非导电材料</w:t>
      </w:r>
    </w:p>
    <w:p w14:paraId="1798E438">
      <w:pPr>
        <w:pStyle w:val="58"/>
        <w:rPr>
          <w:rFonts w:hint="default"/>
          <w:lang w:val="en-US" w:eastAsia="zh-CN"/>
        </w:rPr>
      </w:pPr>
      <w:r>
        <w:rPr>
          <w:rFonts w:hint="eastAsia"/>
          <w:lang w:val="en-US" w:eastAsia="zh-CN"/>
        </w:rPr>
        <w:t>厚度不小于0.08mm的聚四氟乙烯薄膜或其他非导电耐磨薄膜。</w:t>
      </w:r>
    </w:p>
    <w:p w14:paraId="3EB1E5BE">
      <w:pPr>
        <w:pStyle w:val="4"/>
        <w:spacing w:before="156" w:after="156"/>
        <w:rPr>
          <w:b w:val="0"/>
          <w:bCs w:val="0"/>
        </w:rPr>
      </w:pPr>
      <w:r>
        <w:rPr>
          <w:rFonts w:hint="eastAsia"/>
          <w:b w:val="0"/>
          <w:bCs w:val="0"/>
          <w:lang w:val="en-US" w:eastAsia="zh-CN"/>
        </w:rPr>
        <w:t>7</w:t>
      </w:r>
      <w:r>
        <w:rPr>
          <w:rFonts w:hint="eastAsia"/>
          <w:b w:val="0"/>
          <w:bCs w:val="0"/>
        </w:rPr>
        <w:t xml:space="preserve"> 校准项目和校准方法</w:t>
      </w:r>
      <w:bookmarkEnd w:id="45"/>
      <w:bookmarkEnd w:id="46"/>
      <w:bookmarkEnd w:id="47"/>
      <w:bookmarkEnd w:id="48"/>
      <w:bookmarkEnd w:id="49"/>
      <w:bookmarkEnd w:id="50"/>
      <w:bookmarkEnd w:id="51"/>
      <w:bookmarkEnd w:id="52"/>
    </w:p>
    <w:p w14:paraId="49C77567">
      <w:pPr>
        <w:adjustRightInd w:val="0"/>
        <w:snapToGrid w:val="0"/>
        <w:spacing w:line="360" w:lineRule="auto"/>
        <w:ind w:firstLine="420" w:firstLineChars="200"/>
        <w:rPr>
          <w:rFonts w:hint="eastAsia" w:hAnsi="宋体"/>
          <w:bCs/>
          <w:szCs w:val="21"/>
        </w:rPr>
      </w:pPr>
      <w:bookmarkStart w:id="53" w:name="_Toc22718_WPSOffice_Level2"/>
      <w:bookmarkStart w:id="54" w:name="_Toc500258945"/>
      <w:r>
        <w:rPr>
          <w:rFonts w:hint="eastAsia" w:hAnsi="宋体"/>
          <w:bCs/>
          <w:szCs w:val="21"/>
        </w:rPr>
        <w:t>规范对</w:t>
      </w:r>
      <w:r>
        <w:rPr>
          <w:rFonts w:hint="eastAsia" w:hAnsi="宋体"/>
          <w:bCs/>
          <w:szCs w:val="21"/>
          <w:lang w:val="en-US" w:eastAsia="zh-CN"/>
        </w:rPr>
        <w:t>电导率仪</w:t>
      </w:r>
      <w:r>
        <w:rPr>
          <w:rFonts w:hint="eastAsia" w:hAnsi="宋体"/>
          <w:bCs/>
          <w:szCs w:val="21"/>
        </w:rPr>
        <w:t>校准点的选择进行了描述，规范对</w:t>
      </w:r>
      <w:r>
        <w:rPr>
          <w:rFonts w:hint="eastAsia" w:hAnsi="宋体"/>
          <w:bCs/>
          <w:szCs w:val="21"/>
          <w:lang w:val="en-US" w:eastAsia="zh-CN"/>
        </w:rPr>
        <w:t>电导率仪</w:t>
      </w:r>
      <w:r>
        <w:rPr>
          <w:rFonts w:hint="eastAsia" w:hAnsi="宋体"/>
          <w:bCs/>
          <w:szCs w:val="21"/>
        </w:rPr>
        <w:t>计量特性示值误差、重复性、灵敏度、提离效应、稳定性、减小探头上操作压力的响应变化、探头垂直方向倾斜20度的响应变化的校准方法进行了详细描述。规范能较好地指导校准人员对</w:t>
      </w:r>
      <w:r>
        <w:rPr>
          <w:rFonts w:hint="eastAsia" w:hAnsi="宋体"/>
          <w:bCs/>
          <w:szCs w:val="21"/>
          <w:lang w:val="en-US" w:eastAsia="zh-CN"/>
        </w:rPr>
        <w:t>电导率仪</w:t>
      </w:r>
      <w:r>
        <w:rPr>
          <w:rFonts w:hint="eastAsia" w:hAnsi="宋体"/>
          <w:bCs/>
          <w:szCs w:val="21"/>
        </w:rPr>
        <w:t>进行校准，具有较强的可操作性。</w:t>
      </w:r>
    </w:p>
    <w:p w14:paraId="03EFBFEC">
      <w:pPr>
        <w:adjustRightInd w:val="0"/>
        <w:snapToGrid w:val="0"/>
        <w:spacing w:line="360" w:lineRule="auto"/>
        <w:rPr>
          <w:rFonts w:hint="eastAsia" w:hAnsi="宋体"/>
          <w:bCs/>
          <w:szCs w:val="21"/>
        </w:rPr>
      </w:pPr>
      <w:r>
        <w:rPr>
          <w:rFonts w:hint="eastAsia" w:hAnsi="宋体"/>
          <w:bCs/>
          <w:szCs w:val="21"/>
          <w:lang w:val="en-US" w:eastAsia="zh-CN"/>
        </w:rPr>
        <w:t>7</w:t>
      </w:r>
      <w:r>
        <w:rPr>
          <w:rFonts w:hint="eastAsia" w:hAnsi="宋体"/>
          <w:bCs/>
          <w:szCs w:val="21"/>
        </w:rPr>
        <w:t>.1 校准项目</w:t>
      </w:r>
    </w:p>
    <w:p w14:paraId="1FA2697F">
      <w:pPr>
        <w:adjustRightInd w:val="0"/>
        <w:snapToGrid w:val="0"/>
        <w:spacing w:line="360" w:lineRule="auto"/>
        <w:ind w:firstLine="420" w:firstLineChars="200"/>
        <w:rPr>
          <w:rFonts w:hint="eastAsia" w:hAnsi="宋体"/>
          <w:bCs/>
          <w:szCs w:val="21"/>
        </w:rPr>
      </w:pPr>
      <w:r>
        <w:rPr>
          <w:rFonts w:hint="eastAsia"/>
        </w:rPr>
        <w:t>校准项目有示值误差、重复性、灵敏度、提离效应、稳定性、</w:t>
      </w:r>
      <w:r>
        <w:rPr>
          <w:rFonts w:hint="eastAsia"/>
          <w:lang w:val="en-US" w:eastAsia="zh-CN"/>
        </w:rPr>
        <w:t>探头性能测试</w:t>
      </w:r>
      <w:r>
        <w:rPr>
          <w:rFonts w:hint="eastAsia" w:hAnsi="宋体"/>
          <w:bCs/>
          <w:szCs w:val="21"/>
        </w:rPr>
        <w:t>。</w:t>
      </w:r>
    </w:p>
    <w:p w14:paraId="34B5FFC9">
      <w:pPr>
        <w:adjustRightInd w:val="0"/>
        <w:snapToGrid w:val="0"/>
        <w:spacing w:line="360" w:lineRule="auto"/>
        <w:rPr>
          <w:rFonts w:hint="eastAsia" w:hAnsi="宋体"/>
          <w:bCs/>
          <w:szCs w:val="21"/>
        </w:rPr>
      </w:pPr>
      <w:r>
        <w:rPr>
          <w:rFonts w:hint="eastAsia" w:hAnsi="宋体"/>
          <w:bCs/>
          <w:szCs w:val="21"/>
          <w:lang w:val="en-US" w:eastAsia="zh-CN"/>
        </w:rPr>
        <w:t>7</w:t>
      </w:r>
      <w:r>
        <w:rPr>
          <w:rFonts w:hint="eastAsia" w:hAnsi="宋体"/>
          <w:bCs/>
          <w:szCs w:val="21"/>
        </w:rPr>
        <w:t>.2 校准方法</w:t>
      </w:r>
    </w:p>
    <w:bookmarkEnd w:id="53"/>
    <w:bookmarkEnd w:id="54"/>
    <w:p w14:paraId="65600950">
      <w:pPr>
        <w:adjustRightInd w:val="0"/>
        <w:snapToGrid w:val="0"/>
        <w:spacing w:line="360" w:lineRule="auto"/>
        <w:rPr>
          <w:highlight w:val="none"/>
        </w:rPr>
      </w:pPr>
      <w:bookmarkStart w:id="55" w:name="_Toc193860188"/>
      <w:bookmarkStart w:id="56" w:name="_Toc193860038"/>
      <w:bookmarkStart w:id="57" w:name="_Toc193860219"/>
      <w:bookmarkStart w:id="58" w:name="_Toc193619059"/>
      <w:bookmarkStart w:id="59" w:name="_Toc193619101"/>
      <w:bookmarkStart w:id="60" w:name="_Toc193618956"/>
      <w:bookmarkStart w:id="61" w:name="_Toc500258947"/>
      <w:bookmarkStart w:id="62" w:name="_Toc25466_WPSOffice_Level1"/>
      <w:r>
        <w:rPr>
          <w:rFonts w:hint="eastAsia"/>
          <w:highlight w:val="none"/>
          <w:lang w:val="en-US" w:eastAsia="zh-CN"/>
        </w:rPr>
        <w:t>7.2.1</w:t>
      </w:r>
      <w:r>
        <w:rPr>
          <w:rFonts w:hint="eastAsia"/>
          <w:highlight w:val="none"/>
        </w:rPr>
        <w:t xml:space="preserve"> </w:t>
      </w:r>
      <w:r>
        <w:rPr>
          <w:rFonts w:hint="eastAsia"/>
          <w:highlight w:val="none"/>
          <w:lang w:val="en-US" w:eastAsia="zh-CN"/>
        </w:rPr>
        <w:t>外观及通电检查</w:t>
      </w:r>
    </w:p>
    <w:p w14:paraId="038B7413">
      <w:pPr>
        <w:pStyle w:val="58"/>
        <w:spacing w:line="360" w:lineRule="auto"/>
        <w:ind w:firstLine="0" w:firstLineChars="0"/>
        <w:rPr>
          <w:rFonts w:hint="default"/>
          <w:lang w:val="en-US"/>
        </w:rPr>
      </w:pPr>
      <w:r>
        <w:rPr>
          <w:rFonts w:hint="eastAsia"/>
          <w:highlight w:val="none"/>
          <w:lang w:val="en-US" w:eastAsia="zh-CN"/>
        </w:rPr>
        <w:t>7.2.1.1 外观检查</w:t>
      </w:r>
    </w:p>
    <w:p w14:paraId="5F6D8B5A">
      <w:pPr>
        <w:pStyle w:val="58"/>
        <w:spacing w:line="360" w:lineRule="auto"/>
        <w:ind w:firstLine="480"/>
        <w:rPr>
          <w:rFonts w:hint="eastAsia"/>
          <w:highlight w:val="none"/>
        </w:rPr>
      </w:pPr>
      <w:r>
        <w:rPr>
          <w:rFonts w:hint="eastAsia"/>
          <w:highlight w:val="none"/>
          <w:lang w:val="en-US" w:eastAsia="zh-CN"/>
        </w:rPr>
        <w:t>仪器外观完好，无机械损伤，调节旋钮或按键无松动现象；面板标识清晰，应标记制造厂、仪器编号、出厂年月等；配套附件（如外附标准块、测量探头及电源等）齐全；仪器应附有使用说明书——标明仪器准确度、测量范围、自校方法及使用条件等</w:t>
      </w:r>
      <w:r>
        <w:rPr>
          <w:rFonts w:hint="eastAsia"/>
          <w:highlight w:val="none"/>
        </w:rPr>
        <w:t>。</w:t>
      </w:r>
    </w:p>
    <w:p w14:paraId="18845411">
      <w:pPr>
        <w:pStyle w:val="58"/>
        <w:spacing w:line="360" w:lineRule="auto"/>
        <w:ind w:firstLine="0" w:firstLineChars="0"/>
        <w:rPr>
          <w:rFonts w:hint="eastAsia"/>
          <w:highlight w:val="none"/>
          <w:lang w:val="en-US" w:eastAsia="zh-CN"/>
        </w:rPr>
      </w:pPr>
      <w:r>
        <w:rPr>
          <w:rFonts w:hint="eastAsia"/>
          <w:highlight w:val="none"/>
          <w:lang w:val="en-US" w:eastAsia="zh-CN"/>
        </w:rPr>
        <w:t>7.2.1.2 通电检查</w:t>
      </w:r>
    </w:p>
    <w:p w14:paraId="31CC9E0F">
      <w:pPr>
        <w:pStyle w:val="58"/>
        <w:spacing w:line="360" w:lineRule="auto"/>
        <w:ind w:firstLine="0" w:firstLineChars="0"/>
        <w:rPr>
          <w:rFonts w:hint="eastAsia"/>
          <w:highlight w:val="none"/>
          <w:lang w:val="en-US" w:eastAsia="zh-CN"/>
        </w:rPr>
      </w:pPr>
      <w:r>
        <w:rPr>
          <w:rFonts w:hint="eastAsia"/>
          <w:highlight w:val="none"/>
          <w:lang w:val="en-US" w:eastAsia="zh-CN"/>
        </w:rPr>
        <w:t xml:space="preserve">    仪器通电后开关、按键、调节旋钮、显示屏、测量仪表和各种状态指示灯（标志）应正常工作。</w:t>
      </w:r>
    </w:p>
    <w:p w14:paraId="1232FCA7">
      <w:pPr>
        <w:adjustRightInd w:val="0"/>
        <w:snapToGrid w:val="0"/>
        <w:spacing w:line="360" w:lineRule="auto"/>
        <w:rPr>
          <w:rFonts w:hint="eastAsia"/>
          <w:lang w:val="en-US" w:eastAsia="zh-CN"/>
        </w:rPr>
      </w:pPr>
      <w:r>
        <w:rPr>
          <w:rFonts w:hint="eastAsia"/>
          <w:lang w:val="en-US" w:eastAsia="zh-CN"/>
        </w:rPr>
        <w:t>7.2.2校准前准备工作</w:t>
      </w:r>
    </w:p>
    <w:p w14:paraId="43EA0050">
      <w:pPr>
        <w:pStyle w:val="58"/>
        <w:spacing w:line="360" w:lineRule="auto"/>
        <w:rPr>
          <w:rFonts w:hint="eastAsia"/>
          <w:lang w:val="en-US" w:eastAsia="zh-CN"/>
        </w:rPr>
      </w:pPr>
      <w:r>
        <w:rPr>
          <w:rFonts w:hint="eastAsia"/>
          <w:lang w:val="en-US" w:eastAsia="zh-CN"/>
        </w:rPr>
        <w:t>将探头连接到被校电导率仪上，并与标准块置于同一恒温环境中至少30min。</w:t>
      </w:r>
    </w:p>
    <w:p w14:paraId="58F2562D">
      <w:pPr>
        <w:adjustRightInd w:val="0"/>
        <w:snapToGrid w:val="0"/>
        <w:spacing w:line="360" w:lineRule="auto"/>
        <w:rPr>
          <w:rFonts w:hint="eastAsia"/>
          <w:lang w:val="en-US" w:eastAsia="zh-CN"/>
        </w:rPr>
      </w:pPr>
      <w:r>
        <w:rPr>
          <w:rFonts w:hint="eastAsia"/>
          <w:lang w:val="en-US" w:eastAsia="zh-CN"/>
        </w:rPr>
        <w:t>7.2.3示值误差</w:t>
      </w:r>
    </w:p>
    <w:p w14:paraId="7E7389E1">
      <w:pPr>
        <w:pStyle w:val="58"/>
        <w:spacing w:line="360" w:lineRule="auto"/>
        <w:ind w:firstLine="0" w:firstLineChars="0"/>
        <w:rPr>
          <w:rFonts w:hint="eastAsia"/>
          <w:lang w:val="en-US" w:eastAsia="zh-CN"/>
        </w:rPr>
      </w:pPr>
      <w:r>
        <w:rPr>
          <w:rFonts w:hint="eastAsia"/>
          <w:lang w:val="en-US" w:eastAsia="zh-CN"/>
        </w:rPr>
        <w:t>7.2.3.1 自校准</w:t>
      </w:r>
    </w:p>
    <w:p w14:paraId="5EB11868">
      <w:pPr>
        <w:pStyle w:val="58"/>
        <w:spacing w:line="360" w:lineRule="auto"/>
        <w:ind w:firstLine="480" w:firstLineChars="0"/>
        <w:rPr>
          <w:rFonts w:hint="eastAsia"/>
          <w:lang w:val="en-US" w:eastAsia="zh-CN"/>
        </w:rPr>
      </w:pPr>
      <w:r>
        <w:rPr>
          <w:rFonts w:hint="eastAsia"/>
          <w:lang w:val="en-US" w:eastAsia="zh-CN"/>
        </w:rPr>
        <w:t>参照电导率仪说明书中自校要求设定仪器自校程序，探头垂直按压于自校标准块表面中心位置，使得标准块按压范围内受力均匀且不变形，保证探头与标准块表面贴合，执行校准程序。如仪器自带多个自校标准块，按以上步骤重复自校程序，完成仪器的自校准，并保存自校结果。</w:t>
      </w:r>
    </w:p>
    <w:p w14:paraId="45FE26EF">
      <w:pPr>
        <w:pStyle w:val="58"/>
        <w:spacing w:line="360" w:lineRule="auto"/>
        <w:ind w:firstLine="0" w:firstLineChars="0"/>
        <w:rPr>
          <w:rFonts w:hint="default"/>
          <w:lang w:val="en-US" w:eastAsia="zh-CN"/>
        </w:rPr>
      </w:pPr>
      <w:r>
        <w:rPr>
          <w:rFonts w:hint="eastAsia"/>
          <w:lang w:val="en-US" w:eastAsia="zh-CN"/>
        </w:rPr>
        <w:t>7.2.3.2 校准过程</w:t>
      </w:r>
    </w:p>
    <w:p w14:paraId="48922CC2">
      <w:pPr>
        <w:pStyle w:val="58"/>
        <w:spacing w:line="360" w:lineRule="auto"/>
        <w:ind w:firstLine="480" w:firstLineChars="0"/>
        <w:rPr>
          <w:rFonts w:hint="eastAsia"/>
          <w:highlight w:val="none"/>
          <w:lang w:val="en-US" w:eastAsia="zh-CN"/>
        </w:rPr>
      </w:pPr>
      <w:r>
        <w:rPr>
          <w:rFonts w:hint="eastAsia"/>
          <w:highlight w:val="none"/>
          <w:lang w:val="en-US" w:eastAsia="zh-CN"/>
        </w:rPr>
        <w:t>被校电导率仪完成自校准后，应迅速开始电导率仪示值误差校准。一般选择测量频率为60kHz，将探头垂直适度按压于标准块表面中心位置，偏差不应大于6.35mm，使探头与标准块表面均匀贴合，待被校涡流电导率仪示值稳定，读取仪器显示值并进行记录，分别记作</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1</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2</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3</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4</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5</m:t>
            </m:r>
            <m:ctrlPr>
              <w:rPr>
                <w:rFonts w:ascii="Cambria Math" w:hAnsi="Cambria Math"/>
                <w:highlight w:val="none"/>
                <w:lang w:val="en-US"/>
              </w:rPr>
            </m:ctrlPr>
          </m:sub>
        </m:sSub>
      </m:oMath>
      <w:r>
        <w:rPr>
          <w:rFonts w:hint="eastAsia" w:hAnsi="Cambria Math"/>
          <w:i w:val="0"/>
          <w:highlight w:val="none"/>
          <w:lang w:val="en-US" w:eastAsia="zh-CN"/>
        </w:rPr>
        <w:t>，按公式（3）和（4）计算被校电导率仪示值误差</w:t>
      </w:r>
      <w:r>
        <w:rPr>
          <w:rFonts w:hint="eastAsia"/>
          <w:highlight w:val="none"/>
          <w:lang w:val="en-US" w:eastAsia="zh-CN"/>
        </w:rPr>
        <w:t>。</w:t>
      </w:r>
    </w:p>
    <w:p w14:paraId="4ED2BC3F">
      <w:pPr>
        <w:pStyle w:val="58"/>
        <w:spacing w:line="360" w:lineRule="auto"/>
        <w:ind w:firstLine="480" w:firstLineChars="0"/>
        <w:jc w:val="right"/>
        <w:rPr>
          <w:rFonts w:hint="default"/>
          <w:highlight w:val="none"/>
          <w:lang w:val="en-US" w:eastAsia="zh-CN"/>
        </w:rPr>
      </w:pPr>
      <w:r>
        <w:rPr>
          <w:rFonts w:hint="eastAsia"/>
          <w:position w:val="-24"/>
          <w:highlight w:val="none"/>
          <w:lang w:val="en-US" w:eastAsia="zh-CN"/>
        </w:rPr>
        <w:object>
          <v:shape id="_x0000_i1032" o:spt="75" type="#_x0000_t75" style="height:31pt;width:134pt;" o:ole="t" filled="f" o:preferrelative="t" stroked="f" coordsize="21600,21600">
            <v:path/>
            <v:fill on="f" focussize="0,0"/>
            <v:stroke on="f"/>
            <v:imagedata r:id="rId15" o:title=""/>
            <o:lock v:ext="edit" aspectratio="t"/>
            <w10:wrap type="none"/>
            <w10:anchorlock/>
          </v:shape>
          <o:OLEObject Type="Embed" ProgID="Equation.KSEE3" ShapeID="_x0000_i1032" DrawAspect="Content" ObjectID="_1468075725" r:id="rId14">
            <o:LockedField>false</o:LockedField>
          </o:OLEObject>
        </w:object>
      </w:r>
      <w:r>
        <w:rPr>
          <w:rFonts w:hint="eastAsia"/>
          <w:highlight w:val="none"/>
          <w:lang w:val="en-US" w:eastAsia="zh-CN"/>
        </w:rPr>
        <w:t xml:space="preserve">                            （3）</w:t>
      </w:r>
    </w:p>
    <w:p w14:paraId="5BA2F44B">
      <w:pPr>
        <w:pStyle w:val="58"/>
        <w:spacing w:line="360" w:lineRule="auto"/>
        <w:ind w:firstLine="2364" w:firstLineChars="1126"/>
        <w:jc w:val="right"/>
        <w:rPr>
          <w:rFonts w:hint="default"/>
          <w:lang w:val="en-US" w:eastAsia="zh-CN"/>
        </w:rPr>
      </w:pPr>
      <w:r>
        <w:rPr>
          <w:rFonts w:hint="default"/>
          <w:position w:val="-12"/>
          <w:lang w:val="en-US" w:eastAsia="zh-CN"/>
        </w:rPr>
        <w:object>
          <v:shape id="_x0000_i1033" o:spt="75" type="#_x0000_t75" style="height:20pt;width:70pt;" o:ole="t" filled="f" o:preferrelative="t" stroked="f" coordsize="21600,21600">
            <v:path/>
            <v:fill on="f" focussize="0,0"/>
            <v:stroke on="f"/>
            <v:imagedata r:id="rId17" o:title=""/>
            <o:lock v:ext="edit" aspectratio="t"/>
            <w10:wrap type="none"/>
            <w10:anchorlock/>
          </v:shape>
          <o:OLEObject Type="Embed" ProgID="Equation.KSEE3" ShapeID="_x0000_i1033" DrawAspect="Content" ObjectID="_1468075726" r:id="rId16">
            <o:LockedField>false</o:LockedField>
          </o:OLEObject>
        </w:object>
      </w:r>
      <w:r>
        <w:rPr>
          <w:rFonts w:hint="eastAsia"/>
          <w:lang w:val="en-US" w:eastAsia="zh-CN"/>
        </w:rPr>
        <w:t xml:space="preserve">                                  （4）</w:t>
      </w:r>
    </w:p>
    <w:p w14:paraId="73C330EF">
      <w:pPr>
        <w:pStyle w:val="58"/>
        <w:spacing w:line="360" w:lineRule="auto"/>
        <w:ind w:firstLine="480"/>
        <w:rPr>
          <w:highlight w:val="none"/>
        </w:rPr>
      </w:pPr>
      <w:r>
        <w:rPr>
          <w:rFonts w:hint="eastAsia"/>
          <w:highlight w:val="none"/>
        </w:rPr>
        <w:t>式中：</w:t>
      </w:r>
    </w:p>
    <w:p w14:paraId="366E2CA6">
      <w:pPr>
        <w:pStyle w:val="58"/>
        <w:spacing w:line="360" w:lineRule="auto"/>
        <w:ind w:firstLine="480"/>
        <w:rPr>
          <w:highlight w:val="none"/>
        </w:rPr>
      </w:pPr>
      <w:r>
        <w:rPr>
          <w:rFonts w:hint="eastAsia"/>
          <w:position w:val="-6"/>
          <w:highlight w:val="none"/>
        </w:rPr>
        <w:object>
          <v:shape id="_x0000_i1034" o:spt="75" type="#_x0000_t75" style="height:13.95pt;width:20pt;" o:ole="t" filled="f" o:preferrelative="t" stroked="f" coordsize="21600,21600">
            <v:path/>
            <v:fill on="f" focussize="0,0"/>
            <v:stroke on="f"/>
            <v:imagedata r:id="rId19" o:title=""/>
            <o:lock v:ext="edit" aspectratio="t"/>
            <w10:wrap type="none"/>
            <w10:anchorlock/>
          </v:shape>
          <o:OLEObject Type="Embed" ProgID="Equation.KSEE3" ShapeID="_x0000_i1034" DrawAspect="Content" ObjectID="_1468075727" r:id="rId18">
            <o:LockedField>false</o:LockedField>
          </o:OLEObject>
        </w:object>
      </w:r>
      <w:r>
        <w:rPr>
          <w:rFonts w:hint="eastAsia"/>
          <w:highlight w:val="none"/>
        </w:rPr>
        <w:t>——被校</w:t>
      </w:r>
      <w:r>
        <w:rPr>
          <w:rFonts w:hint="eastAsia"/>
          <w:highlight w:val="none"/>
          <w:lang w:val="en-US" w:eastAsia="zh-CN"/>
        </w:rPr>
        <w:t>电导率仪示值误差，MS/m（%IACS）</w:t>
      </w:r>
      <w:r>
        <w:rPr>
          <w:rFonts w:hint="eastAsia"/>
          <w:highlight w:val="none"/>
        </w:rPr>
        <w:t>；</w:t>
      </w:r>
    </w:p>
    <w:p w14:paraId="03B213E2">
      <w:pPr>
        <w:pStyle w:val="58"/>
        <w:spacing w:line="360" w:lineRule="auto"/>
        <w:ind w:firstLine="480"/>
        <w:rPr>
          <w:highlight w:val="none"/>
        </w:rPr>
      </w:pPr>
      <w:r>
        <w:rPr>
          <w:rFonts w:hint="eastAsia"/>
          <w:position w:val="-12"/>
          <w:highlight w:val="none"/>
        </w:rPr>
        <w:object>
          <v:shape id="_x0000_i1035" o:spt="75" type="#_x0000_t75" style="height:20pt;width:17pt;" o:ole="t" filled="f" o:preferrelative="t" stroked="f" coordsize="21600,21600">
            <v:path/>
            <v:fill on="f" focussize="0,0"/>
            <v:stroke on="f"/>
            <v:imagedata r:id="rId21" o:title=""/>
            <o:lock v:ext="edit" aspectratio="t"/>
            <w10:wrap type="none"/>
            <w10:anchorlock/>
          </v:shape>
          <o:OLEObject Type="Embed" ProgID="Equation.KSEE3" ShapeID="_x0000_i1035" DrawAspect="Content" ObjectID="_1468075728" r:id="rId20">
            <o:LockedField>false</o:LockedField>
          </o:OLEObject>
        </w:object>
      </w:r>
      <w:r>
        <w:rPr>
          <w:rFonts w:hint="eastAsia"/>
          <w:highlight w:val="none"/>
        </w:rPr>
        <w:t>——</w:t>
      </w:r>
      <w:r>
        <w:rPr>
          <w:rFonts w:hint="eastAsia"/>
          <w:highlight w:val="none"/>
          <w:lang w:val="en-US" w:eastAsia="zh-CN"/>
        </w:rPr>
        <w:t>被校电导率仪校准平均值，MS/m（%IACS）</w:t>
      </w:r>
      <w:r>
        <w:rPr>
          <w:rFonts w:hint="eastAsia"/>
          <w:highlight w:val="none"/>
        </w:rPr>
        <w:t>；</w:t>
      </w:r>
    </w:p>
    <w:p w14:paraId="58C75591">
      <w:pPr>
        <w:pStyle w:val="58"/>
        <w:spacing w:line="360" w:lineRule="auto"/>
        <w:ind w:firstLine="480"/>
        <w:rPr>
          <w:rFonts w:hint="eastAsia"/>
          <w:highlight w:val="none"/>
          <w:lang w:val="en-US" w:eastAsia="zh-CN"/>
        </w:rPr>
      </w:pPr>
      <w:r>
        <w:rPr>
          <w:rFonts w:hint="eastAsia"/>
          <w:position w:val="-12"/>
          <w:highlight w:val="none"/>
        </w:rPr>
        <w:object>
          <v:shape id="_x0000_i1036" o:spt="75" type="#_x0000_t75" style="height:18pt;width:16pt;" o:ole="t" filled="f" o:preferrelative="t" stroked="f" coordsize="21600,21600">
            <v:path/>
            <v:fill on="f" focussize="0,0"/>
            <v:stroke on="f"/>
            <v:imagedata r:id="rId23" o:title=""/>
            <o:lock v:ext="edit" aspectratio="t"/>
            <w10:wrap type="none"/>
            <w10:anchorlock/>
          </v:shape>
          <o:OLEObject Type="Embed" ProgID="Equation.KSEE3" ShapeID="_x0000_i1036" DrawAspect="Content" ObjectID="_1468075729" r:id="rId22">
            <o:LockedField>false</o:LockedField>
          </o:OLEObject>
        </w:object>
      </w:r>
      <w:r>
        <w:rPr>
          <w:rFonts w:hint="eastAsia"/>
          <w:highlight w:val="none"/>
        </w:rPr>
        <w:t>——</w:t>
      </w:r>
      <w:r>
        <w:rPr>
          <w:rFonts w:hint="eastAsia"/>
          <w:highlight w:val="none"/>
          <w:lang w:val="en-US" w:eastAsia="zh-CN"/>
        </w:rPr>
        <w:t>电导率标准块的校准值，MS/m（%IACS）。</w:t>
      </w:r>
    </w:p>
    <w:p w14:paraId="37EA7FE5">
      <w:pPr>
        <w:adjustRightInd w:val="0"/>
        <w:snapToGrid w:val="0"/>
        <w:spacing w:line="360" w:lineRule="auto"/>
        <w:rPr>
          <w:highlight w:val="none"/>
        </w:rPr>
      </w:pPr>
      <w:r>
        <w:rPr>
          <w:rFonts w:hint="eastAsia"/>
          <w:highlight w:val="none"/>
          <w:lang w:val="en-US" w:eastAsia="zh-CN"/>
        </w:rPr>
        <w:t>7.2.</w:t>
      </w:r>
      <w:r>
        <w:rPr>
          <w:rFonts w:hint="eastAsia" w:ascii="Times New Roman" w:hAnsi="Times New Roman" w:cs="Times New Roman"/>
          <w:lang w:val="en-US" w:eastAsia="zh-CN"/>
        </w:rPr>
        <w:t xml:space="preserve">4 </w:t>
      </w:r>
      <w:r>
        <w:rPr>
          <w:rFonts w:hint="eastAsia"/>
          <w:highlight w:val="none"/>
          <w:lang w:val="en-US" w:eastAsia="zh-CN"/>
        </w:rPr>
        <w:t xml:space="preserve">重复性       </w:t>
      </w:r>
    </w:p>
    <w:p w14:paraId="27E90555">
      <w:pPr>
        <w:pStyle w:val="58"/>
        <w:spacing w:line="360" w:lineRule="auto"/>
        <w:ind w:firstLine="480" w:firstLineChars="0"/>
        <w:rPr>
          <w:rFonts w:hint="default"/>
          <w:highlight w:val="none"/>
          <w:lang w:val="en-US" w:eastAsia="zh-CN"/>
        </w:rPr>
      </w:pPr>
      <w:r>
        <w:rPr>
          <w:rFonts w:hint="eastAsia"/>
          <w:highlight w:val="none"/>
          <w:lang w:val="en-US" w:eastAsia="zh-CN"/>
        </w:rPr>
        <w:t>根据7.2.3.2测量结果计算重复性，重复性为5次测量结果的最大值与最小值的差值。</w:t>
      </w:r>
    </w:p>
    <w:p w14:paraId="2B3734F2">
      <w:pPr>
        <w:pStyle w:val="58"/>
        <w:spacing w:line="360" w:lineRule="auto"/>
        <w:ind w:firstLine="480" w:firstLineChars="0"/>
        <w:jc w:val="right"/>
        <w:rPr>
          <w:rFonts w:hint="default"/>
          <w:highlight w:val="none"/>
          <w:lang w:val="en-US" w:eastAsia="zh-CN"/>
        </w:rPr>
      </w:pPr>
      <w:r>
        <w:rPr>
          <w:rFonts w:hint="eastAsia"/>
          <w:position w:val="-12"/>
          <w:highlight w:val="none"/>
          <w:lang w:val="en-US" w:eastAsia="zh-CN"/>
        </w:rPr>
        <w:object>
          <v:shape id="_x0000_i1037" o:spt="75" type="#_x0000_t75" style="height:18pt;width:72pt;" o:ole="t" filled="f" o:preferrelative="t" stroked="f" coordsize="21600,21600">
            <v:path/>
            <v:fill on="f" focussize="0,0"/>
            <v:stroke on="f"/>
            <v:imagedata r:id="rId25" o:title=""/>
            <o:lock v:ext="edit" aspectratio="t"/>
            <w10:wrap type="none"/>
            <w10:anchorlock/>
          </v:shape>
          <o:OLEObject Type="Embed" ProgID="Equation.KSEE3" ShapeID="_x0000_i1037" DrawAspect="Content" ObjectID="_1468075730" r:id="rId24">
            <o:LockedField>false</o:LockedField>
          </o:OLEObject>
        </w:object>
      </w:r>
      <w:r>
        <w:rPr>
          <w:rFonts w:hint="eastAsia"/>
          <w:highlight w:val="none"/>
          <w:lang w:val="en-US" w:eastAsia="zh-CN"/>
        </w:rPr>
        <w:t xml:space="preserve">                                 （5）</w:t>
      </w:r>
    </w:p>
    <w:p w14:paraId="1F0BB6ED">
      <w:pPr>
        <w:pStyle w:val="58"/>
        <w:spacing w:line="360" w:lineRule="auto"/>
        <w:ind w:firstLine="420"/>
        <w:rPr>
          <w:rFonts w:hint="eastAsia" w:hAnsi="宋体"/>
        </w:rPr>
      </w:pPr>
      <w:r>
        <w:rPr>
          <w:rFonts w:hint="eastAsia" w:hAnsi="宋体"/>
        </w:rPr>
        <w:t>式中：</w:t>
      </w:r>
    </w:p>
    <w:p w14:paraId="5F7B053C">
      <w:pPr>
        <w:pStyle w:val="58"/>
        <w:spacing w:line="360" w:lineRule="auto"/>
        <w:ind w:firstLine="420"/>
        <w:rPr>
          <w:rFonts w:hint="eastAsia" w:hAnsi="宋体" w:cs="宋体"/>
        </w:rPr>
      </w:pPr>
      <w:r>
        <w:rPr>
          <w:rFonts w:hint="eastAsia" w:hAnsi="宋体"/>
          <w:position w:val="-6"/>
        </w:rPr>
        <w:object>
          <v:shape id="_x0000_i1038" o:spt="75" type="#_x0000_t75" style="height:11pt;width:9pt;" o:ole="t" filled="f" o:preferrelative="t" stroked="f" coordsize="21600,21600">
            <v:path/>
            <v:fill on="f" focussize="0,0"/>
            <v:stroke on="f"/>
            <v:imagedata r:id="rId27" o:title=""/>
            <o:lock v:ext="edit" aspectratio="t"/>
            <w10:wrap type="none"/>
            <w10:anchorlock/>
          </v:shape>
          <o:OLEObject Type="Embed" ProgID="Equation.KSEE3" ShapeID="_x0000_i1038" DrawAspect="Content" ObjectID="_1468075731" r:id="rId26">
            <o:LockedField>false</o:LockedField>
          </o:OLEObject>
        </w:object>
      </w:r>
      <w:r>
        <w:rPr>
          <w:rFonts w:hint="eastAsia" w:hAnsi="宋体"/>
          <w:position w:val="-6"/>
          <w:lang w:eastAsia="zh-CN"/>
        </w:rPr>
        <w:t>——</w:t>
      </w:r>
      <w:r>
        <w:rPr>
          <w:rFonts w:hint="eastAsia" w:cs="宋体"/>
          <w:lang w:val="en-US" w:eastAsia="zh-CN"/>
        </w:rPr>
        <w:t>重复性</w:t>
      </w:r>
      <w:r>
        <w:rPr>
          <w:rFonts w:hint="eastAsia" w:hAnsi="宋体" w:cs="宋体"/>
        </w:rPr>
        <w:t>，</w:t>
      </w:r>
      <w:r>
        <w:rPr>
          <w:rFonts w:hint="eastAsia"/>
          <w:highlight w:val="none"/>
          <w:lang w:val="en-US" w:eastAsia="zh-CN"/>
        </w:rPr>
        <w:t>MS/m（%IACS）</w:t>
      </w:r>
      <w:r>
        <w:rPr>
          <w:rFonts w:hint="eastAsia" w:hAnsi="宋体" w:cs="宋体"/>
        </w:rPr>
        <w:t>；</w:t>
      </w:r>
    </w:p>
    <w:p w14:paraId="2ADDB90B">
      <w:pPr>
        <w:pStyle w:val="58"/>
        <w:spacing w:line="360" w:lineRule="auto"/>
        <w:ind w:firstLine="420"/>
        <w:rPr>
          <w:rFonts w:hint="eastAsia" w:hAnsi="宋体" w:cs="宋体"/>
        </w:rPr>
      </w:pPr>
      <w:r>
        <w:rPr>
          <w:rFonts w:hint="eastAsia" w:hAnsi="宋体" w:cs="宋体"/>
          <w:position w:val="-12"/>
        </w:rPr>
        <w:object>
          <v:shape id="_x0000_i1039" o:spt="75" type="#_x0000_t75" style="height:18pt;width:24pt;" o:ole="t" filled="f" o:preferrelative="t" stroked="f" coordsize="21600,21600">
            <v:path/>
            <v:fill on="f" focussize="0,0"/>
            <v:stroke on="f"/>
            <v:imagedata r:id="rId29" o:title=""/>
            <o:lock v:ext="edit" aspectratio="t"/>
            <w10:wrap type="none"/>
            <w10:anchorlock/>
          </v:shape>
          <o:OLEObject Type="Embed" ProgID="Equation.KSEE3" ShapeID="_x0000_i1039" DrawAspect="Content" ObjectID="_1468075732" r:id="rId28">
            <o:LockedField>false</o:LockedField>
          </o:OLEObject>
        </w:object>
      </w:r>
      <w:r>
        <w:rPr>
          <w:rFonts w:hint="eastAsia" w:hAnsi="宋体" w:cs="宋体"/>
          <w:lang w:eastAsia="zh-CN"/>
        </w:rPr>
        <w:t>——</w:t>
      </w:r>
      <w:r>
        <w:rPr>
          <w:rFonts w:hint="eastAsia" w:cs="宋体"/>
          <w:lang w:val="en-US" w:eastAsia="zh-CN"/>
        </w:rPr>
        <w:t>测量</w:t>
      </w:r>
      <w:r>
        <w:rPr>
          <w:rFonts w:hint="eastAsia"/>
          <w:highlight w:val="none"/>
          <w:lang w:val="en-US" w:eastAsia="zh-CN"/>
        </w:rPr>
        <w:t>结果的最大值，MS/m（%IACS）</w:t>
      </w:r>
      <w:r>
        <w:rPr>
          <w:rFonts w:hint="eastAsia"/>
          <w:highlight w:val="none"/>
        </w:rPr>
        <w:t>；</w:t>
      </w:r>
    </w:p>
    <w:p w14:paraId="09FCFA96">
      <w:pPr>
        <w:pStyle w:val="58"/>
        <w:spacing w:line="360" w:lineRule="auto"/>
        <w:ind w:firstLine="420"/>
        <w:rPr>
          <w:rFonts w:hint="eastAsia" w:hAnsi="宋体" w:eastAsia="宋体" w:cs="宋体"/>
          <w:lang w:eastAsia="zh-CN"/>
        </w:rPr>
      </w:pPr>
      <w:r>
        <w:rPr>
          <w:rFonts w:hint="eastAsia" w:hAnsi="宋体" w:cs="宋体"/>
          <w:position w:val="-10"/>
        </w:rPr>
        <w:object>
          <v:shape id="_x0000_i1040" o:spt="75" type="#_x0000_t75" style="height:17pt;width:23pt;" o:ole="t" filled="f" o:preferrelative="t" stroked="f" coordsize="21600,21600">
            <v:path/>
            <v:fill on="f" focussize="0,0"/>
            <v:stroke on="f"/>
            <v:imagedata r:id="rId31" o:title=""/>
            <o:lock v:ext="edit" aspectratio="t"/>
            <w10:wrap type="none"/>
            <w10:anchorlock/>
          </v:shape>
          <o:OLEObject Type="Embed" ProgID="Equation.KSEE3" ShapeID="_x0000_i1040" DrawAspect="Content" ObjectID="_1468075733" r:id="rId30">
            <o:LockedField>false</o:LockedField>
          </o:OLEObject>
        </w:object>
      </w:r>
      <w:r>
        <w:rPr>
          <w:rFonts w:hint="eastAsia" w:hAnsi="宋体" w:cs="宋体"/>
          <w:lang w:eastAsia="zh-CN"/>
        </w:rPr>
        <w:t>——</w:t>
      </w:r>
      <w:r>
        <w:rPr>
          <w:rFonts w:hint="eastAsia"/>
          <w:highlight w:val="none"/>
          <w:lang w:val="en-US" w:eastAsia="zh-CN"/>
        </w:rPr>
        <w:t>测量结果的最小值，MS/m（%IACS）</w:t>
      </w:r>
      <w:r>
        <w:rPr>
          <w:rFonts w:hint="eastAsia" w:hAnsi="宋体" w:cs="宋体"/>
          <w:lang w:eastAsia="zh-CN"/>
        </w:rPr>
        <w:t>。</w:t>
      </w:r>
    </w:p>
    <w:p w14:paraId="4D05693F">
      <w:pPr>
        <w:adjustRightInd w:val="0"/>
        <w:snapToGrid w:val="0"/>
        <w:spacing w:line="360" w:lineRule="auto"/>
        <w:rPr>
          <w:rFonts w:hint="default"/>
          <w:lang w:val="en-US" w:eastAsia="zh-CN"/>
        </w:rPr>
      </w:pPr>
      <w:r>
        <w:rPr>
          <w:rFonts w:hint="eastAsia"/>
          <w:lang w:val="en-US" w:eastAsia="zh-CN"/>
        </w:rPr>
        <w:t>7.2.5</w:t>
      </w:r>
      <w:r>
        <w:rPr>
          <w:rFonts w:hint="eastAsia" w:ascii="Times New Roman" w:hAnsi="Times New Roman" w:cs="Times New Roman"/>
          <w:lang w:val="en-US" w:eastAsia="zh-CN"/>
        </w:rPr>
        <w:t>灵敏度</w:t>
      </w:r>
    </w:p>
    <w:p w14:paraId="62407A36">
      <w:pPr>
        <w:pStyle w:val="58"/>
        <w:spacing w:line="360" w:lineRule="auto"/>
        <w:ind w:firstLine="480"/>
        <w:jc w:val="both"/>
        <w:rPr>
          <w:color w:val="auto"/>
          <w:highlight w:val="none"/>
        </w:rPr>
      </w:pPr>
      <w:r>
        <w:rPr>
          <w:rFonts w:hint="eastAsia"/>
          <w:color w:val="auto"/>
          <w:highlight w:val="none"/>
          <w:lang w:val="en-US" w:eastAsia="zh-CN"/>
        </w:rPr>
        <w:t xml:space="preserve"> 取两块电导率值相差不大于0.29MS/m的标准块，用电导率仪分别测试这两块标准块。将探头垂直适度按压于标准块表面中心位置，偏差不应大于6.35mm，使探头与标准块表面均匀贴合，待被校涡流电导率仪示值稳定，读取仪器显示值并进行记录，电导率仪的测量值能明确辨别出标准块的变化。标准块数值之差为电导率仪灵敏度。</w:t>
      </w:r>
    </w:p>
    <w:p w14:paraId="7F9CCBF7">
      <w:pPr>
        <w:adjustRightInd w:val="0"/>
        <w:snapToGrid w:val="0"/>
        <w:spacing w:line="360" w:lineRule="auto"/>
        <w:rPr>
          <w:rFonts w:hint="default"/>
          <w:highlight w:val="none"/>
          <w:lang w:val="en-US"/>
        </w:rPr>
      </w:pPr>
      <w:r>
        <w:rPr>
          <w:rFonts w:hint="eastAsia"/>
          <w:highlight w:val="none"/>
          <w:lang w:val="en-US" w:eastAsia="zh-CN"/>
        </w:rPr>
        <w:t>7.2.6</w:t>
      </w:r>
      <w:r>
        <w:rPr>
          <w:rFonts w:hint="eastAsia"/>
          <w:highlight w:val="none"/>
        </w:rPr>
        <w:t xml:space="preserve"> </w:t>
      </w:r>
      <w:r>
        <w:rPr>
          <w:rFonts w:hint="eastAsia"/>
          <w:highlight w:val="none"/>
          <w:lang w:val="en-US" w:eastAsia="zh-CN"/>
        </w:rPr>
        <w:t>提离</w:t>
      </w:r>
      <w:r>
        <w:rPr>
          <w:rFonts w:hint="eastAsia" w:ascii="Times New Roman" w:hAnsi="Times New Roman" w:cs="Times New Roman"/>
          <w:lang w:val="en-US" w:eastAsia="zh-CN"/>
        </w:rPr>
        <w:t>效应</w:t>
      </w:r>
    </w:p>
    <w:p w14:paraId="1CC6D0C3">
      <w:pPr>
        <w:pStyle w:val="58"/>
        <w:spacing w:line="360" w:lineRule="auto"/>
        <w:ind w:firstLine="480" w:firstLineChars="0"/>
        <w:rPr>
          <w:rFonts w:hint="eastAsia"/>
          <w:lang w:val="en-US" w:eastAsia="zh-CN"/>
        </w:rPr>
      </w:pPr>
      <w:r>
        <w:rPr>
          <w:rFonts w:hint="eastAsia"/>
          <w:highlight w:val="none"/>
          <w:lang w:val="en-US" w:eastAsia="zh-CN"/>
        </w:rPr>
        <w:t>将被校电导率仪探头置于标准块表面中心位置，偏差不应大于6.35mm，读取电导率仪示值</w:t>
      </w:r>
      <w:r>
        <w:rPr>
          <w:rFonts w:hint="eastAsia"/>
          <w:position w:val="-10"/>
          <w:highlight w:val="none"/>
          <w:lang w:val="en-US" w:eastAsia="zh-CN"/>
        </w:rPr>
        <w:object>
          <v:shape id="_x0000_i1041" o:spt="75" type="#_x0000_t75" style="height:17pt;width:13.95pt;" o:ole="t" filled="f" o:preferrelative="t" stroked="f" coordsize="21600,21600">
            <v:path/>
            <v:fill on="f" focussize="0,0"/>
            <v:stroke on="f"/>
            <v:imagedata r:id="rId33" o:title=""/>
            <o:lock v:ext="edit" aspectratio="t"/>
            <w10:wrap type="none"/>
            <w10:anchorlock/>
          </v:shape>
          <o:OLEObject Type="Embed" ProgID="Equation.KSEE3" ShapeID="_x0000_i1041" DrawAspect="Content" ObjectID="_1468075734" r:id="rId32">
            <o:LockedField>false</o:LockedField>
          </o:OLEObject>
        </w:object>
      </w:r>
      <w:r>
        <w:rPr>
          <w:rFonts w:hint="eastAsia"/>
          <w:highlight w:val="none"/>
        </w:rPr>
        <w:t>。</w:t>
      </w:r>
      <w:r>
        <w:rPr>
          <w:rFonts w:hint="eastAsia"/>
          <w:highlight w:val="none"/>
          <w:lang w:val="en-US" w:eastAsia="zh-CN"/>
        </w:rPr>
        <w:t>在标准块上放置厚度不小于0.08mm的非导电材料，将被校电导率仪探头置于非导电材料上，探头位于标准块表面中心位置，偏差不应大于6.35mm，读取电导率仪示值</w:t>
      </w:r>
      <w:r>
        <w:rPr>
          <w:rFonts w:hint="eastAsia"/>
          <w:position w:val="-10"/>
          <w:highlight w:val="none"/>
          <w:lang w:val="en-US" w:eastAsia="zh-CN"/>
        </w:rPr>
        <w:object>
          <v:shape id="_x0000_i1042" o:spt="75" type="#_x0000_t75" style="height:17pt;width:16pt;" o:ole="t" filled="f" o:preferrelative="t" stroked="f" coordsize="21600,21600">
            <v:path/>
            <v:fill on="f" focussize="0,0"/>
            <v:stroke on="f"/>
            <v:imagedata r:id="rId35" o:title=""/>
            <o:lock v:ext="edit" aspectratio="t"/>
            <w10:wrap type="none"/>
            <w10:anchorlock/>
          </v:shape>
          <o:OLEObject Type="Embed" ProgID="Equation.KSEE3" ShapeID="_x0000_i1042" DrawAspect="Content" ObjectID="_1468075735" r:id="rId34">
            <o:LockedField>false</o:LockedField>
          </o:OLEObject>
        </w:object>
      </w:r>
      <w:r>
        <w:rPr>
          <w:rFonts w:hint="eastAsia"/>
          <w:highlight w:val="none"/>
          <w:lang w:val="en-US" w:eastAsia="zh-CN"/>
        </w:rPr>
        <w:t>，两次读数的差值为提离效应</w:t>
      </w:r>
      <w:r>
        <w:rPr>
          <w:rFonts w:hint="eastAsia"/>
          <w:position w:val="-4"/>
          <w:highlight w:val="none"/>
          <w:lang w:val="en-US" w:eastAsia="zh-CN"/>
        </w:rPr>
        <w:object>
          <v:shape id="_x0000_i1043" o:spt="75" type="#_x0000_t75" style="height:13pt;width:11pt;" o:ole="t" filled="f" o:preferrelative="t" stroked="f" coordsize="21600,21600">
            <v:path/>
            <v:fill on="f" focussize="0,0"/>
            <v:stroke on="f"/>
            <v:imagedata r:id="rId37" o:title=""/>
            <o:lock v:ext="edit" aspectratio="t"/>
            <w10:wrap type="none"/>
            <w10:anchorlock/>
          </v:shape>
          <o:OLEObject Type="Embed" ProgID="Equation.KSEE3" ShapeID="_x0000_i1043" DrawAspect="Content" ObjectID="_1468075736" r:id="rId36">
            <o:LockedField>false</o:LockedField>
          </o:OLEObject>
        </w:object>
      </w:r>
      <w:r>
        <w:rPr>
          <w:rFonts w:hint="eastAsia"/>
          <w:highlight w:val="none"/>
          <w:lang w:val="en-US" w:eastAsia="zh-CN"/>
        </w:rPr>
        <w:t>。</w:t>
      </w:r>
      <w:r>
        <w:rPr>
          <w:rFonts w:hint="eastAsia"/>
          <w:lang w:val="en-US" w:eastAsia="zh-CN"/>
        </w:rPr>
        <w:t>提离效应按式（5）计算：</w:t>
      </w:r>
    </w:p>
    <w:p w14:paraId="30BABCBD">
      <w:pPr>
        <w:pStyle w:val="58"/>
        <w:spacing w:line="360" w:lineRule="auto"/>
        <w:ind w:firstLine="2364" w:firstLineChars="1126"/>
        <w:jc w:val="right"/>
        <w:rPr>
          <w:rFonts w:hint="default"/>
          <w:lang w:val="en-US" w:eastAsia="zh-CN"/>
        </w:rPr>
      </w:pPr>
      <w:r>
        <w:rPr>
          <w:rFonts w:hint="default"/>
          <w:position w:val="-10"/>
          <w:lang w:val="en-US" w:eastAsia="zh-CN"/>
        </w:rPr>
        <w:object>
          <v:shape id="_x0000_i1044" o:spt="75" type="#_x0000_t75" style="height:17pt;width:59pt;" o:ole="t" filled="f" o:preferrelative="t" stroked="f" coordsize="21600,21600">
            <v:path/>
            <v:fill on="f" focussize="0,0"/>
            <v:stroke on="f"/>
            <v:imagedata r:id="rId39" o:title=""/>
            <o:lock v:ext="edit" aspectratio="t"/>
            <w10:wrap type="none"/>
            <w10:anchorlock/>
          </v:shape>
          <o:OLEObject Type="Embed" ProgID="Equation.KSEE3" ShapeID="_x0000_i1044" DrawAspect="Content" ObjectID="_1468075737" r:id="rId38">
            <o:LockedField>false</o:LockedField>
          </o:OLEObject>
        </w:object>
      </w:r>
      <w:r>
        <w:rPr>
          <w:rFonts w:hint="eastAsia"/>
          <w:lang w:val="en-US" w:eastAsia="zh-CN"/>
        </w:rPr>
        <w:t xml:space="preserve">                                 （6）</w:t>
      </w:r>
    </w:p>
    <w:p w14:paraId="731139F4">
      <w:pPr>
        <w:pStyle w:val="58"/>
        <w:spacing w:line="360" w:lineRule="auto"/>
        <w:ind w:firstLine="480"/>
        <w:rPr>
          <w:highlight w:val="none"/>
        </w:rPr>
      </w:pPr>
      <w:r>
        <w:rPr>
          <w:rFonts w:hint="eastAsia"/>
          <w:lang w:val="en-US" w:eastAsia="zh-CN"/>
        </w:rPr>
        <w:t xml:space="preserve">  </w:t>
      </w:r>
      <w:r>
        <w:rPr>
          <w:rFonts w:hint="eastAsia"/>
          <w:highlight w:val="none"/>
        </w:rPr>
        <w:t>式中：</w:t>
      </w:r>
    </w:p>
    <w:p w14:paraId="73E30376">
      <w:pPr>
        <w:pStyle w:val="58"/>
        <w:spacing w:line="360" w:lineRule="auto"/>
        <w:ind w:firstLine="480"/>
        <w:rPr>
          <w:highlight w:val="none"/>
        </w:rPr>
      </w:pPr>
      <w:r>
        <w:rPr>
          <w:rFonts w:hint="eastAsia"/>
          <w:position w:val="-4"/>
          <w:highlight w:val="none"/>
        </w:rPr>
        <w:object>
          <v:shape id="_x0000_i1045" o:spt="75" type="#_x0000_t75" style="height:13pt;width:11pt;" o:ole="t" filled="f" o:preferrelative="t" stroked="f" coordsize="21600,21600">
            <v:path/>
            <v:fill on="f" focussize="0,0"/>
            <v:stroke on="f"/>
            <v:imagedata r:id="rId41" o:title=""/>
            <o:lock v:ext="edit" aspectratio="t"/>
            <w10:wrap type="none"/>
            <w10:anchorlock/>
          </v:shape>
          <o:OLEObject Type="Embed" ProgID="Equation.KSEE3" ShapeID="_x0000_i1045" DrawAspect="Content" ObjectID="_1468075738" r:id="rId40">
            <o:LockedField>false</o:LockedField>
          </o:OLEObject>
        </w:object>
      </w:r>
      <w:r>
        <w:rPr>
          <w:rFonts w:hint="eastAsia"/>
          <w:highlight w:val="none"/>
        </w:rPr>
        <w:t>——被校</w:t>
      </w:r>
      <w:r>
        <w:rPr>
          <w:rFonts w:hint="eastAsia"/>
          <w:highlight w:val="none"/>
          <w:lang w:val="en-US" w:eastAsia="zh-CN"/>
        </w:rPr>
        <w:t>电导率仪提离效应，MS/m（%IACS）</w:t>
      </w:r>
      <w:r>
        <w:rPr>
          <w:rFonts w:hint="eastAsia"/>
          <w:highlight w:val="none"/>
        </w:rPr>
        <w:t>；</w:t>
      </w:r>
    </w:p>
    <w:p w14:paraId="0CF5A3E2">
      <w:pPr>
        <w:pStyle w:val="58"/>
        <w:spacing w:line="360" w:lineRule="auto"/>
        <w:ind w:firstLine="480"/>
        <w:rPr>
          <w:highlight w:val="none"/>
        </w:rPr>
      </w:pPr>
      <w:r>
        <w:rPr>
          <w:rFonts w:hint="eastAsia"/>
          <w:position w:val="-10"/>
          <w:highlight w:val="none"/>
        </w:rPr>
        <w:object>
          <v:shape id="_x0000_i1046" o:spt="75" type="#_x0000_t75" style="height:17pt;width:13.95pt;" o:ole="t" filled="f" o:preferrelative="t" stroked="f" coordsize="21600,21600">
            <v:path/>
            <v:fill on="f" focussize="0,0"/>
            <v:stroke on="f"/>
            <v:imagedata r:id="rId43" o:title=""/>
            <o:lock v:ext="edit" aspectratio="t"/>
            <w10:wrap type="none"/>
            <w10:anchorlock/>
          </v:shape>
          <o:OLEObject Type="Embed" ProgID="Equation.KSEE3" ShapeID="_x0000_i1046" DrawAspect="Content" ObjectID="_1468075739" r:id="rId42">
            <o:LockedField>false</o:LockedField>
          </o:OLEObject>
        </w:object>
      </w:r>
      <w:r>
        <w:rPr>
          <w:rFonts w:hint="eastAsia"/>
          <w:highlight w:val="none"/>
        </w:rPr>
        <w:t>——</w:t>
      </w:r>
      <w:r>
        <w:rPr>
          <w:rFonts w:hint="eastAsia"/>
          <w:highlight w:val="none"/>
          <w:lang w:val="en-US" w:eastAsia="zh-CN"/>
        </w:rPr>
        <w:t>电导率仪直接测标准块示值，MS/m（%IACS）</w:t>
      </w:r>
      <w:r>
        <w:rPr>
          <w:rFonts w:hint="eastAsia"/>
          <w:highlight w:val="none"/>
        </w:rPr>
        <w:t>；</w:t>
      </w:r>
    </w:p>
    <w:p w14:paraId="58494D01">
      <w:pPr>
        <w:pStyle w:val="58"/>
        <w:spacing w:line="360" w:lineRule="auto"/>
        <w:ind w:firstLine="480"/>
        <w:rPr>
          <w:rFonts w:hint="default" w:eastAsia="宋体"/>
          <w:highlight w:val="none"/>
          <w:lang w:val="en-US" w:eastAsia="zh-CN"/>
        </w:rPr>
      </w:pPr>
      <w:r>
        <w:rPr>
          <w:rFonts w:hint="eastAsia"/>
          <w:position w:val="-10"/>
          <w:highlight w:val="none"/>
        </w:rPr>
        <w:object>
          <v:shape id="_x0000_i1047" o:spt="75" type="#_x0000_t75" style="height:17pt;width:16pt;" o:ole="t" filled="f" o:preferrelative="t" stroked="f" coordsize="21600,21600">
            <v:path/>
            <v:fill on="f" focussize="0,0"/>
            <v:stroke on="f"/>
            <v:imagedata r:id="rId45" o:title=""/>
            <o:lock v:ext="edit" aspectratio="t"/>
            <w10:wrap type="none"/>
            <w10:anchorlock/>
          </v:shape>
          <o:OLEObject Type="Embed" ProgID="Equation.KSEE3" ShapeID="_x0000_i1047" DrawAspect="Content" ObjectID="_1468075740" r:id="rId44">
            <o:LockedField>false</o:LockedField>
          </o:OLEObject>
        </w:object>
      </w:r>
      <w:r>
        <w:rPr>
          <w:rFonts w:hint="eastAsia"/>
          <w:highlight w:val="none"/>
        </w:rPr>
        <w:t>——</w:t>
      </w:r>
      <w:r>
        <w:rPr>
          <w:rFonts w:hint="eastAsia"/>
          <w:highlight w:val="none"/>
          <w:lang w:val="en-US" w:eastAsia="zh-CN"/>
        </w:rPr>
        <w:t>电导率仪测标准块加上非导电材料后示值，MS/m（%IACS）。</w:t>
      </w:r>
    </w:p>
    <w:p w14:paraId="64EA0057">
      <w:pPr>
        <w:adjustRightInd w:val="0"/>
        <w:snapToGrid w:val="0"/>
        <w:spacing w:line="360" w:lineRule="auto"/>
        <w:rPr>
          <w:rFonts w:hint="default"/>
          <w:highlight w:val="none"/>
          <w:lang w:val="en-US"/>
        </w:rPr>
      </w:pPr>
      <w:r>
        <w:rPr>
          <w:rFonts w:hint="eastAsia"/>
          <w:highlight w:val="none"/>
          <w:lang w:val="en-US" w:eastAsia="zh-CN"/>
        </w:rPr>
        <w:t>7.2.7</w:t>
      </w:r>
      <w:r>
        <w:rPr>
          <w:rFonts w:hint="eastAsia"/>
          <w:highlight w:val="none"/>
        </w:rPr>
        <w:t xml:space="preserve"> </w:t>
      </w:r>
      <w:r>
        <w:rPr>
          <w:rFonts w:hint="eastAsia"/>
          <w:highlight w:val="none"/>
          <w:lang w:val="en-US" w:eastAsia="zh-CN"/>
        </w:rPr>
        <w:t>稳定性</w:t>
      </w:r>
    </w:p>
    <w:p w14:paraId="43A720D7">
      <w:pPr>
        <w:pStyle w:val="58"/>
        <w:spacing w:line="360" w:lineRule="auto"/>
        <w:ind w:firstLine="480" w:firstLineChars="0"/>
        <w:rPr>
          <w:rFonts w:hint="eastAsia"/>
          <w:lang w:val="en-US" w:eastAsia="zh-CN"/>
        </w:rPr>
      </w:pPr>
      <w:r>
        <w:rPr>
          <w:rFonts w:hint="eastAsia"/>
          <w:highlight w:val="none"/>
          <w:lang w:val="en-US" w:eastAsia="zh-CN"/>
        </w:rPr>
        <w:t>将探头置于标准试验中心，偏差不应大于6.35mm,读取被校电导率仪示值，记作</w:t>
      </w:r>
      <m:oMath>
        <m:sSub>
          <m:sSubPr>
            <m:ctrlPr>
              <w:rPr>
                <w:rFonts w:ascii="Cambria Math" w:hAnsi="Cambria Math"/>
                <w:i/>
                <w:highlight w:val="none"/>
                <w:lang w:val="en-US"/>
              </w:rPr>
            </m:ctrlPr>
          </m:sSubPr>
          <m:e>
            <m:r>
              <m:rPr/>
              <w:rPr>
                <w:rFonts w:ascii="Cambria Math" w:hAnsi="Cambria Math"/>
                <w:highlight w:val="none"/>
                <w:lang w:val="en-US"/>
              </w:rPr>
              <m:t>σ</m:t>
            </m:r>
            <m:ctrlPr>
              <w:rPr>
                <w:rFonts w:ascii="Cambria Math" w:hAnsi="Cambria Math"/>
                <w:i/>
                <w:highlight w:val="none"/>
                <w:lang w:val="en-US"/>
              </w:rPr>
            </m:ctrlPr>
          </m:e>
          <m:sub>
            <m:r>
              <m:rPr/>
              <w:rPr>
                <w:rFonts w:hint="default" w:ascii="Cambria Math" w:hAnsi="Cambria Math"/>
                <w:highlight w:val="none"/>
                <w:lang w:val="en-US" w:eastAsia="zh-CN"/>
              </w:rPr>
              <m:t>s1</m:t>
            </m:r>
            <m:ctrlPr>
              <w:rPr>
                <w:rFonts w:ascii="Cambria Math" w:hAnsi="Cambria Math"/>
                <w:i/>
                <w:highlight w:val="none"/>
                <w:lang w:val="en-US"/>
              </w:rPr>
            </m:ctrlPr>
          </m:sub>
        </m:sSub>
      </m:oMath>
      <w:r>
        <w:rPr>
          <w:rFonts w:hint="eastAsia" w:hAnsi="Cambria Math"/>
          <w:i w:val="0"/>
          <w:highlight w:val="none"/>
          <w:lang w:val="en-US" w:eastAsia="zh-CN"/>
        </w:rPr>
        <w:t>，</w:t>
      </w:r>
      <w:r>
        <w:rPr>
          <w:rFonts w:hint="eastAsia"/>
          <w:highlight w:val="none"/>
          <w:lang w:val="en-US" w:eastAsia="zh-CN"/>
        </w:rPr>
        <w:t>15min后再测量一次，记作</w:t>
      </w:r>
      <m:oMath>
        <m:sSub>
          <m:sSubPr>
            <m:ctrlPr>
              <w:rPr>
                <w:rFonts w:ascii="Cambria Math" w:hAnsi="Cambria Math"/>
                <w:i/>
                <w:highlight w:val="none"/>
                <w:lang w:val="en-US"/>
              </w:rPr>
            </m:ctrlPr>
          </m:sSubPr>
          <m:e>
            <m:r>
              <m:rPr/>
              <w:rPr>
                <w:rFonts w:ascii="Cambria Math" w:hAnsi="Cambria Math"/>
                <w:highlight w:val="none"/>
                <w:lang w:val="en-US"/>
              </w:rPr>
              <m:t>σ</m:t>
            </m:r>
            <m:ctrlPr>
              <w:rPr>
                <w:rFonts w:ascii="Cambria Math" w:hAnsi="Cambria Math"/>
                <w:i/>
                <w:highlight w:val="none"/>
                <w:lang w:val="en-US"/>
              </w:rPr>
            </m:ctrlPr>
          </m:e>
          <m:sub>
            <m:r>
              <m:rPr/>
              <w:rPr>
                <w:rFonts w:hint="default" w:ascii="Cambria Math" w:hAnsi="Cambria Math"/>
                <w:highlight w:val="none"/>
                <w:lang w:val="en-US" w:eastAsia="zh-CN"/>
              </w:rPr>
              <m:t>s2</m:t>
            </m:r>
            <m:ctrlPr>
              <w:rPr>
                <w:rFonts w:ascii="Cambria Math" w:hAnsi="Cambria Math"/>
                <w:i/>
                <w:highlight w:val="none"/>
                <w:lang w:val="en-US"/>
              </w:rPr>
            </m:ctrlPr>
          </m:sub>
        </m:sSub>
      </m:oMath>
      <w:r>
        <w:rPr>
          <w:rFonts w:hint="eastAsia"/>
          <w:highlight w:val="none"/>
          <w:lang w:val="en-US" w:eastAsia="zh-CN"/>
        </w:rPr>
        <w:t>，</w:t>
      </w:r>
      <w:r>
        <w:rPr>
          <w:rFonts w:hint="eastAsia"/>
          <w:lang w:val="en-US" w:eastAsia="zh-CN"/>
        </w:rPr>
        <w:t>按式（6）计算稳定性：</w:t>
      </w:r>
    </w:p>
    <w:p w14:paraId="4620D557">
      <w:pPr>
        <w:pStyle w:val="58"/>
        <w:spacing w:line="360" w:lineRule="auto"/>
        <w:ind w:firstLine="2364" w:firstLineChars="1126"/>
        <w:jc w:val="right"/>
        <w:rPr>
          <w:rFonts w:hint="default"/>
          <w:lang w:val="en-US" w:eastAsia="zh-CN"/>
        </w:rPr>
      </w:pPr>
      <w:r>
        <w:rPr>
          <w:rFonts w:hint="default"/>
          <w:position w:val="-12"/>
          <w:lang w:val="en-US" w:eastAsia="zh-CN"/>
        </w:rPr>
        <w:object>
          <v:shape id="_x0000_i1048" o:spt="75" type="#_x0000_t75" style="height:18pt;width:69pt;" o:ole="t" filled="f" o:preferrelative="t" stroked="f" coordsize="21600,21600">
            <v:path/>
            <v:fill on="f" focussize="0,0"/>
            <v:stroke on="f"/>
            <v:imagedata r:id="rId47" o:title=""/>
            <o:lock v:ext="edit" aspectratio="t"/>
            <w10:wrap type="none"/>
            <w10:anchorlock/>
          </v:shape>
          <o:OLEObject Type="Embed" ProgID="Equation.KSEE3" ShapeID="_x0000_i1048" DrawAspect="Content" ObjectID="_1468075741" r:id="rId46">
            <o:LockedField>false</o:LockedField>
          </o:OLEObject>
        </w:object>
      </w:r>
      <w:r>
        <w:rPr>
          <w:rFonts w:hint="eastAsia"/>
          <w:lang w:val="en-US" w:eastAsia="zh-CN"/>
        </w:rPr>
        <w:t xml:space="preserve">                            （7）</w:t>
      </w:r>
    </w:p>
    <w:p w14:paraId="33252B8D">
      <w:pPr>
        <w:pStyle w:val="58"/>
        <w:spacing w:line="360" w:lineRule="auto"/>
        <w:ind w:firstLine="480"/>
        <w:rPr>
          <w:highlight w:val="none"/>
        </w:rPr>
      </w:pPr>
      <w:r>
        <w:rPr>
          <w:rFonts w:hint="eastAsia"/>
          <w:lang w:val="en-US" w:eastAsia="zh-CN"/>
        </w:rPr>
        <w:t xml:space="preserve">  </w:t>
      </w:r>
      <w:r>
        <w:rPr>
          <w:rFonts w:hint="eastAsia"/>
          <w:highlight w:val="none"/>
        </w:rPr>
        <w:t>式中：</w:t>
      </w:r>
    </w:p>
    <w:p w14:paraId="0DD1338F">
      <w:pPr>
        <w:pStyle w:val="58"/>
        <w:spacing w:line="360" w:lineRule="auto"/>
        <w:ind w:firstLine="480"/>
        <w:rPr>
          <w:highlight w:val="none"/>
        </w:rPr>
      </w:pPr>
      <w:r>
        <w:rPr>
          <w:rFonts w:hint="eastAsia"/>
          <w:position w:val="-12"/>
          <w:highlight w:val="none"/>
        </w:rPr>
        <w:object>
          <v:shape id="_x0000_i1049" o:spt="75" type="#_x0000_t75" style="height:18pt;width:15pt;" o:ole="t" filled="f" o:preferrelative="t" stroked="f" coordsize="21600,21600">
            <v:path/>
            <v:fill on="f" focussize="0,0"/>
            <v:stroke on="f"/>
            <v:imagedata r:id="rId49" o:title=""/>
            <o:lock v:ext="edit" aspectratio="t"/>
            <w10:wrap type="none"/>
            <w10:anchorlock/>
          </v:shape>
          <o:OLEObject Type="Embed" ProgID="Equation.KSEE3" ShapeID="_x0000_i1049" DrawAspect="Content" ObjectID="_1468075742" r:id="rId48">
            <o:LockedField>false</o:LockedField>
          </o:OLEObject>
        </w:object>
      </w:r>
      <w:r>
        <w:rPr>
          <w:rFonts w:hint="eastAsia"/>
          <w:highlight w:val="none"/>
        </w:rPr>
        <w:t>——被校</w:t>
      </w:r>
      <w:r>
        <w:rPr>
          <w:rFonts w:hint="eastAsia"/>
          <w:highlight w:val="none"/>
          <w:lang w:val="en-US" w:eastAsia="zh-CN"/>
        </w:rPr>
        <w:t>涡流电导率仪稳定性，MS/m（%IACS）</w:t>
      </w:r>
      <w:r>
        <w:rPr>
          <w:rFonts w:hint="eastAsia"/>
          <w:highlight w:val="none"/>
        </w:rPr>
        <w:t>；</w:t>
      </w:r>
    </w:p>
    <w:p w14:paraId="1CA83AD7">
      <w:pPr>
        <w:pStyle w:val="58"/>
        <w:spacing w:line="360" w:lineRule="auto"/>
        <w:ind w:firstLine="480"/>
        <w:rPr>
          <w:highlight w:val="none"/>
        </w:rPr>
      </w:pPr>
      <w:r>
        <w:rPr>
          <w:rFonts w:hint="eastAsia"/>
          <w:position w:val="-12"/>
          <w:highlight w:val="none"/>
        </w:rPr>
        <w:object>
          <v:shape id="_x0000_i1050" o:spt="75" type="#_x0000_t75" style="height:18pt;width:18pt;" o:ole="t" filled="f" o:preferrelative="t" stroked="f" coordsize="21600,21600">
            <v:path/>
            <v:fill on="f" focussize="0,0"/>
            <v:stroke on="f"/>
            <v:imagedata r:id="rId51" o:title=""/>
            <o:lock v:ext="edit" aspectratio="t"/>
            <w10:wrap type="none"/>
            <w10:anchorlock/>
          </v:shape>
          <o:OLEObject Type="Embed" ProgID="Equation.KSEE3" ShapeID="_x0000_i1050" DrawAspect="Content" ObjectID="_1468075743" r:id="rId50">
            <o:LockedField>false</o:LockedField>
          </o:OLEObject>
        </w:object>
      </w:r>
      <w:r>
        <w:rPr>
          <w:rFonts w:hint="eastAsia"/>
          <w:highlight w:val="none"/>
        </w:rPr>
        <w:t>——</w:t>
      </w:r>
      <w:r>
        <w:rPr>
          <w:rFonts w:hint="eastAsia"/>
          <w:highlight w:val="none"/>
          <w:lang w:val="en-US" w:eastAsia="zh-CN"/>
        </w:rPr>
        <w:t>被校涡流电导率仪示值1，MS/m（%IACS）</w:t>
      </w:r>
      <w:r>
        <w:rPr>
          <w:rFonts w:hint="eastAsia"/>
          <w:highlight w:val="none"/>
        </w:rPr>
        <w:t>；</w:t>
      </w:r>
    </w:p>
    <w:p w14:paraId="0604A831">
      <w:pPr>
        <w:pStyle w:val="58"/>
        <w:spacing w:line="360" w:lineRule="auto"/>
        <w:ind w:firstLine="480"/>
        <w:rPr>
          <w:highlight w:val="none"/>
        </w:rPr>
      </w:pPr>
      <w:r>
        <w:rPr>
          <w:rFonts w:hint="eastAsia"/>
          <w:position w:val="-12"/>
          <w:highlight w:val="none"/>
        </w:rPr>
        <w:object>
          <v:shape id="_x0000_i1051" o:spt="75" type="#_x0000_t75" style="height:18pt;width:19pt;" o:ole="t" filled="f" o:preferrelative="t" stroked="f" coordsize="21600,21600">
            <v:path/>
            <v:fill on="f" focussize="0,0"/>
            <v:stroke on="f"/>
            <v:imagedata r:id="rId53" o:title=""/>
            <o:lock v:ext="edit" aspectratio="t"/>
            <w10:wrap type="none"/>
            <w10:anchorlock/>
          </v:shape>
          <o:OLEObject Type="Embed" ProgID="Equation.KSEE3" ShapeID="_x0000_i1051" DrawAspect="Content" ObjectID="_1468075744" r:id="rId52">
            <o:LockedField>false</o:LockedField>
          </o:OLEObject>
        </w:object>
      </w:r>
      <w:r>
        <w:rPr>
          <w:rFonts w:hint="eastAsia"/>
          <w:highlight w:val="none"/>
        </w:rPr>
        <w:t>——</w:t>
      </w:r>
      <w:r>
        <w:rPr>
          <w:rFonts w:hint="eastAsia"/>
          <w:highlight w:val="none"/>
          <w:lang w:val="en-US" w:eastAsia="zh-CN"/>
        </w:rPr>
        <w:t>被校涡流电导率仪示值2，MS/m（%IACS）。</w:t>
      </w:r>
    </w:p>
    <w:p w14:paraId="25F5BCB6">
      <w:pPr>
        <w:adjustRightInd w:val="0"/>
        <w:snapToGrid w:val="0"/>
        <w:spacing w:line="360" w:lineRule="auto"/>
        <w:rPr>
          <w:highlight w:val="none"/>
        </w:rPr>
      </w:pPr>
      <w:r>
        <w:rPr>
          <w:rFonts w:hint="eastAsia"/>
          <w:lang w:val="en-US" w:eastAsia="zh-CN"/>
        </w:rPr>
        <w:t>7.2.8  探头性能测试</w:t>
      </w:r>
      <w:r>
        <w:rPr>
          <w:rFonts w:hint="eastAsia"/>
          <w:highlight w:val="none"/>
          <w:lang w:val="en-US" w:eastAsia="zh-CN"/>
        </w:rPr>
        <w:t xml:space="preserve">       </w:t>
      </w:r>
    </w:p>
    <w:p w14:paraId="05B96D1B">
      <w:pPr>
        <w:pStyle w:val="58"/>
        <w:spacing w:line="360" w:lineRule="auto"/>
        <w:ind w:firstLine="480" w:firstLineChars="0"/>
        <w:rPr>
          <w:b w:val="0"/>
          <w:bCs w:val="0"/>
        </w:rPr>
      </w:pPr>
      <w:r>
        <w:rPr>
          <w:rFonts w:hint="eastAsia"/>
          <w:color w:val="auto"/>
          <w:highlight w:val="none"/>
          <w:lang w:val="en-US" w:eastAsia="zh-CN"/>
        </w:rPr>
        <w:t>对于接触式</w:t>
      </w:r>
      <w:r>
        <w:rPr>
          <w:rFonts w:hint="eastAsia" w:cs="Times New Roman"/>
          <w:highlight w:val="none"/>
          <w:lang w:val="en-US" w:eastAsia="zh-CN"/>
        </w:rPr>
        <w:t>电导率</w:t>
      </w:r>
      <w:r>
        <w:rPr>
          <w:rFonts w:hint="eastAsia"/>
          <w:color w:val="auto"/>
          <w:highlight w:val="none"/>
          <w:lang w:val="en-US" w:eastAsia="zh-CN"/>
        </w:rPr>
        <w:t>仪，需将电导率仪和探头作为一套装置进行测试，对于非接触式电导率仪，无需将电导率仪和探头作为一套装置进行测试。调节探头上的手柄压力，观察电导率仪响应变化，记录最大变化量</w:t>
      </w:r>
      <m:oMath>
        <m:sSub>
          <m:sSubPr>
            <m:ctrlPr>
              <w:rPr>
                <w:rFonts w:ascii="Cambria Math" w:hAnsi="Cambria Math"/>
                <w:i/>
                <w:color w:val="auto"/>
                <w:highlight w:val="none"/>
                <w:lang w:val="en-US"/>
              </w:rPr>
            </m:ctrlPr>
          </m:sSubPr>
          <m:e>
            <m:r>
              <m:rPr/>
              <w:rPr>
                <w:rFonts w:ascii="Cambria Math" w:hAnsi="Cambria Math"/>
                <w:color w:val="auto"/>
                <w:highlight w:val="none"/>
                <w:lang w:val="en-US"/>
              </w:rPr>
              <m:t>σ</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m:t>
            </m:r>
            <m:ctrlPr>
              <w:rPr>
                <w:rFonts w:ascii="Cambria Math" w:hAnsi="Cambria Math"/>
                <w:i/>
                <w:color w:val="auto"/>
                <w:highlight w:val="none"/>
                <w:lang w:val="en-US"/>
              </w:rPr>
            </m:ctrlPr>
          </m:sub>
        </m:sSub>
      </m:oMath>
      <w:r>
        <w:rPr>
          <w:rFonts w:hint="eastAsia"/>
          <w:color w:val="auto"/>
          <w:highlight w:val="none"/>
          <w:lang w:val="en-US" w:eastAsia="zh-CN"/>
        </w:rPr>
        <w:t>。倾斜探头，使其与竖向夹角≤20度，观察电导率仪响应变化，记录其最大变化量</w:t>
      </w:r>
      <m:oMath>
        <m:sSub>
          <m:sSubPr>
            <m:ctrlPr>
              <w:rPr>
                <w:rFonts w:ascii="Cambria Math" w:hAnsi="Cambria Math"/>
                <w:i/>
                <w:color w:val="auto"/>
                <w:highlight w:val="none"/>
                <w:lang w:val="en-US"/>
              </w:rPr>
            </m:ctrlPr>
          </m:sSubPr>
          <m:e>
            <m:r>
              <m:rPr/>
              <w:rPr>
                <w:rFonts w:ascii="Cambria Math" w:hAnsi="Cambria Math"/>
                <w:color w:val="auto"/>
                <w:highlight w:val="none"/>
                <w:lang w:val="en-US"/>
              </w:rPr>
              <m:t>σ</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a</m:t>
            </m:r>
            <m:ctrlPr>
              <w:rPr>
                <w:rFonts w:ascii="Cambria Math" w:hAnsi="Cambria Math"/>
                <w:i/>
                <w:color w:val="auto"/>
                <w:highlight w:val="none"/>
                <w:lang w:val="en-US"/>
              </w:rPr>
            </m:ctrlPr>
          </m:sub>
        </m:sSub>
      </m:oMath>
      <w:r>
        <w:rPr>
          <w:rFonts w:hint="eastAsia"/>
          <w:color w:val="auto"/>
          <w:highlight w:val="none"/>
          <w:lang w:val="en-US" w:eastAsia="zh-CN"/>
        </w:rPr>
        <w:t>。</w:t>
      </w:r>
      <w:r>
        <w:rPr>
          <w:rFonts w:hint="eastAsia"/>
          <w:b w:val="0"/>
          <w:bCs w:val="0"/>
        </w:rPr>
        <w:t>7 校准结果</w:t>
      </w:r>
      <w:bookmarkEnd w:id="55"/>
      <w:bookmarkEnd w:id="56"/>
      <w:bookmarkEnd w:id="57"/>
      <w:bookmarkEnd w:id="58"/>
      <w:bookmarkEnd w:id="59"/>
      <w:bookmarkEnd w:id="60"/>
      <w:r>
        <w:rPr>
          <w:rFonts w:hint="eastAsia"/>
          <w:b w:val="0"/>
          <w:bCs w:val="0"/>
        </w:rPr>
        <w:t>表达</w:t>
      </w:r>
      <w:bookmarkEnd w:id="61"/>
      <w:bookmarkEnd w:id="62"/>
    </w:p>
    <w:p w14:paraId="359B47BA">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14:paraId="211B76C6">
      <w:pPr>
        <w:pStyle w:val="4"/>
        <w:spacing w:before="156" w:after="156"/>
        <w:rPr>
          <w:b w:val="0"/>
          <w:bCs w:val="0"/>
        </w:rPr>
      </w:pPr>
      <w:bookmarkStart w:id="63" w:name="_Toc14803_WPSOffice_Level1"/>
      <w:bookmarkStart w:id="64" w:name="_Toc193860220"/>
      <w:bookmarkStart w:id="65" w:name="_Toc193860189"/>
      <w:bookmarkStart w:id="66" w:name="_Toc5529"/>
      <w:bookmarkStart w:id="67" w:name="_Toc193860040"/>
      <w:bookmarkStart w:id="68" w:name="_Toc193860041"/>
      <w:r>
        <w:rPr>
          <w:rFonts w:hint="eastAsia"/>
          <w:b w:val="0"/>
          <w:bCs w:val="0"/>
        </w:rPr>
        <w:t>8 复校</w:t>
      </w:r>
      <w:bookmarkEnd w:id="63"/>
      <w:bookmarkEnd w:id="64"/>
      <w:bookmarkEnd w:id="65"/>
      <w:bookmarkEnd w:id="66"/>
      <w:bookmarkEnd w:id="67"/>
      <w:r>
        <w:rPr>
          <w:rFonts w:hint="eastAsia"/>
          <w:b w:val="0"/>
          <w:bCs w:val="0"/>
        </w:rPr>
        <w:t>时间间隔</w:t>
      </w:r>
    </w:p>
    <w:bookmarkEnd w:id="68"/>
    <w:p w14:paraId="35A8595B">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建议复校时间间隔一般不超过12个月。送校单位可根据使用情况自主决定复校时间间隔。</w:t>
      </w:r>
    </w:p>
    <w:p w14:paraId="1678C038">
      <w:pPr>
        <w:pStyle w:val="4"/>
        <w:spacing w:before="156" w:after="156"/>
        <w:rPr>
          <w:b w:val="0"/>
          <w:bCs w:val="0"/>
        </w:rPr>
      </w:pPr>
      <w:r>
        <w:rPr>
          <w:rFonts w:hint="eastAsia"/>
          <w:b w:val="0"/>
          <w:bCs w:val="0"/>
        </w:rPr>
        <w:t>9附录</w:t>
      </w:r>
    </w:p>
    <w:p w14:paraId="3172D4C0">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w:t>
      </w:r>
      <w:r>
        <w:rPr>
          <w:rFonts w:hint="eastAsia" w:eastAsiaTheme="minorEastAsia"/>
          <w:bCs/>
          <w:lang w:val="en-US" w:eastAsia="zh-CN"/>
        </w:rPr>
        <w:t>涡流电导率仪</w:t>
      </w:r>
      <w:r>
        <w:rPr>
          <w:rFonts w:hint="eastAsia"/>
          <w:bCs/>
        </w:rPr>
        <w:t>示值误差测量结果的不确定度评定示例</w:t>
      </w:r>
      <w:r>
        <w:rPr>
          <w:rFonts w:hint="eastAsia" w:ascii="Times New Roman" w:hAnsi="Times New Roman" w:eastAsiaTheme="minorEastAsia"/>
          <w:kern w:val="2"/>
          <w:szCs w:val="21"/>
        </w:rPr>
        <w:t>。</w:t>
      </w:r>
    </w:p>
    <w:p w14:paraId="1D588A44">
      <w:pPr>
        <w:adjustRightInd w:val="0"/>
        <w:snapToGrid w:val="0"/>
        <w:spacing w:line="360" w:lineRule="auto"/>
        <w:ind w:firstLine="420" w:firstLineChars="200"/>
      </w:pPr>
      <w:r>
        <w:rPr>
          <w:rFonts w:hint="eastAsia"/>
        </w:rPr>
        <w:t>本规范设置了</w:t>
      </w:r>
      <w:r>
        <w:t>3</w:t>
      </w:r>
      <w:r>
        <w:rPr>
          <w:rFonts w:hint="eastAsia"/>
        </w:rPr>
        <w:t>个附录，便于校准时参考和规范化。</w:t>
      </w:r>
    </w:p>
    <w:p w14:paraId="68BD153D">
      <w:pPr>
        <w:adjustRightInd w:val="0"/>
        <w:snapToGrid w:val="0"/>
        <w:spacing w:line="360" w:lineRule="auto"/>
        <w:ind w:firstLine="420" w:firstLineChars="200"/>
        <w:rPr>
          <w:bCs/>
        </w:rPr>
      </w:pPr>
      <w:r>
        <w:rPr>
          <w:rFonts w:hint="eastAsia"/>
          <w:bCs/>
        </w:rPr>
        <w:t xml:space="preserve">附录A </w:t>
      </w:r>
      <w:r>
        <w:rPr>
          <w:rFonts w:hint="eastAsia"/>
          <w:bCs/>
          <w:lang w:val="en-US" w:eastAsia="zh-CN"/>
        </w:rPr>
        <w:t>有色金属涡流电导率仪</w:t>
      </w:r>
      <w:r>
        <w:rPr>
          <w:rFonts w:hint="eastAsia"/>
          <w:bCs/>
        </w:rPr>
        <w:t>校准记录参考格式</w:t>
      </w:r>
    </w:p>
    <w:p w14:paraId="38E4AA64">
      <w:pPr>
        <w:adjustRightInd w:val="0"/>
        <w:snapToGrid w:val="0"/>
        <w:spacing w:line="360" w:lineRule="auto"/>
        <w:ind w:firstLine="420" w:firstLineChars="200"/>
        <w:rPr>
          <w:bCs/>
        </w:rPr>
      </w:pPr>
      <w:r>
        <w:rPr>
          <w:rFonts w:hint="eastAsia"/>
          <w:bCs/>
        </w:rPr>
        <w:t>附录B 有色金属涡流电导率仪校准证书内页参考格式</w:t>
      </w:r>
    </w:p>
    <w:p w14:paraId="37698104">
      <w:pPr>
        <w:adjustRightInd w:val="0"/>
        <w:snapToGrid w:val="0"/>
        <w:spacing w:line="360" w:lineRule="auto"/>
        <w:ind w:firstLine="420" w:firstLineChars="200"/>
        <w:rPr>
          <w:bCs/>
        </w:rPr>
      </w:pPr>
      <w:r>
        <w:rPr>
          <w:rFonts w:hint="eastAsia"/>
          <w:bCs/>
        </w:rPr>
        <w:t xml:space="preserve">附录C </w:t>
      </w:r>
      <w:r>
        <w:rPr>
          <w:rFonts w:hint="eastAsia"/>
          <w:bCs/>
          <w:lang w:val="en-US" w:eastAsia="zh-CN"/>
        </w:rPr>
        <w:t>有色金属</w:t>
      </w:r>
      <w:r>
        <w:rPr>
          <w:rFonts w:hint="eastAsia"/>
          <w:bCs/>
        </w:rPr>
        <w:t>涡流电导率仪示值误差测量结果的不确定度评定示例</w:t>
      </w:r>
    </w:p>
    <w:bookmarkEnd w:id="1"/>
    <w:bookmarkEnd w:id="18"/>
    <w:p w14:paraId="65874341">
      <w:pPr>
        <w:pStyle w:val="2"/>
        <w:spacing w:before="156" w:after="156"/>
        <w:rPr>
          <w:b w:val="0"/>
          <w:bCs w:val="0"/>
        </w:rPr>
      </w:pPr>
      <w:bookmarkStart w:id="69" w:name="_Toc464728965"/>
      <w:r>
        <w:rPr>
          <w:rFonts w:hint="eastAsia"/>
          <w:b w:val="0"/>
          <w:bCs w:val="0"/>
        </w:rPr>
        <w:t>三、实践检测情况</w:t>
      </w:r>
    </w:p>
    <w:p w14:paraId="112BF56C">
      <w:pPr>
        <w:adjustRightInd w:val="0"/>
        <w:spacing w:line="360" w:lineRule="auto"/>
        <w:ind w:firstLine="420" w:firstLineChars="200"/>
      </w:pPr>
    </w:p>
    <w:p w14:paraId="5E72FDC9">
      <w:pPr>
        <w:pStyle w:val="2"/>
        <w:spacing w:before="156" w:after="156"/>
        <w:rPr>
          <w:b w:val="0"/>
          <w:bCs w:val="0"/>
        </w:rPr>
      </w:pPr>
      <w:r>
        <w:rPr>
          <w:rFonts w:hint="eastAsia"/>
          <w:b w:val="0"/>
          <w:bCs w:val="0"/>
        </w:rPr>
        <w:t>四、规范水平分析</w:t>
      </w:r>
      <w:bookmarkEnd w:id="69"/>
    </w:p>
    <w:p w14:paraId="7C7EE1C8">
      <w:pPr>
        <w:adjustRightInd w:val="0"/>
        <w:spacing w:line="360" w:lineRule="auto"/>
        <w:ind w:firstLine="420" w:firstLineChars="200"/>
        <w:rPr>
          <w:rFonts w:hint="eastAsia" w:ascii="宋体" w:hAnsi="宋体"/>
          <w:szCs w:val="21"/>
        </w:rPr>
      </w:pPr>
      <w:r>
        <w:rPr>
          <w:rFonts w:hint="eastAsia" w:ascii="宋体" w:hAnsi="宋体"/>
          <w:bCs/>
          <w:szCs w:val="21"/>
        </w:rPr>
        <w:t>本规范填补了国内对</w:t>
      </w:r>
      <w:r>
        <w:rPr>
          <w:rFonts w:hint="eastAsia" w:ascii="宋体" w:hAnsi="宋体"/>
          <w:bCs/>
          <w:szCs w:val="21"/>
          <w:lang w:val="en-US" w:eastAsia="zh-CN"/>
        </w:rPr>
        <w:t>有色金属涡流电导率仪</w:t>
      </w:r>
      <w:r>
        <w:rPr>
          <w:rFonts w:hint="eastAsia" w:ascii="宋体" w:hAnsi="宋体"/>
          <w:bCs/>
          <w:szCs w:val="21"/>
        </w:rPr>
        <w:t>无校准规范的空白，规范对</w:t>
      </w:r>
      <w:r>
        <w:rPr>
          <w:rFonts w:hint="eastAsia" w:ascii="宋体" w:hAnsi="宋体"/>
          <w:bCs/>
          <w:szCs w:val="21"/>
          <w:lang w:val="en-US" w:eastAsia="zh-CN"/>
        </w:rPr>
        <w:t>电导率仪</w:t>
      </w:r>
      <w:r>
        <w:rPr>
          <w:rFonts w:hint="eastAsia" w:ascii="宋体" w:hAnsi="宋体"/>
          <w:bCs/>
          <w:szCs w:val="21"/>
        </w:rPr>
        <w:t>计量特性的校准，进行了详细描述，可操作性强，水平达到国内领先</w:t>
      </w:r>
      <w:r>
        <w:rPr>
          <w:rFonts w:hint="eastAsia"/>
          <w:szCs w:val="21"/>
        </w:rPr>
        <w:t>。</w:t>
      </w:r>
    </w:p>
    <w:p w14:paraId="2AA8A6BA">
      <w:pPr>
        <w:pStyle w:val="2"/>
        <w:spacing w:before="156" w:after="156"/>
        <w:rPr>
          <w:b w:val="0"/>
          <w:bCs w:val="0"/>
        </w:rPr>
      </w:pPr>
      <w:r>
        <w:rPr>
          <w:rFonts w:hint="eastAsia"/>
          <w:b w:val="0"/>
          <w:bCs w:val="0"/>
        </w:rPr>
        <w:t>五、与有关的现行法律、法规和强制性国家标准的关系</w:t>
      </w:r>
    </w:p>
    <w:p w14:paraId="2310E4CB">
      <w:pPr>
        <w:pStyle w:val="58"/>
        <w:spacing w:line="300" w:lineRule="auto"/>
        <w:ind w:firstLine="420"/>
        <w:rPr>
          <w:rFonts w:hint="eastAsia"/>
        </w:rPr>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5A261490">
      <w:pPr>
        <w:pStyle w:val="2"/>
        <w:spacing w:before="156" w:after="156"/>
        <w:rPr>
          <w:b w:val="0"/>
          <w:bCs w:val="0"/>
        </w:rPr>
      </w:pPr>
      <w:bookmarkStart w:id="70" w:name="_Toc464728973"/>
      <w:r>
        <w:rPr>
          <w:rFonts w:hint="eastAsia"/>
          <w:b w:val="0"/>
          <w:bCs w:val="0"/>
        </w:rPr>
        <w:t>六、规范中涉及的专利或知识产权说明</w:t>
      </w:r>
      <w:bookmarkEnd w:id="70"/>
    </w:p>
    <w:p w14:paraId="01EFC9D5">
      <w:pPr>
        <w:pStyle w:val="58"/>
        <w:spacing w:line="300" w:lineRule="auto"/>
        <w:ind w:firstLineChars="0"/>
        <w:contextualSpacing/>
        <w:rPr>
          <w:rFonts w:hint="eastAsia"/>
          <w:szCs w:val="21"/>
        </w:rPr>
      </w:pPr>
      <w:bookmarkStart w:id="71" w:name="_Toc464728974"/>
      <w:r>
        <w:rPr>
          <w:rFonts w:hint="eastAsia"/>
          <w:szCs w:val="21"/>
        </w:rPr>
        <w:t>无。</w:t>
      </w:r>
    </w:p>
    <w:p w14:paraId="671EAAF9">
      <w:pPr>
        <w:pStyle w:val="2"/>
        <w:spacing w:before="156" w:after="156"/>
        <w:rPr>
          <w:b w:val="0"/>
          <w:bCs w:val="0"/>
        </w:rPr>
      </w:pPr>
      <w:r>
        <w:rPr>
          <w:rFonts w:hint="eastAsia"/>
          <w:b w:val="0"/>
          <w:bCs w:val="0"/>
        </w:rPr>
        <w:t>七、重大分歧意见的处理经过和依据</w:t>
      </w:r>
      <w:bookmarkEnd w:id="71"/>
    </w:p>
    <w:p w14:paraId="1E91EDF3">
      <w:pPr>
        <w:pStyle w:val="58"/>
        <w:spacing w:line="300" w:lineRule="auto"/>
        <w:ind w:firstLine="420"/>
        <w:contextualSpacing/>
        <w:rPr>
          <w:rFonts w:hint="eastAsia"/>
          <w:szCs w:val="21"/>
        </w:rPr>
      </w:pPr>
      <w:r>
        <w:rPr>
          <w:rFonts w:hint="eastAsia"/>
          <w:szCs w:val="21"/>
        </w:rPr>
        <w:t>无。</w:t>
      </w:r>
    </w:p>
    <w:p w14:paraId="5F624570">
      <w:pPr>
        <w:pStyle w:val="2"/>
        <w:spacing w:before="156" w:after="156"/>
        <w:rPr>
          <w:b w:val="0"/>
          <w:bCs w:val="0"/>
        </w:rPr>
      </w:pPr>
      <w:r>
        <w:rPr>
          <w:rFonts w:hint="eastAsia"/>
          <w:b w:val="0"/>
          <w:bCs w:val="0"/>
        </w:rPr>
        <w:t>八、规范作为国家（或行业）计量技术规范的建议</w:t>
      </w:r>
    </w:p>
    <w:p w14:paraId="580EC270">
      <w:pPr>
        <w:adjustRightInd w:val="0"/>
        <w:spacing w:line="360" w:lineRule="auto"/>
        <w:ind w:firstLine="420" w:firstLineChars="200"/>
        <w:rPr>
          <w:rFonts w:hint="eastAsia"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14:paraId="494619FB">
      <w:pPr>
        <w:pStyle w:val="2"/>
        <w:spacing w:before="156" w:after="156"/>
        <w:rPr>
          <w:b w:val="0"/>
          <w:bCs w:val="0"/>
        </w:rPr>
      </w:pPr>
      <w:bookmarkStart w:id="72" w:name="_Toc464728976"/>
      <w:r>
        <w:rPr>
          <w:rFonts w:hint="eastAsia"/>
          <w:b w:val="0"/>
          <w:bCs w:val="0"/>
        </w:rPr>
        <w:t>九、贯彻规范的要求和措施建议</w:t>
      </w:r>
      <w:bookmarkEnd w:id="72"/>
    </w:p>
    <w:p w14:paraId="215F7D1D">
      <w:pPr>
        <w:pStyle w:val="58"/>
        <w:spacing w:line="300" w:lineRule="auto"/>
        <w:ind w:firstLine="420"/>
        <w:contextualSpacing/>
        <w:rPr>
          <w:rFonts w:hint="eastAsia"/>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674F8D96">
      <w:pPr>
        <w:pStyle w:val="2"/>
        <w:spacing w:before="156" w:after="156"/>
        <w:rPr>
          <w:b w:val="0"/>
          <w:bCs w:val="0"/>
        </w:rPr>
      </w:pPr>
      <w:bookmarkStart w:id="73" w:name="_Toc464728977"/>
      <w:r>
        <w:rPr>
          <w:rFonts w:hint="eastAsia"/>
          <w:b w:val="0"/>
          <w:bCs w:val="0"/>
        </w:rPr>
        <w:t>十、废止现行有关规范的建议</w:t>
      </w:r>
      <w:bookmarkEnd w:id="73"/>
    </w:p>
    <w:p w14:paraId="71F79B57">
      <w:pPr>
        <w:pStyle w:val="58"/>
        <w:spacing w:line="300" w:lineRule="auto"/>
        <w:ind w:firstLine="420"/>
        <w:contextualSpacing/>
        <w:rPr>
          <w:rFonts w:hint="eastAsia"/>
          <w:szCs w:val="21"/>
        </w:rPr>
      </w:pPr>
      <w:r>
        <w:rPr>
          <w:rFonts w:hint="eastAsia"/>
          <w:szCs w:val="21"/>
        </w:rPr>
        <w:t>无。</w:t>
      </w:r>
    </w:p>
    <w:p w14:paraId="430F4F5E">
      <w:pPr>
        <w:pStyle w:val="2"/>
        <w:spacing w:before="156" w:after="156"/>
        <w:rPr>
          <w:b w:val="0"/>
          <w:bCs w:val="0"/>
        </w:rPr>
      </w:pPr>
      <w:r>
        <w:rPr>
          <w:rFonts w:hint="eastAsia"/>
          <w:b w:val="0"/>
          <w:bCs w:val="0"/>
        </w:rPr>
        <w:t>十一、预期效果</w:t>
      </w:r>
    </w:p>
    <w:p w14:paraId="3D649F3E">
      <w:pPr>
        <w:ind w:firstLine="420" w:firstLineChars="200"/>
        <w:rPr>
          <w:rFonts w:hint="eastAsia" w:ascii="宋体" w:hAnsi="宋体"/>
          <w:kern w:val="0"/>
          <w:szCs w:val="21"/>
        </w:rPr>
      </w:pPr>
      <w:r>
        <w:rPr>
          <w:rFonts w:hint="eastAsia"/>
          <w:bCs/>
        </w:rPr>
        <w:t>本规范的制定使</w:t>
      </w:r>
      <w:r>
        <w:rPr>
          <w:rFonts w:hint="eastAsia"/>
          <w:bCs/>
          <w:lang w:val="en-US" w:eastAsia="zh-CN"/>
        </w:rPr>
        <w:t>有色金属涡流电导率仪</w:t>
      </w:r>
      <w:r>
        <w:rPr>
          <w:rFonts w:hint="eastAsia"/>
          <w:bCs/>
        </w:rPr>
        <w:t>的校准</w:t>
      </w:r>
      <w:r>
        <w:rPr>
          <w:rFonts w:hint="eastAsia" w:ascii="宋体" w:eastAsia="方正行楷简体"/>
          <w:bCs/>
          <w:kern w:val="0"/>
          <w:szCs w:val="21"/>
        </w:rPr>
        <w:t>有了可靠依据，对</w:t>
      </w:r>
      <w:r>
        <w:rPr>
          <w:rFonts w:hint="eastAsia" w:ascii="宋体" w:eastAsia="方正行楷简体"/>
          <w:bCs/>
          <w:kern w:val="0"/>
          <w:szCs w:val="21"/>
          <w:lang w:val="en-US" w:eastAsia="zh-CN"/>
        </w:rPr>
        <w:t>有色金属涡流电导率仪</w:t>
      </w:r>
      <w:r>
        <w:rPr>
          <w:rFonts w:hint="eastAsia" w:ascii="宋体" w:eastAsia="方正行楷简体"/>
          <w:bCs/>
          <w:kern w:val="0"/>
          <w:szCs w:val="21"/>
        </w:rPr>
        <w:t>的评价有了统一标准，能很好地用于指导生产</w:t>
      </w:r>
      <w:r>
        <w:rPr>
          <w:rFonts w:ascii="宋体" w:hAnsi="宋体"/>
          <w:kern w:val="0"/>
          <w:szCs w:val="21"/>
        </w:rPr>
        <w:t>。</w:t>
      </w:r>
    </w:p>
    <w:p w14:paraId="583DDC0C">
      <w:pPr>
        <w:pStyle w:val="2"/>
        <w:spacing w:before="156" w:after="156"/>
        <w:rPr>
          <w:b w:val="0"/>
          <w:bCs w:val="0"/>
        </w:rPr>
      </w:pPr>
      <w:r>
        <w:rPr>
          <w:rFonts w:hint="eastAsia"/>
          <w:b w:val="0"/>
          <w:bCs w:val="0"/>
        </w:rPr>
        <w:t>十二、其他应予说明的事项</w:t>
      </w:r>
    </w:p>
    <w:p w14:paraId="582F9FFC">
      <w:pPr>
        <w:pStyle w:val="58"/>
        <w:spacing w:line="300" w:lineRule="auto"/>
        <w:ind w:firstLineChars="0"/>
        <w:contextualSpacing/>
        <w:rPr>
          <w:rFonts w:hint="eastAsia"/>
          <w:szCs w:val="21"/>
        </w:rPr>
      </w:pPr>
      <w:r>
        <w:rPr>
          <w:rFonts w:hint="eastAsia"/>
          <w:szCs w:val="21"/>
        </w:rPr>
        <w:t>无。</w:t>
      </w:r>
    </w:p>
    <w:p w14:paraId="07C719CD">
      <w:pPr>
        <w:pStyle w:val="58"/>
        <w:spacing w:line="300" w:lineRule="auto"/>
        <w:ind w:firstLineChars="0"/>
        <w:contextualSpacing/>
        <w:jc w:val="right"/>
        <w:rPr>
          <w:rFonts w:ascii="Times New Roman" w:hAnsi="Times New Roman" w:eastAsia="黑体"/>
        </w:rPr>
      </w:pPr>
      <w:r>
        <w:rPr>
          <w:rFonts w:ascii="Times New Roman" w:hAnsi="Times New Roman" w:eastAsia="黑体"/>
        </w:rPr>
        <w:t xml:space="preserve"> </w:t>
      </w:r>
    </w:p>
    <w:p w14:paraId="7C3593E7">
      <w:pPr>
        <w:pStyle w:val="58"/>
        <w:spacing w:line="300" w:lineRule="auto"/>
        <w:ind w:firstLineChars="0"/>
        <w:contextualSpacing/>
        <w:jc w:val="right"/>
        <w:rPr>
          <w:rFonts w:ascii="Times New Roman" w:hAnsi="Times New Roman" w:eastAsia="黑体"/>
        </w:rPr>
      </w:pPr>
    </w:p>
    <w:p w14:paraId="2E77FB3B">
      <w:pPr>
        <w:pStyle w:val="58"/>
        <w:spacing w:line="300" w:lineRule="auto"/>
        <w:ind w:firstLineChars="0"/>
        <w:contextualSpacing/>
        <w:jc w:val="right"/>
        <w:rPr>
          <w:rFonts w:ascii="Times New Roman" w:hAnsi="Times New Roman" w:eastAsia="方正行楷简体"/>
          <w:szCs w:val="21"/>
        </w:rPr>
      </w:pPr>
      <w:r>
        <w:rPr>
          <w:rFonts w:ascii="Times New Roman" w:hAnsi="Times New Roman" w:eastAsia="方正行楷简体"/>
          <w:szCs w:val="21"/>
        </w:rPr>
        <w:t>《</w:t>
      </w:r>
      <w:r>
        <w:rPr>
          <w:rFonts w:hint="eastAsia" w:asciiTheme="minorEastAsia" w:hAnsiTheme="minorEastAsia" w:eastAsiaTheme="minorEastAsia" w:cstheme="minorEastAsia"/>
          <w:bCs/>
          <w:szCs w:val="21"/>
        </w:rPr>
        <w:t>有色金属涡流电导率仪校准规范</w:t>
      </w:r>
      <w:r>
        <w:rPr>
          <w:rFonts w:ascii="Times New Roman" w:hAnsi="Times New Roman" w:eastAsia="方正行楷简体"/>
          <w:szCs w:val="21"/>
        </w:rPr>
        <w:t xml:space="preserve">》编制组  </w:t>
      </w:r>
    </w:p>
    <w:p w14:paraId="4BEDD914">
      <w:pPr>
        <w:pStyle w:val="58"/>
        <w:spacing w:line="300" w:lineRule="auto"/>
        <w:ind w:firstLineChars="0"/>
        <w:contextualSpacing/>
        <w:jc w:val="right"/>
        <w:rPr>
          <w:rFonts w:hint="eastAsia"/>
          <w:szCs w:val="21"/>
        </w:rPr>
      </w:pPr>
      <w:r>
        <w:rPr>
          <w:rFonts w:ascii="Times New Roman" w:hAnsi="Times New Roman" w:eastAsia="方正行楷简体"/>
          <w:szCs w:val="21"/>
        </w:rPr>
        <w:t>202</w:t>
      </w:r>
      <w:r>
        <w:rPr>
          <w:rFonts w:hint="eastAsia" w:ascii="Times New Roman" w:hAnsi="Times New Roman" w:eastAsia="方正行楷简体"/>
          <w:szCs w:val="21"/>
        </w:rPr>
        <w:t>6</w:t>
      </w:r>
      <w:r>
        <w:rPr>
          <w:rFonts w:ascii="Times New Roman" w:hAnsi="Times New Roman" w:eastAsia="方正行楷简体"/>
          <w:szCs w:val="21"/>
        </w:rPr>
        <w:t>年</w:t>
      </w:r>
      <w:r>
        <w:rPr>
          <w:rFonts w:hint="eastAsia" w:ascii="Times New Roman" w:hAnsi="Times New Roman" w:eastAsia="方正行楷简体"/>
          <w:szCs w:val="21"/>
        </w:rPr>
        <w:t>05</w:t>
      </w:r>
      <w:r>
        <w:rPr>
          <w:rFonts w:ascii="Times New Roman" w:hAnsi="Times New Roman" w:eastAsia="方正行楷简体"/>
          <w:szCs w:val="21"/>
        </w:rPr>
        <w:t>月</w:t>
      </w:r>
      <w:r>
        <w:rPr>
          <w:rFonts w:hint="eastAsia" w:ascii="Times New Roman" w:hAnsi="Times New Roman" w:eastAsia="方正行楷简体"/>
          <w:szCs w:val="21"/>
          <w:lang w:val="en-US" w:eastAsia="zh-CN"/>
        </w:rPr>
        <w:t>8</w:t>
      </w:r>
      <w:r>
        <w:rPr>
          <w:rFonts w:ascii="Times New Roman" w:hAnsi="Times New Roman" w:eastAsia="方正行楷简体"/>
          <w:szCs w:val="21"/>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行楷简体">
    <w:altName w:val="宋体"/>
    <w:panose1 w:val="00000000000000000000"/>
    <w:charset w:val="86"/>
    <w:family w:val="auto"/>
    <w:pitch w:val="default"/>
    <w:sig w:usb0="00000000" w:usb1="00000000" w:usb2="00000010" w:usb3="00000000" w:csb0="00040000" w:csb1="00000000"/>
  </w:font>
  <w:font w:name="ZBOXHZ-28">
    <w:altName w:val="GENISO"/>
    <w:panose1 w:val="00000000000000000000"/>
    <w:charset w:val="00"/>
    <w:family w:val="auto"/>
    <w:pitch w:val="default"/>
    <w:sig w:usb0="00000000" w:usb1="00000000" w:usb2="00000000" w:usb3="00000000" w:csb0="00000000" w:csb1="00000000"/>
  </w:font>
  <w:font w:name="ZBOXHZ-29">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B99E">
    <w:pPr>
      <w:pStyle w:val="73"/>
      <w:jc w:val="center"/>
      <w:rPr>
        <w:rStyle w:val="45"/>
      </w:rPr>
    </w:pPr>
    <w:r>
      <w:fldChar w:fldCharType="begin"/>
    </w:r>
    <w:r>
      <w:rPr>
        <w:rStyle w:val="45"/>
      </w:rPr>
      <w:instrText xml:space="preserve">PAGE  </w:instrText>
    </w:r>
    <w:r>
      <w:fldChar w:fldCharType="separate"/>
    </w:r>
    <w:r>
      <w:rPr>
        <w:rStyle w:val="45"/>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8B58">
    <w:pPr>
      <w:pStyle w:val="30"/>
      <w:jc w:val="both"/>
    </w:pPr>
  </w:p>
  <w:p w14:paraId="26EE9ADE">
    <w:pPr>
      <w:pStyle w:val="30"/>
      <w:jc w:val="center"/>
      <w:rPr>
        <w:rFonts w:hint="eastAsia"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E9323">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276BC"/>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4662D"/>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6BEA"/>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1E80"/>
    <w:rsid w:val="00DB4F65"/>
    <w:rsid w:val="00DD6769"/>
    <w:rsid w:val="00DD7D39"/>
    <w:rsid w:val="00DE144C"/>
    <w:rsid w:val="00E002FF"/>
    <w:rsid w:val="00E019C6"/>
    <w:rsid w:val="00E15312"/>
    <w:rsid w:val="00E179CE"/>
    <w:rsid w:val="00E22714"/>
    <w:rsid w:val="00E23465"/>
    <w:rsid w:val="00E23B76"/>
    <w:rsid w:val="00E31A7B"/>
    <w:rsid w:val="00E32480"/>
    <w:rsid w:val="00E71DCC"/>
    <w:rsid w:val="00E82471"/>
    <w:rsid w:val="00E911BC"/>
    <w:rsid w:val="00EB2994"/>
    <w:rsid w:val="00EC149D"/>
    <w:rsid w:val="00ED5F91"/>
    <w:rsid w:val="00EE5988"/>
    <w:rsid w:val="00F0491B"/>
    <w:rsid w:val="00F10C9E"/>
    <w:rsid w:val="00F171F6"/>
    <w:rsid w:val="00F27E52"/>
    <w:rsid w:val="00F32186"/>
    <w:rsid w:val="00F3447A"/>
    <w:rsid w:val="00F379EC"/>
    <w:rsid w:val="00F45BA8"/>
    <w:rsid w:val="00F507FB"/>
    <w:rsid w:val="00F5644A"/>
    <w:rsid w:val="00F7167F"/>
    <w:rsid w:val="00F71F31"/>
    <w:rsid w:val="00F80059"/>
    <w:rsid w:val="00F812C6"/>
    <w:rsid w:val="00F91E84"/>
    <w:rsid w:val="00FA4CA4"/>
    <w:rsid w:val="00FA6198"/>
    <w:rsid w:val="00FC5521"/>
    <w:rsid w:val="00FC7BF3"/>
    <w:rsid w:val="00FD235D"/>
    <w:rsid w:val="00FD7FCA"/>
    <w:rsid w:val="00FE0C1C"/>
    <w:rsid w:val="00FE17CA"/>
    <w:rsid w:val="00FE1932"/>
    <w:rsid w:val="00FE1A74"/>
    <w:rsid w:val="00FF5630"/>
    <w:rsid w:val="013A3F8C"/>
    <w:rsid w:val="02465DB5"/>
    <w:rsid w:val="02F703B0"/>
    <w:rsid w:val="033E42CC"/>
    <w:rsid w:val="03E803DC"/>
    <w:rsid w:val="04731467"/>
    <w:rsid w:val="057D5E5D"/>
    <w:rsid w:val="05F125DB"/>
    <w:rsid w:val="06716757"/>
    <w:rsid w:val="06882CAF"/>
    <w:rsid w:val="07DC0ED5"/>
    <w:rsid w:val="0904785D"/>
    <w:rsid w:val="09573966"/>
    <w:rsid w:val="0A781AE7"/>
    <w:rsid w:val="0A940DEC"/>
    <w:rsid w:val="0AC1629C"/>
    <w:rsid w:val="0CB9457A"/>
    <w:rsid w:val="0CCA0314"/>
    <w:rsid w:val="0CCF275B"/>
    <w:rsid w:val="0D8022CA"/>
    <w:rsid w:val="0E6513CA"/>
    <w:rsid w:val="0EAA3109"/>
    <w:rsid w:val="0F403A6D"/>
    <w:rsid w:val="0F761ED4"/>
    <w:rsid w:val="10C025DC"/>
    <w:rsid w:val="10E85D8A"/>
    <w:rsid w:val="10E93381"/>
    <w:rsid w:val="11471F43"/>
    <w:rsid w:val="12B400C2"/>
    <w:rsid w:val="13877F6B"/>
    <w:rsid w:val="13B1031D"/>
    <w:rsid w:val="14103F10"/>
    <w:rsid w:val="14317D7D"/>
    <w:rsid w:val="14FE0CE9"/>
    <w:rsid w:val="158E7867"/>
    <w:rsid w:val="16A67923"/>
    <w:rsid w:val="17027C18"/>
    <w:rsid w:val="174C2AB4"/>
    <w:rsid w:val="17E64F25"/>
    <w:rsid w:val="1AA43D0A"/>
    <w:rsid w:val="1AC615A0"/>
    <w:rsid w:val="1B675C26"/>
    <w:rsid w:val="1B9011D3"/>
    <w:rsid w:val="1C6F5106"/>
    <w:rsid w:val="1C803B53"/>
    <w:rsid w:val="1D2B124B"/>
    <w:rsid w:val="1E713A82"/>
    <w:rsid w:val="1F5A1A25"/>
    <w:rsid w:val="1F714057"/>
    <w:rsid w:val="1FAB00D4"/>
    <w:rsid w:val="207B2FD6"/>
    <w:rsid w:val="208E75B3"/>
    <w:rsid w:val="218A16C9"/>
    <w:rsid w:val="21BE3478"/>
    <w:rsid w:val="21D04080"/>
    <w:rsid w:val="22423DCF"/>
    <w:rsid w:val="225C10E7"/>
    <w:rsid w:val="23A74BBD"/>
    <w:rsid w:val="23D43A72"/>
    <w:rsid w:val="255B5FF6"/>
    <w:rsid w:val="2583745E"/>
    <w:rsid w:val="262B706A"/>
    <w:rsid w:val="269B42B1"/>
    <w:rsid w:val="26AB6A4F"/>
    <w:rsid w:val="277C51D7"/>
    <w:rsid w:val="27BD3A55"/>
    <w:rsid w:val="28A00A66"/>
    <w:rsid w:val="28B93971"/>
    <w:rsid w:val="29846CB3"/>
    <w:rsid w:val="298C1931"/>
    <w:rsid w:val="29DA08EE"/>
    <w:rsid w:val="29E46257"/>
    <w:rsid w:val="29EE5A71"/>
    <w:rsid w:val="2A4110A1"/>
    <w:rsid w:val="2A636980"/>
    <w:rsid w:val="2AB85E2C"/>
    <w:rsid w:val="2AE10ACE"/>
    <w:rsid w:val="2B284444"/>
    <w:rsid w:val="2C066D52"/>
    <w:rsid w:val="2C147130"/>
    <w:rsid w:val="2C281A12"/>
    <w:rsid w:val="2CEE1EA1"/>
    <w:rsid w:val="2DA76D0D"/>
    <w:rsid w:val="2E772BB0"/>
    <w:rsid w:val="2E7F7CB6"/>
    <w:rsid w:val="2F656952"/>
    <w:rsid w:val="2FBE527A"/>
    <w:rsid w:val="316D2F86"/>
    <w:rsid w:val="31B57A58"/>
    <w:rsid w:val="325F3B1A"/>
    <w:rsid w:val="327B68D7"/>
    <w:rsid w:val="33FC78CC"/>
    <w:rsid w:val="340D295B"/>
    <w:rsid w:val="34745E77"/>
    <w:rsid w:val="34CD5E22"/>
    <w:rsid w:val="36AE69D8"/>
    <w:rsid w:val="37816F68"/>
    <w:rsid w:val="38B6063A"/>
    <w:rsid w:val="39A93E39"/>
    <w:rsid w:val="39E63C45"/>
    <w:rsid w:val="3A910669"/>
    <w:rsid w:val="3B2B4E9D"/>
    <w:rsid w:val="3B316A21"/>
    <w:rsid w:val="3B7571BF"/>
    <w:rsid w:val="3BFA1058"/>
    <w:rsid w:val="3C5D1124"/>
    <w:rsid w:val="3C8844C9"/>
    <w:rsid w:val="3E3909B0"/>
    <w:rsid w:val="3EBA5BC3"/>
    <w:rsid w:val="3EFC546F"/>
    <w:rsid w:val="3F465475"/>
    <w:rsid w:val="3F4A4676"/>
    <w:rsid w:val="3F536D21"/>
    <w:rsid w:val="3F5963FB"/>
    <w:rsid w:val="3F7D4FB4"/>
    <w:rsid w:val="3FA702FB"/>
    <w:rsid w:val="3FE25D82"/>
    <w:rsid w:val="404D430C"/>
    <w:rsid w:val="41A05827"/>
    <w:rsid w:val="420E5348"/>
    <w:rsid w:val="421212A7"/>
    <w:rsid w:val="422071B3"/>
    <w:rsid w:val="425F603B"/>
    <w:rsid w:val="4286740D"/>
    <w:rsid w:val="42E020C7"/>
    <w:rsid w:val="4378569A"/>
    <w:rsid w:val="43A67182"/>
    <w:rsid w:val="43B42EA1"/>
    <w:rsid w:val="44100726"/>
    <w:rsid w:val="44347A9B"/>
    <w:rsid w:val="44616219"/>
    <w:rsid w:val="44CE02A0"/>
    <w:rsid w:val="44EF3885"/>
    <w:rsid w:val="456D3D97"/>
    <w:rsid w:val="45E87405"/>
    <w:rsid w:val="46474D73"/>
    <w:rsid w:val="465C4787"/>
    <w:rsid w:val="47262564"/>
    <w:rsid w:val="473A498E"/>
    <w:rsid w:val="47552183"/>
    <w:rsid w:val="48181C46"/>
    <w:rsid w:val="48211129"/>
    <w:rsid w:val="4847319B"/>
    <w:rsid w:val="48BE5C4B"/>
    <w:rsid w:val="49214E6F"/>
    <w:rsid w:val="49A26661"/>
    <w:rsid w:val="4AE6291D"/>
    <w:rsid w:val="4AEA403C"/>
    <w:rsid w:val="4B8C5809"/>
    <w:rsid w:val="4B933E1A"/>
    <w:rsid w:val="4C8438C9"/>
    <w:rsid w:val="4D432356"/>
    <w:rsid w:val="4DA84F31"/>
    <w:rsid w:val="4E3430C7"/>
    <w:rsid w:val="4F58021E"/>
    <w:rsid w:val="4FA7278A"/>
    <w:rsid w:val="4FB3450E"/>
    <w:rsid w:val="50011CA3"/>
    <w:rsid w:val="51051BD9"/>
    <w:rsid w:val="51083E00"/>
    <w:rsid w:val="51442F7B"/>
    <w:rsid w:val="51A96C1E"/>
    <w:rsid w:val="52A97DDB"/>
    <w:rsid w:val="52AA2F9A"/>
    <w:rsid w:val="52B70715"/>
    <w:rsid w:val="55152B55"/>
    <w:rsid w:val="551B54CC"/>
    <w:rsid w:val="56154CA2"/>
    <w:rsid w:val="56A00E5A"/>
    <w:rsid w:val="57676F98"/>
    <w:rsid w:val="579905E2"/>
    <w:rsid w:val="590A235B"/>
    <w:rsid w:val="5A931503"/>
    <w:rsid w:val="5A971C98"/>
    <w:rsid w:val="5AC42DA1"/>
    <w:rsid w:val="5AFA5C95"/>
    <w:rsid w:val="5C4F08B8"/>
    <w:rsid w:val="5C5B500F"/>
    <w:rsid w:val="5CDE078E"/>
    <w:rsid w:val="5D7206DB"/>
    <w:rsid w:val="5DC655CC"/>
    <w:rsid w:val="5E0B450A"/>
    <w:rsid w:val="5E13191E"/>
    <w:rsid w:val="5F776EED"/>
    <w:rsid w:val="605176D9"/>
    <w:rsid w:val="610B4983"/>
    <w:rsid w:val="61690122"/>
    <w:rsid w:val="620D60EB"/>
    <w:rsid w:val="63F828E6"/>
    <w:rsid w:val="654D6460"/>
    <w:rsid w:val="65843085"/>
    <w:rsid w:val="6760797E"/>
    <w:rsid w:val="68D661D6"/>
    <w:rsid w:val="694F496D"/>
    <w:rsid w:val="69BC4907"/>
    <w:rsid w:val="6AB57C02"/>
    <w:rsid w:val="6AE574EF"/>
    <w:rsid w:val="6AF7022D"/>
    <w:rsid w:val="6B27051F"/>
    <w:rsid w:val="6B753BDA"/>
    <w:rsid w:val="6B770841"/>
    <w:rsid w:val="6C7E1558"/>
    <w:rsid w:val="6C7F4B7F"/>
    <w:rsid w:val="6D281A14"/>
    <w:rsid w:val="6E455D88"/>
    <w:rsid w:val="6E8A0C2B"/>
    <w:rsid w:val="6E9A1846"/>
    <w:rsid w:val="6EF60757"/>
    <w:rsid w:val="6F2275BE"/>
    <w:rsid w:val="70757340"/>
    <w:rsid w:val="70A61265"/>
    <w:rsid w:val="70FA146A"/>
    <w:rsid w:val="710228B1"/>
    <w:rsid w:val="72F922F4"/>
    <w:rsid w:val="73A7009A"/>
    <w:rsid w:val="73B95B2E"/>
    <w:rsid w:val="74130018"/>
    <w:rsid w:val="74D35BFF"/>
    <w:rsid w:val="774130D6"/>
    <w:rsid w:val="77893CCB"/>
    <w:rsid w:val="77CE2BEC"/>
    <w:rsid w:val="78931FA4"/>
    <w:rsid w:val="78CE2872"/>
    <w:rsid w:val="78DB44BD"/>
    <w:rsid w:val="795C2ECE"/>
    <w:rsid w:val="7A473223"/>
    <w:rsid w:val="7AC757F1"/>
    <w:rsid w:val="7B087207"/>
    <w:rsid w:val="7B207CB9"/>
    <w:rsid w:val="7C077F70"/>
    <w:rsid w:val="7CA407A6"/>
    <w:rsid w:val="7CA81753"/>
    <w:rsid w:val="7CB529FB"/>
    <w:rsid w:val="7CE33A32"/>
    <w:rsid w:val="7D461FE5"/>
    <w:rsid w:val="7D700DB4"/>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字符"/>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字符"/>
    <w:link w:val="29"/>
    <w:qFormat/>
    <w:uiPriority w:val="0"/>
    <w:rPr>
      <w:kern w:val="2"/>
      <w:sz w:val="18"/>
      <w:szCs w:val="18"/>
    </w:rPr>
  </w:style>
  <w:style w:type="character" w:customStyle="1" w:styleId="283">
    <w:name w:val="正文文本 字符"/>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字符"/>
    <w:link w:val="30"/>
    <w:qFormat/>
    <w:uiPriority w:val="99"/>
    <w:rPr>
      <w:kern w:val="2"/>
      <w:sz w:val="18"/>
      <w:szCs w:val="18"/>
    </w:rPr>
  </w:style>
  <w:style w:type="character" w:customStyle="1" w:styleId="286">
    <w:name w:val="正文文本缩进 字符"/>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字符"/>
    <w:link w:val="20"/>
    <w:qFormat/>
    <w:uiPriority w:val="0"/>
    <w:rPr>
      <w:kern w:val="2"/>
      <w:sz w:val="21"/>
      <w:szCs w:val="24"/>
    </w:rPr>
  </w:style>
  <w:style w:type="character" w:customStyle="1" w:styleId="289">
    <w:name w:val="批注主题 字符"/>
    <w:link w:val="39"/>
    <w:qFormat/>
    <w:uiPriority w:val="0"/>
    <w:rPr>
      <w:b/>
      <w:bCs/>
      <w:kern w:val="2"/>
      <w:sz w:val="21"/>
      <w:szCs w:val="24"/>
    </w:rPr>
  </w:style>
  <w:style w:type="character" w:customStyle="1" w:styleId="290">
    <w:name w:val="页眉 字符"/>
    <w:link w:val="31"/>
    <w:qFormat/>
    <w:uiPriority w:val="99"/>
    <w:rPr>
      <w:kern w:val="2"/>
      <w:sz w:val="18"/>
      <w:szCs w:val="18"/>
    </w:rPr>
  </w:style>
  <w:style w:type="character" w:customStyle="1" w:styleId="291">
    <w:name w:val="正文文本缩进 2 字符"/>
    <w:link w:val="27"/>
    <w:qFormat/>
    <w:uiPriority w:val="0"/>
    <w:rPr>
      <w:kern w:val="2"/>
      <w:sz w:val="21"/>
      <w:szCs w:val="24"/>
    </w:rPr>
  </w:style>
  <w:style w:type="character" w:customStyle="1" w:styleId="292">
    <w:name w:val="日期 字符"/>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字符"/>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字符"/>
    <w:basedOn w:val="43"/>
    <w:link w:val="3"/>
    <w:autoRedefine/>
    <w:qFormat/>
    <w:uiPriority w:val="0"/>
    <w:rPr>
      <w:rFonts w:ascii="Arial" w:hAnsi="Arial" w:eastAsia="黑体" w:cs="Times New Roman"/>
      <w:b/>
      <w:bCs/>
      <w:kern w:val="2"/>
      <w:sz w:val="24"/>
      <w:szCs w:val="32"/>
    </w:rPr>
  </w:style>
  <w:style w:type="character" w:customStyle="1" w:styleId="307">
    <w:name w:val="标题 3 字符"/>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字符"/>
    <w:link w:val="38"/>
    <w:autoRedefine/>
    <w:qFormat/>
    <w:uiPriority w:val="0"/>
    <w:rPr>
      <w:rFonts w:ascii="Arial" w:hAnsi="Arial" w:eastAsia="宋体" w:cs="Arial"/>
      <w:b/>
      <w:bCs/>
      <w:kern w:val="2"/>
      <w:sz w:val="32"/>
      <w:szCs w:val="32"/>
    </w:rPr>
  </w:style>
  <w:style w:type="character" w:customStyle="1" w:styleId="309">
    <w:name w:val="脚注文本 字符"/>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字符"/>
    <w:basedOn w:val="43"/>
    <w:link w:val="35"/>
    <w:autoRedefine/>
    <w:qFormat/>
    <w:uiPriority w:val="99"/>
    <w:rPr>
      <w:rFonts w:ascii="Times New Roman" w:hAnsi="Times New Roman" w:eastAsia="宋体" w:cs="Times New Roman"/>
      <w:kern w:val="2"/>
      <w:sz w:val="21"/>
      <w:szCs w:val="24"/>
    </w:rPr>
  </w:style>
  <w:style w:type="character" w:customStyle="1" w:styleId="324">
    <w:name w:val="图题及表格"/>
    <w:basedOn w:val="43"/>
    <w:autoRedefine/>
    <w:qFormat/>
    <w:uiPriority w:val="0"/>
    <w:rPr>
      <w:rFonts w:ascii="Times New Roman" w:hAnsi="Times New Roman" w:eastAsia="宋体"/>
      <w:sz w:val="21"/>
    </w:rPr>
  </w:style>
  <w:style w:type="character" w:customStyle="1" w:styleId="325">
    <w:name w:val="表题"/>
    <w:autoRedefine/>
    <w:qFormat/>
    <w:uiPriority w:val="0"/>
    <w:rPr>
      <w:rFonts w:hint="default" w:ascii="Times New Roman" w:hAnsi="Times New Roman" w:eastAsia="黑体" w:cs="Times New Roman"/>
      <w:color w:val="000000"/>
      <w:sz w:val="21"/>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27.wmf"/><Relationship Id="rId52" Type="http://schemas.openxmlformats.org/officeDocument/2006/relationships/oleObject" Target="embeddings/oleObject20.bin"/><Relationship Id="rId51" Type="http://schemas.openxmlformats.org/officeDocument/2006/relationships/image" Target="media/image26.wmf"/><Relationship Id="rId50" Type="http://schemas.openxmlformats.org/officeDocument/2006/relationships/oleObject" Target="embeddings/oleObject19.bin"/><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8.bin"/><Relationship Id="rId47" Type="http://schemas.openxmlformats.org/officeDocument/2006/relationships/image" Target="media/image24.wmf"/><Relationship Id="rId46" Type="http://schemas.openxmlformats.org/officeDocument/2006/relationships/oleObject" Target="embeddings/oleObject17.bin"/><Relationship Id="rId45" Type="http://schemas.openxmlformats.org/officeDocument/2006/relationships/image" Target="media/image23.wmf"/><Relationship Id="rId44" Type="http://schemas.openxmlformats.org/officeDocument/2006/relationships/oleObject" Target="embeddings/oleObject16.bin"/><Relationship Id="rId43" Type="http://schemas.openxmlformats.org/officeDocument/2006/relationships/image" Target="media/image22.wmf"/><Relationship Id="rId42" Type="http://schemas.openxmlformats.org/officeDocument/2006/relationships/oleObject" Target="embeddings/oleObject15.bin"/><Relationship Id="rId41" Type="http://schemas.openxmlformats.org/officeDocument/2006/relationships/image" Target="media/image21.wmf"/><Relationship Id="rId40" Type="http://schemas.openxmlformats.org/officeDocument/2006/relationships/oleObject" Target="embeddings/oleObject14.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3.bin"/><Relationship Id="rId37" Type="http://schemas.openxmlformats.org/officeDocument/2006/relationships/image" Target="media/image19.wmf"/><Relationship Id="rId36" Type="http://schemas.openxmlformats.org/officeDocument/2006/relationships/oleObject" Target="embeddings/oleObject12.bin"/><Relationship Id="rId35" Type="http://schemas.openxmlformats.org/officeDocument/2006/relationships/image" Target="media/image18.wmf"/><Relationship Id="rId34" Type="http://schemas.openxmlformats.org/officeDocument/2006/relationships/oleObject" Target="embeddings/oleObject11.bin"/><Relationship Id="rId33" Type="http://schemas.openxmlformats.org/officeDocument/2006/relationships/image" Target="media/image17.wmf"/><Relationship Id="rId32" Type="http://schemas.openxmlformats.org/officeDocument/2006/relationships/oleObject" Target="embeddings/oleObject10.bin"/><Relationship Id="rId31" Type="http://schemas.openxmlformats.org/officeDocument/2006/relationships/image" Target="media/image16.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5.wmf"/><Relationship Id="rId28" Type="http://schemas.openxmlformats.org/officeDocument/2006/relationships/oleObject" Target="embeddings/oleObject8.bin"/><Relationship Id="rId27" Type="http://schemas.openxmlformats.org/officeDocument/2006/relationships/image" Target="media/image14.wmf"/><Relationship Id="rId26" Type="http://schemas.openxmlformats.org/officeDocument/2006/relationships/oleObject" Target="embeddings/oleObject7.bin"/><Relationship Id="rId25" Type="http://schemas.openxmlformats.org/officeDocument/2006/relationships/image" Target="media/image13.wmf"/><Relationship Id="rId24" Type="http://schemas.openxmlformats.org/officeDocument/2006/relationships/oleObject" Target="embeddings/oleObject6.bin"/><Relationship Id="rId23" Type="http://schemas.openxmlformats.org/officeDocument/2006/relationships/image" Target="media/image12.wmf"/><Relationship Id="rId22" Type="http://schemas.openxmlformats.org/officeDocument/2006/relationships/oleObject" Target="embeddings/oleObject5.bin"/><Relationship Id="rId21" Type="http://schemas.openxmlformats.org/officeDocument/2006/relationships/image" Target="media/image11.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3.bin"/><Relationship Id="rId17" Type="http://schemas.openxmlformats.org/officeDocument/2006/relationships/image" Target="media/image9.wmf"/><Relationship Id="rId16" Type="http://schemas.openxmlformats.org/officeDocument/2006/relationships/oleObject" Target="embeddings/oleObject2.bin"/><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13</Pages>
  <Words>6434</Words>
  <Characters>7214</Characters>
  <Lines>54</Lines>
  <Paragraphs>15</Paragraphs>
  <TotalTime>2</TotalTime>
  <ScaleCrop>false</ScaleCrop>
  <LinksUpToDate>false</LinksUpToDate>
  <CharactersWithSpaces>7416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2026-05-05T14:47:00Z</dcterms:created>
  <dc:creator>标准李瑞山9585</dc:creator>
  <cp:lastModifiedBy>张国栋</cp:lastModifiedBy>
  <cp:lastPrinted>2016-10-20T04:13:00Z</cp:lastPrinted>
  <dcterms:modified xsi:type="dcterms:W3CDTF">2026-05-09T01:04:15Z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3B4B8AE40E5E45198C40D9C91E78E283_13</vt:lpwstr>
  </property>
  <property fmtid="{D5CDD505-2E9C-101B-9397-08002B2CF9AE}" pid="4" name="KSOTemplateDocerSaveRecord">
    <vt:lpwstr>eyJoZGlkIjoiYjk5ODM0YmMxOWJiYWQyNDU4MGIzYWRmYTA0ZmI5NDciLCJ1c2VySWQiOiIzMDg2MTU0NTUifQ==</vt:lpwstr>
  </property>
</Properties>
</file>