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B0BED">
      <w:pPr>
        <w:widowControl/>
        <w:spacing w:line="3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附件：</w:t>
      </w:r>
    </w:p>
    <w:p w14:paraId="35739EEC">
      <w:pPr>
        <w:jc w:val="center"/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  <w:highlight w:val="none"/>
        </w:rPr>
        <w:t>会议审定</w:t>
      </w:r>
      <w:r>
        <w:rPr>
          <w:rFonts w:hint="eastAsia" w:ascii="Times New Roman" w:hAnsi="Times New Roman" w:eastAsia="黑体" w:cs="Times New Roman"/>
          <w:color w:val="auto"/>
          <w:kern w:val="0"/>
          <w:sz w:val="28"/>
          <w:szCs w:val="28"/>
          <w:highlight w:val="none"/>
          <w:lang w:eastAsia="zh-CN"/>
        </w:rPr>
        <w:t>、</w:t>
      </w:r>
      <w:r>
        <w:rPr>
          <w:rFonts w:hint="eastAsia" w:ascii="Times New Roman" w:hAnsi="Times New Roman" w:eastAsia="黑体" w:cs="Times New Roman"/>
          <w:color w:val="auto"/>
          <w:kern w:val="0"/>
          <w:sz w:val="28"/>
          <w:szCs w:val="28"/>
          <w:highlight w:val="none"/>
          <w:lang w:val="en-US" w:eastAsia="zh-CN"/>
        </w:rPr>
        <w:t>预审</w:t>
      </w:r>
      <w:r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  <w:highlight w:val="none"/>
        </w:rPr>
        <w:t>和</w:t>
      </w:r>
      <w:r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  <w:highlight w:val="none"/>
          <w:lang w:val="en-US" w:eastAsia="zh-CN"/>
        </w:rPr>
        <w:t>讨论</w:t>
      </w:r>
      <w:r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  <w:highlight w:val="none"/>
        </w:rPr>
        <w:t>的计量技术规范项目</w:t>
      </w:r>
    </w:p>
    <w:tbl>
      <w:tblPr>
        <w:tblStyle w:val="4"/>
        <w:tblW w:w="5185" w:type="pct"/>
        <w:tblInd w:w="-26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2842"/>
        <w:gridCol w:w="2887"/>
        <w:gridCol w:w="8065"/>
        <w:gridCol w:w="675"/>
      </w:tblGrid>
      <w:tr w14:paraId="5619A0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tblHeader/>
        </w:trPr>
        <w:tc>
          <w:tcPr>
            <w:tcW w:w="1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903981">
            <w:pPr>
              <w:keepNext w:val="0"/>
              <w:keepLines w:val="0"/>
              <w:pageBreakBefore w:val="0"/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65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716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/>
              </w:rPr>
              <w:t>计划下达文号及编号</w:t>
            </w:r>
          </w:p>
        </w:tc>
        <w:tc>
          <w:tcPr>
            <w:tcW w:w="26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98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1"/>
                <w:szCs w:val="21"/>
              </w:rPr>
              <w:t>起草单位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/>
              </w:rPr>
              <w:t>及相关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1"/>
                <w:szCs w:val="21"/>
              </w:rPr>
              <w:t>单位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4A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63AD41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B549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54"/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A19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金属材料摩擦性能试验机校准规范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4C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工厅科〔2024〕602号</w:t>
            </w:r>
          </w:p>
          <w:p w14:paraId="706D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JJFZ（有色金属）012-2024</w:t>
            </w:r>
          </w:p>
        </w:tc>
        <w:tc>
          <w:tcPr>
            <w:tcW w:w="26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A97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汉唐分析检测有限公司、赤峰市产品质量检验检测中心、东北轻合金有限责任公司、西南铝业（集团）有限责任公司、西安建筑科技大学、国标（北京）检验认证有限公司、广东省科学院工业分析检测中心、四川六合特种金属材料股份有限公司、有色金属技术经济研究院有限责任公司等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1CB1C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审定</w:t>
            </w:r>
          </w:p>
        </w:tc>
      </w:tr>
      <w:tr w14:paraId="7D45E6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4E48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54"/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F4A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相控阵超声探伤仪校准规范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C5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工厅科〔2024〕602号</w:t>
            </w:r>
          </w:p>
          <w:p w14:paraId="6DC7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JJFZ（有色金属）014-2024</w:t>
            </w:r>
          </w:p>
        </w:tc>
        <w:tc>
          <w:tcPr>
            <w:tcW w:w="26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BE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西安汉唐分析检测有限公司、陕西天成航空材料股份有限公司、宝鸡钛业股份有限公司、西南铝业（集团）有限责任公司、中核集团西安核设备有限公司、西部金属材料股份有限公司、西安建筑科技大学等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2445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审定</w:t>
            </w:r>
          </w:p>
        </w:tc>
      </w:tr>
      <w:tr w14:paraId="42DECD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4232B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54"/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11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液体流量计在线校准规范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54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工厅科〔2025〕299号</w:t>
            </w:r>
          </w:p>
          <w:p w14:paraId="47D8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JJFZ（有色金属）002-2025</w:t>
            </w:r>
          </w:p>
        </w:tc>
        <w:tc>
          <w:tcPr>
            <w:tcW w:w="269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29493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铝业（集团）有限责任公司、东北轻合金有限责任公司、陕西有色榆林新材料集团有限责任公司、浙江华友钴业股份有限公司、中国船舶集团有限公司第七二五研究所、广船国际有限公司、西安汉唐分析检测有限公司、宝鸡钛业股份有限公司、江西铜业集团有限公司、大冶有色金属集团控股有限公司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、中色正锐（山东）铜业有限公司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、国标（北京）检验认证有限公司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6BFB0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审定</w:t>
            </w:r>
          </w:p>
        </w:tc>
      </w:tr>
      <w:tr w14:paraId="4C8715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07818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54"/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3E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粉末流动性测定仪校准规范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055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工厅科〔2025〕299号</w:t>
            </w:r>
          </w:p>
          <w:p w14:paraId="4698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JJFZ（有色金属）005-2025</w:t>
            </w:r>
          </w:p>
        </w:tc>
        <w:tc>
          <w:tcPr>
            <w:tcW w:w="26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2D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广东省科学院工业分析检测中心、广船国际有限公司、国合通用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（青岛）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测试评价有限公司、厦门厦钨新能源材料股份有限公司、广东省科学院新材料研究所、西南铝业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（集团）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有限责任公司、国标（北京）检验认证有限公司、西安汉唐分析检测有限公司、天津艾隆科技开发有限公司等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674A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审定</w:t>
            </w:r>
          </w:p>
        </w:tc>
      </w:tr>
      <w:tr w14:paraId="31AEE2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96B3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54"/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1F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全自动高温水解-离子色谱联用仪校准规范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8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工厅科〔2025〕299号</w:t>
            </w:r>
          </w:p>
          <w:p w14:paraId="15A7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JJFZ（有色金属）001-2025</w:t>
            </w:r>
          </w:p>
        </w:tc>
        <w:tc>
          <w:tcPr>
            <w:tcW w:w="26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55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北矿检测技术股份有限公司、云南云天化股份有限公司、青岛垚鑫智能科技有限公司、北京合木科技有限公司、国家地质实验测试中心、北京市计量检测科学研究院、国标（北京）检验认证有限公司、包头稀土研究院等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B0F0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预审</w:t>
            </w:r>
          </w:p>
        </w:tc>
      </w:tr>
      <w:tr w14:paraId="10D5AE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4492E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54"/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E0B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辉光放电发射光谱仪校准规范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E65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工厅科〔2025〕299号</w:t>
            </w:r>
          </w:p>
          <w:p w14:paraId="226C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JJFZ（有色金属）004-2025</w:t>
            </w:r>
          </w:p>
        </w:tc>
        <w:tc>
          <w:tcPr>
            <w:tcW w:w="26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00E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中铝洛阳铜加工有限公司、中铝材料应用研究院有限公司、国标（北京）检验认证有限公司、辽宁盛达计量检测技术有限公司、宝鸡钛业股份有限公司、西安汉唐分析检测有限公司、北京科技大学、国合通用（青岛）测试评价有限公司、中国科学院宁波材料技术与工程研究所等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6054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讨论</w:t>
            </w:r>
          </w:p>
        </w:tc>
      </w:tr>
      <w:tr w14:paraId="43C35E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3A10F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54"/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0AD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综合断口图像分析仪校准规范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98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工厅科〔2025〕299号</w:t>
            </w:r>
          </w:p>
          <w:p w14:paraId="5BBF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JJFZ（有色金属）007-2025</w:t>
            </w:r>
          </w:p>
        </w:tc>
        <w:tc>
          <w:tcPr>
            <w:tcW w:w="26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709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国标（北京）检验认证有限公司、国合通用（重庆）测试评价股份有限公司、北京航空航天大学、国合通用（青岛）测试评价股份有限公司、上海有色金属工业技术监测中心有限公司、东北轻合金有限责任公司、西南铝业（集团）有限责任公司、中国汽车技术研究中心有限公司、西安汉唐分析检测有限公司等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ADBEF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讨论</w:t>
            </w:r>
          </w:p>
        </w:tc>
      </w:tr>
      <w:tr w14:paraId="0CD7A5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36C1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54"/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09A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有色金属涡流电导率仪校准规范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2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工厅科〔2025〕299号</w:t>
            </w:r>
          </w:p>
          <w:p w14:paraId="6FF5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JJFZ（有色金属）008-2025</w:t>
            </w:r>
          </w:p>
        </w:tc>
        <w:tc>
          <w:tcPr>
            <w:tcW w:w="26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81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西南铝业（集团）有限责任公司、东北轻合金有限责任公司、国合通用（青岛）测试评价股份有限公司、国标（北京）检验认证有限公司、广东省科学院工业分析检测中心、西安汉唐分析检测有限公司、中国船舶集团有限公司第七二五研究所、广东省科学院新材料研究所、中铝洛阳铜加工有限公司、国合通用（重庆）测试评价认证有限公司、上海有色金属工业技术监测中心有限公司等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82F64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讨论</w:t>
            </w:r>
          </w:p>
        </w:tc>
      </w:tr>
      <w:tr w14:paraId="426CEC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1A71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54"/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3EF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宏观范围内仪器化压入试验机校准规范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B2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工厅科〔2025〕299号</w:t>
            </w:r>
          </w:p>
          <w:p w14:paraId="3AAD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JJFZ（有色金属）009-2025</w:t>
            </w:r>
          </w:p>
        </w:tc>
        <w:tc>
          <w:tcPr>
            <w:tcW w:w="26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9F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中国船舶集团有限公司第七二五研究所、厦门双瑞材料研究院有限公司、国标（北京）检验认证有限公司、西南铝业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（集团）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有限责任公司、北京时代之峰科技有限公司、西安汉唐分析检测有限公司、国合通用（青岛）测试评价有限公司等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B1EB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讨论</w:t>
            </w:r>
          </w:p>
        </w:tc>
      </w:tr>
    </w:tbl>
    <w:p w14:paraId="32BDDABD">
      <w:pPr>
        <w:rPr>
          <w:rFonts w:hint="default" w:ascii="Times New Roman" w:hAnsi="Times New Roman" w:cs="Times New Roman"/>
          <w:color w:val="auto"/>
        </w:rPr>
      </w:pPr>
    </w:p>
    <w:p w14:paraId="5F349893">
      <w:bookmarkStart w:id="0" w:name="_GoBack"/>
      <w:bookmarkEnd w:id="0"/>
    </w:p>
    <w:sectPr>
      <w:pgSz w:w="16838" w:h="11906" w:orient="landscape"/>
      <w:pgMar w:top="1191" w:right="1304" w:bottom="1134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3F3EF9"/>
    <w:multiLevelType w:val="singleLevel"/>
    <w:tmpl w:val="AF3F3EF9"/>
    <w:lvl w:ilvl="0" w:tentative="0">
      <w:start w:val="1"/>
      <w:numFmt w:val="decimal"/>
      <w:suff w:val="nothing"/>
      <w:lvlText w:val="%1"/>
      <w:lvlJc w:val="center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F073F"/>
    <w:rsid w:val="2A3F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  <w:pPr>
      <w:widowControl w:val="0"/>
      <w:adjustRightInd w:val="0"/>
      <w:snapToGrid w:val="0"/>
      <w:spacing w:line="240" w:lineRule="auto"/>
      <w:jc w:val="left"/>
      <w:textAlignment w:val="baseline"/>
    </w:pPr>
    <w:rPr>
      <w:rFonts w:ascii="Calibri" w:hAnsi="Calibri" w:eastAsia="Times New Roman" w:cs="Times New Roman"/>
      <w:kern w:val="2"/>
      <w:sz w:val="21"/>
      <w:szCs w:val="24"/>
      <w:lang w:val="en-US" w:eastAsia="zh-CN" w:bidi="ar-SA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2026-04-27T07:32:00Z</dcterms:created>
  <dc:creator>WPS_1747749647</dc:creator>
  <cp:lastModifiedBy>WPS_1747749647</cp:lastModifiedBy>
  <dcterms:modified xsi:type="dcterms:W3CDTF">2026-04-27T07:33:11Z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D8B930C405EC40EB925D7C06BE051F5A_11</vt:lpwstr>
  </property>
  <property fmtid="{D5CDD505-2E9C-101B-9397-08002B2CF9AE}" pid="4" name="KSOTemplateDocerSaveRecord">
    <vt:lpwstr>eyJoZGlkIjoiNDk0ODU2ZjU2NmVkNzMyMzFjNTc3MjE0NjVlYzEyYTgiLCJ1c2VySWQiOiIxNzA0MDYyMTU1In0=</vt:lpwstr>
  </property>
</Properties>
</file>