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335CB2">
      <w:pPr>
        <w:pStyle w:val="160"/>
        <w:framePr w:wrap="around"/>
        <w:rPr>
          <w:rFonts w:ascii="Times New Roman"/>
        </w:rPr>
      </w:pPr>
      <w:bookmarkStart w:id="190" w:name="_GoBack"/>
      <w:bookmarkEnd w:id="190"/>
      <w:r>
        <w:rPr>
          <w:rFonts w:ascii="Times New Roman"/>
        </w:rPr>
        <w:t>ICS  77.040.99</w:t>
      </w:r>
    </w:p>
    <w:p w14:paraId="7F780EE6">
      <w:pPr>
        <w:pStyle w:val="160"/>
        <w:framePr w:wrap="around"/>
        <w:rPr>
          <w:rFonts w:ascii="Times New Roman"/>
        </w:rPr>
      </w:pPr>
      <w:r>
        <w:rPr>
          <w:rFonts w:ascii="Times New Roman"/>
        </w:rPr>
        <w:t>CCS H 24</w:t>
      </w:r>
    </w:p>
    <w:p w14:paraId="3BE07F85">
      <w:pPr>
        <w:pStyle w:val="116"/>
        <w:framePr w:wrap="around"/>
      </w:pPr>
      <w:r>
        <w:drawing>
          <wp:inline distT="0" distB="0" distL="0" distR="0">
            <wp:extent cx="1440815" cy="718185"/>
            <wp:effectExtent l="0" t="0" r="0" b="0"/>
            <wp:docPr id="1" name="图片 1" desc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440815" cy="718185"/>
                    </a:xfrm>
                    <a:prstGeom prst="rect">
                      <a:avLst/>
                    </a:prstGeom>
                    <a:noFill/>
                    <a:ln>
                      <a:noFill/>
                    </a:ln>
                  </pic:spPr>
                </pic:pic>
              </a:graphicData>
            </a:graphic>
          </wp:inline>
        </w:drawing>
      </w:r>
    </w:p>
    <w:p w14:paraId="2E88F5CC">
      <w:pPr>
        <w:pStyle w:val="117"/>
        <w:framePr w:wrap="around"/>
        <w:rPr>
          <w:rFonts w:ascii="Times New Roman"/>
        </w:rPr>
      </w:pPr>
      <w:r>
        <w:rPr>
          <w:rFonts w:ascii="Times New Roman"/>
        </w:rPr>
        <w:t>中华人民共和国国家标准</w:t>
      </w:r>
    </w:p>
    <w:p w14:paraId="574A5CD6">
      <w:pPr>
        <w:pStyle w:val="95"/>
        <w:framePr w:wrap="around"/>
        <w:rPr>
          <w:rFonts w:ascii="Times New Roman"/>
        </w:rPr>
      </w:pPr>
      <w:r>
        <w:rPr>
          <w:rFonts w:ascii="Times New Roman"/>
        </w:rPr>
        <w:t xml:space="preserve">GB/T </w:t>
      </w:r>
      <w:bookmarkStart w:id="0" w:name="StdNo1"/>
      <w:r>
        <w:rPr>
          <w:rFonts w:ascii="Times New Roman"/>
        </w:rPr>
        <w:fldChar w:fldCharType="begin">
          <w:ffData>
            <w:name w:val="StdNo1"/>
            <w:enabled/>
            <w:calcOnExit w:val="0"/>
            <w:textInput>
              <w:default w:val="XXXXX"/>
            </w:textInput>
          </w:ffData>
        </w:fldChar>
      </w:r>
      <w:r>
        <w:rPr>
          <w:rFonts w:ascii="Times New Roman"/>
        </w:rPr>
        <w:instrText xml:space="preserve"> FORMTEXT </w:instrText>
      </w:r>
      <w:r>
        <w:rPr>
          <w:rFonts w:ascii="Times New Roman"/>
        </w:rPr>
        <w:fldChar w:fldCharType="separate"/>
      </w:r>
      <w:r>
        <w:rPr>
          <w:rFonts w:ascii="Times New Roman"/>
        </w:rPr>
        <w:t>XXXXX</w:t>
      </w:r>
      <w:r>
        <w:rPr>
          <w:rFonts w:ascii="Times New Roman"/>
        </w:rPr>
        <w:fldChar w:fldCharType="end"/>
      </w:r>
      <w:bookmarkEnd w:id="0"/>
      <w:r>
        <w:rPr>
          <w:rFonts w:ascii="Times New Roman"/>
        </w:rPr>
        <w:t>—</w:t>
      </w:r>
      <w:bookmarkStart w:id="1" w:name="StdNo2"/>
      <w:r>
        <w:rPr>
          <w:rFonts w:ascii="Times New Roman"/>
        </w:rPr>
        <w:fldChar w:fldCharType="begin">
          <w:ffData>
            <w:name w:val="StdNo2"/>
            <w:enabled/>
            <w:calcOnExit w:val="0"/>
            <w:textInput>
              <w:default w:val="XXXX"/>
              <w:maxLength w:val="4"/>
            </w:textInput>
          </w:ffData>
        </w:fldChar>
      </w:r>
      <w:r>
        <w:rPr>
          <w:rFonts w:ascii="Times New Roman"/>
        </w:rPr>
        <w:instrText xml:space="preserve"> FORMTEXT </w:instrText>
      </w:r>
      <w:r>
        <w:rPr>
          <w:rFonts w:ascii="Times New Roman"/>
        </w:rPr>
        <w:fldChar w:fldCharType="separate"/>
      </w:r>
      <w:r>
        <w:rPr>
          <w:rFonts w:ascii="Times New Roman"/>
        </w:rPr>
        <w:t>XXXX</w:t>
      </w:r>
      <w:r>
        <w:rPr>
          <w:rFonts w:ascii="Times New Roman"/>
        </w:rPr>
        <w:fldChar w:fldCharType="end"/>
      </w:r>
      <w:bookmarkEnd w:id="1"/>
    </w:p>
    <w:tbl>
      <w:tblPr>
        <w:tblStyle w:val="4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14:paraId="3CDD9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nil"/>
              <w:left w:val="nil"/>
              <w:bottom w:val="nil"/>
              <w:right w:val="nil"/>
            </w:tcBorders>
          </w:tcPr>
          <w:p w14:paraId="5AD873C1">
            <w:pPr>
              <w:pStyle w:val="88"/>
              <w:framePr w:wrap="around"/>
              <w:rPr>
                <w:rFonts w:ascii="Times New Roman"/>
              </w:rPr>
            </w:pPr>
            <w:bookmarkStart w:id="2" w:name="DT"/>
            <w:r>
              <w:rPr>
                <w:rFonts w:ascii="Times New Roman"/>
              </w:rPr>
              <mc:AlternateContent>
                <mc:Choice Requires="wps">
                  <w:drawing>
                    <wp:anchor distT="0" distB="0" distL="114300" distR="114300" simplePos="0" relativeHeight="251661312" behindDoc="1" locked="0" layoutInCell="1" allowOverlap="1">
                      <wp:simplePos x="0" y="0"/>
                      <wp:positionH relativeFrom="column">
                        <wp:posOffset>4734560</wp:posOffset>
                      </wp:positionH>
                      <wp:positionV relativeFrom="paragraph">
                        <wp:posOffset>34290</wp:posOffset>
                      </wp:positionV>
                      <wp:extent cx="1143000" cy="228600"/>
                      <wp:effectExtent l="0" t="0" r="0" b="0"/>
                      <wp:wrapNone/>
                      <wp:docPr id="737969610" name="矩形 5"/>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矩形 5" o:spid="_x0000_s1026" o:spt="1" style="position:absolute;left:0pt;margin-left:372.8pt;margin-top:2.7pt;height:18pt;width:90pt;z-index:-251655168;mso-width-relative:page;mso-height-relative:page;" fillcolor="#FFFFFF" filled="t" stroked="f" coordsize="21600,21600" o:gfxdata="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mDyy9YA&#10;AAAIAQAADwAAAAAAAAABACAAAAAiAAAAZHJzL2Rvd25yZXYueG1sUEsBAhQAFAAAAAgAh07iQBmz&#10;1e8hAgAALgQAAA4AAAAAAAAAAQAgAAAAJQEAAGRycy9lMm9Eb2MueG1sUEsFBgAAAAAGAAYAWQEA&#10;ALgFAAAAAA==&#10;">
                      <v:fill on="t" focussize="0,0"/>
                      <v:stroke on="f"/>
                      <v:imagedata o:title=""/>
                      <o:lock v:ext="edit" aspectratio="f"/>
                    </v:rect>
                  </w:pict>
                </mc:Fallback>
              </mc:AlternateContent>
            </w:r>
            <w:r>
              <w:rPr>
                <w:rFonts w:ascii="Times New Roman"/>
              </w:rPr>
              <w:fldChar w:fldCharType="begin">
                <w:ffData>
                  <w:name w:val="DT"/>
                  <w:enabled/>
                  <w:calcOnExit w:val="0"/>
                  <w:textInput/>
                </w:ffData>
              </w:fldChar>
            </w:r>
            <w:r>
              <w:rPr>
                <w:rFonts w:ascii="Times New Roman"/>
              </w:rPr>
              <w:instrText xml:space="preserve"> FORMTEXT </w:instrText>
            </w:r>
            <w:r>
              <w:rPr>
                <w:rFonts w:ascii="Times New Roman"/>
              </w:rPr>
              <w:fldChar w:fldCharType="separate"/>
            </w:r>
            <w:r>
              <w:rPr>
                <w:rFonts w:ascii="Times New Roman"/>
              </w:rPr>
              <w:t>     </w:t>
            </w:r>
            <w:r>
              <w:rPr>
                <w:rFonts w:ascii="Times New Roman"/>
              </w:rPr>
              <w:fldChar w:fldCharType="end"/>
            </w:r>
            <w:bookmarkEnd w:id="2"/>
          </w:p>
        </w:tc>
      </w:tr>
    </w:tbl>
    <w:p w14:paraId="1AF0D8C1">
      <w:pPr>
        <w:pStyle w:val="95"/>
        <w:framePr w:wrap="around"/>
        <w:rPr>
          <w:rFonts w:ascii="Times New Roman"/>
        </w:rPr>
      </w:pPr>
    </w:p>
    <w:p w14:paraId="24B825C1">
      <w:pPr>
        <w:pStyle w:val="95"/>
        <w:framePr w:wrap="around"/>
        <w:rPr>
          <w:rFonts w:ascii="Times New Roman"/>
        </w:rPr>
      </w:pPr>
    </w:p>
    <w:p w14:paraId="478D1516">
      <w:pPr>
        <w:pStyle w:val="85"/>
        <w:framePr w:wrap="around"/>
        <w:rPr>
          <w:rFonts w:ascii="Times New Roman"/>
          <w:szCs w:val="52"/>
        </w:rPr>
      </w:pPr>
      <w:bookmarkStart w:id="3" w:name="OLE_LINK1"/>
      <w:bookmarkStart w:id="4" w:name="StdEnglishName"/>
      <w:bookmarkStart w:id="5" w:name="OLE_LINK2"/>
      <w:r>
        <w:rPr>
          <w:rFonts w:ascii="Times New Roman"/>
        </w:rPr>
        <w:t>稀土金属靶材显微组织检验方法</w:t>
      </w:r>
    </w:p>
    <w:bookmarkEnd w:id="3"/>
    <w:bookmarkEnd w:id="4"/>
    <w:bookmarkEnd w:id="5"/>
    <w:p w14:paraId="0A6EBAC5">
      <w:pPr>
        <w:pStyle w:val="83"/>
        <w:framePr w:wrap="around"/>
        <w:spacing w:before="0"/>
        <w:rPr>
          <w:rFonts w:ascii="Times New Roman" w:eastAsia="黑体"/>
        </w:rPr>
      </w:pPr>
      <w:bookmarkStart w:id="6" w:name="YZBS"/>
    </w:p>
    <w:p w14:paraId="54FFDFDF">
      <w:pPr>
        <w:pStyle w:val="83"/>
        <w:framePr w:wrap="around"/>
        <w:spacing w:line="360" w:lineRule="auto"/>
        <w:rPr>
          <w:rFonts w:ascii="Times New Roman"/>
          <w:b/>
          <w:bCs/>
          <w:sz w:val="52"/>
          <w:szCs w:val="52"/>
        </w:rPr>
      </w:pPr>
      <w:r>
        <w:rPr>
          <w:rFonts w:ascii="Times New Roman" w:eastAsia="黑体"/>
          <w:b/>
          <w:bCs/>
          <w:sz w:val="52"/>
          <w:szCs w:val="52"/>
        </w:rPr>
        <w:t>Inspection method for microstructure of Rare earth Metal Targets</w:t>
      </w:r>
    </w:p>
    <w:bookmarkEnd w:id="6"/>
    <w:tbl>
      <w:tblPr>
        <w:tblStyle w:val="4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14:paraId="603E1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tcPr>
          <w:p w14:paraId="773C52B6">
            <w:pPr>
              <w:pStyle w:val="82"/>
              <w:framePr w:wrap="around"/>
              <w:rPr>
                <w:rFonts w:ascii="Times New Roman"/>
              </w:rPr>
            </w:pPr>
            <w:r>
              <w:rPr>
                <w:rFonts w:ascii="Times New Roman"/>
              </w:rPr>
              <mc:AlternateContent>
                <mc:Choice Requires="wps">
                  <w:drawing>
                    <wp:anchor distT="0" distB="0" distL="114300" distR="114300" simplePos="0" relativeHeight="251660288" behindDoc="1" locked="1" layoutInCell="1" allowOverlap="1">
                      <wp:simplePos x="0" y="0"/>
                      <wp:positionH relativeFrom="column">
                        <wp:posOffset>2200910</wp:posOffset>
                      </wp:positionH>
                      <wp:positionV relativeFrom="paragraph">
                        <wp:posOffset>573405</wp:posOffset>
                      </wp:positionV>
                      <wp:extent cx="1905000" cy="254000"/>
                      <wp:effectExtent l="0" t="0" r="0" b="0"/>
                      <wp:wrapNone/>
                      <wp:docPr id="290323978" name="矩形 4"/>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矩形 4" o:spid="_x0000_s1026" o:spt="1" style="position:absolute;left:0pt;margin-left:173.3pt;margin-top:45.15pt;height:20pt;width:150pt;z-index:-251656192;mso-width-relative:page;mso-height-relative:page;" fillcolor="#FFFFFF" filled="t" stroked="f" coordsize="21600,21600" o:gfxdata="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WJrpLVAAAA&#10;CgEAAA8AAAAAAAAAAQAgAAAAIgAAAGRycy9kb3ducmV2LnhtbFBLAQIUABQAAAAIAIdO4kAQ4NJ6&#10;IAIAAC4EAAAOAAAAAAAAAAEAIAAAACQBAABkcnMvZTJvRG9jLnhtbFBLBQYAAAAABgAGAFkBAAC2&#10;BQAAAAA=&#10;">
                      <v:fill on="t" focussize="0,0"/>
                      <v:stroke on="f"/>
                      <v:imagedata o:title=""/>
                      <o:lock v:ext="edit" aspectratio="f"/>
                      <w10:anchorlock/>
                    </v:rect>
                  </w:pict>
                </mc:Fallback>
              </mc:AlternateContent>
            </w:r>
            <w:r>
              <w:rPr>
                <w:rFonts w:ascii="Times New Roman"/>
              </w:rPr>
              <mc:AlternateContent>
                <mc:Choice Requires="wps">
                  <w:drawing>
                    <wp:anchor distT="0" distB="0" distL="114300" distR="114300" simplePos="0" relativeHeight="251659264" behindDoc="1" locked="0" layoutInCell="1" allowOverlap="1">
                      <wp:simplePos x="0" y="0"/>
                      <wp:positionH relativeFrom="column">
                        <wp:posOffset>2454910</wp:posOffset>
                      </wp:positionH>
                      <wp:positionV relativeFrom="paragraph">
                        <wp:posOffset>255905</wp:posOffset>
                      </wp:positionV>
                      <wp:extent cx="1270000" cy="304800"/>
                      <wp:effectExtent l="0" t="0" r="0" b="0"/>
                      <wp:wrapNone/>
                      <wp:docPr id="1288039435" name="矩形 3"/>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矩形 3" o:spid="_x0000_s1026" o:spt="1" style="position:absolute;left:0pt;margin-left:193.3pt;margin-top:20.15pt;height:24pt;width:100pt;z-index:-251657216;mso-width-relative:page;mso-height-relative:page;" fillcolor="#FFFFFF" filled="t" stroked="f" coordsize="21600,21600" o:gfxdata="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D4Yvl1gAA&#10;AAkBAAAPAAAAAAAAAAEAIAAAACIAAABkcnMvZG93bnJldi54bWxQSwECFAAUAAAACACHTuJAolx7&#10;MCACAAAvBAAADgAAAAAAAAABACAAAAAlAQAAZHJzL2Uyb0RvYy54bWxQSwUGAAAAAAYABgBZAQAA&#10;twUAAAAA&#10;">
                      <v:fill on="t" focussize="0,0"/>
                      <v:stroke on="f"/>
                      <v:imagedata o:title=""/>
                      <o:lock v:ext="edit" aspectratio="f"/>
                    </v:rect>
                  </w:pict>
                </mc:Fallback>
              </mc:AlternateContent>
            </w:r>
          </w:p>
        </w:tc>
      </w:tr>
      <w:tr w14:paraId="116740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tcPr>
          <w:p w14:paraId="48BCE342">
            <w:pPr>
              <w:pStyle w:val="125"/>
              <w:framePr w:wrap="around"/>
              <w:rPr>
                <w:rFonts w:ascii="Times New Roman"/>
              </w:rPr>
            </w:pPr>
          </w:p>
        </w:tc>
      </w:tr>
    </w:tbl>
    <w:p w14:paraId="41141412">
      <w:pPr>
        <w:pStyle w:val="139"/>
        <w:framePr w:w="9847" w:wrap="around" w:hAnchor="page" w:x="1351" w:y="14095"/>
        <w:jc w:val="left"/>
      </w:pPr>
      <w:bookmarkStart w:id="7" w:name="FY"/>
      <w:r>
        <w:fldChar w:fldCharType="begin">
          <w:ffData>
            <w:name w:val="FY"/>
            <w:enabled/>
            <w:calcOnExit w:val="0"/>
            <w:textInput>
              <w:default w:val="XXXX"/>
              <w:maxLength w:val="4"/>
            </w:textInput>
          </w:ffData>
        </w:fldChar>
      </w:r>
      <w:r>
        <w:instrText xml:space="preserve"> FORMTEXT </w:instrText>
      </w:r>
      <w:r>
        <w:fldChar w:fldCharType="separate"/>
      </w:r>
      <w:r>
        <w:t>XXXX</w:t>
      </w:r>
      <w:r>
        <w:fldChar w:fldCharType="end"/>
      </w:r>
      <w:r>
        <w:t xml:space="preserve"> - </w:t>
      </w:r>
      <w:r>
        <w:fldChar w:fldCharType="begin">
          <w:ffData>
            <w:name w:val="FM"/>
            <w:enabled/>
            <w:calcOnExit w:val="0"/>
            <w:textInput>
              <w:default w:val="XX"/>
              <w:maxLength w:val="2"/>
            </w:textInput>
          </w:ffData>
        </w:fldChar>
      </w:r>
      <w:r>
        <w:instrText xml:space="preserve"> FORMTEXT </w:instrText>
      </w:r>
      <w:r>
        <w:fldChar w:fldCharType="separate"/>
      </w:r>
      <w:r>
        <w:t>XX</w:t>
      </w:r>
      <w:r>
        <w:fldChar w:fldCharType="end"/>
      </w:r>
      <w:r>
        <w:t xml:space="preserve"> - </w:t>
      </w:r>
      <w:r>
        <w:fldChar w:fldCharType="begin">
          <w:ffData>
            <w:name w:val="FD"/>
            <w:enabled/>
            <w:calcOnExit w:val="0"/>
            <w:textInput>
              <w:default w:val="XX"/>
              <w:maxLength w:val="2"/>
            </w:textInput>
          </w:ffData>
        </w:fldChar>
      </w:r>
      <w:r>
        <w:instrText xml:space="preserve"> FORMTEXT </w:instrText>
      </w:r>
      <w:r>
        <w:fldChar w:fldCharType="separate"/>
      </w:r>
      <w:r>
        <w:t>XX</w:t>
      </w:r>
      <w:r>
        <w:fldChar w:fldCharType="end"/>
      </w:r>
      <w:r>
        <w:t>发布</w:t>
      </w:r>
      <w:bookmarkEnd w:id="7"/>
      <w:r>
        <mc:AlternateContent>
          <mc:Choice Requires="wps">
            <w:drawing>
              <wp:anchor distT="0" distB="0" distL="114300" distR="114300" simplePos="0" relativeHeight="251661312" behindDoc="0" locked="1" layoutInCell="1" allowOverlap="1">
                <wp:simplePos x="0" y="0"/>
                <wp:positionH relativeFrom="column">
                  <wp:posOffset>-635</wp:posOffset>
                </wp:positionH>
                <wp:positionV relativeFrom="page">
                  <wp:posOffset>9250680</wp:posOffset>
                </wp:positionV>
                <wp:extent cx="6120130" cy="0"/>
                <wp:effectExtent l="0" t="0" r="0" b="0"/>
                <wp:wrapNone/>
                <wp:docPr id="277125044"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直接连接符 2" o:spid="_x0000_s1026" o:spt="20" style="position:absolute;left:0pt;margin-left:-0.05pt;margin-top:728.4pt;height:0pt;width:481.9pt;mso-position-vertical-relative:page;z-index:251661312;mso-width-relative:page;mso-height-relative:page;" filled="f" stroked="t" coordsize="21600,21600" o:gfxdata="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2VBF&#10;qdYAAAALAQAADwAAAAAAAAABACAAAAAiAAAAZHJzL2Rvd25yZXYueG1sUEsBAhQAFAAAAAgAh07i&#10;QI/HbYjrAQAAsgMAAA4AAAAAAAAAAQAgAAAAJQEAAGRycy9lMm9Eb2MueG1sUEsFBgAAAAAGAAYA&#10;WQEAAIIFAAAAAA==&#10;">
                <v:fill on="f" focussize="0,0"/>
                <v:stroke color="#000000" joinstyle="round"/>
                <v:imagedata o:title=""/>
                <o:lock v:ext="edit" aspectratio="f"/>
                <w10:anchorlock/>
              </v:line>
            </w:pict>
          </mc:Fallback>
        </mc:AlternateContent>
      </w:r>
      <w:r>
        <w:t xml:space="preserve">                                    </w:t>
      </w:r>
      <w:bookmarkStart w:id="8" w:name="SY"/>
      <w:r>
        <w:fldChar w:fldCharType="begin">
          <w:ffData>
            <w:name w:val="SY"/>
            <w:enabled/>
            <w:calcOnExit w:val="0"/>
            <w:textInput>
              <w:default w:val="XXXX"/>
              <w:maxLength w:val="4"/>
            </w:textInput>
          </w:ffData>
        </w:fldChar>
      </w:r>
      <w:r>
        <w:instrText xml:space="preserve"> FORMTEXT </w:instrText>
      </w:r>
      <w:r>
        <w:fldChar w:fldCharType="separate"/>
      </w:r>
      <w:r>
        <w:t>XXXX</w:t>
      </w:r>
      <w:r>
        <w:fldChar w:fldCharType="end"/>
      </w:r>
      <w:bookmarkEnd w:id="8"/>
      <w:r>
        <w:t xml:space="preserve"> - </w:t>
      </w:r>
      <w:bookmarkStart w:id="9" w:name="SM"/>
      <w:r>
        <w:fldChar w:fldCharType="begin">
          <w:ffData>
            <w:name w:val="SM"/>
            <w:enabled/>
            <w:calcOnExit w:val="0"/>
            <w:textInput>
              <w:default w:val="XX"/>
              <w:maxLength w:val="2"/>
            </w:textInput>
          </w:ffData>
        </w:fldChar>
      </w:r>
      <w:r>
        <w:instrText xml:space="preserve"> FORMTEXT </w:instrText>
      </w:r>
      <w:r>
        <w:fldChar w:fldCharType="separate"/>
      </w:r>
      <w:r>
        <w:t>XX</w:t>
      </w:r>
      <w:r>
        <w:fldChar w:fldCharType="end"/>
      </w:r>
      <w:bookmarkEnd w:id="9"/>
      <w:r>
        <w:t xml:space="preserve"> - </w:t>
      </w:r>
      <w:r>
        <w:fldChar w:fldCharType="begin">
          <w:ffData>
            <w:name w:val="SD"/>
            <w:enabled/>
            <w:calcOnExit w:val="0"/>
            <w:textInput>
              <w:default w:val="XX"/>
              <w:maxLength w:val="2"/>
            </w:textInput>
          </w:ffData>
        </w:fldChar>
      </w:r>
      <w:r>
        <w:instrText xml:space="preserve"> FORMTEXT </w:instrText>
      </w:r>
      <w:r>
        <w:fldChar w:fldCharType="separate"/>
      </w:r>
      <w:r>
        <w:t>XX</w:t>
      </w:r>
      <w:r>
        <w:fldChar w:fldCharType="end"/>
      </w:r>
      <w:r>
        <w:t>实施</w:t>
      </w:r>
    </w:p>
    <w:p w14:paraId="3A52C776">
      <w:pPr>
        <w:pStyle w:val="139"/>
        <w:framePr w:w="9847" w:wrap="around" w:hAnchor="page" w:x="1351" w:y="14095"/>
        <w:wordWrap w:val="0"/>
        <w:ind w:right="45"/>
        <w:jc w:val="both"/>
      </w:pPr>
    </w:p>
    <w:p w14:paraId="14BADA4E">
      <w:pPr>
        <w:pStyle w:val="167"/>
        <w:framePr w:w="9847" w:wrap="around" w:hAnchor="page" w:x="1351" w:y="14095"/>
        <w:ind w:right="45"/>
      </w:pPr>
    </w:p>
    <w:tbl>
      <w:tblPr>
        <w:tblStyle w:val="46"/>
        <w:tblW w:w="0" w:type="auto"/>
        <w:tblInd w:w="534" w:type="dxa"/>
        <w:tblLayout w:type="autofit"/>
        <w:tblCellMar>
          <w:top w:w="0" w:type="dxa"/>
          <w:left w:w="108" w:type="dxa"/>
          <w:bottom w:w="0" w:type="dxa"/>
          <w:right w:w="108" w:type="dxa"/>
        </w:tblCellMar>
      </w:tblPr>
      <w:tblGrid>
        <w:gridCol w:w="5386"/>
        <w:gridCol w:w="1701"/>
      </w:tblGrid>
      <w:tr w14:paraId="487300F0">
        <w:tblPrEx>
          <w:tblCellMar>
            <w:top w:w="0" w:type="dxa"/>
            <w:left w:w="108" w:type="dxa"/>
            <w:bottom w:w="0" w:type="dxa"/>
            <w:right w:w="108" w:type="dxa"/>
          </w:tblCellMar>
        </w:tblPrEx>
        <w:trPr>
          <w:trHeight w:val="567" w:hRule="atLeast"/>
        </w:trPr>
        <w:tc>
          <w:tcPr>
            <w:tcW w:w="5386" w:type="dxa"/>
          </w:tcPr>
          <w:p w14:paraId="5F558D0B">
            <w:pPr>
              <w:pStyle w:val="122"/>
              <w:framePr w:wrap="around"/>
              <w:rPr>
                <w:rFonts w:ascii="Times New Roman"/>
                <w:szCs w:val="28"/>
              </w:rPr>
            </w:pPr>
            <w:r>
              <w:rPr>
                <w:rFonts w:ascii="Times New Roman"/>
                <w:szCs w:val="28"/>
              </w:rPr>
              <w:t>国家市场监督管理总局</w:t>
            </w:r>
          </w:p>
          <w:p w14:paraId="7010CD5D">
            <w:pPr>
              <w:pStyle w:val="122"/>
              <w:framePr w:wrap="around"/>
              <w:rPr>
                <w:rFonts w:ascii="Times New Roman"/>
                <w:szCs w:val="18"/>
              </w:rPr>
            </w:pPr>
            <w:r>
              <w:rPr>
                <w:rFonts w:ascii="Times New Roman"/>
                <w:szCs w:val="18"/>
              </w:rPr>
              <w:t>国家标准化管理委员会</w:t>
            </w:r>
          </w:p>
        </w:tc>
        <w:tc>
          <w:tcPr>
            <w:tcW w:w="1701" w:type="dxa"/>
            <w:vAlign w:val="center"/>
          </w:tcPr>
          <w:p w14:paraId="4FA357FA">
            <w:pPr>
              <w:pStyle w:val="122"/>
              <w:framePr w:wrap="around"/>
              <w:rPr>
                <w:rFonts w:ascii="Times New Roman"/>
                <w:sz w:val="36"/>
                <w:szCs w:val="36"/>
              </w:rPr>
            </w:pPr>
            <w:r>
              <w:rPr>
                <w:rFonts w:ascii="Times New Roman"/>
                <w:sz w:val="36"/>
                <w:szCs w:val="36"/>
              </w:rPr>
              <w:t>发布</w:t>
            </w:r>
          </w:p>
        </w:tc>
      </w:tr>
    </w:tbl>
    <w:p w14:paraId="7EF7DF56">
      <w:pPr>
        <w:pStyle w:val="4"/>
        <w:rPr>
          <w:rFonts w:ascii="Times New Roman"/>
        </w:rPr>
        <w:sectPr>
          <w:pgSz w:w="11906" w:h="16838"/>
          <w:pgMar w:top="567" w:right="850" w:bottom="1134" w:left="1418" w:header="0" w:footer="0" w:gutter="0"/>
          <w:pgNumType w:start="1"/>
          <w:cols w:space="720" w:num="1"/>
          <w:formProt w:val="0"/>
          <w:docGrid w:type="lines" w:linePitch="312" w:charSpace="0"/>
        </w:sectPr>
      </w:pPr>
      <w:r>
        <w:rPr>
          <w:rFonts w:ascii="Times New Roman"/>
        </w:rPr>
        <mc:AlternateContent>
          <mc:Choice Requires="wps">
            <w:drawing>
              <wp:anchor distT="0" distB="0" distL="114300" distR="114300" simplePos="0" relativeHeight="251662336" behindDoc="0" locked="0" layoutInCell="1" allowOverlap="1">
                <wp:simplePos x="0" y="0"/>
                <wp:positionH relativeFrom="column">
                  <wp:posOffset>-635</wp:posOffset>
                </wp:positionH>
                <wp:positionV relativeFrom="paragraph">
                  <wp:posOffset>2338705</wp:posOffset>
                </wp:positionV>
                <wp:extent cx="6120130" cy="0"/>
                <wp:effectExtent l="0" t="0" r="0" b="0"/>
                <wp:wrapNone/>
                <wp:docPr id="1078330202"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直接连接符 1" o:spid="_x0000_s1026" o:spt="20" style="position:absolute;left:0pt;margin-left:-0.05pt;margin-top:184.15pt;height:0pt;width:481.9pt;z-index:251662336;mso-width-relative:page;mso-height-relative:page;" filled="f" stroked="t" coordsize="21600,21600" o:gfxdata="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TT8&#10;dtcAAAAJAQAADwAAAAAAAAABACAAAAAiAAAAZHJzL2Rvd25yZXYueG1sUEsBAhQAFAAAAAgAh07i&#10;QJYSRxLqAQAAswMAAA4AAAAAAAAAAQAgAAAAJgEAAGRycy9lMm9Eb2MueG1sUEsFBgAAAAAGAAYA&#10;WQEAAIIFAAAAAA==&#10;">
                <v:fill on="f" focussize="0,0"/>
                <v:stroke color="#000000" joinstyle="round"/>
                <v:imagedata o:title=""/>
                <o:lock v:ext="edit" aspectratio="f"/>
              </v:line>
            </w:pict>
          </mc:Fallback>
        </mc:AlternateContent>
      </w:r>
    </w:p>
    <w:p w14:paraId="063FD284">
      <w:pPr>
        <w:pStyle w:val="100"/>
        <w:pageBreakBefore w:val="0"/>
        <w:spacing w:before="156" w:after="156"/>
        <w:outlineLvl w:val="9"/>
        <w:rPr>
          <w:rFonts w:ascii="Times New Roman"/>
        </w:rPr>
      </w:pPr>
      <w:bookmarkStart w:id="10" w:name="_Toc120627843"/>
      <w:bookmarkStart w:id="11" w:name="_Toc120628182"/>
      <w:bookmarkStart w:id="12" w:name="_Toc516841626"/>
      <w:bookmarkStart w:id="13" w:name="_Toc521598846"/>
      <w:bookmarkStart w:id="14" w:name="_Toc120628028"/>
      <w:bookmarkStart w:id="15" w:name="_Toc62136615"/>
      <w:bookmarkStart w:id="16" w:name="_Toc120627441"/>
      <w:bookmarkStart w:id="17" w:name="_Toc47210140"/>
      <w:bookmarkStart w:id="18" w:name="_Toc521598917"/>
      <w:bookmarkStart w:id="19" w:name="_Toc47541000"/>
      <w:bookmarkStart w:id="20" w:name="_Toc9974453"/>
      <w:bookmarkStart w:id="21" w:name="_Toc50041143"/>
      <w:bookmarkStart w:id="22" w:name="_Toc75253092"/>
      <w:bookmarkStart w:id="23" w:name="_Toc120627693"/>
      <w:bookmarkStart w:id="24" w:name="_Toc69907603"/>
      <w:bookmarkStart w:id="25" w:name="_Toc9974196"/>
      <w:bookmarkStart w:id="26" w:name="_Toc80093011"/>
      <w:r>
        <w:rPr>
          <w:rFonts w:ascii="Times New Roman"/>
        </w:rPr>
        <w:t>目</w:t>
      </w:r>
      <w:bookmarkStart w:id="27" w:name="BKML"/>
      <w:r>
        <w:rPr>
          <w:rFonts w:ascii="Times New Roman"/>
        </w:rPr>
        <w:t>  次</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2883E898">
      <w:pPr>
        <w:pStyle w:val="34"/>
        <w:spacing w:before="78" w:after="78"/>
        <w:rPr>
          <w:rFonts w:hint="eastAsia" w:asciiTheme="minorHAnsi" w:hAnsiTheme="minorHAnsi" w:eastAsiaTheme="minorEastAsia" w:cstheme="minorBidi"/>
          <w:sz w:val="22"/>
          <w:szCs w:val="24"/>
          <w14:ligatures w14:val="standardContextual"/>
        </w:rPr>
      </w:pPr>
      <w:r>
        <w:rPr>
          <w:rFonts w:ascii="Times New Roman"/>
        </w:rPr>
        <w:fldChar w:fldCharType="begin"/>
      </w:r>
      <w:r>
        <w:rPr>
          <w:rFonts w:ascii="Times New Roman"/>
        </w:rPr>
        <w:instrText xml:space="preserve"> TOC \o "1-3" \h \z \u </w:instrText>
      </w:r>
      <w:r>
        <w:rPr>
          <w:rFonts w:ascii="Times New Roman"/>
        </w:rPr>
        <w:fldChar w:fldCharType="separate"/>
      </w:r>
      <w:r>
        <w:fldChar w:fldCharType="begin"/>
      </w:r>
      <w:r>
        <w:instrText xml:space="preserve"> HYPERLINK \l "_Toc227084916" </w:instrText>
      </w:r>
      <w:r>
        <w:fldChar w:fldCharType="separate"/>
      </w:r>
      <w:r>
        <w:rPr>
          <w:rStyle w:val="52"/>
          <w:rFonts w:hint="eastAsia"/>
        </w:rPr>
        <w:t>1</w:t>
      </w:r>
      <w:r>
        <w:rPr>
          <w:rStyle w:val="52"/>
          <w:rFonts w:hint="eastAsia" w:ascii="Times New Roman"/>
        </w:rPr>
        <w:t xml:space="preserve"> 范围</w:t>
      </w:r>
      <w:r>
        <w:rPr>
          <w:rFonts w:hint="eastAsia"/>
        </w:rPr>
        <w:tab/>
      </w:r>
      <w:r>
        <w:rPr>
          <w:rFonts w:hint="eastAsia"/>
        </w:rPr>
        <w:fldChar w:fldCharType="begin"/>
      </w:r>
      <w:r>
        <w:rPr>
          <w:rFonts w:hint="eastAsia"/>
        </w:rPr>
        <w:instrText xml:space="preserve"> </w:instrText>
      </w:r>
      <w:r>
        <w:instrText xml:space="preserve">PAGEREF _Toc227084916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677EE8E8">
      <w:pPr>
        <w:pStyle w:val="34"/>
        <w:spacing w:before="78" w:after="78"/>
        <w:rPr>
          <w:rFonts w:hint="eastAsia" w:asciiTheme="minorHAnsi" w:hAnsiTheme="minorHAnsi" w:eastAsiaTheme="minorEastAsia" w:cstheme="minorBidi"/>
          <w:sz w:val="22"/>
          <w:szCs w:val="24"/>
          <w14:ligatures w14:val="standardContextual"/>
        </w:rPr>
      </w:pPr>
      <w:r>
        <w:fldChar w:fldCharType="begin"/>
      </w:r>
      <w:r>
        <w:instrText xml:space="preserve"> HYPERLINK \l "_Toc227084917" </w:instrText>
      </w:r>
      <w:r>
        <w:fldChar w:fldCharType="separate"/>
      </w:r>
      <w:r>
        <w:rPr>
          <w:rStyle w:val="52"/>
          <w:rFonts w:hint="eastAsia"/>
        </w:rPr>
        <w:t>2</w:t>
      </w:r>
      <w:r>
        <w:rPr>
          <w:rStyle w:val="52"/>
          <w:rFonts w:hint="eastAsia" w:ascii="Times New Roman"/>
        </w:rPr>
        <w:t xml:space="preserve"> 规范性引用文件</w:t>
      </w:r>
      <w:r>
        <w:rPr>
          <w:rFonts w:hint="eastAsia"/>
        </w:rPr>
        <w:tab/>
      </w:r>
      <w:r>
        <w:rPr>
          <w:rFonts w:hint="eastAsia"/>
        </w:rPr>
        <w:fldChar w:fldCharType="begin"/>
      </w:r>
      <w:r>
        <w:rPr>
          <w:rFonts w:hint="eastAsia"/>
        </w:rPr>
        <w:instrText xml:space="preserve"> </w:instrText>
      </w:r>
      <w:r>
        <w:instrText xml:space="preserve">PAGEREF _Toc227084917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0AB9F662">
      <w:pPr>
        <w:pStyle w:val="34"/>
        <w:spacing w:before="78" w:after="78"/>
        <w:rPr>
          <w:rFonts w:hint="eastAsia" w:asciiTheme="minorHAnsi" w:hAnsiTheme="minorHAnsi" w:eastAsiaTheme="minorEastAsia" w:cstheme="minorBidi"/>
          <w:sz w:val="22"/>
          <w:szCs w:val="24"/>
          <w14:ligatures w14:val="standardContextual"/>
        </w:rPr>
      </w:pPr>
      <w:r>
        <w:fldChar w:fldCharType="begin"/>
      </w:r>
      <w:r>
        <w:instrText xml:space="preserve"> HYPERLINK \l "_Toc227084918" </w:instrText>
      </w:r>
      <w:r>
        <w:fldChar w:fldCharType="separate"/>
      </w:r>
      <w:r>
        <w:rPr>
          <w:rStyle w:val="52"/>
          <w:rFonts w:hint="eastAsia"/>
        </w:rPr>
        <w:t>3</w:t>
      </w:r>
      <w:r>
        <w:rPr>
          <w:rStyle w:val="52"/>
          <w:rFonts w:hint="eastAsia" w:ascii="Times New Roman"/>
        </w:rPr>
        <w:t xml:space="preserve"> 术语和定义</w:t>
      </w:r>
      <w:r>
        <w:rPr>
          <w:rFonts w:hint="eastAsia"/>
        </w:rPr>
        <w:tab/>
      </w:r>
      <w:r>
        <w:rPr>
          <w:rFonts w:hint="eastAsia"/>
        </w:rPr>
        <w:fldChar w:fldCharType="begin"/>
      </w:r>
      <w:r>
        <w:rPr>
          <w:rFonts w:hint="eastAsia"/>
        </w:rPr>
        <w:instrText xml:space="preserve"> </w:instrText>
      </w:r>
      <w:r>
        <w:instrText xml:space="preserve">PAGEREF _Toc227084918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1B2DC8DF">
      <w:pPr>
        <w:pStyle w:val="34"/>
        <w:spacing w:before="78" w:after="78"/>
        <w:rPr>
          <w:rFonts w:hint="eastAsia" w:asciiTheme="minorHAnsi" w:hAnsiTheme="minorHAnsi" w:eastAsiaTheme="minorEastAsia" w:cstheme="minorBidi"/>
          <w:sz w:val="22"/>
          <w:szCs w:val="24"/>
          <w14:ligatures w14:val="standardContextual"/>
        </w:rPr>
      </w:pPr>
      <w:r>
        <w:fldChar w:fldCharType="begin"/>
      </w:r>
      <w:r>
        <w:instrText xml:space="preserve"> HYPERLINK \l "_Toc227084919" </w:instrText>
      </w:r>
      <w:r>
        <w:fldChar w:fldCharType="separate"/>
      </w:r>
      <w:r>
        <w:rPr>
          <w:rStyle w:val="52"/>
          <w:rFonts w:hint="eastAsia"/>
        </w:rPr>
        <w:t>4</w:t>
      </w:r>
      <w:r>
        <w:rPr>
          <w:rStyle w:val="52"/>
          <w:rFonts w:hint="eastAsia" w:ascii="Times New Roman"/>
        </w:rPr>
        <w:t xml:space="preserve"> 方法概述</w:t>
      </w:r>
      <w:r>
        <w:rPr>
          <w:rFonts w:hint="eastAsia"/>
        </w:rPr>
        <w:tab/>
      </w:r>
      <w:r>
        <w:rPr>
          <w:rFonts w:hint="eastAsia"/>
        </w:rPr>
        <w:fldChar w:fldCharType="begin"/>
      </w:r>
      <w:r>
        <w:rPr>
          <w:rFonts w:hint="eastAsia"/>
        </w:rPr>
        <w:instrText xml:space="preserve"> </w:instrText>
      </w:r>
      <w:r>
        <w:instrText xml:space="preserve">PAGEREF _Toc227084919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467FE07D">
      <w:pPr>
        <w:pStyle w:val="34"/>
        <w:spacing w:before="78" w:after="78"/>
        <w:rPr>
          <w:rFonts w:hint="eastAsia" w:asciiTheme="minorHAnsi" w:hAnsiTheme="minorHAnsi" w:eastAsiaTheme="minorEastAsia" w:cstheme="minorBidi"/>
          <w:sz w:val="22"/>
          <w:szCs w:val="24"/>
          <w14:ligatures w14:val="standardContextual"/>
        </w:rPr>
      </w:pPr>
      <w:r>
        <w:fldChar w:fldCharType="begin"/>
      </w:r>
      <w:r>
        <w:instrText xml:space="preserve"> HYPERLINK \l "_Toc227084920" </w:instrText>
      </w:r>
      <w:r>
        <w:fldChar w:fldCharType="separate"/>
      </w:r>
      <w:r>
        <w:rPr>
          <w:rStyle w:val="52"/>
          <w:rFonts w:hint="eastAsia"/>
        </w:rPr>
        <w:t>5</w:t>
      </w:r>
      <w:r>
        <w:rPr>
          <w:rStyle w:val="52"/>
          <w:rFonts w:hint="eastAsia" w:ascii="Times New Roman"/>
        </w:rPr>
        <w:t xml:space="preserve"> 试剂或材料</w:t>
      </w:r>
      <w:r>
        <w:rPr>
          <w:rFonts w:hint="eastAsia"/>
        </w:rPr>
        <w:tab/>
      </w:r>
      <w:r>
        <w:rPr>
          <w:rFonts w:hint="eastAsia"/>
        </w:rPr>
        <w:fldChar w:fldCharType="begin"/>
      </w:r>
      <w:r>
        <w:rPr>
          <w:rFonts w:hint="eastAsia"/>
        </w:rPr>
        <w:instrText xml:space="preserve"> </w:instrText>
      </w:r>
      <w:r>
        <w:instrText xml:space="preserve">PAGEREF _Toc227084920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6EA7F139">
      <w:pPr>
        <w:pStyle w:val="42"/>
        <w:rPr>
          <w:rFonts w:hint="eastAsia" w:asciiTheme="minorHAnsi" w:hAnsiTheme="minorHAnsi" w:eastAsiaTheme="minorEastAsia" w:cstheme="minorBidi"/>
          <w:sz w:val="22"/>
          <w:szCs w:val="24"/>
          <w14:ligatures w14:val="standardContextual"/>
        </w:rPr>
      </w:pPr>
      <w:r>
        <w:fldChar w:fldCharType="begin"/>
      </w:r>
      <w:r>
        <w:instrText xml:space="preserve"> HYPERLINK \l "_Toc227084934" </w:instrText>
      </w:r>
      <w:r>
        <w:fldChar w:fldCharType="separate"/>
      </w:r>
      <w:r>
        <w:rPr>
          <w:rStyle w:val="52"/>
          <w:rFonts w:hint="eastAsia"/>
        </w:rPr>
        <w:t>6</w:t>
      </w:r>
      <w:r>
        <w:rPr>
          <w:rStyle w:val="52"/>
          <w:rFonts w:hint="eastAsia" w:ascii="Times New Roman"/>
        </w:rPr>
        <w:t xml:space="preserve"> 设备与仪器</w:t>
      </w:r>
      <w:r>
        <w:rPr>
          <w:rFonts w:hint="eastAsia"/>
        </w:rPr>
        <w:tab/>
      </w:r>
      <w:r>
        <w:rPr>
          <w:rFonts w:hint="eastAsia"/>
        </w:rPr>
        <w:fldChar w:fldCharType="begin"/>
      </w:r>
      <w:r>
        <w:rPr>
          <w:rFonts w:hint="eastAsia"/>
        </w:rPr>
        <w:instrText xml:space="preserve"> </w:instrText>
      </w:r>
      <w:r>
        <w:instrText xml:space="preserve">PAGEREF _Toc227084934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3BDE0421">
      <w:pPr>
        <w:pStyle w:val="34"/>
        <w:spacing w:before="78" w:after="78"/>
        <w:rPr>
          <w:rFonts w:hint="eastAsia" w:asciiTheme="minorHAnsi" w:hAnsiTheme="minorHAnsi" w:eastAsiaTheme="minorEastAsia" w:cstheme="minorBidi"/>
          <w:sz w:val="22"/>
          <w:szCs w:val="24"/>
          <w14:ligatures w14:val="standardContextual"/>
        </w:rPr>
      </w:pPr>
      <w:r>
        <w:fldChar w:fldCharType="begin"/>
      </w:r>
      <w:r>
        <w:instrText xml:space="preserve"> HYPERLINK \l "_Toc227084935" </w:instrText>
      </w:r>
      <w:r>
        <w:fldChar w:fldCharType="separate"/>
      </w:r>
      <w:r>
        <w:rPr>
          <w:rStyle w:val="52"/>
          <w:rFonts w:hint="eastAsia"/>
        </w:rPr>
        <w:t>7</w:t>
      </w:r>
      <w:r>
        <w:rPr>
          <w:rStyle w:val="52"/>
          <w:rFonts w:hint="eastAsia" w:ascii="Times New Roman"/>
        </w:rPr>
        <w:t xml:space="preserve"> 试样制备</w:t>
      </w:r>
      <w:r>
        <w:rPr>
          <w:rFonts w:hint="eastAsia"/>
        </w:rPr>
        <w:tab/>
      </w:r>
      <w:r>
        <w:rPr>
          <w:rFonts w:hint="eastAsia"/>
        </w:rPr>
        <w:fldChar w:fldCharType="begin"/>
      </w:r>
      <w:r>
        <w:rPr>
          <w:rFonts w:hint="eastAsia"/>
        </w:rPr>
        <w:instrText xml:space="preserve"> </w:instrText>
      </w:r>
      <w:r>
        <w:instrText xml:space="preserve">PAGEREF _Toc227084935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4F513988">
      <w:pPr>
        <w:pStyle w:val="34"/>
        <w:spacing w:before="78" w:after="78"/>
        <w:rPr>
          <w:rFonts w:hint="eastAsia" w:asciiTheme="minorHAnsi" w:hAnsiTheme="minorHAnsi" w:eastAsiaTheme="minorEastAsia" w:cstheme="minorBidi"/>
          <w:sz w:val="22"/>
          <w:szCs w:val="24"/>
          <w14:ligatures w14:val="standardContextual"/>
        </w:rPr>
      </w:pPr>
      <w:r>
        <w:fldChar w:fldCharType="begin"/>
      </w:r>
      <w:r>
        <w:instrText xml:space="preserve"> HYPERLINK \l "_Toc227084936" </w:instrText>
      </w:r>
      <w:r>
        <w:fldChar w:fldCharType="separate"/>
      </w:r>
      <w:r>
        <w:rPr>
          <w:rStyle w:val="52"/>
          <w:rFonts w:hint="eastAsia"/>
        </w:rPr>
        <w:t>8</w:t>
      </w:r>
      <w:r>
        <w:rPr>
          <w:rStyle w:val="52"/>
          <w:rFonts w:hint="eastAsia" w:ascii="Times New Roman"/>
        </w:rPr>
        <w:t xml:space="preserve"> 试样浸蚀</w:t>
      </w:r>
      <w:r>
        <w:rPr>
          <w:rFonts w:hint="eastAsia"/>
        </w:rPr>
        <w:tab/>
      </w:r>
      <w:r>
        <w:rPr>
          <w:rFonts w:hint="eastAsia"/>
        </w:rPr>
        <w:fldChar w:fldCharType="begin"/>
      </w:r>
      <w:r>
        <w:rPr>
          <w:rFonts w:hint="eastAsia"/>
        </w:rPr>
        <w:instrText xml:space="preserve"> </w:instrText>
      </w:r>
      <w:r>
        <w:instrText xml:space="preserve">PAGEREF _Toc227084936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7A19048C">
      <w:pPr>
        <w:pStyle w:val="34"/>
        <w:spacing w:before="78" w:after="78"/>
        <w:rPr>
          <w:rFonts w:hint="eastAsia" w:asciiTheme="minorHAnsi" w:hAnsiTheme="minorHAnsi" w:eastAsiaTheme="minorEastAsia" w:cstheme="minorBidi"/>
          <w:sz w:val="22"/>
          <w:szCs w:val="24"/>
          <w14:ligatures w14:val="standardContextual"/>
        </w:rPr>
      </w:pPr>
      <w:r>
        <w:fldChar w:fldCharType="begin"/>
      </w:r>
      <w:r>
        <w:instrText xml:space="preserve"> HYPERLINK \l "_Toc227084937" </w:instrText>
      </w:r>
      <w:r>
        <w:fldChar w:fldCharType="separate"/>
      </w:r>
      <w:r>
        <w:rPr>
          <w:rStyle w:val="52"/>
          <w:rFonts w:hint="eastAsia"/>
        </w:rPr>
        <w:t>9</w:t>
      </w:r>
      <w:r>
        <w:rPr>
          <w:rStyle w:val="52"/>
          <w:rFonts w:hint="eastAsia" w:ascii="Times New Roman"/>
        </w:rPr>
        <w:t xml:space="preserve"> 显微组织检验</w:t>
      </w:r>
      <w:r>
        <w:rPr>
          <w:rFonts w:hint="eastAsia"/>
        </w:rPr>
        <w:tab/>
      </w:r>
      <w:r>
        <w:rPr>
          <w:rFonts w:hint="eastAsia"/>
        </w:rPr>
        <w:fldChar w:fldCharType="begin"/>
      </w:r>
      <w:r>
        <w:rPr>
          <w:rFonts w:hint="eastAsia"/>
        </w:rPr>
        <w:instrText xml:space="preserve"> </w:instrText>
      </w:r>
      <w:r>
        <w:instrText xml:space="preserve">PAGEREF _Toc227084937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2CD06F83">
      <w:pPr>
        <w:pStyle w:val="34"/>
        <w:spacing w:before="78" w:after="78"/>
        <w:rPr>
          <w:rFonts w:hint="eastAsia" w:asciiTheme="minorHAnsi" w:hAnsiTheme="minorHAnsi" w:eastAsiaTheme="minorEastAsia" w:cstheme="minorBidi"/>
          <w:sz w:val="22"/>
          <w:szCs w:val="24"/>
          <w14:ligatures w14:val="standardContextual"/>
        </w:rPr>
      </w:pPr>
      <w:r>
        <w:fldChar w:fldCharType="begin"/>
      </w:r>
      <w:r>
        <w:instrText xml:space="preserve"> HYPERLINK \l "_Toc227084938" </w:instrText>
      </w:r>
      <w:r>
        <w:fldChar w:fldCharType="separate"/>
      </w:r>
      <w:r>
        <w:rPr>
          <w:rStyle w:val="52"/>
          <w:rFonts w:hint="eastAsia"/>
        </w:rPr>
        <w:t>10</w:t>
      </w:r>
      <w:r>
        <w:rPr>
          <w:rStyle w:val="52"/>
          <w:rFonts w:hint="eastAsia" w:ascii="Times New Roman"/>
        </w:rPr>
        <w:t xml:space="preserve"> 晶粒尺寸的测定</w:t>
      </w:r>
      <w:r>
        <w:rPr>
          <w:rFonts w:hint="eastAsia"/>
        </w:rPr>
        <w:tab/>
      </w:r>
      <w:r>
        <w:rPr>
          <w:rFonts w:hint="eastAsia"/>
        </w:rPr>
        <w:fldChar w:fldCharType="begin"/>
      </w:r>
      <w:r>
        <w:rPr>
          <w:rFonts w:hint="eastAsia"/>
        </w:rPr>
        <w:instrText xml:space="preserve"> </w:instrText>
      </w:r>
      <w:r>
        <w:instrText xml:space="preserve">PAGEREF _Toc227084938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283FC72E">
      <w:pPr>
        <w:pStyle w:val="34"/>
        <w:spacing w:before="78" w:after="78"/>
        <w:rPr>
          <w:rFonts w:hint="eastAsia" w:asciiTheme="minorHAnsi" w:hAnsiTheme="minorHAnsi" w:eastAsiaTheme="minorEastAsia" w:cstheme="minorBidi"/>
          <w:sz w:val="22"/>
          <w:szCs w:val="24"/>
          <w14:ligatures w14:val="standardContextual"/>
        </w:rPr>
      </w:pPr>
      <w:r>
        <w:fldChar w:fldCharType="begin"/>
      </w:r>
      <w:r>
        <w:instrText xml:space="preserve"> HYPERLINK \l "_Toc227084942" </w:instrText>
      </w:r>
      <w:r>
        <w:fldChar w:fldCharType="separate"/>
      </w:r>
      <w:r>
        <w:rPr>
          <w:rStyle w:val="52"/>
          <w:rFonts w:hint="eastAsia"/>
        </w:rPr>
        <w:t>11</w:t>
      </w:r>
      <w:r>
        <w:rPr>
          <w:rStyle w:val="52"/>
          <w:rFonts w:hint="eastAsia" w:ascii="Times New Roman"/>
        </w:rPr>
        <w:t xml:space="preserve"> 试验报告</w:t>
      </w:r>
      <w:r>
        <w:rPr>
          <w:rFonts w:hint="eastAsia"/>
        </w:rPr>
        <w:tab/>
      </w:r>
      <w:r>
        <w:rPr>
          <w:rFonts w:hint="eastAsia"/>
        </w:rPr>
        <w:fldChar w:fldCharType="begin"/>
      </w:r>
      <w:r>
        <w:rPr>
          <w:rFonts w:hint="eastAsia"/>
        </w:rPr>
        <w:instrText xml:space="preserve"> </w:instrText>
      </w:r>
      <w:r>
        <w:instrText xml:space="preserve">PAGEREF _Toc227084942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26612DBC">
      <w:pPr>
        <w:pStyle w:val="152"/>
        <w:rPr>
          <w:rFonts w:ascii="Times New Roman"/>
        </w:rPr>
      </w:pPr>
      <w:r>
        <w:rPr>
          <w:rFonts w:ascii="Times New Roman"/>
        </w:rPr>
        <w:fldChar w:fldCharType="end"/>
      </w:r>
      <w:bookmarkStart w:id="28" w:name="_Toc120627442"/>
      <w:bookmarkStart w:id="29" w:name="_Toc9974197"/>
      <w:bookmarkStart w:id="30" w:name="_Toc75253093"/>
      <w:bookmarkStart w:id="31" w:name="_Toc481092167"/>
      <w:bookmarkStart w:id="32" w:name="_Toc120627844"/>
      <w:bookmarkStart w:id="33" w:name="_Toc120628029"/>
      <w:bookmarkStart w:id="34" w:name="_Toc9974454"/>
      <w:bookmarkStart w:id="35" w:name="_Toc47210141"/>
      <w:bookmarkStart w:id="36" w:name="_Toc127897420"/>
      <w:bookmarkStart w:id="37" w:name="_Toc227084915"/>
      <w:r>
        <w:rPr>
          <w:rFonts w:ascii="Times New Roman"/>
        </w:rPr>
        <w:t>前</w:t>
      </w:r>
      <w:bookmarkStart w:id="38" w:name="BKQY"/>
      <w:r>
        <w:rPr>
          <w:rFonts w:ascii="Times New Roman"/>
        </w:rPr>
        <w:t>  言</w:t>
      </w:r>
      <w:bookmarkEnd w:id="28"/>
      <w:bookmarkEnd w:id="29"/>
      <w:bookmarkEnd w:id="30"/>
      <w:bookmarkEnd w:id="31"/>
      <w:bookmarkEnd w:id="32"/>
      <w:bookmarkEnd w:id="33"/>
      <w:bookmarkEnd w:id="34"/>
      <w:bookmarkEnd w:id="35"/>
      <w:bookmarkEnd w:id="36"/>
      <w:bookmarkEnd w:id="37"/>
      <w:bookmarkEnd w:id="38"/>
    </w:p>
    <w:p w14:paraId="79244B0D">
      <w:pPr>
        <w:pStyle w:val="4"/>
        <w:rPr>
          <w:rFonts w:ascii="Times New Roman"/>
        </w:rPr>
      </w:pPr>
      <w:bookmarkStart w:id="39" w:name="_Toc417322194"/>
      <w:bookmarkStart w:id="40" w:name="_Toc380851282"/>
      <w:bookmarkStart w:id="41" w:name="_Toc417322157"/>
      <w:bookmarkStart w:id="42" w:name="_Toc332962912"/>
      <w:bookmarkStart w:id="43" w:name="_Toc443406678"/>
      <w:r>
        <w:rPr>
          <w:rFonts w:ascii="Times New Roman"/>
        </w:rPr>
        <w:t>本文件按照GB/T 1.1—2020《标准化工作导则 第1部分：标准化文件的结构和起草规则》的规则起草。</w:t>
      </w:r>
    </w:p>
    <w:p w14:paraId="0060360D">
      <w:pPr>
        <w:pStyle w:val="4"/>
        <w:rPr>
          <w:rFonts w:ascii="Times New Roman"/>
        </w:rPr>
      </w:pPr>
      <w:r>
        <w:rPr>
          <w:rFonts w:ascii="Times New Roman"/>
          <w:szCs w:val="21"/>
        </w:rPr>
        <w:t>请注意本文件的某些内容可能涉及专利。本文件的发布机构不承担识别专利的责任。</w:t>
      </w:r>
    </w:p>
    <w:p w14:paraId="06063BCF">
      <w:pPr>
        <w:pStyle w:val="4"/>
        <w:rPr>
          <w:rFonts w:ascii="Times New Roman"/>
        </w:rPr>
      </w:pPr>
      <w:r>
        <w:rPr>
          <w:rFonts w:ascii="Times New Roman"/>
        </w:rPr>
        <w:t>本文件由全国稀土标准化技术委员会（TC229）提出并归口。</w:t>
      </w:r>
    </w:p>
    <w:p w14:paraId="383138B0">
      <w:pPr>
        <w:pStyle w:val="4"/>
        <w:rPr>
          <w:rFonts w:ascii="Times New Roman"/>
        </w:rPr>
      </w:pPr>
      <w:r>
        <w:rPr>
          <w:rFonts w:ascii="Times New Roman"/>
        </w:rPr>
        <w:t xml:space="preserve">本文件起草单位： </w:t>
      </w:r>
    </w:p>
    <w:p w14:paraId="53587A89">
      <w:pPr>
        <w:pStyle w:val="4"/>
        <w:rPr>
          <w:rFonts w:ascii="Times New Roman"/>
        </w:rPr>
        <w:sectPr>
          <w:headerReference r:id="rId3" w:type="default"/>
          <w:footerReference r:id="rId4" w:type="default"/>
          <w:pgSz w:w="11906" w:h="16838"/>
          <w:pgMar w:top="567" w:right="1134" w:bottom="1134" w:left="1418" w:header="1418" w:footer="1134" w:gutter="0"/>
          <w:pgNumType w:fmt="upperRoman" w:start="1"/>
          <w:cols w:space="720" w:num="1"/>
          <w:formProt w:val="0"/>
          <w:docGrid w:type="lines" w:linePitch="312" w:charSpace="0"/>
        </w:sectPr>
      </w:pPr>
      <w:r>
        <w:rPr>
          <w:rFonts w:ascii="Times New Roman"/>
        </w:rPr>
        <w:t xml:space="preserve">本文件主要起草人： </w:t>
      </w:r>
    </w:p>
    <w:bookmarkEnd w:id="39"/>
    <w:bookmarkEnd w:id="40"/>
    <w:bookmarkEnd w:id="41"/>
    <w:bookmarkEnd w:id="42"/>
    <w:bookmarkEnd w:id="43"/>
    <w:p w14:paraId="0461AF1E">
      <w:pPr>
        <w:pStyle w:val="100"/>
        <w:outlineLvl w:val="9"/>
        <w:rPr>
          <w:rFonts w:ascii="Times New Roman"/>
        </w:rPr>
      </w:pPr>
      <w:bookmarkStart w:id="44" w:name="_Toc80093013"/>
      <w:bookmarkStart w:id="45" w:name="_Toc120626628"/>
      <w:bookmarkStart w:id="46" w:name="_Toc120627443"/>
      <w:bookmarkStart w:id="47" w:name="_Toc120627845"/>
      <w:bookmarkStart w:id="48" w:name="_Toc120628184"/>
      <w:bookmarkStart w:id="49" w:name="_Toc120628030"/>
      <w:r>
        <w:rPr>
          <w:rFonts w:ascii="Times New Roman"/>
        </w:rPr>
        <w:t>稀土金属靶材显微组织检验方法</w:t>
      </w:r>
      <w:bookmarkEnd w:id="44"/>
      <w:bookmarkEnd w:id="45"/>
      <w:bookmarkEnd w:id="46"/>
      <w:bookmarkEnd w:id="47"/>
      <w:bookmarkEnd w:id="48"/>
      <w:bookmarkEnd w:id="49"/>
    </w:p>
    <w:p w14:paraId="3287C11B">
      <w:pPr>
        <w:pStyle w:val="2"/>
        <w:spacing w:before="312" w:after="312"/>
        <w:rPr>
          <w:rFonts w:ascii="Times New Roman"/>
        </w:rPr>
      </w:pPr>
      <w:bookmarkStart w:id="50" w:name="_Toc120627846"/>
      <w:bookmarkStart w:id="51" w:name="_Toc227084916"/>
      <w:bookmarkStart w:id="52" w:name="_Toc120628031"/>
      <w:bookmarkStart w:id="53" w:name="_Toc120627444"/>
      <w:bookmarkStart w:id="54" w:name="OLE_LINK14"/>
      <w:r>
        <w:rPr>
          <w:rFonts w:ascii="Times New Roman"/>
        </w:rPr>
        <w:t>范围</w:t>
      </w:r>
      <w:bookmarkEnd w:id="50"/>
      <w:bookmarkEnd w:id="51"/>
      <w:bookmarkEnd w:id="52"/>
      <w:bookmarkEnd w:id="53"/>
    </w:p>
    <w:p w14:paraId="2B2C8758">
      <w:pPr>
        <w:ind w:firstLine="428" w:firstLineChars="200"/>
      </w:pPr>
      <w:r>
        <w:rPr>
          <w:spacing w:val="2"/>
          <w:szCs w:val="21"/>
        </w:rPr>
        <w:t>本</w:t>
      </w:r>
      <w:bookmarkStart w:id="55" w:name="_Hlk151155700"/>
      <w:r>
        <w:rPr>
          <w:spacing w:val="2"/>
          <w:szCs w:val="21"/>
        </w:rPr>
        <w:t>文件描述了稀土金属靶材显微组织的检验方法，包括金相试样制备、组织显示、组织检验及晶粒尺寸的测</w:t>
      </w:r>
      <w:r>
        <w:t>定和试验报告等内容。</w:t>
      </w:r>
    </w:p>
    <w:p w14:paraId="1D07ECEC">
      <w:pPr>
        <w:ind w:firstLine="420" w:firstLineChars="200"/>
      </w:pPr>
      <w:r>
        <w:t>本文件适用于稀土金属靶材的显微组织检验。其他以稀土金属为基体的材料的组织检验可参照执行。</w:t>
      </w:r>
    </w:p>
    <w:bookmarkEnd w:id="55"/>
    <w:p w14:paraId="57293AEB">
      <w:pPr>
        <w:pStyle w:val="2"/>
        <w:spacing w:before="312" w:after="312"/>
        <w:rPr>
          <w:rFonts w:ascii="Times New Roman"/>
        </w:rPr>
      </w:pPr>
      <w:bookmarkStart w:id="56" w:name="_Toc120627445"/>
      <w:bookmarkStart w:id="57" w:name="_Toc120628032"/>
      <w:bookmarkStart w:id="58" w:name="_Toc120627847"/>
      <w:bookmarkStart w:id="59" w:name="_Toc227084917"/>
      <w:r>
        <w:rPr>
          <w:rFonts w:ascii="Times New Roman"/>
        </w:rPr>
        <w:t>规范性引用文件</w:t>
      </w:r>
      <w:bookmarkEnd w:id="56"/>
      <w:bookmarkEnd w:id="57"/>
      <w:bookmarkEnd w:id="58"/>
      <w:bookmarkEnd w:id="59"/>
    </w:p>
    <w:p w14:paraId="63C61E0A">
      <w:pPr>
        <w:pStyle w:val="186"/>
        <w:ind w:left="0" w:leftChars="0" w:right="0" w:rightChars="0"/>
        <w:rPr>
          <w:rFonts w:ascii="Times New Roman" w:hAnsi="Times New Roman" w:cs="Times New Roman"/>
        </w:rPr>
      </w:pPr>
      <w:r>
        <w:rPr>
          <w:rFonts w:ascii="Times New Roman" w:hAnsi="Times New Roman" w:cs="Times New Roman"/>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7ADBD2D7">
      <w:pPr>
        <w:pStyle w:val="4"/>
        <w:rPr>
          <w:rFonts w:ascii="Times New Roman"/>
        </w:rPr>
      </w:pPr>
      <w:r>
        <w:rPr>
          <w:rFonts w:ascii="Times New Roman"/>
        </w:rPr>
        <w:t xml:space="preserve">GB/T6682 </w:t>
      </w:r>
      <w:r>
        <w:rPr>
          <w:rFonts w:hint="eastAsia" w:ascii="Times New Roman"/>
        </w:rPr>
        <w:t>分析实验室用水规格和试验方法</w:t>
      </w:r>
    </w:p>
    <w:p w14:paraId="427B4936">
      <w:pPr>
        <w:pStyle w:val="4"/>
        <w:rPr>
          <w:rFonts w:ascii="Times New Roman"/>
        </w:rPr>
      </w:pPr>
      <w:r>
        <w:rPr>
          <w:rFonts w:ascii="Times New Roman"/>
        </w:rPr>
        <w:t>GB/T 13298  金属显微组织检验方法</w:t>
      </w:r>
    </w:p>
    <w:p w14:paraId="0EB485D2">
      <w:pPr>
        <w:pStyle w:val="4"/>
        <w:rPr>
          <w:rFonts w:ascii="Times New Roman"/>
        </w:rPr>
      </w:pPr>
      <w:r>
        <w:rPr>
          <w:rFonts w:ascii="Times New Roman"/>
        </w:rPr>
        <w:t>GB/T 6394   金属平均晶粒度测定方法</w:t>
      </w:r>
    </w:p>
    <w:p w14:paraId="3E7E7DAA">
      <w:pPr>
        <w:pStyle w:val="4"/>
        <w:rPr>
          <w:rFonts w:ascii="Times New Roman"/>
        </w:rPr>
      </w:pPr>
      <w:r>
        <w:rPr>
          <w:rFonts w:ascii="Times New Roman"/>
        </w:rPr>
        <w:t>GB/T 30067 金相学术语</w:t>
      </w:r>
    </w:p>
    <w:p w14:paraId="15A7BB53">
      <w:pPr>
        <w:pStyle w:val="2"/>
        <w:spacing w:before="312" w:after="312"/>
        <w:rPr>
          <w:rFonts w:ascii="Times New Roman"/>
        </w:rPr>
      </w:pPr>
      <w:bookmarkStart w:id="60" w:name="_Toc120627848"/>
      <w:bookmarkStart w:id="61" w:name="_Toc120628033"/>
      <w:bookmarkStart w:id="62" w:name="_Toc227084918"/>
      <w:bookmarkStart w:id="63" w:name="_Toc120627446"/>
      <w:r>
        <w:rPr>
          <w:rFonts w:ascii="Times New Roman"/>
        </w:rPr>
        <w:t>术语和定义</w:t>
      </w:r>
      <w:bookmarkEnd w:id="60"/>
      <w:bookmarkEnd w:id="61"/>
      <w:bookmarkEnd w:id="62"/>
      <w:bookmarkEnd w:id="63"/>
    </w:p>
    <w:p w14:paraId="4E3ACFA3">
      <w:pPr>
        <w:ind w:firstLine="428" w:firstLineChars="200"/>
        <w:rPr>
          <w:spacing w:val="2"/>
          <w:szCs w:val="21"/>
        </w:rPr>
      </w:pPr>
      <w:r>
        <w:rPr>
          <w:spacing w:val="2"/>
          <w:szCs w:val="21"/>
        </w:rPr>
        <w:t>GB/T 6394 和</w:t>
      </w:r>
      <w:r>
        <w:t>GB/T 30067</w:t>
      </w:r>
      <w:r>
        <w:rPr>
          <w:spacing w:val="2"/>
          <w:szCs w:val="21"/>
        </w:rPr>
        <w:t>界定的以及下列术语和定义适用于本文件。</w:t>
      </w:r>
    </w:p>
    <w:p w14:paraId="6059A8E0">
      <w:pPr>
        <w:pStyle w:val="6"/>
        <w:numPr>
          <w:ilvl w:val="1"/>
          <w:numId w:val="2"/>
        </w:numPr>
        <w:spacing w:before="156" w:after="156"/>
        <w:outlineLvl w:val="9"/>
        <w:rPr>
          <w:rFonts w:ascii="Times New Roman"/>
        </w:rPr>
      </w:pPr>
      <w:bookmarkStart w:id="64" w:name="_Toc120627849"/>
      <w:bookmarkStart w:id="65" w:name="_Toc120628034"/>
      <w:bookmarkStart w:id="66" w:name="_Toc120627447"/>
      <w:bookmarkStart w:id="67" w:name="_Toc332962917"/>
    </w:p>
    <w:p w14:paraId="5ECA2D73">
      <w:pPr>
        <w:pStyle w:val="6"/>
        <w:spacing w:before="156" w:after="156"/>
        <w:ind w:firstLine="420" w:firstLineChars="200"/>
        <w:outlineLvl w:val="9"/>
        <w:rPr>
          <w:rFonts w:ascii="Times New Roman"/>
        </w:rPr>
      </w:pPr>
      <w:r>
        <w:rPr>
          <w:rFonts w:ascii="Times New Roman"/>
        </w:rPr>
        <w:t xml:space="preserve">稀土金属靶材  </w:t>
      </w:r>
      <w:r>
        <w:rPr>
          <w:rFonts w:ascii="Times New Roman"/>
          <w:b/>
          <w:bCs/>
        </w:rPr>
        <w:t>Rare earth Metal Targets</w:t>
      </w:r>
    </w:p>
    <w:bookmarkEnd w:id="64"/>
    <w:bookmarkEnd w:id="65"/>
    <w:bookmarkEnd w:id="66"/>
    <w:p w14:paraId="570CC609">
      <w:pPr>
        <w:pStyle w:val="186"/>
        <w:ind w:left="0" w:leftChars="0" w:right="0" w:rightChars="0"/>
        <w:rPr>
          <w:rFonts w:ascii="Times New Roman" w:hAnsi="Times New Roman" w:cs="Times New Roman"/>
        </w:rPr>
      </w:pPr>
      <w:r>
        <w:rPr>
          <w:rFonts w:ascii="Times New Roman" w:hAnsi="Times New Roman" w:cs="Times New Roman"/>
        </w:rPr>
        <w:t>在溅射、离子镀等沉积技术中含有稀土金属元素的阴极部分，在带正电荷的阳离子撞击下以分子、原子或离子的形式脱离阴极而在阳极表面沉积。稀土金属靶材包括金属镧靶材、金属铈靶材、金属钇靶材、金属铽靶材、金属镝靶材、金属镱靶材以及其他所用阴极材料为单一稀土金属的靶材。</w:t>
      </w:r>
    </w:p>
    <w:p w14:paraId="3CD9B08F">
      <w:pPr>
        <w:pStyle w:val="2"/>
        <w:spacing w:before="312" w:after="312"/>
        <w:rPr>
          <w:rFonts w:ascii="Times New Roman"/>
        </w:rPr>
      </w:pPr>
      <w:bookmarkStart w:id="68" w:name="_Toc227084919"/>
      <w:r>
        <w:rPr>
          <w:rFonts w:ascii="Times New Roman"/>
        </w:rPr>
        <w:t>方法概述</w:t>
      </w:r>
      <w:bookmarkEnd w:id="68"/>
    </w:p>
    <w:p w14:paraId="1E68AC9D">
      <w:pPr>
        <w:pStyle w:val="186"/>
        <w:rPr>
          <w:rFonts w:ascii="Times New Roman" w:hAnsi="Times New Roman" w:cs="Times New Roman"/>
        </w:rPr>
      </w:pPr>
      <w:r>
        <w:rPr>
          <w:rFonts w:ascii="Times New Roman" w:hAnsi="Times New Roman" w:cs="Times New Roman"/>
        </w:rPr>
        <w:t>稀土金属靶材化学活性高、质地偏软，金相试样制备过程中易产生形变层及氧化假象。针对镧、铈等极易氧化的靶材，采用“镶嵌-磨制-化学抛光/蚀刻”短流程制备技术及低温化学蚀刻方法显现微观组织，并利用光学显微镜进行分析与鉴别；针对铒、镱、钇等较易氧化的靶材，除上述方法外，亦可采用油基或酒精基润滑剂及抛光剂磨抛后，以特定配比的</w:t>
      </w:r>
      <w:r>
        <w:rPr>
          <w:rFonts w:hint="eastAsia" w:ascii="Times New Roman" w:hAnsi="Times New Roman" w:cs="Times New Roman"/>
        </w:rPr>
        <w:t>金相</w:t>
      </w:r>
      <w:r>
        <w:rPr>
          <w:rFonts w:ascii="Times New Roman" w:hAnsi="Times New Roman" w:cs="Times New Roman"/>
        </w:rPr>
        <w:t>浸</w:t>
      </w:r>
      <w:r>
        <w:rPr>
          <w:rFonts w:hint="eastAsia" w:ascii="Times New Roman" w:hAnsi="Times New Roman" w:cs="Times New Roman"/>
        </w:rPr>
        <w:t>蚀剂</w:t>
      </w:r>
      <w:r>
        <w:rPr>
          <w:rFonts w:ascii="Times New Roman" w:hAnsi="Times New Roman" w:cs="Times New Roman"/>
        </w:rPr>
        <w:t>显示组织，再通过显微镜进行观察评定。</w:t>
      </w:r>
    </w:p>
    <w:bookmarkEnd w:id="54"/>
    <w:p w14:paraId="2844BB43">
      <w:pPr>
        <w:pStyle w:val="2"/>
        <w:spacing w:before="312" w:after="312"/>
        <w:rPr>
          <w:rFonts w:ascii="Times New Roman"/>
        </w:rPr>
      </w:pPr>
      <w:bookmarkStart w:id="69" w:name="_Toc80093019"/>
      <w:bookmarkEnd w:id="69"/>
      <w:bookmarkStart w:id="70" w:name="_Toc80093017"/>
      <w:bookmarkEnd w:id="70"/>
      <w:bookmarkStart w:id="71" w:name="_Toc80093018"/>
      <w:bookmarkEnd w:id="71"/>
      <w:bookmarkStart w:id="72" w:name="_Toc227084920"/>
      <w:bookmarkStart w:id="73" w:name="_Toc120628035"/>
      <w:bookmarkStart w:id="74" w:name="_Toc120627448"/>
      <w:bookmarkStart w:id="75" w:name="_Toc120627850"/>
      <w:r>
        <w:rPr>
          <w:rFonts w:ascii="Times New Roman"/>
        </w:rPr>
        <w:t>试剂或材料</w:t>
      </w:r>
      <w:bookmarkEnd w:id="72"/>
    </w:p>
    <w:p w14:paraId="79722485">
      <w:pPr>
        <w:pStyle w:val="2"/>
        <w:numPr>
          <w:ilvl w:val="0"/>
          <w:numId w:val="0"/>
        </w:numPr>
        <w:spacing w:before="312" w:after="312"/>
        <w:ind w:firstLine="420" w:firstLineChars="200"/>
        <w:rPr>
          <w:rFonts w:ascii="Times New Roman"/>
        </w:rPr>
      </w:pPr>
      <w:r>
        <w:rPr>
          <w:rFonts w:ascii="Times New Roman"/>
        </w:rPr>
        <w:t>警示———分析中使用的无机酸对人体有腐蚀作用，试验人员需配戴个人防护装备，以降低直接接触所带来的危险。</w:t>
      </w:r>
    </w:p>
    <w:p w14:paraId="7FCF94DB">
      <w:pPr>
        <w:pStyle w:val="6"/>
        <w:numPr>
          <w:ilvl w:val="1"/>
          <w:numId w:val="2"/>
        </w:numPr>
        <w:spacing w:beforeLines="0" w:afterLines="0"/>
        <w:outlineLvl w:val="1"/>
        <w:rPr>
          <w:rFonts w:ascii="Times New Roman" w:eastAsia="宋体"/>
        </w:rPr>
      </w:pPr>
      <w:bookmarkStart w:id="76" w:name="_Toc227084921"/>
      <w:r>
        <w:rPr>
          <w:rFonts w:ascii="Times New Roman" w:eastAsia="宋体"/>
        </w:rPr>
        <w:t>砂纸：Pl20号砂纸，材质为碳化硅，粒径为106μm。</w:t>
      </w:r>
      <w:bookmarkEnd w:id="76"/>
    </w:p>
    <w:p w14:paraId="12590483">
      <w:pPr>
        <w:pStyle w:val="6"/>
        <w:numPr>
          <w:ilvl w:val="1"/>
          <w:numId w:val="2"/>
        </w:numPr>
        <w:spacing w:beforeLines="0" w:afterLines="0"/>
        <w:outlineLvl w:val="1"/>
        <w:rPr>
          <w:rFonts w:ascii="Times New Roman" w:eastAsia="宋体"/>
        </w:rPr>
      </w:pPr>
      <w:bookmarkStart w:id="77" w:name="_Toc227084922"/>
      <w:r>
        <w:rPr>
          <w:rFonts w:ascii="Times New Roman" w:eastAsia="宋体"/>
        </w:rPr>
        <w:t>砂纸：P180~</w:t>
      </w:r>
      <w:r>
        <w:rPr>
          <w:rFonts w:ascii="Times New Roman" w:eastAsia="宋体"/>
          <w:kern w:val="2"/>
          <w:szCs w:val="24"/>
        </w:rPr>
        <w:t xml:space="preserve"> </w:t>
      </w:r>
      <w:r>
        <w:rPr>
          <w:rFonts w:ascii="Times New Roman" w:eastAsia="宋体"/>
        </w:rPr>
        <w:t>P240号砂纸，材质为碳化硅，粒径为58~75μm。</w:t>
      </w:r>
      <w:bookmarkEnd w:id="77"/>
    </w:p>
    <w:p w14:paraId="5D4C50A7">
      <w:pPr>
        <w:pStyle w:val="6"/>
        <w:numPr>
          <w:ilvl w:val="1"/>
          <w:numId w:val="2"/>
        </w:numPr>
        <w:spacing w:beforeLines="0" w:afterLines="0"/>
        <w:outlineLvl w:val="1"/>
        <w:rPr>
          <w:rFonts w:ascii="Times New Roman" w:eastAsia="宋体"/>
        </w:rPr>
      </w:pPr>
      <w:bookmarkStart w:id="78" w:name="_Toc227084923"/>
      <w:r>
        <w:rPr>
          <w:rFonts w:ascii="Times New Roman" w:eastAsia="宋体"/>
        </w:rPr>
        <w:t>砂纸：P360~</w:t>
      </w:r>
      <w:r>
        <w:rPr>
          <w:rFonts w:ascii="Times New Roman" w:eastAsia="宋体"/>
          <w:kern w:val="2"/>
          <w:szCs w:val="24"/>
        </w:rPr>
        <w:t xml:space="preserve"> </w:t>
      </w:r>
      <w:r>
        <w:rPr>
          <w:rFonts w:ascii="Times New Roman" w:eastAsia="宋体"/>
        </w:rPr>
        <w:t>P500号砂纸，材质为碳化硅，粒径为30~40μm。</w:t>
      </w:r>
      <w:bookmarkEnd w:id="78"/>
    </w:p>
    <w:p w14:paraId="0EC6F547">
      <w:pPr>
        <w:pStyle w:val="6"/>
        <w:numPr>
          <w:ilvl w:val="1"/>
          <w:numId w:val="2"/>
        </w:numPr>
        <w:spacing w:beforeLines="0" w:afterLines="0"/>
        <w:outlineLvl w:val="1"/>
        <w:rPr>
          <w:rFonts w:ascii="Times New Roman" w:eastAsia="宋体"/>
        </w:rPr>
      </w:pPr>
      <w:bookmarkStart w:id="79" w:name="_Toc227084924"/>
      <w:r>
        <w:rPr>
          <w:rFonts w:ascii="Times New Roman" w:eastAsia="宋体"/>
        </w:rPr>
        <w:t>砂纸：P800~</w:t>
      </w:r>
      <w:r>
        <w:rPr>
          <w:rFonts w:ascii="Times New Roman" w:eastAsia="宋体"/>
          <w:kern w:val="2"/>
          <w:szCs w:val="24"/>
        </w:rPr>
        <w:t xml:space="preserve"> </w:t>
      </w:r>
      <w:r>
        <w:rPr>
          <w:rFonts w:ascii="Times New Roman" w:eastAsia="宋体"/>
        </w:rPr>
        <w:t>P1200号砂纸，材质为碳化硅，粒径为15~22μm。</w:t>
      </w:r>
      <w:bookmarkEnd w:id="79"/>
    </w:p>
    <w:p w14:paraId="7BCE2117">
      <w:pPr>
        <w:pStyle w:val="6"/>
        <w:numPr>
          <w:ilvl w:val="1"/>
          <w:numId w:val="2"/>
        </w:numPr>
        <w:spacing w:beforeLines="0" w:afterLines="0"/>
        <w:outlineLvl w:val="1"/>
        <w:rPr>
          <w:rFonts w:ascii="Times New Roman" w:eastAsia="宋体"/>
        </w:rPr>
      </w:pPr>
      <w:bookmarkStart w:id="80" w:name="_Toc227084925"/>
      <w:r>
        <w:rPr>
          <w:rFonts w:ascii="Times New Roman" w:eastAsia="宋体"/>
        </w:rPr>
        <w:t>砂纸：P2400号砂纸，材质为碳化硅，粒径为10μm。</w:t>
      </w:r>
      <w:bookmarkEnd w:id="80"/>
    </w:p>
    <w:p w14:paraId="5A83F4F0">
      <w:pPr>
        <w:pStyle w:val="6"/>
        <w:numPr>
          <w:ilvl w:val="1"/>
          <w:numId w:val="2"/>
        </w:numPr>
        <w:spacing w:beforeLines="0" w:afterLines="0"/>
        <w:outlineLvl w:val="1"/>
        <w:rPr>
          <w:rFonts w:ascii="Times New Roman" w:eastAsia="宋体"/>
        </w:rPr>
      </w:pPr>
      <w:bookmarkStart w:id="81" w:name="_Toc227084926"/>
      <w:r>
        <w:rPr>
          <w:rFonts w:ascii="Times New Roman" w:eastAsia="宋体"/>
        </w:rPr>
        <w:t>砂纸：P4000号砂纸，材质为碳化硅，粒径为5μm。</w:t>
      </w:r>
      <w:bookmarkEnd w:id="81"/>
    </w:p>
    <w:p w14:paraId="4F112035">
      <w:pPr>
        <w:pStyle w:val="6"/>
        <w:numPr>
          <w:ilvl w:val="1"/>
          <w:numId w:val="2"/>
        </w:numPr>
        <w:spacing w:beforeLines="0" w:afterLines="0"/>
        <w:outlineLvl w:val="1"/>
        <w:rPr>
          <w:rFonts w:ascii="Times New Roman" w:eastAsia="宋体"/>
        </w:rPr>
      </w:pPr>
      <w:bookmarkStart w:id="82" w:name="_Toc227084927"/>
      <w:r>
        <w:rPr>
          <w:rFonts w:hint="eastAsia" w:ascii="Times New Roman" w:eastAsia="宋体"/>
        </w:rPr>
        <w:t>磨抛润滑剂：无水乙醇基/油基润滑剂，生成薄的润滑膜，材料磨削率高。</w:t>
      </w:r>
      <w:bookmarkEnd w:id="82"/>
    </w:p>
    <w:p w14:paraId="1F317C25">
      <w:pPr>
        <w:pStyle w:val="6"/>
        <w:numPr>
          <w:ilvl w:val="1"/>
          <w:numId w:val="2"/>
        </w:numPr>
        <w:spacing w:beforeLines="0" w:afterLines="0"/>
        <w:outlineLvl w:val="1"/>
        <w:rPr>
          <w:rFonts w:ascii="Times New Roman" w:eastAsia="宋体"/>
        </w:rPr>
      </w:pPr>
      <w:bookmarkStart w:id="83" w:name="_Toc227084928"/>
      <w:r>
        <w:rPr>
          <w:rFonts w:hint="eastAsia" w:ascii="Times New Roman" w:eastAsia="宋体"/>
        </w:rPr>
        <w:t>抛光剂：无水乙醇基/油基金刚石悬浮液</w:t>
      </w:r>
      <w:r>
        <w:rPr>
          <w:rFonts w:ascii="Times New Roman" w:eastAsia="宋体"/>
        </w:rPr>
        <w:t>，粒径为</w:t>
      </w:r>
      <w:r>
        <w:rPr>
          <w:rFonts w:hint="eastAsia" w:ascii="Times New Roman" w:eastAsia="宋体"/>
        </w:rPr>
        <w:t>3</w:t>
      </w:r>
      <w:r>
        <w:rPr>
          <w:rFonts w:ascii="Times New Roman" w:eastAsia="宋体"/>
        </w:rPr>
        <w:t>μm</w:t>
      </w:r>
      <w:r>
        <w:rPr>
          <w:rFonts w:hint="eastAsia" w:ascii="Times New Roman" w:eastAsia="宋体"/>
        </w:rPr>
        <w:t>。</w:t>
      </w:r>
      <w:bookmarkEnd w:id="83"/>
    </w:p>
    <w:p w14:paraId="03747941">
      <w:pPr>
        <w:pStyle w:val="6"/>
        <w:numPr>
          <w:ilvl w:val="1"/>
          <w:numId w:val="2"/>
        </w:numPr>
        <w:spacing w:beforeLines="0" w:afterLines="0"/>
        <w:outlineLvl w:val="1"/>
        <w:rPr>
          <w:rFonts w:ascii="Times New Roman" w:eastAsia="宋体"/>
        </w:rPr>
      </w:pPr>
      <w:bookmarkStart w:id="84" w:name="_Toc227084929"/>
      <w:r>
        <w:rPr>
          <w:rFonts w:hint="eastAsia" w:ascii="Times New Roman" w:eastAsia="宋体"/>
        </w:rPr>
        <w:t>抛光剂：无水乙醇基/油基金刚石悬浮液</w:t>
      </w:r>
      <w:r>
        <w:rPr>
          <w:rFonts w:ascii="Times New Roman" w:eastAsia="宋体"/>
        </w:rPr>
        <w:t>，粒径为</w:t>
      </w:r>
      <w:r>
        <w:rPr>
          <w:rFonts w:hint="eastAsia" w:ascii="Times New Roman" w:eastAsia="宋体"/>
        </w:rPr>
        <w:t>1</w:t>
      </w:r>
      <w:r>
        <w:rPr>
          <w:rFonts w:ascii="Times New Roman" w:eastAsia="宋体"/>
        </w:rPr>
        <w:t>μm</w:t>
      </w:r>
      <w:r>
        <w:rPr>
          <w:rFonts w:hint="eastAsia" w:ascii="Times New Roman" w:eastAsia="宋体"/>
        </w:rPr>
        <w:t>。</w:t>
      </w:r>
      <w:bookmarkEnd w:id="84"/>
    </w:p>
    <w:p w14:paraId="627A4AD3">
      <w:pPr>
        <w:pStyle w:val="6"/>
        <w:numPr>
          <w:ilvl w:val="1"/>
          <w:numId w:val="2"/>
        </w:numPr>
        <w:spacing w:beforeLines="0" w:afterLines="0"/>
        <w:outlineLvl w:val="1"/>
        <w:rPr>
          <w:rFonts w:ascii="Times New Roman" w:eastAsia="宋体"/>
        </w:rPr>
      </w:pPr>
      <w:bookmarkStart w:id="85" w:name="_Toc227084930"/>
      <w:r>
        <w:rPr>
          <w:rFonts w:hint="eastAsia" w:ascii="Times New Roman" w:eastAsia="宋体"/>
        </w:rPr>
        <w:t>抛光剂：无水乙醇基/油基金刚石悬浮液</w:t>
      </w:r>
      <w:r>
        <w:rPr>
          <w:rFonts w:ascii="Times New Roman" w:eastAsia="宋体"/>
        </w:rPr>
        <w:t>，粒径为</w:t>
      </w:r>
      <w:r>
        <w:rPr>
          <w:rFonts w:hint="eastAsia" w:ascii="Times New Roman" w:eastAsia="宋体"/>
        </w:rPr>
        <w:t>0.25</w:t>
      </w:r>
      <w:r>
        <w:rPr>
          <w:rFonts w:ascii="Times New Roman" w:eastAsia="宋体"/>
        </w:rPr>
        <w:t>μm</w:t>
      </w:r>
      <w:r>
        <w:rPr>
          <w:rFonts w:hint="eastAsia" w:ascii="Times New Roman" w:eastAsia="宋体"/>
        </w:rPr>
        <w:t>。</w:t>
      </w:r>
      <w:bookmarkEnd w:id="85"/>
    </w:p>
    <w:p w14:paraId="33A9A5AB">
      <w:pPr>
        <w:pStyle w:val="6"/>
        <w:numPr>
          <w:ilvl w:val="1"/>
          <w:numId w:val="2"/>
        </w:numPr>
        <w:spacing w:beforeLines="0" w:afterLines="0"/>
        <w:outlineLvl w:val="1"/>
        <w:rPr>
          <w:rFonts w:ascii="Times New Roman" w:eastAsia="宋体"/>
        </w:rPr>
      </w:pPr>
      <w:bookmarkStart w:id="86" w:name="_Toc227084931"/>
      <w:r>
        <w:rPr>
          <w:rFonts w:hint="eastAsia" w:ascii="Times New Roman" w:eastAsia="宋体"/>
        </w:rPr>
        <w:t>无水乙醇。</w:t>
      </w:r>
      <w:bookmarkEnd w:id="86"/>
    </w:p>
    <w:p w14:paraId="32F693D5">
      <w:pPr>
        <w:pStyle w:val="6"/>
        <w:numPr>
          <w:ilvl w:val="1"/>
          <w:numId w:val="2"/>
        </w:numPr>
        <w:spacing w:beforeLines="0" w:afterLines="0"/>
        <w:outlineLvl w:val="1"/>
        <w:rPr>
          <w:rFonts w:ascii="Times New Roman" w:eastAsia="宋体"/>
        </w:rPr>
      </w:pPr>
      <w:bookmarkStart w:id="87" w:name="_Toc227084932"/>
      <w:r>
        <w:rPr>
          <w:rFonts w:hint="eastAsia" w:ascii="Times New Roman" w:eastAsia="宋体"/>
        </w:rPr>
        <w:t>水，</w:t>
      </w:r>
      <w:r>
        <w:rPr>
          <w:rFonts w:ascii="Times New Roman" w:eastAsia="宋体"/>
        </w:rPr>
        <w:t>GB/T</w:t>
      </w:r>
      <w:r>
        <w:rPr>
          <w:rFonts w:hint="eastAsia" w:ascii="Times New Roman" w:eastAsia="宋体"/>
        </w:rPr>
        <w:t xml:space="preserve"> </w:t>
      </w:r>
      <w:r>
        <w:rPr>
          <w:rFonts w:ascii="Times New Roman" w:eastAsia="宋体"/>
        </w:rPr>
        <w:t>6682</w:t>
      </w:r>
      <w:r>
        <w:rPr>
          <w:rFonts w:hint="eastAsia" w:ascii="Times New Roman" w:eastAsia="宋体"/>
        </w:rPr>
        <w:t>，三级。</w:t>
      </w:r>
      <w:bookmarkEnd w:id="87"/>
    </w:p>
    <w:p w14:paraId="17D1D4CB">
      <w:pPr>
        <w:pStyle w:val="6"/>
        <w:numPr>
          <w:ilvl w:val="1"/>
          <w:numId w:val="2"/>
        </w:numPr>
        <w:spacing w:beforeLines="0" w:afterLines="0"/>
        <w:outlineLvl w:val="1"/>
        <w:rPr>
          <w:rFonts w:ascii="Times New Roman" w:eastAsia="宋体"/>
        </w:rPr>
      </w:pPr>
      <w:bookmarkStart w:id="88" w:name="_Toc227084933"/>
      <w:r>
        <w:rPr>
          <w:rFonts w:hint="eastAsia" w:ascii="Times New Roman" w:eastAsia="宋体"/>
        </w:rPr>
        <w:t>浸蚀剂：</w:t>
      </w:r>
      <w:r>
        <w:rPr>
          <w:rFonts w:ascii="Times New Roman" w:eastAsia="宋体"/>
        </w:rPr>
        <w:t>浸</w:t>
      </w:r>
      <w:r>
        <w:rPr>
          <w:rFonts w:hint="eastAsia" w:ascii="Times New Roman" w:eastAsia="宋体"/>
        </w:rPr>
        <w:t>蚀剂及配制方法见表1。</w:t>
      </w:r>
      <w:bookmarkEnd w:id="88"/>
    </w:p>
    <w:p w14:paraId="2F697F63">
      <w:pPr>
        <w:pStyle w:val="17"/>
        <w:numPr>
          <w:ilvl w:val="1"/>
          <w:numId w:val="20"/>
        </w:numPr>
        <w:spacing w:before="156" w:beforeLines="50" w:after="156" w:afterLines="50"/>
        <w:ind w:firstLineChars="0"/>
        <w:jc w:val="center"/>
        <w:rPr>
          <w:rFonts w:ascii="Times New Roman" w:eastAsia="黑体"/>
          <w:sz w:val="21"/>
          <w:szCs w:val="21"/>
        </w:rPr>
      </w:pPr>
      <w:r>
        <w:rPr>
          <w:rFonts w:ascii="Times New Roman" w:eastAsia="黑体"/>
          <w:sz w:val="21"/>
          <w:szCs w:val="21"/>
        </w:rPr>
        <w:t>浸</w:t>
      </w:r>
      <w:r>
        <w:rPr>
          <w:rFonts w:hint="eastAsia" w:ascii="Times New Roman" w:eastAsia="黑体"/>
          <w:sz w:val="21"/>
          <w:szCs w:val="21"/>
        </w:rPr>
        <w:t>蚀剂及配制方法</w:t>
      </w:r>
    </w:p>
    <w:tbl>
      <w:tblPr>
        <w:tblStyle w:val="46"/>
        <w:tblW w:w="93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8"/>
        <w:gridCol w:w="3402"/>
        <w:gridCol w:w="4961"/>
      </w:tblGrid>
      <w:tr w14:paraId="46605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jc w:val="center"/>
        </w:trPr>
        <w:tc>
          <w:tcPr>
            <w:tcW w:w="988" w:type="dxa"/>
            <w:vAlign w:val="center"/>
          </w:tcPr>
          <w:p w14:paraId="7D48BCEC">
            <w:pPr>
              <w:pStyle w:val="4"/>
              <w:spacing w:line="276" w:lineRule="auto"/>
              <w:ind w:firstLine="0" w:firstLineChars="0"/>
              <w:jc w:val="center"/>
              <w:rPr>
                <w:rFonts w:ascii="Times New Roman"/>
                <w:sz w:val="18"/>
                <w:szCs w:val="18"/>
              </w:rPr>
            </w:pPr>
            <w:r>
              <w:rPr>
                <w:rFonts w:ascii="Times New Roman"/>
                <w:sz w:val="18"/>
                <w:szCs w:val="18"/>
              </w:rPr>
              <w:t>方法编号</w:t>
            </w:r>
          </w:p>
        </w:tc>
        <w:tc>
          <w:tcPr>
            <w:tcW w:w="3402" w:type="dxa"/>
            <w:vAlign w:val="center"/>
          </w:tcPr>
          <w:p w14:paraId="581D33CB">
            <w:pPr>
              <w:pStyle w:val="4"/>
              <w:spacing w:line="276" w:lineRule="auto"/>
              <w:ind w:firstLine="0" w:firstLineChars="0"/>
              <w:jc w:val="center"/>
              <w:rPr>
                <w:rFonts w:ascii="Times New Roman"/>
                <w:sz w:val="18"/>
                <w:szCs w:val="18"/>
              </w:rPr>
            </w:pPr>
            <w:r>
              <w:rPr>
                <w:rFonts w:ascii="Times New Roman"/>
                <w:sz w:val="18"/>
                <w:szCs w:val="18"/>
              </w:rPr>
              <w:t>浸</w:t>
            </w:r>
            <w:r>
              <w:rPr>
                <w:rFonts w:hint="eastAsia" w:ascii="Times New Roman"/>
                <w:sz w:val="18"/>
                <w:szCs w:val="18"/>
              </w:rPr>
              <w:t>蚀剂成分</w:t>
            </w:r>
          </w:p>
        </w:tc>
        <w:tc>
          <w:tcPr>
            <w:tcW w:w="4961" w:type="dxa"/>
            <w:vAlign w:val="center"/>
          </w:tcPr>
          <w:p w14:paraId="7D055EB0">
            <w:pPr>
              <w:pStyle w:val="4"/>
              <w:spacing w:line="276" w:lineRule="auto"/>
              <w:ind w:firstLine="0" w:firstLineChars="0"/>
              <w:jc w:val="center"/>
              <w:rPr>
                <w:rFonts w:ascii="Times New Roman"/>
                <w:sz w:val="18"/>
                <w:szCs w:val="18"/>
              </w:rPr>
            </w:pPr>
            <w:r>
              <w:rPr>
                <w:rFonts w:hint="eastAsia" w:ascii="Times New Roman"/>
                <w:sz w:val="18"/>
                <w:szCs w:val="18"/>
              </w:rPr>
              <w:t>配制方法</w:t>
            </w:r>
          </w:p>
        </w:tc>
      </w:tr>
      <w:tr w14:paraId="724BC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jc w:val="center"/>
        </w:trPr>
        <w:tc>
          <w:tcPr>
            <w:tcW w:w="988" w:type="dxa"/>
            <w:vAlign w:val="center"/>
          </w:tcPr>
          <w:p w14:paraId="787AF2F9">
            <w:pPr>
              <w:pStyle w:val="4"/>
              <w:spacing w:line="276" w:lineRule="auto"/>
              <w:ind w:firstLine="0" w:firstLineChars="0"/>
              <w:jc w:val="center"/>
              <w:rPr>
                <w:rFonts w:ascii="Times New Roman"/>
                <w:sz w:val="18"/>
                <w:szCs w:val="18"/>
              </w:rPr>
            </w:pPr>
            <w:bookmarkStart w:id="89" w:name="_Hlk227088434"/>
            <w:r>
              <w:rPr>
                <w:rFonts w:ascii="Times New Roman"/>
                <w:sz w:val="18"/>
                <w:szCs w:val="18"/>
              </w:rPr>
              <w:t>1号</w:t>
            </w:r>
          </w:p>
        </w:tc>
        <w:tc>
          <w:tcPr>
            <w:tcW w:w="3402" w:type="dxa"/>
            <w:vAlign w:val="center"/>
          </w:tcPr>
          <w:p w14:paraId="326DD3FE">
            <w:pPr>
              <w:pStyle w:val="4"/>
              <w:spacing w:line="276" w:lineRule="auto"/>
              <w:ind w:firstLine="0" w:firstLineChars="0"/>
              <w:rPr>
                <w:rFonts w:ascii="Times New Roman"/>
                <w:sz w:val="18"/>
                <w:szCs w:val="18"/>
              </w:rPr>
            </w:pPr>
            <w:r>
              <w:rPr>
                <w:rFonts w:ascii="Times New Roman"/>
                <w:sz w:val="18"/>
                <w:szCs w:val="18"/>
              </w:rPr>
              <w:t>15mL硝酸+35mL乙二醇</w:t>
            </w:r>
          </w:p>
        </w:tc>
        <w:tc>
          <w:tcPr>
            <w:tcW w:w="4961" w:type="dxa"/>
            <w:vAlign w:val="center"/>
          </w:tcPr>
          <w:p w14:paraId="1FC83A10">
            <w:pPr>
              <w:pStyle w:val="4"/>
              <w:spacing w:line="276" w:lineRule="auto"/>
              <w:ind w:firstLine="0" w:firstLineChars="0"/>
              <w:rPr>
                <w:rFonts w:ascii="Times New Roman"/>
                <w:sz w:val="18"/>
                <w:szCs w:val="18"/>
              </w:rPr>
            </w:pPr>
            <w:r>
              <w:rPr>
                <w:rFonts w:hint="eastAsia" w:ascii="Times New Roman"/>
                <w:sz w:val="18"/>
                <w:szCs w:val="18"/>
              </w:rPr>
              <w:t>将</w:t>
            </w:r>
            <w:r>
              <w:rPr>
                <w:rFonts w:ascii="Times New Roman"/>
                <w:sz w:val="18"/>
                <w:szCs w:val="18"/>
              </w:rPr>
              <w:t>35mL乙二醇</w:t>
            </w:r>
            <w:r>
              <w:rPr>
                <w:rFonts w:hint="eastAsia" w:ascii="Times New Roman"/>
                <w:sz w:val="18"/>
                <w:szCs w:val="18"/>
              </w:rPr>
              <w:t>（ρ</w:t>
            </w:r>
            <w:r>
              <w:rPr>
                <w:rFonts w:ascii="Times New Roman"/>
                <w:sz w:val="18"/>
                <w:szCs w:val="18"/>
              </w:rPr>
              <w:t>=1.11</w:t>
            </w:r>
            <w:r>
              <w:rPr>
                <w:rFonts w:hint="eastAsia" w:ascii="Times New Roman"/>
                <w:sz w:val="18"/>
                <w:szCs w:val="18"/>
              </w:rPr>
              <w:t>3</w:t>
            </w:r>
            <w:r>
              <w:rPr>
                <w:rFonts w:ascii="Times New Roman"/>
                <w:sz w:val="18"/>
                <w:szCs w:val="18"/>
              </w:rPr>
              <w:t xml:space="preserve"> g / mL</w:t>
            </w:r>
            <w:r>
              <w:rPr>
                <w:rFonts w:hint="eastAsia" w:ascii="Times New Roman"/>
                <w:sz w:val="18"/>
                <w:szCs w:val="18"/>
              </w:rPr>
              <w:t>）与</w:t>
            </w:r>
            <w:r>
              <w:rPr>
                <w:rFonts w:ascii="Times New Roman"/>
                <w:sz w:val="18"/>
                <w:szCs w:val="18"/>
              </w:rPr>
              <w:t>15mL硝酸</w:t>
            </w:r>
            <w:r>
              <w:rPr>
                <w:rFonts w:hint="eastAsia" w:ascii="Times New Roman"/>
                <w:sz w:val="18"/>
                <w:szCs w:val="18"/>
              </w:rPr>
              <w:t>（ρ</w:t>
            </w:r>
            <w:r>
              <w:rPr>
                <w:rFonts w:ascii="Times New Roman"/>
                <w:sz w:val="18"/>
                <w:szCs w:val="18"/>
              </w:rPr>
              <w:t>=1.40</w:t>
            </w:r>
            <w:r>
              <w:rPr>
                <w:rFonts w:hint="eastAsia" w:ascii="Times New Roman"/>
                <w:sz w:val="18"/>
                <w:szCs w:val="18"/>
              </w:rPr>
              <w:t xml:space="preserve"> </w:t>
            </w:r>
            <w:r>
              <w:rPr>
                <w:rFonts w:ascii="Times New Roman"/>
                <w:sz w:val="18"/>
                <w:szCs w:val="18"/>
              </w:rPr>
              <w:t>g / mL</w:t>
            </w:r>
            <w:r>
              <w:rPr>
                <w:rFonts w:hint="eastAsia" w:ascii="Times New Roman"/>
                <w:sz w:val="18"/>
                <w:szCs w:val="18"/>
              </w:rPr>
              <w:t>）混合均匀</w:t>
            </w:r>
          </w:p>
        </w:tc>
      </w:tr>
      <w:tr w14:paraId="09ABA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jc w:val="center"/>
        </w:trPr>
        <w:tc>
          <w:tcPr>
            <w:tcW w:w="988" w:type="dxa"/>
            <w:vAlign w:val="center"/>
          </w:tcPr>
          <w:p w14:paraId="601B1F94">
            <w:pPr>
              <w:pStyle w:val="4"/>
              <w:spacing w:line="276" w:lineRule="auto"/>
              <w:ind w:firstLine="0" w:firstLineChars="0"/>
              <w:jc w:val="center"/>
              <w:rPr>
                <w:rFonts w:ascii="Times New Roman"/>
                <w:sz w:val="18"/>
                <w:szCs w:val="18"/>
              </w:rPr>
            </w:pPr>
            <w:r>
              <w:rPr>
                <w:rFonts w:ascii="Times New Roman"/>
                <w:sz w:val="18"/>
                <w:szCs w:val="18"/>
              </w:rPr>
              <w:t>2号</w:t>
            </w:r>
          </w:p>
        </w:tc>
        <w:tc>
          <w:tcPr>
            <w:tcW w:w="3402" w:type="dxa"/>
            <w:vAlign w:val="center"/>
          </w:tcPr>
          <w:p w14:paraId="20E709E8">
            <w:pPr>
              <w:pStyle w:val="4"/>
              <w:spacing w:line="276" w:lineRule="auto"/>
              <w:ind w:firstLine="0" w:firstLineChars="0"/>
              <w:rPr>
                <w:rFonts w:ascii="Times New Roman"/>
                <w:sz w:val="18"/>
                <w:szCs w:val="18"/>
              </w:rPr>
            </w:pPr>
            <w:r>
              <w:rPr>
                <w:rFonts w:ascii="Times New Roman"/>
                <w:sz w:val="18"/>
                <w:szCs w:val="18"/>
              </w:rPr>
              <w:t>30mL硝酸+25mL丙三醇</w:t>
            </w:r>
          </w:p>
        </w:tc>
        <w:tc>
          <w:tcPr>
            <w:tcW w:w="4961" w:type="dxa"/>
            <w:vAlign w:val="center"/>
          </w:tcPr>
          <w:p w14:paraId="0B975480">
            <w:pPr>
              <w:pStyle w:val="4"/>
              <w:spacing w:line="276" w:lineRule="auto"/>
              <w:ind w:firstLine="0" w:firstLineChars="0"/>
              <w:rPr>
                <w:rFonts w:ascii="Times New Roman"/>
                <w:sz w:val="18"/>
                <w:szCs w:val="18"/>
              </w:rPr>
            </w:pPr>
            <w:r>
              <w:rPr>
                <w:rFonts w:hint="eastAsia" w:ascii="Times New Roman"/>
                <w:sz w:val="18"/>
                <w:szCs w:val="18"/>
              </w:rPr>
              <w:t>将25</w:t>
            </w:r>
            <w:r>
              <w:rPr>
                <w:rFonts w:ascii="Times New Roman"/>
                <w:sz w:val="18"/>
                <w:szCs w:val="18"/>
              </w:rPr>
              <w:t>mL丙三醇</w:t>
            </w:r>
            <w:r>
              <w:rPr>
                <w:rFonts w:hint="eastAsia" w:ascii="Times New Roman"/>
                <w:sz w:val="18"/>
                <w:szCs w:val="18"/>
              </w:rPr>
              <w:t>（ρ</w:t>
            </w:r>
            <w:r>
              <w:rPr>
                <w:rFonts w:ascii="Times New Roman"/>
                <w:sz w:val="18"/>
                <w:szCs w:val="18"/>
              </w:rPr>
              <w:t>=1.</w:t>
            </w:r>
            <w:r>
              <w:rPr>
                <w:rFonts w:hint="eastAsia" w:ascii="Times New Roman"/>
                <w:sz w:val="18"/>
                <w:szCs w:val="18"/>
              </w:rPr>
              <w:t>26</w:t>
            </w:r>
            <w:r>
              <w:rPr>
                <w:rFonts w:ascii="Times New Roman"/>
                <w:sz w:val="18"/>
                <w:szCs w:val="18"/>
              </w:rPr>
              <w:t xml:space="preserve"> g/ mL</w:t>
            </w:r>
            <w:r>
              <w:rPr>
                <w:rFonts w:hint="eastAsia" w:ascii="Times New Roman"/>
                <w:sz w:val="18"/>
                <w:szCs w:val="18"/>
              </w:rPr>
              <w:t>）与30</w:t>
            </w:r>
            <w:r>
              <w:rPr>
                <w:rFonts w:ascii="Times New Roman"/>
                <w:sz w:val="18"/>
                <w:szCs w:val="18"/>
              </w:rPr>
              <w:t>mL硝酸</w:t>
            </w:r>
            <w:r>
              <w:rPr>
                <w:rFonts w:hint="eastAsia" w:ascii="Times New Roman"/>
                <w:sz w:val="18"/>
                <w:szCs w:val="18"/>
              </w:rPr>
              <w:t>（ρ</w:t>
            </w:r>
            <w:r>
              <w:rPr>
                <w:rFonts w:ascii="Times New Roman"/>
                <w:sz w:val="18"/>
                <w:szCs w:val="18"/>
              </w:rPr>
              <w:t>=1.40</w:t>
            </w:r>
            <w:r>
              <w:rPr>
                <w:rFonts w:hint="eastAsia" w:ascii="Times New Roman"/>
                <w:sz w:val="18"/>
                <w:szCs w:val="18"/>
              </w:rPr>
              <w:t xml:space="preserve"> </w:t>
            </w:r>
            <w:r>
              <w:rPr>
                <w:rFonts w:ascii="Times New Roman"/>
                <w:sz w:val="18"/>
                <w:szCs w:val="18"/>
              </w:rPr>
              <w:t>g / mL</w:t>
            </w:r>
            <w:r>
              <w:rPr>
                <w:rFonts w:hint="eastAsia" w:ascii="Times New Roman"/>
                <w:sz w:val="18"/>
                <w:szCs w:val="18"/>
              </w:rPr>
              <w:t>）混合均匀</w:t>
            </w:r>
          </w:p>
        </w:tc>
      </w:tr>
      <w:tr w14:paraId="0903EA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jc w:val="center"/>
        </w:trPr>
        <w:tc>
          <w:tcPr>
            <w:tcW w:w="988" w:type="dxa"/>
            <w:vAlign w:val="center"/>
          </w:tcPr>
          <w:p w14:paraId="184A5A27">
            <w:pPr>
              <w:pStyle w:val="4"/>
              <w:spacing w:line="276" w:lineRule="auto"/>
              <w:ind w:firstLine="0" w:firstLineChars="0"/>
              <w:jc w:val="center"/>
              <w:rPr>
                <w:rFonts w:ascii="Times New Roman"/>
                <w:sz w:val="18"/>
                <w:szCs w:val="18"/>
              </w:rPr>
            </w:pPr>
            <w:r>
              <w:rPr>
                <w:rFonts w:ascii="Times New Roman"/>
                <w:sz w:val="18"/>
                <w:szCs w:val="18"/>
              </w:rPr>
              <w:t>3号</w:t>
            </w:r>
          </w:p>
        </w:tc>
        <w:tc>
          <w:tcPr>
            <w:tcW w:w="3402" w:type="dxa"/>
            <w:vAlign w:val="center"/>
          </w:tcPr>
          <w:p w14:paraId="25ACE9AF">
            <w:pPr>
              <w:pStyle w:val="4"/>
              <w:spacing w:line="276" w:lineRule="auto"/>
              <w:ind w:firstLine="0" w:firstLineChars="0"/>
              <w:rPr>
                <w:rFonts w:ascii="Times New Roman"/>
                <w:sz w:val="18"/>
                <w:szCs w:val="18"/>
              </w:rPr>
            </w:pPr>
            <w:r>
              <w:rPr>
                <w:rFonts w:ascii="Times New Roman"/>
                <w:sz w:val="18"/>
                <w:szCs w:val="18"/>
              </w:rPr>
              <w:t>15mL硝酸+10mL冰醋酸+5mL磷酸+20mL乳酸+1mL硫酸+100mL N,N-二甲基甲酰胺</w:t>
            </w:r>
          </w:p>
        </w:tc>
        <w:tc>
          <w:tcPr>
            <w:tcW w:w="4961" w:type="dxa"/>
            <w:vAlign w:val="center"/>
          </w:tcPr>
          <w:p w14:paraId="777155C4">
            <w:pPr>
              <w:pStyle w:val="4"/>
              <w:spacing w:line="276" w:lineRule="auto"/>
              <w:ind w:firstLine="0" w:firstLineChars="0"/>
              <w:rPr>
                <w:rFonts w:ascii="Times New Roman"/>
                <w:sz w:val="18"/>
                <w:szCs w:val="18"/>
              </w:rPr>
            </w:pPr>
            <w:r>
              <w:rPr>
                <w:rFonts w:ascii="Times New Roman"/>
                <w:sz w:val="18"/>
                <w:szCs w:val="18"/>
              </w:rPr>
              <w:t>将10mL冰醋酸（ρ=1.05 g/mL）、5mL磷酸（ρ=1.69 g/mL）、20mL乳酸（ρ≈1.20 g/mL）、1mL硫酸（ρ=1.84 g/mL）依次与15mL硝酸（ρ=1.40 g/mL）混合，再加入100mL N,N-二甲基甲酰胺（ρ≈0.95 g/mL），搅拌均匀。</w:t>
            </w:r>
          </w:p>
        </w:tc>
      </w:tr>
      <w:tr w14:paraId="36737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jc w:val="center"/>
        </w:trPr>
        <w:tc>
          <w:tcPr>
            <w:tcW w:w="988" w:type="dxa"/>
            <w:vAlign w:val="center"/>
          </w:tcPr>
          <w:p w14:paraId="763D5AA1">
            <w:pPr>
              <w:pStyle w:val="4"/>
              <w:spacing w:line="276" w:lineRule="auto"/>
              <w:ind w:firstLine="0" w:firstLineChars="0"/>
              <w:jc w:val="center"/>
              <w:rPr>
                <w:rFonts w:ascii="Times New Roman"/>
                <w:sz w:val="18"/>
                <w:szCs w:val="18"/>
              </w:rPr>
            </w:pPr>
            <w:r>
              <w:rPr>
                <w:rFonts w:ascii="Times New Roman"/>
                <w:sz w:val="18"/>
                <w:szCs w:val="18"/>
              </w:rPr>
              <w:t>4号</w:t>
            </w:r>
          </w:p>
        </w:tc>
        <w:tc>
          <w:tcPr>
            <w:tcW w:w="3402" w:type="dxa"/>
            <w:vAlign w:val="center"/>
          </w:tcPr>
          <w:p w14:paraId="56B52587">
            <w:pPr>
              <w:pStyle w:val="4"/>
              <w:spacing w:line="276" w:lineRule="auto"/>
              <w:ind w:firstLine="0" w:firstLineChars="0"/>
              <w:rPr>
                <w:rFonts w:ascii="Times New Roman"/>
                <w:sz w:val="18"/>
                <w:szCs w:val="18"/>
              </w:rPr>
            </w:pPr>
            <w:r>
              <w:rPr>
                <w:rFonts w:ascii="Times New Roman"/>
                <w:sz w:val="18"/>
                <w:szCs w:val="18"/>
              </w:rPr>
              <w:t>15mL硝酸+10mL冰醋酸+5mL磷酸+20mL乳酸+1mL硫酸</w:t>
            </w:r>
          </w:p>
        </w:tc>
        <w:tc>
          <w:tcPr>
            <w:tcW w:w="4961" w:type="dxa"/>
            <w:vAlign w:val="center"/>
          </w:tcPr>
          <w:p w14:paraId="2ACACF18">
            <w:pPr>
              <w:pStyle w:val="4"/>
              <w:spacing w:line="276" w:lineRule="auto"/>
              <w:ind w:firstLine="0" w:firstLineChars="0"/>
              <w:rPr>
                <w:rFonts w:ascii="Times New Roman"/>
                <w:sz w:val="18"/>
                <w:szCs w:val="18"/>
              </w:rPr>
            </w:pPr>
            <w:r>
              <w:rPr>
                <w:rFonts w:ascii="Times New Roman"/>
                <w:sz w:val="18"/>
                <w:szCs w:val="18"/>
              </w:rPr>
              <w:t>将10mL冰醋酸（ρ=1.05 g/mL）、5mL磷酸（ρ=1.69 g/mL）、20mL乳酸（ρ≈1.20 g/mL）、1mL硫酸（ρ=1.84 g/mL）依次与15mL硝酸（ρ=1.40 g/mL）混合，搅拌均匀</w:t>
            </w:r>
          </w:p>
        </w:tc>
      </w:tr>
      <w:tr w14:paraId="5A24D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jc w:val="center"/>
        </w:trPr>
        <w:tc>
          <w:tcPr>
            <w:tcW w:w="988" w:type="dxa"/>
            <w:vAlign w:val="center"/>
          </w:tcPr>
          <w:p w14:paraId="069D4ABB">
            <w:pPr>
              <w:pStyle w:val="4"/>
              <w:spacing w:line="276" w:lineRule="auto"/>
              <w:ind w:firstLine="0" w:firstLineChars="0"/>
              <w:jc w:val="center"/>
              <w:rPr>
                <w:rFonts w:ascii="Times New Roman"/>
                <w:sz w:val="18"/>
                <w:szCs w:val="18"/>
              </w:rPr>
            </w:pPr>
            <w:r>
              <w:rPr>
                <w:rFonts w:ascii="Times New Roman"/>
                <w:sz w:val="18"/>
                <w:szCs w:val="18"/>
              </w:rPr>
              <w:t>5号</w:t>
            </w:r>
          </w:p>
        </w:tc>
        <w:tc>
          <w:tcPr>
            <w:tcW w:w="3402" w:type="dxa"/>
            <w:vAlign w:val="center"/>
          </w:tcPr>
          <w:p w14:paraId="4AFAFDAB">
            <w:pPr>
              <w:pStyle w:val="4"/>
              <w:ind w:firstLine="0" w:firstLineChars="0"/>
              <w:rPr>
                <w:rFonts w:ascii="Times New Roman"/>
                <w:sz w:val="18"/>
                <w:szCs w:val="18"/>
              </w:rPr>
            </w:pPr>
            <w:r>
              <w:rPr>
                <w:rFonts w:ascii="Times New Roman"/>
                <w:sz w:val="18"/>
                <w:szCs w:val="18"/>
              </w:rPr>
              <w:t>20mL冰醋酸+20mL硝酸+20mL磷酸</w:t>
            </w:r>
          </w:p>
        </w:tc>
        <w:tc>
          <w:tcPr>
            <w:tcW w:w="4961" w:type="dxa"/>
            <w:vAlign w:val="center"/>
          </w:tcPr>
          <w:p w14:paraId="5B48A706">
            <w:pPr>
              <w:pStyle w:val="4"/>
              <w:ind w:firstLine="0" w:firstLineChars="0"/>
              <w:rPr>
                <w:rFonts w:ascii="Times New Roman"/>
                <w:sz w:val="18"/>
                <w:szCs w:val="18"/>
              </w:rPr>
            </w:pPr>
            <w:r>
              <w:rPr>
                <w:rFonts w:ascii="Times New Roman"/>
                <w:sz w:val="18"/>
                <w:szCs w:val="18"/>
              </w:rPr>
              <w:t>将20mL冰醋酸（ρ=1.05 g/mL）与20mL硝酸（ρ=1.40 g/mL）、20mL磷酸（ρ=1.69 g/mL）混合均匀。</w:t>
            </w:r>
          </w:p>
        </w:tc>
      </w:tr>
      <w:tr w14:paraId="4DD11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jc w:val="center"/>
        </w:trPr>
        <w:tc>
          <w:tcPr>
            <w:tcW w:w="988" w:type="dxa"/>
            <w:vAlign w:val="center"/>
          </w:tcPr>
          <w:p w14:paraId="51FD73B6">
            <w:pPr>
              <w:pStyle w:val="4"/>
              <w:spacing w:line="276" w:lineRule="auto"/>
              <w:ind w:firstLine="0" w:firstLineChars="0"/>
              <w:jc w:val="center"/>
              <w:rPr>
                <w:rFonts w:ascii="Times New Roman"/>
                <w:sz w:val="18"/>
                <w:szCs w:val="18"/>
              </w:rPr>
            </w:pPr>
            <w:r>
              <w:rPr>
                <w:rFonts w:ascii="Times New Roman"/>
                <w:sz w:val="18"/>
                <w:szCs w:val="18"/>
              </w:rPr>
              <w:t>6号</w:t>
            </w:r>
          </w:p>
        </w:tc>
        <w:tc>
          <w:tcPr>
            <w:tcW w:w="3402" w:type="dxa"/>
            <w:vAlign w:val="center"/>
          </w:tcPr>
          <w:p w14:paraId="1F5CADA0">
            <w:pPr>
              <w:pStyle w:val="4"/>
              <w:spacing w:line="276" w:lineRule="auto"/>
              <w:ind w:firstLine="0" w:firstLineChars="0"/>
              <w:rPr>
                <w:rFonts w:ascii="Times New Roman"/>
                <w:sz w:val="18"/>
                <w:szCs w:val="18"/>
              </w:rPr>
            </w:pPr>
            <w:r>
              <w:rPr>
                <w:rFonts w:ascii="Times New Roman"/>
                <w:sz w:val="18"/>
                <w:szCs w:val="18"/>
              </w:rPr>
              <w:t>30mL冰醋酸+20mL硝酸</w:t>
            </w:r>
          </w:p>
        </w:tc>
        <w:tc>
          <w:tcPr>
            <w:tcW w:w="4961" w:type="dxa"/>
            <w:vAlign w:val="center"/>
          </w:tcPr>
          <w:p w14:paraId="034CDD72">
            <w:pPr>
              <w:pStyle w:val="4"/>
              <w:spacing w:line="276" w:lineRule="auto"/>
              <w:ind w:firstLine="0" w:firstLineChars="0"/>
              <w:rPr>
                <w:rFonts w:ascii="Times New Roman"/>
                <w:sz w:val="18"/>
                <w:szCs w:val="18"/>
              </w:rPr>
            </w:pPr>
            <w:r>
              <w:rPr>
                <w:rFonts w:ascii="Times New Roman"/>
                <w:sz w:val="18"/>
                <w:szCs w:val="18"/>
              </w:rPr>
              <w:t>将30mL冰醋酸（ρ=1.05 g/mL）与20mL硝酸（ρ=1.40 g/mL）混合均匀。</w:t>
            </w:r>
          </w:p>
        </w:tc>
      </w:tr>
      <w:tr w14:paraId="0C33C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jc w:val="center"/>
        </w:trPr>
        <w:tc>
          <w:tcPr>
            <w:tcW w:w="988" w:type="dxa"/>
            <w:vAlign w:val="center"/>
          </w:tcPr>
          <w:p w14:paraId="68657D22">
            <w:pPr>
              <w:pStyle w:val="4"/>
              <w:spacing w:line="276" w:lineRule="auto"/>
              <w:ind w:firstLine="0" w:firstLineChars="0"/>
              <w:jc w:val="center"/>
              <w:rPr>
                <w:rFonts w:ascii="Times New Roman"/>
                <w:sz w:val="18"/>
                <w:szCs w:val="18"/>
              </w:rPr>
            </w:pPr>
            <w:r>
              <w:rPr>
                <w:rFonts w:ascii="Times New Roman"/>
                <w:sz w:val="18"/>
                <w:szCs w:val="18"/>
              </w:rPr>
              <w:t>7号</w:t>
            </w:r>
          </w:p>
        </w:tc>
        <w:tc>
          <w:tcPr>
            <w:tcW w:w="3402" w:type="dxa"/>
            <w:vAlign w:val="center"/>
          </w:tcPr>
          <w:p w14:paraId="08DDC565">
            <w:pPr>
              <w:pStyle w:val="4"/>
              <w:spacing w:line="276" w:lineRule="auto"/>
              <w:ind w:firstLine="0" w:firstLineChars="0"/>
              <w:rPr>
                <w:rFonts w:ascii="Times New Roman"/>
                <w:sz w:val="18"/>
                <w:szCs w:val="18"/>
              </w:rPr>
            </w:pPr>
            <w:r>
              <w:rPr>
                <w:rFonts w:ascii="Times New Roman"/>
                <w:sz w:val="18"/>
                <w:szCs w:val="18"/>
              </w:rPr>
              <w:t>2%氟化氢铵水溶液</w:t>
            </w:r>
          </w:p>
        </w:tc>
        <w:tc>
          <w:tcPr>
            <w:tcW w:w="4961" w:type="dxa"/>
            <w:vAlign w:val="center"/>
          </w:tcPr>
          <w:p w14:paraId="187E80CF">
            <w:pPr>
              <w:pStyle w:val="4"/>
              <w:spacing w:line="276" w:lineRule="auto"/>
              <w:ind w:firstLine="0" w:firstLineChars="0"/>
              <w:rPr>
                <w:rFonts w:ascii="Times New Roman"/>
                <w:sz w:val="18"/>
                <w:szCs w:val="18"/>
              </w:rPr>
            </w:pPr>
            <w:r>
              <w:rPr>
                <w:rFonts w:ascii="Times New Roman"/>
                <w:sz w:val="18"/>
                <w:szCs w:val="18"/>
              </w:rPr>
              <w:t>称取2g氟化氢铵，溶于98mL水中，混匀。（水密度ρ=1.00 g/mL）</w:t>
            </w:r>
          </w:p>
        </w:tc>
      </w:tr>
      <w:tr w14:paraId="2DEFA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jc w:val="center"/>
        </w:trPr>
        <w:tc>
          <w:tcPr>
            <w:tcW w:w="988" w:type="dxa"/>
            <w:vAlign w:val="center"/>
          </w:tcPr>
          <w:p w14:paraId="3A23907A">
            <w:pPr>
              <w:pStyle w:val="4"/>
              <w:spacing w:line="276" w:lineRule="auto"/>
              <w:ind w:firstLine="0" w:firstLineChars="0"/>
              <w:jc w:val="center"/>
              <w:rPr>
                <w:rFonts w:ascii="Times New Roman"/>
                <w:sz w:val="18"/>
                <w:szCs w:val="18"/>
              </w:rPr>
            </w:pPr>
            <w:r>
              <w:rPr>
                <w:rFonts w:ascii="Times New Roman"/>
                <w:sz w:val="18"/>
                <w:szCs w:val="18"/>
              </w:rPr>
              <w:t>8号</w:t>
            </w:r>
          </w:p>
        </w:tc>
        <w:tc>
          <w:tcPr>
            <w:tcW w:w="3402" w:type="dxa"/>
            <w:vAlign w:val="center"/>
          </w:tcPr>
          <w:p w14:paraId="4281A2EA">
            <w:pPr>
              <w:pStyle w:val="4"/>
              <w:spacing w:line="276" w:lineRule="auto"/>
              <w:ind w:firstLine="0" w:firstLineChars="0"/>
              <w:rPr>
                <w:rFonts w:ascii="Times New Roman"/>
                <w:sz w:val="18"/>
                <w:szCs w:val="18"/>
              </w:rPr>
            </w:pPr>
            <w:r>
              <w:rPr>
                <w:rFonts w:ascii="Times New Roman"/>
                <w:sz w:val="18"/>
                <w:szCs w:val="18"/>
              </w:rPr>
              <w:t>0.5mL 氢氟酸+15.5mL 硝酸+84 mL水+3g 氧化铬</w:t>
            </w:r>
          </w:p>
        </w:tc>
        <w:tc>
          <w:tcPr>
            <w:tcW w:w="4961" w:type="dxa"/>
            <w:vAlign w:val="center"/>
          </w:tcPr>
          <w:p w14:paraId="016A6D71">
            <w:pPr>
              <w:pStyle w:val="4"/>
              <w:spacing w:line="276" w:lineRule="auto"/>
              <w:ind w:firstLine="0" w:firstLineChars="0"/>
              <w:rPr>
                <w:rFonts w:ascii="Times New Roman"/>
                <w:sz w:val="18"/>
                <w:szCs w:val="18"/>
              </w:rPr>
            </w:pPr>
            <w:r>
              <w:rPr>
                <w:rFonts w:ascii="Times New Roman"/>
                <w:sz w:val="18"/>
                <w:szCs w:val="18"/>
              </w:rPr>
              <w:t>将0.5mL氢氟酸（ρ=1.15 g/mL）、15.5mL硝酸（ρ=1.40 g/mL）依次加入84mL水（ρ=1.00 g/mL）中，混匀后加入3g氧化铬，搅拌</w:t>
            </w:r>
            <w:r>
              <w:rPr>
                <w:rFonts w:hint="eastAsia" w:ascii="Times New Roman"/>
                <w:sz w:val="18"/>
                <w:szCs w:val="18"/>
              </w:rPr>
              <w:t>使其</w:t>
            </w:r>
            <w:r>
              <w:rPr>
                <w:rFonts w:ascii="Times New Roman"/>
                <w:sz w:val="18"/>
                <w:szCs w:val="18"/>
              </w:rPr>
              <w:t>分散均匀。</w:t>
            </w:r>
          </w:p>
        </w:tc>
      </w:tr>
      <w:tr w14:paraId="031571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jc w:val="center"/>
        </w:trPr>
        <w:tc>
          <w:tcPr>
            <w:tcW w:w="988" w:type="dxa"/>
            <w:vAlign w:val="center"/>
          </w:tcPr>
          <w:p w14:paraId="5ECCFD04">
            <w:pPr>
              <w:pStyle w:val="4"/>
              <w:spacing w:line="276" w:lineRule="auto"/>
              <w:ind w:firstLine="0" w:firstLineChars="0"/>
              <w:jc w:val="center"/>
              <w:rPr>
                <w:rFonts w:ascii="Times New Roman"/>
                <w:sz w:val="18"/>
                <w:szCs w:val="18"/>
              </w:rPr>
            </w:pPr>
            <w:r>
              <w:rPr>
                <w:rFonts w:ascii="Times New Roman"/>
                <w:sz w:val="18"/>
                <w:szCs w:val="18"/>
              </w:rPr>
              <w:t>9号</w:t>
            </w:r>
          </w:p>
        </w:tc>
        <w:tc>
          <w:tcPr>
            <w:tcW w:w="3402" w:type="dxa"/>
            <w:vAlign w:val="center"/>
          </w:tcPr>
          <w:p w14:paraId="60076948">
            <w:pPr>
              <w:pStyle w:val="4"/>
              <w:spacing w:line="276" w:lineRule="auto"/>
              <w:ind w:firstLine="0" w:firstLineChars="0"/>
              <w:rPr>
                <w:rFonts w:ascii="Times New Roman"/>
                <w:sz w:val="18"/>
                <w:szCs w:val="18"/>
              </w:rPr>
            </w:pPr>
            <w:r>
              <w:rPr>
                <w:rFonts w:ascii="Times New Roman"/>
                <w:sz w:val="18"/>
                <w:szCs w:val="18"/>
              </w:rPr>
              <w:t>2%-10%硝酸酒精溶液</w:t>
            </w:r>
          </w:p>
        </w:tc>
        <w:tc>
          <w:tcPr>
            <w:tcW w:w="4961" w:type="dxa"/>
            <w:vAlign w:val="center"/>
          </w:tcPr>
          <w:p w14:paraId="791373BE">
            <w:pPr>
              <w:pStyle w:val="4"/>
              <w:spacing w:line="276" w:lineRule="auto"/>
              <w:ind w:firstLine="0" w:firstLineChars="0"/>
              <w:rPr>
                <w:rFonts w:ascii="Times New Roman"/>
                <w:sz w:val="18"/>
                <w:szCs w:val="18"/>
              </w:rPr>
            </w:pPr>
            <w:r>
              <w:rPr>
                <w:rFonts w:ascii="Times New Roman"/>
                <w:sz w:val="18"/>
                <w:szCs w:val="18"/>
              </w:rPr>
              <w:t>量取2mL～10mL硝酸（ρ=1.40 g/mL），用酒精（ρ≈0.79 g/mL）稀释至100mL，混匀。</w:t>
            </w:r>
          </w:p>
        </w:tc>
      </w:tr>
      <w:tr w14:paraId="75CC6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jc w:val="center"/>
        </w:trPr>
        <w:tc>
          <w:tcPr>
            <w:tcW w:w="988" w:type="dxa"/>
            <w:vAlign w:val="center"/>
          </w:tcPr>
          <w:p w14:paraId="2A447AE3">
            <w:pPr>
              <w:pStyle w:val="4"/>
              <w:spacing w:line="276" w:lineRule="auto"/>
              <w:ind w:firstLine="0" w:firstLineChars="0"/>
              <w:jc w:val="center"/>
              <w:rPr>
                <w:rFonts w:ascii="Times New Roman"/>
                <w:sz w:val="18"/>
                <w:szCs w:val="18"/>
              </w:rPr>
            </w:pPr>
            <w:r>
              <w:rPr>
                <w:rFonts w:ascii="Times New Roman"/>
                <w:sz w:val="18"/>
                <w:szCs w:val="18"/>
              </w:rPr>
              <w:t>10号</w:t>
            </w:r>
          </w:p>
        </w:tc>
        <w:tc>
          <w:tcPr>
            <w:tcW w:w="3402" w:type="dxa"/>
            <w:vAlign w:val="center"/>
          </w:tcPr>
          <w:p w14:paraId="202B0DC4">
            <w:pPr>
              <w:pStyle w:val="4"/>
              <w:spacing w:line="276" w:lineRule="auto"/>
              <w:ind w:firstLine="0" w:firstLineChars="0"/>
              <w:rPr>
                <w:rFonts w:ascii="Times New Roman"/>
                <w:sz w:val="18"/>
                <w:szCs w:val="18"/>
              </w:rPr>
            </w:pPr>
            <w:r>
              <w:rPr>
                <w:rFonts w:hint="eastAsia" w:ascii="Times New Roman"/>
                <w:sz w:val="18"/>
                <w:szCs w:val="18"/>
              </w:rPr>
              <w:t>5mL浓盐酸+95mL水</w:t>
            </w:r>
          </w:p>
        </w:tc>
        <w:tc>
          <w:tcPr>
            <w:tcW w:w="4961" w:type="dxa"/>
            <w:vAlign w:val="center"/>
          </w:tcPr>
          <w:p w14:paraId="2EBBCDA1">
            <w:pPr>
              <w:pStyle w:val="4"/>
              <w:spacing w:line="276" w:lineRule="auto"/>
              <w:ind w:firstLine="0" w:firstLineChars="0"/>
              <w:rPr>
                <w:rFonts w:ascii="Times New Roman"/>
                <w:sz w:val="18"/>
                <w:szCs w:val="18"/>
              </w:rPr>
            </w:pPr>
            <w:r>
              <w:rPr>
                <w:rFonts w:ascii="Times New Roman"/>
                <w:sz w:val="18"/>
                <w:szCs w:val="18"/>
              </w:rPr>
              <w:t>将5mL浓盐酸（ρ=1.18 g/mL）与95mL水（ρ=1.00 g/mL）混合均匀。</w:t>
            </w:r>
          </w:p>
        </w:tc>
      </w:tr>
      <w:bookmarkEnd w:id="73"/>
      <w:bookmarkEnd w:id="74"/>
      <w:bookmarkEnd w:id="75"/>
      <w:bookmarkEnd w:id="89"/>
    </w:tbl>
    <w:p w14:paraId="059A3A13">
      <w:pPr>
        <w:pStyle w:val="3"/>
        <w:spacing w:before="312" w:after="312"/>
        <w:rPr>
          <w:rFonts w:ascii="Times New Roman"/>
        </w:rPr>
      </w:pPr>
      <w:bookmarkStart w:id="90" w:name="_Toc120086021"/>
      <w:bookmarkEnd w:id="90"/>
      <w:bookmarkStart w:id="91" w:name="_Toc120604205"/>
      <w:bookmarkEnd w:id="91"/>
      <w:bookmarkStart w:id="92" w:name="_Toc120627302"/>
      <w:bookmarkEnd w:id="92"/>
      <w:bookmarkStart w:id="93" w:name="_Toc120626634"/>
      <w:bookmarkEnd w:id="93"/>
      <w:bookmarkStart w:id="94" w:name="_Toc120627655"/>
      <w:bookmarkEnd w:id="94"/>
      <w:bookmarkStart w:id="95" w:name="_Toc120627127"/>
      <w:bookmarkEnd w:id="95"/>
      <w:bookmarkStart w:id="96" w:name="_Toc120626635"/>
      <w:bookmarkEnd w:id="96"/>
      <w:bookmarkStart w:id="97" w:name="_Toc120627228"/>
      <w:bookmarkEnd w:id="97"/>
      <w:bookmarkStart w:id="98" w:name="_Toc120627126"/>
      <w:bookmarkEnd w:id="98"/>
      <w:bookmarkStart w:id="99" w:name="_Toc120627851"/>
      <w:bookmarkEnd w:id="99"/>
      <w:bookmarkStart w:id="100" w:name="_Toc120627229"/>
      <w:bookmarkEnd w:id="100"/>
      <w:bookmarkStart w:id="101" w:name="_Toc120627353"/>
      <w:bookmarkEnd w:id="101"/>
      <w:bookmarkStart w:id="102" w:name="_Toc120627656"/>
      <w:bookmarkEnd w:id="102"/>
      <w:bookmarkStart w:id="103" w:name="_Toc120627852"/>
      <w:bookmarkEnd w:id="103"/>
      <w:bookmarkStart w:id="104" w:name="_Toc120628191"/>
      <w:bookmarkEnd w:id="104"/>
      <w:bookmarkStart w:id="105" w:name="_Toc120627354"/>
      <w:bookmarkEnd w:id="105"/>
      <w:bookmarkStart w:id="106" w:name="_Toc120628190"/>
      <w:bookmarkEnd w:id="106"/>
      <w:bookmarkStart w:id="107" w:name="_Toc120086022"/>
      <w:bookmarkEnd w:id="107"/>
      <w:bookmarkStart w:id="108" w:name="_Toc120626564"/>
      <w:bookmarkEnd w:id="108"/>
      <w:bookmarkStart w:id="109" w:name="_Toc120627450"/>
      <w:bookmarkEnd w:id="109"/>
      <w:bookmarkStart w:id="110" w:name="_Toc120628036"/>
      <w:bookmarkEnd w:id="110"/>
      <w:bookmarkStart w:id="111" w:name="_Toc120627701"/>
      <w:bookmarkEnd w:id="111"/>
      <w:bookmarkStart w:id="112" w:name="_Toc120627303"/>
      <w:bookmarkEnd w:id="112"/>
      <w:bookmarkStart w:id="113" w:name="_Toc120627449"/>
      <w:bookmarkEnd w:id="113"/>
      <w:bookmarkStart w:id="114" w:name="_Toc120627702"/>
      <w:bookmarkEnd w:id="114"/>
      <w:bookmarkStart w:id="115" w:name="_Toc120626563"/>
      <w:bookmarkEnd w:id="115"/>
      <w:bookmarkStart w:id="116" w:name="_Toc120628037"/>
      <w:bookmarkEnd w:id="116"/>
      <w:bookmarkStart w:id="117" w:name="_Toc120604206"/>
      <w:bookmarkEnd w:id="117"/>
      <w:bookmarkStart w:id="118" w:name="_Toc227084934"/>
      <w:r>
        <w:rPr>
          <w:rFonts w:ascii="Times New Roman"/>
        </w:rPr>
        <w:t>设备与仪器</w:t>
      </w:r>
      <w:bookmarkEnd w:id="118"/>
    </w:p>
    <w:p w14:paraId="47925F7D">
      <w:pPr>
        <w:pStyle w:val="189"/>
        <w:numPr>
          <w:ilvl w:val="1"/>
          <w:numId w:val="2"/>
        </w:numPr>
        <w:rPr>
          <w:rFonts w:ascii="Times New Roman"/>
        </w:rPr>
      </w:pPr>
      <w:bookmarkStart w:id="119" w:name="_Toc120604217"/>
      <w:bookmarkEnd w:id="119"/>
      <w:bookmarkStart w:id="120" w:name="_Toc120627138"/>
      <w:bookmarkEnd w:id="120"/>
      <w:bookmarkStart w:id="121" w:name="_Toc120627240"/>
      <w:bookmarkEnd w:id="121"/>
      <w:bookmarkStart w:id="122" w:name="_Toc120626646"/>
      <w:bookmarkEnd w:id="122"/>
      <w:bookmarkStart w:id="123" w:name="_Toc120626576"/>
      <w:bookmarkEnd w:id="123"/>
      <w:bookmarkStart w:id="124" w:name="_Toc120086033"/>
      <w:bookmarkEnd w:id="124"/>
      <w:bookmarkStart w:id="125" w:name="_Toc120627669"/>
      <w:bookmarkEnd w:id="125"/>
      <w:bookmarkStart w:id="126" w:name="_Toc120627242"/>
      <w:bookmarkEnd w:id="126"/>
      <w:bookmarkStart w:id="127" w:name="_Toc120604219"/>
      <w:bookmarkEnd w:id="127"/>
      <w:bookmarkStart w:id="128" w:name="_Toc120627667"/>
      <w:bookmarkEnd w:id="128"/>
      <w:bookmarkStart w:id="129" w:name="_Toc120626578"/>
      <w:bookmarkEnd w:id="129"/>
      <w:bookmarkStart w:id="130" w:name="_Toc120626648"/>
      <w:bookmarkEnd w:id="130"/>
      <w:bookmarkStart w:id="131" w:name="_Toc120627714"/>
      <w:bookmarkEnd w:id="131"/>
      <w:bookmarkStart w:id="132" w:name="_Toc120628202"/>
      <w:bookmarkEnd w:id="132"/>
      <w:bookmarkStart w:id="133" w:name="_Toc120626577"/>
      <w:bookmarkEnd w:id="133"/>
      <w:bookmarkStart w:id="134" w:name="_Toc120627314"/>
      <w:bookmarkEnd w:id="134"/>
      <w:bookmarkStart w:id="135" w:name="_Toc120626647"/>
      <w:bookmarkEnd w:id="135"/>
      <w:bookmarkStart w:id="136" w:name="_Toc120627139"/>
      <w:bookmarkEnd w:id="136"/>
      <w:bookmarkStart w:id="137" w:name="_Toc120086034"/>
      <w:bookmarkEnd w:id="137"/>
      <w:bookmarkStart w:id="138" w:name="_Toc120627462"/>
      <w:bookmarkEnd w:id="138"/>
      <w:bookmarkStart w:id="139" w:name="_Toc120628048"/>
      <w:bookmarkEnd w:id="139"/>
      <w:bookmarkStart w:id="140" w:name="_Toc120627863"/>
      <w:bookmarkEnd w:id="140"/>
      <w:bookmarkStart w:id="141" w:name="_Toc120604218"/>
      <w:bookmarkEnd w:id="141"/>
      <w:bookmarkStart w:id="142" w:name="_Toc120627668"/>
      <w:bookmarkEnd w:id="142"/>
      <w:bookmarkStart w:id="143" w:name="_Toc120627864"/>
      <w:bookmarkEnd w:id="143"/>
      <w:bookmarkStart w:id="144" w:name="_Toc120628203"/>
      <w:bookmarkEnd w:id="144"/>
      <w:bookmarkStart w:id="145" w:name="_Toc120627461"/>
      <w:bookmarkEnd w:id="145"/>
      <w:bookmarkStart w:id="146" w:name="_Toc120627315"/>
      <w:bookmarkEnd w:id="146"/>
      <w:bookmarkStart w:id="147" w:name="_Toc120627365"/>
      <w:bookmarkEnd w:id="147"/>
      <w:bookmarkStart w:id="148" w:name="_Toc120086035"/>
      <w:bookmarkEnd w:id="148"/>
      <w:bookmarkStart w:id="149" w:name="_Toc120627713"/>
      <w:bookmarkEnd w:id="149"/>
      <w:bookmarkStart w:id="150" w:name="_Toc120628049"/>
      <w:bookmarkEnd w:id="150"/>
      <w:bookmarkStart w:id="151" w:name="_Toc120627241"/>
      <w:bookmarkEnd w:id="151"/>
      <w:bookmarkStart w:id="152" w:name="_Toc120627366"/>
      <w:bookmarkEnd w:id="152"/>
      <w:bookmarkStart w:id="153" w:name="_Toc120627140"/>
      <w:bookmarkEnd w:id="153"/>
      <w:bookmarkStart w:id="154" w:name="_Toc120627316"/>
      <w:bookmarkEnd w:id="154"/>
      <w:bookmarkStart w:id="155" w:name="_Toc120627367"/>
      <w:bookmarkEnd w:id="155"/>
      <w:bookmarkStart w:id="156" w:name="_Toc120627463"/>
      <w:bookmarkEnd w:id="156"/>
      <w:bookmarkStart w:id="157" w:name="_Toc120627368"/>
      <w:bookmarkEnd w:id="157"/>
      <w:bookmarkStart w:id="158" w:name="_Toc120627716"/>
      <w:bookmarkEnd w:id="158"/>
      <w:bookmarkStart w:id="159" w:name="_Toc120627141"/>
      <w:bookmarkEnd w:id="159"/>
      <w:bookmarkStart w:id="160" w:name="_Toc120627715"/>
      <w:bookmarkEnd w:id="160"/>
      <w:bookmarkStart w:id="161" w:name="_Toc120628050"/>
      <w:bookmarkEnd w:id="161"/>
      <w:bookmarkStart w:id="162" w:name="_Toc120627317"/>
      <w:bookmarkEnd w:id="162"/>
      <w:bookmarkStart w:id="163" w:name="_Toc120628051"/>
      <w:bookmarkEnd w:id="163"/>
      <w:bookmarkStart w:id="164" w:name="_Toc120627464"/>
      <w:bookmarkEnd w:id="164"/>
      <w:bookmarkStart w:id="165" w:name="_Toc120626649"/>
      <w:bookmarkEnd w:id="165"/>
      <w:bookmarkStart w:id="166" w:name="_Toc120628204"/>
      <w:bookmarkEnd w:id="166"/>
      <w:bookmarkStart w:id="167" w:name="_Toc120627865"/>
      <w:bookmarkEnd w:id="167"/>
      <w:bookmarkStart w:id="168" w:name="_Toc120626579"/>
      <w:bookmarkEnd w:id="168"/>
      <w:bookmarkStart w:id="169" w:name="_Toc120628205"/>
      <w:bookmarkEnd w:id="169"/>
      <w:bookmarkStart w:id="170" w:name="_Toc120627866"/>
      <w:bookmarkEnd w:id="170"/>
      <w:bookmarkStart w:id="171" w:name="_Toc120627243"/>
      <w:bookmarkEnd w:id="171"/>
      <w:bookmarkStart w:id="172" w:name="_Toc120627670"/>
      <w:bookmarkEnd w:id="172"/>
      <w:bookmarkStart w:id="173" w:name="_Toc120086036"/>
      <w:bookmarkEnd w:id="173"/>
      <w:bookmarkStart w:id="174" w:name="_Toc120604220"/>
      <w:bookmarkEnd w:id="174"/>
      <w:bookmarkStart w:id="175" w:name="_Toc120627466"/>
      <w:bookmarkStart w:id="176" w:name="_Toc120627868"/>
      <w:bookmarkStart w:id="177" w:name="_Toc127897435"/>
      <w:bookmarkStart w:id="178" w:name="_Toc120628053"/>
      <w:r>
        <w:rPr>
          <w:rFonts w:hint="eastAsia" w:ascii="Times New Roman"/>
        </w:rPr>
        <w:t>光学(金相)显微镜:符合 JJF1914，应配置不低于 0. 1mm 目镜分刻度板(或与目镜一体)。放大倍数宜为 50 倍 ~500 倍，</w:t>
      </w:r>
      <w:r>
        <w:rPr>
          <w:rFonts w:ascii="Times New Roman"/>
        </w:rPr>
        <w:t>应具备明场和</w:t>
      </w:r>
      <w:r>
        <w:rPr>
          <w:rFonts w:hint="eastAsia" w:ascii="Times New Roman"/>
        </w:rPr>
        <w:t>偏光</w:t>
      </w:r>
      <w:r>
        <w:rPr>
          <w:rFonts w:ascii="Times New Roman"/>
        </w:rPr>
        <w:t>场两种</w:t>
      </w:r>
      <w:r>
        <w:rPr>
          <w:rFonts w:hint="eastAsia" w:ascii="Times New Roman"/>
        </w:rPr>
        <w:t>图像采集</w:t>
      </w:r>
      <w:r>
        <w:rPr>
          <w:rFonts w:ascii="Times New Roman"/>
        </w:rPr>
        <w:t>方式</w:t>
      </w:r>
      <w:r>
        <w:rPr>
          <w:rFonts w:hint="eastAsia" w:ascii="Times New Roman"/>
        </w:rPr>
        <w:t>。</w:t>
      </w:r>
    </w:p>
    <w:p w14:paraId="556610D5">
      <w:pPr>
        <w:pStyle w:val="189"/>
        <w:numPr>
          <w:ilvl w:val="1"/>
          <w:numId w:val="2"/>
        </w:numPr>
        <w:rPr>
          <w:rFonts w:ascii="Times New Roman"/>
          <w:kern w:val="2"/>
          <w:szCs w:val="24"/>
        </w:rPr>
      </w:pPr>
      <w:r>
        <w:rPr>
          <w:rFonts w:hint="eastAsia" w:ascii="Times New Roman"/>
          <w:kern w:val="2"/>
          <w:szCs w:val="24"/>
        </w:rPr>
        <w:t>金相磨抛机</w:t>
      </w:r>
      <w:r>
        <w:rPr>
          <w:rFonts w:ascii="Times New Roman"/>
          <w:kern w:val="2"/>
          <w:szCs w:val="24"/>
        </w:rPr>
        <w:t>。</w:t>
      </w:r>
    </w:p>
    <w:p w14:paraId="47A08DBA">
      <w:pPr>
        <w:pStyle w:val="2"/>
        <w:spacing w:before="312" w:after="312"/>
        <w:rPr>
          <w:rFonts w:ascii="Times New Roman"/>
          <w:szCs w:val="21"/>
        </w:rPr>
      </w:pPr>
      <w:bookmarkStart w:id="179" w:name="_Toc227084935"/>
      <w:r>
        <w:rPr>
          <w:rFonts w:ascii="Times New Roman"/>
          <w:szCs w:val="21"/>
        </w:rPr>
        <w:t>试样制备</w:t>
      </w:r>
      <w:bookmarkEnd w:id="179"/>
    </w:p>
    <w:p w14:paraId="658F3C91">
      <w:pPr>
        <w:pStyle w:val="189"/>
        <w:numPr>
          <w:ilvl w:val="1"/>
          <w:numId w:val="2"/>
        </w:numPr>
        <w:jc w:val="both"/>
        <w:rPr>
          <w:rFonts w:ascii="Times New Roman"/>
        </w:rPr>
      </w:pPr>
      <w:r>
        <w:rPr>
          <w:rFonts w:ascii="Times New Roman"/>
        </w:rPr>
        <w:t xml:space="preserve"> </w:t>
      </w:r>
      <w:r>
        <w:rPr>
          <w:rFonts w:ascii="Times New Roman" w:eastAsia="黑体"/>
        </w:rPr>
        <w:t>取样</w:t>
      </w:r>
    </w:p>
    <w:p w14:paraId="281E6342">
      <w:pPr>
        <w:pStyle w:val="189"/>
        <w:numPr>
          <w:ilvl w:val="0"/>
          <w:numId w:val="0"/>
        </w:numPr>
        <w:ind w:firstLine="420" w:firstLineChars="200"/>
        <w:jc w:val="both"/>
        <w:rPr>
          <w:rFonts w:ascii="Times New Roman"/>
        </w:rPr>
      </w:pPr>
      <w:bookmarkStart w:id="180" w:name="OLE_LINK5"/>
      <w:r>
        <w:rPr>
          <w:rFonts w:ascii="Times New Roman"/>
        </w:rPr>
        <w:t>样品应根据产品技术要求或试验目的，从有代表性的部位切取</w:t>
      </w:r>
      <w:r>
        <w:rPr>
          <w:rFonts w:hint="eastAsia" w:ascii="Times New Roman"/>
        </w:rPr>
        <w:t>试样，</w:t>
      </w:r>
      <w:r>
        <w:rPr>
          <w:rFonts w:ascii="Times New Roman"/>
        </w:rPr>
        <w:t>切取过程中应防止发生塑性变形及因受热引起的组织变化。</w:t>
      </w:r>
    </w:p>
    <w:p w14:paraId="21208C7A">
      <w:pPr>
        <w:pStyle w:val="189"/>
        <w:numPr>
          <w:ilvl w:val="0"/>
          <w:numId w:val="0"/>
        </w:numPr>
        <w:ind w:firstLine="420" w:firstLineChars="200"/>
        <w:jc w:val="both"/>
        <w:rPr>
          <w:rFonts w:ascii="Times New Roman"/>
        </w:rPr>
      </w:pPr>
      <w:r>
        <w:rPr>
          <w:rFonts w:hint="eastAsia" w:ascii="Times New Roman"/>
        </w:rPr>
        <w:t>切取好的试样，应根据具体的试验目 的和要求来选取检验面。在通常情况下， 横向试样主要检查中心至表面的组织状态及变化、晶粒度级别等；纵向试样主要检查非金属夹杂物、变形后的各种组织、晶粒畸变程度、塑形变形程度。</w:t>
      </w:r>
    </w:p>
    <w:p w14:paraId="2945B474">
      <w:pPr>
        <w:pStyle w:val="189"/>
        <w:numPr>
          <w:ilvl w:val="0"/>
          <w:numId w:val="0"/>
        </w:numPr>
        <w:ind w:firstLine="420" w:firstLineChars="200"/>
        <w:jc w:val="both"/>
        <w:rPr>
          <w:rFonts w:ascii="Times New Roman"/>
        </w:rPr>
      </w:pPr>
      <w:r>
        <w:rPr>
          <w:rFonts w:ascii="Times New Roman"/>
        </w:rPr>
        <w:t>推荐样品尺寸：受检面面积小于400mm</w:t>
      </w:r>
      <w:r>
        <w:rPr>
          <w:rFonts w:ascii="Times New Roman"/>
          <w:vertAlign w:val="superscript"/>
        </w:rPr>
        <w:t>2</w:t>
      </w:r>
      <w:r>
        <w:rPr>
          <w:rFonts w:ascii="Times New Roman"/>
        </w:rPr>
        <w:t>，高度15mm~20mm为宜。</w:t>
      </w:r>
    </w:p>
    <w:bookmarkEnd w:id="180"/>
    <w:p w14:paraId="2E061C8A">
      <w:pPr>
        <w:pStyle w:val="189"/>
        <w:numPr>
          <w:ilvl w:val="1"/>
          <w:numId w:val="2"/>
        </w:numPr>
        <w:rPr>
          <w:rFonts w:ascii="Times New Roman"/>
        </w:rPr>
      </w:pPr>
      <w:r>
        <w:rPr>
          <w:rFonts w:ascii="Times New Roman" w:eastAsia="黑体"/>
        </w:rPr>
        <w:t>镶嵌</w:t>
      </w:r>
    </w:p>
    <w:p w14:paraId="7A5AB0C6">
      <w:pPr>
        <w:pStyle w:val="189"/>
        <w:numPr>
          <w:ilvl w:val="0"/>
          <w:numId w:val="0"/>
        </w:numPr>
        <w:ind w:firstLine="420" w:firstLineChars="200"/>
        <w:rPr>
          <w:rFonts w:ascii="Times New Roman"/>
        </w:rPr>
      </w:pPr>
      <w:r>
        <w:rPr>
          <w:rFonts w:ascii="Times New Roman"/>
        </w:rPr>
        <w:t>为保护试样的边缘，可对试样进行镶嵌</w:t>
      </w:r>
      <w:r>
        <w:rPr>
          <w:rFonts w:hint="eastAsia" w:ascii="Times New Roman"/>
        </w:rPr>
        <w:t>。优先选用</w:t>
      </w:r>
      <w:r>
        <w:rPr>
          <w:rFonts w:ascii="Times New Roman"/>
        </w:rPr>
        <w:t>冷镶</w:t>
      </w:r>
      <w:r>
        <w:rPr>
          <w:rFonts w:hint="eastAsia" w:ascii="Times New Roman"/>
        </w:rPr>
        <w:t>，</w:t>
      </w:r>
      <w:r>
        <w:rPr>
          <w:rFonts w:ascii="Times New Roman"/>
        </w:rPr>
        <w:t>不改变试样状态的条件下</w:t>
      </w:r>
      <w:r>
        <w:rPr>
          <w:rFonts w:hint="eastAsia" w:ascii="Times New Roman"/>
        </w:rPr>
        <w:t>，也可对样</w:t>
      </w:r>
      <w:r>
        <w:rPr>
          <w:rFonts w:ascii="Times New Roman"/>
        </w:rPr>
        <w:t>品进行热镶嵌</w:t>
      </w:r>
      <w:r>
        <w:rPr>
          <w:rFonts w:hint="eastAsia" w:ascii="Times New Roman"/>
        </w:rPr>
        <w:t>。</w:t>
      </w:r>
    </w:p>
    <w:p w14:paraId="0C14FC88">
      <w:pPr>
        <w:pStyle w:val="189"/>
        <w:numPr>
          <w:ilvl w:val="1"/>
          <w:numId w:val="2"/>
        </w:numPr>
        <w:rPr>
          <w:rFonts w:ascii="Times New Roman" w:eastAsia="黑体"/>
        </w:rPr>
      </w:pPr>
      <w:r>
        <w:rPr>
          <w:rFonts w:ascii="Times New Roman" w:eastAsia="黑体"/>
        </w:rPr>
        <w:t>磨制</w:t>
      </w:r>
    </w:p>
    <w:p w14:paraId="043C917F">
      <w:pPr>
        <w:pStyle w:val="189"/>
        <w:numPr>
          <w:ilvl w:val="0"/>
          <w:numId w:val="0"/>
        </w:numPr>
        <w:ind w:firstLine="420" w:firstLineChars="200"/>
        <w:rPr>
          <w:rFonts w:ascii="Times New Roman"/>
        </w:rPr>
      </w:pPr>
      <w:r>
        <w:rPr>
          <w:rFonts w:ascii="Times New Roman"/>
        </w:rPr>
        <w:t>镶嵌好的试样</w:t>
      </w:r>
      <w:r>
        <w:rPr>
          <w:rFonts w:hint="eastAsia" w:ascii="Times New Roman"/>
        </w:rPr>
        <w:t>，可</w:t>
      </w:r>
      <w:r>
        <w:rPr>
          <w:rFonts w:ascii="Times New Roman"/>
        </w:rPr>
        <w:t>按表</w:t>
      </w:r>
      <w:r>
        <w:rPr>
          <w:rFonts w:hint="eastAsia" w:ascii="Times New Roman"/>
        </w:rPr>
        <w:t>2或</w:t>
      </w:r>
      <w:r>
        <w:rPr>
          <w:rFonts w:ascii="Times New Roman"/>
        </w:rPr>
        <w:t>表</w:t>
      </w:r>
      <w:r>
        <w:rPr>
          <w:rFonts w:hint="eastAsia" w:ascii="Times New Roman"/>
        </w:rPr>
        <w:t>3</w:t>
      </w:r>
      <w:r>
        <w:rPr>
          <w:rFonts w:ascii="Times New Roman"/>
        </w:rPr>
        <w:t>所示步骤进行磨制。稀土金属靶材质地软</w:t>
      </w:r>
      <w:r>
        <w:rPr>
          <w:rFonts w:hint="eastAsia" w:ascii="Times New Roman"/>
        </w:rPr>
        <w:t>、</w:t>
      </w:r>
      <w:r>
        <w:rPr>
          <w:rFonts w:ascii="Times New Roman"/>
        </w:rPr>
        <w:t>易产生形变层，最终研磨建议使用P2400、P4000砂纸。磨制时，每道次砂纸需确保完全去除前道工序的划痕</w:t>
      </w:r>
      <w:r>
        <w:rPr>
          <w:rFonts w:hint="eastAsia" w:ascii="Times New Roman"/>
        </w:rPr>
        <w:t>。</w:t>
      </w:r>
      <w:r>
        <w:rPr>
          <w:rFonts w:ascii="Times New Roman"/>
        </w:rPr>
        <w:t>全程需采用煤油、无水乙醇等不与试样反映的液体为冷却润滑介质。</w:t>
      </w:r>
    </w:p>
    <w:p w14:paraId="07B9F009">
      <w:pPr>
        <w:pStyle w:val="189"/>
        <w:numPr>
          <w:ilvl w:val="1"/>
          <w:numId w:val="2"/>
        </w:numPr>
        <w:rPr>
          <w:rFonts w:ascii="Times New Roman"/>
        </w:rPr>
      </w:pPr>
      <w:r>
        <w:rPr>
          <w:rFonts w:ascii="Times New Roman" w:eastAsia="黑体"/>
        </w:rPr>
        <w:t>抛光</w:t>
      </w:r>
    </w:p>
    <w:p w14:paraId="3A39B973">
      <w:pPr>
        <w:pStyle w:val="189"/>
        <w:numPr>
          <w:ilvl w:val="0"/>
          <w:numId w:val="0"/>
        </w:numPr>
        <w:ind w:firstLine="420" w:firstLineChars="200"/>
        <w:rPr>
          <w:rFonts w:ascii="Times New Roman"/>
        </w:rPr>
      </w:pPr>
      <w:r>
        <w:rPr>
          <w:rFonts w:ascii="Times New Roman"/>
        </w:rPr>
        <w:t>稀土靶材试样</w:t>
      </w:r>
      <w:r>
        <w:rPr>
          <w:rFonts w:hint="eastAsia" w:ascii="Times New Roman"/>
        </w:rPr>
        <w:t>的抛光</w:t>
      </w:r>
      <w:r>
        <w:rPr>
          <w:rFonts w:ascii="Times New Roman"/>
        </w:rPr>
        <w:t>主要</w:t>
      </w:r>
      <w:r>
        <w:rPr>
          <w:rFonts w:hint="eastAsia" w:ascii="Times New Roman"/>
        </w:rPr>
        <w:t>分为</w:t>
      </w:r>
      <w:r>
        <w:rPr>
          <w:rFonts w:ascii="Times New Roman"/>
        </w:rPr>
        <w:t>机械抛光、化学抛光两种方式。</w:t>
      </w:r>
    </w:p>
    <w:p w14:paraId="3A7CC885">
      <w:pPr>
        <w:pStyle w:val="189"/>
        <w:numPr>
          <w:ilvl w:val="0"/>
          <w:numId w:val="0"/>
        </w:numPr>
        <w:ind w:firstLine="420" w:firstLineChars="200"/>
        <w:rPr>
          <w:rFonts w:ascii="Times New Roman"/>
        </w:rPr>
      </w:pPr>
      <w:r>
        <w:rPr>
          <w:rFonts w:ascii="Times New Roman"/>
        </w:rPr>
        <w:t>对镧、铈等化学性质极为活泼的稀土金属靶材，为避免机械抛光过程中试样表面氧化，推荐磨制后，直接化学抛光并同步蚀刻出其金相组织，所用的化学抛光浸蚀剂如表</w:t>
      </w:r>
      <w:r>
        <w:rPr>
          <w:rFonts w:hint="eastAsia" w:ascii="Times New Roman"/>
        </w:rPr>
        <w:t>4</w:t>
      </w:r>
      <w:r>
        <w:rPr>
          <w:rFonts w:ascii="Times New Roman"/>
        </w:rPr>
        <w:t>所示；</w:t>
      </w:r>
    </w:p>
    <w:p w14:paraId="22A66877">
      <w:pPr>
        <w:pStyle w:val="189"/>
        <w:numPr>
          <w:ilvl w:val="0"/>
          <w:numId w:val="0"/>
        </w:numPr>
        <w:ind w:firstLine="420" w:firstLineChars="200"/>
        <w:rPr>
          <w:rFonts w:ascii="Times New Roman"/>
        </w:rPr>
      </w:pPr>
      <w:r>
        <w:rPr>
          <w:rFonts w:ascii="Times New Roman"/>
        </w:rPr>
        <w:t>对于钇、钪、铒、镱等较为活泼的稀土金属靶材，既可直接化学抛光/浸蚀，也可采</w:t>
      </w:r>
      <w:r>
        <w:rPr>
          <w:rFonts w:hint="eastAsia" w:ascii="Times New Roman"/>
        </w:rPr>
        <w:t>、</w:t>
      </w:r>
      <w:r>
        <w:rPr>
          <w:rFonts w:ascii="Times New Roman"/>
        </w:rPr>
        <w:t>采用酒精基或油基的抛光剂对试样进行抛光。每步抛光后需采用酒精彻底清洗试样表面，并迅速用压缩氮气或吹风机冷风快速吹干样品，使试样表面平整、洁净、无</w:t>
      </w:r>
      <w:r>
        <w:rPr>
          <w:rFonts w:hint="eastAsia" w:ascii="Times New Roman"/>
        </w:rPr>
        <w:t>划痕及</w:t>
      </w:r>
      <w:r>
        <w:rPr>
          <w:rFonts w:ascii="Times New Roman"/>
        </w:rPr>
        <w:t>污物。</w:t>
      </w:r>
    </w:p>
    <w:p w14:paraId="04DDCE90">
      <w:pPr>
        <w:pStyle w:val="17"/>
        <w:numPr>
          <w:ilvl w:val="1"/>
          <w:numId w:val="20"/>
        </w:numPr>
        <w:spacing w:before="156" w:beforeLines="50" w:after="156" w:afterLines="50"/>
        <w:ind w:firstLineChars="0"/>
        <w:jc w:val="center"/>
        <w:rPr>
          <w:rFonts w:ascii="Times New Roman" w:eastAsia="黑体"/>
          <w:sz w:val="21"/>
          <w:szCs w:val="21"/>
        </w:rPr>
      </w:pPr>
      <w:r>
        <w:rPr>
          <w:rFonts w:hint="eastAsia" w:ascii="Times New Roman" w:eastAsia="黑体"/>
          <w:sz w:val="21"/>
          <w:szCs w:val="21"/>
        </w:rPr>
        <w:t>手动制样典型</w:t>
      </w:r>
      <w:r>
        <w:rPr>
          <w:rFonts w:ascii="Times New Roman" w:eastAsia="黑体"/>
          <w:sz w:val="21"/>
          <w:szCs w:val="21"/>
        </w:rPr>
        <w:t>工艺</w:t>
      </w:r>
    </w:p>
    <w:tbl>
      <w:tblPr>
        <w:tblStyle w:val="46"/>
        <w:tblW w:w="9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1"/>
        <w:gridCol w:w="1328"/>
        <w:gridCol w:w="2278"/>
        <w:gridCol w:w="1931"/>
        <w:gridCol w:w="1460"/>
        <w:gridCol w:w="1460"/>
      </w:tblGrid>
      <w:tr w14:paraId="262F8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941" w:type="dxa"/>
            <w:vAlign w:val="center"/>
          </w:tcPr>
          <w:p w14:paraId="2AC7B591">
            <w:pPr>
              <w:jc w:val="center"/>
              <w:rPr>
                <w:sz w:val="18"/>
                <w:szCs w:val="18"/>
              </w:rPr>
            </w:pPr>
            <w:r>
              <w:rPr>
                <w:rFonts w:hint="eastAsia"/>
                <w:sz w:val="18"/>
                <w:szCs w:val="18"/>
              </w:rPr>
              <w:t>磨抛工序</w:t>
            </w:r>
          </w:p>
        </w:tc>
        <w:tc>
          <w:tcPr>
            <w:tcW w:w="1328" w:type="dxa"/>
            <w:vAlign w:val="center"/>
          </w:tcPr>
          <w:p w14:paraId="72A554D4">
            <w:pPr>
              <w:jc w:val="center"/>
              <w:rPr>
                <w:sz w:val="18"/>
                <w:szCs w:val="18"/>
              </w:rPr>
            </w:pPr>
            <w:r>
              <w:rPr>
                <w:sz w:val="18"/>
                <w:szCs w:val="18"/>
              </w:rPr>
              <w:t>磨料类型</w:t>
            </w:r>
          </w:p>
        </w:tc>
        <w:tc>
          <w:tcPr>
            <w:tcW w:w="2278" w:type="dxa"/>
            <w:vAlign w:val="center"/>
          </w:tcPr>
          <w:p w14:paraId="6353A968">
            <w:pPr>
              <w:jc w:val="center"/>
              <w:rPr>
                <w:sz w:val="18"/>
                <w:szCs w:val="18"/>
              </w:rPr>
            </w:pPr>
            <w:r>
              <w:rPr>
                <w:rFonts w:hint="eastAsia"/>
                <w:sz w:val="18"/>
                <w:szCs w:val="18"/>
              </w:rPr>
              <w:t>磨抛材料</w:t>
            </w:r>
          </w:p>
        </w:tc>
        <w:tc>
          <w:tcPr>
            <w:tcW w:w="1931" w:type="dxa"/>
            <w:vAlign w:val="center"/>
          </w:tcPr>
          <w:p w14:paraId="7AFB8D11">
            <w:pPr>
              <w:jc w:val="center"/>
              <w:rPr>
                <w:sz w:val="18"/>
                <w:szCs w:val="18"/>
              </w:rPr>
            </w:pPr>
            <w:r>
              <w:rPr>
                <w:rFonts w:hint="eastAsia"/>
                <w:sz w:val="18"/>
                <w:szCs w:val="18"/>
              </w:rPr>
              <w:t>磨抛介质</w:t>
            </w:r>
          </w:p>
        </w:tc>
        <w:tc>
          <w:tcPr>
            <w:tcW w:w="1460" w:type="dxa"/>
            <w:vAlign w:val="center"/>
          </w:tcPr>
          <w:p w14:paraId="3B2AADD9">
            <w:pPr>
              <w:jc w:val="center"/>
              <w:rPr>
                <w:sz w:val="18"/>
                <w:szCs w:val="18"/>
              </w:rPr>
            </w:pPr>
            <w:r>
              <w:rPr>
                <w:sz w:val="18"/>
                <w:szCs w:val="18"/>
              </w:rPr>
              <w:t>时间</w:t>
            </w:r>
          </w:p>
          <w:p w14:paraId="7FA19991">
            <w:pPr>
              <w:jc w:val="center"/>
              <w:rPr>
                <w:sz w:val="18"/>
                <w:szCs w:val="18"/>
              </w:rPr>
            </w:pPr>
            <w:r>
              <w:rPr>
                <w:sz w:val="18"/>
                <w:szCs w:val="18"/>
              </w:rPr>
              <w:t>s</w:t>
            </w:r>
          </w:p>
        </w:tc>
        <w:tc>
          <w:tcPr>
            <w:tcW w:w="1460" w:type="dxa"/>
            <w:vAlign w:val="center"/>
          </w:tcPr>
          <w:p w14:paraId="60603E7A">
            <w:pPr>
              <w:jc w:val="center"/>
              <w:rPr>
                <w:sz w:val="18"/>
                <w:szCs w:val="18"/>
              </w:rPr>
            </w:pPr>
            <w:r>
              <w:rPr>
                <w:sz w:val="18"/>
                <w:szCs w:val="18"/>
              </w:rPr>
              <w:t>磨盘转速</w:t>
            </w:r>
            <w:r>
              <w:rPr>
                <w:sz w:val="18"/>
                <w:szCs w:val="18"/>
                <w:vertAlign w:val="superscript"/>
              </w:rPr>
              <w:t>b</w:t>
            </w:r>
          </w:p>
          <w:p w14:paraId="6749C3A8">
            <w:pPr>
              <w:jc w:val="center"/>
              <w:rPr>
                <w:sz w:val="18"/>
                <w:szCs w:val="18"/>
              </w:rPr>
            </w:pPr>
            <w:r>
              <w:rPr>
                <w:sz w:val="18"/>
                <w:szCs w:val="18"/>
              </w:rPr>
              <w:t>r/min</w:t>
            </w:r>
          </w:p>
        </w:tc>
      </w:tr>
      <w:tr w14:paraId="4491F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41" w:type="dxa"/>
            <w:vAlign w:val="center"/>
          </w:tcPr>
          <w:p w14:paraId="2881585F">
            <w:pPr>
              <w:jc w:val="center"/>
              <w:rPr>
                <w:sz w:val="18"/>
                <w:szCs w:val="18"/>
              </w:rPr>
            </w:pPr>
            <w:r>
              <w:rPr>
                <w:rFonts w:hint="eastAsia"/>
                <w:sz w:val="18"/>
                <w:szCs w:val="18"/>
              </w:rPr>
              <w:t>1</w:t>
            </w:r>
          </w:p>
        </w:tc>
        <w:tc>
          <w:tcPr>
            <w:tcW w:w="1328" w:type="dxa"/>
            <w:vMerge w:val="restart"/>
            <w:vAlign w:val="center"/>
          </w:tcPr>
          <w:p w14:paraId="1382A9A1">
            <w:pPr>
              <w:jc w:val="center"/>
              <w:rPr>
                <w:sz w:val="18"/>
                <w:szCs w:val="18"/>
              </w:rPr>
            </w:pPr>
            <w:r>
              <w:rPr>
                <w:rFonts w:hint="eastAsia"/>
                <w:sz w:val="18"/>
                <w:szCs w:val="18"/>
              </w:rPr>
              <w:t>粗磨</w:t>
            </w:r>
          </w:p>
        </w:tc>
        <w:tc>
          <w:tcPr>
            <w:tcW w:w="2278" w:type="dxa"/>
            <w:vAlign w:val="center"/>
          </w:tcPr>
          <w:p w14:paraId="63AE8E03">
            <w:pPr>
              <w:jc w:val="center"/>
              <w:rPr>
                <w:sz w:val="18"/>
                <w:szCs w:val="18"/>
              </w:rPr>
            </w:pPr>
            <w:r>
              <w:rPr>
                <w:rFonts w:hint="eastAsia"/>
                <w:sz w:val="18"/>
                <w:szCs w:val="18"/>
              </w:rPr>
              <w:t>砂纸（5.1）</w:t>
            </w:r>
          </w:p>
        </w:tc>
        <w:tc>
          <w:tcPr>
            <w:tcW w:w="1931" w:type="dxa"/>
            <w:vAlign w:val="center"/>
          </w:tcPr>
          <w:p w14:paraId="34E8113B">
            <w:pPr>
              <w:jc w:val="center"/>
              <w:rPr>
                <w:sz w:val="18"/>
                <w:szCs w:val="18"/>
              </w:rPr>
            </w:pPr>
            <w:r>
              <w:rPr>
                <w:rFonts w:hint="eastAsia"/>
                <w:sz w:val="18"/>
                <w:szCs w:val="18"/>
              </w:rPr>
              <w:t>润滑剂（5.7）</w:t>
            </w:r>
          </w:p>
        </w:tc>
        <w:tc>
          <w:tcPr>
            <w:tcW w:w="1460" w:type="dxa"/>
            <w:vAlign w:val="center"/>
          </w:tcPr>
          <w:p w14:paraId="3A8AEB2C">
            <w:pPr>
              <w:jc w:val="center"/>
              <w:rPr>
                <w:sz w:val="18"/>
                <w:szCs w:val="18"/>
              </w:rPr>
            </w:pPr>
            <w:r>
              <w:rPr>
                <w:rFonts w:hint="eastAsia"/>
                <w:sz w:val="18"/>
                <w:szCs w:val="18"/>
              </w:rPr>
              <w:t>30</w:t>
            </w:r>
            <w:r>
              <w:rPr>
                <w:sz w:val="18"/>
                <w:szCs w:val="18"/>
              </w:rPr>
              <w:t>~</w:t>
            </w:r>
            <w:r>
              <w:rPr>
                <w:rFonts w:hint="eastAsia"/>
                <w:sz w:val="18"/>
                <w:szCs w:val="18"/>
              </w:rPr>
              <w:t>12</w:t>
            </w:r>
            <w:r>
              <w:rPr>
                <w:sz w:val="18"/>
                <w:szCs w:val="18"/>
              </w:rPr>
              <w:t>0</w:t>
            </w:r>
          </w:p>
        </w:tc>
        <w:tc>
          <w:tcPr>
            <w:tcW w:w="1460" w:type="dxa"/>
            <w:vAlign w:val="center"/>
          </w:tcPr>
          <w:p w14:paraId="2E3DEFB7">
            <w:pPr>
              <w:jc w:val="center"/>
              <w:rPr>
                <w:sz w:val="18"/>
                <w:szCs w:val="18"/>
              </w:rPr>
            </w:pPr>
            <w:r>
              <w:rPr>
                <w:sz w:val="18"/>
                <w:szCs w:val="18"/>
              </w:rPr>
              <w:t>200~400</w:t>
            </w:r>
          </w:p>
        </w:tc>
      </w:tr>
      <w:tr w14:paraId="0E1C1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41" w:type="dxa"/>
            <w:vAlign w:val="center"/>
          </w:tcPr>
          <w:p w14:paraId="48CBE500">
            <w:pPr>
              <w:jc w:val="center"/>
              <w:rPr>
                <w:sz w:val="18"/>
                <w:szCs w:val="18"/>
              </w:rPr>
            </w:pPr>
            <w:r>
              <w:rPr>
                <w:rFonts w:hint="eastAsia"/>
                <w:sz w:val="18"/>
                <w:szCs w:val="18"/>
              </w:rPr>
              <w:t>2</w:t>
            </w:r>
          </w:p>
        </w:tc>
        <w:tc>
          <w:tcPr>
            <w:tcW w:w="1328" w:type="dxa"/>
            <w:vMerge w:val="continue"/>
            <w:vAlign w:val="center"/>
          </w:tcPr>
          <w:p w14:paraId="511D14F4">
            <w:pPr>
              <w:jc w:val="center"/>
              <w:rPr>
                <w:sz w:val="18"/>
                <w:szCs w:val="18"/>
              </w:rPr>
            </w:pPr>
          </w:p>
        </w:tc>
        <w:tc>
          <w:tcPr>
            <w:tcW w:w="2278" w:type="dxa"/>
            <w:vAlign w:val="center"/>
          </w:tcPr>
          <w:p w14:paraId="63B9BA51">
            <w:pPr>
              <w:jc w:val="center"/>
              <w:rPr>
                <w:sz w:val="18"/>
                <w:szCs w:val="18"/>
              </w:rPr>
            </w:pPr>
            <w:r>
              <w:rPr>
                <w:rFonts w:hint="eastAsia"/>
                <w:sz w:val="18"/>
                <w:szCs w:val="18"/>
              </w:rPr>
              <w:t>砂纸（5.2）</w:t>
            </w:r>
          </w:p>
        </w:tc>
        <w:tc>
          <w:tcPr>
            <w:tcW w:w="1931" w:type="dxa"/>
            <w:vAlign w:val="center"/>
          </w:tcPr>
          <w:p w14:paraId="389F0DFD">
            <w:pPr>
              <w:jc w:val="center"/>
              <w:rPr>
                <w:sz w:val="18"/>
                <w:szCs w:val="18"/>
              </w:rPr>
            </w:pPr>
            <w:r>
              <w:rPr>
                <w:rFonts w:hint="eastAsia"/>
                <w:sz w:val="18"/>
                <w:szCs w:val="18"/>
              </w:rPr>
              <w:t>润滑剂（5.7）</w:t>
            </w:r>
          </w:p>
        </w:tc>
        <w:tc>
          <w:tcPr>
            <w:tcW w:w="1460" w:type="dxa"/>
            <w:vAlign w:val="center"/>
          </w:tcPr>
          <w:p w14:paraId="672DA1EB">
            <w:pPr>
              <w:jc w:val="center"/>
              <w:rPr>
                <w:sz w:val="18"/>
                <w:szCs w:val="18"/>
              </w:rPr>
            </w:pPr>
            <w:r>
              <w:rPr>
                <w:sz w:val="18"/>
                <w:szCs w:val="18"/>
              </w:rPr>
              <w:t>30~120</w:t>
            </w:r>
          </w:p>
        </w:tc>
        <w:tc>
          <w:tcPr>
            <w:tcW w:w="1460" w:type="dxa"/>
            <w:vAlign w:val="center"/>
          </w:tcPr>
          <w:p w14:paraId="75983C09">
            <w:pPr>
              <w:jc w:val="center"/>
              <w:rPr>
                <w:sz w:val="18"/>
                <w:szCs w:val="18"/>
              </w:rPr>
            </w:pPr>
            <w:r>
              <w:rPr>
                <w:sz w:val="18"/>
                <w:szCs w:val="18"/>
              </w:rPr>
              <w:t>200~400</w:t>
            </w:r>
          </w:p>
        </w:tc>
      </w:tr>
      <w:tr w14:paraId="53C6D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41" w:type="dxa"/>
            <w:vAlign w:val="center"/>
          </w:tcPr>
          <w:p w14:paraId="6A95F20B">
            <w:pPr>
              <w:jc w:val="center"/>
              <w:rPr>
                <w:sz w:val="18"/>
                <w:szCs w:val="18"/>
              </w:rPr>
            </w:pPr>
            <w:r>
              <w:rPr>
                <w:rFonts w:hint="eastAsia"/>
                <w:sz w:val="18"/>
                <w:szCs w:val="18"/>
              </w:rPr>
              <w:t>3</w:t>
            </w:r>
          </w:p>
        </w:tc>
        <w:tc>
          <w:tcPr>
            <w:tcW w:w="1328" w:type="dxa"/>
            <w:vMerge w:val="continue"/>
            <w:vAlign w:val="center"/>
          </w:tcPr>
          <w:p w14:paraId="1573747A">
            <w:pPr>
              <w:jc w:val="center"/>
              <w:rPr>
                <w:sz w:val="18"/>
                <w:szCs w:val="18"/>
              </w:rPr>
            </w:pPr>
          </w:p>
        </w:tc>
        <w:tc>
          <w:tcPr>
            <w:tcW w:w="2278" w:type="dxa"/>
            <w:vAlign w:val="center"/>
          </w:tcPr>
          <w:p w14:paraId="0948360E">
            <w:pPr>
              <w:jc w:val="center"/>
              <w:rPr>
                <w:sz w:val="18"/>
                <w:szCs w:val="18"/>
              </w:rPr>
            </w:pPr>
            <w:r>
              <w:rPr>
                <w:rFonts w:hint="eastAsia"/>
                <w:sz w:val="18"/>
                <w:szCs w:val="18"/>
              </w:rPr>
              <w:t>砂纸（5.3）</w:t>
            </w:r>
          </w:p>
        </w:tc>
        <w:tc>
          <w:tcPr>
            <w:tcW w:w="1931" w:type="dxa"/>
            <w:vAlign w:val="center"/>
          </w:tcPr>
          <w:p w14:paraId="1A7C7E1F">
            <w:pPr>
              <w:jc w:val="center"/>
              <w:rPr>
                <w:sz w:val="18"/>
                <w:szCs w:val="18"/>
              </w:rPr>
            </w:pPr>
            <w:r>
              <w:rPr>
                <w:rFonts w:hint="eastAsia"/>
                <w:sz w:val="18"/>
                <w:szCs w:val="18"/>
              </w:rPr>
              <w:t>润滑剂（5.7）</w:t>
            </w:r>
          </w:p>
        </w:tc>
        <w:tc>
          <w:tcPr>
            <w:tcW w:w="1460" w:type="dxa"/>
            <w:vAlign w:val="center"/>
          </w:tcPr>
          <w:p w14:paraId="324E605F">
            <w:pPr>
              <w:jc w:val="center"/>
              <w:rPr>
                <w:sz w:val="18"/>
                <w:szCs w:val="18"/>
              </w:rPr>
            </w:pPr>
            <w:r>
              <w:rPr>
                <w:sz w:val="18"/>
                <w:szCs w:val="18"/>
              </w:rPr>
              <w:t>30~120</w:t>
            </w:r>
          </w:p>
        </w:tc>
        <w:tc>
          <w:tcPr>
            <w:tcW w:w="1460" w:type="dxa"/>
            <w:vAlign w:val="center"/>
          </w:tcPr>
          <w:p w14:paraId="761A46CE">
            <w:pPr>
              <w:jc w:val="center"/>
              <w:rPr>
                <w:sz w:val="18"/>
                <w:szCs w:val="18"/>
              </w:rPr>
            </w:pPr>
            <w:r>
              <w:rPr>
                <w:sz w:val="18"/>
                <w:szCs w:val="18"/>
              </w:rPr>
              <w:t>200~400</w:t>
            </w:r>
          </w:p>
        </w:tc>
      </w:tr>
      <w:tr w14:paraId="30557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41" w:type="dxa"/>
            <w:vAlign w:val="center"/>
          </w:tcPr>
          <w:p w14:paraId="62AECBC4">
            <w:pPr>
              <w:jc w:val="center"/>
              <w:rPr>
                <w:sz w:val="18"/>
                <w:szCs w:val="18"/>
              </w:rPr>
            </w:pPr>
            <w:r>
              <w:rPr>
                <w:rFonts w:hint="eastAsia"/>
                <w:sz w:val="18"/>
                <w:szCs w:val="18"/>
              </w:rPr>
              <w:t>4</w:t>
            </w:r>
          </w:p>
        </w:tc>
        <w:tc>
          <w:tcPr>
            <w:tcW w:w="1328" w:type="dxa"/>
            <w:vMerge w:val="restart"/>
            <w:vAlign w:val="center"/>
          </w:tcPr>
          <w:p w14:paraId="66CC18B5">
            <w:pPr>
              <w:jc w:val="center"/>
              <w:rPr>
                <w:sz w:val="18"/>
                <w:szCs w:val="18"/>
              </w:rPr>
            </w:pPr>
            <w:r>
              <w:rPr>
                <w:rFonts w:hint="eastAsia"/>
                <w:sz w:val="18"/>
                <w:szCs w:val="18"/>
              </w:rPr>
              <w:t>细磨</w:t>
            </w:r>
          </w:p>
        </w:tc>
        <w:tc>
          <w:tcPr>
            <w:tcW w:w="2278" w:type="dxa"/>
            <w:vAlign w:val="center"/>
          </w:tcPr>
          <w:p w14:paraId="3EDCD748">
            <w:pPr>
              <w:jc w:val="center"/>
              <w:rPr>
                <w:sz w:val="18"/>
                <w:szCs w:val="18"/>
              </w:rPr>
            </w:pPr>
            <w:r>
              <w:rPr>
                <w:rFonts w:hint="eastAsia"/>
                <w:sz w:val="18"/>
                <w:szCs w:val="18"/>
              </w:rPr>
              <w:t>砂纸（5.4）</w:t>
            </w:r>
          </w:p>
        </w:tc>
        <w:tc>
          <w:tcPr>
            <w:tcW w:w="1931" w:type="dxa"/>
            <w:vAlign w:val="center"/>
          </w:tcPr>
          <w:p w14:paraId="3DA683AA">
            <w:pPr>
              <w:jc w:val="center"/>
              <w:rPr>
                <w:sz w:val="18"/>
                <w:szCs w:val="18"/>
              </w:rPr>
            </w:pPr>
            <w:r>
              <w:rPr>
                <w:rFonts w:hint="eastAsia"/>
                <w:sz w:val="18"/>
                <w:szCs w:val="18"/>
              </w:rPr>
              <w:t>润滑剂（5.7）</w:t>
            </w:r>
          </w:p>
        </w:tc>
        <w:tc>
          <w:tcPr>
            <w:tcW w:w="1460" w:type="dxa"/>
            <w:vAlign w:val="center"/>
          </w:tcPr>
          <w:p w14:paraId="393BC4D7">
            <w:pPr>
              <w:jc w:val="center"/>
              <w:rPr>
                <w:sz w:val="18"/>
                <w:szCs w:val="18"/>
              </w:rPr>
            </w:pPr>
            <w:r>
              <w:rPr>
                <w:sz w:val="18"/>
                <w:szCs w:val="18"/>
              </w:rPr>
              <w:t>30~120</w:t>
            </w:r>
          </w:p>
        </w:tc>
        <w:tc>
          <w:tcPr>
            <w:tcW w:w="1460" w:type="dxa"/>
            <w:vAlign w:val="center"/>
          </w:tcPr>
          <w:p w14:paraId="7675098F">
            <w:pPr>
              <w:jc w:val="center"/>
              <w:rPr>
                <w:sz w:val="18"/>
                <w:szCs w:val="18"/>
              </w:rPr>
            </w:pPr>
            <w:r>
              <w:rPr>
                <w:sz w:val="18"/>
                <w:szCs w:val="18"/>
              </w:rPr>
              <w:t>100~150</w:t>
            </w:r>
          </w:p>
        </w:tc>
      </w:tr>
      <w:tr w14:paraId="4168E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41" w:type="dxa"/>
            <w:vAlign w:val="center"/>
          </w:tcPr>
          <w:p w14:paraId="0B55FA66">
            <w:pPr>
              <w:jc w:val="center"/>
              <w:rPr>
                <w:sz w:val="18"/>
                <w:szCs w:val="18"/>
              </w:rPr>
            </w:pPr>
            <w:r>
              <w:rPr>
                <w:rFonts w:hint="eastAsia"/>
                <w:sz w:val="18"/>
                <w:szCs w:val="18"/>
              </w:rPr>
              <w:t>5</w:t>
            </w:r>
          </w:p>
        </w:tc>
        <w:tc>
          <w:tcPr>
            <w:tcW w:w="1328" w:type="dxa"/>
            <w:vMerge w:val="continue"/>
            <w:vAlign w:val="center"/>
          </w:tcPr>
          <w:p w14:paraId="7C73DBA4">
            <w:pPr>
              <w:jc w:val="center"/>
              <w:rPr>
                <w:sz w:val="18"/>
                <w:szCs w:val="18"/>
              </w:rPr>
            </w:pPr>
          </w:p>
        </w:tc>
        <w:tc>
          <w:tcPr>
            <w:tcW w:w="2278" w:type="dxa"/>
            <w:vAlign w:val="center"/>
          </w:tcPr>
          <w:p w14:paraId="03BE1273">
            <w:pPr>
              <w:jc w:val="center"/>
              <w:rPr>
                <w:sz w:val="18"/>
                <w:szCs w:val="18"/>
              </w:rPr>
            </w:pPr>
            <w:r>
              <w:rPr>
                <w:rFonts w:hint="eastAsia"/>
                <w:sz w:val="18"/>
                <w:szCs w:val="18"/>
              </w:rPr>
              <w:t>砂纸（5.5）</w:t>
            </w:r>
          </w:p>
        </w:tc>
        <w:tc>
          <w:tcPr>
            <w:tcW w:w="1931" w:type="dxa"/>
            <w:vAlign w:val="center"/>
          </w:tcPr>
          <w:p w14:paraId="3B1529EB">
            <w:pPr>
              <w:jc w:val="center"/>
              <w:rPr>
                <w:sz w:val="18"/>
                <w:szCs w:val="18"/>
              </w:rPr>
            </w:pPr>
            <w:r>
              <w:rPr>
                <w:rFonts w:hint="eastAsia"/>
                <w:sz w:val="18"/>
                <w:szCs w:val="18"/>
              </w:rPr>
              <w:t>润滑剂（5.7）</w:t>
            </w:r>
          </w:p>
        </w:tc>
        <w:tc>
          <w:tcPr>
            <w:tcW w:w="1460" w:type="dxa"/>
            <w:vAlign w:val="center"/>
          </w:tcPr>
          <w:p w14:paraId="2DD68099">
            <w:pPr>
              <w:jc w:val="center"/>
              <w:rPr>
                <w:sz w:val="18"/>
                <w:szCs w:val="18"/>
              </w:rPr>
            </w:pPr>
            <w:r>
              <w:rPr>
                <w:sz w:val="18"/>
                <w:szCs w:val="18"/>
              </w:rPr>
              <w:t>60~180</w:t>
            </w:r>
          </w:p>
        </w:tc>
        <w:tc>
          <w:tcPr>
            <w:tcW w:w="1460" w:type="dxa"/>
            <w:vAlign w:val="center"/>
          </w:tcPr>
          <w:p w14:paraId="1E324732">
            <w:pPr>
              <w:jc w:val="center"/>
              <w:rPr>
                <w:sz w:val="18"/>
                <w:szCs w:val="18"/>
              </w:rPr>
            </w:pPr>
            <w:r>
              <w:rPr>
                <w:sz w:val="18"/>
                <w:szCs w:val="18"/>
              </w:rPr>
              <w:t>100~150</w:t>
            </w:r>
          </w:p>
        </w:tc>
      </w:tr>
      <w:tr w14:paraId="40265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941" w:type="dxa"/>
            <w:vAlign w:val="center"/>
          </w:tcPr>
          <w:p w14:paraId="0BE7CC19">
            <w:pPr>
              <w:jc w:val="center"/>
              <w:rPr>
                <w:sz w:val="18"/>
                <w:szCs w:val="18"/>
              </w:rPr>
            </w:pPr>
            <w:r>
              <w:rPr>
                <w:rFonts w:hint="eastAsia"/>
                <w:sz w:val="18"/>
                <w:szCs w:val="18"/>
              </w:rPr>
              <w:t>6</w:t>
            </w:r>
          </w:p>
        </w:tc>
        <w:tc>
          <w:tcPr>
            <w:tcW w:w="1328" w:type="dxa"/>
            <w:vMerge w:val="continue"/>
            <w:vAlign w:val="center"/>
          </w:tcPr>
          <w:p w14:paraId="568D8A49">
            <w:pPr>
              <w:jc w:val="center"/>
              <w:rPr>
                <w:sz w:val="18"/>
                <w:szCs w:val="18"/>
              </w:rPr>
            </w:pPr>
          </w:p>
        </w:tc>
        <w:tc>
          <w:tcPr>
            <w:tcW w:w="2278" w:type="dxa"/>
            <w:vAlign w:val="center"/>
          </w:tcPr>
          <w:p w14:paraId="0EFEFCFF">
            <w:pPr>
              <w:jc w:val="center"/>
              <w:rPr>
                <w:sz w:val="18"/>
                <w:szCs w:val="18"/>
              </w:rPr>
            </w:pPr>
            <w:r>
              <w:rPr>
                <w:rFonts w:hint="eastAsia"/>
                <w:sz w:val="18"/>
                <w:szCs w:val="18"/>
              </w:rPr>
              <w:t>砂纸（5.6）</w:t>
            </w:r>
          </w:p>
        </w:tc>
        <w:tc>
          <w:tcPr>
            <w:tcW w:w="1931" w:type="dxa"/>
            <w:vAlign w:val="center"/>
          </w:tcPr>
          <w:p w14:paraId="39045B01">
            <w:pPr>
              <w:jc w:val="center"/>
              <w:rPr>
                <w:sz w:val="18"/>
                <w:szCs w:val="18"/>
              </w:rPr>
            </w:pPr>
            <w:r>
              <w:rPr>
                <w:rFonts w:hint="eastAsia"/>
                <w:sz w:val="18"/>
                <w:szCs w:val="18"/>
              </w:rPr>
              <w:t>润滑剂（5.7）</w:t>
            </w:r>
          </w:p>
        </w:tc>
        <w:tc>
          <w:tcPr>
            <w:tcW w:w="1460" w:type="dxa"/>
            <w:vAlign w:val="center"/>
          </w:tcPr>
          <w:p w14:paraId="673C7A62">
            <w:pPr>
              <w:jc w:val="center"/>
              <w:rPr>
                <w:sz w:val="18"/>
                <w:szCs w:val="18"/>
              </w:rPr>
            </w:pPr>
            <w:r>
              <w:rPr>
                <w:sz w:val="18"/>
                <w:szCs w:val="18"/>
              </w:rPr>
              <w:t>60~180</w:t>
            </w:r>
          </w:p>
        </w:tc>
        <w:tc>
          <w:tcPr>
            <w:tcW w:w="1460" w:type="dxa"/>
            <w:vAlign w:val="center"/>
          </w:tcPr>
          <w:p w14:paraId="45D14669">
            <w:pPr>
              <w:jc w:val="center"/>
              <w:rPr>
                <w:sz w:val="18"/>
                <w:szCs w:val="18"/>
              </w:rPr>
            </w:pPr>
            <w:r>
              <w:rPr>
                <w:sz w:val="18"/>
                <w:szCs w:val="18"/>
              </w:rPr>
              <w:t>100~150</w:t>
            </w:r>
          </w:p>
        </w:tc>
      </w:tr>
      <w:tr w14:paraId="72F54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41" w:type="dxa"/>
            <w:vAlign w:val="center"/>
          </w:tcPr>
          <w:p w14:paraId="6AFAF88A">
            <w:pPr>
              <w:jc w:val="center"/>
              <w:rPr>
                <w:sz w:val="18"/>
                <w:szCs w:val="18"/>
              </w:rPr>
            </w:pPr>
            <w:r>
              <w:rPr>
                <w:rFonts w:hint="eastAsia"/>
                <w:sz w:val="18"/>
                <w:szCs w:val="18"/>
              </w:rPr>
              <w:t>7</w:t>
            </w:r>
          </w:p>
        </w:tc>
        <w:tc>
          <w:tcPr>
            <w:tcW w:w="1328" w:type="dxa"/>
            <w:vAlign w:val="center"/>
          </w:tcPr>
          <w:p w14:paraId="65EB4CC5">
            <w:pPr>
              <w:jc w:val="center"/>
              <w:rPr>
                <w:sz w:val="18"/>
                <w:szCs w:val="18"/>
              </w:rPr>
            </w:pPr>
            <w:r>
              <w:rPr>
                <w:sz w:val="18"/>
                <w:szCs w:val="18"/>
              </w:rPr>
              <w:t>粗抛</w:t>
            </w:r>
          </w:p>
        </w:tc>
        <w:tc>
          <w:tcPr>
            <w:tcW w:w="2278" w:type="dxa"/>
            <w:vAlign w:val="center"/>
          </w:tcPr>
          <w:p w14:paraId="493ABA91">
            <w:pPr>
              <w:jc w:val="center"/>
              <w:rPr>
                <w:sz w:val="18"/>
                <w:szCs w:val="18"/>
              </w:rPr>
            </w:pPr>
            <w:r>
              <w:rPr>
                <w:rFonts w:hint="eastAsia"/>
                <w:sz w:val="18"/>
                <w:szCs w:val="18"/>
              </w:rPr>
              <w:t>编织布</w:t>
            </w:r>
          </w:p>
        </w:tc>
        <w:tc>
          <w:tcPr>
            <w:tcW w:w="1931" w:type="dxa"/>
            <w:vAlign w:val="center"/>
          </w:tcPr>
          <w:p w14:paraId="3C28FDEB">
            <w:pPr>
              <w:jc w:val="center"/>
              <w:rPr>
                <w:sz w:val="18"/>
                <w:szCs w:val="18"/>
              </w:rPr>
            </w:pPr>
            <w:r>
              <w:rPr>
                <w:rFonts w:hint="eastAsia"/>
                <w:sz w:val="18"/>
                <w:szCs w:val="18"/>
              </w:rPr>
              <w:t>抛光剂（5.8）</w:t>
            </w:r>
          </w:p>
        </w:tc>
        <w:tc>
          <w:tcPr>
            <w:tcW w:w="1460" w:type="dxa"/>
            <w:vAlign w:val="center"/>
          </w:tcPr>
          <w:p w14:paraId="6D142EC1">
            <w:pPr>
              <w:jc w:val="center"/>
              <w:rPr>
                <w:sz w:val="18"/>
                <w:szCs w:val="18"/>
              </w:rPr>
            </w:pPr>
            <w:r>
              <w:rPr>
                <w:rFonts w:hint="eastAsia"/>
                <w:sz w:val="18"/>
                <w:szCs w:val="18"/>
              </w:rPr>
              <w:t>60-120</w:t>
            </w:r>
          </w:p>
        </w:tc>
        <w:tc>
          <w:tcPr>
            <w:tcW w:w="1460" w:type="dxa"/>
            <w:vAlign w:val="center"/>
          </w:tcPr>
          <w:p w14:paraId="0DD3BE7E">
            <w:pPr>
              <w:jc w:val="center"/>
              <w:rPr>
                <w:sz w:val="18"/>
                <w:szCs w:val="18"/>
              </w:rPr>
            </w:pPr>
            <w:r>
              <w:rPr>
                <w:sz w:val="18"/>
                <w:szCs w:val="18"/>
              </w:rPr>
              <w:t>100~150</w:t>
            </w:r>
          </w:p>
        </w:tc>
      </w:tr>
      <w:tr w14:paraId="4CC3D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41" w:type="dxa"/>
            <w:vAlign w:val="center"/>
          </w:tcPr>
          <w:p w14:paraId="791CFACF">
            <w:pPr>
              <w:jc w:val="center"/>
              <w:rPr>
                <w:sz w:val="18"/>
                <w:szCs w:val="18"/>
              </w:rPr>
            </w:pPr>
            <w:r>
              <w:rPr>
                <w:rFonts w:hint="eastAsia"/>
                <w:sz w:val="18"/>
                <w:szCs w:val="18"/>
              </w:rPr>
              <w:t>9</w:t>
            </w:r>
          </w:p>
        </w:tc>
        <w:tc>
          <w:tcPr>
            <w:tcW w:w="1328" w:type="dxa"/>
            <w:vAlign w:val="center"/>
          </w:tcPr>
          <w:p w14:paraId="536C2537">
            <w:pPr>
              <w:jc w:val="center"/>
              <w:rPr>
                <w:sz w:val="18"/>
                <w:szCs w:val="18"/>
              </w:rPr>
            </w:pPr>
            <w:r>
              <w:rPr>
                <w:sz w:val="18"/>
                <w:szCs w:val="18"/>
              </w:rPr>
              <w:t>精抛</w:t>
            </w:r>
          </w:p>
        </w:tc>
        <w:tc>
          <w:tcPr>
            <w:tcW w:w="2278" w:type="dxa"/>
            <w:vAlign w:val="center"/>
          </w:tcPr>
          <w:p w14:paraId="1A328F85">
            <w:pPr>
              <w:jc w:val="center"/>
              <w:rPr>
                <w:sz w:val="18"/>
                <w:szCs w:val="18"/>
              </w:rPr>
            </w:pPr>
            <w:r>
              <w:rPr>
                <w:rFonts w:hint="eastAsia"/>
                <w:sz w:val="18"/>
                <w:szCs w:val="18"/>
              </w:rPr>
              <w:t>橡胶布</w:t>
            </w:r>
          </w:p>
        </w:tc>
        <w:tc>
          <w:tcPr>
            <w:tcW w:w="1931" w:type="dxa"/>
            <w:vAlign w:val="center"/>
          </w:tcPr>
          <w:p w14:paraId="4D3585BC">
            <w:pPr>
              <w:jc w:val="center"/>
              <w:rPr>
                <w:sz w:val="18"/>
                <w:szCs w:val="18"/>
              </w:rPr>
            </w:pPr>
            <w:r>
              <w:rPr>
                <w:rFonts w:hint="eastAsia"/>
                <w:sz w:val="18"/>
                <w:szCs w:val="18"/>
              </w:rPr>
              <w:t>抛光剂（5.10）</w:t>
            </w:r>
          </w:p>
        </w:tc>
        <w:tc>
          <w:tcPr>
            <w:tcW w:w="1460" w:type="dxa"/>
            <w:vAlign w:val="center"/>
          </w:tcPr>
          <w:p w14:paraId="20B8A5BA">
            <w:pPr>
              <w:jc w:val="center"/>
              <w:rPr>
                <w:sz w:val="18"/>
                <w:szCs w:val="18"/>
              </w:rPr>
            </w:pPr>
            <w:r>
              <w:rPr>
                <w:sz w:val="18"/>
                <w:szCs w:val="18"/>
              </w:rPr>
              <w:t>1</w:t>
            </w:r>
            <w:r>
              <w:rPr>
                <w:rFonts w:hint="eastAsia"/>
                <w:sz w:val="18"/>
                <w:szCs w:val="18"/>
              </w:rPr>
              <w:t>2</w:t>
            </w:r>
            <w:r>
              <w:rPr>
                <w:sz w:val="18"/>
                <w:szCs w:val="18"/>
              </w:rPr>
              <w:t>0~300</w:t>
            </w:r>
          </w:p>
        </w:tc>
        <w:tc>
          <w:tcPr>
            <w:tcW w:w="1460" w:type="dxa"/>
            <w:vAlign w:val="center"/>
          </w:tcPr>
          <w:p w14:paraId="2139BA8D">
            <w:pPr>
              <w:jc w:val="center"/>
              <w:rPr>
                <w:sz w:val="18"/>
                <w:szCs w:val="18"/>
              </w:rPr>
            </w:pPr>
            <w:r>
              <w:rPr>
                <w:sz w:val="18"/>
                <w:szCs w:val="18"/>
              </w:rPr>
              <w:t>100~150</w:t>
            </w:r>
          </w:p>
        </w:tc>
      </w:tr>
    </w:tbl>
    <w:p w14:paraId="7BA14E44">
      <w:pPr>
        <w:pStyle w:val="17"/>
        <w:numPr>
          <w:ilvl w:val="1"/>
          <w:numId w:val="20"/>
        </w:numPr>
        <w:spacing w:before="156" w:beforeLines="50" w:after="156" w:afterLines="50"/>
        <w:ind w:firstLineChars="0"/>
        <w:jc w:val="center"/>
        <w:rPr>
          <w:rFonts w:ascii="Times New Roman" w:eastAsia="黑体"/>
          <w:sz w:val="21"/>
          <w:szCs w:val="21"/>
        </w:rPr>
      </w:pPr>
      <w:r>
        <w:rPr>
          <w:rFonts w:hint="eastAsia" w:ascii="Times New Roman" w:eastAsia="黑体"/>
          <w:sz w:val="21"/>
          <w:szCs w:val="21"/>
        </w:rPr>
        <w:t>自动制样典型</w:t>
      </w:r>
      <w:r>
        <w:rPr>
          <w:rFonts w:ascii="Times New Roman" w:eastAsia="黑体"/>
          <w:sz w:val="21"/>
          <w:szCs w:val="21"/>
        </w:rPr>
        <w:t>工艺</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992"/>
        <w:gridCol w:w="1701"/>
        <w:gridCol w:w="1442"/>
        <w:gridCol w:w="1091"/>
        <w:gridCol w:w="1063"/>
        <w:gridCol w:w="1091"/>
        <w:gridCol w:w="1260"/>
      </w:tblGrid>
      <w:tr w14:paraId="58A87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76447691">
            <w:pPr>
              <w:jc w:val="center"/>
              <w:rPr>
                <w:sz w:val="18"/>
                <w:szCs w:val="18"/>
              </w:rPr>
            </w:pPr>
            <w:r>
              <w:rPr>
                <w:rFonts w:hint="eastAsia"/>
                <w:sz w:val="18"/>
                <w:szCs w:val="18"/>
              </w:rPr>
              <w:t>磨抛工序</w:t>
            </w:r>
          </w:p>
        </w:tc>
        <w:tc>
          <w:tcPr>
            <w:tcW w:w="992" w:type="dxa"/>
            <w:vAlign w:val="center"/>
          </w:tcPr>
          <w:p w14:paraId="3B85A039">
            <w:pPr>
              <w:jc w:val="center"/>
              <w:rPr>
                <w:sz w:val="18"/>
                <w:szCs w:val="18"/>
              </w:rPr>
            </w:pPr>
            <w:r>
              <w:rPr>
                <w:sz w:val="18"/>
                <w:szCs w:val="18"/>
              </w:rPr>
              <w:t>磨料类型</w:t>
            </w:r>
          </w:p>
        </w:tc>
        <w:tc>
          <w:tcPr>
            <w:tcW w:w="1701" w:type="dxa"/>
            <w:vAlign w:val="center"/>
          </w:tcPr>
          <w:p w14:paraId="106074D0">
            <w:pPr>
              <w:jc w:val="center"/>
              <w:rPr>
                <w:sz w:val="18"/>
                <w:szCs w:val="18"/>
              </w:rPr>
            </w:pPr>
            <w:r>
              <w:rPr>
                <w:rFonts w:hint="eastAsia"/>
                <w:sz w:val="18"/>
                <w:szCs w:val="18"/>
              </w:rPr>
              <w:t>磨抛材料</w:t>
            </w:r>
          </w:p>
        </w:tc>
        <w:tc>
          <w:tcPr>
            <w:tcW w:w="1442" w:type="dxa"/>
            <w:vAlign w:val="center"/>
          </w:tcPr>
          <w:p w14:paraId="5F6E1BB0">
            <w:pPr>
              <w:jc w:val="center"/>
              <w:rPr>
                <w:sz w:val="18"/>
                <w:szCs w:val="18"/>
              </w:rPr>
            </w:pPr>
            <w:r>
              <w:rPr>
                <w:rFonts w:hint="eastAsia"/>
                <w:sz w:val="18"/>
                <w:szCs w:val="18"/>
              </w:rPr>
              <w:t>磨抛介质</w:t>
            </w:r>
          </w:p>
        </w:tc>
        <w:tc>
          <w:tcPr>
            <w:tcW w:w="1091" w:type="dxa"/>
            <w:vAlign w:val="center"/>
          </w:tcPr>
          <w:p w14:paraId="1E291DC2">
            <w:pPr>
              <w:jc w:val="center"/>
              <w:rPr>
                <w:sz w:val="18"/>
                <w:szCs w:val="18"/>
              </w:rPr>
            </w:pPr>
            <w:r>
              <w:rPr>
                <w:sz w:val="18"/>
                <w:szCs w:val="18"/>
              </w:rPr>
              <w:t>时间</w:t>
            </w:r>
          </w:p>
          <w:p w14:paraId="2A6767C1">
            <w:pPr>
              <w:jc w:val="center"/>
              <w:rPr>
                <w:sz w:val="18"/>
                <w:szCs w:val="18"/>
              </w:rPr>
            </w:pPr>
            <w:r>
              <w:rPr>
                <w:sz w:val="18"/>
                <w:szCs w:val="18"/>
              </w:rPr>
              <w:t>s</w:t>
            </w:r>
          </w:p>
        </w:tc>
        <w:tc>
          <w:tcPr>
            <w:tcW w:w="1063" w:type="dxa"/>
            <w:vAlign w:val="center"/>
          </w:tcPr>
          <w:p w14:paraId="5C042D81">
            <w:pPr>
              <w:jc w:val="center"/>
              <w:rPr>
                <w:sz w:val="18"/>
                <w:szCs w:val="18"/>
                <w:vertAlign w:val="superscript"/>
              </w:rPr>
            </w:pPr>
            <w:r>
              <w:rPr>
                <w:rFonts w:hint="eastAsia"/>
                <w:sz w:val="18"/>
                <w:szCs w:val="18"/>
              </w:rPr>
              <w:t>加载</w:t>
            </w:r>
            <w:r>
              <w:rPr>
                <w:sz w:val="18"/>
                <w:szCs w:val="18"/>
              </w:rPr>
              <w:t>压力</w:t>
            </w:r>
            <w:r>
              <w:rPr>
                <w:sz w:val="18"/>
                <w:szCs w:val="18"/>
                <w:vertAlign w:val="superscript"/>
              </w:rPr>
              <w:t>a</w:t>
            </w:r>
          </w:p>
          <w:p w14:paraId="27529843">
            <w:pPr>
              <w:jc w:val="center"/>
              <w:rPr>
                <w:sz w:val="18"/>
                <w:szCs w:val="18"/>
              </w:rPr>
            </w:pPr>
            <w:r>
              <w:rPr>
                <w:sz w:val="18"/>
                <w:szCs w:val="18"/>
              </w:rPr>
              <w:t>N</w:t>
            </w:r>
          </w:p>
        </w:tc>
        <w:tc>
          <w:tcPr>
            <w:tcW w:w="1091" w:type="dxa"/>
            <w:vAlign w:val="center"/>
          </w:tcPr>
          <w:p w14:paraId="26A8197C">
            <w:pPr>
              <w:jc w:val="center"/>
              <w:rPr>
                <w:sz w:val="18"/>
                <w:szCs w:val="18"/>
              </w:rPr>
            </w:pPr>
            <w:r>
              <w:rPr>
                <w:sz w:val="18"/>
                <w:szCs w:val="18"/>
              </w:rPr>
              <w:t>磨盘转速</w:t>
            </w:r>
            <w:r>
              <w:rPr>
                <w:sz w:val="18"/>
                <w:szCs w:val="18"/>
                <w:vertAlign w:val="superscript"/>
              </w:rPr>
              <w:t>b</w:t>
            </w:r>
          </w:p>
          <w:p w14:paraId="19E6670B">
            <w:pPr>
              <w:jc w:val="center"/>
              <w:rPr>
                <w:sz w:val="18"/>
                <w:szCs w:val="18"/>
              </w:rPr>
            </w:pPr>
            <w:r>
              <w:rPr>
                <w:sz w:val="18"/>
                <w:szCs w:val="18"/>
              </w:rPr>
              <w:t>r/min</w:t>
            </w:r>
          </w:p>
        </w:tc>
        <w:tc>
          <w:tcPr>
            <w:tcW w:w="1260" w:type="dxa"/>
            <w:vAlign w:val="center"/>
          </w:tcPr>
          <w:p w14:paraId="370BBEEE">
            <w:pPr>
              <w:jc w:val="center"/>
              <w:rPr>
                <w:sz w:val="18"/>
                <w:szCs w:val="18"/>
              </w:rPr>
            </w:pPr>
            <w:r>
              <w:rPr>
                <w:sz w:val="18"/>
                <w:szCs w:val="18"/>
              </w:rPr>
              <w:t>磨盘转向</w:t>
            </w:r>
            <w:r>
              <w:rPr>
                <w:sz w:val="18"/>
                <w:szCs w:val="18"/>
                <w:vertAlign w:val="superscript"/>
              </w:rPr>
              <w:t>c</w:t>
            </w:r>
          </w:p>
        </w:tc>
      </w:tr>
      <w:tr w14:paraId="6DF60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10B88F8">
            <w:pPr>
              <w:jc w:val="center"/>
              <w:rPr>
                <w:sz w:val="18"/>
                <w:szCs w:val="18"/>
              </w:rPr>
            </w:pPr>
            <w:r>
              <w:rPr>
                <w:rFonts w:hint="eastAsia"/>
                <w:sz w:val="18"/>
                <w:szCs w:val="18"/>
              </w:rPr>
              <w:t>1</w:t>
            </w:r>
          </w:p>
        </w:tc>
        <w:tc>
          <w:tcPr>
            <w:tcW w:w="992" w:type="dxa"/>
            <w:vMerge w:val="restart"/>
            <w:vAlign w:val="center"/>
          </w:tcPr>
          <w:p w14:paraId="42926AF5">
            <w:pPr>
              <w:jc w:val="center"/>
              <w:rPr>
                <w:sz w:val="18"/>
                <w:szCs w:val="18"/>
              </w:rPr>
            </w:pPr>
            <w:r>
              <w:rPr>
                <w:rFonts w:hint="eastAsia"/>
                <w:sz w:val="18"/>
                <w:szCs w:val="18"/>
              </w:rPr>
              <w:t>粗磨</w:t>
            </w:r>
          </w:p>
        </w:tc>
        <w:tc>
          <w:tcPr>
            <w:tcW w:w="1701" w:type="dxa"/>
            <w:vAlign w:val="center"/>
          </w:tcPr>
          <w:p w14:paraId="061E232E">
            <w:pPr>
              <w:jc w:val="center"/>
              <w:rPr>
                <w:sz w:val="18"/>
                <w:szCs w:val="18"/>
              </w:rPr>
            </w:pPr>
            <w:r>
              <w:rPr>
                <w:rFonts w:hint="eastAsia"/>
                <w:sz w:val="18"/>
                <w:szCs w:val="18"/>
              </w:rPr>
              <w:t>砂纸（5.1）</w:t>
            </w:r>
          </w:p>
        </w:tc>
        <w:tc>
          <w:tcPr>
            <w:tcW w:w="1442" w:type="dxa"/>
            <w:vAlign w:val="center"/>
          </w:tcPr>
          <w:p w14:paraId="4D385DF2">
            <w:pPr>
              <w:jc w:val="center"/>
              <w:rPr>
                <w:sz w:val="18"/>
                <w:szCs w:val="18"/>
              </w:rPr>
            </w:pPr>
            <w:r>
              <w:rPr>
                <w:rFonts w:hint="eastAsia"/>
                <w:sz w:val="18"/>
                <w:szCs w:val="18"/>
              </w:rPr>
              <w:t>润滑剂（5.7）</w:t>
            </w:r>
          </w:p>
        </w:tc>
        <w:tc>
          <w:tcPr>
            <w:tcW w:w="1091" w:type="dxa"/>
            <w:vAlign w:val="center"/>
          </w:tcPr>
          <w:p w14:paraId="0678FCA3">
            <w:pPr>
              <w:jc w:val="center"/>
              <w:rPr>
                <w:sz w:val="18"/>
                <w:szCs w:val="18"/>
              </w:rPr>
            </w:pPr>
            <w:r>
              <w:rPr>
                <w:rFonts w:hint="eastAsia"/>
                <w:sz w:val="18"/>
                <w:szCs w:val="18"/>
              </w:rPr>
              <w:t>30</w:t>
            </w:r>
            <w:r>
              <w:rPr>
                <w:sz w:val="18"/>
                <w:szCs w:val="18"/>
              </w:rPr>
              <w:t>~</w:t>
            </w:r>
            <w:r>
              <w:rPr>
                <w:rFonts w:hint="eastAsia"/>
                <w:sz w:val="18"/>
                <w:szCs w:val="18"/>
              </w:rPr>
              <w:t>12</w:t>
            </w:r>
            <w:r>
              <w:rPr>
                <w:sz w:val="18"/>
                <w:szCs w:val="18"/>
              </w:rPr>
              <w:t>0</w:t>
            </w:r>
          </w:p>
        </w:tc>
        <w:tc>
          <w:tcPr>
            <w:tcW w:w="1063" w:type="dxa"/>
            <w:vAlign w:val="center"/>
          </w:tcPr>
          <w:p w14:paraId="6A80A605">
            <w:pPr>
              <w:jc w:val="center"/>
              <w:rPr>
                <w:sz w:val="18"/>
                <w:szCs w:val="18"/>
              </w:rPr>
            </w:pPr>
            <w:r>
              <w:rPr>
                <w:sz w:val="18"/>
                <w:szCs w:val="18"/>
              </w:rPr>
              <w:t>20~30</w:t>
            </w:r>
          </w:p>
        </w:tc>
        <w:tc>
          <w:tcPr>
            <w:tcW w:w="1091" w:type="dxa"/>
            <w:vAlign w:val="center"/>
          </w:tcPr>
          <w:p w14:paraId="646DFF7B">
            <w:pPr>
              <w:jc w:val="center"/>
              <w:rPr>
                <w:sz w:val="18"/>
                <w:szCs w:val="18"/>
              </w:rPr>
            </w:pPr>
            <w:r>
              <w:rPr>
                <w:sz w:val="18"/>
                <w:szCs w:val="18"/>
              </w:rPr>
              <w:t>200~400</w:t>
            </w:r>
          </w:p>
        </w:tc>
        <w:tc>
          <w:tcPr>
            <w:tcW w:w="1260" w:type="dxa"/>
            <w:vAlign w:val="center"/>
          </w:tcPr>
          <w:p w14:paraId="6AEF0093">
            <w:pPr>
              <w:jc w:val="center"/>
              <w:rPr>
                <w:sz w:val="18"/>
                <w:szCs w:val="18"/>
              </w:rPr>
            </w:pPr>
            <w:r>
              <w:rPr>
                <w:sz w:val="18"/>
                <w:szCs w:val="18"/>
              </w:rPr>
              <w:t>同向</w:t>
            </w:r>
          </w:p>
        </w:tc>
      </w:tr>
      <w:tr w14:paraId="0E8B5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191A270">
            <w:pPr>
              <w:jc w:val="center"/>
              <w:rPr>
                <w:sz w:val="18"/>
                <w:szCs w:val="18"/>
              </w:rPr>
            </w:pPr>
            <w:r>
              <w:rPr>
                <w:rFonts w:hint="eastAsia"/>
                <w:sz w:val="18"/>
                <w:szCs w:val="18"/>
              </w:rPr>
              <w:t>2</w:t>
            </w:r>
          </w:p>
        </w:tc>
        <w:tc>
          <w:tcPr>
            <w:tcW w:w="992" w:type="dxa"/>
            <w:vMerge w:val="continue"/>
            <w:vAlign w:val="center"/>
          </w:tcPr>
          <w:p w14:paraId="1B116E25">
            <w:pPr>
              <w:jc w:val="center"/>
              <w:rPr>
                <w:sz w:val="18"/>
                <w:szCs w:val="18"/>
              </w:rPr>
            </w:pPr>
          </w:p>
        </w:tc>
        <w:tc>
          <w:tcPr>
            <w:tcW w:w="1701" w:type="dxa"/>
            <w:vAlign w:val="center"/>
          </w:tcPr>
          <w:p w14:paraId="06BB318D">
            <w:pPr>
              <w:jc w:val="center"/>
              <w:rPr>
                <w:sz w:val="18"/>
                <w:szCs w:val="18"/>
              </w:rPr>
            </w:pPr>
            <w:r>
              <w:rPr>
                <w:rFonts w:hint="eastAsia"/>
                <w:sz w:val="18"/>
                <w:szCs w:val="18"/>
              </w:rPr>
              <w:t>砂纸（5.2）</w:t>
            </w:r>
          </w:p>
        </w:tc>
        <w:tc>
          <w:tcPr>
            <w:tcW w:w="1442" w:type="dxa"/>
            <w:vAlign w:val="center"/>
          </w:tcPr>
          <w:p w14:paraId="566892DD">
            <w:pPr>
              <w:jc w:val="center"/>
              <w:rPr>
                <w:sz w:val="18"/>
                <w:szCs w:val="18"/>
              </w:rPr>
            </w:pPr>
            <w:r>
              <w:rPr>
                <w:rFonts w:hint="eastAsia"/>
                <w:sz w:val="18"/>
                <w:szCs w:val="18"/>
              </w:rPr>
              <w:t>润滑剂（5.7）</w:t>
            </w:r>
          </w:p>
        </w:tc>
        <w:tc>
          <w:tcPr>
            <w:tcW w:w="1091" w:type="dxa"/>
            <w:vAlign w:val="center"/>
          </w:tcPr>
          <w:p w14:paraId="04D6FB4F">
            <w:pPr>
              <w:jc w:val="center"/>
              <w:rPr>
                <w:sz w:val="18"/>
                <w:szCs w:val="18"/>
              </w:rPr>
            </w:pPr>
            <w:r>
              <w:rPr>
                <w:sz w:val="18"/>
                <w:szCs w:val="18"/>
              </w:rPr>
              <w:t>30~120</w:t>
            </w:r>
          </w:p>
        </w:tc>
        <w:tc>
          <w:tcPr>
            <w:tcW w:w="1063" w:type="dxa"/>
            <w:vAlign w:val="center"/>
          </w:tcPr>
          <w:p w14:paraId="4673C311">
            <w:pPr>
              <w:jc w:val="center"/>
              <w:rPr>
                <w:sz w:val="18"/>
                <w:szCs w:val="18"/>
              </w:rPr>
            </w:pPr>
            <w:r>
              <w:rPr>
                <w:sz w:val="18"/>
                <w:szCs w:val="18"/>
              </w:rPr>
              <w:t>20~30</w:t>
            </w:r>
          </w:p>
        </w:tc>
        <w:tc>
          <w:tcPr>
            <w:tcW w:w="1091" w:type="dxa"/>
            <w:vAlign w:val="center"/>
          </w:tcPr>
          <w:p w14:paraId="620F33F2">
            <w:pPr>
              <w:jc w:val="center"/>
              <w:rPr>
                <w:sz w:val="18"/>
                <w:szCs w:val="18"/>
              </w:rPr>
            </w:pPr>
            <w:r>
              <w:rPr>
                <w:sz w:val="18"/>
                <w:szCs w:val="18"/>
              </w:rPr>
              <w:t>200~400</w:t>
            </w:r>
          </w:p>
        </w:tc>
        <w:tc>
          <w:tcPr>
            <w:tcW w:w="1260" w:type="dxa"/>
            <w:vAlign w:val="center"/>
          </w:tcPr>
          <w:p w14:paraId="7C48C3C5">
            <w:pPr>
              <w:jc w:val="center"/>
              <w:rPr>
                <w:sz w:val="18"/>
                <w:szCs w:val="18"/>
              </w:rPr>
            </w:pPr>
            <w:r>
              <w:rPr>
                <w:sz w:val="18"/>
                <w:szCs w:val="18"/>
              </w:rPr>
              <w:t>同向</w:t>
            </w:r>
          </w:p>
        </w:tc>
      </w:tr>
      <w:tr w14:paraId="79740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35EA426">
            <w:pPr>
              <w:jc w:val="center"/>
              <w:rPr>
                <w:sz w:val="18"/>
                <w:szCs w:val="18"/>
              </w:rPr>
            </w:pPr>
            <w:r>
              <w:rPr>
                <w:rFonts w:hint="eastAsia"/>
                <w:sz w:val="18"/>
                <w:szCs w:val="18"/>
              </w:rPr>
              <w:t>3</w:t>
            </w:r>
          </w:p>
        </w:tc>
        <w:tc>
          <w:tcPr>
            <w:tcW w:w="992" w:type="dxa"/>
            <w:vMerge w:val="continue"/>
            <w:vAlign w:val="center"/>
          </w:tcPr>
          <w:p w14:paraId="30CBEF51">
            <w:pPr>
              <w:jc w:val="center"/>
              <w:rPr>
                <w:sz w:val="18"/>
                <w:szCs w:val="18"/>
              </w:rPr>
            </w:pPr>
          </w:p>
        </w:tc>
        <w:tc>
          <w:tcPr>
            <w:tcW w:w="1701" w:type="dxa"/>
            <w:vAlign w:val="center"/>
          </w:tcPr>
          <w:p w14:paraId="1AA8C208">
            <w:pPr>
              <w:jc w:val="center"/>
              <w:rPr>
                <w:sz w:val="18"/>
                <w:szCs w:val="18"/>
              </w:rPr>
            </w:pPr>
            <w:r>
              <w:rPr>
                <w:rFonts w:hint="eastAsia"/>
                <w:sz w:val="18"/>
                <w:szCs w:val="18"/>
              </w:rPr>
              <w:t>砂纸（5.3）</w:t>
            </w:r>
          </w:p>
        </w:tc>
        <w:tc>
          <w:tcPr>
            <w:tcW w:w="1442" w:type="dxa"/>
            <w:vAlign w:val="center"/>
          </w:tcPr>
          <w:p w14:paraId="57286AF2">
            <w:pPr>
              <w:jc w:val="center"/>
              <w:rPr>
                <w:sz w:val="18"/>
                <w:szCs w:val="18"/>
              </w:rPr>
            </w:pPr>
            <w:r>
              <w:rPr>
                <w:rFonts w:hint="eastAsia"/>
                <w:sz w:val="18"/>
                <w:szCs w:val="18"/>
              </w:rPr>
              <w:t>润滑剂（5.7）</w:t>
            </w:r>
          </w:p>
        </w:tc>
        <w:tc>
          <w:tcPr>
            <w:tcW w:w="1091" w:type="dxa"/>
            <w:vAlign w:val="center"/>
          </w:tcPr>
          <w:p w14:paraId="449BAF0A">
            <w:pPr>
              <w:jc w:val="center"/>
              <w:rPr>
                <w:sz w:val="18"/>
                <w:szCs w:val="18"/>
              </w:rPr>
            </w:pPr>
            <w:r>
              <w:rPr>
                <w:sz w:val="18"/>
                <w:szCs w:val="18"/>
              </w:rPr>
              <w:t>30~120</w:t>
            </w:r>
          </w:p>
        </w:tc>
        <w:tc>
          <w:tcPr>
            <w:tcW w:w="1063" w:type="dxa"/>
            <w:vAlign w:val="center"/>
          </w:tcPr>
          <w:p w14:paraId="2396E668">
            <w:pPr>
              <w:jc w:val="center"/>
              <w:rPr>
                <w:sz w:val="18"/>
                <w:szCs w:val="18"/>
              </w:rPr>
            </w:pPr>
            <w:r>
              <w:rPr>
                <w:sz w:val="18"/>
                <w:szCs w:val="18"/>
              </w:rPr>
              <w:t>10~20</w:t>
            </w:r>
          </w:p>
        </w:tc>
        <w:tc>
          <w:tcPr>
            <w:tcW w:w="1091" w:type="dxa"/>
            <w:vAlign w:val="center"/>
          </w:tcPr>
          <w:p w14:paraId="6F11DA1A">
            <w:pPr>
              <w:jc w:val="center"/>
              <w:rPr>
                <w:sz w:val="18"/>
                <w:szCs w:val="18"/>
              </w:rPr>
            </w:pPr>
            <w:r>
              <w:rPr>
                <w:sz w:val="18"/>
                <w:szCs w:val="18"/>
              </w:rPr>
              <w:t>200~400</w:t>
            </w:r>
          </w:p>
        </w:tc>
        <w:tc>
          <w:tcPr>
            <w:tcW w:w="1260" w:type="dxa"/>
            <w:vAlign w:val="center"/>
          </w:tcPr>
          <w:p w14:paraId="1AE90BBD">
            <w:pPr>
              <w:jc w:val="center"/>
              <w:rPr>
                <w:sz w:val="18"/>
                <w:szCs w:val="18"/>
              </w:rPr>
            </w:pPr>
            <w:r>
              <w:rPr>
                <w:sz w:val="18"/>
                <w:szCs w:val="18"/>
              </w:rPr>
              <w:t>同向</w:t>
            </w:r>
          </w:p>
        </w:tc>
      </w:tr>
      <w:tr w14:paraId="14906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726BE797">
            <w:pPr>
              <w:jc w:val="center"/>
              <w:rPr>
                <w:sz w:val="18"/>
                <w:szCs w:val="18"/>
              </w:rPr>
            </w:pPr>
            <w:r>
              <w:rPr>
                <w:rFonts w:hint="eastAsia"/>
                <w:sz w:val="18"/>
                <w:szCs w:val="18"/>
              </w:rPr>
              <w:t>4</w:t>
            </w:r>
          </w:p>
        </w:tc>
        <w:tc>
          <w:tcPr>
            <w:tcW w:w="992" w:type="dxa"/>
            <w:vMerge w:val="restart"/>
            <w:vAlign w:val="center"/>
          </w:tcPr>
          <w:p w14:paraId="30A091C1">
            <w:pPr>
              <w:jc w:val="center"/>
              <w:rPr>
                <w:sz w:val="18"/>
                <w:szCs w:val="18"/>
              </w:rPr>
            </w:pPr>
            <w:r>
              <w:rPr>
                <w:rFonts w:hint="eastAsia"/>
                <w:sz w:val="18"/>
                <w:szCs w:val="18"/>
              </w:rPr>
              <w:t>细磨</w:t>
            </w:r>
          </w:p>
        </w:tc>
        <w:tc>
          <w:tcPr>
            <w:tcW w:w="1701" w:type="dxa"/>
            <w:vAlign w:val="center"/>
          </w:tcPr>
          <w:p w14:paraId="1B04635F">
            <w:pPr>
              <w:jc w:val="center"/>
              <w:rPr>
                <w:sz w:val="18"/>
                <w:szCs w:val="18"/>
              </w:rPr>
            </w:pPr>
            <w:r>
              <w:rPr>
                <w:rFonts w:hint="eastAsia"/>
                <w:sz w:val="18"/>
                <w:szCs w:val="18"/>
              </w:rPr>
              <w:t>砂纸（5.4）</w:t>
            </w:r>
          </w:p>
        </w:tc>
        <w:tc>
          <w:tcPr>
            <w:tcW w:w="1442" w:type="dxa"/>
            <w:vAlign w:val="center"/>
          </w:tcPr>
          <w:p w14:paraId="1264E737">
            <w:pPr>
              <w:jc w:val="center"/>
              <w:rPr>
                <w:sz w:val="18"/>
                <w:szCs w:val="18"/>
              </w:rPr>
            </w:pPr>
            <w:r>
              <w:rPr>
                <w:rFonts w:hint="eastAsia"/>
                <w:sz w:val="18"/>
                <w:szCs w:val="18"/>
              </w:rPr>
              <w:t>润滑剂（5.7）</w:t>
            </w:r>
          </w:p>
        </w:tc>
        <w:tc>
          <w:tcPr>
            <w:tcW w:w="1091" w:type="dxa"/>
            <w:vAlign w:val="center"/>
          </w:tcPr>
          <w:p w14:paraId="4406E932">
            <w:pPr>
              <w:jc w:val="center"/>
              <w:rPr>
                <w:sz w:val="18"/>
                <w:szCs w:val="18"/>
              </w:rPr>
            </w:pPr>
            <w:r>
              <w:rPr>
                <w:sz w:val="18"/>
                <w:szCs w:val="18"/>
              </w:rPr>
              <w:t>30~120</w:t>
            </w:r>
          </w:p>
        </w:tc>
        <w:tc>
          <w:tcPr>
            <w:tcW w:w="1063" w:type="dxa"/>
            <w:vAlign w:val="center"/>
          </w:tcPr>
          <w:p w14:paraId="582CF030">
            <w:pPr>
              <w:jc w:val="center"/>
              <w:rPr>
                <w:sz w:val="18"/>
                <w:szCs w:val="18"/>
              </w:rPr>
            </w:pPr>
            <w:r>
              <w:rPr>
                <w:sz w:val="18"/>
                <w:szCs w:val="18"/>
              </w:rPr>
              <w:t>10~20</w:t>
            </w:r>
          </w:p>
        </w:tc>
        <w:tc>
          <w:tcPr>
            <w:tcW w:w="1091" w:type="dxa"/>
            <w:vAlign w:val="center"/>
          </w:tcPr>
          <w:p w14:paraId="4F075726">
            <w:pPr>
              <w:jc w:val="center"/>
              <w:rPr>
                <w:sz w:val="18"/>
                <w:szCs w:val="18"/>
              </w:rPr>
            </w:pPr>
            <w:r>
              <w:rPr>
                <w:sz w:val="18"/>
                <w:szCs w:val="18"/>
              </w:rPr>
              <w:t>200~400</w:t>
            </w:r>
          </w:p>
        </w:tc>
        <w:tc>
          <w:tcPr>
            <w:tcW w:w="1260" w:type="dxa"/>
            <w:vAlign w:val="center"/>
          </w:tcPr>
          <w:p w14:paraId="67A7345A">
            <w:pPr>
              <w:jc w:val="center"/>
              <w:rPr>
                <w:sz w:val="18"/>
                <w:szCs w:val="18"/>
              </w:rPr>
            </w:pPr>
            <w:r>
              <w:rPr>
                <w:sz w:val="18"/>
                <w:szCs w:val="18"/>
              </w:rPr>
              <w:t>同向</w:t>
            </w:r>
          </w:p>
        </w:tc>
      </w:tr>
      <w:tr w14:paraId="4A7BF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20A676C">
            <w:pPr>
              <w:jc w:val="center"/>
              <w:rPr>
                <w:sz w:val="18"/>
                <w:szCs w:val="18"/>
              </w:rPr>
            </w:pPr>
            <w:r>
              <w:rPr>
                <w:rFonts w:hint="eastAsia"/>
                <w:sz w:val="18"/>
                <w:szCs w:val="18"/>
              </w:rPr>
              <w:t>5</w:t>
            </w:r>
          </w:p>
        </w:tc>
        <w:tc>
          <w:tcPr>
            <w:tcW w:w="992" w:type="dxa"/>
            <w:vMerge w:val="continue"/>
            <w:vAlign w:val="center"/>
          </w:tcPr>
          <w:p w14:paraId="642E39ED">
            <w:pPr>
              <w:jc w:val="center"/>
              <w:rPr>
                <w:sz w:val="18"/>
                <w:szCs w:val="18"/>
              </w:rPr>
            </w:pPr>
          </w:p>
        </w:tc>
        <w:tc>
          <w:tcPr>
            <w:tcW w:w="1701" w:type="dxa"/>
            <w:vAlign w:val="center"/>
          </w:tcPr>
          <w:p w14:paraId="5C7132EF">
            <w:pPr>
              <w:jc w:val="center"/>
              <w:rPr>
                <w:sz w:val="18"/>
                <w:szCs w:val="18"/>
              </w:rPr>
            </w:pPr>
            <w:r>
              <w:rPr>
                <w:rFonts w:hint="eastAsia"/>
                <w:sz w:val="18"/>
                <w:szCs w:val="18"/>
              </w:rPr>
              <w:t>砂纸（5.5）</w:t>
            </w:r>
          </w:p>
        </w:tc>
        <w:tc>
          <w:tcPr>
            <w:tcW w:w="1442" w:type="dxa"/>
            <w:vAlign w:val="center"/>
          </w:tcPr>
          <w:p w14:paraId="7DBBD2A3">
            <w:pPr>
              <w:jc w:val="center"/>
              <w:rPr>
                <w:sz w:val="18"/>
                <w:szCs w:val="18"/>
              </w:rPr>
            </w:pPr>
            <w:r>
              <w:rPr>
                <w:rFonts w:hint="eastAsia"/>
                <w:sz w:val="18"/>
                <w:szCs w:val="18"/>
              </w:rPr>
              <w:t>润滑剂（5.7）</w:t>
            </w:r>
          </w:p>
        </w:tc>
        <w:tc>
          <w:tcPr>
            <w:tcW w:w="1091" w:type="dxa"/>
            <w:vAlign w:val="center"/>
          </w:tcPr>
          <w:p w14:paraId="298CB2EC">
            <w:pPr>
              <w:jc w:val="center"/>
              <w:rPr>
                <w:sz w:val="18"/>
                <w:szCs w:val="18"/>
              </w:rPr>
            </w:pPr>
            <w:r>
              <w:rPr>
                <w:sz w:val="18"/>
                <w:szCs w:val="18"/>
              </w:rPr>
              <w:t>60~180</w:t>
            </w:r>
          </w:p>
        </w:tc>
        <w:tc>
          <w:tcPr>
            <w:tcW w:w="1063" w:type="dxa"/>
            <w:vAlign w:val="center"/>
          </w:tcPr>
          <w:p w14:paraId="15B8DD61">
            <w:pPr>
              <w:jc w:val="center"/>
              <w:rPr>
                <w:sz w:val="18"/>
                <w:szCs w:val="18"/>
              </w:rPr>
            </w:pPr>
            <w:r>
              <w:rPr>
                <w:sz w:val="18"/>
                <w:szCs w:val="18"/>
              </w:rPr>
              <w:t>10~20</w:t>
            </w:r>
          </w:p>
        </w:tc>
        <w:tc>
          <w:tcPr>
            <w:tcW w:w="1091" w:type="dxa"/>
            <w:vAlign w:val="center"/>
          </w:tcPr>
          <w:p w14:paraId="70119D50">
            <w:pPr>
              <w:jc w:val="center"/>
              <w:rPr>
                <w:sz w:val="18"/>
                <w:szCs w:val="18"/>
              </w:rPr>
            </w:pPr>
            <w:r>
              <w:rPr>
                <w:sz w:val="18"/>
                <w:szCs w:val="18"/>
              </w:rPr>
              <w:t>200~400</w:t>
            </w:r>
          </w:p>
        </w:tc>
        <w:tc>
          <w:tcPr>
            <w:tcW w:w="1260" w:type="dxa"/>
            <w:vAlign w:val="center"/>
          </w:tcPr>
          <w:p w14:paraId="6ECD066A">
            <w:pPr>
              <w:jc w:val="center"/>
              <w:rPr>
                <w:sz w:val="18"/>
                <w:szCs w:val="18"/>
              </w:rPr>
            </w:pPr>
            <w:r>
              <w:rPr>
                <w:sz w:val="18"/>
                <w:szCs w:val="18"/>
              </w:rPr>
              <w:t>同向</w:t>
            </w:r>
          </w:p>
        </w:tc>
      </w:tr>
      <w:tr w14:paraId="13130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704" w:type="dxa"/>
            <w:vAlign w:val="center"/>
          </w:tcPr>
          <w:p w14:paraId="0FBA5FFF">
            <w:pPr>
              <w:jc w:val="center"/>
              <w:rPr>
                <w:sz w:val="18"/>
                <w:szCs w:val="18"/>
              </w:rPr>
            </w:pPr>
            <w:r>
              <w:rPr>
                <w:rFonts w:hint="eastAsia"/>
                <w:sz w:val="18"/>
                <w:szCs w:val="18"/>
              </w:rPr>
              <w:t>6</w:t>
            </w:r>
          </w:p>
        </w:tc>
        <w:tc>
          <w:tcPr>
            <w:tcW w:w="992" w:type="dxa"/>
            <w:vMerge w:val="continue"/>
            <w:vAlign w:val="center"/>
          </w:tcPr>
          <w:p w14:paraId="7C016517">
            <w:pPr>
              <w:jc w:val="center"/>
              <w:rPr>
                <w:sz w:val="18"/>
                <w:szCs w:val="18"/>
              </w:rPr>
            </w:pPr>
          </w:p>
        </w:tc>
        <w:tc>
          <w:tcPr>
            <w:tcW w:w="1701" w:type="dxa"/>
            <w:vAlign w:val="center"/>
          </w:tcPr>
          <w:p w14:paraId="5C90310B">
            <w:pPr>
              <w:jc w:val="center"/>
              <w:rPr>
                <w:sz w:val="18"/>
                <w:szCs w:val="18"/>
              </w:rPr>
            </w:pPr>
            <w:r>
              <w:rPr>
                <w:rFonts w:hint="eastAsia"/>
                <w:sz w:val="18"/>
                <w:szCs w:val="18"/>
              </w:rPr>
              <w:t>砂纸（5.6）</w:t>
            </w:r>
          </w:p>
        </w:tc>
        <w:tc>
          <w:tcPr>
            <w:tcW w:w="1442" w:type="dxa"/>
            <w:vAlign w:val="center"/>
          </w:tcPr>
          <w:p w14:paraId="22B65F6B">
            <w:pPr>
              <w:jc w:val="center"/>
              <w:rPr>
                <w:sz w:val="18"/>
                <w:szCs w:val="18"/>
              </w:rPr>
            </w:pPr>
            <w:r>
              <w:rPr>
                <w:rFonts w:hint="eastAsia"/>
                <w:sz w:val="18"/>
                <w:szCs w:val="18"/>
              </w:rPr>
              <w:t>润滑剂（5.7）</w:t>
            </w:r>
          </w:p>
        </w:tc>
        <w:tc>
          <w:tcPr>
            <w:tcW w:w="1091" w:type="dxa"/>
            <w:vAlign w:val="center"/>
          </w:tcPr>
          <w:p w14:paraId="49775F57">
            <w:pPr>
              <w:jc w:val="center"/>
              <w:rPr>
                <w:sz w:val="18"/>
                <w:szCs w:val="18"/>
              </w:rPr>
            </w:pPr>
            <w:r>
              <w:rPr>
                <w:sz w:val="18"/>
                <w:szCs w:val="18"/>
              </w:rPr>
              <w:t>60~180</w:t>
            </w:r>
          </w:p>
        </w:tc>
        <w:tc>
          <w:tcPr>
            <w:tcW w:w="1063" w:type="dxa"/>
            <w:vAlign w:val="center"/>
          </w:tcPr>
          <w:p w14:paraId="039173C9">
            <w:pPr>
              <w:jc w:val="center"/>
              <w:rPr>
                <w:sz w:val="18"/>
                <w:szCs w:val="18"/>
              </w:rPr>
            </w:pPr>
            <w:r>
              <w:rPr>
                <w:sz w:val="18"/>
                <w:szCs w:val="18"/>
              </w:rPr>
              <w:t>10~20</w:t>
            </w:r>
          </w:p>
        </w:tc>
        <w:tc>
          <w:tcPr>
            <w:tcW w:w="1091" w:type="dxa"/>
            <w:vAlign w:val="center"/>
          </w:tcPr>
          <w:p w14:paraId="7E139E10">
            <w:pPr>
              <w:jc w:val="center"/>
              <w:rPr>
                <w:sz w:val="18"/>
                <w:szCs w:val="18"/>
              </w:rPr>
            </w:pPr>
            <w:r>
              <w:rPr>
                <w:sz w:val="18"/>
                <w:szCs w:val="18"/>
              </w:rPr>
              <w:t>200~400</w:t>
            </w:r>
          </w:p>
        </w:tc>
        <w:tc>
          <w:tcPr>
            <w:tcW w:w="1260" w:type="dxa"/>
            <w:vAlign w:val="center"/>
          </w:tcPr>
          <w:p w14:paraId="51A3C6EB">
            <w:pPr>
              <w:jc w:val="center"/>
              <w:rPr>
                <w:sz w:val="18"/>
                <w:szCs w:val="18"/>
              </w:rPr>
            </w:pPr>
            <w:r>
              <w:rPr>
                <w:sz w:val="18"/>
                <w:szCs w:val="18"/>
              </w:rPr>
              <w:t>同向</w:t>
            </w:r>
          </w:p>
        </w:tc>
      </w:tr>
      <w:tr w14:paraId="7A585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D596F52">
            <w:pPr>
              <w:jc w:val="center"/>
              <w:rPr>
                <w:sz w:val="18"/>
                <w:szCs w:val="18"/>
              </w:rPr>
            </w:pPr>
            <w:r>
              <w:rPr>
                <w:rFonts w:hint="eastAsia"/>
                <w:sz w:val="18"/>
                <w:szCs w:val="18"/>
              </w:rPr>
              <w:t>7</w:t>
            </w:r>
          </w:p>
        </w:tc>
        <w:tc>
          <w:tcPr>
            <w:tcW w:w="992" w:type="dxa"/>
            <w:vAlign w:val="center"/>
          </w:tcPr>
          <w:p w14:paraId="4B1073C8">
            <w:pPr>
              <w:jc w:val="center"/>
              <w:rPr>
                <w:sz w:val="18"/>
                <w:szCs w:val="18"/>
              </w:rPr>
            </w:pPr>
            <w:r>
              <w:rPr>
                <w:sz w:val="18"/>
                <w:szCs w:val="18"/>
              </w:rPr>
              <w:t>粗抛</w:t>
            </w:r>
          </w:p>
        </w:tc>
        <w:tc>
          <w:tcPr>
            <w:tcW w:w="1701" w:type="dxa"/>
            <w:vAlign w:val="center"/>
          </w:tcPr>
          <w:p w14:paraId="51369513">
            <w:pPr>
              <w:jc w:val="center"/>
              <w:rPr>
                <w:sz w:val="18"/>
                <w:szCs w:val="18"/>
              </w:rPr>
            </w:pPr>
            <w:r>
              <w:rPr>
                <w:rFonts w:hint="eastAsia"/>
                <w:sz w:val="18"/>
                <w:szCs w:val="18"/>
              </w:rPr>
              <w:t>编织布</w:t>
            </w:r>
          </w:p>
        </w:tc>
        <w:tc>
          <w:tcPr>
            <w:tcW w:w="1442" w:type="dxa"/>
            <w:vAlign w:val="center"/>
          </w:tcPr>
          <w:p w14:paraId="3601D671">
            <w:pPr>
              <w:jc w:val="center"/>
              <w:rPr>
                <w:sz w:val="18"/>
                <w:szCs w:val="18"/>
              </w:rPr>
            </w:pPr>
            <w:r>
              <w:rPr>
                <w:rFonts w:hint="eastAsia"/>
                <w:sz w:val="18"/>
                <w:szCs w:val="18"/>
              </w:rPr>
              <w:t>抛光剂（5.8）</w:t>
            </w:r>
          </w:p>
        </w:tc>
        <w:tc>
          <w:tcPr>
            <w:tcW w:w="1091" w:type="dxa"/>
            <w:vAlign w:val="center"/>
          </w:tcPr>
          <w:p w14:paraId="7F8C6D09">
            <w:pPr>
              <w:jc w:val="center"/>
              <w:rPr>
                <w:sz w:val="18"/>
                <w:szCs w:val="18"/>
              </w:rPr>
            </w:pPr>
            <w:r>
              <w:rPr>
                <w:sz w:val="18"/>
                <w:szCs w:val="18"/>
              </w:rPr>
              <w:t>180~300</w:t>
            </w:r>
          </w:p>
        </w:tc>
        <w:tc>
          <w:tcPr>
            <w:tcW w:w="1063" w:type="dxa"/>
            <w:vAlign w:val="center"/>
          </w:tcPr>
          <w:p w14:paraId="493FF71E">
            <w:pPr>
              <w:jc w:val="center"/>
              <w:rPr>
                <w:sz w:val="18"/>
                <w:szCs w:val="18"/>
              </w:rPr>
            </w:pPr>
            <w:r>
              <w:rPr>
                <w:sz w:val="18"/>
                <w:szCs w:val="18"/>
              </w:rPr>
              <w:t>10~20</w:t>
            </w:r>
          </w:p>
        </w:tc>
        <w:tc>
          <w:tcPr>
            <w:tcW w:w="1091" w:type="dxa"/>
            <w:vAlign w:val="center"/>
          </w:tcPr>
          <w:p w14:paraId="35F815B0">
            <w:pPr>
              <w:jc w:val="center"/>
              <w:rPr>
                <w:sz w:val="18"/>
                <w:szCs w:val="18"/>
              </w:rPr>
            </w:pPr>
            <w:r>
              <w:rPr>
                <w:sz w:val="18"/>
                <w:szCs w:val="18"/>
              </w:rPr>
              <w:t>100~150</w:t>
            </w:r>
          </w:p>
        </w:tc>
        <w:tc>
          <w:tcPr>
            <w:tcW w:w="1260" w:type="dxa"/>
            <w:vAlign w:val="center"/>
          </w:tcPr>
          <w:p w14:paraId="0964C7F9">
            <w:pPr>
              <w:jc w:val="center"/>
              <w:rPr>
                <w:sz w:val="18"/>
                <w:szCs w:val="18"/>
              </w:rPr>
            </w:pPr>
            <w:r>
              <w:rPr>
                <w:sz w:val="18"/>
                <w:szCs w:val="18"/>
              </w:rPr>
              <w:t>同向</w:t>
            </w:r>
          </w:p>
        </w:tc>
      </w:tr>
      <w:tr w14:paraId="40A0C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9F86B91">
            <w:pPr>
              <w:jc w:val="center"/>
              <w:rPr>
                <w:sz w:val="18"/>
                <w:szCs w:val="18"/>
              </w:rPr>
            </w:pPr>
            <w:r>
              <w:rPr>
                <w:rFonts w:hint="eastAsia"/>
                <w:sz w:val="18"/>
                <w:szCs w:val="18"/>
              </w:rPr>
              <w:t>8</w:t>
            </w:r>
          </w:p>
        </w:tc>
        <w:tc>
          <w:tcPr>
            <w:tcW w:w="992" w:type="dxa"/>
            <w:vAlign w:val="center"/>
          </w:tcPr>
          <w:p w14:paraId="3A4356BE">
            <w:pPr>
              <w:jc w:val="center"/>
              <w:rPr>
                <w:sz w:val="18"/>
                <w:szCs w:val="18"/>
              </w:rPr>
            </w:pPr>
            <w:r>
              <w:rPr>
                <w:sz w:val="18"/>
                <w:szCs w:val="18"/>
              </w:rPr>
              <w:t>细抛</w:t>
            </w:r>
          </w:p>
        </w:tc>
        <w:tc>
          <w:tcPr>
            <w:tcW w:w="1701" w:type="dxa"/>
            <w:vAlign w:val="center"/>
          </w:tcPr>
          <w:p w14:paraId="44639249">
            <w:pPr>
              <w:jc w:val="center"/>
              <w:rPr>
                <w:sz w:val="18"/>
                <w:szCs w:val="18"/>
              </w:rPr>
            </w:pPr>
            <w:r>
              <w:rPr>
                <w:rFonts w:hint="eastAsia"/>
                <w:sz w:val="18"/>
                <w:szCs w:val="18"/>
              </w:rPr>
              <w:t>丝绒布</w:t>
            </w:r>
          </w:p>
        </w:tc>
        <w:tc>
          <w:tcPr>
            <w:tcW w:w="1442" w:type="dxa"/>
            <w:vAlign w:val="center"/>
          </w:tcPr>
          <w:p w14:paraId="3AEFDD80">
            <w:pPr>
              <w:jc w:val="center"/>
              <w:rPr>
                <w:sz w:val="18"/>
                <w:szCs w:val="18"/>
              </w:rPr>
            </w:pPr>
            <w:r>
              <w:rPr>
                <w:rFonts w:hint="eastAsia"/>
                <w:sz w:val="18"/>
                <w:szCs w:val="18"/>
              </w:rPr>
              <w:t>抛光剂（5.9）</w:t>
            </w:r>
          </w:p>
        </w:tc>
        <w:tc>
          <w:tcPr>
            <w:tcW w:w="1091" w:type="dxa"/>
            <w:vAlign w:val="center"/>
          </w:tcPr>
          <w:p w14:paraId="1F114F51">
            <w:pPr>
              <w:jc w:val="center"/>
              <w:rPr>
                <w:sz w:val="18"/>
                <w:szCs w:val="18"/>
              </w:rPr>
            </w:pPr>
            <w:r>
              <w:rPr>
                <w:sz w:val="18"/>
                <w:szCs w:val="18"/>
              </w:rPr>
              <w:t>120~300</w:t>
            </w:r>
          </w:p>
        </w:tc>
        <w:tc>
          <w:tcPr>
            <w:tcW w:w="1063" w:type="dxa"/>
            <w:vAlign w:val="center"/>
          </w:tcPr>
          <w:p w14:paraId="761CABC4">
            <w:pPr>
              <w:jc w:val="center"/>
              <w:rPr>
                <w:sz w:val="18"/>
                <w:szCs w:val="18"/>
              </w:rPr>
            </w:pPr>
            <w:r>
              <w:rPr>
                <w:sz w:val="18"/>
                <w:szCs w:val="18"/>
              </w:rPr>
              <w:t>5~15</w:t>
            </w:r>
          </w:p>
        </w:tc>
        <w:tc>
          <w:tcPr>
            <w:tcW w:w="1091" w:type="dxa"/>
            <w:vAlign w:val="center"/>
          </w:tcPr>
          <w:p w14:paraId="44F67A22">
            <w:pPr>
              <w:jc w:val="center"/>
              <w:rPr>
                <w:sz w:val="18"/>
                <w:szCs w:val="18"/>
              </w:rPr>
            </w:pPr>
            <w:r>
              <w:rPr>
                <w:sz w:val="18"/>
                <w:szCs w:val="18"/>
              </w:rPr>
              <w:t>100~150</w:t>
            </w:r>
          </w:p>
        </w:tc>
        <w:tc>
          <w:tcPr>
            <w:tcW w:w="1260" w:type="dxa"/>
            <w:vAlign w:val="center"/>
          </w:tcPr>
          <w:p w14:paraId="3EB854FA">
            <w:pPr>
              <w:jc w:val="center"/>
              <w:rPr>
                <w:sz w:val="18"/>
                <w:szCs w:val="18"/>
              </w:rPr>
            </w:pPr>
            <w:r>
              <w:rPr>
                <w:sz w:val="18"/>
                <w:szCs w:val="18"/>
              </w:rPr>
              <w:t>同向</w:t>
            </w:r>
          </w:p>
        </w:tc>
      </w:tr>
      <w:tr w14:paraId="5D3C3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7205EBDA">
            <w:pPr>
              <w:jc w:val="center"/>
              <w:rPr>
                <w:sz w:val="18"/>
                <w:szCs w:val="18"/>
              </w:rPr>
            </w:pPr>
            <w:r>
              <w:rPr>
                <w:rFonts w:hint="eastAsia"/>
                <w:sz w:val="18"/>
                <w:szCs w:val="18"/>
              </w:rPr>
              <w:t>9</w:t>
            </w:r>
          </w:p>
        </w:tc>
        <w:tc>
          <w:tcPr>
            <w:tcW w:w="992" w:type="dxa"/>
            <w:vAlign w:val="center"/>
          </w:tcPr>
          <w:p w14:paraId="683605FA">
            <w:pPr>
              <w:jc w:val="center"/>
              <w:rPr>
                <w:sz w:val="18"/>
                <w:szCs w:val="18"/>
              </w:rPr>
            </w:pPr>
            <w:r>
              <w:rPr>
                <w:sz w:val="18"/>
                <w:szCs w:val="18"/>
              </w:rPr>
              <w:t>精抛</w:t>
            </w:r>
          </w:p>
        </w:tc>
        <w:tc>
          <w:tcPr>
            <w:tcW w:w="1701" w:type="dxa"/>
            <w:vAlign w:val="center"/>
          </w:tcPr>
          <w:p w14:paraId="7B90245A">
            <w:pPr>
              <w:jc w:val="center"/>
              <w:rPr>
                <w:sz w:val="18"/>
                <w:szCs w:val="18"/>
              </w:rPr>
            </w:pPr>
            <w:r>
              <w:rPr>
                <w:rFonts w:hint="eastAsia"/>
                <w:sz w:val="18"/>
                <w:szCs w:val="18"/>
              </w:rPr>
              <w:t>橡胶布</w:t>
            </w:r>
          </w:p>
        </w:tc>
        <w:tc>
          <w:tcPr>
            <w:tcW w:w="1442" w:type="dxa"/>
            <w:vAlign w:val="center"/>
          </w:tcPr>
          <w:p w14:paraId="63CF9D69">
            <w:pPr>
              <w:jc w:val="center"/>
              <w:rPr>
                <w:sz w:val="18"/>
                <w:szCs w:val="18"/>
              </w:rPr>
            </w:pPr>
            <w:r>
              <w:rPr>
                <w:rFonts w:hint="eastAsia"/>
                <w:sz w:val="18"/>
                <w:szCs w:val="18"/>
              </w:rPr>
              <w:t>抛光剂（5.10）</w:t>
            </w:r>
          </w:p>
        </w:tc>
        <w:tc>
          <w:tcPr>
            <w:tcW w:w="1091" w:type="dxa"/>
            <w:vAlign w:val="center"/>
          </w:tcPr>
          <w:p w14:paraId="2ED6A3C8">
            <w:pPr>
              <w:jc w:val="center"/>
              <w:rPr>
                <w:sz w:val="18"/>
                <w:szCs w:val="18"/>
              </w:rPr>
            </w:pPr>
            <w:r>
              <w:rPr>
                <w:sz w:val="18"/>
                <w:szCs w:val="18"/>
              </w:rPr>
              <w:t>60~120</w:t>
            </w:r>
          </w:p>
        </w:tc>
        <w:tc>
          <w:tcPr>
            <w:tcW w:w="1063" w:type="dxa"/>
            <w:vAlign w:val="center"/>
          </w:tcPr>
          <w:p w14:paraId="7B55F2F0">
            <w:pPr>
              <w:jc w:val="center"/>
              <w:rPr>
                <w:sz w:val="18"/>
                <w:szCs w:val="18"/>
              </w:rPr>
            </w:pPr>
            <w:r>
              <w:rPr>
                <w:sz w:val="18"/>
                <w:szCs w:val="18"/>
              </w:rPr>
              <w:t>5~15</w:t>
            </w:r>
          </w:p>
        </w:tc>
        <w:tc>
          <w:tcPr>
            <w:tcW w:w="1091" w:type="dxa"/>
            <w:vAlign w:val="center"/>
          </w:tcPr>
          <w:p w14:paraId="2B55E5BD">
            <w:pPr>
              <w:jc w:val="center"/>
              <w:rPr>
                <w:sz w:val="18"/>
                <w:szCs w:val="18"/>
              </w:rPr>
            </w:pPr>
            <w:r>
              <w:rPr>
                <w:sz w:val="18"/>
                <w:szCs w:val="18"/>
              </w:rPr>
              <w:t>100~150</w:t>
            </w:r>
          </w:p>
        </w:tc>
        <w:tc>
          <w:tcPr>
            <w:tcW w:w="1260" w:type="dxa"/>
            <w:vAlign w:val="center"/>
          </w:tcPr>
          <w:p w14:paraId="195B4394">
            <w:pPr>
              <w:jc w:val="center"/>
              <w:rPr>
                <w:sz w:val="18"/>
                <w:szCs w:val="18"/>
              </w:rPr>
            </w:pPr>
            <w:r>
              <w:rPr>
                <w:sz w:val="18"/>
                <w:szCs w:val="18"/>
              </w:rPr>
              <w:t>反向</w:t>
            </w:r>
          </w:p>
        </w:tc>
      </w:tr>
      <w:tr w14:paraId="1B2B7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44" w:type="dxa"/>
            <w:gridSpan w:val="8"/>
          </w:tcPr>
          <w:p w14:paraId="515DA8F1">
            <w:pPr>
              <w:rPr>
                <w:sz w:val="18"/>
                <w:szCs w:val="18"/>
              </w:rPr>
            </w:pPr>
            <w:r>
              <w:rPr>
                <w:sz w:val="18"/>
                <w:szCs w:val="18"/>
              </w:rPr>
              <w:t xml:space="preserve">  a 压力指以直径30mm的镶嵌试样为基准，单个试样所承受的压力值。</w:t>
            </w:r>
          </w:p>
          <w:p w14:paraId="11270E87">
            <w:pPr>
              <w:rPr>
                <w:sz w:val="18"/>
                <w:szCs w:val="18"/>
              </w:rPr>
            </w:pPr>
            <w:r>
              <w:rPr>
                <w:sz w:val="18"/>
                <w:szCs w:val="18"/>
              </w:rPr>
              <w:t xml:space="preserve">  b 磨盘转速指底盘的转速，样品盘转速一般为25-150 r/min。</w:t>
            </w:r>
          </w:p>
          <w:p w14:paraId="226516E1">
            <w:pPr>
              <w:rPr>
                <w:sz w:val="18"/>
                <w:szCs w:val="18"/>
              </w:rPr>
            </w:pPr>
            <w:r>
              <w:rPr>
                <w:sz w:val="18"/>
                <w:szCs w:val="18"/>
              </w:rPr>
              <w:t xml:space="preserve">  c 磨盘转向指样品盘和底盘的相对旋转方向。</w:t>
            </w:r>
          </w:p>
        </w:tc>
      </w:tr>
    </w:tbl>
    <w:p w14:paraId="650260F7">
      <w:pPr>
        <w:pStyle w:val="2"/>
        <w:spacing w:before="312" w:after="312"/>
        <w:rPr>
          <w:rFonts w:ascii="Times New Roman"/>
          <w:szCs w:val="21"/>
        </w:rPr>
      </w:pPr>
      <w:bookmarkStart w:id="181" w:name="_Toc227084936"/>
      <w:r>
        <w:rPr>
          <w:rFonts w:hint="eastAsia" w:ascii="Times New Roman"/>
          <w:szCs w:val="21"/>
        </w:rPr>
        <w:t>试样</w:t>
      </w:r>
      <w:r>
        <w:rPr>
          <w:rFonts w:hint="eastAsia" w:ascii="Times New Roman"/>
        </w:rPr>
        <w:t>浸蚀</w:t>
      </w:r>
      <w:bookmarkEnd w:id="181"/>
    </w:p>
    <w:p w14:paraId="7CD659DF">
      <w:pPr>
        <w:pStyle w:val="4"/>
        <w:rPr>
          <w:rFonts w:ascii="Times New Roman"/>
        </w:rPr>
      </w:pPr>
      <w:r>
        <w:rPr>
          <w:rFonts w:hint="eastAsia" w:ascii="Times New Roman"/>
        </w:rPr>
        <w:t>参照表4选择适宜的试样浸蚀剂</w:t>
      </w:r>
    </w:p>
    <w:p w14:paraId="114809D6">
      <w:pPr>
        <w:pStyle w:val="4"/>
        <w:rPr>
          <w:rFonts w:ascii="Times New Roman"/>
        </w:rPr>
      </w:pPr>
      <w:r>
        <w:rPr>
          <w:rFonts w:hint="eastAsia" w:ascii="Times New Roman"/>
        </w:rPr>
        <w:t>选择适宜的浸蚀方法浸蚀试样，应保证显微组织清晰显现，浸蚀方式及时间应根据浸蚀剂的特点和适用范围及材料性质决定组织显示方法。</w:t>
      </w:r>
    </w:p>
    <w:p w14:paraId="274EC55D">
      <w:pPr>
        <w:pStyle w:val="4"/>
        <w:rPr>
          <w:rFonts w:ascii="Times New Roman"/>
        </w:rPr>
      </w:pPr>
      <w:r>
        <w:rPr>
          <w:rFonts w:hint="eastAsia" w:ascii="Times New Roman"/>
        </w:rPr>
        <w:t>试样浸蚀后，应立即用无水乙醇冲洗表面，并迅速吹干。</w:t>
      </w:r>
    </w:p>
    <w:p w14:paraId="13F64E44">
      <w:pPr>
        <w:pStyle w:val="17"/>
        <w:numPr>
          <w:ilvl w:val="1"/>
          <w:numId w:val="20"/>
        </w:numPr>
        <w:spacing w:before="156" w:beforeLines="50" w:after="156" w:afterLines="50"/>
        <w:ind w:firstLineChars="0"/>
        <w:jc w:val="center"/>
        <w:rPr>
          <w:rFonts w:ascii="Times New Roman" w:eastAsia="黑体"/>
          <w:sz w:val="21"/>
          <w:szCs w:val="21"/>
        </w:rPr>
      </w:pPr>
      <w:r>
        <w:rPr>
          <w:rFonts w:hint="eastAsia" w:ascii="Times New Roman" w:eastAsia="黑体"/>
          <w:sz w:val="21"/>
          <w:szCs w:val="21"/>
        </w:rPr>
        <w:t>浸蚀剂</w:t>
      </w:r>
      <w:r>
        <w:rPr>
          <w:rFonts w:ascii="Times New Roman" w:eastAsia="黑体"/>
          <w:sz w:val="21"/>
          <w:szCs w:val="21"/>
        </w:rPr>
        <w:t>及</w:t>
      </w:r>
      <w:r>
        <w:rPr>
          <w:rFonts w:hint="eastAsia" w:ascii="Times New Roman" w:eastAsia="黑体"/>
          <w:sz w:val="21"/>
          <w:szCs w:val="21"/>
        </w:rPr>
        <w:t>适用条件</w:t>
      </w:r>
    </w:p>
    <w:tbl>
      <w:tblPr>
        <w:tblStyle w:val="46"/>
        <w:tblW w:w="92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96"/>
        <w:gridCol w:w="1134"/>
        <w:gridCol w:w="3261"/>
        <w:gridCol w:w="3118"/>
      </w:tblGrid>
      <w:tr w14:paraId="09440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2" w:hRule="atLeast"/>
          <w:jc w:val="center"/>
        </w:trPr>
        <w:tc>
          <w:tcPr>
            <w:tcW w:w="1696" w:type="dxa"/>
            <w:vAlign w:val="center"/>
          </w:tcPr>
          <w:p w14:paraId="6B253322">
            <w:pPr>
              <w:pStyle w:val="4"/>
              <w:spacing w:line="276" w:lineRule="auto"/>
              <w:ind w:firstLine="0" w:firstLineChars="0"/>
              <w:jc w:val="center"/>
              <w:rPr>
                <w:rFonts w:ascii="Times New Roman"/>
                <w:sz w:val="18"/>
                <w:szCs w:val="18"/>
              </w:rPr>
            </w:pPr>
            <w:r>
              <w:rPr>
                <w:rFonts w:hint="eastAsia" w:ascii="Times New Roman"/>
                <w:sz w:val="18"/>
                <w:szCs w:val="18"/>
              </w:rPr>
              <w:t>浸蚀</w:t>
            </w:r>
            <w:r>
              <w:rPr>
                <w:rFonts w:ascii="Times New Roman"/>
                <w:sz w:val="18"/>
                <w:szCs w:val="18"/>
              </w:rPr>
              <w:t>方法</w:t>
            </w:r>
          </w:p>
        </w:tc>
        <w:tc>
          <w:tcPr>
            <w:tcW w:w="1134" w:type="dxa"/>
            <w:vAlign w:val="center"/>
          </w:tcPr>
          <w:p w14:paraId="693FDB70">
            <w:pPr>
              <w:pStyle w:val="4"/>
              <w:spacing w:line="276" w:lineRule="auto"/>
              <w:ind w:firstLine="0" w:firstLineChars="0"/>
              <w:jc w:val="center"/>
              <w:rPr>
                <w:rFonts w:ascii="Times New Roman"/>
                <w:sz w:val="18"/>
                <w:szCs w:val="18"/>
              </w:rPr>
            </w:pPr>
            <w:r>
              <w:rPr>
                <w:rFonts w:ascii="Times New Roman"/>
                <w:sz w:val="18"/>
                <w:szCs w:val="18"/>
              </w:rPr>
              <w:t>时间</w:t>
            </w:r>
          </w:p>
        </w:tc>
        <w:tc>
          <w:tcPr>
            <w:tcW w:w="3261" w:type="dxa"/>
            <w:vAlign w:val="center"/>
          </w:tcPr>
          <w:p w14:paraId="093D4144">
            <w:pPr>
              <w:pStyle w:val="4"/>
              <w:spacing w:line="276" w:lineRule="auto"/>
              <w:ind w:firstLine="0" w:firstLineChars="0"/>
              <w:jc w:val="center"/>
              <w:rPr>
                <w:rFonts w:ascii="Times New Roman"/>
                <w:sz w:val="18"/>
                <w:szCs w:val="18"/>
              </w:rPr>
            </w:pPr>
            <w:r>
              <w:rPr>
                <w:rFonts w:ascii="Times New Roman"/>
                <w:sz w:val="18"/>
                <w:szCs w:val="18"/>
              </w:rPr>
              <w:t>适用条件</w:t>
            </w:r>
          </w:p>
        </w:tc>
        <w:tc>
          <w:tcPr>
            <w:tcW w:w="3118" w:type="dxa"/>
            <w:vAlign w:val="center"/>
          </w:tcPr>
          <w:p w14:paraId="04B719A5">
            <w:pPr>
              <w:pStyle w:val="4"/>
              <w:spacing w:line="276" w:lineRule="auto"/>
              <w:ind w:firstLine="0" w:firstLineChars="0"/>
              <w:jc w:val="center"/>
              <w:rPr>
                <w:rFonts w:ascii="Times New Roman"/>
                <w:sz w:val="18"/>
                <w:szCs w:val="18"/>
              </w:rPr>
            </w:pPr>
            <w:r>
              <w:rPr>
                <w:rFonts w:ascii="Times New Roman"/>
                <w:sz w:val="18"/>
                <w:szCs w:val="18"/>
              </w:rPr>
              <w:t>操作</w:t>
            </w:r>
            <w:r>
              <w:rPr>
                <w:rFonts w:hint="eastAsia" w:ascii="Times New Roman"/>
                <w:sz w:val="18"/>
                <w:szCs w:val="18"/>
              </w:rPr>
              <w:t>要求</w:t>
            </w:r>
          </w:p>
        </w:tc>
      </w:tr>
      <w:tr w14:paraId="76DFA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2" w:hRule="atLeast"/>
          <w:jc w:val="center"/>
        </w:trPr>
        <w:tc>
          <w:tcPr>
            <w:tcW w:w="1696" w:type="dxa"/>
            <w:vAlign w:val="center"/>
          </w:tcPr>
          <w:p w14:paraId="793B4E1C">
            <w:pPr>
              <w:pStyle w:val="4"/>
              <w:spacing w:line="276" w:lineRule="auto"/>
              <w:ind w:firstLine="0" w:firstLineChars="0"/>
              <w:jc w:val="center"/>
              <w:rPr>
                <w:rFonts w:ascii="Times New Roman"/>
                <w:sz w:val="18"/>
                <w:szCs w:val="18"/>
              </w:rPr>
            </w:pPr>
            <w:r>
              <w:rPr>
                <w:rFonts w:ascii="Times New Roman"/>
                <w:sz w:val="18"/>
                <w:szCs w:val="18"/>
              </w:rPr>
              <w:t>1号</w:t>
            </w:r>
            <w:r>
              <w:rPr>
                <w:rFonts w:hint="eastAsia" w:ascii="Times New Roman"/>
                <w:sz w:val="18"/>
                <w:szCs w:val="18"/>
              </w:rPr>
              <w:t>浸蚀剂</w:t>
            </w:r>
          </w:p>
        </w:tc>
        <w:tc>
          <w:tcPr>
            <w:tcW w:w="1134" w:type="dxa"/>
            <w:vAlign w:val="center"/>
          </w:tcPr>
          <w:p w14:paraId="29486CE6">
            <w:pPr>
              <w:pStyle w:val="4"/>
              <w:spacing w:line="276" w:lineRule="auto"/>
              <w:ind w:firstLine="0" w:firstLineChars="0"/>
              <w:jc w:val="center"/>
              <w:rPr>
                <w:rFonts w:ascii="Times New Roman"/>
                <w:sz w:val="18"/>
                <w:szCs w:val="18"/>
              </w:rPr>
            </w:pPr>
            <w:r>
              <w:rPr>
                <w:rFonts w:ascii="Times New Roman"/>
                <w:sz w:val="18"/>
                <w:szCs w:val="18"/>
              </w:rPr>
              <w:t>5-</w:t>
            </w:r>
            <w:r>
              <w:rPr>
                <w:rFonts w:hint="eastAsia" w:ascii="Times New Roman"/>
                <w:sz w:val="18"/>
                <w:szCs w:val="18"/>
              </w:rPr>
              <w:t>6</w:t>
            </w:r>
            <w:r>
              <w:rPr>
                <w:rFonts w:ascii="Times New Roman"/>
                <w:sz w:val="18"/>
                <w:szCs w:val="18"/>
              </w:rPr>
              <w:t>0s</w:t>
            </w:r>
          </w:p>
        </w:tc>
        <w:tc>
          <w:tcPr>
            <w:tcW w:w="3261" w:type="dxa"/>
            <w:vAlign w:val="center"/>
          </w:tcPr>
          <w:p w14:paraId="51689259">
            <w:pPr>
              <w:pStyle w:val="4"/>
              <w:spacing w:line="276" w:lineRule="auto"/>
              <w:ind w:firstLine="0" w:firstLineChars="0"/>
              <w:rPr>
                <w:rFonts w:ascii="Times New Roman"/>
                <w:sz w:val="18"/>
                <w:szCs w:val="18"/>
              </w:rPr>
            </w:pPr>
            <w:r>
              <w:rPr>
                <w:rFonts w:ascii="Times New Roman"/>
                <w:sz w:val="18"/>
                <w:szCs w:val="18"/>
              </w:rPr>
              <w:t>化学抛光并显示镧靶材的一般组织</w:t>
            </w:r>
          </w:p>
        </w:tc>
        <w:tc>
          <w:tcPr>
            <w:tcW w:w="3118" w:type="dxa"/>
            <w:vAlign w:val="center"/>
          </w:tcPr>
          <w:p w14:paraId="0EC78CC9">
            <w:pPr>
              <w:pStyle w:val="4"/>
              <w:spacing w:line="276" w:lineRule="auto"/>
              <w:ind w:firstLine="0" w:firstLineChars="0"/>
              <w:rPr>
                <w:rFonts w:ascii="Times New Roman"/>
                <w:sz w:val="18"/>
                <w:szCs w:val="18"/>
              </w:rPr>
            </w:pPr>
            <w:r>
              <w:rPr>
                <w:rFonts w:ascii="Times New Roman"/>
                <w:sz w:val="18"/>
                <w:szCs w:val="18"/>
              </w:rPr>
              <w:t>加入少量液氮或干冰，用脱脂棉蘸取溶液，垂直划痕方向擦拭样品</w:t>
            </w:r>
          </w:p>
        </w:tc>
      </w:tr>
      <w:tr w14:paraId="07CC4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2" w:hRule="atLeast"/>
          <w:jc w:val="center"/>
        </w:trPr>
        <w:tc>
          <w:tcPr>
            <w:tcW w:w="1696" w:type="dxa"/>
            <w:vAlign w:val="center"/>
          </w:tcPr>
          <w:p w14:paraId="749BD6DF">
            <w:pPr>
              <w:pStyle w:val="4"/>
              <w:spacing w:line="276" w:lineRule="auto"/>
              <w:ind w:firstLine="0" w:firstLineChars="0"/>
              <w:jc w:val="center"/>
              <w:rPr>
                <w:rFonts w:ascii="Times New Roman"/>
                <w:sz w:val="18"/>
                <w:szCs w:val="18"/>
              </w:rPr>
            </w:pPr>
            <w:r>
              <w:rPr>
                <w:rFonts w:ascii="Times New Roman"/>
                <w:sz w:val="18"/>
                <w:szCs w:val="18"/>
              </w:rPr>
              <w:t>2号</w:t>
            </w:r>
            <w:r>
              <w:rPr>
                <w:rFonts w:hint="eastAsia" w:ascii="Times New Roman"/>
                <w:sz w:val="18"/>
                <w:szCs w:val="18"/>
              </w:rPr>
              <w:t>浸蚀剂</w:t>
            </w:r>
          </w:p>
        </w:tc>
        <w:tc>
          <w:tcPr>
            <w:tcW w:w="1134" w:type="dxa"/>
            <w:vAlign w:val="center"/>
          </w:tcPr>
          <w:p w14:paraId="24103606">
            <w:pPr>
              <w:pStyle w:val="4"/>
              <w:spacing w:line="276" w:lineRule="auto"/>
              <w:ind w:firstLine="0" w:firstLineChars="0"/>
              <w:jc w:val="center"/>
              <w:rPr>
                <w:rFonts w:ascii="Times New Roman"/>
                <w:sz w:val="18"/>
                <w:szCs w:val="18"/>
              </w:rPr>
            </w:pPr>
            <w:r>
              <w:rPr>
                <w:rFonts w:ascii="Times New Roman"/>
                <w:sz w:val="18"/>
                <w:szCs w:val="18"/>
              </w:rPr>
              <w:t>30-120s</w:t>
            </w:r>
          </w:p>
        </w:tc>
        <w:tc>
          <w:tcPr>
            <w:tcW w:w="3261" w:type="dxa"/>
            <w:vAlign w:val="center"/>
          </w:tcPr>
          <w:p w14:paraId="6459331E">
            <w:pPr>
              <w:pStyle w:val="4"/>
              <w:spacing w:line="276" w:lineRule="auto"/>
              <w:ind w:firstLine="0" w:firstLineChars="0"/>
              <w:rPr>
                <w:rFonts w:ascii="Times New Roman"/>
                <w:sz w:val="18"/>
                <w:szCs w:val="18"/>
              </w:rPr>
            </w:pPr>
            <w:r>
              <w:rPr>
                <w:rFonts w:ascii="Times New Roman"/>
                <w:sz w:val="18"/>
                <w:szCs w:val="18"/>
              </w:rPr>
              <w:t>化学抛光并显示铈靶材的一般组织</w:t>
            </w:r>
          </w:p>
        </w:tc>
        <w:tc>
          <w:tcPr>
            <w:tcW w:w="3118" w:type="dxa"/>
            <w:vAlign w:val="center"/>
          </w:tcPr>
          <w:p w14:paraId="3907EB99">
            <w:pPr>
              <w:pStyle w:val="4"/>
              <w:spacing w:line="276" w:lineRule="auto"/>
              <w:ind w:firstLine="0" w:firstLineChars="0"/>
              <w:rPr>
                <w:rFonts w:ascii="Times New Roman"/>
                <w:sz w:val="18"/>
                <w:szCs w:val="18"/>
              </w:rPr>
            </w:pPr>
            <w:r>
              <w:rPr>
                <w:rFonts w:ascii="Times New Roman"/>
                <w:sz w:val="18"/>
                <w:szCs w:val="18"/>
              </w:rPr>
              <w:t>加入少量液氮或干冰，用脱脂棉蘸取低温溶液，垂直划痕方向擦拭样品</w:t>
            </w:r>
          </w:p>
        </w:tc>
      </w:tr>
      <w:tr w14:paraId="4F66B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2" w:hRule="atLeast"/>
          <w:jc w:val="center"/>
        </w:trPr>
        <w:tc>
          <w:tcPr>
            <w:tcW w:w="1696" w:type="dxa"/>
            <w:vAlign w:val="center"/>
          </w:tcPr>
          <w:p w14:paraId="2387B0B6">
            <w:pPr>
              <w:pStyle w:val="4"/>
              <w:spacing w:line="276" w:lineRule="auto"/>
              <w:ind w:firstLine="0" w:firstLineChars="0"/>
              <w:jc w:val="center"/>
              <w:rPr>
                <w:rFonts w:ascii="Times New Roman"/>
                <w:sz w:val="18"/>
                <w:szCs w:val="18"/>
              </w:rPr>
            </w:pPr>
            <w:r>
              <w:rPr>
                <w:rFonts w:ascii="Times New Roman"/>
                <w:sz w:val="18"/>
                <w:szCs w:val="18"/>
              </w:rPr>
              <w:t>3号</w:t>
            </w:r>
            <w:r>
              <w:rPr>
                <w:rFonts w:hint="eastAsia" w:ascii="Times New Roman"/>
                <w:sz w:val="18"/>
                <w:szCs w:val="18"/>
              </w:rPr>
              <w:t>浸蚀剂</w:t>
            </w:r>
          </w:p>
        </w:tc>
        <w:tc>
          <w:tcPr>
            <w:tcW w:w="1134" w:type="dxa"/>
            <w:vAlign w:val="center"/>
          </w:tcPr>
          <w:p w14:paraId="4E70ABD7">
            <w:pPr>
              <w:pStyle w:val="4"/>
              <w:spacing w:line="276" w:lineRule="auto"/>
              <w:ind w:firstLine="0" w:firstLineChars="0"/>
              <w:jc w:val="center"/>
              <w:rPr>
                <w:rFonts w:ascii="Times New Roman"/>
                <w:sz w:val="18"/>
                <w:szCs w:val="18"/>
              </w:rPr>
            </w:pPr>
            <w:r>
              <w:rPr>
                <w:rFonts w:ascii="Times New Roman"/>
                <w:sz w:val="18"/>
                <w:szCs w:val="18"/>
              </w:rPr>
              <w:t>30-120s</w:t>
            </w:r>
          </w:p>
        </w:tc>
        <w:tc>
          <w:tcPr>
            <w:tcW w:w="3261" w:type="dxa"/>
            <w:vAlign w:val="center"/>
          </w:tcPr>
          <w:p w14:paraId="3A606BD8">
            <w:pPr>
              <w:pStyle w:val="4"/>
              <w:spacing w:line="276" w:lineRule="auto"/>
              <w:ind w:firstLine="0" w:firstLineChars="0"/>
              <w:rPr>
                <w:rFonts w:ascii="Times New Roman"/>
                <w:sz w:val="18"/>
                <w:szCs w:val="18"/>
              </w:rPr>
            </w:pPr>
            <w:r>
              <w:rPr>
                <w:rFonts w:ascii="Times New Roman"/>
                <w:sz w:val="18"/>
                <w:szCs w:val="18"/>
              </w:rPr>
              <w:t>化学抛光并显示镧、铈靶材的一般组织</w:t>
            </w:r>
          </w:p>
        </w:tc>
        <w:tc>
          <w:tcPr>
            <w:tcW w:w="3118" w:type="dxa"/>
            <w:vAlign w:val="center"/>
          </w:tcPr>
          <w:p w14:paraId="3AD894DB">
            <w:pPr>
              <w:pStyle w:val="4"/>
              <w:spacing w:line="276" w:lineRule="auto"/>
              <w:ind w:firstLine="0" w:firstLineChars="0"/>
              <w:rPr>
                <w:rFonts w:ascii="Times New Roman"/>
                <w:sz w:val="18"/>
                <w:szCs w:val="18"/>
              </w:rPr>
            </w:pPr>
            <w:r>
              <w:rPr>
                <w:rFonts w:ascii="Times New Roman"/>
                <w:sz w:val="18"/>
                <w:szCs w:val="18"/>
              </w:rPr>
              <w:t>加入少量液氮或干冰，用脱脂棉蘸取低温溶液，垂直划痕方向擦拭样品</w:t>
            </w:r>
          </w:p>
        </w:tc>
      </w:tr>
      <w:tr w14:paraId="3DDDD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2" w:hRule="atLeast"/>
          <w:jc w:val="center"/>
        </w:trPr>
        <w:tc>
          <w:tcPr>
            <w:tcW w:w="1696" w:type="dxa"/>
            <w:vAlign w:val="center"/>
          </w:tcPr>
          <w:p w14:paraId="4D0740FD">
            <w:pPr>
              <w:pStyle w:val="4"/>
              <w:spacing w:line="276" w:lineRule="auto"/>
              <w:ind w:firstLine="0" w:firstLineChars="0"/>
              <w:jc w:val="center"/>
              <w:rPr>
                <w:rFonts w:ascii="Times New Roman"/>
                <w:sz w:val="18"/>
                <w:szCs w:val="18"/>
              </w:rPr>
            </w:pPr>
            <w:r>
              <w:rPr>
                <w:rFonts w:ascii="Times New Roman"/>
                <w:sz w:val="18"/>
                <w:szCs w:val="18"/>
              </w:rPr>
              <w:t>4号</w:t>
            </w:r>
            <w:r>
              <w:rPr>
                <w:rFonts w:hint="eastAsia" w:ascii="Times New Roman"/>
                <w:sz w:val="18"/>
                <w:szCs w:val="18"/>
              </w:rPr>
              <w:t>浸蚀剂</w:t>
            </w:r>
          </w:p>
        </w:tc>
        <w:tc>
          <w:tcPr>
            <w:tcW w:w="1134" w:type="dxa"/>
            <w:vAlign w:val="center"/>
          </w:tcPr>
          <w:p w14:paraId="19A05862">
            <w:pPr>
              <w:pStyle w:val="4"/>
              <w:spacing w:line="276" w:lineRule="auto"/>
              <w:ind w:firstLine="0" w:firstLineChars="0"/>
              <w:jc w:val="center"/>
              <w:rPr>
                <w:rFonts w:ascii="Times New Roman"/>
                <w:sz w:val="18"/>
                <w:szCs w:val="18"/>
              </w:rPr>
            </w:pPr>
            <w:r>
              <w:rPr>
                <w:rFonts w:ascii="Times New Roman"/>
                <w:sz w:val="18"/>
                <w:szCs w:val="18"/>
              </w:rPr>
              <w:t>15-120s</w:t>
            </w:r>
          </w:p>
        </w:tc>
        <w:tc>
          <w:tcPr>
            <w:tcW w:w="3261" w:type="dxa"/>
            <w:vAlign w:val="center"/>
          </w:tcPr>
          <w:p w14:paraId="08165F91">
            <w:pPr>
              <w:pStyle w:val="4"/>
              <w:spacing w:line="276" w:lineRule="auto"/>
              <w:ind w:firstLine="0" w:firstLineChars="0"/>
              <w:rPr>
                <w:rFonts w:ascii="Times New Roman"/>
                <w:sz w:val="18"/>
                <w:szCs w:val="18"/>
              </w:rPr>
            </w:pPr>
            <w:r>
              <w:rPr>
                <w:rFonts w:ascii="Times New Roman"/>
                <w:sz w:val="18"/>
                <w:szCs w:val="18"/>
              </w:rPr>
              <w:t>化学抛光并显示钇、钪、钆、铽、镝、铒、镱等靶材的一般组织</w:t>
            </w:r>
          </w:p>
        </w:tc>
        <w:tc>
          <w:tcPr>
            <w:tcW w:w="3118" w:type="dxa"/>
            <w:vAlign w:val="center"/>
          </w:tcPr>
          <w:p w14:paraId="46FDF262">
            <w:pPr>
              <w:pStyle w:val="4"/>
              <w:spacing w:line="276" w:lineRule="auto"/>
              <w:ind w:firstLine="0" w:firstLineChars="0"/>
              <w:rPr>
                <w:rFonts w:ascii="Times New Roman"/>
                <w:sz w:val="18"/>
                <w:szCs w:val="18"/>
              </w:rPr>
            </w:pPr>
            <w:r>
              <w:rPr>
                <w:rFonts w:ascii="Times New Roman"/>
                <w:sz w:val="18"/>
                <w:szCs w:val="18"/>
              </w:rPr>
              <w:t>加入少量液氮或干冰，用脱脂棉蘸取低温溶液，垂直划痕方向擦拭样品</w:t>
            </w:r>
          </w:p>
        </w:tc>
      </w:tr>
      <w:tr w14:paraId="68B0F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2" w:hRule="atLeast"/>
          <w:jc w:val="center"/>
        </w:trPr>
        <w:tc>
          <w:tcPr>
            <w:tcW w:w="1696" w:type="dxa"/>
            <w:vAlign w:val="center"/>
          </w:tcPr>
          <w:p w14:paraId="75E8D3A2">
            <w:pPr>
              <w:pStyle w:val="4"/>
              <w:spacing w:line="276" w:lineRule="auto"/>
              <w:ind w:firstLine="0" w:firstLineChars="0"/>
              <w:jc w:val="center"/>
              <w:rPr>
                <w:rFonts w:ascii="Times New Roman"/>
                <w:sz w:val="18"/>
                <w:szCs w:val="18"/>
              </w:rPr>
            </w:pPr>
            <w:r>
              <w:rPr>
                <w:rFonts w:ascii="Times New Roman"/>
                <w:sz w:val="18"/>
                <w:szCs w:val="18"/>
              </w:rPr>
              <w:t>5号</w:t>
            </w:r>
            <w:r>
              <w:rPr>
                <w:rFonts w:hint="eastAsia" w:ascii="Times New Roman"/>
                <w:sz w:val="18"/>
                <w:szCs w:val="18"/>
              </w:rPr>
              <w:t>浸蚀剂</w:t>
            </w:r>
          </w:p>
        </w:tc>
        <w:tc>
          <w:tcPr>
            <w:tcW w:w="1134" w:type="dxa"/>
            <w:vAlign w:val="center"/>
          </w:tcPr>
          <w:p w14:paraId="662B3013">
            <w:pPr>
              <w:pStyle w:val="4"/>
              <w:spacing w:line="276" w:lineRule="auto"/>
              <w:ind w:firstLine="0" w:firstLineChars="0"/>
              <w:jc w:val="center"/>
              <w:rPr>
                <w:rFonts w:ascii="Times New Roman"/>
                <w:sz w:val="18"/>
                <w:szCs w:val="18"/>
              </w:rPr>
            </w:pPr>
            <w:r>
              <w:rPr>
                <w:rFonts w:ascii="Times New Roman"/>
                <w:sz w:val="18"/>
                <w:szCs w:val="18"/>
              </w:rPr>
              <w:t>5-30s</w:t>
            </w:r>
          </w:p>
        </w:tc>
        <w:tc>
          <w:tcPr>
            <w:tcW w:w="3261" w:type="dxa"/>
            <w:vAlign w:val="center"/>
          </w:tcPr>
          <w:p w14:paraId="53F21BF0">
            <w:pPr>
              <w:pStyle w:val="4"/>
              <w:spacing w:line="276" w:lineRule="auto"/>
              <w:ind w:firstLine="0" w:firstLineChars="0"/>
              <w:rPr>
                <w:rFonts w:ascii="Times New Roman"/>
                <w:sz w:val="18"/>
                <w:szCs w:val="18"/>
              </w:rPr>
            </w:pPr>
            <w:r>
              <w:rPr>
                <w:rFonts w:ascii="Times New Roman"/>
                <w:sz w:val="18"/>
                <w:szCs w:val="18"/>
              </w:rPr>
              <w:t>化学抛光并显示钇、钪、钆、铽、镝、铒、镱等靶材的一般组织</w:t>
            </w:r>
          </w:p>
        </w:tc>
        <w:tc>
          <w:tcPr>
            <w:tcW w:w="3118" w:type="dxa"/>
            <w:vAlign w:val="center"/>
          </w:tcPr>
          <w:p w14:paraId="50ACD14B">
            <w:pPr>
              <w:pStyle w:val="4"/>
              <w:spacing w:line="276" w:lineRule="auto"/>
              <w:ind w:firstLine="0" w:firstLineChars="0"/>
              <w:rPr>
                <w:rFonts w:ascii="Times New Roman"/>
                <w:sz w:val="18"/>
                <w:szCs w:val="18"/>
              </w:rPr>
            </w:pPr>
            <w:r>
              <w:rPr>
                <w:rFonts w:ascii="Times New Roman"/>
                <w:sz w:val="18"/>
                <w:szCs w:val="18"/>
              </w:rPr>
              <w:t>加入少量液氮或干冰，用脱脂棉蘸取低温溶液，垂直划痕方向擦拭样品</w:t>
            </w:r>
          </w:p>
        </w:tc>
      </w:tr>
      <w:tr w14:paraId="5B0B8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2" w:hRule="atLeast"/>
          <w:jc w:val="center"/>
        </w:trPr>
        <w:tc>
          <w:tcPr>
            <w:tcW w:w="1696" w:type="dxa"/>
            <w:vAlign w:val="center"/>
          </w:tcPr>
          <w:p w14:paraId="6C2C21D0">
            <w:pPr>
              <w:pStyle w:val="4"/>
              <w:spacing w:line="276" w:lineRule="auto"/>
              <w:ind w:firstLine="0" w:firstLineChars="0"/>
              <w:jc w:val="center"/>
              <w:rPr>
                <w:rFonts w:ascii="Times New Roman"/>
                <w:sz w:val="18"/>
                <w:szCs w:val="18"/>
              </w:rPr>
            </w:pPr>
            <w:r>
              <w:rPr>
                <w:rFonts w:ascii="Times New Roman"/>
                <w:sz w:val="18"/>
                <w:szCs w:val="18"/>
              </w:rPr>
              <w:t>6号</w:t>
            </w:r>
            <w:r>
              <w:rPr>
                <w:rFonts w:hint="eastAsia" w:ascii="Times New Roman"/>
                <w:sz w:val="18"/>
                <w:szCs w:val="18"/>
              </w:rPr>
              <w:t>浸蚀剂</w:t>
            </w:r>
          </w:p>
        </w:tc>
        <w:tc>
          <w:tcPr>
            <w:tcW w:w="1134" w:type="dxa"/>
            <w:vAlign w:val="center"/>
          </w:tcPr>
          <w:p w14:paraId="25ACD1A7">
            <w:pPr>
              <w:pStyle w:val="4"/>
              <w:spacing w:line="276" w:lineRule="auto"/>
              <w:ind w:firstLine="0" w:firstLineChars="0"/>
              <w:jc w:val="center"/>
              <w:rPr>
                <w:rFonts w:ascii="Times New Roman"/>
                <w:sz w:val="18"/>
                <w:szCs w:val="18"/>
              </w:rPr>
            </w:pPr>
            <w:r>
              <w:rPr>
                <w:rFonts w:ascii="Times New Roman"/>
                <w:sz w:val="18"/>
                <w:szCs w:val="18"/>
              </w:rPr>
              <w:t>60-180s</w:t>
            </w:r>
          </w:p>
        </w:tc>
        <w:tc>
          <w:tcPr>
            <w:tcW w:w="3261" w:type="dxa"/>
            <w:vAlign w:val="center"/>
          </w:tcPr>
          <w:p w14:paraId="0A8A938A">
            <w:pPr>
              <w:pStyle w:val="4"/>
              <w:spacing w:line="276" w:lineRule="auto"/>
              <w:ind w:firstLine="0" w:firstLineChars="0"/>
              <w:rPr>
                <w:rFonts w:ascii="Times New Roman"/>
                <w:sz w:val="18"/>
                <w:szCs w:val="18"/>
              </w:rPr>
            </w:pPr>
            <w:r>
              <w:rPr>
                <w:rFonts w:ascii="Times New Roman"/>
                <w:sz w:val="18"/>
                <w:szCs w:val="18"/>
              </w:rPr>
              <w:t>显示镱靶材的一般组织</w:t>
            </w:r>
          </w:p>
        </w:tc>
        <w:tc>
          <w:tcPr>
            <w:tcW w:w="3118" w:type="dxa"/>
            <w:vAlign w:val="center"/>
          </w:tcPr>
          <w:p w14:paraId="62DB95CD">
            <w:pPr>
              <w:pStyle w:val="4"/>
              <w:spacing w:line="276" w:lineRule="auto"/>
              <w:ind w:firstLine="0" w:firstLineChars="0"/>
              <w:rPr>
                <w:rFonts w:ascii="Times New Roman"/>
                <w:sz w:val="18"/>
                <w:szCs w:val="18"/>
              </w:rPr>
            </w:pPr>
            <w:r>
              <w:rPr>
                <w:rFonts w:ascii="Times New Roman"/>
                <w:sz w:val="18"/>
                <w:szCs w:val="18"/>
              </w:rPr>
              <w:t>常温下，将抛光好的样品浸泡在溶液中，并轻微搅拌溶液</w:t>
            </w:r>
          </w:p>
        </w:tc>
      </w:tr>
      <w:tr w14:paraId="6D8CC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2" w:hRule="atLeast"/>
          <w:jc w:val="center"/>
        </w:trPr>
        <w:tc>
          <w:tcPr>
            <w:tcW w:w="1696" w:type="dxa"/>
            <w:vAlign w:val="center"/>
          </w:tcPr>
          <w:p w14:paraId="6054AB77">
            <w:pPr>
              <w:pStyle w:val="4"/>
              <w:spacing w:line="276" w:lineRule="auto"/>
              <w:ind w:firstLine="0" w:firstLineChars="0"/>
              <w:jc w:val="center"/>
              <w:rPr>
                <w:rFonts w:ascii="Times New Roman"/>
                <w:sz w:val="18"/>
                <w:szCs w:val="18"/>
              </w:rPr>
            </w:pPr>
            <w:r>
              <w:rPr>
                <w:rFonts w:ascii="Times New Roman"/>
                <w:sz w:val="18"/>
                <w:szCs w:val="18"/>
              </w:rPr>
              <w:t>7号</w:t>
            </w:r>
            <w:r>
              <w:rPr>
                <w:rFonts w:hint="eastAsia" w:ascii="Times New Roman"/>
                <w:sz w:val="18"/>
                <w:szCs w:val="18"/>
              </w:rPr>
              <w:t>浸蚀剂</w:t>
            </w:r>
          </w:p>
        </w:tc>
        <w:tc>
          <w:tcPr>
            <w:tcW w:w="1134" w:type="dxa"/>
            <w:vAlign w:val="center"/>
          </w:tcPr>
          <w:p w14:paraId="3DD40F9B">
            <w:pPr>
              <w:pStyle w:val="4"/>
              <w:spacing w:line="276" w:lineRule="auto"/>
              <w:ind w:firstLine="0" w:firstLineChars="0"/>
              <w:jc w:val="center"/>
              <w:rPr>
                <w:rFonts w:ascii="Times New Roman"/>
                <w:sz w:val="18"/>
                <w:szCs w:val="18"/>
              </w:rPr>
            </w:pPr>
            <w:r>
              <w:rPr>
                <w:rFonts w:ascii="Times New Roman"/>
                <w:sz w:val="18"/>
                <w:szCs w:val="18"/>
              </w:rPr>
              <w:t>5-30s</w:t>
            </w:r>
          </w:p>
        </w:tc>
        <w:tc>
          <w:tcPr>
            <w:tcW w:w="3261" w:type="dxa"/>
            <w:vAlign w:val="center"/>
          </w:tcPr>
          <w:p w14:paraId="301836A7">
            <w:pPr>
              <w:pStyle w:val="4"/>
              <w:spacing w:line="276" w:lineRule="auto"/>
              <w:ind w:firstLine="0" w:firstLineChars="0"/>
              <w:rPr>
                <w:rFonts w:ascii="Times New Roman"/>
                <w:sz w:val="18"/>
                <w:szCs w:val="18"/>
              </w:rPr>
            </w:pPr>
            <w:r>
              <w:rPr>
                <w:rFonts w:ascii="Times New Roman"/>
                <w:sz w:val="18"/>
                <w:szCs w:val="18"/>
              </w:rPr>
              <w:t>显示钪靶材的一般组织</w:t>
            </w:r>
          </w:p>
        </w:tc>
        <w:tc>
          <w:tcPr>
            <w:tcW w:w="3118" w:type="dxa"/>
            <w:vAlign w:val="center"/>
          </w:tcPr>
          <w:p w14:paraId="5A74798A">
            <w:pPr>
              <w:pStyle w:val="4"/>
              <w:spacing w:line="276" w:lineRule="auto"/>
              <w:ind w:firstLine="0" w:firstLineChars="0"/>
              <w:rPr>
                <w:rFonts w:ascii="Times New Roman"/>
                <w:sz w:val="18"/>
                <w:szCs w:val="18"/>
              </w:rPr>
            </w:pPr>
            <w:r>
              <w:rPr>
                <w:rFonts w:ascii="Times New Roman"/>
                <w:sz w:val="18"/>
                <w:szCs w:val="18"/>
              </w:rPr>
              <w:t>常温下，将抛光好的样品浸泡在溶液中，并轻微搅拌溶液</w:t>
            </w:r>
          </w:p>
        </w:tc>
      </w:tr>
      <w:tr w14:paraId="10274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2" w:hRule="atLeast"/>
          <w:jc w:val="center"/>
        </w:trPr>
        <w:tc>
          <w:tcPr>
            <w:tcW w:w="1696" w:type="dxa"/>
            <w:vAlign w:val="center"/>
          </w:tcPr>
          <w:p w14:paraId="7604FAFB">
            <w:pPr>
              <w:pStyle w:val="4"/>
              <w:spacing w:line="276" w:lineRule="auto"/>
              <w:ind w:firstLine="0" w:firstLineChars="0"/>
              <w:jc w:val="center"/>
              <w:rPr>
                <w:rFonts w:ascii="Times New Roman"/>
                <w:sz w:val="18"/>
                <w:szCs w:val="18"/>
              </w:rPr>
            </w:pPr>
            <w:r>
              <w:rPr>
                <w:rFonts w:ascii="Times New Roman"/>
                <w:sz w:val="18"/>
                <w:szCs w:val="18"/>
              </w:rPr>
              <w:t>8号</w:t>
            </w:r>
            <w:r>
              <w:rPr>
                <w:rFonts w:hint="eastAsia" w:ascii="Times New Roman"/>
                <w:sz w:val="18"/>
                <w:szCs w:val="18"/>
              </w:rPr>
              <w:t>浸蚀剂</w:t>
            </w:r>
          </w:p>
        </w:tc>
        <w:tc>
          <w:tcPr>
            <w:tcW w:w="1134" w:type="dxa"/>
            <w:vAlign w:val="center"/>
          </w:tcPr>
          <w:p w14:paraId="5A7DEF33">
            <w:pPr>
              <w:pStyle w:val="4"/>
              <w:spacing w:line="276" w:lineRule="auto"/>
              <w:ind w:firstLine="0" w:firstLineChars="0"/>
              <w:jc w:val="center"/>
              <w:rPr>
                <w:rFonts w:ascii="Times New Roman"/>
                <w:sz w:val="18"/>
                <w:szCs w:val="18"/>
              </w:rPr>
            </w:pPr>
            <w:r>
              <w:rPr>
                <w:rFonts w:ascii="Times New Roman"/>
                <w:sz w:val="18"/>
                <w:szCs w:val="18"/>
              </w:rPr>
              <w:t>15-120s</w:t>
            </w:r>
          </w:p>
        </w:tc>
        <w:tc>
          <w:tcPr>
            <w:tcW w:w="3261" w:type="dxa"/>
            <w:vAlign w:val="center"/>
          </w:tcPr>
          <w:p w14:paraId="00378A1E">
            <w:pPr>
              <w:pStyle w:val="4"/>
              <w:spacing w:line="276" w:lineRule="auto"/>
              <w:ind w:firstLine="0" w:firstLineChars="0"/>
              <w:rPr>
                <w:rFonts w:ascii="Times New Roman"/>
                <w:sz w:val="18"/>
                <w:szCs w:val="18"/>
              </w:rPr>
            </w:pPr>
            <w:r>
              <w:rPr>
                <w:rFonts w:ascii="Times New Roman"/>
                <w:sz w:val="18"/>
                <w:szCs w:val="18"/>
              </w:rPr>
              <w:t>显示钇、钪、钆、铽、镝、铒、镱等靶材的一般组织</w:t>
            </w:r>
          </w:p>
        </w:tc>
        <w:tc>
          <w:tcPr>
            <w:tcW w:w="3118" w:type="dxa"/>
            <w:vAlign w:val="center"/>
          </w:tcPr>
          <w:p w14:paraId="3D79885E">
            <w:pPr>
              <w:pStyle w:val="4"/>
              <w:spacing w:line="276" w:lineRule="auto"/>
              <w:ind w:firstLine="0" w:firstLineChars="0"/>
              <w:rPr>
                <w:rFonts w:ascii="Times New Roman"/>
                <w:sz w:val="18"/>
                <w:szCs w:val="18"/>
              </w:rPr>
            </w:pPr>
            <w:r>
              <w:rPr>
                <w:rFonts w:ascii="Times New Roman"/>
                <w:sz w:val="18"/>
                <w:szCs w:val="18"/>
              </w:rPr>
              <w:t>常温下，将抛光好的样品浸泡在溶液中，并轻微搅拌溶液</w:t>
            </w:r>
          </w:p>
        </w:tc>
      </w:tr>
      <w:tr w14:paraId="0F6A8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2" w:hRule="atLeast"/>
          <w:jc w:val="center"/>
        </w:trPr>
        <w:tc>
          <w:tcPr>
            <w:tcW w:w="1696" w:type="dxa"/>
            <w:vAlign w:val="center"/>
          </w:tcPr>
          <w:p w14:paraId="760CDD6E">
            <w:pPr>
              <w:pStyle w:val="4"/>
              <w:spacing w:line="276" w:lineRule="auto"/>
              <w:ind w:firstLine="0" w:firstLineChars="0"/>
              <w:jc w:val="center"/>
              <w:rPr>
                <w:rFonts w:ascii="Times New Roman"/>
                <w:sz w:val="18"/>
                <w:szCs w:val="18"/>
              </w:rPr>
            </w:pPr>
            <w:r>
              <w:rPr>
                <w:rFonts w:ascii="Times New Roman"/>
                <w:sz w:val="18"/>
                <w:szCs w:val="18"/>
              </w:rPr>
              <w:t>9号</w:t>
            </w:r>
            <w:r>
              <w:rPr>
                <w:rFonts w:hint="eastAsia" w:ascii="Times New Roman"/>
                <w:sz w:val="18"/>
                <w:szCs w:val="18"/>
              </w:rPr>
              <w:t>浸蚀剂</w:t>
            </w:r>
          </w:p>
        </w:tc>
        <w:tc>
          <w:tcPr>
            <w:tcW w:w="1134" w:type="dxa"/>
            <w:vAlign w:val="center"/>
          </w:tcPr>
          <w:p w14:paraId="63F5B626">
            <w:pPr>
              <w:pStyle w:val="4"/>
              <w:spacing w:line="276" w:lineRule="auto"/>
              <w:ind w:firstLine="0" w:firstLineChars="0"/>
              <w:jc w:val="center"/>
              <w:rPr>
                <w:rFonts w:ascii="Times New Roman"/>
                <w:sz w:val="18"/>
                <w:szCs w:val="18"/>
              </w:rPr>
            </w:pPr>
            <w:r>
              <w:rPr>
                <w:rFonts w:ascii="Times New Roman"/>
                <w:sz w:val="18"/>
                <w:szCs w:val="18"/>
              </w:rPr>
              <w:t>15-180s</w:t>
            </w:r>
          </w:p>
        </w:tc>
        <w:tc>
          <w:tcPr>
            <w:tcW w:w="3261" w:type="dxa"/>
            <w:vAlign w:val="center"/>
          </w:tcPr>
          <w:p w14:paraId="1E6ADDD3">
            <w:pPr>
              <w:pStyle w:val="4"/>
              <w:spacing w:line="276" w:lineRule="auto"/>
              <w:ind w:firstLine="0" w:firstLineChars="0"/>
              <w:rPr>
                <w:rFonts w:ascii="Times New Roman"/>
                <w:sz w:val="18"/>
                <w:szCs w:val="18"/>
              </w:rPr>
            </w:pPr>
            <w:r>
              <w:rPr>
                <w:rFonts w:ascii="Times New Roman"/>
                <w:sz w:val="18"/>
                <w:szCs w:val="18"/>
              </w:rPr>
              <w:t>显示钇、钪、钆、铽、镝、铒、镱等靶材的一般组织</w:t>
            </w:r>
          </w:p>
        </w:tc>
        <w:tc>
          <w:tcPr>
            <w:tcW w:w="3118" w:type="dxa"/>
            <w:vAlign w:val="center"/>
          </w:tcPr>
          <w:p w14:paraId="671BAFAB">
            <w:pPr>
              <w:pStyle w:val="4"/>
              <w:spacing w:line="276" w:lineRule="auto"/>
              <w:ind w:firstLine="0" w:firstLineChars="0"/>
              <w:rPr>
                <w:rFonts w:ascii="Times New Roman"/>
                <w:sz w:val="18"/>
                <w:szCs w:val="18"/>
              </w:rPr>
            </w:pPr>
            <w:r>
              <w:rPr>
                <w:rFonts w:ascii="Times New Roman"/>
                <w:sz w:val="18"/>
                <w:szCs w:val="18"/>
              </w:rPr>
              <w:t>常温下，将抛光好的样品浸泡在溶液中，并轻微搅拌溶液</w:t>
            </w:r>
          </w:p>
        </w:tc>
      </w:tr>
      <w:tr w14:paraId="72069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4" w:hRule="atLeast"/>
          <w:jc w:val="center"/>
        </w:trPr>
        <w:tc>
          <w:tcPr>
            <w:tcW w:w="1696" w:type="dxa"/>
            <w:vAlign w:val="center"/>
          </w:tcPr>
          <w:p w14:paraId="0A63661F">
            <w:pPr>
              <w:pStyle w:val="4"/>
              <w:spacing w:line="276" w:lineRule="auto"/>
              <w:ind w:firstLine="0" w:firstLineChars="0"/>
              <w:jc w:val="center"/>
              <w:rPr>
                <w:rFonts w:ascii="Times New Roman"/>
                <w:sz w:val="18"/>
                <w:szCs w:val="18"/>
              </w:rPr>
            </w:pPr>
            <w:r>
              <w:rPr>
                <w:rFonts w:ascii="Times New Roman"/>
                <w:sz w:val="18"/>
                <w:szCs w:val="18"/>
              </w:rPr>
              <w:t>10号</w:t>
            </w:r>
            <w:r>
              <w:rPr>
                <w:rFonts w:hint="eastAsia" w:ascii="Times New Roman"/>
                <w:sz w:val="18"/>
                <w:szCs w:val="18"/>
              </w:rPr>
              <w:t>浸蚀剂</w:t>
            </w:r>
          </w:p>
        </w:tc>
        <w:tc>
          <w:tcPr>
            <w:tcW w:w="1134" w:type="dxa"/>
            <w:vAlign w:val="center"/>
          </w:tcPr>
          <w:p w14:paraId="2AF5AEC5">
            <w:pPr>
              <w:pStyle w:val="4"/>
              <w:spacing w:line="276" w:lineRule="auto"/>
              <w:ind w:firstLine="0" w:firstLineChars="0"/>
              <w:jc w:val="center"/>
              <w:rPr>
                <w:rFonts w:ascii="Times New Roman"/>
                <w:sz w:val="18"/>
                <w:szCs w:val="18"/>
              </w:rPr>
            </w:pPr>
            <w:r>
              <w:rPr>
                <w:rFonts w:hint="eastAsia" w:ascii="Times New Roman"/>
                <w:sz w:val="18"/>
                <w:szCs w:val="18"/>
              </w:rPr>
              <w:t>5-30s</w:t>
            </w:r>
          </w:p>
        </w:tc>
        <w:tc>
          <w:tcPr>
            <w:tcW w:w="3261" w:type="dxa"/>
            <w:vAlign w:val="center"/>
          </w:tcPr>
          <w:p w14:paraId="3B7BAF3A">
            <w:pPr>
              <w:pStyle w:val="4"/>
              <w:spacing w:line="276" w:lineRule="auto"/>
              <w:ind w:firstLine="0" w:firstLineChars="0"/>
              <w:rPr>
                <w:rFonts w:ascii="Times New Roman"/>
                <w:sz w:val="18"/>
                <w:szCs w:val="18"/>
              </w:rPr>
            </w:pPr>
            <w:r>
              <w:rPr>
                <w:rFonts w:ascii="Times New Roman"/>
                <w:sz w:val="18"/>
                <w:szCs w:val="18"/>
              </w:rPr>
              <w:t>显示钇</w:t>
            </w:r>
            <w:r>
              <w:rPr>
                <w:rFonts w:hint="eastAsia" w:ascii="Times New Roman"/>
                <w:sz w:val="18"/>
                <w:szCs w:val="18"/>
              </w:rPr>
              <w:t>靶材的</w:t>
            </w:r>
            <w:r>
              <w:rPr>
                <w:rFonts w:ascii="Times New Roman"/>
                <w:sz w:val="18"/>
                <w:szCs w:val="18"/>
              </w:rPr>
              <w:t>一般组织</w:t>
            </w:r>
          </w:p>
        </w:tc>
        <w:tc>
          <w:tcPr>
            <w:tcW w:w="3118" w:type="dxa"/>
            <w:vAlign w:val="center"/>
          </w:tcPr>
          <w:p w14:paraId="28D3D435">
            <w:pPr>
              <w:pStyle w:val="4"/>
              <w:spacing w:line="276" w:lineRule="auto"/>
              <w:ind w:firstLine="0" w:firstLineChars="0"/>
              <w:rPr>
                <w:rFonts w:ascii="Times New Roman"/>
                <w:sz w:val="18"/>
                <w:szCs w:val="18"/>
              </w:rPr>
            </w:pPr>
            <w:r>
              <w:rPr>
                <w:rFonts w:ascii="Times New Roman"/>
                <w:sz w:val="18"/>
                <w:szCs w:val="18"/>
              </w:rPr>
              <w:t>常温下，将抛光好</w:t>
            </w:r>
            <w:r>
              <w:rPr>
                <w:rFonts w:hint="eastAsia" w:ascii="Times New Roman"/>
                <w:sz w:val="18"/>
                <w:szCs w:val="18"/>
              </w:rPr>
              <w:t>的样品</w:t>
            </w:r>
            <w:r>
              <w:rPr>
                <w:rFonts w:ascii="Times New Roman"/>
                <w:sz w:val="18"/>
                <w:szCs w:val="18"/>
              </w:rPr>
              <w:t>浸泡在溶液中，并轻微搅拌溶液</w:t>
            </w:r>
          </w:p>
        </w:tc>
      </w:tr>
      <w:tr w14:paraId="05442F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1" w:hRule="atLeast"/>
          <w:jc w:val="center"/>
        </w:trPr>
        <w:tc>
          <w:tcPr>
            <w:tcW w:w="1696" w:type="dxa"/>
            <w:vAlign w:val="center"/>
          </w:tcPr>
          <w:p w14:paraId="21A257CB">
            <w:pPr>
              <w:pStyle w:val="4"/>
              <w:spacing w:line="276" w:lineRule="auto"/>
              <w:ind w:firstLine="0" w:firstLineChars="0"/>
              <w:jc w:val="center"/>
              <w:rPr>
                <w:rFonts w:ascii="Times New Roman"/>
                <w:sz w:val="18"/>
                <w:szCs w:val="18"/>
              </w:rPr>
            </w:pPr>
            <w:r>
              <w:rPr>
                <w:rFonts w:hint="eastAsia" w:ascii="Times New Roman"/>
                <w:sz w:val="18"/>
                <w:szCs w:val="18"/>
              </w:rPr>
              <w:t>11号组织显示方法</w:t>
            </w:r>
          </w:p>
        </w:tc>
        <w:tc>
          <w:tcPr>
            <w:tcW w:w="1134" w:type="dxa"/>
            <w:vAlign w:val="center"/>
          </w:tcPr>
          <w:p w14:paraId="0F55287D">
            <w:pPr>
              <w:pStyle w:val="4"/>
              <w:spacing w:line="276" w:lineRule="auto"/>
              <w:ind w:firstLine="0" w:firstLineChars="0"/>
              <w:jc w:val="center"/>
              <w:rPr>
                <w:rFonts w:ascii="Times New Roman"/>
                <w:sz w:val="18"/>
                <w:szCs w:val="18"/>
              </w:rPr>
            </w:pPr>
            <w:r>
              <w:rPr>
                <w:rFonts w:ascii="Times New Roman"/>
                <w:sz w:val="18"/>
                <w:szCs w:val="18"/>
              </w:rPr>
              <w:t>1-10min</w:t>
            </w:r>
          </w:p>
        </w:tc>
        <w:tc>
          <w:tcPr>
            <w:tcW w:w="3261" w:type="dxa"/>
            <w:vAlign w:val="center"/>
          </w:tcPr>
          <w:p w14:paraId="373EE2CE">
            <w:pPr>
              <w:pStyle w:val="4"/>
              <w:spacing w:line="276" w:lineRule="auto"/>
              <w:ind w:firstLine="0" w:firstLineChars="0"/>
              <w:rPr>
                <w:rFonts w:ascii="Times New Roman"/>
                <w:sz w:val="18"/>
                <w:szCs w:val="18"/>
              </w:rPr>
            </w:pPr>
            <w:r>
              <w:rPr>
                <w:rFonts w:ascii="Times New Roman"/>
                <w:sz w:val="18"/>
                <w:szCs w:val="18"/>
              </w:rPr>
              <w:t>显示靶材的一般组织</w:t>
            </w:r>
          </w:p>
        </w:tc>
        <w:tc>
          <w:tcPr>
            <w:tcW w:w="3118" w:type="dxa"/>
            <w:vAlign w:val="center"/>
          </w:tcPr>
          <w:p w14:paraId="225F8261">
            <w:pPr>
              <w:pStyle w:val="4"/>
              <w:spacing w:line="276" w:lineRule="auto"/>
              <w:ind w:firstLine="0" w:firstLineChars="0"/>
              <w:rPr>
                <w:rFonts w:ascii="Times New Roman"/>
                <w:sz w:val="18"/>
                <w:szCs w:val="18"/>
              </w:rPr>
            </w:pPr>
            <w:r>
              <w:rPr>
                <w:rFonts w:ascii="Times New Roman"/>
                <w:sz w:val="18"/>
                <w:szCs w:val="18"/>
              </w:rPr>
              <w:t>常温下，用</w:t>
            </w:r>
            <w:r>
              <w:rPr>
                <w:rFonts w:hint="eastAsia" w:ascii="Times New Roman"/>
                <w:sz w:val="18"/>
                <w:szCs w:val="18"/>
              </w:rPr>
              <w:t>抛光剂（5.10）</w:t>
            </w:r>
            <w:r>
              <w:rPr>
                <w:rFonts w:ascii="Times New Roman"/>
                <w:sz w:val="18"/>
                <w:szCs w:val="18"/>
              </w:rPr>
              <w:t>持续抛光样品</w:t>
            </w:r>
            <w:r>
              <w:rPr>
                <w:rFonts w:hint="eastAsia" w:ascii="Times New Roman"/>
                <w:sz w:val="18"/>
                <w:szCs w:val="18"/>
              </w:rPr>
              <w:t>表面</w:t>
            </w:r>
            <w:r>
              <w:rPr>
                <w:rFonts w:ascii="Times New Roman"/>
                <w:sz w:val="18"/>
                <w:szCs w:val="18"/>
              </w:rPr>
              <w:t>，至试样组织清晰可见为止</w:t>
            </w:r>
          </w:p>
        </w:tc>
      </w:tr>
    </w:tbl>
    <w:p w14:paraId="017ABD41">
      <w:pPr>
        <w:pStyle w:val="2"/>
        <w:spacing w:before="312" w:after="312"/>
        <w:rPr>
          <w:rFonts w:ascii="Times New Roman"/>
          <w:szCs w:val="21"/>
        </w:rPr>
      </w:pPr>
      <w:bookmarkStart w:id="182" w:name="_Toc227084937"/>
      <w:r>
        <w:rPr>
          <w:rFonts w:ascii="Times New Roman"/>
          <w:szCs w:val="21"/>
        </w:rPr>
        <w:t>显微组织检验</w:t>
      </w:r>
      <w:bookmarkEnd w:id="182"/>
    </w:p>
    <w:p w14:paraId="625E2D45">
      <w:pPr>
        <w:ind w:firstLine="420" w:firstLineChars="200"/>
        <w:rPr>
          <w:szCs w:val="21"/>
        </w:rPr>
      </w:pPr>
      <w:r>
        <w:rPr>
          <w:szCs w:val="21"/>
        </w:rPr>
        <w:t>磨抛、腐蚀后的试样，宜立即进行显微组织检验。试样表面应洁净干燥，组织显示清晰、真实，无明显划痕及形变模糊层、过蚀孔洞</w:t>
      </w:r>
      <w:r>
        <w:rPr>
          <w:rFonts w:hint="eastAsia"/>
          <w:szCs w:val="21"/>
        </w:rPr>
        <w:t>等</w:t>
      </w:r>
      <w:r>
        <w:rPr>
          <w:szCs w:val="21"/>
        </w:rPr>
        <w:t>。</w:t>
      </w:r>
    </w:p>
    <w:p w14:paraId="51FBACE5">
      <w:pPr>
        <w:ind w:firstLine="420" w:firstLineChars="200"/>
        <w:rPr>
          <w:szCs w:val="21"/>
        </w:rPr>
      </w:pPr>
      <w:r>
        <w:rPr>
          <w:szCs w:val="21"/>
        </w:rPr>
        <w:t>依据产品技术要求或样品组织特点，选择合适的放大倍率，在显微镜下观察稀土金属靶材试样显微组织，如存在分层、疏松、夹杂和气孔等缺陷，需单独拍照记录。</w:t>
      </w:r>
    </w:p>
    <w:p w14:paraId="0EAB8FA3">
      <w:pPr>
        <w:pStyle w:val="2"/>
        <w:spacing w:before="312" w:after="312"/>
        <w:rPr>
          <w:rFonts w:ascii="Times New Roman"/>
          <w:szCs w:val="21"/>
        </w:rPr>
      </w:pPr>
      <w:bookmarkStart w:id="183" w:name="_Toc227084938"/>
      <w:r>
        <w:rPr>
          <w:rFonts w:ascii="Times New Roman"/>
          <w:szCs w:val="21"/>
        </w:rPr>
        <w:t>晶粒尺寸的测定</w:t>
      </w:r>
      <w:bookmarkEnd w:id="183"/>
    </w:p>
    <w:p w14:paraId="2872CE90">
      <w:pPr>
        <w:ind w:firstLine="420" w:firstLineChars="200"/>
        <w:rPr>
          <w:szCs w:val="21"/>
        </w:rPr>
      </w:pPr>
      <w:r>
        <w:rPr>
          <w:szCs w:val="21"/>
        </w:rPr>
        <w:t>采用比较法(9.1)或平面晶粒计算法(9.2)或截距法(9.3)测定晶粒尺寸，应在试样截面上随机选取三个或三个以上的代表性视场测定晶粒尺寸。所谓“代表性”即意味着试样所有的部分对结果都有贡献，而不是带有推测地挑选平均晶粒度的视场。</w:t>
      </w:r>
    </w:p>
    <w:p w14:paraId="1786A324">
      <w:pPr>
        <w:pStyle w:val="6"/>
        <w:numPr>
          <w:ilvl w:val="1"/>
          <w:numId w:val="2"/>
        </w:numPr>
        <w:spacing w:beforeLines="0" w:afterLines="0"/>
        <w:outlineLvl w:val="1"/>
        <w:rPr>
          <w:rFonts w:ascii="Times New Roman" w:eastAsia="宋体"/>
        </w:rPr>
      </w:pPr>
      <w:bookmarkStart w:id="184" w:name="_Toc227084939"/>
      <w:r>
        <w:rPr>
          <w:rFonts w:ascii="Times New Roman" w:eastAsia="宋体"/>
        </w:rPr>
        <w:t>比较法</w:t>
      </w:r>
      <w:bookmarkEnd w:id="184"/>
    </w:p>
    <w:p w14:paraId="232D6583">
      <w:pPr>
        <w:ind w:firstLine="420" w:firstLineChars="200"/>
        <w:rPr>
          <w:szCs w:val="21"/>
        </w:rPr>
      </w:pPr>
      <w:r>
        <w:rPr>
          <w:szCs w:val="21"/>
        </w:rPr>
        <w:t>通过与GB/T 6394 金属平均晶粒度的标准评级图对比，来评定靶材的平均晶粒度，适合于等轴的完全再结晶稀土金属靶材。在晶粒度图谱中，最粗的一端每视场中只有少量晶粒，即级别数为00，在最细的一端晶粒尺寸非常小，很难准确比较评级。当试样的晶粒尺寸落在图谱的两端时，可以变换大倍数使晶粒尺寸落在靠近图谱中间的位置，这样的比较更有意义。若采用其他放大倍数M进行比较评定，将放大倍数M的待测晶粒图像与基准放大倍数Mb (75倍或100倍)的系列评级图片比较，评出的晶粒度级别数G’，则其实际显微晶粒度级别数G为:</w:t>
      </w:r>
    </w:p>
    <w:p w14:paraId="1F9C065E">
      <w:pPr>
        <w:ind w:firstLine="3968" w:firstLineChars="1890"/>
        <w:rPr>
          <w:szCs w:val="21"/>
        </w:rPr>
      </w:pPr>
      <w:r>
        <w:rPr>
          <w:szCs w:val="21"/>
        </w:rPr>
        <w:t xml:space="preserve">G= G’+Q                                    </w:t>
      </w:r>
      <w:r>
        <w:rPr>
          <w:sz w:val="24"/>
        </w:rPr>
        <w:t xml:space="preserve">    </w:t>
      </w:r>
      <w:r>
        <w:rPr>
          <w:szCs w:val="21"/>
        </w:rPr>
        <w:t xml:space="preserve"> (1)</w:t>
      </w:r>
    </w:p>
    <w:p w14:paraId="3FAD0B55">
      <w:pPr>
        <w:ind w:firstLine="420" w:firstLineChars="200"/>
        <w:rPr>
          <w:szCs w:val="21"/>
        </w:rPr>
      </w:pPr>
      <w:r>
        <w:rPr>
          <w:szCs w:val="21"/>
        </w:rPr>
        <w:t>式中：</w:t>
      </w:r>
      <m:oMath>
        <m:r>
          <m:rPr/>
          <w:rPr>
            <w:rFonts w:ascii="Cambria Math" w:hAnsi="Cambria Math"/>
            <w:szCs w:val="21"/>
          </w:rPr>
          <m:t>Q</m:t>
        </m:r>
        <m:r>
          <m:rPr>
            <m:sty m:val="p"/>
          </m:rPr>
          <w:rPr>
            <w:rFonts w:ascii="Cambria Math" w:hAnsi="Cambria Math"/>
            <w:szCs w:val="21"/>
          </w:rPr>
          <m:t>=6.6439</m:t>
        </m:r>
        <m:func>
          <m:funcPr>
            <m:ctrlPr>
              <w:rPr>
                <w:rFonts w:ascii="Cambria Math" w:hAnsi="Cambria Math"/>
                <w:szCs w:val="21"/>
              </w:rPr>
            </m:ctrlPr>
          </m:funcPr>
          <m:fName>
            <m:r>
              <m:rPr>
                <m:sty m:val="p"/>
              </m:rPr>
              <w:rPr>
                <w:rFonts w:ascii="Cambria Math" w:hAnsi="Cambria Math"/>
                <w:szCs w:val="21"/>
              </w:rPr>
              <m:t>lg</m:t>
            </m:r>
            <m:ctrlPr>
              <w:rPr>
                <w:rFonts w:ascii="Cambria Math" w:hAnsi="Cambria Math"/>
                <w:szCs w:val="21"/>
              </w:rPr>
            </m:ctrlPr>
          </m:fName>
          <m:e>
            <m:d>
              <m:dPr>
                <m:ctrlPr>
                  <w:rPr>
                    <w:rFonts w:ascii="Cambria Math" w:hAnsi="Cambria Math"/>
                    <w:szCs w:val="21"/>
                  </w:rPr>
                </m:ctrlPr>
              </m:dPr>
              <m:e>
                <m:f>
                  <m:fPr>
                    <m:ctrlPr>
                      <w:rPr>
                        <w:rFonts w:ascii="Cambria Math" w:hAnsi="Cambria Math"/>
                        <w:szCs w:val="21"/>
                      </w:rPr>
                    </m:ctrlPr>
                  </m:fPr>
                  <m:num>
                    <m:r>
                      <m:rPr/>
                      <w:rPr>
                        <w:rFonts w:ascii="Cambria Math" w:hAnsi="Cambria Math"/>
                        <w:szCs w:val="21"/>
                      </w:rPr>
                      <m:t>M</m:t>
                    </m:r>
                    <m:ctrlPr>
                      <w:rPr>
                        <w:rFonts w:ascii="Cambria Math" w:hAnsi="Cambria Math"/>
                        <w:szCs w:val="21"/>
                      </w:rPr>
                    </m:ctrlPr>
                  </m:num>
                  <m:den>
                    <m:sSub>
                      <m:sSubPr>
                        <m:ctrlPr>
                          <w:rPr>
                            <w:rFonts w:ascii="Cambria Math" w:hAnsi="Cambria Math"/>
                            <w:szCs w:val="21"/>
                          </w:rPr>
                        </m:ctrlPr>
                      </m:sSubPr>
                      <m:e>
                        <m:r>
                          <m:rPr/>
                          <w:rPr>
                            <w:rFonts w:ascii="Cambria Math" w:hAnsi="Cambria Math"/>
                            <w:szCs w:val="21"/>
                          </w:rPr>
                          <m:t>M</m:t>
                        </m:r>
                        <m:ctrlPr>
                          <w:rPr>
                            <w:rFonts w:ascii="Cambria Math" w:hAnsi="Cambria Math"/>
                            <w:szCs w:val="21"/>
                          </w:rPr>
                        </m:ctrlPr>
                      </m:e>
                      <m:sub>
                        <m:r>
                          <m:rPr/>
                          <w:rPr>
                            <w:rFonts w:ascii="Cambria Math" w:hAnsi="Cambria Math"/>
                            <w:szCs w:val="21"/>
                          </w:rPr>
                          <m:t>b</m:t>
                        </m:r>
                        <m:ctrlPr>
                          <w:rPr>
                            <w:rFonts w:ascii="Cambria Math" w:hAnsi="Cambria Math"/>
                            <w:szCs w:val="21"/>
                          </w:rPr>
                        </m:ctrlPr>
                      </m:sub>
                    </m:sSub>
                    <m:ctrlPr>
                      <w:rPr>
                        <w:rFonts w:ascii="Cambria Math" w:hAnsi="Cambria Math"/>
                        <w:szCs w:val="21"/>
                      </w:rPr>
                    </m:ctrlPr>
                  </m:den>
                </m:f>
                <m:ctrlPr>
                  <w:rPr>
                    <w:rFonts w:ascii="Cambria Math" w:hAnsi="Cambria Math"/>
                    <w:szCs w:val="21"/>
                  </w:rPr>
                </m:ctrlPr>
              </m:e>
            </m:d>
            <m:ctrlPr>
              <w:rPr>
                <w:rFonts w:ascii="Cambria Math" w:hAnsi="Cambria Math"/>
                <w:szCs w:val="21"/>
              </w:rPr>
            </m:ctrlPr>
          </m:e>
        </m:func>
      </m:oMath>
      <w:r>
        <w:rPr>
          <w:szCs w:val="21"/>
        </w:rPr>
        <w:t>，保留0.5单位。</w:t>
      </w:r>
    </w:p>
    <w:p w14:paraId="1836787A">
      <w:pPr>
        <w:pStyle w:val="6"/>
        <w:numPr>
          <w:ilvl w:val="1"/>
          <w:numId w:val="2"/>
        </w:numPr>
        <w:spacing w:beforeLines="0" w:afterLines="0"/>
        <w:outlineLvl w:val="1"/>
        <w:rPr>
          <w:rFonts w:ascii="Times New Roman" w:eastAsia="宋体"/>
        </w:rPr>
      </w:pPr>
      <w:bookmarkStart w:id="185" w:name="_Toc227084940"/>
      <w:r>
        <w:rPr>
          <w:rFonts w:ascii="Times New Roman" w:eastAsia="宋体"/>
        </w:rPr>
        <w:t>面积法</w:t>
      </w:r>
      <w:bookmarkEnd w:id="185"/>
    </w:p>
    <w:p w14:paraId="7CB89A03">
      <w:pPr>
        <w:spacing w:line="360" w:lineRule="auto"/>
        <w:ind w:firstLine="420" w:firstLineChars="200"/>
        <w:rPr>
          <w:szCs w:val="21"/>
        </w:rPr>
      </w:pPr>
      <w:r>
        <w:rPr>
          <w:szCs w:val="21"/>
        </w:rPr>
        <w:t>面积法是通过计数给定面积网格内的晶粒数N来测定晶粒度。将已知面积A(通常使用5000mm</w:t>
      </w:r>
      <w:r>
        <w:rPr>
          <w:szCs w:val="21"/>
          <w:vertAlign w:val="superscript"/>
        </w:rPr>
        <w:t>2</w:t>
      </w:r>
      <w:r>
        <w:rPr>
          <w:szCs w:val="21"/>
        </w:rPr>
        <w:t>)的圆形或矩形测量网格置于晶粒图像上，选择在视场中至少可得50个晶粒的放大倍率，计数完全落在测量网格内的晶粒数N内和被网格所切割的晶粒数N交，该面积内的晶粒数N按式(2)或式(3)计算:</w:t>
      </w:r>
    </w:p>
    <w:p w14:paraId="50F9600C">
      <w:pPr>
        <w:spacing w:line="360" w:lineRule="auto"/>
        <w:ind w:firstLine="420" w:firstLineChars="200"/>
        <w:rPr>
          <w:szCs w:val="21"/>
        </w:rPr>
      </w:pPr>
      <w:r>
        <w:rPr>
          <w:szCs w:val="21"/>
        </w:rPr>
        <w:t>对于圆形测量网格：</w:t>
      </w:r>
    </w:p>
    <w:p w14:paraId="09E6890D">
      <w:pPr>
        <w:spacing w:line="360" w:lineRule="auto"/>
        <w:ind w:firstLine="3968" w:firstLineChars="1890"/>
        <w:rPr>
          <w:sz w:val="24"/>
        </w:rPr>
      </w:pPr>
      <w:r>
        <w:rPr>
          <w:szCs w:val="21"/>
        </w:rPr>
        <w:t>N=N</w:t>
      </w:r>
      <w:r>
        <w:rPr>
          <w:szCs w:val="21"/>
          <w:vertAlign w:val="subscript"/>
        </w:rPr>
        <w:t>内+</w:t>
      </w:r>
      <w:r>
        <w:rPr>
          <w:szCs w:val="21"/>
        </w:rPr>
        <w:t>0.5N</w:t>
      </w:r>
      <w:r>
        <w:rPr>
          <w:szCs w:val="21"/>
          <w:vertAlign w:val="subscript"/>
        </w:rPr>
        <w:t>交</w:t>
      </w:r>
      <w:r>
        <w:rPr>
          <w:sz w:val="24"/>
        </w:rPr>
        <w:t xml:space="preserve">                               </w:t>
      </w:r>
      <w:r>
        <w:rPr>
          <w:szCs w:val="21"/>
        </w:rPr>
        <w:t xml:space="preserve"> (2)</w:t>
      </w:r>
    </w:p>
    <w:p w14:paraId="6C245F48">
      <w:pPr>
        <w:spacing w:line="360" w:lineRule="auto"/>
        <w:ind w:firstLine="420" w:firstLineChars="200"/>
        <w:rPr>
          <w:szCs w:val="21"/>
        </w:rPr>
      </w:pPr>
      <w:r>
        <w:rPr>
          <w:szCs w:val="21"/>
        </w:rPr>
        <w:t>对于矩形测量网格：</w:t>
      </w:r>
    </w:p>
    <w:p w14:paraId="4A6849C3">
      <w:pPr>
        <w:spacing w:line="360" w:lineRule="auto"/>
        <w:ind w:firstLine="3968" w:firstLineChars="1890"/>
        <w:rPr>
          <w:szCs w:val="21"/>
        </w:rPr>
      </w:pPr>
      <w:r>
        <w:rPr>
          <w:szCs w:val="21"/>
        </w:rPr>
        <w:t>N=N</w:t>
      </w:r>
      <w:r>
        <w:rPr>
          <w:szCs w:val="21"/>
          <w:vertAlign w:val="subscript"/>
        </w:rPr>
        <w:t>内+</w:t>
      </w:r>
      <w:r>
        <w:rPr>
          <w:szCs w:val="21"/>
        </w:rPr>
        <w:t>0.5N</w:t>
      </w:r>
      <w:r>
        <w:rPr>
          <w:szCs w:val="21"/>
          <w:vertAlign w:val="subscript"/>
        </w:rPr>
        <w:t>交</w:t>
      </w:r>
      <w:r>
        <w:rPr>
          <w:szCs w:val="21"/>
        </w:rPr>
        <w:t xml:space="preserve">+1  </w:t>
      </w:r>
      <w:r>
        <w:rPr>
          <w:sz w:val="24"/>
        </w:rPr>
        <w:t xml:space="preserve">                             </w:t>
      </w:r>
      <w:r>
        <w:rPr>
          <w:szCs w:val="21"/>
        </w:rPr>
        <w:t>(3)</w:t>
      </w:r>
    </w:p>
    <w:p w14:paraId="1DE29A61">
      <w:pPr>
        <w:spacing w:line="360" w:lineRule="auto"/>
        <w:ind w:firstLine="420" w:firstLineChars="200"/>
        <w:rPr>
          <w:szCs w:val="21"/>
        </w:rPr>
      </w:pPr>
      <w:r>
        <w:rPr>
          <w:szCs w:val="21"/>
        </w:rPr>
        <w:t>通过测量网格内晶粒数N和观察用的放大倍数M,可按式(4)计算试样的晶粒度级别数G：</w:t>
      </w:r>
    </w:p>
    <w:p w14:paraId="19493B3B">
      <w:pPr>
        <w:spacing w:line="360" w:lineRule="auto"/>
        <w:ind w:firstLine="3968" w:firstLineChars="1890"/>
        <w:rPr>
          <w:szCs w:val="21"/>
        </w:rPr>
      </w:pPr>
      <m:oMath>
        <m:r>
          <m:rPr/>
          <w:rPr>
            <w:rFonts w:ascii="Cambria Math" w:hAnsi="Cambria Math"/>
            <w:szCs w:val="21"/>
          </w:rPr>
          <m:t>G=3.321928</m:t>
        </m:r>
        <m:func>
          <m:funcPr>
            <m:ctrlPr>
              <w:rPr>
                <w:rFonts w:ascii="Cambria Math" w:hAnsi="Cambria Math"/>
                <w:szCs w:val="21"/>
              </w:rPr>
            </m:ctrlPr>
          </m:funcPr>
          <m:fName>
            <m:r>
              <m:rPr>
                <m:sty m:val="p"/>
              </m:rPr>
              <w:rPr>
                <w:rFonts w:ascii="Cambria Math" w:hAnsi="Cambria Math"/>
                <w:szCs w:val="21"/>
              </w:rPr>
              <m:t>lg</m:t>
            </m:r>
            <m:ctrlPr>
              <w:rPr>
                <w:rFonts w:ascii="Cambria Math" w:hAnsi="Cambria Math"/>
                <w:szCs w:val="21"/>
              </w:rPr>
            </m:ctrlPr>
          </m:fName>
          <m:e>
            <m:d>
              <m:dPr>
                <m:ctrlPr>
                  <w:rPr>
                    <w:rFonts w:ascii="Cambria Math" w:hAnsi="Cambria Math"/>
                    <w:i/>
                    <w:szCs w:val="21"/>
                  </w:rPr>
                </m:ctrlPr>
              </m:dPr>
              <m:e>
                <m:f>
                  <m:fPr>
                    <m:ctrlPr>
                      <w:rPr>
                        <w:rFonts w:ascii="Cambria Math" w:hAnsi="Cambria Math"/>
                        <w:i/>
                        <w:szCs w:val="21"/>
                      </w:rPr>
                    </m:ctrlPr>
                  </m:fPr>
                  <m:num>
                    <m:sSup>
                      <m:sSupPr>
                        <m:ctrlPr>
                          <w:rPr>
                            <w:rFonts w:ascii="Cambria Math" w:hAnsi="Cambria Math"/>
                            <w:i/>
                            <w:szCs w:val="21"/>
                          </w:rPr>
                        </m:ctrlPr>
                      </m:sSupPr>
                      <m:e>
                        <m:r>
                          <m:rPr/>
                          <w:rPr>
                            <w:rFonts w:ascii="Cambria Math" w:hAnsi="Cambria Math"/>
                            <w:szCs w:val="21"/>
                          </w:rPr>
                          <m:t>M</m:t>
                        </m:r>
                        <m:ctrlPr>
                          <w:rPr>
                            <w:rFonts w:ascii="Cambria Math" w:hAnsi="Cambria Math"/>
                            <w:i/>
                            <w:szCs w:val="21"/>
                          </w:rPr>
                        </m:ctrlPr>
                      </m:e>
                      <m:sup>
                        <m:r>
                          <m:rPr/>
                          <w:rPr>
                            <w:rFonts w:ascii="Cambria Math" w:hAnsi="Cambria Math"/>
                            <w:szCs w:val="21"/>
                          </w:rPr>
                          <m:t>2</m:t>
                        </m:r>
                        <m:ctrlPr>
                          <w:rPr>
                            <w:rFonts w:ascii="Cambria Math" w:hAnsi="Cambria Math"/>
                            <w:i/>
                            <w:szCs w:val="21"/>
                          </w:rPr>
                        </m:ctrlPr>
                      </m:sup>
                    </m:sSup>
                    <m:r>
                      <m:rPr/>
                      <w:rPr>
                        <w:rFonts w:ascii="Cambria Math" w:hAnsi="Cambria Math"/>
                        <w:szCs w:val="21"/>
                      </w:rPr>
                      <m:t>∙N</m:t>
                    </m:r>
                    <m:ctrlPr>
                      <w:rPr>
                        <w:rFonts w:ascii="Cambria Math" w:hAnsi="Cambria Math"/>
                        <w:i/>
                        <w:szCs w:val="21"/>
                      </w:rPr>
                    </m:ctrlPr>
                  </m:num>
                  <m:den>
                    <m:r>
                      <m:rPr/>
                      <w:rPr>
                        <w:rFonts w:ascii="Cambria Math" w:hAnsi="Cambria Math"/>
                        <w:szCs w:val="21"/>
                      </w:rPr>
                      <m:t>A</m:t>
                    </m:r>
                    <m:ctrlPr>
                      <w:rPr>
                        <w:rFonts w:ascii="Cambria Math" w:hAnsi="Cambria Math"/>
                        <w:i/>
                        <w:szCs w:val="21"/>
                      </w:rPr>
                    </m:ctrlPr>
                  </m:den>
                </m:f>
                <m:ctrlPr>
                  <w:rPr>
                    <w:rFonts w:ascii="Cambria Math" w:hAnsi="Cambria Math"/>
                    <w:i/>
                    <w:szCs w:val="21"/>
                  </w:rPr>
                </m:ctrlPr>
              </m:e>
            </m:d>
            <m:ctrlPr>
              <w:rPr>
                <w:rFonts w:ascii="Cambria Math" w:hAnsi="Cambria Math"/>
                <w:szCs w:val="21"/>
              </w:rPr>
            </m:ctrlPr>
          </m:e>
        </m:func>
        <m:r>
          <m:rPr/>
          <w:rPr>
            <w:rFonts w:ascii="Cambria Math" w:hAnsi="Cambria Math"/>
            <w:szCs w:val="21"/>
          </w:rPr>
          <m:t>−2.954</m:t>
        </m:r>
      </m:oMath>
      <w:r>
        <w:rPr>
          <w:szCs w:val="21"/>
        </w:rPr>
        <w:t xml:space="preserve">                      (4)</w:t>
      </w:r>
    </w:p>
    <w:p w14:paraId="5B7AAC97">
      <w:pPr>
        <w:pStyle w:val="6"/>
        <w:numPr>
          <w:ilvl w:val="1"/>
          <w:numId w:val="2"/>
        </w:numPr>
        <w:spacing w:beforeLines="0" w:afterLines="0"/>
        <w:outlineLvl w:val="1"/>
        <w:rPr>
          <w:rFonts w:ascii="Times New Roman" w:eastAsia="宋体"/>
        </w:rPr>
      </w:pPr>
      <w:bookmarkStart w:id="186" w:name="_Toc227084941"/>
      <w:r>
        <w:rPr>
          <w:rFonts w:ascii="Times New Roman" w:eastAsia="宋体"/>
        </w:rPr>
        <w:t>截点法</w:t>
      </w:r>
      <w:bookmarkEnd w:id="186"/>
    </w:p>
    <w:p w14:paraId="0C3BF1E7">
      <w:pPr>
        <w:ind w:firstLine="420" w:firstLineChars="200"/>
        <w:rPr>
          <w:szCs w:val="21"/>
        </w:rPr>
      </w:pPr>
      <w:r>
        <w:rPr>
          <w:szCs w:val="21"/>
        </w:rPr>
        <w:t>截点法是通过计数给定长度的测量线段(或网格)与晶粒边界相交截数来测定晶粒度。建议使用手动计数器,以避免计数时常规的错误和消除出现高于或者低于预期计数时可能产生的偏差。对于非等轴晶粒度，截点法既可用于分别测定三个相互垂直方向的晶粒度,也可计算总体平均晶粒度。</w:t>
      </w:r>
    </w:p>
    <w:p w14:paraId="32333859">
      <w:pPr>
        <w:ind w:firstLine="420" w:firstLineChars="200"/>
        <w:rPr>
          <w:szCs w:val="21"/>
        </w:rPr>
      </w:pPr>
      <w:r>
        <w:rPr>
          <w:szCs w:val="21"/>
        </w:rPr>
        <w:t>截点法有直线截点法和圆截点法。圆截点法可不必过多的附加视场数,便能自动补偿偏离等轴晶而引起的误差,克服了试验线段端部截点法不明显的毛病。圆截点法作为质量检测评估晶粒度的方法是比较合适的。推荐使用500mm测量网格，尺寸见图1。</w:t>
      </w:r>
    </w:p>
    <w:p w14:paraId="7D903C32">
      <w:pPr>
        <w:spacing w:line="360" w:lineRule="auto"/>
        <w:jc w:val="center"/>
        <w:rPr>
          <w:sz w:val="24"/>
        </w:rPr>
      </w:pPr>
      <w:r>
        <w:rPr>
          <w:sz w:val="24"/>
        </w:rPr>
        <w:drawing>
          <wp:inline distT="0" distB="0" distL="0" distR="0">
            <wp:extent cx="3599815" cy="3529330"/>
            <wp:effectExtent l="0" t="0" r="635" b="0"/>
            <wp:docPr id="9653161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16172" name="图片 1"/>
                    <pic:cNvPicPr>
                      <a:picLocks noChangeAspect="1"/>
                    </pic:cNvPicPr>
                  </pic:nvPicPr>
                  <pic:blipFill>
                    <a:blip r:embed="rId7"/>
                    <a:stretch>
                      <a:fillRect/>
                    </a:stretch>
                  </pic:blipFill>
                  <pic:spPr>
                    <a:xfrm>
                      <a:off x="0" y="0"/>
                      <a:ext cx="3600000" cy="3529335"/>
                    </a:xfrm>
                    <a:prstGeom prst="rect">
                      <a:avLst/>
                    </a:prstGeom>
                  </pic:spPr>
                </pic:pic>
              </a:graphicData>
            </a:graphic>
          </wp:inline>
        </w:drawing>
      </w:r>
    </w:p>
    <w:p w14:paraId="216252E9">
      <w:pPr>
        <w:spacing w:line="360" w:lineRule="auto"/>
        <w:ind w:firstLine="360" w:firstLineChars="200"/>
        <w:rPr>
          <w:sz w:val="18"/>
          <w:szCs w:val="18"/>
        </w:rPr>
      </w:pPr>
      <w:r>
        <w:rPr>
          <w:sz w:val="18"/>
          <w:szCs w:val="18"/>
        </w:rPr>
        <w:t>说明：</w:t>
      </w:r>
    </w:p>
    <w:p w14:paraId="54137B27">
      <w:pPr>
        <w:spacing w:line="360" w:lineRule="auto"/>
        <w:ind w:firstLine="360" w:firstLineChars="200"/>
        <w:rPr>
          <w:sz w:val="18"/>
          <w:szCs w:val="18"/>
        </w:rPr>
      </w:pPr>
      <w:r>
        <w:rPr>
          <w:sz w:val="18"/>
          <w:szCs w:val="18"/>
        </w:rPr>
        <w:t>直线总长500mm；周长总和：250+166.7+83.3=500.0mm。</w:t>
      </w:r>
    </w:p>
    <w:p w14:paraId="0A685E17">
      <w:pPr>
        <w:spacing w:line="360" w:lineRule="auto"/>
        <w:ind w:firstLine="360" w:firstLineChars="200"/>
        <w:rPr>
          <w:sz w:val="18"/>
          <w:szCs w:val="18"/>
        </w:rPr>
      </w:pPr>
      <w:r>
        <w:rPr>
          <w:sz w:val="18"/>
          <w:szCs w:val="18"/>
        </w:rPr>
        <w:t>三个圆的直径分别为：79.58mm、53.05mm、26.53mm。</w:t>
      </w:r>
    </w:p>
    <w:p w14:paraId="60EE4071">
      <w:pPr>
        <w:spacing w:after="156" w:afterLines="50" w:line="360" w:lineRule="auto"/>
        <w:jc w:val="center"/>
        <w:rPr>
          <w:sz w:val="20"/>
          <w:szCs w:val="20"/>
        </w:rPr>
      </w:pPr>
      <w:r>
        <w:rPr>
          <w:sz w:val="20"/>
          <w:szCs w:val="20"/>
        </w:rPr>
        <w:t>图1  截点法用的500mm测量网格</w:t>
      </w:r>
    </w:p>
    <w:p w14:paraId="6F4D3AFD">
      <w:pPr>
        <w:ind w:firstLine="420" w:firstLineChars="200"/>
        <w:rPr>
          <w:szCs w:val="21"/>
        </w:rPr>
      </w:pPr>
      <w:r>
        <w:rPr>
          <w:szCs w:val="21"/>
        </w:rPr>
        <w:t>对于每个视场的计数，按式(5)和式(6)计算单位长度上的截线数N</w:t>
      </w:r>
      <w:r>
        <w:rPr>
          <w:szCs w:val="21"/>
          <w:vertAlign w:val="subscript"/>
        </w:rPr>
        <w:t>L</w:t>
      </w:r>
      <w:r>
        <w:rPr>
          <w:szCs w:val="21"/>
        </w:rPr>
        <w:t>，或截点数P</w:t>
      </w:r>
      <w:r>
        <w:rPr>
          <w:szCs w:val="21"/>
          <w:vertAlign w:val="subscript"/>
        </w:rPr>
        <w:t>L</w:t>
      </w:r>
      <w:r>
        <w:rPr>
          <w:szCs w:val="21"/>
        </w:rPr>
        <w:t>:</w:t>
      </w:r>
    </w:p>
    <w:p w14:paraId="66FAD572">
      <w:pPr>
        <w:spacing w:line="360" w:lineRule="auto"/>
        <w:ind w:firstLine="3826" w:firstLineChars="1822"/>
        <w:rPr>
          <w:szCs w:val="21"/>
        </w:rPr>
      </w:pPr>
      <m:oMath>
        <m:sSub>
          <m:sSubPr>
            <m:ctrlPr>
              <w:rPr>
                <w:rFonts w:ascii="Cambria Math" w:hAnsi="Cambria Math"/>
                <w:i/>
                <w:szCs w:val="21"/>
              </w:rPr>
            </m:ctrlPr>
          </m:sSubPr>
          <m:e>
            <m:r>
              <m:rPr/>
              <w:rPr>
                <w:rFonts w:ascii="Cambria Math" w:hAnsi="Cambria Math"/>
                <w:szCs w:val="21"/>
              </w:rPr>
              <m:t>N</m:t>
            </m:r>
            <m:ctrlPr>
              <w:rPr>
                <w:rFonts w:ascii="Cambria Math" w:hAnsi="Cambria Math"/>
                <w:i/>
                <w:szCs w:val="21"/>
              </w:rPr>
            </m:ctrlPr>
          </m:e>
          <m:sub>
            <m:r>
              <m:rPr/>
              <w:rPr>
                <w:rFonts w:ascii="Cambria Math" w:hAnsi="Cambria Math"/>
                <w:szCs w:val="21"/>
              </w:rPr>
              <m:t>L</m:t>
            </m:r>
            <m:ctrlPr>
              <w:rPr>
                <w:rFonts w:ascii="Cambria Math" w:hAnsi="Cambria Math"/>
                <w:i/>
                <w:szCs w:val="21"/>
              </w:rPr>
            </m:ctrlPr>
          </m:sub>
        </m:sSub>
        <m:r>
          <m:rPr/>
          <w:rPr>
            <w:rFonts w:ascii="Cambria Math" w:hAnsi="Cambria Math"/>
            <w:szCs w:val="21"/>
          </w:rPr>
          <m:t>=</m:t>
        </m:r>
        <m:f>
          <m:fPr>
            <m:ctrlPr>
              <w:rPr>
                <w:rFonts w:ascii="Cambria Math" w:hAnsi="Cambria Math"/>
                <w:i/>
                <w:szCs w:val="21"/>
              </w:rPr>
            </m:ctrlPr>
          </m:fPr>
          <m:num>
            <m:r>
              <m:rPr/>
              <w:rPr>
                <w:rFonts w:ascii="Cambria Math" w:hAnsi="Cambria Math"/>
                <w:szCs w:val="21"/>
              </w:rPr>
              <m:t>M∙</m:t>
            </m:r>
            <m:sSub>
              <m:sSubPr>
                <m:ctrlPr>
                  <w:rPr>
                    <w:rFonts w:ascii="Cambria Math" w:hAnsi="Cambria Math"/>
                    <w:i/>
                    <w:szCs w:val="21"/>
                  </w:rPr>
                </m:ctrlPr>
              </m:sSubPr>
              <m:e>
                <m:r>
                  <m:rPr/>
                  <w:rPr>
                    <w:rFonts w:ascii="Cambria Math" w:hAnsi="Cambria Math"/>
                    <w:szCs w:val="21"/>
                  </w:rPr>
                  <m:t>N</m:t>
                </m:r>
                <m:ctrlPr>
                  <w:rPr>
                    <w:rFonts w:ascii="Cambria Math" w:hAnsi="Cambria Math"/>
                    <w:i/>
                    <w:szCs w:val="21"/>
                  </w:rPr>
                </m:ctrlPr>
              </m:e>
              <m:sub>
                <m:r>
                  <m:rPr/>
                  <w:rPr>
                    <w:rFonts w:ascii="Cambria Math" w:hAnsi="Cambria Math"/>
                    <w:szCs w:val="21"/>
                  </w:rPr>
                  <m:t>i</m:t>
                </m:r>
                <m:ctrlPr>
                  <w:rPr>
                    <w:rFonts w:ascii="Cambria Math" w:hAnsi="Cambria Math"/>
                    <w:i/>
                    <w:szCs w:val="21"/>
                  </w:rPr>
                </m:ctrlPr>
              </m:sub>
            </m:sSub>
            <m:ctrlPr>
              <w:rPr>
                <w:rFonts w:ascii="Cambria Math" w:hAnsi="Cambria Math"/>
                <w:i/>
                <w:szCs w:val="21"/>
              </w:rPr>
            </m:ctrlPr>
          </m:num>
          <m:den>
            <m:r>
              <m:rPr/>
              <w:rPr>
                <w:rFonts w:ascii="Cambria Math" w:hAnsi="Cambria Math"/>
                <w:szCs w:val="21"/>
              </w:rPr>
              <m:t>L</m:t>
            </m:r>
            <m:ctrlPr>
              <w:rPr>
                <w:rFonts w:ascii="Cambria Math" w:hAnsi="Cambria Math"/>
                <w:i/>
                <w:szCs w:val="21"/>
              </w:rPr>
            </m:ctrlPr>
          </m:den>
        </m:f>
        <m:r>
          <m:rPr/>
          <w:rPr>
            <w:rFonts w:ascii="Cambria Math" w:hAnsi="Cambria Math"/>
            <w:szCs w:val="21"/>
          </w:rPr>
          <m:t xml:space="preserve"> </m:t>
        </m:r>
      </m:oMath>
      <w:r>
        <w:rPr>
          <w:i/>
          <w:szCs w:val="21"/>
        </w:rPr>
        <w:t xml:space="preserve"> </w:t>
      </w:r>
      <w:r>
        <w:rPr>
          <w:szCs w:val="21"/>
        </w:rPr>
        <w:t xml:space="preserve">                                         (5)</w:t>
      </w:r>
    </w:p>
    <w:p w14:paraId="35A759FA">
      <w:pPr>
        <w:spacing w:line="360" w:lineRule="auto"/>
        <w:ind w:firstLine="3826" w:firstLineChars="1822"/>
        <w:rPr>
          <w:szCs w:val="21"/>
        </w:rPr>
      </w:pPr>
      <m:oMath>
        <m:sSub>
          <m:sSubPr>
            <m:ctrlPr>
              <w:rPr>
                <w:rFonts w:ascii="Cambria Math" w:hAnsi="Cambria Math"/>
                <w:i/>
                <w:szCs w:val="21"/>
              </w:rPr>
            </m:ctrlPr>
          </m:sSubPr>
          <m:e>
            <m:r>
              <m:rPr/>
              <w:rPr>
                <w:rFonts w:ascii="Cambria Math" w:hAnsi="Cambria Math"/>
                <w:szCs w:val="21"/>
              </w:rPr>
              <m:t>P</m:t>
            </m:r>
            <m:ctrlPr>
              <w:rPr>
                <w:rFonts w:ascii="Cambria Math" w:hAnsi="Cambria Math"/>
                <w:i/>
                <w:szCs w:val="21"/>
              </w:rPr>
            </m:ctrlPr>
          </m:e>
          <m:sub>
            <m:r>
              <m:rPr/>
              <w:rPr>
                <w:rFonts w:ascii="Cambria Math" w:hAnsi="Cambria Math"/>
                <w:szCs w:val="21"/>
              </w:rPr>
              <m:t>L</m:t>
            </m:r>
            <m:ctrlPr>
              <w:rPr>
                <w:rFonts w:ascii="Cambria Math" w:hAnsi="Cambria Math"/>
                <w:i/>
                <w:szCs w:val="21"/>
              </w:rPr>
            </m:ctrlPr>
          </m:sub>
        </m:sSub>
        <m:r>
          <m:rPr/>
          <w:rPr>
            <w:rFonts w:ascii="Cambria Math" w:hAnsi="Cambria Math"/>
            <w:szCs w:val="21"/>
          </w:rPr>
          <m:t>=</m:t>
        </m:r>
        <m:f>
          <m:fPr>
            <m:ctrlPr>
              <w:rPr>
                <w:rFonts w:ascii="Cambria Math" w:hAnsi="Cambria Math"/>
                <w:i/>
                <w:szCs w:val="21"/>
              </w:rPr>
            </m:ctrlPr>
          </m:fPr>
          <m:num>
            <m:r>
              <m:rPr/>
              <w:rPr>
                <w:rFonts w:ascii="Cambria Math" w:hAnsi="Cambria Math"/>
                <w:szCs w:val="21"/>
              </w:rPr>
              <m:t>M∙</m:t>
            </m:r>
            <m:sSub>
              <m:sSubPr>
                <m:ctrlPr>
                  <w:rPr>
                    <w:rFonts w:ascii="Cambria Math" w:hAnsi="Cambria Math"/>
                    <w:i/>
                    <w:szCs w:val="21"/>
                  </w:rPr>
                </m:ctrlPr>
              </m:sSubPr>
              <m:e>
                <m:r>
                  <m:rPr/>
                  <w:rPr>
                    <w:rFonts w:ascii="Cambria Math" w:hAnsi="Cambria Math"/>
                    <w:szCs w:val="21"/>
                  </w:rPr>
                  <m:t>P</m:t>
                </m:r>
                <m:ctrlPr>
                  <w:rPr>
                    <w:rFonts w:ascii="Cambria Math" w:hAnsi="Cambria Math"/>
                    <w:i/>
                    <w:szCs w:val="21"/>
                  </w:rPr>
                </m:ctrlPr>
              </m:e>
              <m:sub>
                <m:r>
                  <m:rPr/>
                  <w:rPr>
                    <w:rFonts w:ascii="Cambria Math" w:hAnsi="Cambria Math"/>
                    <w:szCs w:val="21"/>
                  </w:rPr>
                  <m:t>i</m:t>
                </m:r>
                <m:ctrlPr>
                  <w:rPr>
                    <w:rFonts w:ascii="Cambria Math" w:hAnsi="Cambria Math"/>
                    <w:i/>
                    <w:szCs w:val="21"/>
                  </w:rPr>
                </m:ctrlPr>
              </m:sub>
            </m:sSub>
            <m:ctrlPr>
              <w:rPr>
                <w:rFonts w:ascii="Cambria Math" w:hAnsi="Cambria Math"/>
                <w:i/>
                <w:szCs w:val="21"/>
              </w:rPr>
            </m:ctrlPr>
          </m:num>
          <m:den>
            <m:r>
              <m:rPr/>
              <w:rPr>
                <w:rFonts w:ascii="Cambria Math" w:hAnsi="Cambria Math"/>
                <w:szCs w:val="21"/>
              </w:rPr>
              <m:t>L</m:t>
            </m:r>
            <m:ctrlPr>
              <w:rPr>
                <w:rFonts w:ascii="Cambria Math" w:hAnsi="Cambria Math"/>
                <w:i/>
                <w:szCs w:val="21"/>
              </w:rPr>
            </m:ctrlPr>
          </m:den>
        </m:f>
      </m:oMath>
      <w:r>
        <w:rPr>
          <w:szCs w:val="21"/>
        </w:rPr>
        <w:t xml:space="preserve">                                           (6)</w:t>
      </w:r>
    </w:p>
    <w:p w14:paraId="70339EB1">
      <w:pPr>
        <w:spacing w:line="360" w:lineRule="auto"/>
        <w:ind w:firstLine="420" w:firstLineChars="200"/>
        <w:rPr>
          <w:szCs w:val="21"/>
        </w:rPr>
      </w:pPr>
      <w:r>
        <w:rPr>
          <w:szCs w:val="21"/>
        </w:rPr>
        <w:t>式中：M为所用放大倍数，N</w:t>
      </w:r>
      <w:r>
        <w:rPr>
          <w:szCs w:val="21"/>
          <w:vertAlign w:val="subscript"/>
        </w:rPr>
        <w:t>i</w:t>
      </w:r>
      <w:r>
        <w:rPr>
          <w:szCs w:val="21"/>
        </w:rPr>
        <w:t>为在已知长度L试验线上的截线计数，P</w:t>
      </w:r>
      <w:r>
        <w:rPr>
          <w:szCs w:val="21"/>
          <w:vertAlign w:val="subscript"/>
        </w:rPr>
        <w:t>i</w:t>
      </w:r>
      <w:r>
        <w:rPr>
          <w:szCs w:val="21"/>
        </w:rPr>
        <w:t>为晶界与试验线的交点数。</w:t>
      </w:r>
    </w:p>
    <w:p w14:paraId="075BCD90">
      <w:pPr>
        <w:spacing w:line="360" w:lineRule="auto"/>
        <w:ind w:firstLine="420" w:firstLineChars="200"/>
        <w:rPr>
          <w:szCs w:val="21"/>
        </w:rPr>
      </w:pPr>
      <w:r>
        <w:rPr>
          <w:szCs w:val="21"/>
        </w:rPr>
        <w:t>对每个视场，按式(7)计算平均截距长度：</w:t>
      </w:r>
    </w:p>
    <w:p w14:paraId="67E9B818">
      <w:pPr>
        <w:spacing w:line="360" w:lineRule="auto"/>
        <w:ind w:firstLine="3826" w:firstLineChars="1822"/>
        <w:rPr>
          <w:sz w:val="24"/>
        </w:rPr>
      </w:pPr>
      <m:oMath>
        <m:acc>
          <m:accPr>
            <m:chr m:val="̅"/>
            <m:ctrlPr>
              <w:rPr>
                <w:rFonts w:ascii="Cambria Math" w:hAnsi="Cambria Math"/>
                <w:i/>
                <w:szCs w:val="21"/>
              </w:rPr>
            </m:ctrlPr>
          </m:accPr>
          <m:e>
            <m:r>
              <m:rPr/>
              <w:rPr>
                <w:rFonts w:ascii="Cambria Math" w:hAnsi="Cambria Math"/>
                <w:szCs w:val="21"/>
              </w:rPr>
              <m:t>l</m:t>
            </m:r>
            <m:ctrlPr>
              <w:rPr>
                <w:rFonts w:ascii="Cambria Math" w:hAnsi="Cambria Math"/>
                <w:i/>
                <w:szCs w:val="21"/>
              </w:rPr>
            </m:ctrlPr>
          </m:e>
        </m:acc>
        <m:r>
          <m:rPr/>
          <w:rPr>
            <w:rFonts w:ascii="Cambria Math" w:hAnsi="Cambria Math"/>
            <w:szCs w:val="21"/>
          </w:rPr>
          <m:t>=</m:t>
        </m:r>
        <m:f>
          <m:fPr>
            <m:ctrlPr>
              <w:rPr>
                <w:rFonts w:ascii="Cambria Math" w:hAnsi="Cambria Math"/>
                <w:i/>
                <w:szCs w:val="21"/>
              </w:rPr>
            </m:ctrlPr>
          </m:fPr>
          <m:num>
            <m:r>
              <m:rPr/>
              <w:rPr>
                <w:rFonts w:ascii="Cambria Math" w:hAnsi="Cambria Math"/>
                <w:szCs w:val="21"/>
              </w:rPr>
              <m:t>1</m:t>
            </m:r>
            <m:ctrlPr>
              <w:rPr>
                <w:rFonts w:ascii="Cambria Math" w:hAnsi="Cambria Math"/>
                <w:i/>
                <w:szCs w:val="21"/>
              </w:rPr>
            </m:ctrlPr>
          </m:num>
          <m:den>
            <m:sSub>
              <m:sSubPr>
                <m:ctrlPr>
                  <w:rPr>
                    <w:rFonts w:ascii="Cambria Math" w:hAnsi="Cambria Math"/>
                    <w:i/>
                    <w:szCs w:val="21"/>
                  </w:rPr>
                </m:ctrlPr>
              </m:sSubPr>
              <m:e>
                <m:r>
                  <m:rPr/>
                  <w:rPr>
                    <w:rFonts w:ascii="Cambria Math" w:hAnsi="Cambria Math"/>
                    <w:szCs w:val="21"/>
                  </w:rPr>
                  <m:t>N</m:t>
                </m:r>
                <m:ctrlPr>
                  <w:rPr>
                    <w:rFonts w:ascii="Cambria Math" w:hAnsi="Cambria Math"/>
                    <w:i/>
                    <w:szCs w:val="21"/>
                  </w:rPr>
                </m:ctrlPr>
              </m:e>
              <m:sub>
                <m:r>
                  <m:rPr/>
                  <w:rPr>
                    <w:rFonts w:ascii="Cambria Math" w:hAnsi="Cambria Math"/>
                    <w:szCs w:val="21"/>
                  </w:rPr>
                  <m:t>L</m:t>
                </m:r>
                <m:ctrlPr>
                  <w:rPr>
                    <w:rFonts w:ascii="Cambria Math" w:hAnsi="Cambria Math"/>
                    <w:i/>
                    <w:szCs w:val="21"/>
                  </w:rPr>
                </m:ctrlPr>
              </m:sub>
            </m:sSub>
            <m:ctrlPr>
              <w:rPr>
                <w:rFonts w:ascii="Cambria Math" w:hAnsi="Cambria Math"/>
                <w:i/>
                <w:szCs w:val="21"/>
              </w:rPr>
            </m:ctrlPr>
          </m:den>
        </m:f>
        <m:r>
          <m:rPr/>
          <w:rPr>
            <w:rFonts w:ascii="Cambria Math" w:hAnsi="Cambria Math"/>
            <w:szCs w:val="21"/>
          </w:rPr>
          <m:t>=</m:t>
        </m:r>
        <m:f>
          <m:fPr>
            <m:ctrlPr>
              <w:rPr>
                <w:rFonts w:ascii="Cambria Math" w:hAnsi="Cambria Math"/>
                <w:i/>
                <w:szCs w:val="21"/>
              </w:rPr>
            </m:ctrlPr>
          </m:fPr>
          <m:num>
            <m:r>
              <m:rPr/>
              <w:rPr>
                <w:rFonts w:ascii="Cambria Math" w:hAnsi="Cambria Math"/>
                <w:szCs w:val="21"/>
              </w:rPr>
              <m:t>1</m:t>
            </m:r>
            <m:ctrlPr>
              <w:rPr>
                <w:rFonts w:ascii="Cambria Math" w:hAnsi="Cambria Math"/>
                <w:i/>
                <w:szCs w:val="21"/>
              </w:rPr>
            </m:ctrlPr>
          </m:num>
          <m:den>
            <m:sSub>
              <m:sSubPr>
                <m:ctrlPr>
                  <w:rPr>
                    <w:rFonts w:ascii="Cambria Math" w:hAnsi="Cambria Math"/>
                    <w:i/>
                    <w:szCs w:val="21"/>
                  </w:rPr>
                </m:ctrlPr>
              </m:sSubPr>
              <m:e>
                <m:r>
                  <m:rPr/>
                  <w:rPr>
                    <w:rFonts w:ascii="Cambria Math" w:hAnsi="Cambria Math"/>
                    <w:szCs w:val="21"/>
                  </w:rPr>
                  <m:t>P</m:t>
                </m:r>
                <m:ctrlPr>
                  <w:rPr>
                    <w:rFonts w:ascii="Cambria Math" w:hAnsi="Cambria Math"/>
                    <w:i/>
                    <w:szCs w:val="21"/>
                  </w:rPr>
                </m:ctrlPr>
              </m:e>
              <m:sub>
                <m:r>
                  <m:rPr/>
                  <w:rPr>
                    <w:rFonts w:ascii="Cambria Math" w:hAnsi="Cambria Math"/>
                    <w:szCs w:val="21"/>
                  </w:rPr>
                  <m:t>L</m:t>
                </m:r>
                <m:ctrlPr>
                  <w:rPr>
                    <w:rFonts w:ascii="Cambria Math" w:hAnsi="Cambria Math"/>
                    <w:i/>
                    <w:szCs w:val="21"/>
                  </w:rPr>
                </m:ctrlPr>
              </m:sub>
            </m:sSub>
            <m:ctrlPr>
              <w:rPr>
                <w:rFonts w:ascii="Cambria Math" w:hAnsi="Cambria Math"/>
                <w:i/>
                <w:szCs w:val="21"/>
              </w:rPr>
            </m:ctrlPr>
          </m:den>
        </m:f>
      </m:oMath>
      <w:r>
        <w:rPr>
          <w:sz w:val="24"/>
        </w:rPr>
        <w:t xml:space="preserve">                                    </w:t>
      </w:r>
      <w:r>
        <w:rPr>
          <w:szCs w:val="21"/>
        </w:rPr>
        <w:t>(7)</w:t>
      </w:r>
    </w:p>
    <w:p w14:paraId="0C48660F">
      <w:pPr>
        <w:spacing w:line="360" w:lineRule="auto"/>
        <w:ind w:firstLine="420" w:firstLineChars="200"/>
        <w:rPr>
          <w:szCs w:val="21"/>
        </w:rPr>
      </w:pPr>
      <w:r>
        <w:rPr>
          <w:szCs w:val="21"/>
        </w:rPr>
        <w:t>用</w:t>
      </w:r>
      <m:oMath>
        <m:acc>
          <m:accPr>
            <m:chr m:val="̅"/>
            <m:ctrlPr>
              <w:rPr>
                <w:rFonts w:ascii="Cambria Math" w:hAnsi="Cambria Math"/>
                <w:i/>
                <w:szCs w:val="21"/>
              </w:rPr>
            </m:ctrlPr>
          </m:accPr>
          <m:e>
            <m:r>
              <m:rPr/>
              <w:rPr>
                <w:rFonts w:ascii="Cambria Math" w:hAnsi="Cambria Math"/>
                <w:szCs w:val="21"/>
              </w:rPr>
              <m:t>l</m:t>
            </m:r>
            <m:ctrlPr>
              <w:rPr>
                <w:rFonts w:ascii="Cambria Math" w:hAnsi="Cambria Math"/>
                <w:i/>
                <w:szCs w:val="21"/>
              </w:rPr>
            </m:ctrlPr>
          </m:e>
        </m:acc>
      </m:oMath>
      <w:r>
        <w:rPr>
          <w:szCs w:val="21"/>
        </w:rPr>
        <w:t>的n个测定值的平均数值按式（8）来确定平均晶粒度G:</w:t>
      </w:r>
    </w:p>
    <w:p w14:paraId="50801228">
      <w:pPr>
        <w:spacing w:line="360" w:lineRule="auto"/>
        <w:ind w:firstLine="3826" w:firstLineChars="1822"/>
        <w:rPr>
          <w:sz w:val="24"/>
        </w:rPr>
      </w:pPr>
      <m:oMath>
        <m:r>
          <m:rPr/>
          <w:rPr>
            <w:rFonts w:ascii="Cambria Math" w:hAnsi="Cambria Math"/>
            <w:szCs w:val="21"/>
          </w:rPr>
          <m:t>G=−6.643856</m:t>
        </m:r>
        <m:func>
          <m:funcPr>
            <m:ctrlPr>
              <w:rPr>
                <w:rFonts w:ascii="Cambria Math" w:hAnsi="Cambria Math"/>
                <w:i/>
                <w:szCs w:val="21"/>
              </w:rPr>
            </m:ctrlPr>
          </m:funcPr>
          <m:fName>
            <m:r>
              <m:rPr/>
              <w:rPr>
                <w:rFonts w:ascii="Cambria Math" w:hAnsi="Cambria Math"/>
                <w:szCs w:val="21"/>
              </w:rPr>
              <m:t>lg</m:t>
            </m:r>
            <m:ctrlPr>
              <w:rPr>
                <w:rFonts w:ascii="Cambria Math" w:hAnsi="Cambria Math"/>
                <w:i/>
                <w:szCs w:val="21"/>
              </w:rPr>
            </m:ctrlPr>
          </m:fName>
          <m:e>
            <m:acc>
              <m:accPr>
                <m:chr m:val="̅"/>
                <m:ctrlPr>
                  <w:rPr>
                    <w:rFonts w:ascii="Cambria Math" w:hAnsi="Cambria Math"/>
                    <w:i/>
                    <w:szCs w:val="21"/>
                  </w:rPr>
                </m:ctrlPr>
              </m:accPr>
              <m:e>
                <m:r>
                  <m:rPr/>
                  <w:rPr>
                    <w:rFonts w:ascii="Cambria Math" w:hAnsi="Cambria Math"/>
                    <w:szCs w:val="21"/>
                  </w:rPr>
                  <m:t>l</m:t>
                </m:r>
                <m:ctrlPr>
                  <w:rPr>
                    <w:rFonts w:ascii="Cambria Math" w:hAnsi="Cambria Math"/>
                    <w:i/>
                    <w:szCs w:val="21"/>
                  </w:rPr>
                </m:ctrlPr>
              </m:e>
            </m:acc>
            <m:ctrlPr>
              <w:rPr>
                <w:rFonts w:ascii="Cambria Math" w:hAnsi="Cambria Math"/>
                <w:i/>
                <w:szCs w:val="21"/>
              </w:rPr>
            </m:ctrlPr>
          </m:e>
        </m:func>
        <m:r>
          <m:rPr/>
          <w:rPr>
            <w:rFonts w:ascii="Cambria Math" w:hAnsi="Cambria Math"/>
            <w:szCs w:val="21"/>
          </w:rPr>
          <m:t>−3.288</m:t>
        </m:r>
      </m:oMath>
      <w:r>
        <w:rPr>
          <w:i/>
          <w:sz w:val="24"/>
        </w:rPr>
        <w:t xml:space="preserve"> </w:t>
      </w:r>
      <w:r>
        <w:rPr>
          <w:sz w:val="24"/>
        </w:rPr>
        <w:t xml:space="preserve">                     </w:t>
      </w:r>
      <w:r>
        <w:rPr>
          <w:szCs w:val="21"/>
        </w:rPr>
        <w:t xml:space="preserve"> (8)</w:t>
      </w:r>
    </w:p>
    <w:bookmarkEnd w:id="67"/>
    <w:bookmarkEnd w:id="175"/>
    <w:bookmarkEnd w:id="176"/>
    <w:bookmarkEnd w:id="177"/>
    <w:bookmarkEnd w:id="178"/>
    <w:p w14:paraId="66B2290B">
      <w:pPr>
        <w:pStyle w:val="2"/>
        <w:spacing w:before="312" w:after="312"/>
        <w:rPr>
          <w:rFonts w:ascii="Times New Roman"/>
          <w:szCs w:val="21"/>
        </w:rPr>
      </w:pPr>
      <w:bookmarkStart w:id="187" w:name="_Toc114835473"/>
      <w:bookmarkEnd w:id="187"/>
      <w:bookmarkStart w:id="188" w:name="_Toc114838412"/>
      <w:bookmarkEnd w:id="188"/>
      <w:bookmarkStart w:id="189" w:name="_Toc227084942"/>
      <w:r>
        <w:rPr>
          <w:rFonts w:ascii="Times New Roman"/>
          <w:szCs w:val="21"/>
        </w:rPr>
        <w:t>试验报告</w:t>
      </w:r>
      <w:bookmarkEnd w:id="189"/>
    </w:p>
    <w:p w14:paraId="5BDD7A1D">
      <w:pPr>
        <w:widowControl/>
        <w:tabs>
          <w:tab w:val="center" w:pos="4201"/>
          <w:tab w:val="right" w:leader="dot" w:pos="9298"/>
        </w:tabs>
        <w:autoSpaceDE w:val="0"/>
        <w:autoSpaceDN w:val="0"/>
        <w:ind w:firstLine="420" w:firstLineChars="200"/>
        <w:rPr>
          <w:kern w:val="0"/>
          <w:szCs w:val="20"/>
        </w:rPr>
      </w:pPr>
      <w:r>
        <w:rPr>
          <w:kern w:val="0"/>
          <w:szCs w:val="20"/>
        </w:rPr>
        <w:t>试验报告应包括下列内容：</w:t>
      </w:r>
    </w:p>
    <w:p w14:paraId="5AA292AF">
      <w:pPr>
        <w:pStyle w:val="98"/>
        <w:numPr>
          <w:ilvl w:val="0"/>
          <w:numId w:val="21"/>
        </w:numPr>
        <w:rPr>
          <w:rFonts w:ascii="Times New Roman"/>
        </w:rPr>
      </w:pPr>
      <w:r>
        <w:rPr>
          <w:rFonts w:ascii="Times New Roman"/>
        </w:rPr>
        <w:t>试样名称、加工状态、锭号、炉批号和规格;</w:t>
      </w:r>
    </w:p>
    <w:p w14:paraId="29E22FD9">
      <w:pPr>
        <w:pStyle w:val="98"/>
        <w:rPr>
          <w:rFonts w:ascii="Times New Roman"/>
        </w:rPr>
      </w:pPr>
      <w:r>
        <w:rPr>
          <w:rFonts w:ascii="Times New Roman"/>
        </w:rPr>
        <w:t>本标准编号；</w:t>
      </w:r>
    </w:p>
    <w:p w14:paraId="65525D5D">
      <w:pPr>
        <w:pStyle w:val="98"/>
        <w:rPr>
          <w:rFonts w:ascii="Times New Roman"/>
        </w:rPr>
      </w:pPr>
      <w:r>
        <w:rPr>
          <w:rFonts w:ascii="Times New Roman"/>
        </w:rPr>
        <w:t>检验结果；</w:t>
      </w:r>
    </w:p>
    <w:p w14:paraId="23D4A835">
      <w:pPr>
        <w:pStyle w:val="98"/>
        <w:rPr>
          <w:rFonts w:ascii="Times New Roman"/>
        </w:rPr>
      </w:pPr>
      <w:r>
        <w:rPr>
          <w:rFonts w:ascii="Times New Roman"/>
        </w:rPr>
        <w:t>设备型号/编号；</w:t>
      </w:r>
    </w:p>
    <w:p w14:paraId="3045B08D">
      <w:pPr>
        <w:pStyle w:val="98"/>
        <w:rPr>
          <w:rFonts w:ascii="Times New Roman"/>
        </w:rPr>
      </w:pPr>
      <w:r>
        <w:rPr>
          <w:rFonts w:ascii="Times New Roman"/>
        </w:rPr>
        <w:t>试验者和审核者；</w:t>
      </w:r>
    </w:p>
    <w:p w14:paraId="7C92ED02">
      <w:pPr>
        <w:pStyle w:val="98"/>
        <w:rPr>
          <w:rFonts w:ascii="Times New Roman"/>
        </w:rPr>
      </w:pPr>
      <w:r>
        <w:rPr>
          <w:rFonts w:ascii="Times New Roman"/>
        </w:rPr>
        <w:t>报告日期。</w:t>
      </w:r>
    </w:p>
    <w:tbl>
      <w:tblPr>
        <w:tblStyle w:val="46"/>
        <w:tblW w:w="0" w:type="auto"/>
        <w:jc w:val="center"/>
        <w:tblBorders>
          <w:top w:val="none" w:color="auto" w:sz="0" w:space="0"/>
          <w:left w:val="none" w:color="auto" w:sz="0" w:space="0"/>
          <w:bottom w:val="single" w:color="000000" w:sz="12" w:space="0"/>
          <w:right w:val="none" w:color="auto" w:sz="0" w:space="0"/>
          <w:insideH w:val="single" w:color="000000" w:sz="12" w:space="0"/>
          <w:insideV w:val="single" w:color="000000" w:sz="12" w:space="0"/>
        </w:tblBorders>
        <w:tblLayout w:type="autofit"/>
        <w:tblCellMar>
          <w:top w:w="0" w:type="dxa"/>
          <w:left w:w="108" w:type="dxa"/>
          <w:bottom w:w="0" w:type="dxa"/>
          <w:right w:w="108" w:type="dxa"/>
        </w:tblCellMar>
      </w:tblPr>
      <w:tblGrid>
        <w:gridCol w:w="2392"/>
      </w:tblGrid>
      <w:tr w14:paraId="072F865C">
        <w:tblPrEx>
          <w:tblBorders>
            <w:top w:val="none" w:color="auto" w:sz="0" w:space="0"/>
            <w:left w:val="none" w:color="auto" w:sz="0" w:space="0"/>
            <w:bottom w:val="single" w:color="000000" w:sz="12" w:space="0"/>
            <w:right w:val="none" w:color="auto" w:sz="0" w:space="0"/>
            <w:insideH w:val="single" w:color="000000" w:sz="12" w:space="0"/>
            <w:insideV w:val="single" w:color="000000" w:sz="12" w:space="0"/>
          </w:tblBorders>
          <w:tblCellMar>
            <w:top w:w="0" w:type="dxa"/>
            <w:left w:w="108" w:type="dxa"/>
            <w:bottom w:w="0" w:type="dxa"/>
            <w:right w:w="108" w:type="dxa"/>
          </w:tblCellMar>
        </w:tblPrEx>
        <w:trPr>
          <w:jc w:val="center"/>
        </w:trPr>
        <w:tc>
          <w:tcPr>
            <w:tcW w:w="2392" w:type="dxa"/>
          </w:tcPr>
          <w:p w14:paraId="60A0782F">
            <w:pPr>
              <w:pStyle w:val="166"/>
              <w:framePr w:hSpace="0" w:vSpace="0" w:wrap="auto" w:vAnchor="margin" w:hAnchor="text" w:xAlign="left" w:yAlign="inline"/>
              <w:rPr>
                <w:sz w:val="18"/>
              </w:rPr>
            </w:pPr>
          </w:p>
        </w:tc>
      </w:tr>
    </w:tbl>
    <w:p w14:paraId="454229D9">
      <w:pPr>
        <w:pStyle w:val="4"/>
        <w:ind w:firstLine="0" w:firstLineChars="0"/>
        <w:rPr>
          <w:rFonts w:ascii="Times New Roman"/>
        </w:rPr>
      </w:pPr>
    </w:p>
    <w:p w14:paraId="08343EFF">
      <w:pPr>
        <w:widowControl/>
        <w:jc w:val="left"/>
      </w:pPr>
      <w:r>
        <w:br w:type="page"/>
      </w:r>
    </w:p>
    <w:p w14:paraId="41A6AFB3">
      <w:pPr>
        <w:pStyle w:val="128"/>
        <w:rPr>
          <w:rFonts w:ascii="Times New Roman"/>
        </w:rPr>
      </w:pPr>
      <w:r>
        <w:rPr>
          <w:rFonts w:hint="eastAsia" w:ascii="Times New Roman"/>
        </w:rPr>
        <w:t>附  录  A</w:t>
      </w:r>
    </w:p>
    <w:p w14:paraId="57615F41">
      <w:pPr>
        <w:pStyle w:val="128"/>
        <w:rPr>
          <w:rFonts w:ascii="Times New Roman"/>
        </w:rPr>
      </w:pPr>
      <w:r>
        <w:rPr>
          <w:rFonts w:ascii="Times New Roman"/>
        </w:rPr>
        <w:t>(资料性)</w:t>
      </w:r>
    </w:p>
    <w:p w14:paraId="4D90174E">
      <w:pPr>
        <w:pStyle w:val="128"/>
        <w:rPr>
          <w:rFonts w:ascii="Times New Roman"/>
        </w:rPr>
      </w:pPr>
      <w:r>
        <w:rPr>
          <w:rFonts w:ascii="Times New Roman"/>
        </w:rPr>
        <w:t>稀土金属靶材典型显微组织图谱</w:t>
      </w:r>
    </w:p>
    <w:p w14:paraId="2BFF3A80">
      <w:pPr>
        <w:pStyle w:val="4"/>
        <w:ind w:firstLine="0" w:firstLineChars="0"/>
        <w:jc w:val="center"/>
        <w:rPr>
          <w:rFonts w:ascii="Times New Roman"/>
          <w:color w:val="EE0000"/>
        </w:rPr>
      </w:pPr>
      <w:r>
        <w:rPr>
          <w:rFonts w:ascii="Times New Roman"/>
        </w:rPr>
        <w:drawing>
          <wp:inline distT="0" distB="0" distL="0" distR="0">
            <wp:extent cx="2879725" cy="2311400"/>
            <wp:effectExtent l="0" t="0" r="0" b="0"/>
            <wp:docPr id="9959280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28058" name="图片 6"/>
                    <pic:cNvPicPr>
                      <a:picLocks noChangeAspect="1" noChangeArrowheads="1"/>
                    </pic:cNvPicPr>
                  </pic:nvPicPr>
                  <pic:blipFill>
                    <a:blip r:embed="rId8"/>
                    <a:srcRect/>
                    <a:stretch>
                      <a:fillRect/>
                    </a:stretch>
                  </pic:blipFill>
                  <pic:spPr>
                    <a:xfrm>
                      <a:off x="0" y="0"/>
                      <a:ext cx="2880000" cy="2311636"/>
                    </a:xfrm>
                    <a:prstGeom prst="rect">
                      <a:avLst/>
                    </a:prstGeom>
                    <a:noFill/>
                    <a:ln>
                      <a:noFill/>
                    </a:ln>
                  </pic:spPr>
                </pic:pic>
              </a:graphicData>
            </a:graphic>
          </wp:inline>
        </w:drawing>
      </w:r>
    </w:p>
    <w:p w14:paraId="0A7CF1A1">
      <w:pPr>
        <w:spacing w:after="156" w:afterLines="50"/>
        <w:jc w:val="center"/>
        <w:rPr>
          <w:rFonts w:eastAsia="黑体"/>
          <w:color w:val="000000"/>
          <w:szCs w:val="21"/>
        </w:rPr>
      </w:pPr>
      <w:r>
        <w:rPr>
          <w:rFonts w:eastAsia="黑体"/>
          <w:color w:val="000000"/>
          <w:szCs w:val="21"/>
        </w:rPr>
        <w:t>图A.1 镧靶材铸态显微组织（3号溶液化学抛光、浸蚀，明场）</w:t>
      </w:r>
    </w:p>
    <w:p w14:paraId="6B78E805">
      <w:pPr>
        <w:pStyle w:val="4"/>
        <w:ind w:firstLine="0" w:firstLineChars="0"/>
        <w:jc w:val="center"/>
        <w:rPr>
          <w:rFonts w:ascii="Times New Roman"/>
        </w:rPr>
      </w:pPr>
      <w:r>
        <w:rPr>
          <w:rFonts w:ascii="Times New Roman"/>
        </w:rPr>
        <w:drawing>
          <wp:inline distT="0" distB="0" distL="0" distR="0">
            <wp:extent cx="2879725" cy="2311400"/>
            <wp:effectExtent l="0" t="0" r="0" b="0"/>
            <wp:docPr id="1885299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9915" name="图片 7"/>
                    <pic:cNvPicPr>
                      <a:picLocks noChangeAspect="1" noChangeArrowheads="1"/>
                    </pic:cNvPicPr>
                  </pic:nvPicPr>
                  <pic:blipFill>
                    <a:blip r:embed="rId9"/>
                    <a:srcRect/>
                    <a:stretch>
                      <a:fillRect/>
                    </a:stretch>
                  </pic:blipFill>
                  <pic:spPr>
                    <a:xfrm>
                      <a:off x="0" y="0"/>
                      <a:ext cx="2880000" cy="2311636"/>
                    </a:xfrm>
                    <a:prstGeom prst="rect">
                      <a:avLst/>
                    </a:prstGeom>
                    <a:noFill/>
                    <a:ln>
                      <a:noFill/>
                    </a:ln>
                  </pic:spPr>
                </pic:pic>
              </a:graphicData>
            </a:graphic>
          </wp:inline>
        </w:drawing>
      </w:r>
    </w:p>
    <w:p w14:paraId="52062BCB">
      <w:pPr>
        <w:spacing w:after="156" w:afterLines="50"/>
        <w:jc w:val="center"/>
        <w:rPr>
          <w:rFonts w:eastAsia="黑体"/>
          <w:color w:val="000000"/>
          <w:szCs w:val="21"/>
        </w:rPr>
      </w:pPr>
      <w:r>
        <w:rPr>
          <w:rFonts w:eastAsia="黑体"/>
          <w:color w:val="000000"/>
          <w:szCs w:val="21"/>
        </w:rPr>
        <w:t>图A.2 镧靶材轧制态显微组织（1号溶液化学抛光、浸蚀，明场）</w:t>
      </w:r>
    </w:p>
    <w:p w14:paraId="4840BBFB">
      <w:pPr>
        <w:pStyle w:val="4"/>
        <w:ind w:firstLine="0" w:firstLineChars="0"/>
        <w:jc w:val="center"/>
        <w:rPr>
          <w:rFonts w:ascii="Times New Roman"/>
        </w:rPr>
      </w:pPr>
      <w:r>
        <w:rPr>
          <w:rFonts w:ascii="Times New Roman"/>
          <w:color w:val="EE0000"/>
        </w:rPr>
        <w:drawing>
          <wp:inline distT="0" distB="0" distL="0" distR="0">
            <wp:extent cx="2879725" cy="2225675"/>
            <wp:effectExtent l="0" t="0" r="0" b="3175"/>
            <wp:docPr id="11386086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08625" name="图片 7"/>
                    <pic:cNvPicPr>
                      <a:picLocks noChangeAspect="1" noChangeArrowheads="1"/>
                    </pic:cNvPicPr>
                  </pic:nvPicPr>
                  <pic:blipFill>
                    <a:blip r:embed="rId10"/>
                    <a:srcRect l="57615" t="4380" r="-224" b="32555"/>
                    <a:stretch>
                      <a:fillRect/>
                    </a:stretch>
                  </pic:blipFill>
                  <pic:spPr>
                    <a:xfrm>
                      <a:off x="0" y="0"/>
                      <a:ext cx="2880000" cy="2225686"/>
                    </a:xfrm>
                    <a:prstGeom prst="rect">
                      <a:avLst/>
                    </a:prstGeom>
                    <a:noFill/>
                    <a:ln>
                      <a:noFill/>
                    </a:ln>
                  </pic:spPr>
                </pic:pic>
              </a:graphicData>
            </a:graphic>
          </wp:inline>
        </w:drawing>
      </w:r>
    </w:p>
    <w:p w14:paraId="65C27C08">
      <w:pPr>
        <w:jc w:val="center"/>
        <w:rPr>
          <w:rFonts w:eastAsia="黑体"/>
          <w:color w:val="000000"/>
          <w:szCs w:val="21"/>
        </w:rPr>
      </w:pPr>
      <w:r>
        <w:rPr>
          <w:rFonts w:eastAsia="黑体"/>
          <w:color w:val="000000"/>
          <w:szCs w:val="21"/>
        </w:rPr>
        <w:t>图A.3 镧靶材退火态显微组织（3号溶液化学抛光、浸蚀，明场）</w:t>
      </w:r>
    </w:p>
    <w:p w14:paraId="02EC117F">
      <w:pPr>
        <w:pStyle w:val="4"/>
        <w:ind w:firstLine="0" w:firstLineChars="0"/>
        <w:jc w:val="center"/>
        <w:rPr>
          <w:rFonts w:ascii="Times New Roman"/>
        </w:rPr>
      </w:pPr>
      <w:r>
        <w:rPr>
          <w:rFonts w:ascii="Times New Roman"/>
        </w:rPr>
        <w:drawing>
          <wp:inline distT="0" distB="0" distL="0" distR="0">
            <wp:extent cx="2879725" cy="2309495"/>
            <wp:effectExtent l="0" t="0" r="0" b="0"/>
            <wp:docPr id="104278466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84660" name="图片 8"/>
                    <pic:cNvPicPr>
                      <a:picLocks noChangeAspect="1" noChangeArrowheads="1"/>
                    </pic:cNvPicPr>
                  </pic:nvPicPr>
                  <pic:blipFill>
                    <a:blip r:embed="rId11"/>
                    <a:srcRect/>
                    <a:stretch>
                      <a:fillRect/>
                    </a:stretch>
                  </pic:blipFill>
                  <pic:spPr>
                    <a:xfrm>
                      <a:off x="0" y="0"/>
                      <a:ext cx="2880000" cy="2309788"/>
                    </a:xfrm>
                    <a:prstGeom prst="rect">
                      <a:avLst/>
                    </a:prstGeom>
                    <a:noFill/>
                    <a:ln>
                      <a:noFill/>
                    </a:ln>
                  </pic:spPr>
                </pic:pic>
              </a:graphicData>
            </a:graphic>
          </wp:inline>
        </w:drawing>
      </w:r>
    </w:p>
    <w:p w14:paraId="6830BDA1">
      <w:pPr>
        <w:spacing w:after="156" w:afterLines="50"/>
        <w:jc w:val="center"/>
        <w:rPr>
          <w:rFonts w:eastAsia="黑体"/>
          <w:color w:val="000000"/>
          <w:szCs w:val="21"/>
        </w:rPr>
      </w:pPr>
      <w:r>
        <w:rPr>
          <w:rFonts w:eastAsia="黑体"/>
          <w:color w:val="000000"/>
          <w:szCs w:val="21"/>
        </w:rPr>
        <w:t>图A.4 铈靶材退火态显微组织（2号溶液化学抛光、浸蚀，明场）</w:t>
      </w:r>
    </w:p>
    <w:p w14:paraId="37E73A74">
      <w:pPr>
        <w:spacing w:after="156" w:afterLines="50"/>
        <w:jc w:val="center"/>
        <w:rPr>
          <w:rFonts w:eastAsia="黑体"/>
          <w:color w:val="000000"/>
          <w:szCs w:val="21"/>
        </w:rPr>
      </w:pPr>
      <w:r>
        <w:rPr>
          <w:rFonts w:eastAsia="仿宋_GB2312"/>
          <w:sz w:val="26"/>
          <w:szCs w:val="26"/>
        </w:rPr>
        <w:drawing>
          <wp:inline distT="0" distB="0" distL="0" distR="0">
            <wp:extent cx="2879725" cy="2308225"/>
            <wp:effectExtent l="0" t="0" r="0" b="0"/>
            <wp:docPr id="860494935" name="图片 63" descr="23_6_16-溶液A化学抛光+腐蚀-偏光--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94935" name="图片 63" descr="23_6_16-溶液A化学抛光+腐蚀-偏光--01"/>
                    <pic:cNvPicPr>
                      <a:picLocks noChangeAspect="1" noChangeArrowheads="1"/>
                    </pic:cNvPicPr>
                  </pic:nvPicPr>
                  <pic:blipFill>
                    <a:blip r:embed="rId12"/>
                    <a:srcRect/>
                    <a:stretch>
                      <a:fillRect/>
                    </a:stretch>
                  </pic:blipFill>
                  <pic:spPr>
                    <a:xfrm>
                      <a:off x="0" y="0"/>
                      <a:ext cx="2880000" cy="2308497"/>
                    </a:xfrm>
                    <a:prstGeom prst="rect">
                      <a:avLst/>
                    </a:prstGeom>
                    <a:noFill/>
                    <a:ln>
                      <a:noFill/>
                    </a:ln>
                  </pic:spPr>
                </pic:pic>
              </a:graphicData>
            </a:graphic>
          </wp:inline>
        </w:drawing>
      </w:r>
    </w:p>
    <w:p w14:paraId="6F2422B6">
      <w:pPr>
        <w:spacing w:after="156" w:afterLines="50"/>
        <w:jc w:val="center"/>
        <w:rPr>
          <w:rFonts w:eastAsia="黑体"/>
          <w:color w:val="000000"/>
          <w:szCs w:val="21"/>
        </w:rPr>
      </w:pPr>
      <w:r>
        <w:rPr>
          <w:rFonts w:eastAsia="黑体"/>
          <w:color w:val="000000"/>
          <w:szCs w:val="21"/>
        </w:rPr>
        <w:t>图A.5 钐靶材铸态显微组织（4号溶液化学抛光、浸蚀，偏光）</w:t>
      </w:r>
    </w:p>
    <w:p w14:paraId="76C9DBC5">
      <w:pPr>
        <w:jc w:val="center"/>
        <w:rPr>
          <w:rFonts w:eastAsia="黑体"/>
          <w:color w:val="000000"/>
          <w:szCs w:val="21"/>
        </w:rPr>
      </w:pPr>
      <w:r>
        <w:drawing>
          <wp:inline distT="0" distB="0" distL="0" distR="0">
            <wp:extent cx="2879725" cy="2309495"/>
            <wp:effectExtent l="0" t="0" r="0" b="0"/>
            <wp:docPr id="205321267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12670" name="图片 9"/>
                    <pic:cNvPicPr>
                      <a:picLocks noChangeAspect="1" noChangeArrowheads="1"/>
                    </pic:cNvPicPr>
                  </pic:nvPicPr>
                  <pic:blipFill>
                    <a:blip r:embed="rId13"/>
                    <a:srcRect/>
                    <a:stretch>
                      <a:fillRect/>
                    </a:stretch>
                  </pic:blipFill>
                  <pic:spPr>
                    <a:xfrm>
                      <a:off x="0" y="0"/>
                      <a:ext cx="2880000" cy="2309788"/>
                    </a:xfrm>
                    <a:prstGeom prst="rect">
                      <a:avLst/>
                    </a:prstGeom>
                    <a:noFill/>
                    <a:ln>
                      <a:noFill/>
                    </a:ln>
                  </pic:spPr>
                </pic:pic>
              </a:graphicData>
            </a:graphic>
          </wp:inline>
        </w:drawing>
      </w:r>
    </w:p>
    <w:p w14:paraId="455D8B44">
      <w:pPr>
        <w:spacing w:after="156" w:afterLines="50"/>
        <w:jc w:val="center"/>
        <w:rPr>
          <w:rFonts w:eastAsia="黑体"/>
          <w:color w:val="000000"/>
          <w:szCs w:val="21"/>
        </w:rPr>
      </w:pPr>
      <w:r>
        <w:rPr>
          <w:rFonts w:eastAsia="黑体"/>
          <w:color w:val="000000"/>
          <w:szCs w:val="21"/>
        </w:rPr>
        <w:t>图A.6 钇靶材铸态显微组织（4号溶液化学抛光、浸蚀，偏光）</w:t>
      </w:r>
    </w:p>
    <w:p w14:paraId="44783316">
      <w:pPr>
        <w:pStyle w:val="4"/>
        <w:ind w:firstLine="0" w:firstLineChars="0"/>
        <w:jc w:val="center"/>
        <w:rPr>
          <w:rFonts w:ascii="Times New Roman"/>
        </w:rPr>
      </w:pPr>
      <w:r>
        <w:rPr>
          <w:rFonts w:ascii="Times New Roman"/>
        </w:rPr>
        <w:drawing>
          <wp:inline distT="0" distB="0" distL="0" distR="0">
            <wp:extent cx="2879725" cy="2309495"/>
            <wp:effectExtent l="0" t="0" r="0" b="0"/>
            <wp:docPr id="10234281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28146" name="图片 10"/>
                    <pic:cNvPicPr>
                      <a:picLocks noChangeAspect="1" noChangeArrowheads="1"/>
                    </pic:cNvPicPr>
                  </pic:nvPicPr>
                  <pic:blipFill>
                    <a:blip r:embed="rId14"/>
                    <a:srcRect/>
                    <a:stretch>
                      <a:fillRect/>
                    </a:stretch>
                  </pic:blipFill>
                  <pic:spPr>
                    <a:xfrm>
                      <a:off x="0" y="0"/>
                      <a:ext cx="2880000" cy="2309788"/>
                    </a:xfrm>
                    <a:prstGeom prst="rect">
                      <a:avLst/>
                    </a:prstGeom>
                    <a:noFill/>
                    <a:ln>
                      <a:noFill/>
                    </a:ln>
                  </pic:spPr>
                </pic:pic>
              </a:graphicData>
            </a:graphic>
          </wp:inline>
        </w:drawing>
      </w:r>
    </w:p>
    <w:p w14:paraId="543D9B58">
      <w:pPr>
        <w:spacing w:after="156" w:afterLines="50"/>
        <w:jc w:val="center"/>
        <w:rPr>
          <w:rFonts w:eastAsia="黑体"/>
          <w:color w:val="000000"/>
          <w:szCs w:val="21"/>
        </w:rPr>
      </w:pPr>
      <w:r>
        <w:rPr>
          <w:rFonts w:eastAsia="黑体"/>
          <w:color w:val="000000"/>
          <w:szCs w:val="21"/>
        </w:rPr>
        <w:t>图A.7 钇靶材轧制态显微组织（4号溶液化学抛光、浸蚀，明场）</w:t>
      </w:r>
    </w:p>
    <w:p w14:paraId="06494130">
      <w:pPr>
        <w:spacing w:after="156" w:afterLines="50"/>
        <w:jc w:val="center"/>
        <w:rPr>
          <w:rFonts w:eastAsia="黑体"/>
          <w:color w:val="000000"/>
          <w:szCs w:val="21"/>
        </w:rPr>
      </w:pPr>
      <w:r>
        <w:drawing>
          <wp:inline distT="0" distB="0" distL="0" distR="0">
            <wp:extent cx="2879725" cy="2309495"/>
            <wp:effectExtent l="0" t="0" r="0" b="0"/>
            <wp:docPr id="23124576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45768" name="图片 12"/>
                    <pic:cNvPicPr>
                      <a:picLocks noChangeAspect="1" noChangeArrowheads="1"/>
                    </pic:cNvPicPr>
                  </pic:nvPicPr>
                  <pic:blipFill>
                    <a:blip r:embed="rId15"/>
                    <a:srcRect/>
                    <a:stretch>
                      <a:fillRect/>
                    </a:stretch>
                  </pic:blipFill>
                  <pic:spPr>
                    <a:xfrm>
                      <a:off x="0" y="0"/>
                      <a:ext cx="2880000" cy="2309788"/>
                    </a:xfrm>
                    <a:prstGeom prst="rect">
                      <a:avLst/>
                    </a:prstGeom>
                    <a:noFill/>
                    <a:ln>
                      <a:noFill/>
                    </a:ln>
                  </pic:spPr>
                </pic:pic>
              </a:graphicData>
            </a:graphic>
          </wp:inline>
        </w:drawing>
      </w:r>
    </w:p>
    <w:p w14:paraId="3C5DC850">
      <w:pPr>
        <w:spacing w:after="156" w:afterLines="50"/>
        <w:jc w:val="center"/>
        <w:rPr>
          <w:rFonts w:eastAsia="黑体"/>
          <w:color w:val="000000"/>
          <w:szCs w:val="21"/>
        </w:rPr>
      </w:pPr>
      <w:r>
        <w:rPr>
          <w:rFonts w:eastAsia="黑体"/>
          <w:color w:val="000000"/>
          <w:szCs w:val="21"/>
        </w:rPr>
        <w:t>图A.8 钇靶材退火态显微组织（5号溶液化学抛光、浸蚀，偏光）</w:t>
      </w:r>
    </w:p>
    <w:p w14:paraId="40528ACB">
      <w:pPr>
        <w:spacing w:after="156" w:afterLines="50"/>
        <w:jc w:val="center"/>
        <w:rPr>
          <w:rFonts w:eastAsia="黑体"/>
          <w:color w:val="000000"/>
          <w:szCs w:val="21"/>
        </w:rPr>
      </w:pPr>
      <w:r>
        <w:drawing>
          <wp:inline distT="0" distB="0" distL="0" distR="0">
            <wp:extent cx="2879725" cy="2310765"/>
            <wp:effectExtent l="0" t="0" r="0" b="0"/>
            <wp:docPr id="3576685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68533" name="图片 7"/>
                    <pic:cNvPicPr>
                      <a:picLocks noChangeAspect="1" noChangeArrowheads="1"/>
                    </pic:cNvPicPr>
                  </pic:nvPicPr>
                  <pic:blipFill>
                    <a:blip r:embed="rId16"/>
                    <a:srcRect/>
                    <a:stretch>
                      <a:fillRect/>
                    </a:stretch>
                  </pic:blipFill>
                  <pic:spPr>
                    <a:xfrm>
                      <a:off x="0" y="0"/>
                      <a:ext cx="2880000" cy="2311020"/>
                    </a:xfrm>
                    <a:prstGeom prst="rect">
                      <a:avLst/>
                    </a:prstGeom>
                    <a:noFill/>
                    <a:ln>
                      <a:noFill/>
                    </a:ln>
                  </pic:spPr>
                </pic:pic>
              </a:graphicData>
            </a:graphic>
          </wp:inline>
        </w:drawing>
      </w:r>
    </w:p>
    <w:p w14:paraId="1FA1CA16">
      <w:pPr>
        <w:spacing w:after="156" w:afterLines="50"/>
        <w:jc w:val="center"/>
        <w:rPr>
          <w:rFonts w:eastAsia="黑体"/>
          <w:color w:val="000000"/>
          <w:szCs w:val="21"/>
        </w:rPr>
      </w:pPr>
      <w:r>
        <w:rPr>
          <w:rFonts w:eastAsia="黑体"/>
          <w:color w:val="000000"/>
          <w:szCs w:val="21"/>
        </w:rPr>
        <w:t>图A.</w:t>
      </w:r>
      <w:r>
        <w:rPr>
          <w:rFonts w:hint="eastAsia" w:eastAsia="黑体"/>
          <w:color w:val="000000"/>
          <w:szCs w:val="21"/>
        </w:rPr>
        <w:t>9</w:t>
      </w:r>
      <w:r>
        <w:rPr>
          <w:rFonts w:eastAsia="黑体"/>
          <w:color w:val="000000"/>
          <w:szCs w:val="21"/>
        </w:rPr>
        <w:t xml:space="preserve"> 钆</w:t>
      </w:r>
      <w:r>
        <w:rPr>
          <w:rFonts w:hint="eastAsia" w:eastAsia="黑体"/>
          <w:color w:val="000000"/>
          <w:szCs w:val="21"/>
        </w:rPr>
        <w:t>靶材铸态显微</w:t>
      </w:r>
      <w:r>
        <w:rPr>
          <w:rFonts w:eastAsia="黑体"/>
          <w:color w:val="000000"/>
          <w:szCs w:val="21"/>
        </w:rPr>
        <w:t>组织（</w:t>
      </w:r>
      <w:r>
        <w:rPr>
          <w:rFonts w:hint="eastAsia" w:eastAsia="黑体"/>
          <w:color w:val="000000"/>
          <w:szCs w:val="21"/>
        </w:rPr>
        <w:t>5</w:t>
      </w:r>
      <w:r>
        <w:rPr>
          <w:rFonts w:eastAsia="黑体"/>
          <w:color w:val="000000"/>
          <w:szCs w:val="21"/>
        </w:rPr>
        <w:t>号溶液化学抛光、浸蚀，</w:t>
      </w:r>
      <w:r>
        <w:rPr>
          <w:rFonts w:hint="eastAsia" w:eastAsia="黑体"/>
          <w:color w:val="000000"/>
          <w:szCs w:val="21"/>
        </w:rPr>
        <w:t>偏光</w:t>
      </w:r>
      <w:r>
        <w:rPr>
          <w:rFonts w:eastAsia="黑体"/>
          <w:color w:val="000000"/>
          <w:szCs w:val="21"/>
        </w:rPr>
        <w:t>）</w:t>
      </w:r>
    </w:p>
    <w:p w14:paraId="09DB90DE">
      <w:pPr>
        <w:spacing w:after="156" w:afterLines="50"/>
        <w:jc w:val="center"/>
        <w:rPr>
          <w:rFonts w:eastAsia="黑体"/>
          <w:color w:val="000000"/>
          <w:szCs w:val="21"/>
        </w:rPr>
      </w:pPr>
    </w:p>
    <w:p w14:paraId="6C14AD45">
      <w:pPr>
        <w:spacing w:after="156" w:afterLines="50"/>
        <w:jc w:val="center"/>
        <w:rPr>
          <w:rFonts w:eastAsia="黑体"/>
          <w:color w:val="000000"/>
          <w:szCs w:val="21"/>
        </w:rPr>
      </w:pPr>
      <w:r>
        <w:drawing>
          <wp:inline distT="0" distB="0" distL="0" distR="0">
            <wp:extent cx="2879725" cy="2310765"/>
            <wp:effectExtent l="0" t="0" r="0" b="0"/>
            <wp:docPr id="24472147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21470" name="图片 6"/>
                    <pic:cNvPicPr>
                      <a:picLocks noChangeAspect="1" noChangeArrowheads="1"/>
                    </pic:cNvPicPr>
                  </pic:nvPicPr>
                  <pic:blipFill>
                    <a:blip r:embed="rId17"/>
                    <a:srcRect/>
                    <a:stretch>
                      <a:fillRect/>
                    </a:stretch>
                  </pic:blipFill>
                  <pic:spPr>
                    <a:xfrm>
                      <a:off x="0" y="0"/>
                      <a:ext cx="2880000" cy="2311020"/>
                    </a:xfrm>
                    <a:prstGeom prst="rect">
                      <a:avLst/>
                    </a:prstGeom>
                    <a:noFill/>
                    <a:ln>
                      <a:noFill/>
                    </a:ln>
                  </pic:spPr>
                </pic:pic>
              </a:graphicData>
            </a:graphic>
          </wp:inline>
        </w:drawing>
      </w:r>
    </w:p>
    <w:p w14:paraId="77B6B455">
      <w:pPr>
        <w:spacing w:after="156" w:afterLines="50"/>
        <w:jc w:val="center"/>
        <w:rPr>
          <w:rFonts w:eastAsia="黑体"/>
          <w:color w:val="000000"/>
          <w:szCs w:val="21"/>
        </w:rPr>
      </w:pPr>
      <w:r>
        <w:rPr>
          <w:rFonts w:eastAsia="黑体"/>
          <w:color w:val="000000"/>
          <w:szCs w:val="21"/>
        </w:rPr>
        <w:t>图A.</w:t>
      </w:r>
      <w:r>
        <w:rPr>
          <w:rFonts w:hint="eastAsia" w:eastAsia="黑体"/>
          <w:color w:val="000000"/>
          <w:szCs w:val="21"/>
        </w:rPr>
        <w:t>10</w:t>
      </w:r>
      <w:r>
        <w:rPr>
          <w:rFonts w:eastAsia="黑体"/>
          <w:color w:val="000000"/>
          <w:szCs w:val="21"/>
        </w:rPr>
        <w:t xml:space="preserve"> </w:t>
      </w:r>
      <w:r>
        <w:rPr>
          <w:rFonts w:hint="eastAsia" w:eastAsia="黑体"/>
          <w:color w:val="000000"/>
          <w:szCs w:val="21"/>
        </w:rPr>
        <w:t>钆靶材轧制态项链状不均匀</w:t>
      </w:r>
      <w:r>
        <w:rPr>
          <w:rFonts w:eastAsia="黑体"/>
          <w:color w:val="000000"/>
          <w:szCs w:val="21"/>
        </w:rPr>
        <w:t>组织（</w:t>
      </w:r>
      <w:r>
        <w:rPr>
          <w:rFonts w:hint="eastAsia" w:eastAsia="黑体"/>
          <w:color w:val="000000"/>
          <w:szCs w:val="21"/>
        </w:rPr>
        <w:t>5</w:t>
      </w:r>
      <w:r>
        <w:rPr>
          <w:rFonts w:eastAsia="黑体"/>
          <w:color w:val="000000"/>
          <w:szCs w:val="21"/>
        </w:rPr>
        <w:t>号溶液化学抛光、浸蚀，</w:t>
      </w:r>
      <w:r>
        <w:rPr>
          <w:rFonts w:hint="eastAsia" w:eastAsia="黑体"/>
          <w:color w:val="000000"/>
          <w:szCs w:val="21"/>
        </w:rPr>
        <w:t>明场</w:t>
      </w:r>
      <w:r>
        <w:rPr>
          <w:rFonts w:eastAsia="黑体"/>
          <w:color w:val="000000"/>
          <w:szCs w:val="21"/>
        </w:rPr>
        <w:t>）</w:t>
      </w:r>
    </w:p>
    <w:p w14:paraId="7D913AED">
      <w:pPr>
        <w:spacing w:after="156" w:afterLines="50"/>
        <w:jc w:val="center"/>
        <w:rPr>
          <w:rFonts w:eastAsia="黑体"/>
          <w:color w:val="000000"/>
          <w:szCs w:val="21"/>
        </w:rPr>
      </w:pPr>
      <w:r>
        <w:drawing>
          <wp:inline distT="0" distB="0" distL="0" distR="0">
            <wp:extent cx="2879725" cy="2310765"/>
            <wp:effectExtent l="0" t="0" r="0" b="0"/>
            <wp:docPr id="203756976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69762" name="图片 13"/>
                    <pic:cNvPicPr>
                      <a:picLocks noChangeAspect="1" noChangeArrowheads="1"/>
                    </pic:cNvPicPr>
                  </pic:nvPicPr>
                  <pic:blipFill>
                    <a:blip r:embed="rId18"/>
                    <a:srcRect/>
                    <a:stretch>
                      <a:fillRect/>
                    </a:stretch>
                  </pic:blipFill>
                  <pic:spPr>
                    <a:xfrm>
                      <a:off x="0" y="0"/>
                      <a:ext cx="2880000" cy="2311020"/>
                    </a:xfrm>
                    <a:prstGeom prst="rect">
                      <a:avLst/>
                    </a:prstGeom>
                    <a:noFill/>
                    <a:ln>
                      <a:noFill/>
                    </a:ln>
                  </pic:spPr>
                </pic:pic>
              </a:graphicData>
            </a:graphic>
          </wp:inline>
        </w:drawing>
      </w:r>
    </w:p>
    <w:p w14:paraId="631A9B91">
      <w:pPr>
        <w:spacing w:after="156" w:afterLines="50"/>
        <w:jc w:val="center"/>
        <w:rPr>
          <w:rFonts w:eastAsia="黑体"/>
          <w:color w:val="000000"/>
          <w:szCs w:val="21"/>
        </w:rPr>
      </w:pPr>
      <w:r>
        <w:rPr>
          <w:rFonts w:eastAsia="黑体"/>
          <w:color w:val="000000"/>
          <w:szCs w:val="21"/>
        </w:rPr>
        <w:t>图A.</w:t>
      </w:r>
      <w:r>
        <w:rPr>
          <w:rFonts w:hint="eastAsia" w:eastAsia="黑体"/>
          <w:color w:val="000000"/>
          <w:szCs w:val="21"/>
        </w:rPr>
        <w:t>11</w:t>
      </w:r>
      <w:r>
        <w:rPr>
          <w:rFonts w:eastAsia="黑体"/>
          <w:color w:val="000000"/>
          <w:szCs w:val="21"/>
        </w:rPr>
        <w:t xml:space="preserve"> 铽靶材铸态显微组织（4号溶液化学抛光、浸蚀，偏光）</w:t>
      </w:r>
    </w:p>
    <w:p w14:paraId="085D268A">
      <w:pPr>
        <w:spacing w:after="156" w:afterLines="50"/>
        <w:jc w:val="center"/>
        <w:rPr>
          <w:rFonts w:eastAsia="黑体"/>
          <w:color w:val="000000"/>
          <w:szCs w:val="21"/>
        </w:rPr>
      </w:pPr>
      <w:r>
        <w:drawing>
          <wp:inline distT="0" distB="0" distL="0" distR="0">
            <wp:extent cx="2879725" cy="2311400"/>
            <wp:effectExtent l="0" t="0" r="0" b="0"/>
            <wp:docPr id="86644585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45850" name="图片 15"/>
                    <pic:cNvPicPr>
                      <a:picLocks noChangeAspect="1" noChangeArrowheads="1"/>
                    </pic:cNvPicPr>
                  </pic:nvPicPr>
                  <pic:blipFill>
                    <a:blip r:embed="rId19"/>
                    <a:srcRect/>
                    <a:stretch>
                      <a:fillRect/>
                    </a:stretch>
                  </pic:blipFill>
                  <pic:spPr>
                    <a:xfrm>
                      <a:off x="0" y="0"/>
                      <a:ext cx="2880000" cy="2311636"/>
                    </a:xfrm>
                    <a:prstGeom prst="rect">
                      <a:avLst/>
                    </a:prstGeom>
                    <a:noFill/>
                    <a:ln>
                      <a:noFill/>
                    </a:ln>
                  </pic:spPr>
                </pic:pic>
              </a:graphicData>
            </a:graphic>
          </wp:inline>
        </w:drawing>
      </w:r>
    </w:p>
    <w:p w14:paraId="43FEAFC0">
      <w:pPr>
        <w:spacing w:after="156" w:afterLines="50"/>
        <w:jc w:val="center"/>
        <w:rPr>
          <w:rFonts w:eastAsia="黑体"/>
          <w:color w:val="000000"/>
          <w:szCs w:val="21"/>
        </w:rPr>
      </w:pPr>
      <w:r>
        <w:rPr>
          <w:rFonts w:eastAsia="黑体"/>
          <w:color w:val="000000"/>
          <w:szCs w:val="21"/>
        </w:rPr>
        <w:t>图A.1</w:t>
      </w:r>
      <w:r>
        <w:rPr>
          <w:rFonts w:hint="eastAsia" w:eastAsia="黑体"/>
          <w:color w:val="000000"/>
          <w:szCs w:val="21"/>
        </w:rPr>
        <w:t>2</w:t>
      </w:r>
      <w:r>
        <w:rPr>
          <w:rFonts w:eastAsia="黑体"/>
          <w:color w:val="000000"/>
          <w:szCs w:val="21"/>
        </w:rPr>
        <w:t xml:space="preserve"> 镝靶材铸态显微组织（4号溶液化学抛光、浸蚀，偏光）</w:t>
      </w:r>
    </w:p>
    <w:p w14:paraId="7F6E7CDC">
      <w:pPr>
        <w:widowControl/>
        <w:jc w:val="center"/>
        <w:rPr>
          <w:rFonts w:eastAsia="黑体"/>
          <w:color w:val="000000"/>
          <w:szCs w:val="21"/>
        </w:rPr>
      </w:pPr>
      <w:r>
        <w:drawing>
          <wp:inline distT="0" distB="0" distL="0" distR="0">
            <wp:extent cx="2879725" cy="2311400"/>
            <wp:effectExtent l="0" t="0" r="0" b="0"/>
            <wp:docPr id="11640400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040012" name="图片 16"/>
                    <pic:cNvPicPr>
                      <a:picLocks noChangeAspect="1" noChangeArrowheads="1"/>
                    </pic:cNvPicPr>
                  </pic:nvPicPr>
                  <pic:blipFill>
                    <a:blip r:embed="rId20"/>
                    <a:srcRect/>
                    <a:stretch>
                      <a:fillRect/>
                    </a:stretch>
                  </pic:blipFill>
                  <pic:spPr>
                    <a:xfrm>
                      <a:off x="0" y="0"/>
                      <a:ext cx="2880000" cy="2311636"/>
                    </a:xfrm>
                    <a:prstGeom prst="rect">
                      <a:avLst/>
                    </a:prstGeom>
                    <a:noFill/>
                    <a:ln>
                      <a:noFill/>
                    </a:ln>
                  </pic:spPr>
                </pic:pic>
              </a:graphicData>
            </a:graphic>
          </wp:inline>
        </w:drawing>
      </w:r>
    </w:p>
    <w:p w14:paraId="621F645F">
      <w:pPr>
        <w:spacing w:after="156" w:afterLines="50"/>
        <w:jc w:val="center"/>
        <w:rPr>
          <w:rFonts w:eastAsia="黑体"/>
          <w:color w:val="000000"/>
          <w:szCs w:val="21"/>
        </w:rPr>
      </w:pPr>
      <w:r>
        <w:rPr>
          <w:rFonts w:eastAsia="黑体"/>
          <w:color w:val="000000"/>
          <w:szCs w:val="21"/>
        </w:rPr>
        <w:t>图A.1</w:t>
      </w:r>
      <w:r>
        <w:rPr>
          <w:rFonts w:hint="eastAsia" w:eastAsia="黑体"/>
          <w:color w:val="000000"/>
          <w:szCs w:val="21"/>
        </w:rPr>
        <w:t>3</w:t>
      </w:r>
      <w:r>
        <w:rPr>
          <w:rFonts w:eastAsia="黑体"/>
          <w:color w:val="000000"/>
          <w:szCs w:val="21"/>
        </w:rPr>
        <w:t xml:space="preserve"> 钪靶材铸态显微组织（7号溶液腐蚀、浸蚀，明场）</w:t>
      </w:r>
    </w:p>
    <w:p w14:paraId="4780AB87">
      <w:pPr>
        <w:spacing w:after="156" w:afterLines="50"/>
        <w:jc w:val="center"/>
        <w:rPr>
          <w:rFonts w:eastAsia="黑体"/>
          <w:color w:val="000000"/>
          <w:szCs w:val="21"/>
        </w:rPr>
      </w:pPr>
      <w:r>
        <w:rPr>
          <w:rFonts w:eastAsia="黑体"/>
          <w:color w:val="000000"/>
          <w:sz w:val="28"/>
          <w:szCs w:val="21"/>
        </w:rPr>
        <w:drawing>
          <wp:inline distT="0" distB="0" distL="0" distR="0">
            <wp:extent cx="3020695" cy="2421255"/>
            <wp:effectExtent l="0" t="0" r="8255" b="0"/>
            <wp:docPr id="628371988" name="图片 67" descr="Sc-100X--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71988" name="图片 67" descr="Sc-100X--01"/>
                    <pic:cNvPicPr>
                      <a:picLocks noChangeAspect="1" noChangeArrowheads="1"/>
                    </pic:cNvPicPr>
                  </pic:nvPicPr>
                  <pic:blipFill>
                    <a:blip r:embed="rId21"/>
                    <a:srcRect/>
                    <a:stretch>
                      <a:fillRect/>
                    </a:stretch>
                  </pic:blipFill>
                  <pic:spPr>
                    <a:xfrm>
                      <a:off x="0" y="0"/>
                      <a:ext cx="3025893" cy="2425438"/>
                    </a:xfrm>
                    <a:prstGeom prst="rect">
                      <a:avLst/>
                    </a:prstGeom>
                    <a:noFill/>
                    <a:ln>
                      <a:noFill/>
                    </a:ln>
                  </pic:spPr>
                </pic:pic>
              </a:graphicData>
            </a:graphic>
          </wp:inline>
        </w:drawing>
      </w:r>
    </w:p>
    <w:p w14:paraId="2413A09E">
      <w:pPr>
        <w:spacing w:after="156" w:afterLines="50"/>
        <w:jc w:val="center"/>
        <w:rPr>
          <w:rFonts w:eastAsia="黑体"/>
          <w:color w:val="000000"/>
          <w:szCs w:val="21"/>
        </w:rPr>
      </w:pPr>
      <w:r>
        <w:rPr>
          <w:rFonts w:eastAsia="黑体"/>
          <w:color w:val="000000"/>
          <w:szCs w:val="21"/>
        </w:rPr>
        <w:t>图A.1</w:t>
      </w:r>
      <w:r>
        <w:rPr>
          <w:rFonts w:hint="eastAsia" w:eastAsia="黑体"/>
          <w:color w:val="000000"/>
          <w:szCs w:val="21"/>
        </w:rPr>
        <w:t>4</w:t>
      </w:r>
      <w:r>
        <w:rPr>
          <w:rFonts w:eastAsia="黑体"/>
          <w:color w:val="000000"/>
          <w:szCs w:val="21"/>
        </w:rPr>
        <w:t xml:space="preserve"> 钪靶材铸态显微组织（10号方法，明场）</w:t>
      </w:r>
    </w:p>
    <w:p w14:paraId="5DEA88DA">
      <w:pPr>
        <w:pStyle w:val="4"/>
        <w:ind w:firstLine="0" w:firstLineChars="0"/>
        <w:jc w:val="center"/>
        <w:rPr>
          <w:rFonts w:ascii="Times New Roman"/>
        </w:rPr>
      </w:pPr>
      <w:r>
        <w:rPr>
          <w:rFonts w:ascii="Times New Roman" w:eastAsia="仿宋_GB2312"/>
          <w:sz w:val="26"/>
          <w:szCs w:val="26"/>
        </w:rPr>
        <w:drawing>
          <wp:inline distT="0" distB="0" distL="0" distR="0">
            <wp:extent cx="2879725" cy="2308225"/>
            <wp:effectExtent l="0" t="0" r="0" b="0"/>
            <wp:docPr id="474973922" name="图片 65" descr="Er-3N-12.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73922" name="图片 65" descr="Er-3N-12.5X"/>
                    <pic:cNvPicPr>
                      <a:picLocks noChangeAspect="1" noChangeArrowheads="1"/>
                    </pic:cNvPicPr>
                  </pic:nvPicPr>
                  <pic:blipFill>
                    <a:blip r:embed="rId22"/>
                    <a:srcRect/>
                    <a:stretch>
                      <a:fillRect/>
                    </a:stretch>
                  </pic:blipFill>
                  <pic:spPr>
                    <a:xfrm>
                      <a:off x="0" y="0"/>
                      <a:ext cx="2880000" cy="2308497"/>
                    </a:xfrm>
                    <a:prstGeom prst="rect">
                      <a:avLst/>
                    </a:prstGeom>
                    <a:noFill/>
                    <a:ln>
                      <a:noFill/>
                    </a:ln>
                  </pic:spPr>
                </pic:pic>
              </a:graphicData>
            </a:graphic>
          </wp:inline>
        </w:drawing>
      </w:r>
    </w:p>
    <w:p w14:paraId="087F968C">
      <w:pPr>
        <w:spacing w:after="156" w:afterLines="50"/>
        <w:jc w:val="center"/>
        <w:rPr>
          <w:rFonts w:eastAsia="黑体"/>
          <w:color w:val="000000"/>
          <w:szCs w:val="21"/>
        </w:rPr>
      </w:pPr>
      <w:r>
        <w:rPr>
          <w:rFonts w:eastAsia="黑体"/>
          <w:color w:val="000000"/>
          <w:szCs w:val="21"/>
        </w:rPr>
        <w:t>图A.1</w:t>
      </w:r>
      <w:r>
        <w:rPr>
          <w:rFonts w:hint="eastAsia" w:eastAsia="黑体"/>
          <w:color w:val="000000"/>
          <w:szCs w:val="21"/>
        </w:rPr>
        <w:t>5</w:t>
      </w:r>
      <w:r>
        <w:rPr>
          <w:rFonts w:eastAsia="黑体"/>
          <w:color w:val="000000"/>
          <w:szCs w:val="21"/>
        </w:rPr>
        <w:t xml:space="preserve"> 铒靶材铸态显微组织（9号溶液浸蚀，明场）</w:t>
      </w:r>
    </w:p>
    <w:p w14:paraId="22B3DF7B">
      <w:pPr>
        <w:jc w:val="center"/>
        <w:rPr>
          <w:rFonts w:eastAsia="黑体"/>
          <w:color w:val="000000"/>
          <w:szCs w:val="21"/>
        </w:rPr>
      </w:pPr>
      <w:r>
        <w:drawing>
          <wp:inline distT="0" distB="0" distL="0" distR="0">
            <wp:extent cx="2879725" cy="2311400"/>
            <wp:effectExtent l="0" t="0" r="0" b="0"/>
            <wp:docPr id="14088191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19128" name="图片 17"/>
                    <pic:cNvPicPr>
                      <a:picLocks noChangeAspect="1" noChangeArrowheads="1"/>
                    </pic:cNvPicPr>
                  </pic:nvPicPr>
                  <pic:blipFill>
                    <a:blip r:embed="rId23"/>
                    <a:srcRect/>
                    <a:stretch>
                      <a:fillRect/>
                    </a:stretch>
                  </pic:blipFill>
                  <pic:spPr>
                    <a:xfrm>
                      <a:off x="0" y="0"/>
                      <a:ext cx="2880000" cy="2311636"/>
                    </a:xfrm>
                    <a:prstGeom prst="rect">
                      <a:avLst/>
                    </a:prstGeom>
                    <a:noFill/>
                    <a:ln>
                      <a:noFill/>
                    </a:ln>
                  </pic:spPr>
                </pic:pic>
              </a:graphicData>
            </a:graphic>
          </wp:inline>
        </w:drawing>
      </w:r>
    </w:p>
    <w:p w14:paraId="2B34D5DE">
      <w:pPr>
        <w:spacing w:after="156" w:afterLines="50"/>
        <w:jc w:val="center"/>
        <w:rPr>
          <w:rFonts w:eastAsia="黑体"/>
          <w:color w:val="000000"/>
          <w:szCs w:val="21"/>
        </w:rPr>
      </w:pPr>
      <w:r>
        <w:rPr>
          <w:rFonts w:eastAsia="黑体"/>
          <w:color w:val="000000"/>
          <w:szCs w:val="21"/>
        </w:rPr>
        <w:t>图A.1</w:t>
      </w:r>
      <w:r>
        <w:rPr>
          <w:rFonts w:hint="eastAsia" w:eastAsia="黑体"/>
          <w:color w:val="000000"/>
          <w:szCs w:val="21"/>
        </w:rPr>
        <w:t>6</w:t>
      </w:r>
      <w:r>
        <w:rPr>
          <w:rFonts w:eastAsia="黑体"/>
          <w:color w:val="000000"/>
          <w:szCs w:val="21"/>
        </w:rPr>
        <w:t xml:space="preserve"> 镱靶材铸态显微组织（6号溶液浸蚀，明场）</w:t>
      </w:r>
    </w:p>
    <w:p w14:paraId="02138101">
      <w:pPr>
        <w:jc w:val="center"/>
        <w:rPr>
          <w:rFonts w:eastAsia="黑体"/>
          <w:color w:val="000000"/>
          <w:szCs w:val="21"/>
        </w:rPr>
      </w:pPr>
      <w:r>
        <w:drawing>
          <wp:inline distT="0" distB="0" distL="0" distR="0">
            <wp:extent cx="2879725" cy="2311400"/>
            <wp:effectExtent l="0" t="0" r="0" b="0"/>
            <wp:docPr id="44131124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11241" name="图片 18"/>
                    <pic:cNvPicPr>
                      <a:picLocks noChangeAspect="1" noChangeArrowheads="1"/>
                    </pic:cNvPicPr>
                  </pic:nvPicPr>
                  <pic:blipFill>
                    <a:blip r:embed="rId24"/>
                    <a:srcRect/>
                    <a:stretch>
                      <a:fillRect/>
                    </a:stretch>
                  </pic:blipFill>
                  <pic:spPr>
                    <a:xfrm>
                      <a:off x="0" y="0"/>
                      <a:ext cx="2880000" cy="2311636"/>
                    </a:xfrm>
                    <a:prstGeom prst="rect">
                      <a:avLst/>
                    </a:prstGeom>
                    <a:noFill/>
                    <a:ln>
                      <a:noFill/>
                    </a:ln>
                  </pic:spPr>
                </pic:pic>
              </a:graphicData>
            </a:graphic>
          </wp:inline>
        </w:drawing>
      </w:r>
    </w:p>
    <w:p w14:paraId="22C2C0DF">
      <w:pPr>
        <w:jc w:val="center"/>
        <w:rPr>
          <w:rFonts w:eastAsia="黑体"/>
          <w:color w:val="000000"/>
          <w:szCs w:val="21"/>
        </w:rPr>
      </w:pPr>
      <w:r>
        <w:rPr>
          <w:rFonts w:eastAsia="黑体"/>
          <w:color w:val="000000"/>
          <w:szCs w:val="21"/>
        </w:rPr>
        <w:t>图A.1</w:t>
      </w:r>
      <w:r>
        <w:rPr>
          <w:rFonts w:hint="eastAsia" w:eastAsia="黑体"/>
          <w:color w:val="000000"/>
          <w:szCs w:val="21"/>
        </w:rPr>
        <w:t>7</w:t>
      </w:r>
      <w:r>
        <w:rPr>
          <w:rFonts w:eastAsia="黑体"/>
          <w:color w:val="000000"/>
          <w:szCs w:val="21"/>
        </w:rPr>
        <w:t xml:space="preserve"> 镱靶材轧制态显微组织（8号溶液浸蚀，明场）</w:t>
      </w:r>
    </w:p>
    <w:p w14:paraId="5A4D23B0">
      <w:pPr>
        <w:widowControl/>
        <w:jc w:val="left"/>
        <w:rPr>
          <w:rFonts w:eastAsia="黑体"/>
          <w:color w:val="000000"/>
          <w:szCs w:val="21"/>
        </w:rPr>
      </w:pPr>
      <w:r>
        <w:rPr>
          <w:rFonts w:eastAsia="黑体"/>
          <w:color w:val="000000"/>
          <w:szCs w:val="21"/>
        </w:rPr>
        <w:br w:type="page"/>
      </w:r>
    </w:p>
    <w:p w14:paraId="0D7BE0DF">
      <w:pPr>
        <w:jc w:val="center"/>
        <w:rPr>
          <w:rFonts w:eastAsia="黑体"/>
          <w:color w:val="000000"/>
          <w:szCs w:val="21"/>
        </w:rPr>
      </w:pPr>
      <w:r>
        <w:rPr>
          <w:rFonts w:eastAsia="黑体"/>
          <w:color w:val="000000"/>
          <w:szCs w:val="21"/>
        </w:rPr>
        <w:t>附</w:t>
      </w:r>
      <w:r>
        <w:rPr>
          <w:rFonts w:hint="eastAsia" w:eastAsia="黑体"/>
          <w:color w:val="000000"/>
          <w:szCs w:val="21"/>
        </w:rPr>
        <w:t xml:space="preserve">  </w:t>
      </w:r>
      <w:r>
        <w:rPr>
          <w:rFonts w:eastAsia="黑体"/>
          <w:color w:val="000000"/>
          <w:szCs w:val="21"/>
        </w:rPr>
        <w:t>录</w:t>
      </w:r>
      <w:r>
        <w:rPr>
          <w:rFonts w:hint="eastAsia" w:eastAsia="黑体"/>
          <w:color w:val="000000"/>
          <w:szCs w:val="21"/>
        </w:rPr>
        <w:t xml:space="preserve">  B</w:t>
      </w:r>
    </w:p>
    <w:p w14:paraId="646E939E">
      <w:pPr>
        <w:jc w:val="center"/>
        <w:rPr>
          <w:rFonts w:eastAsia="黑体"/>
          <w:color w:val="000000"/>
          <w:szCs w:val="21"/>
        </w:rPr>
      </w:pPr>
      <w:r>
        <w:rPr>
          <w:rFonts w:hint="eastAsia" w:eastAsia="黑体"/>
          <w:color w:val="000000"/>
          <w:szCs w:val="21"/>
        </w:rPr>
        <w:t>(资料性)</w:t>
      </w:r>
    </w:p>
    <w:p w14:paraId="0121EE9E">
      <w:pPr>
        <w:jc w:val="center"/>
        <w:rPr>
          <w:rFonts w:eastAsia="黑体"/>
          <w:color w:val="000000"/>
          <w:szCs w:val="21"/>
        </w:rPr>
      </w:pPr>
      <w:r>
        <w:rPr>
          <w:rFonts w:hint="eastAsia" w:eastAsia="黑体"/>
          <w:color w:val="000000"/>
          <w:szCs w:val="21"/>
        </w:rPr>
        <w:t>稀土金属靶材典型缺陷组织图谱</w:t>
      </w:r>
    </w:p>
    <w:p w14:paraId="155480B2">
      <w:pPr>
        <w:jc w:val="center"/>
        <w:rPr>
          <w:rFonts w:eastAsia="黑体"/>
          <w:color w:val="000000"/>
          <w:szCs w:val="21"/>
        </w:rPr>
      </w:pPr>
      <w:r>
        <w:drawing>
          <wp:inline distT="0" distB="0" distL="0" distR="0">
            <wp:extent cx="2879725" cy="2310130"/>
            <wp:effectExtent l="0" t="0" r="0" b="0"/>
            <wp:docPr id="9608900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90013" name="图片 9"/>
                    <pic:cNvPicPr>
                      <a:picLocks noChangeAspect="1" noChangeArrowheads="1"/>
                    </pic:cNvPicPr>
                  </pic:nvPicPr>
                  <pic:blipFill>
                    <a:blip r:embed="rId25"/>
                    <a:srcRect/>
                    <a:stretch>
                      <a:fillRect/>
                    </a:stretch>
                  </pic:blipFill>
                  <pic:spPr>
                    <a:xfrm>
                      <a:off x="0" y="0"/>
                      <a:ext cx="2880000" cy="2310404"/>
                    </a:xfrm>
                    <a:prstGeom prst="rect">
                      <a:avLst/>
                    </a:prstGeom>
                    <a:noFill/>
                    <a:ln>
                      <a:noFill/>
                    </a:ln>
                  </pic:spPr>
                </pic:pic>
              </a:graphicData>
            </a:graphic>
          </wp:inline>
        </w:drawing>
      </w:r>
    </w:p>
    <w:p w14:paraId="5B4F90F1">
      <w:pPr>
        <w:jc w:val="center"/>
        <w:rPr>
          <w:rFonts w:eastAsia="黑体"/>
          <w:color w:val="000000"/>
          <w:szCs w:val="21"/>
        </w:rPr>
      </w:pPr>
      <w:r>
        <w:rPr>
          <w:rFonts w:eastAsia="黑体"/>
          <w:color w:val="000000"/>
          <w:szCs w:val="21"/>
        </w:rPr>
        <w:t>图</w:t>
      </w:r>
      <w:r>
        <w:rPr>
          <w:rFonts w:hint="eastAsia" w:eastAsia="黑体"/>
          <w:color w:val="000000"/>
          <w:szCs w:val="21"/>
        </w:rPr>
        <w:t>B.1 钇靶材热裂纹</w:t>
      </w:r>
    </w:p>
    <w:p w14:paraId="15807B37">
      <w:pPr>
        <w:jc w:val="center"/>
        <w:rPr>
          <w:rFonts w:eastAsia="黑体"/>
          <w:color w:val="000000"/>
          <w:szCs w:val="21"/>
        </w:rPr>
      </w:pPr>
    </w:p>
    <w:p w14:paraId="1BAE3D57">
      <w:pPr>
        <w:jc w:val="center"/>
        <w:rPr>
          <w:rFonts w:eastAsia="黑体"/>
          <w:color w:val="000000"/>
          <w:szCs w:val="21"/>
        </w:rPr>
      </w:pPr>
      <w:r>
        <w:drawing>
          <wp:inline distT="0" distB="0" distL="0" distR="0">
            <wp:extent cx="2879725" cy="2310130"/>
            <wp:effectExtent l="0" t="0" r="0" b="0"/>
            <wp:docPr id="1226019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1913" name="图片 10"/>
                    <pic:cNvPicPr>
                      <a:picLocks noChangeAspect="1" noChangeArrowheads="1"/>
                    </pic:cNvPicPr>
                  </pic:nvPicPr>
                  <pic:blipFill>
                    <a:blip r:embed="rId26"/>
                    <a:srcRect/>
                    <a:stretch>
                      <a:fillRect/>
                    </a:stretch>
                  </pic:blipFill>
                  <pic:spPr>
                    <a:xfrm>
                      <a:off x="0" y="0"/>
                      <a:ext cx="2880000" cy="2310404"/>
                    </a:xfrm>
                    <a:prstGeom prst="rect">
                      <a:avLst/>
                    </a:prstGeom>
                    <a:noFill/>
                    <a:ln>
                      <a:noFill/>
                    </a:ln>
                  </pic:spPr>
                </pic:pic>
              </a:graphicData>
            </a:graphic>
          </wp:inline>
        </w:drawing>
      </w:r>
    </w:p>
    <w:p w14:paraId="4E3D841D">
      <w:pPr>
        <w:jc w:val="center"/>
        <w:rPr>
          <w:rFonts w:eastAsia="黑体"/>
          <w:color w:val="000000"/>
          <w:szCs w:val="21"/>
        </w:rPr>
      </w:pPr>
      <w:r>
        <w:rPr>
          <w:rFonts w:eastAsia="黑体"/>
          <w:color w:val="000000"/>
          <w:szCs w:val="21"/>
        </w:rPr>
        <w:t>图</w:t>
      </w:r>
      <w:r>
        <w:rPr>
          <w:rFonts w:hint="eastAsia" w:eastAsia="黑体"/>
          <w:color w:val="000000"/>
          <w:szCs w:val="21"/>
        </w:rPr>
        <w:t>B.2 钪靶材气孔</w:t>
      </w:r>
    </w:p>
    <w:p w14:paraId="4B6E7FDC">
      <w:pPr>
        <w:jc w:val="center"/>
        <w:rPr>
          <w:rFonts w:eastAsia="黑体"/>
          <w:color w:val="000000"/>
          <w:szCs w:val="21"/>
        </w:rPr>
      </w:pPr>
    </w:p>
    <w:sectPr>
      <w:pgSz w:w="11906" w:h="16838"/>
      <w:pgMar w:top="567" w:right="1134" w:bottom="1134" w:left="1418" w:header="1418" w:footer="1134" w:gutter="0"/>
      <w:pgNumType w:start="1"/>
      <w:cols w:space="720" w:num="1"/>
      <w:formProt w:val="0"/>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2E20A">
    <w:pPr>
      <w:pStyle w:val="32"/>
    </w:pPr>
    <w:r>
      <w:fldChar w:fldCharType="begin"/>
    </w:r>
    <w:r>
      <w:instrText xml:space="preserve">PAGE   \* MERGEFORMAT</w:instrText>
    </w:r>
    <w:r>
      <w:fldChar w:fldCharType="separate"/>
    </w:r>
    <w:r>
      <w:rPr>
        <w:lang w:val="zh-CN"/>
      </w:rPr>
      <w:t>II</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852D0">
    <w:pPr>
      <w:pStyle w:val="87"/>
      <w:wordWrap w:val="0"/>
    </w:pPr>
    <w:r>
      <w:rPr>
        <w:rFonts w:hint="eastAsia"/>
      </w:rPr>
      <w:t>GB/T XXXX-XXXX</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9102AD"/>
    <w:multiLevelType w:val="multilevel"/>
    <w:tmpl w:val="079102AD"/>
    <w:lvl w:ilvl="0" w:tentative="0">
      <w:start w:val="1"/>
      <w:numFmt w:val="decimal"/>
      <w:pStyle w:val="89"/>
      <w:suff w:val="nothing"/>
      <w:lvlText w:val="注%1："/>
      <w:lvlJc w:val="left"/>
      <w:pPr>
        <w:ind w:left="811" w:hanging="448"/>
      </w:pPr>
      <w:rPr>
        <w:rFonts w:hint="eastAsia" w:ascii="黑体" w:eastAsia="黑体"/>
        <w:b w:val="0"/>
        <w:i w:val="0"/>
        <w:sz w:val="18"/>
        <w:lang w:val="en-US"/>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
    <w:nsid w:val="09227E31"/>
    <w:multiLevelType w:val="multilevel"/>
    <w:tmpl w:val="09227E31"/>
    <w:lvl w:ilvl="0" w:tentative="0">
      <w:start w:val="1"/>
      <w:numFmt w:val="none"/>
      <w:suff w:val="nothing"/>
      <w:lvlText w:val=""/>
      <w:lvlJc w:val="left"/>
      <w:pPr>
        <w:ind w:left="0" w:firstLine="0"/>
      </w:pPr>
      <w:rPr>
        <w:rFonts w:hint="eastAsia" w:ascii="黑体" w:hAnsi="Times New Roman" w:eastAsia="黑体"/>
        <w:b/>
        <w:i w:val="0"/>
        <w:sz w:val="21"/>
      </w:rPr>
    </w:lvl>
    <w:lvl w:ilvl="1" w:tentative="0">
      <w:start w:val="1"/>
      <w:numFmt w:val="decimal"/>
      <w:suff w:val="nothing"/>
      <w:lvlText w:val="表%2　"/>
      <w:lvlJc w:val="left"/>
      <w:pPr>
        <w:ind w:left="0" w:firstLine="0"/>
      </w:pPr>
      <w:rPr>
        <w:rFonts w:hint="eastAsia" w:ascii="黑体" w:hAnsi="Times New Roman" w:eastAsia="黑体"/>
        <w:b w:val="0"/>
        <w:i w:val="0"/>
        <w:caps w:val="0"/>
        <w:strike w:val="0"/>
        <w:dstrike w:val="0"/>
        <w:snapToGrid w:val="0"/>
        <w:vanish w:val="0"/>
        <w:kern w:val="0"/>
        <w:sz w:val="21"/>
        <w:szCs w:val="21"/>
        <w:u w:val="none"/>
        <w:vertAlign w:val="baseline"/>
      </w:rPr>
    </w:lvl>
    <w:lvl w:ilvl="2" w:tentative="0">
      <w:start w:val="1"/>
      <w:numFmt w:val="none"/>
      <w:suff w:val="nothing"/>
      <w:lvlText w:val="%1表%2　"/>
      <w:lvlJc w:val="left"/>
      <w:pPr>
        <w:ind w:left="0" w:firstLine="0"/>
      </w:pPr>
      <w:rPr>
        <w:rFonts w:hint="eastAsia" w:ascii="黑体" w:hAnsi="黑体" w:eastAsia="黑体" w:cs="Times New Roman"/>
        <w:b w:val="0"/>
        <w:bCs w:val="0"/>
        <w:i w:val="0"/>
        <w:iCs w:val="0"/>
        <w:caps w:val="0"/>
        <w:smallCaps w:val="0"/>
        <w:strike w:val="0"/>
        <w:dstrike w:val="0"/>
        <w:snapToGrid w:val="0"/>
        <w:vanish w:val="0"/>
        <w:color w:val="000000"/>
        <w:spacing w:val="0"/>
        <w:w w:val="100"/>
        <w:kern w:val="0"/>
        <w:position w:val="0"/>
        <w:sz w:val="21"/>
        <w:u w:val="none"/>
        <w:vertAlign w:val="baseline"/>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3969"/>
        </w:tabs>
        <w:ind w:left="3969" w:hanging="1418"/>
      </w:pPr>
      <w:rPr>
        <w:rFonts w:hint="eastAsia"/>
      </w:rPr>
    </w:lvl>
    <w:lvl w:ilvl="8" w:tentative="0">
      <w:start w:val="1"/>
      <w:numFmt w:val="decimal"/>
      <w:lvlText w:val="%1.%2.%3.%4.%5.%6.%7.%8.%9"/>
      <w:lvlJc w:val="left"/>
      <w:pPr>
        <w:tabs>
          <w:tab w:val="left" w:pos="4677"/>
        </w:tabs>
        <w:ind w:left="4677" w:hanging="1700"/>
      </w:pPr>
      <w:rPr>
        <w:rFonts w:hint="eastAsia"/>
      </w:rPr>
    </w:lvl>
  </w:abstractNum>
  <w:abstractNum w:abstractNumId="2">
    <w:nsid w:val="093C6778"/>
    <w:multiLevelType w:val="multilevel"/>
    <w:tmpl w:val="093C6778"/>
    <w:lvl w:ilvl="0" w:tentative="0">
      <w:start w:val="1"/>
      <w:numFmt w:val="decimal"/>
      <w:pStyle w:val="63"/>
      <w:suff w:val="nothing"/>
      <w:lvlText w:val="示例%1："/>
      <w:lvlJc w:val="left"/>
      <w:pPr>
        <w:ind w:left="0" w:firstLine="397"/>
      </w:pPr>
      <w:rPr>
        <w:rFonts w:hint="eastAsia" w:ascii="黑体" w:eastAsia="黑体"/>
        <w:sz w:val="18"/>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0AE367E9"/>
    <w:multiLevelType w:val="multilevel"/>
    <w:tmpl w:val="0AE367E9"/>
    <w:lvl w:ilvl="0" w:tentative="0">
      <w:start w:val="1"/>
      <w:numFmt w:val="none"/>
      <w:pStyle w:val="103"/>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4">
    <w:nsid w:val="0D983844"/>
    <w:multiLevelType w:val="multilevel"/>
    <w:tmpl w:val="0D983844"/>
    <w:lvl w:ilvl="0" w:tentative="0">
      <w:start w:val="1"/>
      <w:numFmt w:val="decimal"/>
      <w:pStyle w:val="165"/>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5">
    <w:nsid w:val="0DDE2B46"/>
    <w:multiLevelType w:val="multilevel"/>
    <w:tmpl w:val="0DDE2B46"/>
    <w:lvl w:ilvl="0" w:tentative="0">
      <w:start w:val="1"/>
      <w:numFmt w:val="lowerLetter"/>
      <w:pStyle w:val="158"/>
      <w:suff w:val="nothing"/>
      <w:lvlText w:val="%1   "/>
      <w:lvlJc w:val="left"/>
      <w:pPr>
        <w:ind w:left="544" w:hanging="181"/>
      </w:pPr>
      <w:rPr>
        <w:rFonts w:hint="eastAsia" w:ascii="宋体" w:eastAsia="宋体"/>
        <w:b w:val="0"/>
        <w:i w:val="0"/>
        <w:sz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6">
    <w:nsid w:val="1DBF583A"/>
    <w:multiLevelType w:val="multilevel"/>
    <w:tmpl w:val="1DBF583A"/>
    <w:lvl w:ilvl="0" w:tentative="0">
      <w:start w:val="1"/>
      <w:numFmt w:val="decimal"/>
      <w:pStyle w:val="115"/>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7">
    <w:nsid w:val="1FC91163"/>
    <w:multiLevelType w:val="multilevel"/>
    <w:tmpl w:val="1FC91163"/>
    <w:lvl w:ilvl="0" w:tentative="0">
      <w:start w:val="1"/>
      <w:numFmt w:val="decimal"/>
      <w:pStyle w:val="3"/>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pStyle w:val="91"/>
      <w:suff w:val="nothing"/>
      <w:lvlText w:val="%1.%2.%3.%4.%5　"/>
      <w:lvlJc w:val="left"/>
      <w:pPr>
        <w:ind w:left="0" w:firstLine="0"/>
      </w:pPr>
      <w:rPr>
        <w:rFonts w:hint="eastAsia" w:ascii="黑体" w:hAnsi="Times New Roman" w:eastAsia="黑体"/>
        <w:b w:val="0"/>
        <w:i w:val="0"/>
        <w:sz w:val="21"/>
      </w:rPr>
    </w:lvl>
    <w:lvl w:ilvl="5" w:tentative="0">
      <w:start w:val="1"/>
      <w:numFmt w:val="decimal"/>
      <w:pStyle w:val="90"/>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8">
    <w:nsid w:val="22827D5B"/>
    <w:multiLevelType w:val="multilevel"/>
    <w:tmpl w:val="22827D5B"/>
    <w:lvl w:ilvl="0" w:tentative="0">
      <w:start w:val="1"/>
      <w:numFmt w:val="none"/>
      <w:pStyle w:val="114"/>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9">
    <w:nsid w:val="2A8F7113"/>
    <w:multiLevelType w:val="multilevel"/>
    <w:tmpl w:val="2A8F7113"/>
    <w:lvl w:ilvl="0" w:tentative="0">
      <w:start w:val="1"/>
      <w:numFmt w:val="upperLetter"/>
      <w:pStyle w:val="135"/>
      <w:suff w:val="space"/>
      <w:lvlText w:val="%1"/>
      <w:lvlJc w:val="left"/>
      <w:pPr>
        <w:ind w:left="623" w:hanging="425"/>
      </w:pPr>
      <w:rPr>
        <w:rFonts w:hint="eastAsia"/>
      </w:rPr>
    </w:lvl>
    <w:lvl w:ilvl="1" w:tentative="0">
      <w:start w:val="1"/>
      <w:numFmt w:val="decimal"/>
      <w:pStyle w:val="136"/>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10">
    <w:nsid w:val="2C5917C3"/>
    <w:multiLevelType w:val="multilevel"/>
    <w:tmpl w:val="2C5917C3"/>
    <w:lvl w:ilvl="0" w:tentative="0">
      <w:start w:val="1"/>
      <w:numFmt w:val="none"/>
      <w:pStyle w:val="101"/>
      <w:suff w:val="nothing"/>
      <w:lvlText w:val="%1——"/>
      <w:lvlJc w:val="left"/>
      <w:pPr>
        <w:ind w:left="833" w:hanging="408"/>
      </w:pPr>
      <w:rPr>
        <w:rFonts w:hint="eastAsia"/>
      </w:rPr>
    </w:lvl>
    <w:lvl w:ilvl="1" w:tentative="0">
      <w:start w:val="1"/>
      <w:numFmt w:val="bullet"/>
      <w:pStyle w:val="102"/>
      <w:lvlText w:val=""/>
      <w:lvlJc w:val="left"/>
      <w:pPr>
        <w:tabs>
          <w:tab w:val="left" w:pos="760"/>
        </w:tabs>
        <w:ind w:left="1264" w:hanging="413"/>
      </w:pPr>
      <w:rPr>
        <w:rFonts w:hint="default" w:ascii="Symbol" w:hAnsi="Symbol"/>
        <w:color w:val="auto"/>
      </w:rPr>
    </w:lvl>
    <w:lvl w:ilvl="2" w:tentative="0">
      <w:start w:val="1"/>
      <w:numFmt w:val="bullet"/>
      <w:pStyle w:val="97"/>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D733618"/>
    <w:multiLevelType w:val="multilevel"/>
    <w:tmpl w:val="3D733618"/>
    <w:lvl w:ilvl="0" w:tentative="0">
      <w:start w:val="1"/>
      <w:numFmt w:val="decimal"/>
      <w:pStyle w:val="38"/>
      <w:lvlText w:val="%1)"/>
      <w:lvlJc w:val="left"/>
      <w:pPr>
        <w:tabs>
          <w:tab w:val="left" w:pos="0"/>
        </w:tabs>
        <w:ind w:left="720" w:hanging="357"/>
      </w:pPr>
      <w:rPr>
        <w:rFonts w:hint="eastAsia"/>
      </w:rPr>
    </w:lvl>
    <w:lvl w:ilvl="1" w:tentative="0">
      <w:start w:val="1"/>
      <w:numFmt w:val="lowerLetter"/>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12">
    <w:nsid w:val="45B6105E"/>
    <w:multiLevelType w:val="multilevel"/>
    <w:tmpl w:val="45B6105E"/>
    <w:lvl w:ilvl="0" w:tentative="0">
      <w:start w:val="1"/>
      <w:numFmt w:val="lowerLetter"/>
      <w:pStyle w:val="98"/>
      <w:lvlText w:val="%1）"/>
      <w:lvlJc w:val="left"/>
      <w:pPr>
        <w:tabs>
          <w:tab w:val="left" w:pos="840"/>
        </w:tabs>
        <w:ind w:left="839" w:hanging="419"/>
      </w:pPr>
      <w:rPr>
        <w:rFonts w:hint="eastAsia"/>
        <w:b w:val="0"/>
        <w:i w:val="0"/>
        <w:sz w:val="21"/>
        <w:szCs w:val="21"/>
      </w:rPr>
    </w:lvl>
    <w:lvl w:ilvl="1" w:tentative="0">
      <w:start w:val="1"/>
      <w:numFmt w:val="decimal"/>
      <w:pStyle w:val="94"/>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B733A5F"/>
    <w:multiLevelType w:val="multilevel"/>
    <w:tmpl w:val="4B733A5F"/>
    <w:lvl w:ilvl="0" w:tentative="0">
      <w:start w:val="1"/>
      <w:numFmt w:val="decimal"/>
      <w:pStyle w:val="112"/>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pStyle w:val="189"/>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14">
    <w:nsid w:val="60B55DC2"/>
    <w:multiLevelType w:val="multilevel"/>
    <w:tmpl w:val="60B55DC2"/>
    <w:lvl w:ilvl="0" w:tentative="0">
      <w:start w:val="1"/>
      <w:numFmt w:val="upperLetter"/>
      <w:pStyle w:val="129"/>
      <w:lvlText w:val="%1"/>
      <w:lvlJc w:val="left"/>
      <w:pPr>
        <w:tabs>
          <w:tab w:val="left" w:pos="0"/>
        </w:tabs>
        <w:ind w:left="0" w:hanging="425"/>
      </w:pPr>
      <w:rPr>
        <w:rFonts w:hint="eastAsia"/>
      </w:rPr>
    </w:lvl>
    <w:lvl w:ilvl="1" w:tentative="0">
      <w:start w:val="1"/>
      <w:numFmt w:val="decimal"/>
      <w:pStyle w:val="130"/>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15">
    <w:nsid w:val="646260FA"/>
    <w:multiLevelType w:val="multilevel"/>
    <w:tmpl w:val="646260FA"/>
    <w:lvl w:ilvl="0" w:tentative="0">
      <w:start w:val="1"/>
      <w:numFmt w:val="decimal"/>
      <w:pStyle w:val="163"/>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6">
    <w:nsid w:val="657D3FBC"/>
    <w:multiLevelType w:val="multilevel"/>
    <w:tmpl w:val="657D3FBC"/>
    <w:lvl w:ilvl="0" w:tentative="0">
      <w:start w:val="1"/>
      <w:numFmt w:val="upperLetter"/>
      <w:pStyle w:val="127"/>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pStyle w:val="142"/>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143"/>
      <w:suff w:val="nothing"/>
      <w:lvlText w:val="%1.%2.%3　"/>
      <w:lvlJc w:val="left"/>
      <w:pPr>
        <w:ind w:left="0" w:firstLine="0"/>
      </w:pPr>
      <w:rPr>
        <w:rFonts w:hint="eastAsia" w:ascii="黑体" w:hAnsi="Times New Roman" w:eastAsia="黑体"/>
        <w:b w:val="0"/>
        <w:i w:val="0"/>
        <w:sz w:val="21"/>
      </w:rPr>
    </w:lvl>
    <w:lvl w:ilvl="3" w:tentative="0">
      <w:start w:val="1"/>
      <w:numFmt w:val="decimal"/>
      <w:pStyle w:val="108"/>
      <w:suff w:val="nothing"/>
      <w:lvlText w:val="%1.%2.%3.%4　"/>
      <w:lvlJc w:val="left"/>
      <w:pPr>
        <w:ind w:left="0" w:firstLine="0"/>
      </w:pPr>
      <w:rPr>
        <w:rFonts w:hint="eastAsia" w:ascii="黑体" w:hAnsi="Times New Roman" w:eastAsia="黑体"/>
        <w:b w:val="0"/>
        <w:i w:val="0"/>
        <w:sz w:val="21"/>
      </w:rPr>
    </w:lvl>
    <w:lvl w:ilvl="4" w:tentative="0">
      <w:start w:val="1"/>
      <w:numFmt w:val="decimal"/>
      <w:pStyle w:val="107"/>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7">
    <w:nsid w:val="6D6C07CD"/>
    <w:multiLevelType w:val="multilevel"/>
    <w:tmpl w:val="6D6C07CD"/>
    <w:lvl w:ilvl="0" w:tentative="0">
      <w:start w:val="1"/>
      <w:numFmt w:val="lowerLetter"/>
      <w:pStyle w:val="145"/>
      <w:lvlText w:val="%1)"/>
      <w:lvlJc w:val="left"/>
      <w:pPr>
        <w:tabs>
          <w:tab w:val="left" w:pos="839"/>
        </w:tabs>
        <w:ind w:left="839" w:hanging="419"/>
      </w:pPr>
      <w:rPr>
        <w:rFonts w:hint="eastAsia" w:ascii="宋体" w:eastAsia="宋体"/>
        <w:b w:val="0"/>
        <w:i w:val="0"/>
        <w:sz w:val="21"/>
      </w:rPr>
    </w:lvl>
    <w:lvl w:ilvl="1" w:tentative="0">
      <w:start w:val="1"/>
      <w:numFmt w:val="decimal"/>
      <w:pStyle w:val="134"/>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abstractNum w:abstractNumId="18">
    <w:nsid w:val="6DBF04F4"/>
    <w:multiLevelType w:val="multilevel"/>
    <w:tmpl w:val="6DBF04F4"/>
    <w:lvl w:ilvl="0" w:tentative="0">
      <w:start w:val="1"/>
      <w:numFmt w:val="none"/>
      <w:pStyle w:val="110"/>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19">
    <w:nsid w:val="7777721C"/>
    <w:multiLevelType w:val="multilevel"/>
    <w:tmpl w:val="7777721C"/>
    <w:lvl w:ilvl="0" w:tentative="0">
      <w:start w:val="1"/>
      <w:numFmt w:val="decimal"/>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ascii="黑体" w:eastAsia="黑体"/>
        <w:b w:val="0"/>
        <w:sz w:val="21"/>
        <w:szCs w:val="21"/>
      </w:rPr>
    </w:lvl>
    <w:lvl w:ilvl="2" w:tentative="0">
      <w:start w:val="1"/>
      <w:numFmt w:val="decimal"/>
      <w:lvlText w:val="%1.%2.%3"/>
      <w:lvlJc w:val="left"/>
      <w:pPr>
        <w:tabs>
          <w:tab w:val="left" w:pos="1440"/>
        </w:tabs>
        <w:ind w:left="1440" w:hanging="720"/>
      </w:pPr>
      <w:rPr>
        <w:rFonts w:hint="eastAsia"/>
      </w:rPr>
    </w:lvl>
    <w:lvl w:ilvl="3" w:tentative="0">
      <w:start w:val="1"/>
      <w:numFmt w:val="decimal"/>
      <w:pStyle w:val="9"/>
      <w:lvlText w:val="%1.%2.%3.%4"/>
      <w:lvlJc w:val="left"/>
      <w:pPr>
        <w:tabs>
          <w:tab w:val="left" w:pos="864"/>
        </w:tabs>
        <w:ind w:left="864" w:hanging="864"/>
      </w:pPr>
      <w:rPr>
        <w:rFonts w:hint="eastAsia"/>
      </w:rPr>
    </w:lvl>
    <w:lvl w:ilvl="4" w:tentative="0">
      <w:start w:val="1"/>
      <w:numFmt w:val="decimal"/>
      <w:pStyle w:val="10"/>
      <w:lvlText w:val="%1.%2.%3.%4.%5"/>
      <w:lvlJc w:val="left"/>
      <w:pPr>
        <w:tabs>
          <w:tab w:val="left" w:pos="1008"/>
        </w:tabs>
        <w:ind w:left="1008" w:hanging="1008"/>
      </w:pPr>
      <w:rPr>
        <w:rFonts w:hint="eastAsia"/>
      </w:rPr>
    </w:lvl>
    <w:lvl w:ilvl="5" w:tentative="0">
      <w:start w:val="1"/>
      <w:numFmt w:val="decimal"/>
      <w:pStyle w:val="11"/>
      <w:lvlText w:val="%1.%2.%3.%4.%5.%6"/>
      <w:lvlJc w:val="left"/>
      <w:pPr>
        <w:tabs>
          <w:tab w:val="left" w:pos="1152"/>
        </w:tabs>
        <w:ind w:left="1152" w:hanging="1152"/>
      </w:pPr>
      <w:rPr>
        <w:rFonts w:hint="eastAsia"/>
      </w:rPr>
    </w:lvl>
    <w:lvl w:ilvl="6" w:tentative="0">
      <w:start w:val="1"/>
      <w:numFmt w:val="decimal"/>
      <w:pStyle w:val="12"/>
      <w:lvlText w:val="%1.%2.%3.%4.%5.%6.%7"/>
      <w:lvlJc w:val="left"/>
      <w:pPr>
        <w:tabs>
          <w:tab w:val="left" w:pos="1296"/>
        </w:tabs>
        <w:ind w:left="1296" w:hanging="1296"/>
      </w:pPr>
      <w:rPr>
        <w:rFonts w:hint="eastAsia"/>
      </w:rPr>
    </w:lvl>
    <w:lvl w:ilvl="7" w:tentative="0">
      <w:start w:val="1"/>
      <w:numFmt w:val="decimal"/>
      <w:pStyle w:val="13"/>
      <w:lvlText w:val="%1.%2.%3.%4.%5.%6.%7.%8"/>
      <w:lvlJc w:val="left"/>
      <w:pPr>
        <w:tabs>
          <w:tab w:val="left" w:pos="1440"/>
        </w:tabs>
        <w:ind w:left="1440" w:hanging="1440"/>
      </w:pPr>
      <w:rPr>
        <w:rFonts w:hint="eastAsia"/>
      </w:rPr>
    </w:lvl>
    <w:lvl w:ilvl="8" w:tentative="0">
      <w:start w:val="1"/>
      <w:numFmt w:val="decimal"/>
      <w:pStyle w:val="14"/>
      <w:lvlText w:val="%1.%2.%3.%4.%5.%6.%7.%8.%9"/>
      <w:lvlJc w:val="left"/>
      <w:pPr>
        <w:tabs>
          <w:tab w:val="left" w:pos="1584"/>
        </w:tabs>
        <w:ind w:left="1584" w:hanging="1584"/>
      </w:pPr>
      <w:rPr>
        <w:rFonts w:hint="eastAsia"/>
      </w:rPr>
    </w:lvl>
  </w:abstractNum>
  <w:num w:numId="1">
    <w:abstractNumId w:val="19"/>
  </w:num>
  <w:num w:numId="2">
    <w:abstractNumId w:val="7"/>
  </w:num>
  <w:num w:numId="3">
    <w:abstractNumId w:val="11"/>
  </w:num>
  <w:num w:numId="4">
    <w:abstractNumId w:val="2"/>
  </w:num>
  <w:num w:numId="5">
    <w:abstractNumId w:val="0"/>
  </w:num>
  <w:num w:numId="6">
    <w:abstractNumId w:val="12"/>
  </w:num>
  <w:num w:numId="7">
    <w:abstractNumId w:val="10"/>
  </w:num>
  <w:num w:numId="8">
    <w:abstractNumId w:val="3"/>
  </w:num>
  <w:num w:numId="9">
    <w:abstractNumId w:val="16"/>
  </w:num>
  <w:num w:numId="10">
    <w:abstractNumId w:val="18"/>
  </w:num>
  <w:num w:numId="11">
    <w:abstractNumId w:val="13"/>
  </w:num>
  <w:num w:numId="12">
    <w:abstractNumId w:val="8"/>
  </w:num>
  <w:num w:numId="13">
    <w:abstractNumId w:val="6"/>
  </w:num>
  <w:num w:numId="14">
    <w:abstractNumId w:val="14"/>
  </w:num>
  <w:num w:numId="15">
    <w:abstractNumId w:val="17"/>
  </w:num>
  <w:num w:numId="16">
    <w:abstractNumId w:val="9"/>
  </w:num>
  <w:num w:numId="17">
    <w:abstractNumId w:val="5"/>
  </w:num>
  <w:num w:numId="18">
    <w:abstractNumId w:val="15"/>
  </w:num>
  <w:num w:numId="19">
    <w:abstractNumId w:val="4"/>
  </w:num>
  <w:num w:numId="20">
    <w:abstractNumId w:val="1"/>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Y1NzK2NDEwNjcxNDVU0lEKTi0uzszPAykwrgUAGHeMFywAAAA="/>
    <w:docVar w:name="commondata" w:val="eyJoZGlkIjoiZTE1Yjk1NTkwOTYyMWViMWVmYThiOTE2NjEzMDY5ZmYifQ=="/>
  </w:docVars>
  <w:rsids>
    <w:rsidRoot w:val="00035925"/>
    <w:rsid w:val="00000244"/>
    <w:rsid w:val="0000185F"/>
    <w:rsid w:val="00003DB0"/>
    <w:rsid w:val="0000509C"/>
    <w:rsid w:val="0000586F"/>
    <w:rsid w:val="00013D86"/>
    <w:rsid w:val="00013E02"/>
    <w:rsid w:val="00013F85"/>
    <w:rsid w:val="00016135"/>
    <w:rsid w:val="000176D2"/>
    <w:rsid w:val="00020944"/>
    <w:rsid w:val="0002143C"/>
    <w:rsid w:val="00025A65"/>
    <w:rsid w:val="00026C31"/>
    <w:rsid w:val="00027280"/>
    <w:rsid w:val="00027C9C"/>
    <w:rsid w:val="00030C69"/>
    <w:rsid w:val="00031D92"/>
    <w:rsid w:val="000320A7"/>
    <w:rsid w:val="00035925"/>
    <w:rsid w:val="00036BAD"/>
    <w:rsid w:val="00042753"/>
    <w:rsid w:val="0004322F"/>
    <w:rsid w:val="000461DC"/>
    <w:rsid w:val="00051795"/>
    <w:rsid w:val="000536B4"/>
    <w:rsid w:val="000554E8"/>
    <w:rsid w:val="00060CA7"/>
    <w:rsid w:val="000627A7"/>
    <w:rsid w:val="000640DB"/>
    <w:rsid w:val="00067CDF"/>
    <w:rsid w:val="000702C2"/>
    <w:rsid w:val="00072A48"/>
    <w:rsid w:val="00074FBE"/>
    <w:rsid w:val="000753A5"/>
    <w:rsid w:val="000761CA"/>
    <w:rsid w:val="00077A03"/>
    <w:rsid w:val="00077A90"/>
    <w:rsid w:val="00077F33"/>
    <w:rsid w:val="00081AEF"/>
    <w:rsid w:val="00083A09"/>
    <w:rsid w:val="00084D38"/>
    <w:rsid w:val="0009005E"/>
    <w:rsid w:val="00091529"/>
    <w:rsid w:val="00092857"/>
    <w:rsid w:val="000947FB"/>
    <w:rsid w:val="00096951"/>
    <w:rsid w:val="000A1745"/>
    <w:rsid w:val="000A20A9"/>
    <w:rsid w:val="000A215D"/>
    <w:rsid w:val="000A48B1"/>
    <w:rsid w:val="000A5D6B"/>
    <w:rsid w:val="000A6138"/>
    <w:rsid w:val="000A72A4"/>
    <w:rsid w:val="000B2348"/>
    <w:rsid w:val="000B3143"/>
    <w:rsid w:val="000C0A93"/>
    <w:rsid w:val="000C0F5E"/>
    <w:rsid w:val="000C1442"/>
    <w:rsid w:val="000C4694"/>
    <w:rsid w:val="000C5B58"/>
    <w:rsid w:val="000C6B05"/>
    <w:rsid w:val="000C6CDD"/>
    <w:rsid w:val="000C6DD6"/>
    <w:rsid w:val="000C73D4"/>
    <w:rsid w:val="000D016A"/>
    <w:rsid w:val="000D2CF3"/>
    <w:rsid w:val="000D37DD"/>
    <w:rsid w:val="000D3D24"/>
    <w:rsid w:val="000D3D4C"/>
    <w:rsid w:val="000D4F51"/>
    <w:rsid w:val="000D6E25"/>
    <w:rsid w:val="000D718B"/>
    <w:rsid w:val="000D7700"/>
    <w:rsid w:val="000D7C67"/>
    <w:rsid w:val="000E0C46"/>
    <w:rsid w:val="000E7538"/>
    <w:rsid w:val="000E7568"/>
    <w:rsid w:val="000E7D9A"/>
    <w:rsid w:val="000F030C"/>
    <w:rsid w:val="000F129C"/>
    <w:rsid w:val="000F493E"/>
    <w:rsid w:val="000F56F2"/>
    <w:rsid w:val="000F5C02"/>
    <w:rsid w:val="000F6324"/>
    <w:rsid w:val="001016E8"/>
    <w:rsid w:val="00103779"/>
    <w:rsid w:val="00103C47"/>
    <w:rsid w:val="001043E0"/>
    <w:rsid w:val="0010457A"/>
    <w:rsid w:val="001056DE"/>
    <w:rsid w:val="00107869"/>
    <w:rsid w:val="00107BF2"/>
    <w:rsid w:val="00110726"/>
    <w:rsid w:val="00110A3F"/>
    <w:rsid w:val="00110B22"/>
    <w:rsid w:val="00110CD0"/>
    <w:rsid w:val="0011235C"/>
    <w:rsid w:val="001124C0"/>
    <w:rsid w:val="001135CA"/>
    <w:rsid w:val="0011558B"/>
    <w:rsid w:val="001200CC"/>
    <w:rsid w:val="001235CD"/>
    <w:rsid w:val="00131253"/>
    <w:rsid w:val="0013175F"/>
    <w:rsid w:val="00131799"/>
    <w:rsid w:val="00141D1D"/>
    <w:rsid w:val="0014377C"/>
    <w:rsid w:val="0014733D"/>
    <w:rsid w:val="0014790E"/>
    <w:rsid w:val="00150B6C"/>
    <w:rsid w:val="001512B4"/>
    <w:rsid w:val="00151D98"/>
    <w:rsid w:val="0015465B"/>
    <w:rsid w:val="00155588"/>
    <w:rsid w:val="001620A5"/>
    <w:rsid w:val="00164E53"/>
    <w:rsid w:val="0016699D"/>
    <w:rsid w:val="0017278A"/>
    <w:rsid w:val="00172EB4"/>
    <w:rsid w:val="00173A50"/>
    <w:rsid w:val="00175159"/>
    <w:rsid w:val="00175684"/>
    <w:rsid w:val="00176208"/>
    <w:rsid w:val="00180FD3"/>
    <w:rsid w:val="0018211B"/>
    <w:rsid w:val="001821C5"/>
    <w:rsid w:val="001824AB"/>
    <w:rsid w:val="00182BBA"/>
    <w:rsid w:val="001840D3"/>
    <w:rsid w:val="00184DFA"/>
    <w:rsid w:val="001900F8"/>
    <w:rsid w:val="00191258"/>
    <w:rsid w:val="00192680"/>
    <w:rsid w:val="00193037"/>
    <w:rsid w:val="00193A2C"/>
    <w:rsid w:val="00193A67"/>
    <w:rsid w:val="00196D4A"/>
    <w:rsid w:val="001A1030"/>
    <w:rsid w:val="001A288E"/>
    <w:rsid w:val="001A3FA0"/>
    <w:rsid w:val="001A40C8"/>
    <w:rsid w:val="001A4630"/>
    <w:rsid w:val="001A4E99"/>
    <w:rsid w:val="001A56EE"/>
    <w:rsid w:val="001B54FF"/>
    <w:rsid w:val="001B61D1"/>
    <w:rsid w:val="001B641A"/>
    <w:rsid w:val="001B6DC2"/>
    <w:rsid w:val="001C149C"/>
    <w:rsid w:val="001C21AC"/>
    <w:rsid w:val="001C2C48"/>
    <w:rsid w:val="001C47BA"/>
    <w:rsid w:val="001C4D38"/>
    <w:rsid w:val="001C4D42"/>
    <w:rsid w:val="001C532B"/>
    <w:rsid w:val="001C59EA"/>
    <w:rsid w:val="001C64C1"/>
    <w:rsid w:val="001C6AFF"/>
    <w:rsid w:val="001D406C"/>
    <w:rsid w:val="001D41EE"/>
    <w:rsid w:val="001D52CA"/>
    <w:rsid w:val="001D76AE"/>
    <w:rsid w:val="001D7E51"/>
    <w:rsid w:val="001E0152"/>
    <w:rsid w:val="001E0380"/>
    <w:rsid w:val="001E13B1"/>
    <w:rsid w:val="001E20F1"/>
    <w:rsid w:val="001E4E60"/>
    <w:rsid w:val="001E55E0"/>
    <w:rsid w:val="001E658B"/>
    <w:rsid w:val="001E7607"/>
    <w:rsid w:val="001F0CB7"/>
    <w:rsid w:val="001F3A19"/>
    <w:rsid w:val="00201963"/>
    <w:rsid w:val="00202354"/>
    <w:rsid w:val="0020247B"/>
    <w:rsid w:val="002032AC"/>
    <w:rsid w:val="00204428"/>
    <w:rsid w:val="002074F6"/>
    <w:rsid w:val="002115E6"/>
    <w:rsid w:val="00211B74"/>
    <w:rsid w:val="00212F53"/>
    <w:rsid w:val="002139F2"/>
    <w:rsid w:val="00214C7C"/>
    <w:rsid w:val="002203D4"/>
    <w:rsid w:val="00220894"/>
    <w:rsid w:val="00222BD8"/>
    <w:rsid w:val="00224B0C"/>
    <w:rsid w:val="00224CDC"/>
    <w:rsid w:val="00226608"/>
    <w:rsid w:val="00226F8A"/>
    <w:rsid w:val="00227AE1"/>
    <w:rsid w:val="00232E22"/>
    <w:rsid w:val="00234467"/>
    <w:rsid w:val="002366F4"/>
    <w:rsid w:val="00237580"/>
    <w:rsid w:val="00237D8D"/>
    <w:rsid w:val="002409EC"/>
    <w:rsid w:val="002410C5"/>
    <w:rsid w:val="00241DA2"/>
    <w:rsid w:val="002467F8"/>
    <w:rsid w:val="00247A43"/>
    <w:rsid w:val="00247FEE"/>
    <w:rsid w:val="0025066F"/>
    <w:rsid w:val="00250E7D"/>
    <w:rsid w:val="00252924"/>
    <w:rsid w:val="00254EA0"/>
    <w:rsid w:val="00255872"/>
    <w:rsid w:val="002565D5"/>
    <w:rsid w:val="0026041B"/>
    <w:rsid w:val="002622C0"/>
    <w:rsid w:val="00262B8F"/>
    <w:rsid w:val="002644F7"/>
    <w:rsid w:val="0026474A"/>
    <w:rsid w:val="00266595"/>
    <w:rsid w:val="002715E2"/>
    <w:rsid w:val="00272295"/>
    <w:rsid w:val="00276513"/>
    <w:rsid w:val="0027671C"/>
    <w:rsid w:val="00276AF3"/>
    <w:rsid w:val="002778AE"/>
    <w:rsid w:val="00280BC3"/>
    <w:rsid w:val="0028126C"/>
    <w:rsid w:val="00281E5B"/>
    <w:rsid w:val="0028269A"/>
    <w:rsid w:val="00283590"/>
    <w:rsid w:val="00285158"/>
    <w:rsid w:val="00285DAB"/>
    <w:rsid w:val="00286973"/>
    <w:rsid w:val="00286A8A"/>
    <w:rsid w:val="00287BD1"/>
    <w:rsid w:val="0029136A"/>
    <w:rsid w:val="0029187A"/>
    <w:rsid w:val="00291B06"/>
    <w:rsid w:val="0029202F"/>
    <w:rsid w:val="00292DEB"/>
    <w:rsid w:val="00294E70"/>
    <w:rsid w:val="00296F55"/>
    <w:rsid w:val="00297226"/>
    <w:rsid w:val="002A011A"/>
    <w:rsid w:val="002A1924"/>
    <w:rsid w:val="002A326E"/>
    <w:rsid w:val="002A4989"/>
    <w:rsid w:val="002A7420"/>
    <w:rsid w:val="002B0F12"/>
    <w:rsid w:val="002B1308"/>
    <w:rsid w:val="002B28C9"/>
    <w:rsid w:val="002B30E7"/>
    <w:rsid w:val="002B34C1"/>
    <w:rsid w:val="002B38AE"/>
    <w:rsid w:val="002B3A1A"/>
    <w:rsid w:val="002B40E1"/>
    <w:rsid w:val="002B4554"/>
    <w:rsid w:val="002C07AA"/>
    <w:rsid w:val="002C2BBB"/>
    <w:rsid w:val="002C3A00"/>
    <w:rsid w:val="002C72D8"/>
    <w:rsid w:val="002D080A"/>
    <w:rsid w:val="002D11FA"/>
    <w:rsid w:val="002D6232"/>
    <w:rsid w:val="002E0DDF"/>
    <w:rsid w:val="002E1CE8"/>
    <w:rsid w:val="002E1F38"/>
    <w:rsid w:val="002E2380"/>
    <w:rsid w:val="002E2906"/>
    <w:rsid w:val="002E363B"/>
    <w:rsid w:val="002E4880"/>
    <w:rsid w:val="002E5039"/>
    <w:rsid w:val="002E5635"/>
    <w:rsid w:val="002E64C3"/>
    <w:rsid w:val="002E6A2C"/>
    <w:rsid w:val="002F12D9"/>
    <w:rsid w:val="002F1ABA"/>
    <w:rsid w:val="002F1D8C"/>
    <w:rsid w:val="002F21DA"/>
    <w:rsid w:val="002F2B00"/>
    <w:rsid w:val="002F30AA"/>
    <w:rsid w:val="002F4557"/>
    <w:rsid w:val="002F53EC"/>
    <w:rsid w:val="002F6737"/>
    <w:rsid w:val="002F76DD"/>
    <w:rsid w:val="00301480"/>
    <w:rsid w:val="00301F39"/>
    <w:rsid w:val="00302B0A"/>
    <w:rsid w:val="003107AE"/>
    <w:rsid w:val="0031387E"/>
    <w:rsid w:val="00316B87"/>
    <w:rsid w:val="0032055D"/>
    <w:rsid w:val="00320577"/>
    <w:rsid w:val="00320991"/>
    <w:rsid w:val="0032444C"/>
    <w:rsid w:val="003254B7"/>
    <w:rsid w:val="00325926"/>
    <w:rsid w:val="00326E48"/>
    <w:rsid w:val="00327A8A"/>
    <w:rsid w:val="003303B6"/>
    <w:rsid w:val="003307C8"/>
    <w:rsid w:val="00330DC8"/>
    <w:rsid w:val="00331DCA"/>
    <w:rsid w:val="00331EA3"/>
    <w:rsid w:val="0033499A"/>
    <w:rsid w:val="00336243"/>
    <w:rsid w:val="00336610"/>
    <w:rsid w:val="00337296"/>
    <w:rsid w:val="0033777F"/>
    <w:rsid w:val="0034056A"/>
    <w:rsid w:val="003417F9"/>
    <w:rsid w:val="003436C3"/>
    <w:rsid w:val="00343F73"/>
    <w:rsid w:val="00345060"/>
    <w:rsid w:val="00345277"/>
    <w:rsid w:val="00350C73"/>
    <w:rsid w:val="003523DD"/>
    <w:rsid w:val="00352CFF"/>
    <w:rsid w:val="0035323B"/>
    <w:rsid w:val="003538AF"/>
    <w:rsid w:val="00355B95"/>
    <w:rsid w:val="00356FA6"/>
    <w:rsid w:val="003605CF"/>
    <w:rsid w:val="003609D2"/>
    <w:rsid w:val="00360BC3"/>
    <w:rsid w:val="00361541"/>
    <w:rsid w:val="0036370F"/>
    <w:rsid w:val="00363F22"/>
    <w:rsid w:val="003641EE"/>
    <w:rsid w:val="00364431"/>
    <w:rsid w:val="00371E58"/>
    <w:rsid w:val="00375564"/>
    <w:rsid w:val="0037679D"/>
    <w:rsid w:val="00376A65"/>
    <w:rsid w:val="00380995"/>
    <w:rsid w:val="00382659"/>
    <w:rsid w:val="00383191"/>
    <w:rsid w:val="003840E8"/>
    <w:rsid w:val="00386DED"/>
    <w:rsid w:val="00387286"/>
    <w:rsid w:val="00387E22"/>
    <w:rsid w:val="003912E7"/>
    <w:rsid w:val="003929BA"/>
    <w:rsid w:val="00393947"/>
    <w:rsid w:val="0039396F"/>
    <w:rsid w:val="00395456"/>
    <w:rsid w:val="003956CB"/>
    <w:rsid w:val="00397EEB"/>
    <w:rsid w:val="003A2275"/>
    <w:rsid w:val="003A2BE1"/>
    <w:rsid w:val="003A3FFF"/>
    <w:rsid w:val="003A401F"/>
    <w:rsid w:val="003A4E31"/>
    <w:rsid w:val="003A605F"/>
    <w:rsid w:val="003A6A4F"/>
    <w:rsid w:val="003A7088"/>
    <w:rsid w:val="003B00DF"/>
    <w:rsid w:val="003B1275"/>
    <w:rsid w:val="003B1496"/>
    <w:rsid w:val="003B1778"/>
    <w:rsid w:val="003B6DB9"/>
    <w:rsid w:val="003C0B45"/>
    <w:rsid w:val="003C11CB"/>
    <w:rsid w:val="003C3BB7"/>
    <w:rsid w:val="003C3C20"/>
    <w:rsid w:val="003C491F"/>
    <w:rsid w:val="003C75F3"/>
    <w:rsid w:val="003C78A3"/>
    <w:rsid w:val="003D2049"/>
    <w:rsid w:val="003D4731"/>
    <w:rsid w:val="003D50D7"/>
    <w:rsid w:val="003D7B54"/>
    <w:rsid w:val="003E1867"/>
    <w:rsid w:val="003E217B"/>
    <w:rsid w:val="003E3E5D"/>
    <w:rsid w:val="003E5729"/>
    <w:rsid w:val="003E6920"/>
    <w:rsid w:val="003E6ACB"/>
    <w:rsid w:val="003F4EE0"/>
    <w:rsid w:val="00402153"/>
    <w:rsid w:val="00402FC1"/>
    <w:rsid w:val="00411157"/>
    <w:rsid w:val="00412B81"/>
    <w:rsid w:val="004156EC"/>
    <w:rsid w:val="00420EFC"/>
    <w:rsid w:val="00424234"/>
    <w:rsid w:val="00425082"/>
    <w:rsid w:val="0043198E"/>
    <w:rsid w:val="00431DEB"/>
    <w:rsid w:val="00432E9C"/>
    <w:rsid w:val="004360C1"/>
    <w:rsid w:val="00436D50"/>
    <w:rsid w:val="00440306"/>
    <w:rsid w:val="00442337"/>
    <w:rsid w:val="00443303"/>
    <w:rsid w:val="00446B29"/>
    <w:rsid w:val="00447692"/>
    <w:rsid w:val="0045190A"/>
    <w:rsid w:val="004530D0"/>
    <w:rsid w:val="00453F9A"/>
    <w:rsid w:val="00455E7F"/>
    <w:rsid w:val="0046155F"/>
    <w:rsid w:val="00466D61"/>
    <w:rsid w:val="004711C9"/>
    <w:rsid w:val="00471E91"/>
    <w:rsid w:val="00473D1D"/>
    <w:rsid w:val="00474675"/>
    <w:rsid w:val="0047470C"/>
    <w:rsid w:val="00474AD0"/>
    <w:rsid w:val="00475B67"/>
    <w:rsid w:val="00475C09"/>
    <w:rsid w:val="00476C7E"/>
    <w:rsid w:val="00480175"/>
    <w:rsid w:val="00481F0F"/>
    <w:rsid w:val="0048628E"/>
    <w:rsid w:val="00486364"/>
    <w:rsid w:val="004903B9"/>
    <w:rsid w:val="004916AD"/>
    <w:rsid w:val="00493EAD"/>
    <w:rsid w:val="004A218A"/>
    <w:rsid w:val="004A35F9"/>
    <w:rsid w:val="004A5CFA"/>
    <w:rsid w:val="004A7839"/>
    <w:rsid w:val="004B24C1"/>
    <w:rsid w:val="004B261F"/>
    <w:rsid w:val="004B528A"/>
    <w:rsid w:val="004B5BEB"/>
    <w:rsid w:val="004B609F"/>
    <w:rsid w:val="004B7D04"/>
    <w:rsid w:val="004B7D05"/>
    <w:rsid w:val="004C23D5"/>
    <w:rsid w:val="004C292F"/>
    <w:rsid w:val="004C6E82"/>
    <w:rsid w:val="004D0F53"/>
    <w:rsid w:val="004D3062"/>
    <w:rsid w:val="004E03B4"/>
    <w:rsid w:val="004E2394"/>
    <w:rsid w:val="004E43BE"/>
    <w:rsid w:val="004E4645"/>
    <w:rsid w:val="004E4DCA"/>
    <w:rsid w:val="004E5702"/>
    <w:rsid w:val="004E7B67"/>
    <w:rsid w:val="004F1AD7"/>
    <w:rsid w:val="004F362E"/>
    <w:rsid w:val="004F43F7"/>
    <w:rsid w:val="004F4906"/>
    <w:rsid w:val="004F4A2B"/>
    <w:rsid w:val="004F4A9C"/>
    <w:rsid w:val="004F548B"/>
    <w:rsid w:val="004F594A"/>
    <w:rsid w:val="004F5EF3"/>
    <w:rsid w:val="004F7F37"/>
    <w:rsid w:val="0050057C"/>
    <w:rsid w:val="00502169"/>
    <w:rsid w:val="00504A70"/>
    <w:rsid w:val="00505B02"/>
    <w:rsid w:val="00506863"/>
    <w:rsid w:val="00506A0B"/>
    <w:rsid w:val="00510280"/>
    <w:rsid w:val="00513D73"/>
    <w:rsid w:val="00514A43"/>
    <w:rsid w:val="00516B7E"/>
    <w:rsid w:val="005174E5"/>
    <w:rsid w:val="00520B0D"/>
    <w:rsid w:val="00522393"/>
    <w:rsid w:val="00522620"/>
    <w:rsid w:val="00523BE6"/>
    <w:rsid w:val="00523D81"/>
    <w:rsid w:val="00525656"/>
    <w:rsid w:val="005300D6"/>
    <w:rsid w:val="00532163"/>
    <w:rsid w:val="0053263A"/>
    <w:rsid w:val="00532902"/>
    <w:rsid w:val="00534C02"/>
    <w:rsid w:val="00540805"/>
    <w:rsid w:val="00541929"/>
    <w:rsid w:val="0054264B"/>
    <w:rsid w:val="00543786"/>
    <w:rsid w:val="00543846"/>
    <w:rsid w:val="0054399D"/>
    <w:rsid w:val="005440A2"/>
    <w:rsid w:val="00544FA1"/>
    <w:rsid w:val="00545C47"/>
    <w:rsid w:val="005472D7"/>
    <w:rsid w:val="005509D2"/>
    <w:rsid w:val="00551245"/>
    <w:rsid w:val="005533D7"/>
    <w:rsid w:val="00553613"/>
    <w:rsid w:val="0055491E"/>
    <w:rsid w:val="00556860"/>
    <w:rsid w:val="00556A1C"/>
    <w:rsid w:val="0056010B"/>
    <w:rsid w:val="005611CA"/>
    <w:rsid w:val="0056199C"/>
    <w:rsid w:val="005625C1"/>
    <w:rsid w:val="00562D29"/>
    <w:rsid w:val="005635B8"/>
    <w:rsid w:val="00567529"/>
    <w:rsid w:val="00567F70"/>
    <w:rsid w:val="0057030E"/>
    <w:rsid w:val="005703DE"/>
    <w:rsid w:val="005709F0"/>
    <w:rsid w:val="005756C0"/>
    <w:rsid w:val="00575B3A"/>
    <w:rsid w:val="00577F6D"/>
    <w:rsid w:val="005837F2"/>
    <w:rsid w:val="0058464E"/>
    <w:rsid w:val="00591CF1"/>
    <w:rsid w:val="00592D6B"/>
    <w:rsid w:val="00593B48"/>
    <w:rsid w:val="00594136"/>
    <w:rsid w:val="00596747"/>
    <w:rsid w:val="005979C3"/>
    <w:rsid w:val="00597DB5"/>
    <w:rsid w:val="00597FE0"/>
    <w:rsid w:val="005A01CB"/>
    <w:rsid w:val="005A0826"/>
    <w:rsid w:val="005A0F3D"/>
    <w:rsid w:val="005A205B"/>
    <w:rsid w:val="005A58FF"/>
    <w:rsid w:val="005A5EAF"/>
    <w:rsid w:val="005A64C0"/>
    <w:rsid w:val="005A725B"/>
    <w:rsid w:val="005B0A2F"/>
    <w:rsid w:val="005B3C11"/>
    <w:rsid w:val="005B4792"/>
    <w:rsid w:val="005B48CD"/>
    <w:rsid w:val="005B58C8"/>
    <w:rsid w:val="005B6AC6"/>
    <w:rsid w:val="005C1C28"/>
    <w:rsid w:val="005C2213"/>
    <w:rsid w:val="005C5A7A"/>
    <w:rsid w:val="005C5EBC"/>
    <w:rsid w:val="005C6046"/>
    <w:rsid w:val="005C6DB5"/>
    <w:rsid w:val="005D07F6"/>
    <w:rsid w:val="005D0BD0"/>
    <w:rsid w:val="005D3267"/>
    <w:rsid w:val="005D4418"/>
    <w:rsid w:val="005D4A47"/>
    <w:rsid w:val="005D5888"/>
    <w:rsid w:val="005D7571"/>
    <w:rsid w:val="005E19E7"/>
    <w:rsid w:val="005E2539"/>
    <w:rsid w:val="005E7C10"/>
    <w:rsid w:val="005E7E98"/>
    <w:rsid w:val="005F0D35"/>
    <w:rsid w:val="005F13AB"/>
    <w:rsid w:val="005F2057"/>
    <w:rsid w:val="005F22B6"/>
    <w:rsid w:val="005F584C"/>
    <w:rsid w:val="005F78CB"/>
    <w:rsid w:val="00600CD8"/>
    <w:rsid w:val="00604650"/>
    <w:rsid w:val="006046F6"/>
    <w:rsid w:val="00604E41"/>
    <w:rsid w:val="00606062"/>
    <w:rsid w:val="00612E98"/>
    <w:rsid w:val="00615FA9"/>
    <w:rsid w:val="0061716C"/>
    <w:rsid w:val="00617FC0"/>
    <w:rsid w:val="00621BF1"/>
    <w:rsid w:val="0062277A"/>
    <w:rsid w:val="006243A1"/>
    <w:rsid w:val="00624680"/>
    <w:rsid w:val="00627EF2"/>
    <w:rsid w:val="00627F32"/>
    <w:rsid w:val="00630ACE"/>
    <w:rsid w:val="00632E56"/>
    <w:rsid w:val="00635CBA"/>
    <w:rsid w:val="00640848"/>
    <w:rsid w:val="00642381"/>
    <w:rsid w:val="006429C8"/>
    <w:rsid w:val="0064338B"/>
    <w:rsid w:val="0064440C"/>
    <w:rsid w:val="0064445B"/>
    <w:rsid w:val="00644F84"/>
    <w:rsid w:val="00645C83"/>
    <w:rsid w:val="0064605C"/>
    <w:rsid w:val="00646542"/>
    <w:rsid w:val="00646B59"/>
    <w:rsid w:val="0065046E"/>
    <w:rsid w:val="006504F4"/>
    <w:rsid w:val="00651175"/>
    <w:rsid w:val="00652175"/>
    <w:rsid w:val="00653242"/>
    <w:rsid w:val="006544CC"/>
    <w:rsid w:val="00654BC9"/>
    <w:rsid w:val="006552FD"/>
    <w:rsid w:val="0065551B"/>
    <w:rsid w:val="00663AF3"/>
    <w:rsid w:val="00664078"/>
    <w:rsid w:val="00665CCC"/>
    <w:rsid w:val="00666B6C"/>
    <w:rsid w:val="006674C0"/>
    <w:rsid w:val="00671375"/>
    <w:rsid w:val="00672743"/>
    <w:rsid w:val="00672A7D"/>
    <w:rsid w:val="00672BD3"/>
    <w:rsid w:val="00674775"/>
    <w:rsid w:val="006749FB"/>
    <w:rsid w:val="00676828"/>
    <w:rsid w:val="00681AC8"/>
    <w:rsid w:val="00682682"/>
    <w:rsid w:val="00682702"/>
    <w:rsid w:val="00682CAE"/>
    <w:rsid w:val="00683BD2"/>
    <w:rsid w:val="00686226"/>
    <w:rsid w:val="006869E1"/>
    <w:rsid w:val="00687E6C"/>
    <w:rsid w:val="00690CE5"/>
    <w:rsid w:val="00691932"/>
    <w:rsid w:val="00692368"/>
    <w:rsid w:val="00692D48"/>
    <w:rsid w:val="00694B96"/>
    <w:rsid w:val="006950B8"/>
    <w:rsid w:val="0069775C"/>
    <w:rsid w:val="006A0C59"/>
    <w:rsid w:val="006A284D"/>
    <w:rsid w:val="006A2EBC"/>
    <w:rsid w:val="006A3C6C"/>
    <w:rsid w:val="006A3F61"/>
    <w:rsid w:val="006A5EA0"/>
    <w:rsid w:val="006A6E0D"/>
    <w:rsid w:val="006A783B"/>
    <w:rsid w:val="006A7B33"/>
    <w:rsid w:val="006B1748"/>
    <w:rsid w:val="006B1F9B"/>
    <w:rsid w:val="006B453B"/>
    <w:rsid w:val="006B4E13"/>
    <w:rsid w:val="006B75DD"/>
    <w:rsid w:val="006C2862"/>
    <w:rsid w:val="006C4CD7"/>
    <w:rsid w:val="006C67E0"/>
    <w:rsid w:val="006C69E3"/>
    <w:rsid w:val="006C7ABA"/>
    <w:rsid w:val="006D0D60"/>
    <w:rsid w:val="006D1122"/>
    <w:rsid w:val="006D1157"/>
    <w:rsid w:val="006D123F"/>
    <w:rsid w:val="006D271B"/>
    <w:rsid w:val="006D3BBB"/>
    <w:rsid w:val="006D3C00"/>
    <w:rsid w:val="006D3E6E"/>
    <w:rsid w:val="006D40B8"/>
    <w:rsid w:val="006D49CE"/>
    <w:rsid w:val="006D4DA6"/>
    <w:rsid w:val="006D5231"/>
    <w:rsid w:val="006D6CF4"/>
    <w:rsid w:val="006E02E8"/>
    <w:rsid w:val="006E115D"/>
    <w:rsid w:val="006E2532"/>
    <w:rsid w:val="006E3675"/>
    <w:rsid w:val="006E4950"/>
    <w:rsid w:val="006E4A7F"/>
    <w:rsid w:val="006E54B6"/>
    <w:rsid w:val="006E58F2"/>
    <w:rsid w:val="006E7657"/>
    <w:rsid w:val="006F011A"/>
    <w:rsid w:val="006F11EC"/>
    <w:rsid w:val="00702A57"/>
    <w:rsid w:val="00703181"/>
    <w:rsid w:val="00703F88"/>
    <w:rsid w:val="00704DF6"/>
    <w:rsid w:val="0070602E"/>
    <w:rsid w:val="0070651C"/>
    <w:rsid w:val="00710EBC"/>
    <w:rsid w:val="007116B4"/>
    <w:rsid w:val="00713184"/>
    <w:rsid w:val="007132A3"/>
    <w:rsid w:val="00716421"/>
    <w:rsid w:val="0071687D"/>
    <w:rsid w:val="007178A9"/>
    <w:rsid w:val="0072134D"/>
    <w:rsid w:val="00721B24"/>
    <w:rsid w:val="00722BFE"/>
    <w:rsid w:val="00723221"/>
    <w:rsid w:val="00724EFB"/>
    <w:rsid w:val="007255FE"/>
    <w:rsid w:val="00725F87"/>
    <w:rsid w:val="00730294"/>
    <w:rsid w:val="007315D2"/>
    <w:rsid w:val="007329C1"/>
    <w:rsid w:val="007333CC"/>
    <w:rsid w:val="00734A0F"/>
    <w:rsid w:val="00736469"/>
    <w:rsid w:val="007419C3"/>
    <w:rsid w:val="00741B9A"/>
    <w:rsid w:val="00743715"/>
    <w:rsid w:val="00744F22"/>
    <w:rsid w:val="00745B41"/>
    <w:rsid w:val="00746588"/>
    <w:rsid w:val="007467A7"/>
    <w:rsid w:val="007469DD"/>
    <w:rsid w:val="0074741B"/>
    <w:rsid w:val="0074759E"/>
    <w:rsid w:val="007478EA"/>
    <w:rsid w:val="007512F2"/>
    <w:rsid w:val="00753C72"/>
    <w:rsid w:val="0075415C"/>
    <w:rsid w:val="00757C65"/>
    <w:rsid w:val="00760355"/>
    <w:rsid w:val="007623AF"/>
    <w:rsid w:val="00763502"/>
    <w:rsid w:val="0076647C"/>
    <w:rsid w:val="00770438"/>
    <w:rsid w:val="00770894"/>
    <w:rsid w:val="007712EC"/>
    <w:rsid w:val="00774F0D"/>
    <w:rsid w:val="00776E07"/>
    <w:rsid w:val="007834E4"/>
    <w:rsid w:val="00784022"/>
    <w:rsid w:val="00784B30"/>
    <w:rsid w:val="00784DF6"/>
    <w:rsid w:val="007913AB"/>
    <w:rsid w:val="007914F7"/>
    <w:rsid w:val="00792919"/>
    <w:rsid w:val="007932F7"/>
    <w:rsid w:val="00794362"/>
    <w:rsid w:val="00794EAF"/>
    <w:rsid w:val="007956FC"/>
    <w:rsid w:val="007A1187"/>
    <w:rsid w:val="007A1DA0"/>
    <w:rsid w:val="007A27FB"/>
    <w:rsid w:val="007A3D64"/>
    <w:rsid w:val="007A5213"/>
    <w:rsid w:val="007A59C7"/>
    <w:rsid w:val="007B00C5"/>
    <w:rsid w:val="007B0C22"/>
    <w:rsid w:val="007B1094"/>
    <w:rsid w:val="007B1625"/>
    <w:rsid w:val="007B5CC7"/>
    <w:rsid w:val="007B62E7"/>
    <w:rsid w:val="007B66B1"/>
    <w:rsid w:val="007B706E"/>
    <w:rsid w:val="007B71EB"/>
    <w:rsid w:val="007B7345"/>
    <w:rsid w:val="007C0EBD"/>
    <w:rsid w:val="007C1558"/>
    <w:rsid w:val="007C580C"/>
    <w:rsid w:val="007C6205"/>
    <w:rsid w:val="007C657E"/>
    <w:rsid w:val="007C686A"/>
    <w:rsid w:val="007C6C57"/>
    <w:rsid w:val="007C728E"/>
    <w:rsid w:val="007C7353"/>
    <w:rsid w:val="007D03FD"/>
    <w:rsid w:val="007D1E23"/>
    <w:rsid w:val="007D2C53"/>
    <w:rsid w:val="007D3D60"/>
    <w:rsid w:val="007D474B"/>
    <w:rsid w:val="007D4927"/>
    <w:rsid w:val="007D696F"/>
    <w:rsid w:val="007D6E84"/>
    <w:rsid w:val="007D74AC"/>
    <w:rsid w:val="007E0A6A"/>
    <w:rsid w:val="007E0F0A"/>
    <w:rsid w:val="007E1980"/>
    <w:rsid w:val="007E2828"/>
    <w:rsid w:val="007E4B76"/>
    <w:rsid w:val="007E5EA8"/>
    <w:rsid w:val="007E615C"/>
    <w:rsid w:val="007E651B"/>
    <w:rsid w:val="007F0129"/>
    <w:rsid w:val="007F0365"/>
    <w:rsid w:val="007F0CF1"/>
    <w:rsid w:val="007F0DAF"/>
    <w:rsid w:val="007F1252"/>
    <w:rsid w:val="007F12A5"/>
    <w:rsid w:val="007F2015"/>
    <w:rsid w:val="007F27A6"/>
    <w:rsid w:val="007F4CF1"/>
    <w:rsid w:val="007F64E3"/>
    <w:rsid w:val="007F665D"/>
    <w:rsid w:val="007F758D"/>
    <w:rsid w:val="007F7D52"/>
    <w:rsid w:val="00801DB5"/>
    <w:rsid w:val="00805E1B"/>
    <w:rsid w:val="0080654C"/>
    <w:rsid w:val="0080674C"/>
    <w:rsid w:val="008071C6"/>
    <w:rsid w:val="00807949"/>
    <w:rsid w:val="00812A9C"/>
    <w:rsid w:val="00816B3E"/>
    <w:rsid w:val="008176B4"/>
    <w:rsid w:val="00817A00"/>
    <w:rsid w:val="00817B29"/>
    <w:rsid w:val="00820AA9"/>
    <w:rsid w:val="00823083"/>
    <w:rsid w:val="00823D16"/>
    <w:rsid w:val="00824F2A"/>
    <w:rsid w:val="00827D83"/>
    <w:rsid w:val="00830716"/>
    <w:rsid w:val="0083273C"/>
    <w:rsid w:val="008336D3"/>
    <w:rsid w:val="00833851"/>
    <w:rsid w:val="00835DB3"/>
    <w:rsid w:val="0083617B"/>
    <w:rsid w:val="00836537"/>
    <w:rsid w:val="008371BD"/>
    <w:rsid w:val="00840228"/>
    <w:rsid w:val="0084022A"/>
    <w:rsid w:val="00840D1B"/>
    <w:rsid w:val="00841FCE"/>
    <w:rsid w:val="008454F5"/>
    <w:rsid w:val="008455A1"/>
    <w:rsid w:val="00845B34"/>
    <w:rsid w:val="008460F4"/>
    <w:rsid w:val="008504A8"/>
    <w:rsid w:val="008512FB"/>
    <w:rsid w:val="0085282E"/>
    <w:rsid w:val="00853678"/>
    <w:rsid w:val="0085538F"/>
    <w:rsid w:val="00855D9F"/>
    <w:rsid w:val="008574AC"/>
    <w:rsid w:val="008612DD"/>
    <w:rsid w:val="00861CAF"/>
    <w:rsid w:val="00862184"/>
    <w:rsid w:val="008627A0"/>
    <w:rsid w:val="0086433A"/>
    <w:rsid w:val="00866113"/>
    <w:rsid w:val="0087198C"/>
    <w:rsid w:val="00872C1F"/>
    <w:rsid w:val="008739FD"/>
    <w:rsid w:val="00873B42"/>
    <w:rsid w:val="008743B2"/>
    <w:rsid w:val="008774BB"/>
    <w:rsid w:val="0087751B"/>
    <w:rsid w:val="0088111B"/>
    <w:rsid w:val="00881585"/>
    <w:rsid w:val="00882AC4"/>
    <w:rsid w:val="008848F5"/>
    <w:rsid w:val="0088556C"/>
    <w:rsid w:val="008856D8"/>
    <w:rsid w:val="00891002"/>
    <w:rsid w:val="008922CD"/>
    <w:rsid w:val="008927FB"/>
    <w:rsid w:val="00892E82"/>
    <w:rsid w:val="00893C45"/>
    <w:rsid w:val="00894923"/>
    <w:rsid w:val="00894B6C"/>
    <w:rsid w:val="008968BC"/>
    <w:rsid w:val="00897527"/>
    <w:rsid w:val="00897904"/>
    <w:rsid w:val="008A1416"/>
    <w:rsid w:val="008A2F34"/>
    <w:rsid w:val="008A38EF"/>
    <w:rsid w:val="008A7861"/>
    <w:rsid w:val="008A7E34"/>
    <w:rsid w:val="008B32A3"/>
    <w:rsid w:val="008B4475"/>
    <w:rsid w:val="008B507D"/>
    <w:rsid w:val="008C1B58"/>
    <w:rsid w:val="008C1D12"/>
    <w:rsid w:val="008C332C"/>
    <w:rsid w:val="008C39AE"/>
    <w:rsid w:val="008C449A"/>
    <w:rsid w:val="008C4DF4"/>
    <w:rsid w:val="008C590D"/>
    <w:rsid w:val="008C697C"/>
    <w:rsid w:val="008D0568"/>
    <w:rsid w:val="008D4DBA"/>
    <w:rsid w:val="008D5083"/>
    <w:rsid w:val="008D6B3A"/>
    <w:rsid w:val="008E031B"/>
    <w:rsid w:val="008E0451"/>
    <w:rsid w:val="008E3A2E"/>
    <w:rsid w:val="008E5E25"/>
    <w:rsid w:val="008E7029"/>
    <w:rsid w:val="008E7EF6"/>
    <w:rsid w:val="008F00D7"/>
    <w:rsid w:val="008F1F98"/>
    <w:rsid w:val="008F33DD"/>
    <w:rsid w:val="008F3964"/>
    <w:rsid w:val="008F5FB0"/>
    <w:rsid w:val="008F6758"/>
    <w:rsid w:val="008F7524"/>
    <w:rsid w:val="008F7E6F"/>
    <w:rsid w:val="00901BF2"/>
    <w:rsid w:val="00903A90"/>
    <w:rsid w:val="009040DD"/>
    <w:rsid w:val="009041CA"/>
    <w:rsid w:val="00905B47"/>
    <w:rsid w:val="00905D4B"/>
    <w:rsid w:val="00906D70"/>
    <w:rsid w:val="00911912"/>
    <w:rsid w:val="00911AFC"/>
    <w:rsid w:val="0091331C"/>
    <w:rsid w:val="00917522"/>
    <w:rsid w:val="00920412"/>
    <w:rsid w:val="009214AD"/>
    <w:rsid w:val="00923795"/>
    <w:rsid w:val="00924FFC"/>
    <w:rsid w:val="009270DB"/>
    <w:rsid w:val="009270E1"/>
    <w:rsid w:val="009279DE"/>
    <w:rsid w:val="00927ED3"/>
    <w:rsid w:val="00930116"/>
    <w:rsid w:val="009350A3"/>
    <w:rsid w:val="00935B23"/>
    <w:rsid w:val="00935FA5"/>
    <w:rsid w:val="00937CAC"/>
    <w:rsid w:val="00941286"/>
    <w:rsid w:val="0094212C"/>
    <w:rsid w:val="00944490"/>
    <w:rsid w:val="00944FF7"/>
    <w:rsid w:val="009458DF"/>
    <w:rsid w:val="00952103"/>
    <w:rsid w:val="00952D75"/>
    <w:rsid w:val="00954689"/>
    <w:rsid w:val="0095532E"/>
    <w:rsid w:val="00955AA2"/>
    <w:rsid w:val="00960994"/>
    <w:rsid w:val="00960CE2"/>
    <w:rsid w:val="009617C9"/>
    <w:rsid w:val="00961C93"/>
    <w:rsid w:val="00963A59"/>
    <w:rsid w:val="00964209"/>
    <w:rsid w:val="00964235"/>
    <w:rsid w:val="00965324"/>
    <w:rsid w:val="0097091E"/>
    <w:rsid w:val="00973265"/>
    <w:rsid w:val="00974C6A"/>
    <w:rsid w:val="009760D3"/>
    <w:rsid w:val="00976EC7"/>
    <w:rsid w:val="00977132"/>
    <w:rsid w:val="009778EB"/>
    <w:rsid w:val="00980E6E"/>
    <w:rsid w:val="00980F72"/>
    <w:rsid w:val="00981A4B"/>
    <w:rsid w:val="00982501"/>
    <w:rsid w:val="00982660"/>
    <w:rsid w:val="00984AD6"/>
    <w:rsid w:val="00985F76"/>
    <w:rsid w:val="009876EE"/>
    <w:rsid w:val="009877D3"/>
    <w:rsid w:val="009906E2"/>
    <w:rsid w:val="00994492"/>
    <w:rsid w:val="00994E8F"/>
    <w:rsid w:val="00994FB7"/>
    <w:rsid w:val="009951DC"/>
    <w:rsid w:val="009959BB"/>
    <w:rsid w:val="00996AFE"/>
    <w:rsid w:val="00997158"/>
    <w:rsid w:val="009A0457"/>
    <w:rsid w:val="009A1F3F"/>
    <w:rsid w:val="009A212A"/>
    <w:rsid w:val="009A3A7C"/>
    <w:rsid w:val="009B16C3"/>
    <w:rsid w:val="009B2ADB"/>
    <w:rsid w:val="009B3696"/>
    <w:rsid w:val="009B603A"/>
    <w:rsid w:val="009B7B24"/>
    <w:rsid w:val="009C2D0E"/>
    <w:rsid w:val="009C3230"/>
    <w:rsid w:val="009C3DAC"/>
    <w:rsid w:val="009C42E0"/>
    <w:rsid w:val="009C47EF"/>
    <w:rsid w:val="009C6C5C"/>
    <w:rsid w:val="009C75F9"/>
    <w:rsid w:val="009D1778"/>
    <w:rsid w:val="009D3839"/>
    <w:rsid w:val="009D38EA"/>
    <w:rsid w:val="009D495C"/>
    <w:rsid w:val="009D5362"/>
    <w:rsid w:val="009D7DC6"/>
    <w:rsid w:val="009E0368"/>
    <w:rsid w:val="009E1415"/>
    <w:rsid w:val="009E1725"/>
    <w:rsid w:val="009E3532"/>
    <w:rsid w:val="009E40D3"/>
    <w:rsid w:val="009E6116"/>
    <w:rsid w:val="009F0860"/>
    <w:rsid w:val="009F131D"/>
    <w:rsid w:val="009F16F3"/>
    <w:rsid w:val="009F3074"/>
    <w:rsid w:val="009F411F"/>
    <w:rsid w:val="009F4411"/>
    <w:rsid w:val="009F473C"/>
    <w:rsid w:val="009F497C"/>
    <w:rsid w:val="009F5460"/>
    <w:rsid w:val="009F68DB"/>
    <w:rsid w:val="009F7A31"/>
    <w:rsid w:val="00A017C3"/>
    <w:rsid w:val="00A02E43"/>
    <w:rsid w:val="00A04874"/>
    <w:rsid w:val="00A05366"/>
    <w:rsid w:val="00A05F33"/>
    <w:rsid w:val="00A065F9"/>
    <w:rsid w:val="00A069E2"/>
    <w:rsid w:val="00A07F34"/>
    <w:rsid w:val="00A108E7"/>
    <w:rsid w:val="00A11880"/>
    <w:rsid w:val="00A12E88"/>
    <w:rsid w:val="00A13BFB"/>
    <w:rsid w:val="00A16EAE"/>
    <w:rsid w:val="00A21637"/>
    <w:rsid w:val="00A2206D"/>
    <w:rsid w:val="00A22154"/>
    <w:rsid w:val="00A25115"/>
    <w:rsid w:val="00A25C38"/>
    <w:rsid w:val="00A27658"/>
    <w:rsid w:val="00A304B3"/>
    <w:rsid w:val="00A307A5"/>
    <w:rsid w:val="00A30B8C"/>
    <w:rsid w:val="00A32FF0"/>
    <w:rsid w:val="00A351D6"/>
    <w:rsid w:val="00A35A1C"/>
    <w:rsid w:val="00A36BBE"/>
    <w:rsid w:val="00A4242B"/>
    <w:rsid w:val="00A4307A"/>
    <w:rsid w:val="00A471E3"/>
    <w:rsid w:val="00A47EBB"/>
    <w:rsid w:val="00A5000D"/>
    <w:rsid w:val="00A51CDD"/>
    <w:rsid w:val="00A51FB5"/>
    <w:rsid w:val="00A5332F"/>
    <w:rsid w:val="00A534C5"/>
    <w:rsid w:val="00A55D6E"/>
    <w:rsid w:val="00A57E6F"/>
    <w:rsid w:val="00A65D13"/>
    <w:rsid w:val="00A6730D"/>
    <w:rsid w:val="00A67711"/>
    <w:rsid w:val="00A7150F"/>
    <w:rsid w:val="00A71625"/>
    <w:rsid w:val="00A7181D"/>
    <w:rsid w:val="00A71B9B"/>
    <w:rsid w:val="00A751C7"/>
    <w:rsid w:val="00A75808"/>
    <w:rsid w:val="00A80293"/>
    <w:rsid w:val="00A8171F"/>
    <w:rsid w:val="00A87844"/>
    <w:rsid w:val="00A91EE5"/>
    <w:rsid w:val="00A93940"/>
    <w:rsid w:val="00A93B8E"/>
    <w:rsid w:val="00A93CF2"/>
    <w:rsid w:val="00A94E3B"/>
    <w:rsid w:val="00A951A6"/>
    <w:rsid w:val="00A9568F"/>
    <w:rsid w:val="00A95B7C"/>
    <w:rsid w:val="00A96606"/>
    <w:rsid w:val="00A96822"/>
    <w:rsid w:val="00AA038C"/>
    <w:rsid w:val="00AA072D"/>
    <w:rsid w:val="00AA0B69"/>
    <w:rsid w:val="00AA0E2E"/>
    <w:rsid w:val="00AA25FE"/>
    <w:rsid w:val="00AA45B6"/>
    <w:rsid w:val="00AA5FEF"/>
    <w:rsid w:val="00AA75BF"/>
    <w:rsid w:val="00AA7A09"/>
    <w:rsid w:val="00AB1813"/>
    <w:rsid w:val="00AB3B50"/>
    <w:rsid w:val="00AB3D06"/>
    <w:rsid w:val="00AB4727"/>
    <w:rsid w:val="00AC05B1"/>
    <w:rsid w:val="00AC0DF6"/>
    <w:rsid w:val="00AC1946"/>
    <w:rsid w:val="00AC2749"/>
    <w:rsid w:val="00AC3C1E"/>
    <w:rsid w:val="00AC5577"/>
    <w:rsid w:val="00AC708E"/>
    <w:rsid w:val="00AC72C2"/>
    <w:rsid w:val="00AD24FA"/>
    <w:rsid w:val="00AD356C"/>
    <w:rsid w:val="00AD3A9B"/>
    <w:rsid w:val="00AD3AD1"/>
    <w:rsid w:val="00AD6023"/>
    <w:rsid w:val="00AD7B95"/>
    <w:rsid w:val="00AE10E2"/>
    <w:rsid w:val="00AE2914"/>
    <w:rsid w:val="00AE59C1"/>
    <w:rsid w:val="00AE6D15"/>
    <w:rsid w:val="00AE6DC0"/>
    <w:rsid w:val="00AE6E44"/>
    <w:rsid w:val="00AE710D"/>
    <w:rsid w:val="00AE7BB7"/>
    <w:rsid w:val="00AF137F"/>
    <w:rsid w:val="00AF1B75"/>
    <w:rsid w:val="00AF30CD"/>
    <w:rsid w:val="00AF4A89"/>
    <w:rsid w:val="00AF51BC"/>
    <w:rsid w:val="00AF7169"/>
    <w:rsid w:val="00AF7333"/>
    <w:rsid w:val="00B039FF"/>
    <w:rsid w:val="00B04182"/>
    <w:rsid w:val="00B07AE3"/>
    <w:rsid w:val="00B11430"/>
    <w:rsid w:val="00B11ABE"/>
    <w:rsid w:val="00B11AE4"/>
    <w:rsid w:val="00B14034"/>
    <w:rsid w:val="00B17703"/>
    <w:rsid w:val="00B20402"/>
    <w:rsid w:val="00B20FEE"/>
    <w:rsid w:val="00B24D97"/>
    <w:rsid w:val="00B26194"/>
    <w:rsid w:val="00B27B97"/>
    <w:rsid w:val="00B32DAA"/>
    <w:rsid w:val="00B353EB"/>
    <w:rsid w:val="00B439C4"/>
    <w:rsid w:val="00B4535E"/>
    <w:rsid w:val="00B460D0"/>
    <w:rsid w:val="00B46852"/>
    <w:rsid w:val="00B52A8C"/>
    <w:rsid w:val="00B542A6"/>
    <w:rsid w:val="00B55702"/>
    <w:rsid w:val="00B5649C"/>
    <w:rsid w:val="00B6004E"/>
    <w:rsid w:val="00B60C6F"/>
    <w:rsid w:val="00B636A8"/>
    <w:rsid w:val="00B6571D"/>
    <w:rsid w:val="00B665C6"/>
    <w:rsid w:val="00B72FBB"/>
    <w:rsid w:val="00B74302"/>
    <w:rsid w:val="00B74F6B"/>
    <w:rsid w:val="00B75BE0"/>
    <w:rsid w:val="00B763F5"/>
    <w:rsid w:val="00B76C77"/>
    <w:rsid w:val="00B76FB8"/>
    <w:rsid w:val="00B7791E"/>
    <w:rsid w:val="00B805AF"/>
    <w:rsid w:val="00B869EC"/>
    <w:rsid w:val="00B906BA"/>
    <w:rsid w:val="00B9397A"/>
    <w:rsid w:val="00B95FBC"/>
    <w:rsid w:val="00B9633D"/>
    <w:rsid w:val="00B96BE4"/>
    <w:rsid w:val="00B971EA"/>
    <w:rsid w:val="00BA0B75"/>
    <w:rsid w:val="00BA244A"/>
    <w:rsid w:val="00BA2EBE"/>
    <w:rsid w:val="00BA3177"/>
    <w:rsid w:val="00BA3341"/>
    <w:rsid w:val="00BB0F28"/>
    <w:rsid w:val="00BB2363"/>
    <w:rsid w:val="00BB458A"/>
    <w:rsid w:val="00BB45D8"/>
    <w:rsid w:val="00BB6C4A"/>
    <w:rsid w:val="00BB73AA"/>
    <w:rsid w:val="00BB7CF0"/>
    <w:rsid w:val="00BC0C5F"/>
    <w:rsid w:val="00BC2D24"/>
    <w:rsid w:val="00BC410A"/>
    <w:rsid w:val="00BC46AC"/>
    <w:rsid w:val="00BC5A23"/>
    <w:rsid w:val="00BC63B1"/>
    <w:rsid w:val="00BD00D3"/>
    <w:rsid w:val="00BD1659"/>
    <w:rsid w:val="00BD318E"/>
    <w:rsid w:val="00BD3AA9"/>
    <w:rsid w:val="00BD4383"/>
    <w:rsid w:val="00BD4A18"/>
    <w:rsid w:val="00BD6899"/>
    <w:rsid w:val="00BD6DB2"/>
    <w:rsid w:val="00BE11CF"/>
    <w:rsid w:val="00BE21AB"/>
    <w:rsid w:val="00BE434E"/>
    <w:rsid w:val="00BE55CB"/>
    <w:rsid w:val="00BE6C5B"/>
    <w:rsid w:val="00BF0516"/>
    <w:rsid w:val="00BF1623"/>
    <w:rsid w:val="00BF35B7"/>
    <w:rsid w:val="00BF617A"/>
    <w:rsid w:val="00BF6FCE"/>
    <w:rsid w:val="00BF79B2"/>
    <w:rsid w:val="00C0379D"/>
    <w:rsid w:val="00C03931"/>
    <w:rsid w:val="00C03A3C"/>
    <w:rsid w:val="00C03CA8"/>
    <w:rsid w:val="00C0470D"/>
    <w:rsid w:val="00C05FE3"/>
    <w:rsid w:val="00C063B9"/>
    <w:rsid w:val="00C0658C"/>
    <w:rsid w:val="00C065A1"/>
    <w:rsid w:val="00C1045F"/>
    <w:rsid w:val="00C11012"/>
    <w:rsid w:val="00C15205"/>
    <w:rsid w:val="00C1649A"/>
    <w:rsid w:val="00C2136D"/>
    <w:rsid w:val="00C214EE"/>
    <w:rsid w:val="00C21691"/>
    <w:rsid w:val="00C21D94"/>
    <w:rsid w:val="00C2314B"/>
    <w:rsid w:val="00C24971"/>
    <w:rsid w:val="00C251E1"/>
    <w:rsid w:val="00C252F6"/>
    <w:rsid w:val="00C2530B"/>
    <w:rsid w:val="00C2564D"/>
    <w:rsid w:val="00C2582F"/>
    <w:rsid w:val="00C26080"/>
    <w:rsid w:val="00C26BE5"/>
    <w:rsid w:val="00C26E22"/>
    <w:rsid w:val="00C26E4D"/>
    <w:rsid w:val="00C27190"/>
    <w:rsid w:val="00C27719"/>
    <w:rsid w:val="00C27909"/>
    <w:rsid w:val="00C27B03"/>
    <w:rsid w:val="00C27ED5"/>
    <w:rsid w:val="00C314E1"/>
    <w:rsid w:val="00C333E1"/>
    <w:rsid w:val="00C34397"/>
    <w:rsid w:val="00C34915"/>
    <w:rsid w:val="00C34980"/>
    <w:rsid w:val="00C3566F"/>
    <w:rsid w:val="00C368A0"/>
    <w:rsid w:val="00C3788B"/>
    <w:rsid w:val="00C4095D"/>
    <w:rsid w:val="00C40AE8"/>
    <w:rsid w:val="00C42A7E"/>
    <w:rsid w:val="00C42F94"/>
    <w:rsid w:val="00C4307B"/>
    <w:rsid w:val="00C460E2"/>
    <w:rsid w:val="00C50E58"/>
    <w:rsid w:val="00C52975"/>
    <w:rsid w:val="00C53B63"/>
    <w:rsid w:val="00C53ED5"/>
    <w:rsid w:val="00C54618"/>
    <w:rsid w:val="00C54F5A"/>
    <w:rsid w:val="00C5591D"/>
    <w:rsid w:val="00C601D2"/>
    <w:rsid w:val="00C60EA0"/>
    <w:rsid w:val="00C61A64"/>
    <w:rsid w:val="00C63D6B"/>
    <w:rsid w:val="00C65BCC"/>
    <w:rsid w:val="00C66970"/>
    <w:rsid w:val="00C67403"/>
    <w:rsid w:val="00C7481E"/>
    <w:rsid w:val="00C74DB0"/>
    <w:rsid w:val="00C81F7B"/>
    <w:rsid w:val="00C82292"/>
    <w:rsid w:val="00C84AA0"/>
    <w:rsid w:val="00C858A9"/>
    <w:rsid w:val="00C8691C"/>
    <w:rsid w:val="00C904EE"/>
    <w:rsid w:val="00C91831"/>
    <w:rsid w:val="00C933DE"/>
    <w:rsid w:val="00C93891"/>
    <w:rsid w:val="00C95408"/>
    <w:rsid w:val="00C96091"/>
    <w:rsid w:val="00CA168A"/>
    <w:rsid w:val="00CA357E"/>
    <w:rsid w:val="00CA44F9"/>
    <w:rsid w:val="00CA4A69"/>
    <w:rsid w:val="00CA4BFD"/>
    <w:rsid w:val="00CA5E26"/>
    <w:rsid w:val="00CB0F38"/>
    <w:rsid w:val="00CB164B"/>
    <w:rsid w:val="00CB5090"/>
    <w:rsid w:val="00CB600D"/>
    <w:rsid w:val="00CB7B95"/>
    <w:rsid w:val="00CB7F17"/>
    <w:rsid w:val="00CC05E7"/>
    <w:rsid w:val="00CC378F"/>
    <w:rsid w:val="00CC3E0C"/>
    <w:rsid w:val="00CC54E1"/>
    <w:rsid w:val="00CC58D3"/>
    <w:rsid w:val="00CC638E"/>
    <w:rsid w:val="00CC6D45"/>
    <w:rsid w:val="00CC7350"/>
    <w:rsid w:val="00CC784D"/>
    <w:rsid w:val="00CD0279"/>
    <w:rsid w:val="00CD0A5A"/>
    <w:rsid w:val="00CD0AD7"/>
    <w:rsid w:val="00CD0BE7"/>
    <w:rsid w:val="00CD1391"/>
    <w:rsid w:val="00CD23ED"/>
    <w:rsid w:val="00CD48A8"/>
    <w:rsid w:val="00CD4931"/>
    <w:rsid w:val="00CE61CD"/>
    <w:rsid w:val="00CF1B7A"/>
    <w:rsid w:val="00CF1CF5"/>
    <w:rsid w:val="00CF3784"/>
    <w:rsid w:val="00CF5CF9"/>
    <w:rsid w:val="00CF67E9"/>
    <w:rsid w:val="00CF6AD7"/>
    <w:rsid w:val="00CF782E"/>
    <w:rsid w:val="00D00411"/>
    <w:rsid w:val="00D007C9"/>
    <w:rsid w:val="00D01DF4"/>
    <w:rsid w:val="00D02859"/>
    <w:rsid w:val="00D0337B"/>
    <w:rsid w:val="00D05A40"/>
    <w:rsid w:val="00D0628A"/>
    <w:rsid w:val="00D079B2"/>
    <w:rsid w:val="00D10150"/>
    <w:rsid w:val="00D114E9"/>
    <w:rsid w:val="00D12D07"/>
    <w:rsid w:val="00D13472"/>
    <w:rsid w:val="00D13996"/>
    <w:rsid w:val="00D141DB"/>
    <w:rsid w:val="00D154D7"/>
    <w:rsid w:val="00D15A4A"/>
    <w:rsid w:val="00D16574"/>
    <w:rsid w:val="00D16B1E"/>
    <w:rsid w:val="00D20090"/>
    <w:rsid w:val="00D21109"/>
    <w:rsid w:val="00D21291"/>
    <w:rsid w:val="00D21F0E"/>
    <w:rsid w:val="00D22BA7"/>
    <w:rsid w:val="00D245FF"/>
    <w:rsid w:val="00D2691E"/>
    <w:rsid w:val="00D26930"/>
    <w:rsid w:val="00D27D87"/>
    <w:rsid w:val="00D27FDC"/>
    <w:rsid w:val="00D36691"/>
    <w:rsid w:val="00D37291"/>
    <w:rsid w:val="00D414FE"/>
    <w:rsid w:val="00D429C6"/>
    <w:rsid w:val="00D42FE5"/>
    <w:rsid w:val="00D47748"/>
    <w:rsid w:val="00D5153A"/>
    <w:rsid w:val="00D54CC3"/>
    <w:rsid w:val="00D565BE"/>
    <w:rsid w:val="00D569DB"/>
    <w:rsid w:val="00D6041A"/>
    <w:rsid w:val="00D615FB"/>
    <w:rsid w:val="00D633EB"/>
    <w:rsid w:val="00D67875"/>
    <w:rsid w:val="00D71817"/>
    <w:rsid w:val="00D72AA9"/>
    <w:rsid w:val="00D73F45"/>
    <w:rsid w:val="00D74CF2"/>
    <w:rsid w:val="00D766EB"/>
    <w:rsid w:val="00D77044"/>
    <w:rsid w:val="00D82FF7"/>
    <w:rsid w:val="00D8358A"/>
    <w:rsid w:val="00D847FE"/>
    <w:rsid w:val="00D87450"/>
    <w:rsid w:val="00D923BF"/>
    <w:rsid w:val="00D9400C"/>
    <w:rsid w:val="00D964EA"/>
    <w:rsid w:val="00D966D0"/>
    <w:rsid w:val="00DA0C59"/>
    <w:rsid w:val="00DA1164"/>
    <w:rsid w:val="00DA319B"/>
    <w:rsid w:val="00DA3991"/>
    <w:rsid w:val="00DA586D"/>
    <w:rsid w:val="00DA59B5"/>
    <w:rsid w:val="00DA7272"/>
    <w:rsid w:val="00DB0990"/>
    <w:rsid w:val="00DB0CE8"/>
    <w:rsid w:val="00DB1D85"/>
    <w:rsid w:val="00DB7DA5"/>
    <w:rsid w:val="00DB7E6C"/>
    <w:rsid w:val="00DC05DF"/>
    <w:rsid w:val="00DC54BD"/>
    <w:rsid w:val="00DD0A5D"/>
    <w:rsid w:val="00DD150F"/>
    <w:rsid w:val="00DD152F"/>
    <w:rsid w:val="00DD381F"/>
    <w:rsid w:val="00DD5A29"/>
    <w:rsid w:val="00DD5D9D"/>
    <w:rsid w:val="00DE0C73"/>
    <w:rsid w:val="00DE0D76"/>
    <w:rsid w:val="00DE1800"/>
    <w:rsid w:val="00DE1BE9"/>
    <w:rsid w:val="00DE2317"/>
    <w:rsid w:val="00DE243C"/>
    <w:rsid w:val="00DE2DC0"/>
    <w:rsid w:val="00DE35CB"/>
    <w:rsid w:val="00DE497E"/>
    <w:rsid w:val="00DE4D11"/>
    <w:rsid w:val="00DF0DD9"/>
    <w:rsid w:val="00DF21E9"/>
    <w:rsid w:val="00DF33B2"/>
    <w:rsid w:val="00DF4523"/>
    <w:rsid w:val="00E00F14"/>
    <w:rsid w:val="00E02B1F"/>
    <w:rsid w:val="00E02D41"/>
    <w:rsid w:val="00E0346F"/>
    <w:rsid w:val="00E03EF9"/>
    <w:rsid w:val="00E0462C"/>
    <w:rsid w:val="00E05F45"/>
    <w:rsid w:val="00E06386"/>
    <w:rsid w:val="00E11BAC"/>
    <w:rsid w:val="00E125A7"/>
    <w:rsid w:val="00E150C4"/>
    <w:rsid w:val="00E15ACD"/>
    <w:rsid w:val="00E21CC9"/>
    <w:rsid w:val="00E236C3"/>
    <w:rsid w:val="00E24EB4"/>
    <w:rsid w:val="00E30970"/>
    <w:rsid w:val="00E320ED"/>
    <w:rsid w:val="00E33815"/>
    <w:rsid w:val="00E33AFB"/>
    <w:rsid w:val="00E34218"/>
    <w:rsid w:val="00E345C4"/>
    <w:rsid w:val="00E3589D"/>
    <w:rsid w:val="00E41FC3"/>
    <w:rsid w:val="00E423D3"/>
    <w:rsid w:val="00E46282"/>
    <w:rsid w:val="00E46924"/>
    <w:rsid w:val="00E5081A"/>
    <w:rsid w:val="00E51F7C"/>
    <w:rsid w:val="00E5216E"/>
    <w:rsid w:val="00E54903"/>
    <w:rsid w:val="00E550D2"/>
    <w:rsid w:val="00E564F8"/>
    <w:rsid w:val="00E56DBB"/>
    <w:rsid w:val="00E57E20"/>
    <w:rsid w:val="00E604B6"/>
    <w:rsid w:val="00E605AA"/>
    <w:rsid w:val="00E60ADC"/>
    <w:rsid w:val="00E61C1D"/>
    <w:rsid w:val="00E642D5"/>
    <w:rsid w:val="00E65FFF"/>
    <w:rsid w:val="00E7728A"/>
    <w:rsid w:val="00E81EE0"/>
    <w:rsid w:val="00E82344"/>
    <w:rsid w:val="00E83132"/>
    <w:rsid w:val="00E834C3"/>
    <w:rsid w:val="00E84C82"/>
    <w:rsid w:val="00E84D64"/>
    <w:rsid w:val="00E851A4"/>
    <w:rsid w:val="00E87408"/>
    <w:rsid w:val="00E914C4"/>
    <w:rsid w:val="00E91FA0"/>
    <w:rsid w:val="00E92191"/>
    <w:rsid w:val="00E934F5"/>
    <w:rsid w:val="00E95548"/>
    <w:rsid w:val="00E96961"/>
    <w:rsid w:val="00EA3997"/>
    <w:rsid w:val="00EA3B3D"/>
    <w:rsid w:val="00EA72EC"/>
    <w:rsid w:val="00EB0407"/>
    <w:rsid w:val="00EB11CB"/>
    <w:rsid w:val="00EB275A"/>
    <w:rsid w:val="00EB29AE"/>
    <w:rsid w:val="00EB3532"/>
    <w:rsid w:val="00EB39EE"/>
    <w:rsid w:val="00EB5488"/>
    <w:rsid w:val="00EB786A"/>
    <w:rsid w:val="00EC06ED"/>
    <w:rsid w:val="00EC081B"/>
    <w:rsid w:val="00EC1578"/>
    <w:rsid w:val="00EC1978"/>
    <w:rsid w:val="00EC1C72"/>
    <w:rsid w:val="00EC1F91"/>
    <w:rsid w:val="00EC2ADA"/>
    <w:rsid w:val="00EC3CC9"/>
    <w:rsid w:val="00EC5A2B"/>
    <w:rsid w:val="00EC680A"/>
    <w:rsid w:val="00EC684F"/>
    <w:rsid w:val="00EC6D62"/>
    <w:rsid w:val="00ED06AD"/>
    <w:rsid w:val="00ED2734"/>
    <w:rsid w:val="00ED61DA"/>
    <w:rsid w:val="00EE003D"/>
    <w:rsid w:val="00EE049C"/>
    <w:rsid w:val="00EE1A21"/>
    <w:rsid w:val="00EE2BED"/>
    <w:rsid w:val="00EE31DB"/>
    <w:rsid w:val="00EE374B"/>
    <w:rsid w:val="00EE3E53"/>
    <w:rsid w:val="00EE53A2"/>
    <w:rsid w:val="00EE5D65"/>
    <w:rsid w:val="00EF1200"/>
    <w:rsid w:val="00EF2040"/>
    <w:rsid w:val="00EF3869"/>
    <w:rsid w:val="00EF6A35"/>
    <w:rsid w:val="00EF7AF2"/>
    <w:rsid w:val="00F01B42"/>
    <w:rsid w:val="00F02543"/>
    <w:rsid w:val="00F06991"/>
    <w:rsid w:val="00F0792C"/>
    <w:rsid w:val="00F11BB5"/>
    <w:rsid w:val="00F1417B"/>
    <w:rsid w:val="00F1492E"/>
    <w:rsid w:val="00F15587"/>
    <w:rsid w:val="00F1561D"/>
    <w:rsid w:val="00F15A4E"/>
    <w:rsid w:val="00F16C57"/>
    <w:rsid w:val="00F177BB"/>
    <w:rsid w:val="00F179F3"/>
    <w:rsid w:val="00F20F9E"/>
    <w:rsid w:val="00F224CF"/>
    <w:rsid w:val="00F2506A"/>
    <w:rsid w:val="00F25B8C"/>
    <w:rsid w:val="00F26CB0"/>
    <w:rsid w:val="00F307F7"/>
    <w:rsid w:val="00F309BA"/>
    <w:rsid w:val="00F34B99"/>
    <w:rsid w:val="00F37DEB"/>
    <w:rsid w:val="00F40F17"/>
    <w:rsid w:val="00F41FC3"/>
    <w:rsid w:val="00F438E8"/>
    <w:rsid w:val="00F4392E"/>
    <w:rsid w:val="00F43AE8"/>
    <w:rsid w:val="00F51E42"/>
    <w:rsid w:val="00F52DAB"/>
    <w:rsid w:val="00F52E50"/>
    <w:rsid w:val="00F530DB"/>
    <w:rsid w:val="00F538D3"/>
    <w:rsid w:val="00F543F0"/>
    <w:rsid w:val="00F5686B"/>
    <w:rsid w:val="00F5690E"/>
    <w:rsid w:val="00F56B4C"/>
    <w:rsid w:val="00F577D9"/>
    <w:rsid w:val="00F57DD2"/>
    <w:rsid w:val="00F60B95"/>
    <w:rsid w:val="00F6302D"/>
    <w:rsid w:val="00F64048"/>
    <w:rsid w:val="00F661A9"/>
    <w:rsid w:val="00F66670"/>
    <w:rsid w:val="00F66F09"/>
    <w:rsid w:val="00F67B8C"/>
    <w:rsid w:val="00F67EC3"/>
    <w:rsid w:val="00F73E7C"/>
    <w:rsid w:val="00F74E8B"/>
    <w:rsid w:val="00F76DAA"/>
    <w:rsid w:val="00F76E13"/>
    <w:rsid w:val="00F77AC1"/>
    <w:rsid w:val="00F810D1"/>
    <w:rsid w:val="00F8132C"/>
    <w:rsid w:val="00F81D29"/>
    <w:rsid w:val="00F83204"/>
    <w:rsid w:val="00F8723F"/>
    <w:rsid w:val="00F87B19"/>
    <w:rsid w:val="00F90795"/>
    <w:rsid w:val="00F91C4D"/>
    <w:rsid w:val="00F91E08"/>
    <w:rsid w:val="00F92FD9"/>
    <w:rsid w:val="00F94B2E"/>
    <w:rsid w:val="00F95A02"/>
    <w:rsid w:val="00F97809"/>
    <w:rsid w:val="00FA28F5"/>
    <w:rsid w:val="00FA398F"/>
    <w:rsid w:val="00FA4DDC"/>
    <w:rsid w:val="00FA5573"/>
    <w:rsid w:val="00FA6684"/>
    <w:rsid w:val="00FA731E"/>
    <w:rsid w:val="00FB2B38"/>
    <w:rsid w:val="00FB54DB"/>
    <w:rsid w:val="00FB6D39"/>
    <w:rsid w:val="00FB79AF"/>
    <w:rsid w:val="00FC1B40"/>
    <w:rsid w:val="00FC4100"/>
    <w:rsid w:val="00FC42D1"/>
    <w:rsid w:val="00FC52A4"/>
    <w:rsid w:val="00FC5641"/>
    <w:rsid w:val="00FC5CE4"/>
    <w:rsid w:val="00FC6358"/>
    <w:rsid w:val="00FD01CF"/>
    <w:rsid w:val="00FD0EBB"/>
    <w:rsid w:val="00FD1E1A"/>
    <w:rsid w:val="00FD224D"/>
    <w:rsid w:val="00FD320D"/>
    <w:rsid w:val="00FD4666"/>
    <w:rsid w:val="00FD510A"/>
    <w:rsid w:val="00FD7EBC"/>
    <w:rsid w:val="00FE23DE"/>
    <w:rsid w:val="00FE2729"/>
    <w:rsid w:val="00FE2AAA"/>
    <w:rsid w:val="00FE3959"/>
    <w:rsid w:val="00FE600B"/>
    <w:rsid w:val="00FF11FD"/>
    <w:rsid w:val="00FF2721"/>
    <w:rsid w:val="00FF4AA9"/>
    <w:rsid w:val="00FF5956"/>
    <w:rsid w:val="00FF6123"/>
    <w:rsid w:val="00FF67C2"/>
    <w:rsid w:val="0D8122F2"/>
    <w:rsid w:val="2D6B2A6A"/>
    <w:rsid w:val="4B9C7D3F"/>
    <w:rsid w:val="5A8F01A3"/>
    <w:rsid w:val="64C30076"/>
    <w:rsid w:val="776C77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semiHidden="0" w:name="footnote text"/>
    <w:lsdException w:qFormat="1" w:uiPriority="0" w:name="annotation text"/>
    <w:lsdException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0" w:semiHidden="0" w:name="annotation reference"/>
    <w:lsdException w:uiPriority="0" w:name="line number"/>
    <w:lsdException w:qFormat="1" w:unhideWhenUsed="0" w:uiPriority="0" w:semiHidden="0" w:name="page number"/>
    <w:lsdException w:qFormat="1" w:unhideWhenUsed="0" w:uiPriority="0" w:name="endnote reference"/>
    <w:lsdException w:qFormat="1" w:unhideWhenUsed="0"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57"/>
    <w:qFormat/>
    <w:uiPriority w:val="0"/>
    <w:pPr>
      <w:outlineLvl w:val="0"/>
    </w:pPr>
  </w:style>
  <w:style w:type="paragraph" w:styleId="5">
    <w:name w:val="heading 2"/>
    <w:basedOn w:val="6"/>
    <w:next w:val="1"/>
    <w:link w:val="64"/>
    <w:qFormat/>
    <w:uiPriority w:val="0"/>
    <w:pPr>
      <w:outlineLvl w:val="1"/>
    </w:pPr>
  </w:style>
  <w:style w:type="paragraph" w:styleId="7">
    <w:name w:val="heading 3"/>
    <w:basedOn w:val="8"/>
    <w:next w:val="1"/>
    <w:link w:val="58"/>
    <w:qFormat/>
    <w:uiPriority w:val="0"/>
    <w:pPr>
      <w:spacing w:before="156" w:after="156"/>
      <w:ind w:left="-2" w:leftChars="-1"/>
      <w:outlineLvl w:val="2"/>
    </w:pPr>
  </w:style>
  <w:style w:type="paragraph" w:styleId="9">
    <w:name w:val="heading 4"/>
    <w:basedOn w:val="1"/>
    <w:next w:val="1"/>
    <w:link w:val="6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10">
    <w:name w:val="heading 5"/>
    <w:basedOn w:val="1"/>
    <w:next w:val="1"/>
    <w:link w:val="66"/>
    <w:qFormat/>
    <w:uiPriority w:val="0"/>
    <w:pPr>
      <w:keepNext/>
      <w:keepLines/>
      <w:numPr>
        <w:ilvl w:val="4"/>
        <w:numId w:val="1"/>
      </w:numPr>
      <w:spacing w:before="280" w:after="290" w:line="376" w:lineRule="auto"/>
      <w:outlineLvl w:val="4"/>
    </w:pPr>
    <w:rPr>
      <w:b/>
      <w:bCs/>
      <w:sz w:val="28"/>
      <w:szCs w:val="28"/>
    </w:rPr>
  </w:style>
  <w:style w:type="paragraph" w:styleId="11">
    <w:name w:val="heading 6"/>
    <w:basedOn w:val="1"/>
    <w:next w:val="1"/>
    <w:link w:val="67"/>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12">
    <w:name w:val="heading 7"/>
    <w:basedOn w:val="1"/>
    <w:next w:val="1"/>
    <w:link w:val="56"/>
    <w:qFormat/>
    <w:uiPriority w:val="0"/>
    <w:pPr>
      <w:keepNext/>
      <w:keepLines/>
      <w:numPr>
        <w:ilvl w:val="6"/>
        <w:numId w:val="1"/>
      </w:numPr>
      <w:spacing w:before="240" w:after="64" w:line="320" w:lineRule="auto"/>
      <w:outlineLvl w:val="6"/>
    </w:pPr>
    <w:rPr>
      <w:b/>
      <w:bCs/>
      <w:sz w:val="24"/>
    </w:rPr>
  </w:style>
  <w:style w:type="paragraph" w:styleId="13">
    <w:name w:val="heading 8"/>
    <w:basedOn w:val="1"/>
    <w:next w:val="1"/>
    <w:link w:val="68"/>
    <w:qFormat/>
    <w:uiPriority w:val="0"/>
    <w:pPr>
      <w:keepNext/>
      <w:keepLines/>
      <w:numPr>
        <w:ilvl w:val="7"/>
        <w:numId w:val="1"/>
      </w:numPr>
      <w:spacing w:before="240" w:after="64" w:line="320" w:lineRule="auto"/>
      <w:outlineLvl w:val="7"/>
    </w:pPr>
    <w:rPr>
      <w:rFonts w:ascii="Arial" w:hAnsi="Arial" w:eastAsia="黑体"/>
      <w:sz w:val="24"/>
    </w:rPr>
  </w:style>
  <w:style w:type="paragraph" w:styleId="14">
    <w:name w:val="heading 9"/>
    <w:basedOn w:val="1"/>
    <w:next w:val="1"/>
    <w:link w:val="69"/>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customStyle="1" w:styleId="3">
    <w:name w:val="章标题"/>
    <w:next w:val="4"/>
    <w:qFormat/>
    <w:uiPriority w:val="0"/>
    <w:pPr>
      <w:numPr>
        <w:ilvl w:val="0"/>
        <w:numId w:val="2"/>
      </w:numPr>
      <w:spacing w:beforeLines="100" w:afterLines="100"/>
      <w:jc w:val="both"/>
      <w:outlineLvl w:val="1"/>
    </w:pPr>
    <w:rPr>
      <w:rFonts w:ascii="黑体" w:hAnsi="Times New Roman" w:eastAsia="黑体" w:cs="Times New Roman"/>
      <w:sz w:val="21"/>
      <w:lang w:val="en-US" w:eastAsia="zh-CN" w:bidi="ar-SA"/>
    </w:rPr>
  </w:style>
  <w:style w:type="paragraph" w:customStyle="1" w:styleId="4">
    <w:name w:val="段"/>
    <w:link w:val="55"/>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6">
    <w:name w:val="一级条标题"/>
    <w:next w:val="4"/>
    <w:link w:val="176"/>
    <w:qFormat/>
    <w:uiPriority w:val="0"/>
    <w:pPr>
      <w:spacing w:beforeLines="50" w:afterLines="50"/>
      <w:outlineLvl w:val="2"/>
    </w:pPr>
    <w:rPr>
      <w:rFonts w:ascii="黑体" w:hAnsi="Times New Roman" w:eastAsia="黑体" w:cs="Times New Roman"/>
      <w:sz w:val="21"/>
      <w:szCs w:val="21"/>
      <w:lang w:val="en-US" w:eastAsia="zh-CN" w:bidi="ar-SA"/>
    </w:rPr>
  </w:style>
  <w:style w:type="paragraph" w:customStyle="1" w:styleId="8">
    <w:name w:val="二级条标题"/>
    <w:basedOn w:val="6"/>
    <w:next w:val="4"/>
    <w:qFormat/>
    <w:uiPriority w:val="0"/>
    <w:pPr>
      <w:spacing w:before="50" w:after="50"/>
      <w:outlineLvl w:val="3"/>
    </w:pPr>
  </w:style>
  <w:style w:type="paragraph" w:styleId="15">
    <w:name w:val="toc 7"/>
    <w:basedOn w:val="1"/>
    <w:next w:val="1"/>
    <w:semiHidden/>
    <w:qFormat/>
    <w:uiPriority w:val="0"/>
    <w:pPr>
      <w:tabs>
        <w:tab w:val="right" w:leader="dot" w:pos="9241"/>
      </w:tabs>
      <w:ind w:firstLine="500" w:firstLineChars="500"/>
      <w:jc w:val="left"/>
    </w:pPr>
    <w:rPr>
      <w:rFonts w:ascii="宋体"/>
      <w:szCs w:val="21"/>
    </w:rPr>
  </w:style>
  <w:style w:type="paragraph" w:styleId="16">
    <w:name w:val="index 8"/>
    <w:basedOn w:val="1"/>
    <w:next w:val="1"/>
    <w:qFormat/>
    <w:uiPriority w:val="0"/>
    <w:pPr>
      <w:ind w:left="1680" w:hanging="210"/>
      <w:jc w:val="left"/>
    </w:pPr>
    <w:rPr>
      <w:rFonts w:ascii="Calibri" w:hAnsi="Calibri"/>
      <w:sz w:val="20"/>
      <w:szCs w:val="20"/>
    </w:rPr>
  </w:style>
  <w:style w:type="paragraph" w:styleId="17">
    <w:name w:val="Normal Indent"/>
    <w:basedOn w:val="1"/>
    <w:link w:val="174"/>
    <w:qFormat/>
    <w:uiPriority w:val="0"/>
    <w:pPr>
      <w:adjustRightInd w:val="0"/>
      <w:ind w:firstLine="470" w:firstLineChars="200"/>
    </w:pPr>
    <w:rPr>
      <w:rFonts w:ascii="宋体"/>
      <w:kern w:val="0"/>
      <w:sz w:val="24"/>
    </w:rPr>
  </w:style>
  <w:style w:type="paragraph" w:styleId="18">
    <w:name w:val="caption"/>
    <w:basedOn w:val="1"/>
    <w:next w:val="1"/>
    <w:qFormat/>
    <w:uiPriority w:val="0"/>
    <w:pPr>
      <w:spacing w:before="152" w:after="160"/>
    </w:pPr>
    <w:rPr>
      <w:rFonts w:ascii="Arial" w:hAnsi="Arial" w:eastAsia="黑体" w:cs="Arial"/>
      <w:sz w:val="20"/>
      <w:szCs w:val="20"/>
    </w:rPr>
  </w:style>
  <w:style w:type="paragraph" w:styleId="19">
    <w:name w:val="index 5"/>
    <w:basedOn w:val="1"/>
    <w:next w:val="1"/>
    <w:qFormat/>
    <w:uiPriority w:val="0"/>
    <w:pPr>
      <w:ind w:left="1050" w:hanging="210"/>
      <w:jc w:val="left"/>
    </w:pPr>
    <w:rPr>
      <w:rFonts w:ascii="Calibri" w:hAnsi="Calibri"/>
      <w:sz w:val="20"/>
      <w:szCs w:val="20"/>
    </w:rPr>
  </w:style>
  <w:style w:type="paragraph" w:styleId="20">
    <w:name w:val="Document Map"/>
    <w:basedOn w:val="1"/>
    <w:semiHidden/>
    <w:qFormat/>
    <w:uiPriority w:val="0"/>
    <w:pPr>
      <w:shd w:val="clear" w:color="auto" w:fill="000080"/>
    </w:pPr>
  </w:style>
  <w:style w:type="paragraph" w:styleId="21">
    <w:name w:val="annotation text"/>
    <w:basedOn w:val="1"/>
    <w:link w:val="177"/>
    <w:semiHidden/>
    <w:unhideWhenUsed/>
    <w:qFormat/>
    <w:uiPriority w:val="0"/>
    <w:pPr>
      <w:jc w:val="left"/>
    </w:pPr>
  </w:style>
  <w:style w:type="paragraph" w:styleId="22">
    <w:name w:val="index 6"/>
    <w:basedOn w:val="1"/>
    <w:next w:val="1"/>
    <w:qFormat/>
    <w:uiPriority w:val="0"/>
    <w:pPr>
      <w:ind w:left="1260" w:hanging="210"/>
      <w:jc w:val="left"/>
    </w:pPr>
    <w:rPr>
      <w:rFonts w:ascii="Calibri" w:hAnsi="Calibri"/>
      <w:sz w:val="20"/>
      <w:szCs w:val="20"/>
    </w:rPr>
  </w:style>
  <w:style w:type="paragraph" w:styleId="23">
    <w:name w:val="index 4"/>
    <w:basedOn w:val="1"/>
    <w:next w:val="1"/>
    <w:qFormat/>
    <w:uiPriority w:val="0"/>
    <w:pPr>
      <w:ind w:left="840" w:hanging="210"/>
      <w:jc w:val="left"/>
    </w:pPr>
    <w:rPr>
      <w:rFonts w:ascii="Calibri" w:hAnsi="Calibri"/>
      <w:sz w:val="20"/>
      <w:szCs w:val="20"/>
    </w:rPr>
  </w:style>
  <w:style w:type="paragraph" w:styleId="24">
    <w:name w:val="toc 5"/>
    <w:basedOn w:val="1"/>
    <w:next w:val="1"/>
    <w:semiHidden/>
    <w:qFormat/>
    <w:uiPriority w:val="0"/>
    <w:pPr>
      <w:tabs>
        <w:tab w:val="right" w:leader="dot" w:pos="9241"/>
      </w:tabs>
      <w:ind w:firstLine="300" w:firstLineChars="300"/>
      <w:jc w:val="left"/>
    </w:pPr>
    <w:rPr>
      <w:rFonts w:ascii="宋体"/>
      <w:szCs w:val="21"/>
    </w:rPr>
  </w:style>
  <w:style w:type="paragraph" w:styleId="25">
    <w:name w:val="toc 3"/>
    <w:basedOn w:val="1"/>
    <w:next w:val="1"/>
    <w:qFormat/>
    <w:uiPriority w:val="39"/>
    <w:pPr>
      <w:tabs>
        <w:tab w:val="right" w:leader="dot" w:pos="9241"/>
      </w:tabs>
      <w:ind w:firstLine="100" w:firstLineChars="100"/>
      <w:jc w:val="left"/>
    </w:pPr>
    <w:rPr>
      <w:rFonts w:ascii="宋体"/>
      <w:szCs w:val="21"/>
    </w:rPr>
  </w:style>
  <w:style w:type="paragraph" w:styleId="26">
    <w:name w:val="Plain Text"/>
    <w:basedOn w:val="1"/>
    <w:link w:val="185"/>
    <w:qFormat/>
    <w:uiPriority w:val="0"/>
    <w:rPr>
      <w:rFonts w:ascii="宋体" w:hAnsi="Courier New"/>
      <w:szCs w:val="21"/>
    </w:rPr>
  </w:style>
  <w:style w:type="paragraph" w:styleId="27">
    <w:name w:val="toc 8"/>
    <w:basedOn w:val="1"/>
    <w:next w:val="1"/>
    <w:semiHidden/>
    <w:qFormat/>
    <w:uiPriority w:val="0"/>
    <w:pPr>
      <w:tabs>
        <w:tab w:val="right" w:leader="dot" w:pos="9241"/>
      </w:tabs>
      <w:ind w:firstLine="607" w:firstLineChars="600"/>
      <w:jc w:val="left"/>
    </w:pPr>
    <w:rPr>
      <w:rFonts w:ascii="宋体"/>
      <w:szCs w:val="21"/>
    </w:rPr>
  </w:style>
  <w:style w:type="paragraph" w:styleId="28">
    <w:name w:val="index 3"/>
    <w:basedOn w:val="1"/>
    <w:next w:val="1"/>
    <w:qFormat/>
    <w:uiPriority w:val="0"/>
    <w:pPr>
      <w:ind w:left="630" w:hanging="210"/>
      <w:jc w:val="left"/>
    </w:pPr>
    <w:rPr>
      <w:rFonts w:ascii="Calibri" w:hAnsi="Calibri"/>
      <w:sz w:val="20"/>
      <w:szCs w:val="20"/>
    </w:rPr>
  </w:style>
  <w:style w:type="paragraph" w:styleId="29">
    <w:name w:val="Date"/>
    <w:basedOn w:val="1"/>
    <w:next w:val="1"/>
    <w:link w:val="182"/>
    <w:qFormat/>
    <w:uiPriority w:val="0"/>
    <w:pPr>
      <w:ind w:left="100" w:leftChars="2500"/>
    </w:pPr>
  </w:style>
  <w:style w:type="paragraph" w:styleId="30">
    <w:name w:val="endnote text"/>
    <w:basedOn w:val="1"/>
    <w:semiHidden/>
    <w:qFormat/>
    <w:uiPriority w:val="0"/>
    <w:pPr>
      <w:snapToGrid w:val="0"/>
      <w:jc w:val="left"/>
    </w:pPr>
  </w:style>
  <w:style w:type="paragraph" w:styleId="31">
    <w:name w:val="Balloon Text"/>
    <w:basedOn w:val="1"/>
    <w:link w:val="72"/>
    <w:qFormat/>
    <w:uiPriority w:val="0"/>
    <w:rPr>
      <w:sz w:val="18"/>
      <w:szCs w:val="18"/>
    </w:rPr>
  </w:style>
  <w:style w:type="paragraph" w:styleId="32">
    <w:name w:val="footer"/>
    <w:basedOn w:val="1"/>
    <w:link w:val="175"/>
    <w:qFormat/>
    <w:uiPriority w:val="99"/>
    <w:pPr>
      <w:snapToGrid w:val="0"/>
      <w:ind w:right="210" w:rightChars="100"/>
      <w:jc w:val="right"/>
    </w:pPr>
    <w:rPr>
      <w:sz w:val="18"/>
      <w:szCs w:val="18"/>
    </w:rPr>
  </w:style>
  <w:style w:type="paragraph" w:styleId="33">
    <w:name w:val="header"/>
    <w:basedOn w:val="1"/>
    <w:uiPriority w:val="0"/>
    <w:pPr>
      <w:snapToGrid w:val="0"/>
      <w:jc w:val="left"/>
    </w:pPr>
    <w:rPr>
      <w:sz w:val="18"/>
      <w:szCs w:val="18"/>
    </w:rPr>
  </w:style>
  <w:style w:type="paragraph" w:styleId="34">
    <w:name w:val="toc 1"/>
    <w:basedOn w:val="1"/>
    <w:next w:val="1"/>
    <w:qFormat/>
    <w:uiPriority w:val="39"/>
    <w:pPr>
      <w:tabs>
        <w:tab w:val="right" w:leader="dot" w:pos="9242"/>
      </w:tabs>
      <w:spacing w:beforeLines="25" w:afterLines="25"/>
      <w:jc w:val="left"/>
    </w:pPr>
    <w:rPr>
      <w:rFonts w:ascii="宋体"/>
      <w:szCs w:val="21"/>
    </w:rPr>
  </w:style>
  <w:style w:type="paragraph" w:styleId="35">
    <w:name w:val="toc 4"/>
    <w:basedOn w:val="1"/>
    <w:next w:val="1"/>
    <w:semiHidden/>
    <w:qFormat/>
    <w:uiPriority w:val="0"/>
    <w:pPr>
      <w:tabs>
        <w:tab w:val="right" w:leader="dot" w:pos="9241"/>
      </w:tabs>
      <w:ind w:firstLine="200" w:firstLineChars="200"/>
      <w:jc w:val="left"/>
    </w:pPr>
    <w:rPr>
      <w:rFonts w:ascii="宋体"/>
      <w:szCs w:val="21"/>
    </w:rPr>
  </w:style>
  <w:style w:type="paragraph" w:styleId="36">
    <w:name w:val="index heading"/>
    <w:basedOn w:val="1"/>
    <w:next w:val="37"/>
    <w:qFormat/>
    <w:uiPriority w:val="0"/>
    <w:pPr>
      <w:spacing w:before="120" w:after="120"/>
      <w:jc w:val="center"/>
    </w:pPr>
    <w:rPr>
      <w:rFonts w:ascii="Calibri" w:hAnsi="Calibri"/>
      <w:b/>
      <w:bCs/>
      <w:iCs/>
      <w:szCs w:val="20"/>
    </w:rPr>
  </w:style>
  <w:style w:type="paragraph" w:styleId="37">
    <w:name w:val="index 1"/>
    <w:basedOn w:val="1"/>
    <w:next w:val="4"/>
    <w:qFormat/>
    <w:uiPriority w:val="0"/>
    <w:pPr>
      <w:tabs>
        <w:tab w:val="right" w:leader="dot" w:pos="9299"/>
      </w:tabs>
      <w:jc w:val="left"/>
    </w:pPr>
    <w:rPr>
      <w:rFonts w:ascii="宋体"/>
      <w:szCs w:val="21"/>
    </w:rPr>
  </w:style>
  <w:style w:type="paragraph" w:styleId="38">
    <w:name w:val="footnote text"/>
    <w:basedOn w:val="1"/>
    <w:qFormat/>
    <w:uiPriority w:val="0"/>
    <w:pPr>
      <w:numPr>
        <w:ilvl w:val="0"/>
        <w:numId w:val="3"/>
      </w:numPr>
      <w:snapToGrid w:val="0"/>
      <w:jc w:val="left"/>
    </w:pPr>
    <w:rPr>
      <w:rFonts w:ascii="宋体"/>
      <w:sz w:val="18"/>
      <w:szCs w:val="18"/>
    </w:rPr>
  </w:style>
  <w:style w:type="paragraph" w:styleId="39">
    <w:name w:val="toc 6"/>
    <w:basedOn w:val="1"/>
    <w:next w:val="1"/>
    <w:semiHidden/>
    <w:uiPriority w:val="0"/>
    <w:pPr>
      <w:tabs>
        <w:tab w:val="right" w:leader="dot" w:pos="9241"/>
      </w:tabs>
      <w:ind w:firstLine="400" w:firstLineChars="400"/>
      <w:jc w:val="left"/>
    </w:pPr>
    <w:rPr>
      <w:rFonts w:ascii="宋体"/>
      <w:szCs w:val="21"/>
    </w:rPr>
  </w:style>
  <w:style w:type="paragraph" w:styleId="40">
    <w:name w:val="index 7"/>
    <w:basedOn w:val="1"/>
    <w:next w:val="1"/>
    <w:qFormat/>
    <w:uiPriority w:val="0"/>
    <w:pPr>
      <w:ind w:left="1470" w:hanging="210"/>
      <w:jc w:val="left"/>
    </w:pPr>
    <w:rPr>
      <w:rFonts w:ascii="Calibri" w:hAnsi="Calibri"/>
      <w:sz w:val="20"/>
      <w:szCs w:val="20"/>
    </w:rPr>
  </w:style>
  <w:style w:type="paragraph" w:styleId="41">
    <w:name w:val="index 9"/>
    <w:basedOn w:val="1"/>
    <w:next w:val="1"/>
    <w:qFormat/>
    <w:uiPriority w:val="0"/>
    <w:pPr>
      <w:ind w:left="1890" w:hanging="210"/>
      <w:jc w:val="left"/>
    </w:pPr>
    <w:rPr>
      <w:rFonts w:ascii="Calibri" w:hAnsi="Calibri"/>
      <w:sz w:val="20"/>
      <w:szCs w:val="20"/>
    </w:rPr>
  </w:style>
  <w:style w:type="paragraph" w:styleId="42">
    <w:name w:val="toc 2"/>
    <w:basedOn w:val="1"/>
    <w:next w:val="1"/>
    <w:qFormat/>
    <w:uiPriority w:val="39"/>
    <w:pPr>
      <w:tabs>
        <w:tab w:val="right" w:leader="dot" w:pos="9242"/>
      </w:tabs>
    </w:pPr>
    <w:rPr>
      <w:rFonts w:ascii="宋体"/>
      <w:szCs w:val="21"/>
    </w:rPr>
  </w:style>
  <w:style w:type="paragraph" w:styleId="43">
    <w:name w:val="toc 9"/>
    <w:basedOn w:val="1"/>
    <w:next w:val="1"/>
    <w:semiHidden/>
    <w:qFormat/>
    <w:uiPriority w:val="0"/>
    <w:pPr>
      <w:ind w:left="1470"/>
      <w:jc w:val="left"/>
    </w:pPr>
    <w:rPr>
      <w:sz w:val="20"/>
      <w:szCs w:val="20"/>
    </w:rPr>
  </w:style>
  <w:style w:type="paragraph" w:styleId="44">
    <w:name w:val="index 2"/>
    <w:basedOn w:val="1"/>
    <w:next w:val="1"/>
    <w:qFormat/>
    <w:uiPriority w:val="0"/>
    <w:pPr>
      <w:ind w:left="420" w:hanging="210"/>
      <w:jc w:val="left"/>
    </w:pPr>
    <w:rPr>
      <w:rFonts w:ascii="Calibri" w:hAnsi="Calibri"/>
      <w:sz w:val="20"/>
      <w:szCs w:val="20"/>
    </w:rPr>
  </w:style>
  <w:style w:type="paragraph" w:styleId="45">
    <w:name w:val="annotation subject"/>
    <w:basedOn w:val="21"/>
    <w:next w:val="21"/>
    <w:link w:val="178"/>
    <w:semiHidden/>
    <w:unhideWhenUsed/>
    <w:qFormat/>
    <w:uiPriority w:val="0"/>
    <w:rPr>
      <w:b/>
      <w:bCs/>
    </w:rPr>
  </w:style>
  <w:style w:type="table" w:styleId="47">
    <w:name w:val="Table Grid"/>
    <w:basedOn w:val="46"/>
    <w:qFormat/>
    <w:uiPriority w:val="59"/>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9">
    <w:name w:val="endnote reference"/>
    <w:semiHidden/>
    <w:qFormat/>
    <w:uiPriority w:val="0"/>
    <w:rPr>
      <w:vertAlign w:val="superscript"/>
    </w:rPr>
  </w:style>
  <w:style w:type="character" w:styleId="50">
    <w:name w:val="page number"/>
    <w:qFormat/>
    <w:uiPriority w:val="0"/>
    <w:rPr>
      <w:rFonts w:ascii="Times New Roman" w:hAnsi="Times New Roman" w:eastAsia="宋体"/>
      <w:sz w:val="18"/>
    </w:rPr>
  </w:style>
  <w:style w:type="character" w:styleId="51">
    <w:name w:val="FollowedHyperlink"/>
    <w:qFormat/>
    <w:uiPriority w:val="0"/>
    <w:rPr>
      <w:color w:val="800080"/>
      <w:u w:val="single"/>
    </w:rPr>
  </w:style>
  <w:style w:type="character" w:styleId="52">
    <w:name w:val="Hyperlink"/>
    <w:qFormat/>
    <w:uiPriority w:val="99"/>
    <w:rPr>
      <w:color w:val="0000FF"/>
      <w:spacing w:val="0"/>
      <w:w w:val="100"/>
      <w:szCs w:val="21"/>
      <w:u w:val="single"/>
      <w:lang w:val="en-US" w:eastAsia="zh-CN"/>
    </w:rPr>
  </w:style>
  <w:style w:type="character" w:styleId="53">
    <w:name w:val="annotation reference"/>
    <w:qFormat/>
    <w:uiPriority w:val="0"/>
    <w:rPr>
      <w:sz w:val="21"/>
      <w:szCs w:val="21"/>
    </w:rPr>
  </w:style>
  <w:style w:type="character" w:styleId="54">
    <w:name w:val="footnote reference"/>
    <w:semiHidden/>
    <w:qFormat/>
    <w:uiPriority w:val="0"/>
    <w:rPr>
      <w:vertAlign w:val="superscript"/>
    </w:rPr>
  </w:style>
  <w:style w:type="character" w:customStyle="1" w:styleId="55">
    <w:name w:val="段 Char"/>
    <w:link w:val="4"/>
    <w:qFormat/>
    <w:uiPriority w:val="0"/>
    <w:rPr>
      <w:rFonts w:ascii="宋体"/>
      <w:sz w:val="21"/>
      <w:lang w:val="en-US" w:eastAsia="zh-CN" w:bidi="ar-SA"/>
    </w:rPr>
  </w:style>
  <w:style w:type="character" w:customStyle="1" w:styleId="56">
    <w:name w:val="标题 7 字符"/>
    <w:link w:val="12"/>
    <w:qFormat/>
    <w:uiPriority w:val="0"/>
    <w:rPr>
      <w:b/>
      <w:bCs/>
      <w:kern w:val="2"/>
      <w:sz w:val="24"/>
      <w:szCs w:val="24"/>
    </w:rPr>
  </w:style>
  <w:style w:type="character" w:customStyle="1" w:styleId="57">
    <w:name w:val="标题 1 字符"/>
    <w:link w:val="2"/>
    <w:qFormat/>
    <w:uiPriority w:val="0"/>
    <w:rPr>
      <w:rFonts w:ascii="黑体" w:eastAsia="黑体"/>
      <w:sz w:val="21"/>
    </w:rPr>
  </w:style>
  <w:style w:type="character" w:customStyle="1" w:styleId="58">
    <w:name w:val="标题 3 字符"/>
    <w:link w:val="7"/>
    <w:qFormat/>
    <w:uiPriority w:val="0"/>
    <w:rPr>
      <w:rFonts w:ascii="黑体" w:eastAsia="黑体"/>
      <w:sz w:val="21"/>
      <w:szCs w:val="21"/>
    </w:rPr>
  </w:style>
  <w:style w:type="character" w:customStyle="1" w:styleId="59">
    <w:name w:val="发布"/>
    <w:qFormat/>
    <w:uiPriority w:val="0"/>
    <w:rPr>
      <w:rFonts w:ascii="黑体" w:eastAsia="黑体"/>
      <w:spacing w:val="85"/>
      <w:w w:val="100"/>
      <w:position w:val="3"/>
      <w:sz w:val="28"/>
      <w:szCs w:val="28"/>
    </w:rPr>
  </w:style>
  <w:style w:type="character" w:customStyle="1" w:styleId="60">
    <w:name w:val="附录公式 Char"/>
    <w:link w:val="61"/>
    <w:qFormat/>
    <w:uiPriority w:val="0"/>
    <w:rPr>
      <w:rFonts w:ascii="宋体"/>
      <w:sz w:val="21"/>
      <w:lang w:val="en-US" w:eastAsia="zh-CN" w:bidi="ar-SA"/>
    </w:rPr>
  </w:style>
  <w:style w:type="paragraph" w:customStyle="1" w:styleId="61">
    <w:name w:val="附录公式"/>
    <w:basedOn w:val="4"/>
    <w:next w:val="4"/>
    <w:link w:val="60"/>
    <w:qFormat/>
    <w:uiPriority w:val="0"/>
  </w:style>
  <w:style w:type="character" w:customStyle="1" w:styleId="62">
    <w:name w:val="首示例 Char"/>
    <w:link w:val="63"/>
    <w:qFormat/>
    <w:uiPriority w:val="0"/>
    <w:rPr>
      <w:rFonts w:ascii="宋体" w:hAnsi="宋体"/>
      <w:kern w:val="2"/>
      <w:sz w:val="18"/>
      <w:szCs w:val="18"/>
    </w:rPr>
  </w:style>
  <w:style w:type="paragraph" w:customStyle="1" w:styleId="63">
    <w:name w:val="首示例"/>
    <w:next w:val="4"/>
    <w:link w:val="62"/>
    <w:qFormat/>
    <w:uiPriority w:val="0"/>
    <w:pPr>
      <w:numPr>
        <w:ilvl w:val="0"/>
        <w:numId w:val="4"/>
      </w:numPr>
      <w:tabs>
        <w:tab w:val="left" w:pos="360"/>
      </w:tabs>
      <w:ind w:firstLine="0"/>
    </w:pPr>
    <w:rPr>
      <w:rFonts w:ascii="宋体" w:hAnsi="宋体" w:eastAsia="宋体" w:cs="Times New Roman"/>
      <w:kern w:val="2"/>
      <w:sz w:val="18"/>
      <w:szCs w:val="18"/>
      <w:lang w:val="en-US" w:eastAsia="zh-CN" w:bidi="ar-SA"/>
    </w:rPr>
  </w:style>
  <w:style w:type="character" w:customStyle="1" w:styleId="64">
    <w:name w:val="标题 2 字符"/>
    <w:link w:val="5"/>
    <w:qFormat/>
    <w:uiPriority w:val="0"/>
    <w:rPr>
      <w:rFonts w:ascii="黑体" w:eastAsia="黑体"/>
      <w:sz w:val="21"/>
      <w:szCs w:val="21"/>
    </w:rPr>
  </w:style>
  <w:style w:type="character" w:customStyle="1" w:styleId="65">
    <w:name w:val="标题 4 字符"/>
    <w:link w:val="9"/>
    <w:qFormat/>
    <w:uiPriority w:val="0"/>
    <w:rPr>
      <w:rFonts w:ascii="Arial" w:hAnsi="Arial" w:eastAsia="黑体"/>
      <w:b/>
      <w:bCs/>
      <w:kern w:val="2"/>
      <w:sz w:val="28"/>
      <w:szCs w:val="28"/>
    </w:rPr>
  </w:style>
  <w:style w:type="character" w:customStyle="1" w:styleId="66">
    <w:name w:val="标题 5 字符"/>
    <w:link w:val="10"/>
    <w:qFormat/>
    <w:uiPriority w:val="0"/>
    <w:rPr>
      <w:b/>
      <w:bCs/>
      <w:kern w:val="2"/>
      <w:sz w:val="28"/>
      <w:szCs w:val="28"/>
    </w:rPr>
  </w:style>
  <w:style w:type="character" w:customStyle="1" w:styleId="67">
    <w:name w:val="标题 6 字符"/>
    <w:link w:val="11"/>
    <w:qFormat/>
    <w:uiPriority w:val="0"/>
    <w:rPr>
      <w:rFonts w:ascii="Arial" w:hAnsi="Arial" w:eastAsia="黑体"/>
      <w:b/>
      <w:bCs/>
      <w:kern w:val="2"/>
      <w:sz w:val="24"/>
      <w:szCs w:val="24"/>
    </w:rPr>
  </w:style>
  <w:style w:type="character" w:customStyle="1" w:styleId="68">
    <w:name w:val="标题 8 字符"/>
    <w:link w:val="13"/>
    <w:uiPriority w:val="0"/>
    <w:rPr>
      <w:rFonts w:ascii="Arial" w:hAnsi="Arial" w:eastAsia="黑体"/>
      <w:kern w:val="2"/>
      <w:sz w:val="24"/>
      <w:szCs w:val="24"/>
    </w:rPr>
  </w:style>
  <w:style w:type="character" w:customStyle="1" w:styleId="69">
    <w:name w:val="标题 9 字符"/>
    <w:link w:val="14"/>
    <w:qFormat/>
    <w:uiPriority w:val="0"/>
    <w:rPr>
      <w:rFonts w:ascii="Arial" w:hAnsi="Arial" w:eastAsia="黑体"/>
      <w:kern w:val="2"/>
      <w:sz w:val="21"/>
      <w:szCs w:val="21"/>
    </w:rPr>
  </w:style>
  <w:style w:type="character" w:customStyle="1" w:styleId="70">
    <w:name w:val="样式4 Char"/>
    <w:link w:val="71"/>
    <w:qFormat/>
    <w:uiPriority w:val="0"/>
    <w:rPr>
      <w:b/>
      <w:bCs/>
      <w:kern w:val="2"/>
      <w:sz w:val="28"/>
      <w:szCs w:val="28"/>
    </w:rPr>
  </w:style>
  <w:style w:type="paragraph" w:customStyle="1" w:styleId="71">
    <w:name w:val="样式4"/>
    <w:basedOn w:val="10"/>
    <w:link w:val="70"/>
    <w:qFormat/>
    <w:uiPriority w:val="0"/>
  </w:style>
  <w:style w:type="character" w:customStyle="1" w:styleId="72">
    <w:name w:val="批注框文本 字符"/>
    <w:link w:val="31"/>
    <w:qFormat/>
    <w:uiPriority w:val="0"/>
    <w:rPr>
      <w:kern w:val="2"/>
      <w:sz w:val="18"/>
      <w:szCs w:val="18"/>
    </w:rPr>
  </w:style>
  <w:style w:type="character" w:customStyle="1" w:styleId="73">
    <w:name w:val="条标题 Char"/>
    <w:link w:val="74"/>
    <w:uiPriority w:val="0"/>
    <w:rPr>
      <w:rFonts w:ascii="宋体" w:hAnsi="宋体"/>
      <w:kern w:val="2"/>
      <w:sz w:val="24"/>
      <w:szCs w:val="24"/>
    </w:rPr>
  </w:style>
  <w:style w:type="paragraph" w:customStyle="1" w:styleId="74">
    <w:name w:val="条标题"/>
    <w:basedOn w:val="75"/>
    <w:link w:val="73"/>
    <w:qFormat/>
    <w:uiPriority w:val="0"/>
    <w:pPr>
      <w:tabs>
        <w:tab w:val="left" w:pos="851"/>
      </w:tabs>
      <w:spacing w:line="440" w:lineRule="exact"/>
      <w:ind w:left="0"/>
    </w:pPr>
    <w:rPr>
      <w:rFonts w:ascii="宋体" w:hAnsi="宋体"/>
      <w:sz w:val="24"/>
    </w:rPr>
  </w:style>
  <w:style w:type="paragraph" w:styleId="75">
    <w:name w:val="List Paragraph"/>
    <w:basedOn w:val="1"/>
    <w:qFormat/>
    <w:uiPriority w:val="34"/>
    <w:pPr>
      <w:ind w:left="720"/>
    </w:pPr>
  </w:style>
  <w:style w:type="character" w:customStyle="1" w:styleId="76">
    <w:name w:val="细条标题 Char"/>
    <w:link w:val="77"/>
    <w:uiPriority w:val="0"/>
    <w:rPr>
      <w:rFonts w:ascii="宋体" w:hAnsi="宋体"/>
      <w:kern w:val="2"/>
      <w:sz w:val="24"/>
      <w:szCs w:val="24"/>
    </w:rPr>
  </w:style>
  <w:style w:type="paragraph" w:customStyle="1" w:styleId="77">
    <w:name w:val="细条标题"/>
    <w:basedOn w:val="74"/>
    <w:link w:val="76"/>
    <w:qFormat/>
    <w:uiPriority w:val="0"/>
    <w:pPr>
      <w:tabs>
        <w:tab w:val="left" w:pos="1036"/>
        <w:tab w:val="clear" w:pos="851"/>
      </w:tabs>
    </w:pPr>
  </w:style>
  <w:style w:type="character" w:customStyle="1" w:styleId="78">
    <w:name w:val="小细条标题 Char"/>
    <w:link w:val="79"/>
    <w:qFormat/>
    <w:uiPriority w:val="0"/>
    <w:rPr>
      <w:rFonts w:ascii="宋体" w:hAnsi="宋体"/>
      <w:kern w:val="2"/>
      <w:sz w:val="24"/>
      <w:szCs w:val="24"/>
    </w:rPr>
  </w:style>
  <w:style w:type="paragraph" w:customStyle="1" w:styleId="79">
    <w:name w:val="小细条标题"/>
    <w:basedOn w:val="77"/>
    <w:link w:val="78"/>
    <w:qFormat/>
    <w:uiPriority w:val="0"/>
    <w:pPr>
      <w:tabs>
        <w:tab w:val="left" w:pos="363"/>
        <w:tab w:val="left" w:pos="1288"/>
        <w:tab w:val="clear" w:pos="1036"/>
      </w:tabs>
    </w:pPr>
  </w:style>
  <w:style w:type="character" w:customStyle="1" w:styleId="80">
    <w:name w:val="小细条二级 Char"/>
    <w:link w:val="81"/>
    <w:uiPriority w:val="0"/>
    <w:rPr>
      <w:rFonts w:ascii="宋体" w:hAnsi="宋体"/>
      <w:kern w:val="2"/>
      <w:sz w:val="24"/>
      <w:szCs w:val="24"/>
    </w:rPr>
  </w:style>
  <w:style w:type="paragraph" w:customStyle="1" w:styleId="81">
    <w:name w:val="小细条二级"/>
    <w:basedOn w:val="79"/>
    <w:link w:val="80"/>
    <w:qFormat/>
    <w:uiPriority w:val="0"/>
    <w:pPr>
      <w:tabs>
        <w:tab w:val="left" w:pos="1560"/>
        <w:tab w:val="clear" w:pos="363"/>
        <w:tab w:val="clear" w:pos="1288"/>
      </w:tabs>
    </w:pPr>
  </w:style>
  <w:style w:type="paragraph" w:customStyle="1" w:styleId="82">
    <w:name w:val="封面标准文稿类别"/>
    <w:basedOn w:val="83"/>
    <w:qFormat/>
    <w:uiPriority w:val="0"/>
    <w:pPr>
      <w:framePr w:wrap="around"/>
      <w:spacing w:after="160" w:line="240" w:lineRule="auto"/>
    </w:pPr>
    <w:rPr>
      <w:sz w:val="24"/>
    </w:rPr>
  </w:style>
  <w:style w:type="paragraph" w:customStyle="1" w:styleId="83">
    <w:name w:val="封面一致性程度标识"/>
    <w:basedOn w:val="84"/>
    <w:qFormat/>
    <w:uiPriority w:val="0"/>
    <w:pPr>
      <w:framePr w:wrap="around"/>
      <w:spacing w:before="440"/>
    </w:pPr>
    <w:rPr>
      <w:rFonts w:ascii="宋体" w:eastAsia="宋体"/>
    </w:rPr>
  </w:style>
  <w:style w:type="paragraph" w:customStyle="1" w:styleId="84">
    <w:name w:val="封面标准英文名称"/>
    <w:basedOn w:val="85"/>
    <w:uiPriority w:val="0"/>
    <w:pPr>
      <w:framePr w:wrap="around"/>
      <w:spacing w:before="370" w:line="400" w:lineRule="exact"/>
    </w:pPr>
    <w:rPr>
      <w:rFonts w:ascii="Times New Roman"/>
      <w:sz w:val="28"/>
      <w:szCs w:val="28"/>
    </w:rPr>
  </w:style>
  <w:style w:type="paragraph" w:customStyle="1" w:styleId="85">
    <w:name w:val="封面标准名称"/>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86">
    <w:name w:val="标准书眉_偶数页"/>
    <w:basedOn w:val="87"/>
    <w:next w:val="1"/>
    <w:qFormat/>
    <w:uiPriority w:val="0"/>
    <w:pPr>
      <w:tabs>
        <w:tab w:val="center" w:pos="4154"/>
        <w:tab w:val="right" w:pos="8306"/>
      </w:tabs>
      <w:jc w:val="left"/>
    </w:pPr>
  </w:style>
  <w:style w:type="paragraph" w:customStyle="1" w:styleId="87">
    <w:name w:val="标准书眉_奇数页"/>
    <w:next w:val="1"/>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88">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89">
    <w:name w:val="注×："/>
    <w:qFormat/>
    <w:uiPriority w:val="0"/>
    <w:pPr>
      <w:widowControl w:val="0"/>
      <w:numPr>
        <w:ilvl w:val="0"/>
        <w:numId w:val="5"/>
      </w:numPr>
      <w:autoSpaceDE w:val="0"/>
      <w:autoSpaceDN w:val="0"/>
      <w:jc w:val="both"/>
    </w:pPr>
    <w:rPr>
      <w:rFonts w:ascii="宋体" w:hAnsi="Times New Roman" w:eastAsia="宋体" w:cs="Times New Roman"/>
      <w:sz w:val="18"/>
      <w:szCs w:val="18"/>
      <w:lang w:val="en-US" w:eastAsia="zh-CN" w:bidi="ar-SA"/>
    </w:rPr>
  </w:style>
  <w:style w:type="paragraph" w:customStyle="1" w:styleId="90">
    <w:name w:val="五级条标题"/>
    <w:basedOn w:val="91"/>
    <w:next w:val="4"/>
    <w:qFormat/>
    <w:uiPriority w:val="0"/>
    <w:pPr>
      <w:numPr>
        <w:ilvl w:val="5"/>
      </w:numPr>
      <w:outlineLvl w:val="6"/>
    </w:pPr>
  </w:style>
  <w:style w:type="paragraph" w:customStyle="1" w:styleId="91">
    <w:name w:val="四级条标题"/>
    <w:basedOn w:val="92"/>
    <w:next w:val="4"/>
    <w:qFormat/>
    <w:uiPriority w:val="0"/>
    <w:pPr>
      <w:numPr>
        <w:ilvl w:val="4"/>
        <w:numId w:val="2"/>
      </w:numPr>
      <w:outlineLvl w:val="5"/>
    </w:pPr>
  </w:style>
  <w:style w:type="paragraph" w:customStyle="1" w:styleId="92">
    <w:name w:val="三级条标题"/>
    <w:basedOn w:val="8"/>
    <w:next w:val="4"/>
    <w:qFormat/>
    <w:uiPriority w:val="0"/>
    <w:pPr>
      <w:outlineLvl w:val="4"/>
    </w:pPr>
  </w:style>
  <w:style w:type="paragraph" w:customStyle="1" w:styleId="93">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94">
    <w:name w:val="数字编号列项（二级）"/>
    <w:qFormat/>
    <w:uiPriority w:val="0"/>
    <w:pPr>
      <w:numPr>
        <w:ilvl w:val="1"/>
        <w:numId w:val="6"/>
      </w:numPr>
      <w:jc w:val="both"/>
    </w:pPr>
    <w:rPr>
      <w:rFonts w:ascii="宋体" w:hAnsi="Times New Roman" w:eastAsia="宋体" w:cs="Times New Roman"/>
      <w:sz w:val="21"/>
      <w:lang w:val="en-US" w:eastAsia="zh-CN" w:bidi="ar-SA"/>
    </w:rPr>
  </w:style>
  <w:style w:type="paragraph" w:customStyle="1" w:styleId="95">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96">
    <w:name w:val="编号列项（三级）"/>
    <w:qFormat/>
    <w:uiPriority w:val="0"/>
    <w:rPr>
      <w:rFonts w:ascii="宋体" w:hAnsi="Times New Roman" w:eastAsia="宋体" w:cs="Times New Roman"/>
      <w:sz w:val="21"/>
      <w:lang w:val="en-US" w:eastAsia="zh-CN" w:bidi="ar-SA"/>
    </w:rPr>
  </w:style>
  <w:style w:type="paragraph" w:customStyle="1" w:styleId="97">
    <w:name w:val="列项◆（三级）"/>
    <w:basedOn w:val="1"/>
    <w:uiPriority w:val="0"/>
    <w:pPr>
      <w:numPr>
        <w:ilvl w:val="2"/>
        <w:numId w:val="7"/>
      </w:numPr>
    </w:pPr>
    <w:rPr>
      <w:rFonts w:ascii="宋体"/>
      <w:szCs w:val="21"/>
    </w:rPr>
  </w:style>
  <w:style w:type="paragraph" w:customStyle="1" w:styleId="98">
    <w:name w:val="字母编号列项（一级）"/>
    <w:qFormat/>
    <w:uiPriority w:val="0"/>
    <w:pPr>
      <w:numPr>
        <w:ilvl w:val="0"/>
        <w:numId w:val="6"/>
      </w:numPr>
      <w:jc w:val="both"/>
    </w:pPr>
    <w:rPr>
      <w:rFonts w:ascii="宋体" w:hAnsi="Times New Roman" w:eastAsia="宋体" w:cs="Times New Roman"/>
      <w:sz w:val="21"/>
      <w:lang w:val="en-US" w:eastAsia="zh-CN" w:bidi="ar-SA"/>
    </w:rPr>
  </w:style>
  <w:style w:type="paragraph" w:customStyle="1" w:styleId="99">
    <w:name w:val="图题和表题"/>
    <w:basedOn w:val="18"/>
    <w:qFormat/>
    <w:uiPriority w:val="0"/>
    <w:pPr>
      <w:spacing w:before="0" w:after="0"/>
      <w:jc w:val="center"/>
    </w:pPr>
    <w:rPr>
      <w:rFonts w:ascii="黑体" w:hAnsi="黑体" w:cs="Times New Roman"/>
      <w:sz w:val="24"/>
      <w:szCs w:val="24"/>
    </w:rPr>
  </w:style>
  <w:style w:type="paragraph" w:customStyle="1" w:styleId="100">
    <w:name w:val="目次、标准名称标题"/>
    <w:basedOn w:val="1"/>
    <w:next w:val="4"/>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101">
    <w:name w:val="列项——（一级）"/>
    <w:qFormat/>
    <w:uiPriority w:val="0"/>
    <w:pPr>
      <w:widowControl w:val="0"/>
      <w:numPr>
        <w:ilvl w:val="0"/>
        <w:numId w:val="7"/>
      </w:numPr>
      <w:jc w:val="both"/>
    </w:pPr>
    <w:rPr>
      <w:rFonts w:ascii="宋体" w:hAnsi="Times New Roman" w:eastAsia="宋体" w:cs="Times New Roman"/>
      <w:sz w:val="21"/>
      <w:lang w:val="en-US" w:eastAsia="zh-CN" w:bidi="ar-SA"/>
    </w:rPr>
  </w:style>
  <w:style w:type="paragraph" w:customStyle="1" w:styleId="102">
    <w:name w:val="列项●（二级）"/>
    <w:uiPriority w:val="0"/>
    <w:pPr>
      <w:numPr>
        <w:ilvl w:val="1"/>
        <w:numId w:val="7"/>
      </w:numPr>
      <w:tabs>
        <w:tab w:val="left" w:pos="840"/>
      </w:tabs>
      <w:jc w:val="both"/>
    </w:pPr>
    <w:rPr>
      <w:rFonts w:ascii="宋体" w:hAnsi="Times New Roman" w:eastAsia="宋体" w:cs="Times New Roman"/>
      <w:sz w:val="21"/>
      <w:lang w:val="en-US" w:eastAsia="zh-CN" w:bidi="ar-SA"/>
    </w:rPr>
  </w:style>
  <w:style w:type="paragraph" w:customStyle="1" w:styleId="103">
    <w:name w:val="示例"/>
    <w:next w:val="104"/>
    <w:qFormat/>
    <w:uiPriority w:val="0"/>
    <w:pPr>
      <w:widowControl w:val="0"/>
      <w:numPr>
        <w:ilvl w:val="0"/>
        <w:numId w:val="8"/>
      </w:numPr>
      <w:jc w:val="both"/>
    </w:pPr>
    <w:rPr>
      <w:rFonts w:ascii="宋体" w:hAnsi="Times New Roman" w:eastAsia="宋体" w:cs="Times New Roman"/>
      <w:sz w:val="18"/>
      <w:szCs w:val="18"/>
      <w:lang w:val="en-US" w:eastAsia="zh-CN" w:bidi="ar-SA"/>
    </w:rPr>
  </w:style>
  <w:style w:type="paragraph" w:customStyle="1" w:styleId="104">
    <w:name w:val="示例内容"/>
    <w:uiPriority w:val="0"/>
    <w:pPr>
      <w:ind w:firstLine="200" w:firstLineChars="200"/>
    </w:pPr>
    <w:rPr>
      <w:rFonts w:ascii="宋体" w:hAnsi="Times New Roman" w:eastAsia="宋体" w:cs="Times New Roman"/>
      <w:sz w:val="18"/>
      <w:szCs w:val="18"/>
      <w:lang w:val="en-US" w:eastAsia="zh-CN" w:bidi="ar-SA"/>
    </w:rPr>
  </w:style>
  <w:style w:type="paragraph" w:customStyle="1" w:styleId="105">
    <w:name w:val="附录四级无"/>
    <w:basedOn w:val="106"/>
    <w:qFormat/>
    <w:uiPriority w:val="0"/>
    <w:pPr>
      <w:tabs>
        <w:tab w:val="left" w:pos="360"/>
      </w:tabs>
      <w:spacing w:beforeLines="0" w:afterLines="0"/>
    </w:pPr>
    <w:rPr>
      <w:rFonts w:ascii="宋体" w:eastAsia="宋体"/>
      <w:szCs w:val="21"/>
    </w:rPr>
  </w:style>
  <w:style w:type="paragraph" w:customStyle="1" w:styleId="106">
    <w:name w:val="附录四级条标题"/>
    <w:basedOn w:val="107"/>
    <w:next w:val="4"/>
    <w:qFormat/>
    <w:uiPriority w:val="0"/>
    <w:pPr>
      <w:numPr>
        <w:ilvl w:val="0"/>
        <w:numId w:val="0"/>
      </w:numPr>
      <w:tabs>
        <w:tab w:val="left" w:pos="360"/>
      </w:tabs>
      <w:outlineLvl w:val="5"/>
    </w:pPr>
  </w:style>
  <w:style w:type="paragraph" w:customStyle="1" w:styleId="107">
    <w:name w:val="附录三级条标题"/>
    <w:basedOn w:val="108"/>
    <w:next w:val="4"/>
    <w:qFormat/>
    <w:uiPriority w:val="0"/>
    <w:pPr>
      <w:numPr>
        <w:ilvl w:val="4"/>
      </w:numPr>
      <w:tabs>
        <w:tab w:val="left" w:pos="360"/>
      </w:tabs>
      <w:outlineLvl w:val="4"/>
    </w:pPr>
  </w:style>
  <w:style w:type="paragraph" w:customStyle="1" w:styleId="108">
    <w:name w:val="附录二级条标题"/>
    <w:basedOn w:val="1"/>
    <w:next w:val="4"/>
    <w:qFormat/>
    <w:uiPriority w:val="0"/>
    <w:pPr>
      <w:widowControl/>
      <w:numPr>
        <w:ilvl w:val="3"/>
        <w:numId w:val="9"/>
      </w:numPr>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109">
    <w:name w:val="条文脚注"/>
    <w:basedOn w:val="38"/>
    <w:qFormat/>
    <w:uiPriority w:val="0"/>
    <w:pPr>
      <w:numPr>
        <w:numId w:val="0"/>
      </w:numPr>
      <w:jc w:val="both"/>
    </w:pPr>
  </w:style>
  <w:style w:type="paragraph" w:customStyle="1" w:styleId="110">
    <w:name w:val="注："/>
    <w:next w:val="4"/>
    <w:qFormat/>
    <w:uiPriority w:val="0"/>
    <w:pPr>
      <w:widowControl w:val="0"/>
      <w:numPr>
        <w:ilvl w:val="0"/>
        <w:numId w:val="10"/>
      </w:numPr>
      <w:autoSpaceDE w:val="0"/>
      <w:autoSpaceDN w:val="0"/>
      <w:jc w:val="both"/>
    </w:pPr>
    <w:rPr>
      <w:rFonts w:ascii="宋体" w:hAnsi="Times New Roman" w:eastAsia="宋体" w:cs="Times New Roman"/>
      <w:sz w:val="18"/>
      <w:szCs w:val="18"/>
      <w:lang w:val="en-US" w:eastAsia="zh-CN" w:bidi="ar-SA"/>
    </w:rPr>
  </w:style>
  <w:style w:type="paragraph" w:customStyle="1" w:styleId="111">
    <w:name w:val="TOC 标题1"/>
    <w:basedOn w:val="2"/>
    <w:next w:val="1"/>
    <w:qFormat/>
    <w:uiPriority w:val="39"/>
    <w:pPr>
      <w:numPr>
        <w:ilvl w:val="0"/>
        <w:numId w:val="0"/>
      </w:numPr>
      <w:tabs>
        <w:tab w:val="left" w:pos="432"/>
      </w:tabs>
      <w:spacing w:before="480" w:line="276" w:lineRule="auto"/>
      <w:jc w:val="left"/>
      <w:outlineLvl w:val="9"/>
    </w:pPr>
    <w:rPr>
      <w:rFonts w:ascii="Cambria" w:hAnsi="Cambria" w:eastAsia="宋体"/>
      <w:color w:val="365F91"/>
      <w:sz w:val="28"/>
      <w:szCs w:val="28"/>
    </w:rPr>
  </w:style>
  <w:style w:type="paragraph" w:customStyle="1" w:styleId="112">
    <w:name w:val="示例×："/>
    <w:basedOn w:val="3"/>
    <w:qFormat/>
    <w:uiPriority w:val="0"/>
    <w:pPr>
      <w:numPr>
        <w:numId w:val="11"/>
      </w:numPr>
      <w:spacing w:beforeLines="0" w:afterLines="0"/>
      <w:outlineLvl w:val="9"/>
    </w:pPr>
    <w:rPr>
      <w:rFonts w:ascii="宋体" w:eastAsia="宋体"/>
      <w:sz w:val="18"/>
      <w:szCs w:val="18"/>
    </w:rPr>
  </w:style>
  <w:style w:type="paragraph" w:customStyle="1" w:styleId="113">
    <w:name w:val="二级无"/>
    <w:basedOn w:val="8"/>
    <w:uiPriority w:val="0"/>
    <w:pPr>
      <w:spacing w:beforeLines="0" w:afterLines="0"/>
    </w:pPr>
    <w:rPr>
      <w:rFonts w:ascii="宋体" w:eastAsia="宋体"/>
    </w:rPr>
  </w:style>
  <w:style w:type="paragraph" w:customStyle="1" w:styleId="114">
    <w:name w:val="注：（正文）"/>
    <w:basedOn w:val="110"/>
    <w:next w:val="4"/>
    <w:uiPriority w:val="0"/>
    <w:pPr>
      <w:numPr>
        <w:ilvl w:val="0"/>
        <w:numId w:val="12"/>
      </w:numPr>
    </w:pPr>
  </w:style>
  <w:style w:type="paragraph" w:customStyle="1" w:styleId="115">
    <w:name w:val="注×：（正文）"/>
    <w:qFormat/>
    <w:uiPriority w:val="0"/>
    <w:pPr>
      <w:numPr>
        <w:ilvl w:val="0"/>
        <w:numId w:val="13"/>
      </w:numPr>
      <w:jc w:val="both"/>
    </w:pPr>
    <w:rPr>
      <w:rFonts w:ascii="宋体" w:hAnsi="Times New Roman" w:eastAsia="宋体" w:cs="Times New Roman"/>
      <w:sz w:val="18"/>
      <w:szCs w:val="18"/>
      <w:lang w:val="en-US" w:eastAsia="zh-CN" w:bidi="ar-SA"/>
    </w:rPr>
  </w:style>
  <w:style w:type="paragraph" w:customStyle="1" w:styleId="116">
    <w:name w:val="标准标志"/>
    <w:next w:val="1"/>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117">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118">
    <w:name w:val="标准书脚_偶数页"/>
    <w:uiPriority w:val="0"/>
    <w:pPr>
      <w:spacing w:before="120"/>
      <w:ind w:left="221"/>
    </w:pPr>
    <w:rPr>
      <w:rFonts w:ascii="宋体" w:hAnsi="Times New Roman" w:eastAsia="宋体" w:cs="Times New Roman"/>
      <w:sz w:val="18"/>
      <w:szCs w:val="18"/>
      <w:lang w:val="en-US" w:eastAsia="zh-CN" w:bidi="ar-SA"/>
    </w:rPr>
  </w:style>
  <w:style w:type="paragraph" w:customStyle="1" w:styleId="119">
    <w:name w:val="标准书眉一"/>
    <w:qFormat/>
    <w:uiPriority w:val="0"/>
    <w:pPr>
      <w:jc w:val="both"/>
    </w:pPr>
    <w:rPr>
      <w:rFonts w:ascii="Times New Roman" w:hAnsi="Times New Roman" w:eastAsia="宋体" w:cs="Times New Roman"/>
      <w:lang w:val="en-US" w:eastAsia="zh-CN" w:bidi="ar-SA"/>
    </w:rPr>
  </w:style>
  <w:style w:type="paragraph" w:customStyle="1" w:styleId="120">
    <w:name w:val="参考文献"/>
    <w:basedOn w:val="1"/>
    <w:next w:val="4"/>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121">
    <w:name w:val="参考文献、索引标题"/>
    <w:basedOn w:val="1"/>
    <w:next w:val="4"/>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122">
    <w:name w:val="发布部门"/>
    <w:next w:val="4"/>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123">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124">
    <w:name w:val="封面标准号1"/>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25">
    <w:name w:val="封面标准文稿编辑信息"/>
    <w:basedOn w:val="82"/>
    <w:qFormat/>
    <w:uiPriority w:val="0"/>
    <w:pPr>
      <w:framePr w:wrap="around"/>
      <w:spacing w:before="180" w:line="180" w:lineRule="exact"/>
    </w:pPr>
    <w:rPr>
      <w:sz w:val="21"/>
    </w:rPr>
  </w:style>
  <w:style w:type="paragraph" w:customStyle="1" w:styleId="126">
    <w:name w:val="封面正文"/>
    <w:qFormat/>
    <w:uiPriority w:val="0"/>
    <w:pPr>
      <w:jc w:val="both"/>
    </w:pPr>
    <w:rPr>
      <w:rFonts w:ascii="Times New Roman" w:hAnsi="Times New Roman" w:eastAsia="宋体" w:cs="Times New Roman"/>
      <w:lang w:val="en-US" w:eastAsia="zh-CN" w:bidi="ar-SA"/>
    </w:rPr>
  </w:style>
  <w:style w:type="paragraph" w:customStyle="1" w:styleId="127">
    <w:name w:val="附录标识"/>
    <w:basedOn w:val="1"/>
    <w:next w:val="4"/>
    <w:uiPriority w:val="0"/>
    <w:pPr>
      <w:keepNext/>
      <w:widowControl/>
      <w:numPr>
        <w:ilvl w:val="0"/>
        <w:numId w:val="9"/>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128">
    <w:name w:val="附录标题"/>
    <w:basedOn w:val="4"/>
    <w:next w:val="4"/>
    <w:uiPriority w:val="0"/>
    <w:pPr>
      <w:ind w:firstLine="0" w:firstLineChars="0"/>
      <w:jc w:val="center"/>
    </w:pPr>
    <w:rPr>
      <w:rFonts w:ascii="黑体" w:eastAsia="黑体"/>
    </w:rPr>
  </w:style>
  <w:style w:type="paragraph" w:customStyle="1" w:styleId="129">
    <w:name w:val="附录表标号"/>
    <w:basedOn w:val="1"/>
    <w:next w:val="4"/>
    <w:qFormat/>
    <w:uiPriority w:val="0"/>
    <w:pPr>
      <w:numPr>
        <w:ilvl w:val="0"/>
        <w:numId w:val="14"/>
      </w:numPr>
      <w:tabs>
        <w:tab w:val="clear" w:pos="0"/>
      </w:tabs>
      <w:spacing w:line="14" w:lineRule="exact"/>
      <w:ind w:left="811" w:hanging="448"/>
      <w:jc w:val="center"/>
      <w:outlineLvl w:val="0"/>
    </w:pPr>
    <w:rPr>
      <w:color w:val="FFFFFF"/>
    </w:rPr>
  </w:style>
  <w:style w:type="paragraph" w:customStyle="1" w:styleId="130">
    <w:name w:val="附录表标题"/>
    <w:basedOn w:val="1"/>
    <w:next w:val="4"/>
    <w:qFormat/>
    <w:uiPriority w:val="0"/>
    <w:pPr>
      <w:numPr>
        <w:ilvl w:val="1"/>
        <w:numId w:val="14"/>
      </w:numPr>
      <w:tabs>
        <w:tab w:val="left" w:pos="180"/>
      </w:tabs>
      <w:spacing w:beforeLines="50" w:afterLines="50"/>
      <w:ind w:left="0" w:firstLine="0"/>
      <w:jc w:val="center"/>
    </w:pPr>
    <w:rPr>
      <w:rFonts w:ascii="黑体" w:eastAsia="黑体"/>
      <w:szCs w:val="21"/>
    </w:rPr>
  </w:style>
  <w:style w:type="paragraph" w:customStyle="1" w:styleId="131">
    <w:name w:val="附录二级无"/>
    <w:basedOn w:val="108"/>
    <w:qFormat/>
    <w:uiPriority w:val="0"/>
    <w:pPr>
      <w:tabs>
        <w:tab w:val="clear" w:pos="360"/>
      </w:tabs>
      <w:spacing w:beforeLines="0" w:afterLines="0"/>
    </w:pPr>
    <w:rPr>
      <w:rFonts w:ascii="宋体" w:eastAsia="宋体"/>
      <w:szCs w:val="21"/>
    </w:rPr>
  </w:style>
  <w:style w:type="paragraph" w:customStyle="1" w:styleId="132">
    <w:name w:val="附录公式编号制表符"/>
    <w:basedOn w:val="1"/>
    <w:next w:val="4"/>
    <w:qFormat/>
    <w:uiPriority w:val="0"/>
    <w:pPr>
      <w:widowControl/>
      <w:tabs>
        <w:tab w:val="center" w:pos="4201"/>
        <w:tab w:val="right" w:leader="dot" w:pos="9298"/>
      </w:tabs>
      <w:autoSpaceDE w:val="0"/>
      <w:autoSpaceDN w:val="0"/>
    </w:pPr>
    <w:rPr>
      <w:rFonts w:ascii="宋体"/>
      <w:kern w:val="0"/>
      <w:szCs w:val="20"/>
    </w:rPr>
  </w:style>
  <w:style w:type="paragraph" w:customStyle="1" w:styleId="133">
    <w:name w:val="附录三级无"/>
    <w:basedOn w:val="107"/>
    <w:qFormat/>
    <w:uiPriority w:val="0"/>
    <w:pPr>
      <w:tabs>
        <w:tab w:val="clear" w:pos="360"/>
      </w:tabs>
      <w:spacing w:beforeLines="0" w:afterLines="0"/>
    </w:pPr>
    <w:rPr>
      <w:rFonts w:ascii="宋体" w:eastAsia="宋体"/>
      <w:szCs w:val="21"/>
    </w:rPr>
  </w:style>
  <w:style w:type="paragraph" w:customStyle="1" w:styleId="134">
    <w:name w:val="附录数字编号列项（二级）"/>
    <w:qFormat/>
    <w:uiPriority w:val="0"/>
    <w:pPr>
      <w:numPr>
        <w:ilvl w:val="1"/>
        <w:numId w:val="15"/>
      </w:numPr>
    </w:pPr>
    <w:rPr>
      <w:rFonts w:ascii="宋体" w:hAnsi="Times New Roman" w:eastAsia="宋体" w:cs="Times New Roman"/>
      <w:sz w:val="21"/>
      <w:lang w:val="en-US" w:eastAsia="zh-CN" w:bidi="ar-SA"/>
    </w:rPr>
  </w:style>
  <w:style w:type="paragraph" w:customStyle="1" w:styleId="135">
    <w:name w:val="附录图标号"/>
    <w:basedOn w:val="1"/>
    <w:qFormat/>
    <w:uiPriority w:val="0"/>
    <w:pPr>
      <w:keepNext/>
      <w:pageBreakBefore/>
      <w:widowControl/>
      <w:numPr>
        <w:ilvl w:val="0"/>
        <w:numId w:val="16"/>
      </w:numPr>
      <w:spacing w:line="14" w:lineRule="exact"/>
      <w:ind w:left="0" w:firstLine="363"/>
      <w:jc w:val="center"/>
      <w:outlineLvl w:val="0"/>
    </w:pPr>
    <w:rPr>
      <w:color w:val="FFFFFF"/>
    </w:rPr>
  </w:style>
  <w:style w:type="paragraph" w:customStyle="1" w:styleId="136">
    <w:name w:val="附录图标题"/>
    <w:basedOn w:val="1"/>
    <w:next w:val="4"/>
    <w:uiPriority w:val="0"/>
    <w:pPr>
      <w:numPr>
        <w:ilvl w:val="1"/>
        <w:numId w:val="16"/>
      </w:numPr>
      <w:tabs>
        <w:tab w:val="left" w:pos="363"/>
      </w:tabs>
      <w:spacing w:beforeLines="50" w:afterLines="50"/>
      <w:ind w:left="0" w:firstLine="0"/>
      <w:jc w:val="center"/>
    </w:pPr>
    <w:rPr>
      <w:rFonts w:ascii="黑体" w:eastAsia="黑体"/>
      <w:szCs w:val="21"/>
    </w:rPr>
  </w:style>
  <w:style w:type="paragraph" w:customStyle="1" w:styleId="137">
    <w:name w:val="节标题"/>
    <w:basedOn w:val="75"/>
    <w:qFormat/>
    <w:uiPriority w:val="0"/>
    <w:pPr>
      <w:tabs>
        <w:tab w:val="left" w:pos="363"/>
        <w:tab w:val="left" w:pos="567"/>
      </w:tabs>
      <w:spacing w:line="440" w:lineRule="exact"/>
      <w:ind w:left="0"/>
    </w:pPr>
    <w:rPr>
      <w:rFonts w:ascii="宋体" w:hAnsi="宋体"/>
      <w:sz w:val="24"/>
    </w:rPr>
  </w:style>
  <w:style w:type="paragraph" w:customStyle="1" w:styleId="138">
    <w:name w:val="附录五级条标题"/>
    <w:basedOn w:val="106"/>
    <w:next w:val="4"/>
    <w:qFormat/>
    <w:uiPriority w:val="0"/>
    <w:pPr>
      <w:numPr>
        <w:ilvl w:val="6"/>
      </w:numPr>
      <w:outlineLvl w:val="6"/>
    </w:pPr>
  </w:style>
  <w:style w:type="paragraph" w:customStyle="1" w:styleId="139">
    <w:name w:val="其他实施日期"/>
    <w:basedOn w:val="140"/>
    <w:qFormat/>
    <w:uiPriority w:val="0"/>
    <w:pPr>
      <w:framePr w:wrap="around"/>
    </w:pPr>
  </w:style>
  <w:style w:type="paragraph" w:customStyle="1" w:styleId="140">
    <w:name w:val="实施日期"/>
    <w:basedOn w:val="123"/>
    <w:qFormat/>
    <w:uiPriority w:val="0"/>
    <w:pPr>
      <w:framePr w:wrap="around" w:vAnchor="page" w:hAnchor="text"/>
      <w:jc w:val="right"/>
    </w:pPr>
  </w:style>
  <w:style w:type="paragraph" w:customStyle="1" w:styleId="141">
    <w:name w:val="附录五级无"/>
    <w:basedOn w:val="138"/>
    <w:qFormat/>
    <w:uiPriority w:val="0"/>
    <w:pPr>
      <w:tabs>
        <w:tab w:val="clear" w:pos="360"/>
      </w:tabs>
      <w:spacing w:beforeLines="0" w:afterLines="0"/>
    </w:pPr>
    <w:rPr>
      <w:rFonts w:ascii="宋体" w:eastAsia="宋体"/>
      <w:szCs w:val="21"/>
    </w:rPr>
  </w:style>
  <w:style w:type="paragraph" w:customStyle="1" w:styleId="142">
    <w:name w:val="附录章标题"/>
    <w:next w:val="4"/>
    <w:uiPriority w:val="0"/>
    <w:pPr>
      <w:numPr>
        <w:ilvl w:val="1"/>
        <w:numId w:val="9"/>
      </w:numPr>
      <w:tabs>
        <w:tab w:val="left" w:pos="360"/>
      </w:tabs>
      <w:wordWrap w:val="0"/>
      <w:overflowPunct w:val="0"/>
      <w:autoSpaceDE w:val="0"/>
      <w:spacing w:beforeLines="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143">
    <w:name w:val="附录一级条标题"/>
    <w:basedOn w:val="142"/>
    <w:next w:val="4"/>
    <w:qFormat/>
    <w:uiPriority w:val="0"/>
    <w:pPr>
      <w:numPr>
        <w:ilvl w:val="2"/>
      </w:numPr>
      <w:autoSpaceDN w:val="0"/>
      <w:spacing w:beforeLines="50" w:afterLines="50"/>
      <w:outlineLvl w:val="2"/>
    </w:pPr>
  </w:style>
  <w:style w:type="paragraph" w:customStyle="1" w:styleId="144">
    <w:name w:val="附录一级无"/>
    <w:basedOn w:val="143"/>
    <w:uiPriority w:val="0"/>
    <w:pPr>
      <w:tabs>
        <w:tab w:val="clear" w:pos="360"/>
      </w:tabs>
      <w:spacing w:beforeLines="0" w:afterLines="0"/>
    </w:pPr>
    <w:rPr>
      <w:rFonts w:ascii="宋体" w:eastAsia="宋体"/>
      <w:szCs w:val="21"/>
    </w:rPr>
  </w:style>
  <w:style w:type="paragraph" w:customStyle="1" w:styleId="145">
    <w:name w:val="附录字母编号列项（一级）"/>
    <w:qFormat/>
    <w:uiPriority w:val="0"/>
    <w:pPr>
      <w:numPr>
        <w:ilvl w:val="0"/>
        <w:numId w:val="15"/>
      </w:numPr>
    </w:pPr>
    <w:rPr>
      <w:rFonts w:ascii="宋体" w:hAnsi="Times New Roman" w:eastAsia="宋体" w:cs="Times New Roman"/>
      <w:sz w:val="21"/>
      <w:lang w:val="en-US" w:eastAsia="zh-CN" w:bidi="ar-SA"/>
    </w:rPr>
  </w:style>
  <w:style w:type="paragraph" w:customStyle="1" w:styleId="146">
    <w:name w:val="列项说明"/>
    <w:basedOn w:val="1"/>
    <w:uiPriority w:val="0"/>
    <w:pPr>
      <w:adjustRightInd w:val="0"/>
      <w:spacing w:line="320" w:lineRule="exact"/>
      <w:ind w:left="400" w:leftChars="200" w:hanging="200" w:hangingChars="200"/>
      <w:jc w:val="left"/>
      <w:textAlignment w:val="baseline"/>
    </w:pPr>
    <w:rPr>
      <w:rFonts w:ascii="宋体"/>
      <w:kern w:val="0"/>
      <w:szCs w:val="20"/>
    </w:rPr>
  </w:style>
  <w:style w:type="paragraph" w:customStyle="1" w:styleId="147">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148">
    <w:name w:val="目次、索引正文"/>
    <w:uiPriority w:val="0"/>
    <w:pPr>
      <w:spacing w:line="320" w:lineRule="exact"/>
      <w:jc w:val="both"/>
    </w:pPr>
    <w:rPr>
      <w:rFonts w:ascii="宋体" w:hAnsi="Times New Roman" w:eastAsia="宋体" w:cs="Times New Roman"/>
      <w:sz w:val="21"/>
      <w:lang w:val="en-US" w:eastAsia="zh-CN" w:bidi="ar-SA"/>
    </w:rPr>
  </w:style>
  <w:style w:type="paragraph" w:customStyle="1" w:styleId="149">
    <w:name w:val="其他标准标志"/>
    <w:basedOn w:val="116"/>
    <w:qFormat/>
    <w:uiPriority w:val="0"/>
    <w:pPr>
      <w:framePr w:w="6101" w:wrap="around" w:vAnchor="page" w:hAnchor="page" w:x="4673" w:y="942"/>
    </w:pPr>
    <w:rPr>
      <w:w w:val="130"/>
    </w:rPr>
  </w:style>
  <w:style w:type="paragraph" w:customStyle="1" w:styleId="150">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151">
    <w:name w:val="其他发布部门"/>
    <w:basedOn w:val="122"/>
    <w:qFormat/>
    <w:uiPriority w:val="0"/>
    <w:pPr>
      <w:framePr w:wrap="around" w:y="15310"/>
      <w:spacing w:line="0" w:lineRule="atLeast"/>
    </w:pPr>
    <w:rPr>
      <w:rFonts w:ascii="黑体" w:eastAsia="黑体"/>
      <w:b w:val="0"/>
    </w:rPr>
  </w:style>
  <w:style w:type="paragraph" w:customStyle="1" w:styleId="152">
    <w:name w:val="前言、引言标题"/>
    <w:next w:val="4"/>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53">
    <w:name w:val="三级无"/>
    <w:basedOn w:val="92"/>
    <w:uiPriority w:val="0"/>
    <w:pPr>
      <w:spacing w:beforeLines="0" w:afterLines="0"/>
    </w:pPr>
    <w:rPr>
      <w:rFonts w:ascii="宋体" w:eastAsia="宋体"/>
    </w:rPr>
  </w:style>
  <w:style w:type="paragraph" w:customStyle="1" w:styleId="154">
    <w:name w:val="技术文件正文"/>
    <w:basedOn w:val="1"/>
    <w:qFormat/>
    <w:uiPriority w:val="0"/>
    <w:pPr>
      <w:spacing w:line="440" w:lineRule="exact"/>
      <w:ind w:firstLine="480" w:firstLineChars="200"/>
    </w:pPr>
    <w:rPr>
      <w:rFonts w:ascii="宋体" w:hAnsi="宋体"/>
      <w:sz w:val="24"/>
    </w:rPr>
  </w:style>
  <w:style w:type="paragraph" w:customStyle="1" w:styleId="155">
    <w:name w:val="示例后文字"/>
    <w:basedOn w:val="4"/>
    <w:next w:val="4"/>
    <w:qFormat/>
    <w:uiPriority w:val="0"/>
    <w:pPr>
      <w:ind w:firstLine="360"/>
    </w:pPr>
    <w:rPr>
      <w:sz w:val="18"/>
    </w:rPr>
  </w:style>
  <w:style w:type="paragraph" w:customStyle="1" w:styleId="156">
    <w:name w:val="四级无"/>
    <w:basedOn w:val="91"/>
    <w:qFormat/>
    <w:uiPriority w:val="0"/>
    <w:pPr>
      <w:spacing w:beforeLines="0" w:afterLines="0"/>
    </w:pPr>
    <w:rPr>
      <w:rFonts w:ascii="宋体" w:eastAsia="宋体"/>
    </w:rPr>
  </w:style>
  <w:style w:type="paragraph" w:customStyle="1" w:styleId="157">
    <w:name w:val="图标脚注说明"/>
    <w:basedOn w:val="4"/>
    <w:qFormat/>
    <w:uiPriority w:val="0"/>
    <w:pPr>
      <w:ind w:left="840" w:hanging="420" w:firstLineChars="0"/>
    </w:pPr>
    <w:rPr>
      <w:sz w:val="18"/>
      <w:szCs w:val="18"/>
    </w:rPr>
  </w:style>
  <w:style w:type="paragraph" w:customStyle="1" w:styleId="158">
    <w:name w:val="图表脚注说明"/>
    <w:basedOn w:val="1"/>
    <w:uiPriority w:val="0"/>
    <w:pPr>
      <w:numPr>
        <w:ilvl w:val="0"/>
        <w:numId w:val="17"/>
      </w:numPr>
    </w:pPr>
    <w:rPr>
      <w:rFonts w:ascii="宋体"/>
      <w:sz w:val="18"/>
      <w:szCs w:val="18"/>
    </w:rPr>
  </w:style>
  <w:style w:type="paragraph" w:customStyle="1" w:styleId="159">
    <w:name w:val="图的脚注"/>
    <w:next w:val="4"/>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160">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161">
    <w:name w:val="五级无"/>
    <w:basedOn w:val="90"/>
    <w:qFormat/>
    <w:uiPriority w:val="0"/>
    <w:pPr>
      <w:spacing w:beforeLines="0" w:afterLines="0"/>
    </w:pPr>
    <w:rPr>
      <w:rFonts w:ascii="宋体" w:eastAsia="宋体"/>
    </w:rPr>
  </w:style>
  <w:style w:type="paragraph" w:customStyle="1" w:styleId="162">
    <w:name w:val="一级无"/>
    <w:basedOn w:val="6"/>
    <w:qFormat/>
    <w:uiPriority w:val="0"/>
    <w:pPr>
      <w:spacing w:beforeLines="0" w:afterLines="0"/>
    </w:pPr>
    <w:rPr>
      <w:rFonts w:ascii="宋体" w:eastAsia="宋体"/>
    </w:rPr>
  </w:style>
  <w:style w:type="paragraph" w:customStyle="1" w:styleId="163">
    <w:name w:val="正文表标题"/>
    <w:next w:val="4"/>
    <w:qFormat/>
    <w:uiPriority w:val="0"/>
    <w:pPr>
      <w:numPr>
        <w:ilvl w:val="0"/>
        <w:numId w:val="18"/>
      </w:num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164">
    <w:name w:val="正文公式编号制表符"/>
    <w:basedOn w:val="4"/>
    <w:next w:val="4"/>
    <w:qFormat/>
    <w:uiPriority w:val="0"/>
    <w:pPr>
      <w:ind w:firstLine="0" w:firstLineChars="0"/>
    </w:pPr>
  </w:style>
  <w:style w:type="paragraph" w:customStyle="1" w:styleId="165">
    <w:name w:val="正文图标题"/>
    <w:next w:val="4"/>
    <w:uiPriority w:val="0"/>
    <w:pPr>
      <w:numPr>
        <w:ilvl w:val="0"/>
        <w:numId w:val="19"/>
      </w:numPr>
      <w:spacing w:beforeLines="50" w:afterLines="50"/>
      <w:jc w:val="center"/>
    </w:pPr>
    <w:rPr>
      <w:rFonts w:ascii="黑体" w:hAnsi="Times New Roman" w:eastAsia="黑体" w:cs="Times New Roman"/>
      <w:sz w:val="21"/>
      <w:lang w:val="en-US" w:eastAsia="zh-CN" w:bidi="ar-SA"/>
    </w:rPr>
  </w:style>
  <w:style w:type="paragraph" w:customStyle="1" w:styleId="166">
    <w:name w:val="终结线"/>
    <w:basedOn w:val="1"/>
    <w:uiPriority w:val="0"/>
    <w:pPr>
      <w:framePr w:hSpace="181" w:vSpace="181" w:wrap="around" w:vAnchor="text" w:hAnchor="margin" w:xAlign="center" w:y="285"/>
    </w:pPr>
  </w:style>
  <w:style w:type="paragraph" w:customStyle="1" w:styleId="167">
    <w:name w:val="其他发布日期"/>
    <w:basedOn w:val="123"/>
    <w:qFormat/>
    <w:uiPriority w:val="0"/>
    <w:pPr>
      <w:framePr w:wrap="around" w:vAnchor="page" w:hAnchor="text" w:x="1419"/>
    </w:pPr>
  </w:style>
  <w:style w:type="paragraph" w:customStyle="1" w:styleId="168">
    <w:name w:val="封面标准名称2"/>
    <w:basedOn w:val="85"/>
    <w:uiPriority w:val="0"/>
    <w:pPr>
      <w:framePr w:wrap="around" w:y="4469"/>
      <w:spacing w:beforeLines="630"/>
    </w:pPr>
  </w:style>
  <w:style w:type="paragraph" w:customStyle="1" w:styleId="169">
    <w:name w:val="封面标准英文名称2"/>
    <w:basedOn w:val="84"/>
    <w:qFormat/>
    <w:uiPriority w:val="0"/>
    <w:pPr>
      <w:framePr w:wrap="around" w:y="4469"/>
    </w:pPr>
  </w:style>
  <w:style w:type="paragraph" w:customStyle="1" w:styleId="170">
    <w:name w:val="封面一致性程度标识2"/>
    <w:basedOn w:val="83"/>
    <w:qFormat/>
    <w:uiPriority w:val="0"/>
    <w:pPr>
      <w:framePr w:wrap="around" w:y="4469"/>
    </w:pPr>
  </w:style>
  <w:style w:type="paragraph" w:customStyle="1" w:styleId="171">
    <w:name w:val="封面标准文稿类别2"/>
    <w:basedOn w:val="82"/>
    <w:uiPriority w:val="0"/>
    <w:pPr>
      <w:framePr w:wrap="around" w:y="4469"/>
    </w:pPr>
  </w:style>
  <w:style w:type="paragraph" w:customStyle="1" w:styleId="172">
    <w:name w:val="封面标准文稿编辑信息2"/>
    <w:basedOn w:val="125"/>
    <w:uiPriority w:val="0"/>
    <w:pPr>
      <w:framePr w:wrap="around" w:y="4469"/>
    </w:pPr>
  </w:style>
  <w:style w:type="character" w:styleId="173">
    <w:name w:val="Placeholder Text"/>
    <w:unhideWhenUsed/>
    <w:qFormat/>
    <w:uiPriority w:val="99"/>
    <w:rPr>
      <w:color w:val="808080"/>
    </w:rPr>
  </w:style>
  <w:style w:type="character" w:customStyle="1" w:styleId="174">
    <w:name w:val="正文缩进 字符"/>
    <w:link w:val="17"/>
    <w:qFormat/>
    <w:uiPriority w:val="0"/>
    <w:rPr>
      <w:rFonts w:ascii="宋体"/>
      <w:sz w:val="24"/>
      <w:szCs w:val="24"/>
    </w:rPr>
  </w:style>
  <w:style w:type="character" w:customStyle="1" w:styleId="175">
    <w:name w:val="页脚 字符"/>
    <w:link w:val="32"/>
    <w:qFormat/>
    <w:uiPriority w:val="99"/>
    <w:rPr>
      <w:kern w:val="2"/>
      <w:sz w:val="18"/>
      <w:szCs w:val="18"/>
    </w:rPr>
  </w:style>
  <w:style w:type="character" w:customStyle="1" w:styleId="176">
    <w:name w:val="一级条标题 Char Char"/>
    <w:link w:val="6"/>
    <w:uiPriority w:val="0"/>
    <w:rPr>
      <w:rFonts w:ascii="黑体" w:eastAsia="黑体"/>
      <w:sz w:val="21"/>
      <w:szCs w:val="21"/>
    </w:rPr>
  </w:style>
  <w:style w:type="character" w:customStyle="1" w:styleId="177">
    <w:name w:val="批注文字 字符"/>
    <w:link w:val="21"/>
    <w:semiHidden/>
    <w:qFormat/>
    <w:uiPriority w:val="0"/>
    <w:rPr>
      <w:kern w:val="2"/>
      <w:sz w:val="21"/>
      <w:szCs w:val="24"/>
    </w:rPr>
  </w:style>
  <w:style w:type="character" w:customStyle="1" w:styleId="178">
    <w:name w:val="批注主题 字符"/>
    <w:link w:val="45"/>
    <w:semiHidden/>
    <w:uiPriority w:val="0"/>
    <w:rPr>
      <w:b/>
      <w:bCs/>
      <w:kern w:val="2"/>
      <w:sz w:val="21"/>
      <w:szCs w:val="24"/>
    </w:rPr>
  </w:style>
  <w:style w:type="paragraph" w:customStyle="1" w:styleId="179">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180">
    <w:name w:val="en-code"/>
    <w:basedOn w:val="48"/>
    <w:qFormat/>
    <w:uiPriority w:val="0"/>
  </w:style>
  <w:style w:type="paragraph" w:customStyle="1" w:styleId="181">
    <w:name w:val="Revision"/>
    <w:hidden/>
    <w:semiHidden/>
    <w:qFormat/>
    <w:uiPriority w:val="99"/>
    <w:rPr>
      <w:rFonts w:ascii="Times New Roman" w:hAnsi="Times New Roman" w:eastAsia="宋体" w:cs="Times New Roman"/>
      <w:kern w:val="2"/>
      <w:sz w:val="21"/>
      <w:szCs w:val="24"/>
      <w:lang w:val="en-US" w:eastAsia="zh-CN" w:bidi="ar-SA"/>
    </w:rPr>
  </w:style>
  <w:style w:type="character" w:customStyle="1" w:styleId="182">
    <w:name w:val="日期 字符"/>
    <w:link w:val="29"/>
    <w:qFormat/>
    <w:uiPriority w:val="0"/>
    <w:rPr>
      <w:kern w:val="2"/>
      <w:sz w:val="21"/>
      <w:szCs w:val="24"/>
    </w:rPr>
  </w:style>
  <w:style w:type="paragraph" w:customStyle="1" w:styleId="183">
    <w:name w:val="TOC Heading"/>
    <w:basedOn w:val="2"/>
    <w:next w:val="1"/>
    <w:unhideWhenUsed/>
    <w:qFormat/>
    <w:uiPriority w:val="39"/>
    <w:pPr>
      <w:keepNext/>
      <w:keepLines/>
      <w:numPr>
        <w:ilvl w:val="0"/>
        <w:numId w:val="0"/>
      </w:numPr>
      <w:spacing w:before="240" w:beforeLines="0" w:afterLines="0" w:line="259" w:lineRule="auto"/>
      <w:jc w:val="left"/>
      <w:outlineLvl w:val="9"/>
    </w:pPr>
    <w:rPr>
      <w:rFonts w:ascii="Calibri Light" w:hAnsi="Calibri Light" w:eastAsia="宋体"/>
      <w:color w:val="2E74B5"/>
      <w:sz w:val="32"/>
      <w:szCs w:val="32"/>
    </w:rPr>
  </w:style>
  <w:style w:type="character" w:customStyle="1" w:styleId="184">
    <w:name w:val="未处理的提及1"/>
    <w:semiHidden/>
    <w:unhideWhenUsed/>
    <w:qFormat/>
    <w:uiPriority w:val="99"/>
    <w:rPr>
      <w:color w:val="605E5C"/>
      <w:shd w:val="clear" w:color="auto" w:fill="E1DFDD"/>
    </w:rPr>
  </w:style>
  <w:style w:type="character" w:customStyle="1" w:styleId="185">
    <w:name w:val="纯文本 字符"/>
    <w:link w:val="26"/>
    <w:qFormat/>
    <w:uiPriority w:val="0"/>
    <w:rPr>
      <w:rFonts w:ascii="宋体" w:hAnsi="Courier New"/>
      <w:kern w:val="2"/>
      <w:sz w:val="21"/>
      <w:szCs w:val="21"/>
    </w:rPr>
  </w:style>
  <w:style w:type="paragraph" w:customStyle="1" w:styleId="186">
    <w:name w:val="标准文件_段"/>
    <w:link w:val="187"/>
    <w:qFormat/>
    <w:uiPriority w:val="0"/>
    <w:pPr>
      <w:autoSpaceDE w:val="0"/>
      <w:autoSpaceDN w:val="0"/>
      <w:adjustRightInd w:val="0"/>
      <w:snapToGrid w:val="0"/>
      <w:spacing w:line="276" w:lineRule="auto"/>
      <w:ind w:left="-105" w:leftChars="-50" w:right="-105" w:rightChars="-50" w:firstLine="428" w:firstLineChars="200"/>
      <w:jc w:val="both"/>
    </w:pPr>
    <w:rPr>
      <w:rFonts w:ascii="宋体" w:hAnsi="宋体" w:eastAsia="宋体" w:cs="Courier New"/>
      <w:spacing w:val="2"/>
      <w:kern w:val="2"/>
      <w:sz w:val="21"/>
      <w:szCs w:val="21"/>
      <w:lang w:val="en-US" w:eastAsia="zh-CN" w:bidi="ar-SA"/>
    </w:rPr>
  </w:style>
  <w:style w:type="character" w:customStyle="1" w:styleId="187">
    <w:name w:val="标准文件_段 Char"/>
    <w:link w:val="186"/>
    <w:qFormat/>
    <w:locked/>
    <w:uiPriority w:val="0"/>
    <w:rPr>
      <w:rFonts w:ascii="宋体" w:hAnsi="宋体" w:cs="Courier New"/>
      <w:spacing w:val="2"/>
      <w:kern w:val="2"/>
      <w:sz w:val="21"/>
      <w:szCs w:val="21"/>
    </w:rPr>
  </w:style>
  <w:style w:type="paragraph" w:customStyle="1" w:styleId="188">
    <w:name w:val="标准文件_正文图标题"/>
    <w:next w:val="186"/>
    <w:qFormat/>
    <w:uiPriority w:val="0"/>
    <w:pPr>
      <w:spacing w:before="50" w:beforeLines="50" w:after="50" w:afterLines="50"/>
      <w:jc w:val="center"/>
    </w:pPr>
    <w:rPr>
      <w:rFonts w:ascii="黑体" w:hAnsi="Times New Roman" w:eastAsia="黑体" w:cs="Times New Roman"/>
      <w:sz w:val="21"/>
      <w:lang w:val="en-US" w:eastAsia="zh-CN" w:bidi="ar-SA"/>
    </w:rPr>
  </w:style>
  <w:style w:type="paragraph" w:customStyle="1" w:styleId="189">
    <w:name w:val="一级无标题条"/>
    <w:basedOn w:val="6"/>
    <w:qFormat/>
    <w:uiPriority w:val="0"/>
    <w:pPr>
      <w:numPr>
        <w:ilvl w:val="1"/>
        <w:numId w:val="11"/>
      </w:numPr>
      <w:spacing w:beforeLines="0" w:afterLines="0"/>
      <w:outlineLvl w:val="9"/>
    </w:pPr>
    <w:rPr>
      <w:rFonts w:eastAsia="宋体"/>
    </w:rPr>
  </w:style>
  <w:style w:type="paragraph" w:customStyle="1" w:styleId="190">
    <w:name w:val="正文表标题续表"/>
    <w:basedOn w:val="163"/>
    <w:next w:val="4"/>
    <w:qFormat/>
    <w:uiPriority w:val="0"/>
    <w:pPr>
      <w:numPr>
        <w:numId w:val="0"/>
      </w:numPr>
      <w:spacing w:before="156" w:after="156"/>
    </w:pPr>
    <w:rPr>
      <w:szCs w:val="21"/>
    </w:rPr>
  </w:style>
  <w:style w:type="character" w:customStyle="1" w:styleId="191">
    <w:name w:val="Unresolved Mention"/>
    <w:basedOn w:val="48"/>
    <w:semiHidden/>
    <w:unhideWhenUsed/>
    <w:qFormat/>
    <w:uiPriority w:val="99"/>
    <w:rPr>
      <w:color w:val="605E5C"/>
      <w:shd w:val="clear" w:color="auto" w:fill="E1DFDD"/>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microsoft.com/office/2006/relationships/keyMapCustomizations" Target="customizations.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01E672-30A9-4903-9EEE-6A3159700B39}">
  <ds:schemaRefs/>
</ds:datastoreItem>
</file>

<file path=docProps/app.xml><?xml version="1.0" encoding="utf-8"?>
<Properties xmlns="http://schemas.openxmlformats.org/officeDocument/2006/extended-properties" xmlns:vt="http://schemas.openxmlformats.org/officeDocument/2006/docPropsVTypes">
  <Template>Normal</Template>
  <Company>NELAM-LMC</Company>
  <Pages>17</Pages>
  <Words>2383</Words>
  <Characters>3086</Characters>
  <Lines>59</Lines>
  <Paragraphs>16</Paragraphs>
  <TotalTime>396</TotalTime>
  <ScaleCrop>false</ScaleCrop>
  <LinksUpToDate>false</LinksUpToDate>
  <CharactersWithSpaces>3242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2026-04-14T04:19:00Z</dcterms:created>
  <dc:creator>CNIS</dc:creator>
  <cp:lastModifiedBy>WPS_1747749647</cp:lastModifiedBy>
  <cp:lastPrinted>2026-03-04T17:47:00Z</cp:lastPrinted>
  <dcterms:modified xsi:type="dcterms:W3CDTF">2026-04-17T07:17:17Z</dcterms:modified>
  <dc:title>标准名称</dc:title>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85C37AD7D4FC4730B5C7BAC18E0B5E71</vt:lpwstr>
  </property>
</Properties>
</file>