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5DB" w:rsidRDefault="007C6B50">
      <w:pPr>
        <w:pStyle w:val="afc"/>
        <w:framePr w:w="0" w:h="1811" w:hRule="exact" w:wrap="auto" w:vAnchor="page" w:hAnchor="page" w:x="7439" w:y="1211"/>
        <w:adjustRightInd w:val="0"/>
        <w:snapToGrid w:val="0"/>
        <w:ind w:right="629" w:firstLine="420"/>
        <w:jc w:val="both"/>
        <w:rPr>
          <w:sz w:val="144"/>
          <w:szCs w:val="144"/>
        </w:rPr>
        <w:sectPr w:rsidR="00AB65DB">
          <w:headerReference w:type="even" r:id="rId9"/>
          <w:headerReference w:type="default" r:id="rId10"/>
          <w:footerReference w:type="even" r:id="rId11"/>
          <w:footerReference w:type="default" r:id="rId12"/>
          <w:pgSz w:w="11907" w:h="16839"/>
          <w:pgMar w:top="567" w:right="851" w:bottom="1361" w:left="1418" w:header="0" w:footer="0" w:gutter="0"/>
          <w:pgNumType w:start="1"/>
          <w:cols w:space="425"/>
          <w:titlePg/>
          <w:docGrid w:type="lines" w:linePitch="312"/>
        </w:sectPr>
      </w:pPr>
      <w:r>
        <w:rPr>
          <w:noProof/>
          <w:w w:val="100"/>
        </w:rPr>
        <mc:AlternateContent>
          <mc:Choice Requires="wps">
            <w:drawing>
              <wp:anchor distT="0" distB="0" distL="0" distR="0" simplePos="0" relativeHeight="251669504" behindDoc="0" locked="0" layoutInCell="1" allowOverlap="1">
                <wp:simplePos x="0" y="0"/>
                <wp:positionH relativeFrom="page">
                  <wp:posOffset>920750</wp:posOffset>
                </wp:positionH>
                <wp:positionV relativeFrom="page">
                  <wp:posOffset>9283700</wp:posOffset>
                </wp:positionV>
                <wp:extent cx="6121400" cy="0"/>
                <wp:effectExtent l="0" t="0" r="0" b="0"/>
                <wp:wrapNone/>
                <wp:docPr id="921871989" name="直接连接符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6C89C810" id="直接连接符 10" o:spid="_x0000_s1026" style="position:absolute;left:0;text-align:left;z-index:251669504;visibility:visible;mso-wrap-style:square;mso-wrap-distance-left:0;mso-wrap-distance-top:0;mso-wrap-distance-right:0;mso-wrap-distance-bottom:0;mso-position-horizontal:absolute;mso-position-horizontal-relative:page;mso-position-vertical:absolute;mso-position-vertical-relative:page" from="72.5pt,731pt" to="554.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" strokecolor="#080000" strokeweight="1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-3827145</wp:posOffset>
                </wp:positionH>
                <wp:positionV relativeFrom="paragraph">
                  <wp:posOffset>10160</wp:posOffset>
                </wp:positionV>
                <wp:extent cx="2064385" cy="727075"/>
                <wp:effectExtent l="4445" t="4445" r="19050" b="15240"/>
                <wp:wrapNone/>
                <wp:docPr id="9" name="文本框 9"/>
                <wp:cNvGraphicFramePr/>
                <a:graphic xmlns:a="http://schemas.openxmlformats.org/drawingml/2006/main">
                  <a:graphicData uri="http://schemas.microsoft.com/office/word/2010/wordprocessingShape">
                    <wps:wsp>
                      <wps:cNvSpPr txBox="1"/>
                      <wps:spPr>
                        <a:xfrm>
                          <a:off x="895350" y="401955"/>
                          <a:ext cx="2064385" cy="727075"/>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E30B38" w:rsidRDefault="00E30B38">
                            <w:pPr>
                              <w:pStyle w:val="af8"/>
                              <w:rPr>
                                <w:rFonts w:hAnsi="黑体" w:cs="黑体"/>
                              </w:rPr>
                            </w:pPr>
                            <w:r>
                              <w:rPr>
                                <w:rFonts w:ascii="Times New Roman"/>
                                <w:caps/>
                              </w:rPr>
                              <w:t>ICS</w:t>
                            </w:r>
                            <w:r>
                              <w:rPr>
                                <w:rFonts w:hAnsi="黑体" w:cs="黑体"/>
                              </w:rPr>
                              <w:t xml:space="preserve"> </w:t>
                            </w:r>
                            <w:r>
                              <w:rPr>
                                <w:rFonts w:hAnsi="黑体" w:cs="黑体" w:hint="eastAsia"/>
                              </w:rPr>
                              <w:t>77.150.99</w:t>
                            </w:r>
                          </w:p>
                          <w:p w:rsidR="00E30B38" w:rsidRDefault="00E30B38">
                            <w:pPr>
                              <w:pStyle w:val="af8"/>
                            </w:pPr>
                            <w:r>
                              <w:rPr>
                                <w:rFonts w:ascii="Times New Roman"/>
                              </w:rPr>
                              <w:t xml:space="preserve">CCS H </w:t>
                            </w:r>
                            <w:r>
                              <w:rPr>
                                <w:rFonts w:hint="eastAsia"/>
                              </w:rPr>
                              <w:t>65</w:t>
                            </w:r>
                          </w:p>
                          <w:p w:rsidR="00E30B38" w:rsidRDefault="00E30B3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301.35pt;margin-top:.8pt;width:162.55pt;height:5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" filled="f" strokecolor="white [3212]" strokeweight=".5pt">
                <v:textbox>
                  <w:txbxContent>
                    <w:p w:rsidR="00E30B38" w:rsidRDefault="00E30B38">
                      <w:pPr>
                        <w:pStyle w:val="af8"/>
                        <w:rPr>
                          <w:rFonts w:hAnsi="黑体" w:cs="黑体"/>
                        </w:rPr>
                      </w:pPr>
                      <w:r>
                        <w:rPr>
                          <w:rFonts w:ascii="Times New Roman"/>
                          <w:caps/>
                        </w:rPr>
                        <w:t>ICS</w:t>
                      </w:r>
                      <w:r>
                        <w:rPr>
                          <w:rFonts w:hAnsi="黑体" w:cs="黑体"/>
                        </w:rPr>
                        <w:t xml:space="preserve"> </w:t>
                      </w:r>
                      <w:r>
                        <w:rPr>
                          <w:rFonts w:hAnsi="黑体" w:cs="黑体" w:hint="eastAsia"/>
                        </w:rPr>
                        <w:t>77.150.99</w:t>
                      </w:r>
                    </w:p>
                    <w:p w:rsidR="00E30B38" w:rsidRDefault="00E30B38">
                      <w:pPr>
                        <w:pStyle w:val="af8"/>
                      </w:pPr>
                      <w:r>
                        <w:rPr>
                          <w:rFonts w:ascii="Times New Roman"/>
                        </w:rPr>
                        <w:t xml:space="preserve">CCS H </w:t>
                      </w:r>
                      <w:r>
                        <w:rPr>
                          <w:rFonts w:hint="eastAsia"/>
                        </w:rPr>
                        <w:t>65</w:t>
                      </w:r>
                    </w:p>
                    <w:p w:rsidR="00E30B38" w:rsidRDefault="00E30B38"/>
                  </w:txbxContent>
                </v:textbox>
              </v:shape>
            </w:pict>
          </mc:Fallback>
        </mc:AlternateContent>
      </w:r>
      <w:r>
        <w:rPr>
          <w:noProof/>
          <w:w w:val="100"/>
        </w:rPr>
        <mc:AlternateContent>
          <mc:Choice Requires="wps">
            <w:drawing>
              <wp:anchor distT="0" distB="0" distL="0" distR="0" simplePos="0" relativeHeight="251659264" behindDoc="0" locked="0" layoutInCell="1" allowOverlap="1">
                <wp:simplePos x="0" y="0"/>
                <wp:positionH relativeFrom="column">
                  <wp:posOffset>-3822700</wp:posOffset>
                </wp:positionH>
                <wp:positionV relativeFrom="paragraph">
                  <wp:posOffset>8909050</wp:posOffset>
                </wp:positionV>
                <wp:extent cx="6121400" cy="0"/>
                <wp:effectExtent l="0" t="0" r="0" b="0"/>
                <wp:wrapNone/>
                <wp:docPr id="1026" name="直接连接符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759C31BB" id="直接连接符 11" o:spid="_x0000_s1026" style="position:absolute;left:0;text-align:left;z-index:251659264;visibility:visible;mso-wrap-style:square;mso-wrap-distance-left:0;mso-wrap-distance-top:0;mso-wrap-distance-right:0;mso-wrap-distance-bottom:0;mso-position-horizontal:absolute;mso-position-horizontal-relative:text;mso-position-vertical:absolute;mso-position-vertical-relative:text" from="-301pt,701.5pt" to="181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" strokecolor="#080000" strokeweight="1pt"/>
            </w:pict>
          </mc:Fallback>
        </mc:AlternateContent>
      </w:r>
      <w:r>
        <w:rPr>
          <w:noProof/>
          <w:w w:val="100"/>
        </w:rPr>
        <mc:AlternateContent>
          <mc:Choice Requires="wps">
            <w:drawing>
              <wp:anchor distT="0" distB="0" distL="0" distR="0" simplePos="0" relativeHeight="251660288" behindDoc="0" locked="0" layoutInCell="1" allowOverlap="1">
                <wp:simplePos x="0" y="0"/>
                <wp:positionH relativeFrom="page">
                  <wp:posOffset>848995</wp:posOffset>
                </wp:positionH>
                <wp:positionV relativeFrom="page">
                  <wp:posOffset>3014345</wp:posOffset>
                </wp:positionV>
                <wp:extent cx="6121400" cy="0"/>
                <wp:effectExtent l="0" t="0" r="0" b="0"/>
                <wp:wrapNone/>
                <wp:docPr id="1027" name="直接连接符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80000"/>
                          </a:solidFill>
                          <a:prstDash val="solid"/>
                          <a:round/>
                          <a:headEnd type="none" w="med" len="med"/>
                          <a:tailEnd type="none" w="med" len="med"/>
                        </a:ln>
                      </wps:spPr>
                      <wps:bodyPr/>
                    </wps:wsp>
                  </a:graphicData>
                </a:graphic>
              </wp:anchor>
            </w:drawing>
          </mc:Choice>
          <mc:Fallback>
            <w:pict>
              <v:line w14:anchorId="3C56A628" id="直接连接符 10" o:spid="_x0000_s1026" style="position:absolute;left:0;text-align:left;z-index:251660288;visibility:visible;mso-wrap-style:square;mso-wrap-distance-left:0;mso-wrap-distance-top:0;mso-wrap-distance-right:0;mso-wrap-distance-bottom:0;mso-position-horizontal:absolute;mso-position-horizontal-relative:page;mso-position-vertical:absolute;mso-position-vertical-relative:page" from="66.85pt,237.35pt" to="548.85pt,2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" strokecolor="#080000" strokeweight="1pt">
                <w10:wrap anchorx="page" anchory="page"/>
              </v:line>
            </w:pict>
          </mc:Fallback>
        </mc:AlternateContent>
      </w:r>
      <w:r>
        <w:rPr>
          <w:noProof/>
          <w:w w:val="100"/>
        </w:rPr>
        <mc:AlternateContent>
          <mc:Choice Requires="wps">
            <w:drawing>
              <wp:anchor distT="0" distB="0" distL="0" distR="0" simplePos="0" relativeHeight="251661312" behindDoc="0" locked="1" layoutInCell="1" allowOverlap="1">
                <wp:simplePos x="0" y="0"/>
                <wp:positionH relativeFrom="margin">
                  <wp:align>center</wp:align>
                </wp:positionH>
                <wp:positionV relativeFrom="margin">
                  <wp:posOffset>8946515</wp:posOffset>
                </wp:positionV>
                <wp:extent cx="6120130" cy="661670"/>
                <wp:effectExtent l="0" t="0" r="13970" b="5080"/>
                <wp:wrapNone/>
                <wp:docPr id="1028" name="文本框 9"/>
                <wp:cNvGraphicFramePr/>
                <a:graphic xmlns:a="http://schemas.openxmlformats.org/drawingml/2006/main">
                  <a:graphicData uri="http://schemas.microsoft.com/office/word/2010/wordprocessingShape">
                    <wps:wsp>
                      <wps:cNvSpPr/>
                      <wps:spPr>
                        <a:xfrm>
                          <a:off x="0" y="0"/>
                          <a:ext cx="6120130" cy="661668"/>
                        </a:xfrm>
                        <a:prstGeom prst="rect">
                          <a:avLst/>
                        </a:prstGeom>
                        <a:solidFill>
                          <a:srgbClr val="FFFFFF"/>
                        </a:solidFill>
                        <a:ln>
                          <a:noFill/>
                        </a:ln>
                      </wps:spPr>
                      <wps:txbx>
                        <w:txbxContent>
                          <w:p w:rsidR="00E30B38" w:rsidRDefault="00E30B38">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rsidR="00E30B38" w:rsidRDefault="00E30B38">
                            <w:pPr>
                              <w:jc w:val="center"/>
                            </w:pPr>
                          </w:p>
                          <w:p w:rsidR="00E30B38" w:rsidRDefault="00E30B38"/>
                        </w:txbxContent>
                      </wps:txbx>
                      <wps:bodyPr vert="horz" wrap="square" lIns="0" tIns="0" rIns="0" bIns="0" anchor="t" upright="1">
                        <a:noAutofit/>
                      </wps:bodyPr>
                    </wps:wsp>
                  </a:graphicData>
                </a:graphic>
              </wp:anchor>
            </w:drawing>
          </mc:Choice>
          <mc:Fallback>
            <w:pict>
              <v:rect id="_x0000_s1027" style="position:absolute;left:0;text-align:left;margin-left:0;margin-top:704.45pt;width:481.9pt;height:52.1pt;z-index:251661312;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" stroked="f">
                <v:textbox inset="0,0,0,0">
                  <w:txbxContent>
                    <w:p w:rsidR="00E30B38" w:rsidRDefault="00E30B38">
                      <w:pPr>
                        <w:spacing w:line="0" w:lineRule="atLeast"/>
                        <w:jc w:val="center"/>
                        <w:rPr>
                          <w:sz w:val="24"/>
                        </w:rPr>
                      </w:pPr>
                      <w:r>
                        <w:rPr>
                          <w:rFonts w:hint="eastAsia"/>
                          <w:b/>
                          <w:spacing w:val="10"/>
                          <w:w w:val="135"/>
                          <w:sz w:val="36"/>
                          <w:szCs w:val="36"/>
                        </w:rPr>
                        <w:t>中华人民共和国工业和信息化部</w:t>
                      </w:r>
                      <w:r>
                        <w:rPr>
                          <w:rFonts w:hint="eastAsia"/>
                          <w:b/>
                          <w:spacing w:val="10"/>
                          <w:w w:val="135"/>
                          <w:sz w:val="36"/>
                          <w:szCs w:val="36"/>
                        </w:rPr>
                        <w:t xml:space="preserve">   </w:t>
                      </w:r>
                      <w:r>
                        <w:rPr>
                          <w:rFonts w:ascii="黑体" w:eastAsia="黑体" w:hAnsi="黑体" w:hint="eastAsia"/>
                          <w:sz w:val="28"/>
                          <w:szCs w:val="28"/>
                        </w:rPr>
                        <w:t>发 布</w:t>
                      </w:r>
                    </w:p>
                    <w:p w:rsidR="00E30B38" w:rsidRDefault="00E30B38">
                      <w:pPr>
                        <w:jc w:val="center"/>
                      </w:pPr>
                    </w:p>
                    <w:p w:rsidR="00E30B38" w:rsidRDefault="00E30B38"/>
                  </w:txbxContent>
                </v:textbox>
                <w10:wrap anchorx="margin" anchory="margin"/>
                <w10:anchorlock/>
              </v:rect>
            </w:pict>
          </mc:Fallback>
        </mc:AlternateContent>
      </w:r>
      <w:r>
        <w:rPr>
          <w:noProof/>
          <w:w w:val="100"/>
        </w:rPr>
        <mc:AlternateContent>
          <mc:Choice Requires="wps">
            <w:drawing>
              <wp:anchor distT="0" distB="0" distL="0" distR="0" simplePos="0" relativeHeight="251662336"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1029" name="文本框 8"/>
                <wp:cNvGraphicFramePr/>
                <a:graphic xmlns:a="http://schemas.openxmlformats.org/drawingml/2006/main">
                  <a:graphicData uri="http://schemas.microsoft.com/office/word/2010/wordprocessingShape">
                    <wps:wsp>
                      <wps:cNvSpPr/>
                      <wps:spPr>
                        <a:xfrm>
                          <a:off x="0" y="0"/>
                          <a:ext cx="2019298" cy="312418"/>
                        </a:xfrm>
                        <a:prstGeom prst="rect">
                          <a:avLst/>
                        </a:prstGeom>
                        <a:solidFill>
                          <a:srgbClr val="FFFFFF"/>
                        </a:solidFill>
                        <a:ln>
                          <a:noFill/>
                        </a:ln>
                      </wps:spPr>
                      <wps:txbx>
                        <w:txbxContent>
                          <w:p w:rsidR="00E30B38" w:rsidRDefault="00E30B38">
                            <w:pPr>
                              <w:pStyle w:val="afe"/>
                            </w:pPr>
                            <w:r>
                              <w:rPr>
                                <w:rFonts w:hint="eastAsia"/>
                              </w:rPr>
                              <w:t>××××</w:t>
                            </w:r>
                            <w:r>
                              <w:rPr>
                                <w:rFonts w:hint="eastAsia"/>
                              </w:rPr>
                              <w:t>-</w:t>
                            </w:r>
                            <w:r>
                              <w:rPr>
                                <w:rFonts w:hint="eastAsia"/>
                              </w:rPr>
                              <w:t>××</w:t>
                            </w:r>
                            <w:r>
                              <w:rPr>
                                <w:rFonts w:hint="eastAsia"/>
                              </w:rPr>
                              <w:t>-</w:t>
                            </w:r>
                            <w:r>
                              <w:rPr>
                                <w:rFonts w:hint="eastAsia"/>
                              </w:rPr>
                              <w:t>××实施</w:t>
                            </w:r>
                          </w:p>
                        </w:txbxContent>
                      </wps:txbx>
                      <wps:bodyPr vert="horz" wrap="square" lIns="0" tIns="0" rIns="0" bIns="0" anchor="t" upright="1">
                        <a:noAutofit/>
                      </wps:bodyPr>
                    </wps:wsp>
                  </a:graphicData>
                </a:graphic>
              </wp:anchor>
            </w:drawing>
          </mc:Choice>
          <mc:Fallback>
            <w:pict>
              <v:rect id="文本框 8" o:spid="_x0000_s1028" style="position:absolute;left:0;text-align:left;margin-left:322.9pt;margin-top:674.3pt;width:159pt;height:24.6pt;z-index:251662336;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" stroked="f">
                <v:textbox inset="0,0,0,0">
                  <w:txbxContent>
                    <w:p w:rsidR="00E30B38" w:rsidRDefault="00E30B38">
                      <w:pPr>
                        <w:pStyle w:val="afe"/>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rect>
            </w:pict>
          </mc:Fallback>
        </mc:AlternateContent>
      </w:r>
      <w:r>
        <w:rPr>
          <w:noProof/>
          <w:w w:val="100"/>
        </w:rPr>
        <mc:AlternateContent>
          <mc:Choice Requires="wps">
            <w:drawing>
              <wp:anchor distT="0" distB="0" distL="0" distR="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1030" name="文本框 7"/>
                <wp:cNvGraphicFramePr/>
                <a:graphic xmlns:a="http://schemas.openxmlformats.org/drawingml/2006/main">
                  <a:graphicData uri="http://schemas.microsoft.com/office/word/2010/wordprocessingShape">
                    <wps:wsp>
                      <wps:cNvSpPr/>
                      <wps:spPr>
                        <a:xfrm>
                          <a:off x="0" y="0"/>
                          <a:ext cx="2019299" cy="312418"/>
                        </a:xfrm>
                        <a:prstGeom prst="rect">
                          <a:avLst/>
                        </a:prstGeom>
                        <a:solidFill>
                          <a:srgbClr val="FFFFFF"/>
                        </a:solidFill>
                        <a:ln>
                          <a:noFill/>
                        </a:ln>
                      </wps:spPr>
                      <wps:txbx>
                        <w:txbxContent>
                          <w:p w:rsidR="00E30B38" w:rsidRDefault="00E30B38">
                            <w:pPr>
                              <w:pStyle w:val="aff"/>
                            </w:pPr>
                            <w:r>
                              <w:rPr>
                                <w:rFonts w:hint="eastAsia"/>
                              </w:rPr>
                              <w:t>××××</w:t>
                            </w:r>
                            <w:r>
                              <w:rPr>
                                <w:rFonts w:hint="eastAsia"/>
                              </w:rPr>
                              <w:t>-</w:t>
                            </w:r>
                            <w:r>
                              <w:rPr>
                                <w:rFonts w:hint="eastAsia"/>
                              </w:rPr>
                              <w:t>××</w:t>
                            </w:r>
                            <w:r>
                              <w:rPr>
                                <w:rFonts w:hint="eastAsia"/>
                              </w:rPr>
                              <w:t>-</w:t>
                            </w:r>
                            <w:r>
                              <w:rPr>
                                <w:rFonts w:hint="eastAsia"/>
                              </w:rPr>
                              <w:t>××发布</w:t>
                            </w:r>
                          </w:p>
                        </w:txbxContent>
                      </wps:txbx>
                      <wps:bodyPr vert="horz" wrap="square" lIns="0" tIns="0" rIns="0" bIns="0" anchor="t" upright="1">
                        <a:noAutofit/>
                      </wps:bodyPr>
                    </wps:wsp>
                  </a:graphicData>
                </a:graphic>
              </wp:anchor>
            </w:drawing>
          </mc:Choice>
          <mc:Fallback>
            <w:pict>
              <v:rect id="文本框 7" o:spid="_x0000_s1029" style="position:absolute;left:0;text-align:left;margin-left:0;margin-top:674.3pt;width:159pt;height:24.6pt;z-index:25166336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" stroked="f">
                <v:textbox inset="0,0,0,0">
                  <w:txbxContent>
                    <w:p w:rsidR="00E30B38" w:rsidRDefault="00E30B38">
                      <w:pPr>
                        <w:pStyle w:val="aff"/>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rect>
            </w:pict>
          </mc:Fallback>
        </mc:AlternateContent>
      </w:r>
      <w:r>
        <w:rPr>
          <w:noProof/>
          <w:w w:val="100"/>
        </w:rPr>
        <mc:AlternateContent>
          <mc:Choice Requires="wps">
            <w:drawing>
              <wp:anchor distT="0" distB="0" distL="0" distR="0" simplePos="0" relativeHeight="251664384" behindDoc="0" locked="1" layoutInCell="1" allowOverlap="1">
                <wp:simplePos x="0" y="0"/>
                <wp:positionH relativeFrom="margin">
                  <wp:posOffset>0</wp:posOffset>
                </wp:positionH>
                <wp:positionV relativeFrom="margin">
                  <wp:posOffset>3635375</wp:posOffset>
                </wp:positionV>
                <wp:extent cx="5969000" cy="4180840"/>
                <wp:effectExtent l="0" t="0" r="12700" b="10160"/>
                <wp:wrapNone/>
                <wp:docPr id="1031" name="文本框 6"/>
                <wp:cNvGraphicFramePr/>
                <a:graphic xmlns:a="http://schemas.openxmlformats.org/drawingml/2006/main">
                  <a:graphicData uri="http://schemas.microsoft.com/office/word/2010/wordprocessingShape">
                    <wps:wsp>
                      <wps:cNvSpPr/>
                      <wps:spPr>
                        <a:xfrm>
                          <a:off x="0" y="0"/>
                          <a:ext cx="5969000" cy="4180840"/>
                        </a:xfrm>
                        <a:prstGeom prst="rect">
                          <a:avLst/>
                        </a:prstGeom>
                        <a:solidFill>
                          <a:srgbClr val="FFFFFF"/>
                        </a:solidFill>
                        <a:ln>
                          <a:noFill/>
                        </a:ln>
                      </wps:spPr>
                      <wps:txbx>
                        <w:txbxContent>
                          <w:p w:rsidR="00E30B38" w:rsidRDefault="00E30B38">
                            <w:pPr>
                              <w:pStyle w:val="aff0"/>
                              <w:rPr>
                                <w:bCs/>
                              </w:rPr>
                            </w:pPr>
                          </w:p>
                          <w:p w:rsidR="00E30B38" w:rsidRDefault="00E30B38">
                            <w:pPr>
                              <w:snapToGrid w:val="0"/>
                              <w:spacing w:line="360" w:lineRule="auto"/>
                              <w:jc w:val="center"/>
                              <w:rPr>
                                <w:rFonts w:ascii="黑体" w:eastAsia="黑体"/>
                                <w:bCs/>
                                <w:kern w:val="0"/>
                                <w:sz w:val="52"/>
                              </w:rPr>
                            </w:pPr>
                            <w:r>
                              <w:rPr>
                                <w:rFonts w:ascii="黑体" w:eastAsia="黑体" w:hint="eastAsia"/>
                                <w:bCs/>
                                <w:kern w:val="0"/>
                                <w:sz w:val="52"/>
                              </w:rPr>
                              <w:t>稀土沉淀智能控制技术规范</w:t>
                            </w:r>
                          </w:p>
                          <w:p w:rsidR="00E30B38" w:rsidRDefault="00E30B38">
                            <w:pPr>
                              <w:snapToGrid w:val="0"/>
                              <w:spacing w:line="360" w:lineRule="auto"/>
                              <w:jc w:val="center"/>
                              <w:rPr>
                                <w:sz w:val="32"/>
                                <w:szCs w:val="32"/>
                              </w:rPr>
                            </w:pPr>
                            <w:r>
                              <w:rPr>
                                <w:sz w:val="32"/>
                                <w:szCs w:val="32"/>
                              </w:rPr>
                              <w:t>Technical specification for intelligent control of rare earth precipitation</w:t>
                            </w:r>
                          </w:p>
                          <w:p w:rsidR="00E30B38" w:rsidRDefault="00E30B38">
                            <w:pPr>
                              <w:pStyle w:val="aff1"/>
                            </w:pPr>
                            <w:r>
                              <w:rPr>
                                <w:rFonts w:hint="eastAsia"/>
                              </w:rPr>
                              <w:t>(预审稿)</w:t>
                            </w:r>
                          </w:p>
                          <w:p w:rsidR="00E30B38" w:rsidRDefault="00E30B38">
                            <w:pPr>
                              <w:pStyle w:val="aff2"/>
                            </w:pPr>
                          </w:p>
                        </w:txbxContent>
                      </wps:txbx>
                      <wps:bodyPr vert="horz" wrap="square" lIns="0" tIns="0" rIns="0" bIns="0" anchor="t" upright="1">
                        <a:noAutofit/>
                      </wps:bodyPr>
                    </wps:wsp>
                  </a:graphicData>
                </a:graphic>
              </wp:anchor>
            </w:drawing>
          </mc:Choice>
          <mc:Fallback>
            <w:pict>
              <v:rect id="文本框 6" o:spid="_x0000_s1030" style="position:absolute;left:0;text-align:left;margin-left:0;margin-top:286.25pt;width:470pt;height:329.2pt;z-index:251664384;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" stroked="f">
                <v:textbox inset="0,0,0,0">
                  <w:txbxContent>
                    <w:p w:rsidR="00E30B38" w:rsidRDefault="00E30B38">
                      <w:pPr>
                        <w:pStyle w:val="aff0"/>
                        <w:rPr>
                          <w:bCs/>
                        </w:rPr>
                      </w:pPr>
                    </w:p>
                    <w:p w:rsidR="00E30B38" w:rsidRDefault="00E30B38">
                      <w:pPr>
                        <w:snapToGrid w:val="0"/>
                        <w:spacing w:line="360" w:lineRule="auto"/>
                        <w:jc w:val="center"/>
                        <w:rPr>
                          <w:rFonts w:ascii="黑体" w:eastAsia="黑体"/>
                          <w:bCs/>
                          <w:kern w:val="0"/>
                          <w:sz w:val="52"/>
                        </w:rPr>
                      </w:pPr>
                      <w:r>
                        <w:rPr>
                          <w:rFonts w:ascii="黑体" w:eastAsia="黑体" w:hint="eastAsia"/>
                          <w:bCs/>
                          <w:kern w:val="0"/>
                          <w:sz w:val="52"/>
                        </w:rPr>
                        <w:t>稀土沉淀智能控制技术规范</w:t>
                      </w:r>
                    </w:p>
                    <w:p w:rsidR="00E30B38" w:rsidRDefault="00E30B38">
                      <w:pPr>
                        <w:snapToGrid w:val="0"/>
                        <w:spacing w:line="360" w:lineRule="auto"/>
                        <w:jc w:val="center"/>
                        <w:rPr>
                          <w:sz w:val="32"/>
                          <w:szCs w:val="32"/>
                        </w:rPr>
                      </w:pPr>
                      <w:r>
                        <w:rPr>
                          <w:sz w:val="32"/>
                          <w:szCs w:val="32"/>
                        </w:rPr>
                        <w:t>Technical specification for intelligent control of rare earth precipitation</w:t>
                      </w:r>
                    </w:p>
                    <w:p w:rsidR="00E30B38" w:rsidRDefault="00E30B38">
                      <w:pPr>
                        <w:pStyle w:val="aff1"/>
                      </w:pPr>
                      <w:r>
                        <w:rPr>
                          <w:rFonts w:hint="eastAsia"/>
                        </w:rPr>
                        <w:t>(预审稿)</w:t>
                      </w:r>
                    </w:p>
                    <w:p w:rsidR="00E30B38" w:rsidRDefault="00E30B38">
                      <w:pPr>
                        <w:pStyle w:val="aff2"/>
                      </w:pPr>
                    </w:p>
                  </w:txbxContent>
                </v:textbox>
                <w10:wrap anchorx="margin" anchory="margin"/>
                <w10:anchorlock/>
              </v:rect>
            </w:pict>
          </mc:Fallback>
        </mc:AlternateContent>
      </w:r>
      <w:r>
        <w:rPr>
          <w:noProof/>
          <w:w w:val="100"/>
        </w:rPr>
        <mc:AlternateContent>
          <mc:Choice Requires="wps">
            <w:drawing>
              <wp:anchor distT="0" distB="0" distL="0" distR="0" simplePos="0" relativeHeight="251665408" behindDoc="0" locked="1" layoutInCell="1" allowOverlap="1">
                <wp:simplePos x="0" y="0"/>
                <wp:positionH relativeFrom="margin">
                  <wp:posOffset>2880360</wp:posOffset>
                </wp:positionH>
                <wp:positionV relativeFrom="margin">
                  <wp:posOffset>1824355</wp:posOffset>
                </wp:positionV>
                <wp:extent cx="6155690" cy="770255"/>
                <wp:effectExtent l="0" t="0" r="0" b="0"/>
                <wp:wrapNone/>
                <wp:docPr id="1032" name="文本框 5"/>
                <wp:cNvGraphicFramePr/>
                <a:graphic xmlns:a="http://schemas.openxmlformats.org/drawingml/2006/main">
                  <a:graphicData uri="http://schemas.microsoft.com/office/word/2010/wordprocessingShape">
                    <wps:wsp>
                      <wps:cNvSpPr/>
                      <wps:spPr>
                        <a:xfrm>
                          <a:off x="0" y="0"/>
                          <a:ext cx="6156000" cy="770400"/>
                        </a:xfrm>
                        <a:prstGeom prst="rect">
                          <a:avLst/>
                        </a:prstGeom>
                        <a:solidFill>
                          <a:srgbClr val="FFFFFF"/>
                        </a:solidFill>
                        <a:ln>
                          <a:noFill/>
                        </a:ln>
                      </wps:spPr>
                      <wps:txbx>
                        <w:txbxContent>
                          <w:p w:rsidR="00E30B38" w:rsidRDefault="00E30B38">
                            <w:pPr>
                              <w:pStyle w:val="20"/>
                              <w:spacing w:before="100" w:beforeAutospacing="1" w:after="100" w:afterAutospacing="1" w:line="0" w:lineRule="atLeast"/>
                              <w:rPr>
                                <w:rFonts w:eastAsia="黑体" w:hAnsi="黑体"/>
                                <w:sz w:val="21"/>
                                <w:szCs w:val="21"/>
                              </w:rPr>
                            </w:pPr>
                          </w:p>
                          <w:p w:rsidR="00E30B38" w:rsidRDefault="00E30B38">
                            <w:pPr>
                              <w:pStyle w:val="20"/>
                              <w:spacing w:before="0" w:line="0" w:lineRule="atLeast"/>
                            </w:pPr>
                          </w:p>
                          <w:p w:rsidR="00E30B38" w:rsidRDefault="00E30B38">
                            <w:pPr>
                              <w:pStyle w:val="20"/>
                              <w:spacing w:before="0" w:line="0" w:lineRule="atLeast"/>
                              <w:ind w:right="1120" w:firstLineChars="1050" w:firstLine="2940"/>
                              <w:jc w:val="both"/>
                            </w:pPr>
                            <w:r>
                              <w:rPr>
                                <w:rFonts w:hint="eastAsia"/>
                              </w:rPr>
                              <w:t>XB/T xxxx-202x</w:t>
                            </w:r>
                          </w:p>
                        </w:txbxContent>
                      </wps:txbx>
                      <wps:bodyPr vert="horz" wrap="square" lIns="0" tIns="0" rIns="0" bIns="0" anchor="t" upright="1">
                        <a:noAutofit/>
                      </wps:bodyPr>
                    </wps:wsp>
                  </a:graphicData>
                </a:graphic>
              </wp:anchor>
            </w:drawing>
          </mc:Choice>
          <mc:Fallback>
            <w:pict>
              <v:rect id="文本框 5" o:spid="_x0000_s1031" style="position:absolute;left:0;text-align:left;margin-left:226.8pt;margin-top:143.65pt;width:484.7pt;height:60.65pt;z-index:251665408;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" stroked="f">
                <v:textbox inset="0,0,0,0">
                  <w:txbxContent>
                    <w:p w:rsidR="00E30B38" w:rsidRDefault="00E30B38">
                      <w:pPr>
                        <w:pStyle w:val="20"/>
                        <w:spacing w:before="100" w:beforeAutospacing="1" w:after="100" w:afterAutospacing="1" w:line="0" w:lineRule="atLeast"/>
                        <w:rPr>
                          <w:rFonts w:eastAsia="黑体" w:hAnsi="黑体"/>
                          <w:sz w:val="21"/>
                          <w:szCs w:val="21"/>
                        </w:rPr>
                      </w:pPr>
                    </w:p>
                    <w:p w:rsidR="00E30B38" w:rsidRDefault="00E30B38">
                      <w:pPr>
                        <w:pStyle w:val="20"/>
                        <w:spacing w:before="0" w:line="0" w:lineRule="atLeast"/>
                      </w:pPr>
                    </w:p>
                    <w:p w:rsidR="00E30B38" w:rsidRDefault="00E30B38">
                      <w:pPr>
                        <w:pStyle w:val="20"/>
                        <w:spacing w:before="0" w:line="0" w:lineRule="atLeast"/>
                        <w:ind w:right="1120" w:firstLineChars="1050" w:firstLine="2940"/>
                        <w:jc w:val="both"/>
                      </w:pPr>
                      <w:r>
                        <w:rPr>
                          <w:rFonts w:hint="eastAsia"/>
                        </w:rPr>
                        <w:t>XB/T xxxx-202x</w:t>
                      </w:r>
                    </w:p>
                  </w:txbxContent>
                </v:textbox>
                <w10:wrap anchorx="margin" anchory="margin"/>
                <w10:anchorlock/>
              </v:rect>
            </w:pict>
          </mc:Fallback>
        </mc:AlternateContent>
      </w:r>
      <w:r>
        <w:rPr>
          <w:noProof/>
          <w:w w:val="100"/>
        </w:rPr>
        <mc:AlternateContent>
          <mc:Choice Requires="wps">
            <w:drawing>
              <wp:anchor distT="0" distB="0" distL="0" distR="0" simplePos="0" relativeHeight="251668480" behindDoc="0" locked="1" layoutInCell="1" allowOverlap="1">
                <wp:simplePos x="0" y="0"/>
                <wp:positionH relativeFrom="margin">
                  <wp:posOffset>0</wp:posOffset>
                </wp:positionH>
                <wp:positionV relativeFrom="margin">
                  <wp:posOffset>1360805</wp:posOffset>
                </wp:positionV>
                <wp:extent cx="6120130" cy="392430"/>
                <wp:effectExtent l="0" t="0" r="0" b="8255"/>
                <wp:wrapTopAndBottom/>
                <wp:docPr id="1033" name="文本框 12"/>
                <wp:cNvGraphicFramePr/>
                <a:graphic xmlns:a="http://schemas.openxmlformats.org/drawingml/2006/main">
                  <a:graphicData uri="http://schemas.microsoft.com/office/word/2010/wordprocessingShape">
                    <wps:wsp>
                      <wps:cNvSpPr/>
                      <wps:spPr>
                        <a:xfrm>
                          <a:off x="0" y="0"/>
                          <a:ext cx="6120000" cy="392400"/>
                        </a:xfrm>
                        <a:prstGeom prst="rect">
                          <a:avLst/>
                        </a:prstGeom>
                        <a:solidFill>
                          <a:srgbClr val="FFFFFF"/>
                        </a:solidFill>
                        <a:ln>
                          <a:noFill/>
                        </a:ln>
                      </wps:spPr>
                      <wps:txbx>
                        <w:txbxContent>
                          <w:p w:rsidR="00E30B38" w:rsidRDefault="00E30B38">
                            <w:pPr>
                              <w:pStyle w:val="aff3"/>
                            </w:pPr>
                            <w:r>
                              <w:rPr>
                                <w:rFonts w:hint="eastAsia"/>
                              </w:rPr>
                              <w:t>中华人民共和国稀土行业标准</w:t>
                            </w:r>
                          </w:p>
                          <w:p w:rsidR="00E30B38" w:rsidRDefault="00E30B38">
                            <w:pPr>
                              <w:pStyle w:val="aff4"/>
                            </w:pPr>
                            <w:r>
                              <w:rPr>
                                <w:rFonts w:hint="eastAsia"/>
                              </w:rPr>
                              <w:t>标准</w:t>
                            </w:r>
                          </w:p>
                        </w:txbxContent>
                      </wps:txbx>
                      <wps:bodyPr vert="horz" wrap="square" lIns="0" tIns="0" rIns="0" bIns="0" anchor="t" upright="1">
                        <a:noAutofit/>
                      </wps:bodyPr>
                    </wps:wsp>
                  </a:graphicData>
                </a:graphic>
              </wp:anchor>
            </w:drawing>
          </mc:Choice>
          <mc:Fallback>
            <w:pict>
              <v:rect id="文本框 12" o:spid="_x0000_s1032" style="position:absolute;left:0;text-align:left;margin-left:0;margin-top:107.15pt;width:481.9pt;height:30.9pt;z-index:25166848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" stroked="f">
                <v:textbox inset="0,0,0,0">
                  <w:txbxContent>
                    <w:p w:rsidR="00E30B38" w:rsidRDefault="00E30B38">
                      <w:pPr>
                        <w:pStyle w:val="aff3"/>
                      </w:pPr>
                      <w:r>
                        <w:rPr>
                          <w:rFonts w:hint="eastAsia"/>
                        </w:rPr>
                        <w:t>中华人民共和国稀土行业标准</w:t>
                      </w:r>
                    </w:p>
                    <w:p w:rsidR="00E30B38" w:rsidRDefault="00E30B38">
                      <w:pPr>
                        <w:pStyle w:val="aff4"/>
                      </w:pPr>
                      <w:r>
                        <w:rPr>
                          <w:rFonts w:hint="eastAsia"/>
                        </w:rPr>
                        <w:t>标准</w:t>
                      </w:r>
                    </w:p>
                  </w:txbxContent>
                </v:textbox>
                <w10:wrap type="topAndBottom" anchorx="margin" anchory="margin"/>
                <w10:anchorlock/>
              </v:rect>
            </w:pict>
          </mc:Fallback>
        </mc:AlternateContent>
      </w:r>
      <w:r>
        <w:rPr>
          <w:noProof/>
          <w:w w:val="100"/>
        </w:rPr>
        <mc:AlternateContent>
          <mc:Choice Requires="wps">
            <w:drawing>
              <wp:anchor distT="0" distB="0" distL="0" distR="0" simplePos="0" relativeHeight="251666432" behindDoc="0" locked="1" layoutInCell="1" allowOverlap="1">
                <wp:simplePos x="0" y="0"/>
                <wp:positionH relativeFrom="margin">
                  <wp:posOffset>-4715510</wp:posOffset>
                </wp:positionH>
                <wp:positionV relativeFrom="margin">
                  <wp:posOffset>-389890</wp:posOffset>
                </wp:positionV>
                <wp:extent cx="1365885" cy="657860"/>
                <wp:effectExtent l="0" t="0" r="5715" b="12700"/>
                <wp:wrapNone/>
                <wp:docPr id="1034" name="文本框 13"/>
                <wp:cNvGraphicFramePr/>
                <a:graphic xmlns:a="http://schemas.openxmlformats.org/drawingml/2006/main">
                  <a:graphicData uri="http://schemas.microsoft.com/office/word/2010/wordprocessingShape">
                    <wps:wsp>
                      <wps:cNvSpPr/>
                      <wps:spPr>
                        <a:xfrm>
                          <a:off x="0" y="0"/>
                          <a:ext cx="1365885" cy="657860"/>
                        </a:xfrm>
                        <a:prstGeom prst="rect">
                          <a:avLst/>
                        </a:prstGeom>
                        <a:solidFill>
                          <a:srgbClr val="FFFFFF"/>
                        </a:solidFill>
                        <a:ln>
                          <a:noFill/>
                        </a:ln>
                      </wps:spPr>
                      <wps:txbx>
                        <w:txbxContent>
                          <w:p w:rsidR="00E30B38" w:rsidRDefault="00E30B38">
                            <w:pPr>
                              <w:pStyle w:val="af8"/>
                              <w:rPr>
                                <w:rFonts w:hAnsi="黑体"/>
                              </w:rPr>
                            </w:pPr>
                            <w:r>
                              <w:rPr>
                                <w:rFonts w:hAnsi="黑体"/>
                              </w:rPr>
                              <w:t>ICS. 7</w:t>
                            </w:r>
                            <w:r>
                              <w:rPr>
                                <w:rFonts w:hAnsi="黑体" w:hint="eastAsia"/>
                              </w:rPr>
                              <w:t>7.120.99</w:t>
                            </w:r>
                          </w:p>
                          <w:p w:rsidR="00E30B38" w:rsidRDefault="00E30B38">
                            <w:pPr>
                              <w:pStyle w:val="af8"/>
                              <w:rPr>
                                <w:rFonts w:hAnsi="黑体"/>
                              </w:rPr>
                            </w:pPr>
                            <w:r>
                              <w:rPr>
                                <w:rFonts w:hAnsi="黑体" w:hint="eastAsia"/>
                              </w:rPr>
                              <w:t>CCS H 65</w:t>
                            </w:r>
                          </w:p>
                          <w:p w:rsidR="00E30B38" w:rsidRDefault="00E30B38">
                            <w:pPr>
                              <w:pStyle w:val="af8"/>
                            </w:pPr>
                          </w:p>
                        </w:txbxContent>
                      </wps:txbx>
                      <wps:bodyPr vert="horz" wrap="square" lIns="0" tIns="0" rIns="0" bIns="0" anchor="t" upright="1">
                        <a:noAutofit/>
                      </wps:bodyPr>
                    </wps:wsp>
                  </a:graphicData>
                </a:graphic>
              </wp:anchor>
            </w:drawing>
          </mc:Choice>
          <mc:Fallback>
            <w:pict>
              <v:rect id="文本框 13" o:spid="_x0000_s1033" style="position:absolute;left:0;text-align:left;margin-left:-371.3pt;margin-top:-30.7pt;width:107.55pt;height:51.8pt;z-index:251666432;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" stroked="f">
                <v:textbox inset="0,0,0,0">
                  <w:txbxContent>
                    <w:p w:rsidR="00E30B38" w:rsidRDefault="00E30B38">
                      <w:pPr>
                        <w:pStyle w:val="af8"/>
                        <w:rPr>
                          <w:rFonts w:hAnsi="黑体"/>
                        </w:rPr>
                      </w:pPr>
                      <w:r>
                        <w:rPr>
                          <w:rFonts w:hAnsi="黑体"/>
                        </w:rPr>
                        <w:t>ICS. 7</w:t>
                      </w:r>
                      <w:r>
                        <w:rPr>
                          <w:rFonts w:hAnsi="黑体" w:hint="eastAsia"/>
                        </w:rPr>
                        <w:t>7.120.99</w:t>
                      </w:r>
                    </w:p>
                    <w:p w:rsidR="00E30B38" w:rsidRDefault="00E30B38">
                      <w:pPr>
                        <w:pStyle w:val="af8"/>
                        <w:rPr>
                          <w:rFonts w:hAnsi="黑体"/>
                        </w:rPr>
                      </w:pPr>
                      <w:r>
                        <w:rPr>
                          <w:rFonts w:hAnsi="黑体" w:hint="eastAsia"/>
                        </w:rPr>
                        <w:t>CCS H 65</w:t>
                      </w:r>
                    </w:p>
                    <w:p w:rsidR="00E30B38" w:rsidRDefault="00E30B38">
                      <w:pPr>
                        <w:pStyle w:val="af8"/>
                      </w:pPr>
                    </w:p>
                  </w:txbxContent>
                </v:textbox>
                <w10:wrap anchorx="margin" anchory="margin"/>
                <w10:anchorlock/>
              </v:rect>
            </w:pict>
          </mc:Fallback>
        </mc:AlternateContent>
      </w:r>
      <w:r>
        <w:rPr>
          <w:sz w:val="144"/>
          <w:szCs w:val="144"/>
        </w:rPr>
        <w:t>XB</w:t>
      </w:r>
    </w:p>
    <w:sdt>
      <w:sdtPr>
        <w:rPr>
          <w:rFonts w:ascii="Times New Roman" w:eastAsia="宋体" w:hAnsi="Times New Roman" w:cs="Times New Roman"/>
          <w:color w:val="auto"/>
          <w:kern w:val="2"/>
          <w:sz w:val="21"/>
          <w:szCs w:val="20"/>
          <w:lang w:val="zh-CN"/>
        </w:rPr>
        <w:id w:val="142482709"/>
        <w:docPartObj>
          <w:docPartGallery w:val="Table of Contents"/>
          <w:docPartUnique/>
        </w:docPartObj>
      </w:sdtPr>
      <w:sdtEndPr>
        <w:rPr>
          <w:b/>
          <w:bCs/>
        </w:rPr>
      </w:sdtEndPr>
      <w:sdtContent>
        <w:p w:rsidR="00AB65DB" w:rsidRDefault="007C6B50">
          <w:pPr>
            <w:pStyle w:val="TOC1"/>
            <w:spacing w:beforeLines="100" w:before="312" w:afterLines="100" w:after="312"/>
            <w:jc w:val="center"/>
            <w:rPr>
              <w:rFonts w:ascii="黑体" w:eastAsia="黑体" w:hAnsi="黑体"/>
              <w:color w:val="auto"/>
              <w:sz w:val="28"/>
              <w:szCs w:val="28"/>
            </w:rPr>
          </w:pPr>
          <w:r>
            <w:rPr>
              <w:rFonts w:ascii="黑体" w:eastAsia="黑体" w:hAnsi="黑体"/>
              <w:color w:val="auto"/>
              <w:sz w:val="28"/>
              <w:szCs w:val="28"/>
              <w:lang w:val="zh-CN"/>
            </w:rPr>
            <w:t>目</w:t>
          </w:r>
          <w:r>
            <w:rPr>
              <w:rFonts w:ascii="黑体" w:eastAsia="黑体" w:hAnsi="黑体" w:hint="eastAsia"/>
              <w:color w:val="auto"/>
              <w:sz w:val="28"/>
              <w:szCs w:val="28"/>
              <w:lang w:val="zh-CN"/>
            </w:rPr>
            <w:t xml:space="preserve">    次</w:t>
          </w:r>
        </w:p>
        <w:p w:rsidR="00AB65DB" w:rsidRDefault="007C6B50">
          <w:pPr>
            <w:pStyle w:val="2"/>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"1-3" \h \z \u </w:instrText>
          </w:r>
          <w:r>
            <w:fldChar w:fldCharType="separate"/>
          </w:r>
          <w:hyperlink w:anchor="_Toc162717646" w:history="1">
            <w:r>
              <w:rPr>
                <w:rStyle w:val="af0"/>
                <w:bCs/>
              </w:rPr>
              <w:t>前</w:t>
            </w:r>
            <w:r>
              <w:rPr>
                <w:rStyle w:val="af0"/>
                <w:bCs/>
              </w:rPr>
              <w:t xml:space="preserve">    </w:t>
            </w:r>
            <w:r>
              <w:rPr>
                <w:rStyle w:val="af0"/>
                <w:bCs/>
              </w:rPr>
              <w:t>言</w:t>
            </w:r>
            <w:r>
              <w:tab/>
            </w:r>
            <w:r>
              <w:fldChar w:fldCharType="begin"/>
            </w:r>
            <w:r>
              <w:instrText xml:space="preserve"> PAGEREF _Toc162717646 \h </w:instrText>
            </w:r>
            <w:r>
              <w:fldChar w:fldCharType="separate"/>
            </w:r>
            <w:r>
              <w:t>3</w:t>
            </w:r>
            <w:r>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48" w:history="1">
            <w:r w:rsidR="007C6B50">
              <w:rPr>
                <w:rStyle w:val="af0"/>
                <w:rFonts w:hAnsi="黑体"/>
              </w:rPr>
              <w:t xml:space="preserve">1  </w:t>
            </w:r>
            <w:r w:rsidR="007C6B50">
              <w:rPr>
                <w:rStyle w:val="af0"/>
              </w:rPr>
              <w:t>范围</w:t>
            </w:r>
            <w:r w:rsidR="007C6B50">
              <w:tab/>
            </w:r>
            <w:r w:rsidR="007C6B50">
              <w:fldChar w:fldCharType="begin"/>
            </w:r>
            <w:r w:rsidR="007C6B50">
              <w:instrText xml:space="preserve"> PAGEREF _Toc162717648 \h </w:instrText>
            </w:r>
            <w:r w:rsidR="007C6B50">
              <w:fldChar w:fldCharType="separate"/>
            </w:r>
            <w:r w:rsidR="007C6B50">
              <w:t>4</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49" w:history="1">
            <w:r w:rsidR="007C6B50">
              <w:rPr>
                <w:rStyle w:val="af0"/>
                <w:rFonts w:hAnsi="黑体"/>
              </w:rPr>
              <w:t>2</w:t>
            </w:r>
            <w:r w:rsidR="007C6B50">
              <w:rPr>
                <w:rStyle w:val="af0"/>
              </w:rPr>
              <w:t xml:space="preserve">  </w:t>
            </w:r>
            <w:r w:rsidR="007C6B50">
              <w:rPr>
                <w:rStyle w:val="af0"/>
              </w:rPr>
              <w:t>规范性引用文件</w:t>
            </w:r>
            <w:r w:rsidR="007C6B50">
              <w:tab/>
            </w:r>
            <w:r w:rsidR="007C6B50">
              <w:fldChar w:fldCharType="begin"/>
            </w:r>
            <w:r w:rsidR="007C6B50">
              <w:instrText xml:space="preserve"> PAGEREF _Toc162717649 \h </w:instrText>
            </w:r>
            <w:r w:rsidR="007C6B50">
              <w:fldChar w:fldCharType="separate"/>
            </w:r>
            <w:r w:rsidR="007C6B50">
              <w:t>4</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50" w:history="1">
            <w:r w:rsidR="007C6B50">
              <w:rPr>
                <w:rStyle w:val="af0"/>
                <w:rFonts w:hAnsi="黑体"/>
              </w:rPr>
              <w:t xml:space="preserve">3  </w:t>
            </w:r>
            <w:r w:rsidR="007C6B50">
              <w:rPr>
                <w:rStyle w:val="af0"/>
                <w:rFonts w:hAnsi="黑体"/>
              </w:rPr>
              <w:t>术语和定义</w:t>
            </w:r>
            <w:r w:rsidR="007C6B50">
              <w:tab/>
            </w:r>
            <w:r w:rsidR="007C6B50">
              <w:fldChar w:fldCharType="begin"/>
            </w:r>
            <w:r w:rsidR="007C6B50">
              <w:instrText xml:space="preserve"> PAGEREF _Toc162717650 \h </w:instrText>
            </w:r>
            <w:r w:rsidR="007C6B50">
              <w:fldChar w:fldCharType="separate"/>
            </w:r>
            <w:r w:rsidR="007C6B50">
              <w:t>4</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51" w:history="1">
            <w:r w:rsidR="007C6B50">
              <w:rPr>
                <w:rStyle w:val="af0"/>
                <w:rFonts w:hAnsi="黑体"/>
              </w:rPr>
              <w:t xml:space="preserve">4  </w:t>
            </w:r>
            <w:r w:rsidR="007C6B50">
              <w:rPr>
                <w:rStyle w:val="af0"/>
                <w:rFonts w:hAnsi="黑体"/>
              </w:rPr>
              <w:t>缩略语</w:t>
            </w:r>
            <w:r w:rsidR="007C6B50">
              <w:tab/>
            </w:r>
            <w:r w:rsidR="007C6B50">
              <w:fldChar w:fldCharType="begin"/>
            </w:r>
            <w:r w:rsidR="007C6B50">
              <w:instrText xml:space="preserve"> PAGEREF _Toc162717651 \h </w:instrText>
            </w:r>
            <w:r w:rsidR="007C6B50">
              <w:fldChar w:fldCharType="separate"/>
            </w:r>
            <w:r w:rsidR="007C6B50">
              <w:t>5</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52" w:history="1">
            <w:r w:rsidR="007C6B50">
              <w:rPr>
                <w:rStyle w:val="af0"/>
                <w:rFonts w:hAnsi="黑体"/>
              </w:rPr>
              <w:t xml:space="preserve">5  </w:t>
            </w:r>
            <w:r w:rsidR="007C6B50">
              <w:rPr>
                <w:rStyle w:val="af0"/>
                <w:rFonts w:hAnsi="黑体"/>
              </w:rPr>
              <w:t>总体要求</w:t>
            </w:r>
            <w:r w:rsidR="007C6B50">
              <w:tab/>
            </w:r>
            <w:r w:rsidR="007C6B50">
              <w:fldChar w:fldCharType="begin"/>
            </w:r>
            <w:r w:rsidR="007C6B50">
              <w:instrText xml:space="preserve"> PAGEREF _Toc162717652 \h </w:instrText>
            </w:r>
            <w:r w:rsidR="007C6B50">
              <w:fldChar w:fldCharType="separate"/>
            </w:r>
            <w:r w:rsidR="007C6B50">
              <w:t>6</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53" w:history="1">
            <w:r w:rsidR="007C6B50">
              <w:rPr>
                <w:rStyle w:val="af0"/>
                <w:rFonts w:hAnsi="黑体"/>
              </w:rPr>
              <w:t xml:space="preserve">6  </w:t>
            </w:r>
            <w:r w:rsidR="007C6B50">
              <w:rPr>
                <w:rStyle w:val="af0"/>
                <w:rFonts w:hAnsi="黑体"/>
              </w:rPr>
              <w:t>工艺要求</w:t>
            </w:r>
            <w:r w:rsidR="007C6B50">
              <w:tab/>
            </w:r>
            <w:r w:rsidR="007C6B50">
              <w:fldChar w:fldCharType="begin"/>
            </w:r>
            <w:r w:rsidR="007C6B50">
              <w:instrText xml:space="preserve"> PAGEREF _Toc162717653 \h </w:instrText>
            </w:r>
            <w:r w:rsidR="007C6B50">
              <w:fldChar w:fldCharType="separate"/>
            </w:r>
            <w:r w:rsidR="007C6B50">
              <w:t>6</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54" w:history="1">
            <w:r w:rsidR="007C6B50">
              <w:rPr>
                <w:rStyle w:val="af0"/>
                <w:rFonts w:hAnsi="黑体"/>
              </w:rPr>
              <w:t xml:space="preserve">6.1 </w:t>
            </w:r>
            <w:r w:rsidR="007C6B50">
              <w:rPr>
                <w:rStyle w:val="af0"/>
                <w:rFonts w:hAnsi="黑体"/>
              </w:rPr>
              <w:t>基本要求</w:t>
            </w:r>
            <w:r w:rsidR="007C6B50">
              <w:tab/>
            </w:r>
            <w:r w:rsidR="007C6B50">
              <w:fldChar w:fldCharType="begin"/>
            </w:r>
            <w:r w:rsidR="007C6B50">
              <w:instrText xml:space="preserve"> PAGEREF _Toc162717654 \h </w:instrText>
            </w:r>
            <w:r w:rsidR="007C6B50">
              <w:fldChar w:fldCharType="separate"/>
            </w:r>
            <w:r w:rsidR="007C6B50">
              <w:t>6</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55" w:history="1">
            <w:r w:rsidR="007C6B50">
              <w:rPr>
                <w:rStyle w:val="af0"/>
                <w:rFonts w:hAnsi="黑体"/>
              </w:rPr>
              <w:t xml:space="preserve">6.2 </w:t>
            </w:r>
            <w:r w:rsidR="007C6B50">
              <w:rPr>
                <w:rStyle w:val="af0"/>
                <w:rFonts w:hAnsi="黑体"/>
              </w:rPr>
              <w:t>原料供给控制单元</w:t>
            </w:r>
            <w:r w:rsidR="007C6B50">
              <w:tab/>
            </w:r>
            <w:r w:rsidR="007C6B50">
              <w:fldChar w:fldCharType="begin"/>
            </w:r>
            <w:r w:rsidR="007C6B50">
              <w:instrText xml:space="preserve"> PAGEREF _Toc162717655 \h </w:instrText>
            </w:r>
            <w:r w:rsidR="007C6B50">
              <w:fldChar w:fldCharType="separate"/>
            </w:r>
            <w:r w:rsidR="007C6B50">
              <w:t>6</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56" w:history="1">
            <w:r w:rsidR="007C6B50">
              <w:rPr>
                <w:rStyle w:val="af0"/>
                <w:rFonts w:hAnsi="黑体"/>
              </w:rPr>
              <w:t xml:space="preserve">6.3 </w:t>
            </w:r>
            <w:r w:rsidR="007C6B50">
              <w:rPr>
                <w:rStyle w:val="af0"/>
                <w:rFonts w:hAnsi="黑体"/>
              </w:rPr>
              <w:t>沉淀剂供给控制单元</w:t>
            </w:r>
            <w:r w:rsidR="007C6B50">
              <w:tab/>
            </w:r>
            <w:r w:rsidR="007C6B50">
              <w:fldChar w:fldCharType="begin"/>
            </w:r>
            <w:r w:rsidR="007C6B50">
              <w:instrText xml:space="preserve"> PAGEREF _Toc162717656 \h </w:instrText>
            </w:r>
            <w:r w:rsidR="007C6B50">
              <w:fldChar w:fldCharType="separate"/>
            </w:r>
            <w:r w:rsidR="007C6B50">
              <w:t>7</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57" w:history="1">
            <w:r w:rsidR="007C6B50">
              <w:rPr>
                <w:rStyle w:val="af0"/>
                <w:rFonts w:hAnsi="黑体"/>
              </w:rPr>
              <w:t xml:space="preserve">6.4 </w:t>
            </w:r>
            <w:r w:rsidR="007C6B50">
              <w:rPr>
                <w:rStyle w:val="af0"/>
              </w:rPr>
              <w:t>沉淀过程控制单元</w:t>
            </w:r>
            <w:r w:rsidR="007C6B50">
              <w:tab/>
            </w:r>
            <w:r w:rsidR="007C6B50">
              <w:fldChar w:fldCharType="begin"/>
            </w:r>
            <w:r w:rsidR="007C6B50">
              <w:instrText xml:space="preserve"> PAGEREF _Toc162717657 \h </w:instrText>
            </w:r>
            <w:r w:rsidR="007C6B50">
              <w:fldChar w:fldCharType="separate"/>
            </w:r>
            <w:r w:rsidR="007C6B50">
              <w:t>7</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58" w:history="1">
            <w:r w:rsidR="007C6B50">
              <w:rPr>
                <w:rStyle w:val="af0"/>
                <w:rFonts w:hAnsi="黑体"/>
              </w:rPr>
              <w:t>6.5</w:t>
            </w:r>
            <w:r w:rsidR="007C6B50">
              <w:rPr>
                <w:rStyle w:val="af0"/>
                <w:rFonts w:hAnsi="黑体"/>
              </w:rPr>
              <w:t>过滤洗涤过程控制单元</w:t>
            </w:r>
            <w:r w:rsidR="007C6B50">
              <w:tab/>
            </w:r>
            <w:r w:rsidR="007C6B50">
              <w:fldChar w:fldCharType="begin"/>
            </w:r>
            <w:r w:rsidR="007C6B50">
              <w:instrText xml:space="preserve"> PAGEREF _Toc162717658 \h </w:instrText>
            </w:r>
            <w:r w:rsidR="007C6B50">
              <w:fldChar w:fldCharType="separate"/>
            </w:r>
            <w:r w:rsidR="007C6B50">
              <w:t>7</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59" w:history="1">
            <w:r w:rsidR="007C6B50">
              <w:rPr>
                <w:rStyle w:val="af0"/>
                <w:rFonts w:hAnsi="黑体"/>
              </w:rPr>
              <w:t xml:space="preserve">6.6 </w:t>
            </w:r>
            <w:r w:rsidR="007C6B50">
              <w:rPr>
                <w:rStyle w:val="af0"/>
                <w:rFonts w:hAnsi="黑体"/>
              </w:rPr>
              <w:t>废水和产品中转控制单元</w:t>
            </w:r>
            <w:r w:rsidR="007C6B50">
              <w:tab/>
            </w:r>
            <w:r w:rsidR="007C6B50">
              <w:fldChar w:fldCharType="begin"/>
            </w:r>
            <w:r w:rsidR="007C6B50">
              <w:instrText xml:space="preserve"> PAGEREF _Toc162717659 \h </w:instrText>
            </w:r>
            <w:r w:rsidR="007C6B50">
              <w:fldChar w:fldCharType="separate"/>
            </w:r>
            <w:r w:rsidR="007C6B50">
              <w:t>7</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60" w:history="1">
            <w:r w:rsidR="007C6B50">
              <w:rPr>
                <w:rStyle w:val="af0"/>
                <w:rFonts w:hAnsi="黑体"/>
              </w:rPr>
              <w:t xml:space="preserve">6.7 </w:t>
            </w:r>
            <w:r w:rsidR="007C6B50">
              <w:rPr>
                <w:rStyle w:val="af0"/>
                <w:rFonts w:hAnsi="黑体"/>
              </w:rPr>
              <w:t>视频监控控制单元</w:t>
            </w:r>
            <w:r w:rsidR="007C6B50">
              <w:tab/>
            </w:r>
            <w:r w:rsidR="007C6B50">
              <w:fldChar w:fldCharType="begin"/>
            </w:r>
            <w:r w:rsidR="007C6B50">
              <w:instrText xml:space="preserve"> PAGEREF _Toc162717660 \h </w:instrText>
            </w:r>
            <w:r w:rsidR="007C6B50">
              <w:fldChar w:fldCharType="separate"/>
            </w:r>
            <w:r w:rsidR="007C6B50">
              <w:t>8</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61" w:history="1">
            <w:r w:rsidR="007C6B50">
              <w:rPr>
                <w:rStyle w:val="af0"/>
                <w:rFonts w:hAnsi="黑体"/>
              </w:rPr>
              <w:t xml:space="preserve">7  </w:t>
            </w:r>
            <w:r w:rsidR="007C6B50">
              <w:rPr>
                <w:rStyle w:val="af0"/>
                <w:rFonts w:hAnsi="黑体"/>
              </w:rPr>
              <w:t>设备技术要求</w:t>
            </w:r>
            <w:r w:rsidR="007C6B50">
              <w:tab/>
            </w:r>
            <w:r w:rsidR="007C6B50">
              <w:fldChar w:fldCharType="begin"/>
            </w:r>
            <w:r w:rsidR="007C6B50">
              <w:instrText xml:space="preserve"> PAGEREF _Toc162717661 \h </w:instrText>
            </w:r>
            <w:r w:rsidR="007C6B50">
              <w:fldChar w:fldCharType="separate"/>
            </w:r>
            <w:r w:rsidR="007C6B50">
              <w:t>8</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62" w:history="1">
            <w:r w:rsidR="007C6B50">
              <w:rPr>
                <w:rStyle w:val="af0"/>
                <w:rFonts w:hAnsi="黑体"/>
              </w:rPr>
              <w:t xml:space="preserve">7.1 </w:t>
            </w:r>
            <w:r w:rsidR="007C6B50">
              <w:rPr>
                <w:rStyle w:val="af0"/>
                <w:rFonts w:hAnsi="黑体"/>
              </w:rPr>
              <w:t>设备仪表及接口要求</w:t>
            </w:r>
            <w:r w:rsidR="007C6B50">
              <w:tab/>
            </w:r>
            <w:r w:rsidR="007C6B50">
              <w:fldChar w:fldCharType="begin"/>
            </w:r>
            <w:r w:rsidR="007C6B50">
              <w:instrText xml:space="preserve"> PAGEREF _Toc162717662 \h </w:instrText>
            </w:r>
            <w:r w:rsidR="007C6B50">
              <w:fldChar w:fldCharType="separate"/>
            </w:r>
            <w:r w:rsidR="007C6B50">
              <w:t>8</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63" w:history="1">
            <w:r w:rsidR="007C6B50">
              <w:rPr>
                <w:rStyle w:val="af0"/>
                <w:rFonts w:hAnsi="黑体"/>
              </w:rPr>
              <w:t xml:space="preserve">7.2 </w:t>
            </w:r>
            <w:r w:rsidR="007C6B50">
              <w:rPr>
                <w:rStyle w:val="af0"/>
                <w:rFonts w:hAnsi="黑体"/>
              </w:rPr>
              <w:t>视频监控设备的技术要求</w:t>
            </w:r>
            <w:r w:rsidR="007C6B50">
              <w:tab/>
            </w:r>
            <w:r w:rsidR="007C6B50">
              <w:fldChar w:fldCharType="begin"/>
            </w:r>
            <w:r w:rsidR="007C6B50">
              <w:instrText xml:space="preserve"> PAGEREF _Toc162717663 \h </w:instrText>
            </w:r>
            <w:r w:rsidR="007C6B50">
              <w:fldChar w:fldCharType="separate"/>
            </w:r>
            <w:r w:rsidR="007C6B50">
              <w:t>9</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64" w:history="1">
            <w:r w:rsidR="007C6B50">
              <w:rPr>
                <w:rStyle w:val="af0"/>
                <w:rFonts w:hAnsi="黑体"/>
              </w:rPr>
              <w:t>8</w:t>
            </w:r>
            <w:r w:rsidR="007C6B50">
              <w:rPr>
                <w:rStyle w:val="af0"/>
              </w:rPr>
              <w:t xml:space="preserve">  </w:t>
            </w:r>
            <w:r w:rsidR="007C6B50">
              <w:rPr>
                <w:rStyle w:val="af0"/>
              </w:rPr>
              <w:t>分散控制系统要求</w:t>
            </w:r>
            <w:r w:rsidR="007C6B50">
              <w:tab/>
            </w:r>
            <w:r w:rsidR="007C6B50">
              <w:fldChar w:fldCharType="begin"/>
            </w:r>
            <w:r w:rsidR="007C6B50">
              <w:instrText xml:space="preserve"> PAGEREF _Toc162717664 \h </w:instrText>
            </w:r>
            <w:r w:rsidR="007C6B50">
              <w:fldChar w:fldCharType="separate"/>
            </w:r>
            <w:r w:rsidR="007C6B50">
              <w:t>10</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65" w:history="1">
            <w:r w:rsidR="007C6B50">
              <w:rPr>
                <w:rStyle w:val="af0"/>
                <w:rFonts w:hAnsi="黑体"/>
              </w:rPr>
              <w:t xml:space="preserve">8.1 </w:t>
            </w:r>
            <w:r w:rsidR="007C6B50">
              <w:rPr>
                <w:rStyle w:val="af0"/>
                <w:rFonts w:hAnsi="黑体"/>
              </w:rPr>
              <w:t>设计原则</w:t>
            </w:r>
            <w:r w:rsidR="007C6B50">
              <w:tab/>
            </w:r>
            <w:r w:rsidR="007C6B50">
              <w:fldChar w:fldCharType="begin"/>
            </w:r>
            <w:r w:rsidR="007C6B50">
              <w:instrText xml:space="preserve"> PAGEREF _Toc162717665 \h </w:instrText>
            </w:r>
            <w:r w:rsidR="007C6B50">
              <w:fldChar w:fldCharType="separate"/>
            </w:r>
            <w:r w:rsidR="007C6B50">
              <w:t>10</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66" w:history="1">
            <w:r w:rsidR="007C6B50">
              <w:rPr>
                <w:rStyle w:val="af0"/>
                <w:rFonts w:hAnsi="黑体"/>
              </w:rPr>
              <w:t xml:space="preserve">8.2 </w:t>
            </w:r>
            <w:r w:rsidR="007C6B50">
              <w:rPr>
                <w:rStyle w:val="af0"/>
                <w:rFonts w:hAnsi="黑体"/>
              </w:rPr>
              <w:t>系统结构</w:t>
            </w:r>
            <w:r w:rsidR="007C6B50">
              <w:tab/>
            </w:r>
            <w:r w:rsidR="007C6B50">
              <w:fldChar w:fldCharType="begin"/>
            </w:r>
            <w:r w:rsidR="007C6B50">
              <w:instrText xml:space="preserve"> PAGEREF _Toc162717666 \h </w:instrText>
            </w:r>
            <w:r w:rsidR="007C6B50">
              <w:fldChar w:fldCharType="separate"/>
            </w:r>
            <w:r w:rsidR="007C6B50">
              <w:t>10</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67" w:history="1">
            <w:r w:rsidR="007C6B50">
              <w:rPr>
                <w:rStyle w:val="af0"/>
                <w:rFonts w:hAnsi="黑体"/>
              </w:rPr>
              <w:t xml:space="preserve">8.3 </w:t>
            </w:r>
            <w:r w:rsidR="007C6B50">
              <w:rPr>
                <w:rStyle w:val="af0"/>
                <w:rFonts w:hAnsi="黑体"/>
              </w:rPr>
              <w:t>网络结构</w:t>
            </w:r>
            <w:r w:rsidR="007C6B50">
              <w:tab/>
            </w:r>
            <w:r w:rsidR="007C6B50">
              <w:fldChar w:fldCharType="begin"/>
            </w:r>
            <w:r w:rsidR="007C6B50">
              <w:instrText xml:space="preserve"> PAGEREF _Toc162717667 \h </w:instrText>
            </w:r>
            <w:r w:rsidR="007C6B50">
              <w:fldChar w:fldCharType="separate"/>
            </w:r>
            <w:r w:rsidR="007C6B50">
              <w:t>11</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68" w:history="1">
            <w:r w:rsidR="007C6B50">
              <w:rPr>
                <w:rStyle w:val="af0"/>
                <w:rFonts w:hAnsi="黑体"/>
              </w:rPr>
              <w:t xml:space="preserve">8.4 </w:t>
            </w:r>
            <w:r w:rsidR="007C6B50">
              <w:rPr>
                <w:rStyle w:val="af0"/>
                <w:rFonts w:hAnsi="黑体"/>
              </w:rPr>
              <w:t>分散控制系统功能要求</w:t>
            </w:r>
            <w:r w:rsidR="007C6B50">
              <w:tab/>
            </w:r>
            <w:r w:rsidR="007C6B50">
              <w:fldChar w:fldCharType="begin"/>
            </w:r>
            <w:r w:rsidR="007C6B50">
              <w:instrText xml:space="preserve"> PAGEREF _Toc162717668 \h </w:instrText>
            </w:r>
            <w:r w:rsidR="007C6B50">
              <w:fldChar w:fldCharType="separate"/>
            </w:r>
            <w:r w:rsidR="007C6B50">
              <w:t>12</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69" w:history="1">
            <w:r w:rsidR="007C6B50">
              <w:rPr>
                <w:rStyle w:val="af0"/>
                <w:rFonts w:hAnsi="黑体"/>
              </w:rPr>
              <w:t>9</w:t>
            </w:r>
            <w:r w:rsidR="007C6B50">
              <w:rPr>
                <w:rStyle w:val="af0"/>
                <w:rFonts w:hAnsi="黑体"/>
              </w:rPr>
              <w:t xml:space="preserve">　生产制造执行系统要求</w:t>
            </w:r>
            <w:r w:rsidR="007C6B50">
              <w:tab/>
            </w:r>
            <w:r w:rsidR="007C6B50">
              <w:fldChar w:fldCharType="begin"/>
            </w:r>
            <w:r w:rsidR="007C6B50">
              <w:instrText xml:space="preserve"> PAGEREF _Toc162717669 \h </w:instrText>
            </w:r>
            <w:r w:rsidR="007C6B50">
              <w:fldChar w:fldCharType="separate"/>
            </w:r>
            <w:r w:rsidR="007C6B50">
              <w:t>14</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70" w:history="1">
            <w:r w:rsidR="007C6B50">
              <w:rPr>
                <w:rStyle w:val="af0"/>
                <w:rFonts w:hAnsi="黑体"/>
              </w:rPr>
              <w:t xml:space="preserve">9.1 </w:t>
            </w:r>
            <w:r w:rsidR="007C6B50">
              <w:rPr>
                <w:rStyle w:val="af0"/>
                <w:rFonts w:hAnsi="黑体"/>
              </w:rPr>
              <w:t>生产计划过程</w:t>
            </w:r>
            <w:r w:rsidR="007C6B50">
              <w:tab/>
            </w:r>
            <w:r w:rsidR="007C6B50">
              <w:fldChar w:fldCharType="begin"/>
            </w:r>
            <w:r w:rsidR="007C6B50">
              <w:instrText xml:space="preserve"> PAGEREF _Toc162717670 \h </w:instrText>
            </w:r>
            <w:r w:rsidR="007C6B50">
              <w:fldChar w:fldCharType="separate"/>
            </w:r>
            <w:r w:rsidR="007C6B50">
              <w:t>14</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71" w:history="1">
            <w:r w:rsidR="007C6B50">
              <w:rPr>
                <w:rStyle w:val="af0"/>
                <w:rFonts w:hAnsi="黑体"/>
              </w:rPr>
              <w:t xml:space="preserve">9.2 </w:t>
            </w:r>
            <w:r w:rsidR="007C6B50">
              <w:rPr>
                <w:rStyle w:val="af0"/>
                <w:rFonts w:hAnsi="黑体"/>
              </w:rPr>
              <w:t>计划执行过程</w:t>
            </w:r>
            <w:r w:rsidR="007C6B50">
              <w:tab/>
            </w:r>
            <w:r w:rsidR="007C6B50">
              <w:fldChar w:fldCharType="begin"/>
            </w:r>
            <w:r w:rsidR="007C6B50">
              <w:instrText xml:space="preserve"> PAGEREF _Toc162717671 \h </w:instrText>
            </w:r>
            <w:r w:rsidR="007C6B50">
              <w:fldChar w:fldCharType="separate"/>
            </w:r>
            <w:r w:rsidR="007C6B50">
              <w:t>14</w:t>
            </w:r>
            <w:r w:rsidR="007C6B50">
              <w:fldChar w:fldCharType="end"/>
            </w:r>
          </w:hyperlink>
        </w:p>
        <w:p w:rsidR="00AB65DB" w:rsidRDefault="00984587">
          <w:pPr>
            <w:pStyle w:val="2"/>
            <w:tabs>
              <w:tab w:val="right" w:leader="dot" w:pos="9344"/>
            </w:tabs>
            <w:ind w:firstLineChars="100" w:firstLine="210"/>
            <w:rPr>
              <w:rFonts w:asciiTheme="minorHAnsi" w:eastAsiaTheme="minorEastAsia" w:hAnsiTheme="minorHAnsi" w:cstheme="minorBidi"/>
              <w:szCs w:val="22"/>
              <w14:ligatures w14:val="standardContextual"/>
            </w:rPr>
          </w:pPr>
          <w:hyperlink w:anchor="_Toc162717672" w:history="1">
            <w:r w:rsidR="007C6B50">
              <w:rPr>
                <w:rStyle w:val="af0"/>
                <w:rFonts w:hAnsi="黑体"/>
              </w:rPr>
              <w:t xml:space="preserve">9.3 </w:t>
            </w:r>
            <w:r w:rsidR="007C6B50">
              <w:rPr>
                <w:rStyle w:val="af0"/>
                <w:rFonts w:hAnsi="黑体"/>
              </w:rPr>
              <w:t>物流周转过程</w:t>
            </w:r>
            <w:r w:rsidR="007C6B50">
              <w:tab/>
            </w:r>
            <w:r w:rsidR="007C6B50">
              <w:fldChar w:fldCharType="begin"/>
            </w:r>
            <w:r w:rsidR="007C6B50">
              <w:instrText xml:space="preserve"> PAGEREF _Toc162717672 \h </w:instrText>
            </w:r>
            <w:r w:rsidR="007C6B50">
              <w:fldChar w:fldCharType="separate"/>
            </w:r>
            <w:r w:rsidR="007C6B50">
              <w:t>14</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73" w:history="1">
            <w:r w:rsidR="007C6B50">
              <w:rPr>
                <w:rStyle w:val="af0"/>
                <w:rFonts w:hAnsi="黑体"/>
              </w:rPr>
              <w:t>10</w:t>
            </w:r>
            <w:r w:rsidR="007C6B50">
              <w:rPr>
                <w:rStyle w:val="af0"/>
                <w:rFonts w:hAnsi="黑体"/>
              </w:rPr>
              <w:t xml:space="preserve">　产品质量追溯系统要求</w:t>
            </w:r>
            <w:r w:rsidR="007C6B50">
              <w:tab/>
            </w:r>
            <w:r w:rsidR="007C6B50">
              <w:fldChar w:fldCharType="begin"/>
            </w:r>
            <w:r w:rsidR="007C6B50">
              <w:instrText xml:space="preserve"> PAGEREF _Toc162717673 \h </w:instrText>
            </w:r>
            <w:r w:rsidR="007C6B50">
              <w:fldChar w:fldCharType="separate"/>
            </w:r>
            <w:r w:rsidR="007C6B50">
              <w:t>15</w:t>
            </w:r>
            <w:r w:rsidR="007C6B50">
              <w:fldChar w:fldCharType="end"/>
            </w:r>
          </w:hyperlink>
        </w:p>
        <w:p w:rsidR="00AB65DB" w:rsidRDefault="00984587">
          <w:pPr>
            <w:pStyle w:val="2"/>
            <w:tabs>
              <w:tab w:val="right" w:leader="dot" w:pos="9344"/>
            </w:tabs>
            <w:rPr>
              <w:rFonts w:asciiTheme="minorHAnsi" w:eastAsiaTheme="minorEastAsia" w:hAnsiTheme="minorHAnsi" w:cstheme="minorBidi"/>
              <w:szCs w:val="22"/>
              <w14:ligatures w14:val="standardContextual"/>
            </w:rPr>
          </w:pPr>
          <w:hyperlink w:anchor="_Toc162717674" w:history="1">
            <w:r w:rsidR="007C6B50">
              <w:rPr>
                <w:rStyle w:val="af0"/>
                <w:rFonts w:hAnsi="黑体"/>
              </w:rPr>
              <w:t>11</w:t>
            </w:r>
            <w:r w:rsidR="007C6B50">
              <w:rPr>
                <w:rStyle w:val="af0"/>
                <w:rFonts w:hAnsi="黑体"/>
              </w:rPr>
              <w:t xml:space="preserve">　系统安全</w:t>
            </w:r>
            <w:r w:rsidR="007C6B50">
              <w:tab/>
            </w:r>
            <w:r w:rsidR="007C6B50">
              <w:fldChar w:fldCharType="begin"/>
            </w:r>
            <w:r w:rsidR="007C6B50">
              <w:instrText xml:space="preserve"> PAGEREF _Toc162717674 \h </w:instrText>
            </w:r>
            <w:r w:rsidR="007C6B50">
              <w:fldChar w:fldCharType="separate"/>
            </w:r>
            <w:r w:rsidR="007C6B50">
              <w:t>15</w:t>
            </w:r>
            <w:r w:rsidR="007C6B50">
              <w:fldChar w:fldCharType="end"/>
            </w:r>
          </w:hyperlink>
        </w:p>
        <w:p w:rsidR="00AB65DB" w:rsidRDefault="007C6B50">
          <w:r>
            <w:rPr>
              <w:b/>
              <w:bCs/>
              <w:lang w:val="zh-CN"/>
            </w:rPr>
            <w:fldChar w:fldCharType="end"/>
          </w:r>
        </w:p>
      </w:sdtContent>
    </w:sdt>
    <w:p w:rsidR="00AB65DB" w:rsidRDefault="00AB65DB">
      <w:pPr>
        <w:spacing w:before="640" w:after="560" w:line="320" w:lineRule="exact"/>
        <w:jc w:val="center"/>
        <w:rPr>
          <w:rFonts w:eastAsia="黑体"/>
          <w:sz w:val="32"/>
        </w:rPr>
        <w:sectPr w:rsidR="00AB65DB">
          <w:headerReference w:type="default" r:id="rId13"/>
          <w:pgSz w:w="11906" w:h="16838"/>
          <w:pgMar w:top="1418" w:right="1134" w:bottom="1134" w:left="1418" w:header="964" w:footer="992" w:gutter="0"/>
          <w:cols w:space="425"/>
          <w:docGrid w:type="lines" w:linePitch="312"/>
        </w:sectPr>
      </w:pPr>
    </w:p>
    <w:p w:rsidR="00AB65DB" w:rsidRDefault="007C6B50">
      <w:pPr>
        <w:pStyle w:val="a1"/>
        <w:numPr>
          <w:ilvl w:val="0"/>
          <w:numId w:val="0"/>
        </w:numPr>
        <w:snapToGrid w:val="0"/>
        <w:spacing w:before="156" w:afterLines="100" w:after="312" w:line="360" w:lineRule="exact"/>
        <w:contextualSpacing/>
        <w:jc w:val="center"/>
        <w:rPr>
          <w:rFonts w:ascii="Times New Roman"/>
          <w:bCs/>
          <w:color w:val="000000"/>
          <w:sz w:val="32"/>
          <w:szCs w:val="32"/>
        </w:rPr>
      </w:pPr>
      <w:bookmarkStart w:id="0" w:name="_Toc162717646"/>
      <w:r>
        <w:rPr>
          <w:rFonts w:ascii="Times New Roman"/>
          <w:bCs/>
          <w:color w:val="000000"/>
          <w:sz w:val="32"/>
          <w:szCs w:val="32"/>
        </w:rPr>
        <w:lastRenderedPageBreak/>
        <w:t>前</w:t>
      </w:r>
      <w:r>
        <w:rPr>
          <w:rFonts w:ascii="Times New Roman"/>
          <w:bCs/>
          <w:color w:val="000000"/>
          <w:sz w:val="32"/>
          <w:szCs w:val="32"/>
        </w:rPr>
        <w:t xml:space="preserve">    </w:t>
      </w:r>
      <w:r>
        <w:rPr>
          <w:rFonts w:ascii="Times New Roman"/>
          <w:bCs/>
          <w:color w:val="000000"/>
          <w:sz w:val="32"/>
          <w:szCs w:val="32"/>
        </w:rPr>
        <w:t>言</w:t>
      </w:r>
      <w:bookmarkEnd w:id="0"/>
    </w:p>
    <w:p w:rsidR="00AB65DB" w:rsidRDefault="007C6B50">
      <w:pPr>
        <w:autoSpaceDE w:val="0"/>
        <w:autoSpaceDN w:val="0"/>
        <w:spacing w:line="360" w:lineRule="exact"/>
        <w:ind w:firstLineChars="200" w:firstLine="420"/>
        <w:contextualSpacing/>
      </w:pPr>
      <w:r>
        <w:rPr>
          <w:lang w:val="zh-CN"/>
        </w:rPr>
        <w:t>本</w:t>
      </w:r>
      <w:r>
        <w:t>文件</w:t>
      </w:r>
      <w:r>
        <w:rPr>
          <w:lang w:val="zh-CN"/>
        </w:rPr>
        <w:t>按照</w:t>
      </w:r>
      <w:r>
        <w:rPr>
          <w:lang w:val="zh-CN"/>
        </w:rPr>
        <w:t>GB/T 1.1-</w:t>
      </w:r>
      <w:r>
        <w:t>2020</w:t>
      </w:r>
      <w:r>
        <w:t>《标准化工作导则</w:t>
      </w:r>
      <w:r>
        <w:t xml:space="preserve"> </w:t>
      </w:r>
      <w:r>
        <w:t>第</w:t>
      </w:r>
      <w:r>
        <w:t>1</w:t>
      </w:r>
      <w:r>
        <w:t>部分：标准化文件的结构和起草规则》的规定起草</w:t>
      </w:r>
      <w:r>
        <w:rPr>
          <w:lang w:val="zh-CN"/>
        </w:rPr>
        <w:t>。</w:t>
      </w:r>
    </w:p>
    <w:p w:rsidR="00AB65DB" w:rsidRDefault="007C6B50">
      <w:pPr>
        <w:spacing w:line="360" w:lineRule="exact"/>
        <w:ind w:firstLineChars="200" w:firstLine="420"/>
        <w:contextualSpacing/>
        <w:rPr>
          <w:color w:val="000000"/>
        </w:rPr>
      </w:pPr>
      <w:r>
        <w:rPr>
          <w:color w:val="000000"/>
        </w:rPr>
        <w:t>请注意本文件的</w:t>
      </w:r>
      <w:r>
        <w:rPr>
          <w:rFonts w:hint="eastAsia"/>
          <w:color w:val="000000"/>
        </w:rPr>
        <w:t>有</w:t>
      </w:r>
      <w:r>
        <w:rPr>
          <w:color w:val="000000"/>
        </w:rPr>
        <w:t>些内容可能涉及专利。本文件的发布机构不承担识别专利的责任。</w:t>
      </w:r>
    </w:p>
    <w:p w:rsidR="00AB65DB" w:rsidRDefault="007C6B50">
      <w:pPr>
        <w:autoSpaceDE w:val="0"/>
        <w:autoSpaceDN w:val="0"/>
        <w:spacing w:line="360" w:lineRule="exact"/>
        <w:ind w:firstLineChars="200" w:firstLine="420"/>
        <w:contextualSpacing/>
        <w:rPr>
          <w:szCs w:val="21"/>
        </w:rPr>
      </w:pPr>
      <w:r>
        <w:rPr>
          <w:lang w:val="zh-CN"/>
        </w:rPr>
        <w:t>本</w:t>
      </w:r>
      <w:r>
        <w:rPr>
          <w:color w:val="000000"/>
        </w:rPr>
        <w:t>文件</w:t>
      </w:r>
      <w:r>
        <w:rPr>
          <w:lang w:val="zh-CN"/>
        </w:rPr>
        <w:t>由</w:t>
      </w:r>
      <w:r>
        <w:rPr>
          <w:szCs w:val="21"/>
        </w:rPr>
        <w:t>全国稀土标准化技术委员会（</w:t>
      </w:r>
      <w:r>
        <w:rPr>
          <w:szCs w:val="21"/>
        </w:rPr>
        <w:t>SAC/TC 229</w:t>
      </w:r>
      <w:r>
        <w:rPr>
          <w:szCs w:val="21"/>
        </w:rPr>
        <w:t>）提出并归口。</w:t>
      </w:r>
    </w:p>
    <w:p w:rsidR="006C4443" w:rsidRDefault="007C6B50" w:rsidP="006C4443">
      <w:pPr>
        <w:autoSpaceDE w:val="0"/>
        <w:autoSpaceDN w:val="0"/>
        <w:spacing w:line="360" w:lineRule="exact"/>
        <w:ind w:firstLineChars="200" w:firstLine="420"/>
        <w:contextualSpacing/>
        <w:rPr>
          <w:bCs/>
        </w:rPr>
      </w:pPr>
      <w:r>
        <w:rPr>
          <w:bCs/>
          <w:lang w:val="zh-CN"/>
        </w:rPr>
        <w:t>本</w:t>
      </w:r>
      <w:r>
        <w:rPr>
          <w:bCs/>
        </w:rPr>
        <w:t>文件</w:t>
      </w:r>
      <w:r>
        <w:rPr>
          <w:bCs/>
          <w:lang w:val="zh-CN"/>
        </w:rPr>
        <w:t>起草单位：中国北方稀土</w:t>
      </w:r>
      <w:r>
        <w:rPr>
          <w:bCs/>
          <w:lang w:val="zh-CN"/>
        </w:rPr>
        <w:t>(</w:t>
      </w:r>
      <w:r>
        <w:rPr>
          <w:bCs/>
          <w:lang w:val="zh-CN"/>
        </w:rPr>
        <w:t>集团</w:t>
      </w:r>
      <w:r>
        <w:rPr>
          <w:bCs/>
          <w:lang w:val="zh-CN"/>
        </w:rPr>
        <w:t>)</w:t>
      </w:r>
      <w:r>
        <w:rPr>
          <w:bCs/>
          <w:lang w:val="zh-CN"/>
        </w:rPr>
        <w:t>高科技股份有限公司</w:t>
      </w:r>
      <w:r>
        <w:rPr>
          <w:rFonts w:hint="eastAsia"/>
          <w:bCs/>
          <w:lang w:val="zh-CN"/>
        </w:rPr>
        <w:t>、</w:t>
      </w:r>
      <w:r w:rsidR="006C4443" w:rsidRPr="006C4443">
        <w:rPr>
          <w:rFonts w:hint="eastAsia"/>
          <w:bCs/>
          <w:lang w:val="zh-CN"/>
        </w:rPr>
        <w:t>包头华美稀土高科有限公司</w:t>
      </w:r>
      <w:r>
        <w:rPr>
          <w:rFonts w:hint="eastAsia"/>
          <w:bCs/>
          <w:lang w:val="zh-CN"/>
        </w:rPr>
        <w:t>、</w:t>
      </w:r>
      <w:r w:rsidR="006C4443" w:rsidRPr="006C4443">
        <w:rPr>
          <w:rFonts w:hint="eastAsia"/>
          <w:bCs/>
          <w:lang w:val="zh-CN"/>
        </w:rPr>
        <w:t>中国稀土集团资源科技股份有限公司</w:t>
      </w:r>
      <w:r w:rsidR="006C4443">
        <w:rPr>
          <w:rFonts w:hint="eastAsia"/>
          <w:bCs/>
          <w:lang w:val="zh-CN"/>
        </w:rPr>
        <w:t>、</w:t>
      </w:r>
      <w:r w:rsidR="006C4443" w:rsidRPr="006C4443">
        <w:rPr>
          <w:rFonts w:hint="eastAsia"/>
          <w:bCs/>
          <w:lang w:val="zh-CN"/>
        </w:rPr>
        <w:t>中稀金龙（长汀）稀土有限公司</w:t>
      </w:r>
      <w:r w:rsidR="006C4443">
        <w:rPr>
          <w:rFonts w:hint="eastAsia"/>
          <w:bCs/>
          <w:lang w:val="zh-CN"/>
        </w:rPr>
        <w:t>、</w:t>
      </w:r>
      <w:r w:rsidR="006C4443" w:rsidRPr="006C4443">
        <w:rPr>
          <w:rFonts w:hint="eastAsia"/>
          <w:bCs/>
          <w:lang w:val="zh-CN"/>
        </w:rPr>
        <w:t>虔东稀土集团股份有限公司</w:t>
      </w:r>
      <w:r w:rsidR="006C4443">
        <w:rPr>
          <w:rFonts w:hint="eastAsia"/>
          <w:bCs/>
          <w:lang w:val="zh-CN"/>
        </w:rPr>
        <w:t>、</w:t>
      </w:r>
      <w:r w:rsidR="006C4443" w:rsidRPr="006C4443">
        <w:rPr>
          <w:rFonts w:hint="eastAsia"/>
          <w:bCs/>
          <w:lang w:val="zh-CN"/>
        </w:rPr>
        <w:t>甘肃稀土新材料股份有限公司</w:t>
      </w:r>
      <w:r w:rsidR="006C4443">
        <w:rPr>
          <w:rFonts w:hint="eastAsia"/>
          <w:bCs/>
          <w:lang w:val="zh-CN"/>
        </w:rPr>
        <w:t>、</w:t>
      </w:r>
      <w:r w:rsidR="006C4443" w:rsidRPr="006C4443">
        <w:rPr>
          <w:rFonts w:hint="eastAsia"/>
          <w:bCs/>
          <w:lang w:val="zh-CN"/>
        </w:rPr>
        <w:t>包头稀土研究院</w:t>
      </w:r>
      <w:r w:rsidR="006C4443">
        <w:rPr>
          <w:rFonts w:hint="eastAsia"/>
          <w:bCs/>
          <w:lang w:val="zh-CN"/>
        </w:rPr>
        <w:t>、</w:t>
      </w:r>
      <w:r w:rsidR="006C4443" w:rsidRPr="006C4443">
        <w:rPr>
          <w:rFonts w:hint="eastAsia"/>
          <w:bCs/>
          <w:lang w:val="zh-CN"/>
        </w:rPr>
        <w:t>有研稀土新材料股份有限公司</w:t>
      </w:r>
      <w:r w:rsidR="006C4443">
        <w:rPr>
          <w:rFonts w:hint="eastAsia"/>
          <w:bCs/>
          <w:lang w:val="zh-CN"/>
        </w:rPr>
        <w:t>、</w:t>
      </w:r>
      <w:r w:rsidR="006C4443" w:rsidRPr="006C4443">
        <w:rPr>
          <w:rFonts w:hint="eastAsia"/>
          <w:bCs/>
          <w:lang w:val="zh-CN"/>
        </w:rPr>
        <w:t>中稀天马新材料科技股份有限公司</w:t>
      </w:r>
      <w:r w:rsidR="006C4443">
        <w:rPr>
          <w:rFonts w:hint="eastAsia"/>
          <w:bCs/>
          <w:lang w:val="zh-CN"/>
        </w:rPr>
        <w:t>、</w:t>
      </w:r>
      <w:r w:rsidR="006C4443" w:rsidRPr="006C4443">
        <w:rPr>
          <w:rFonts w:hint="eastAsia"/>
          <w:bCs/>
          <w:lang w:val="zh-CN"/>
        </w:rPr>
        <w:t>乐山玉润再生资源利用有限公司</w:t>
      </w:r>
      <w:r w:rsidR="006C4443">
        <w:rPr>
          <w:rFonts w:hint="eastAsia"/>
          <w:bCs/>
          <w:lang w:val="zh-CN"/>
        </w:rPr>
        <w:t>、</w:t>
      </w:r>
      <w:r w:rsidR="006C4443" w:rsidRPr="006C4443">
        <w:rPr>
          <w:rFonts w:hint="eastAsia"/>
          <w:bCs/>
          <w:lang w:val="zh-CN"/>
        </w:rPr>
        <w:t>中稀（寿光）资源科技有限公司</w:t>
      </w:r>
      <w:r w:rsidR="006C4443">
        <w:rPr>
          <w:rFonts w:hint="eastAsia"/>
          <w:bCs/>
          <w:lang w:val="zh-CN"/>
        </w:rPr>
        <w:t>、</w:t>
      </w:r>
      <w:r w:rsidR="006C4443" w:rsidRPr="006C4443">
        <w:rPr>
          <w:rFonts w:hint="eastAsia"/>
          <w:bCs/>
          <w:lang w:val="zh-CN"/>
        </w:rPr>
        <w:t>中稀江西稀土有限公司、吉安鑫泰科技有限公司、中稀（广西）金源稀土新材料有限公司</w:t>
      </w:r>
      <w:r w:rsidR="006C4443">
        <w:rPr>
          <w:rFonts w:hint="eastAsia"/>
          <w:bCs/>
          <w:lang w:val="zh-CN"/>
        </w:rPr>
        <w:t>、</w:t>
      </w:r>
      <w:r w:rsidR="006C4443" w:rsidRPr="006C4443">
        <w:rPr>
          <w:rFonts w:hint="eastAsia"/>
          <w:bCs/>
          <w:lang w:val="zh-CN"/>
        </w:rPr>
        <w:t>信丰县包钢新利稀土有限责任公司</w:t>
      </w:r>
      <w:r w:rsidR="006C4443">
        <w:rPr>
          <w:rFonts w:hint="eastAsia"/>
          <w:bCs/>
          <w:lang w:val="zh-CN"/>
        </w:rPr>
        <w:t>。</w:t>
      </w:r>
    </w:p>
    <w:p w:rsidR="00AB65DB" w:rsidRDefault="007C6B50">
      <w:pPr>
        <w:autoSpaceDE w:val="0"/>
        <w:autoSpaceDN w:val="0"/>
        <w:spacing w:line="360" w:lineRule="exact"/>
        <w:ind w:firstLineChars="200" w:firstLine="420"/>
        <w:contextualSpacing/>
        <w:jc w:val="left"/>
        <w:rPr>
          <w:bCs/>
        </w:rPr>
      </w:pPr>
      <w:r>
        <w:rPr>
          <w:bCs/>
          <w:lang w:val="zh-CN"/>
        </w:rPr>
        <w:t>本文件主要起草人：</w:t>
      </w:r>
      <w:r>
        <w:rPr>
          <w:bCs/>
        </w:rPr>
        <w:t xml:space="preserve"> </w:t>
      </w:r>
    </w:p>
    <w:p w:rsidR="00AB65DB" w:rsidRDefault="00AB65DB">
      <w:pPr>
        <w:autoSpaceDE w:val="0"/>
        <w:autoSpaceDN w:val="0"/>
        <w:spacing w:line="360" w:lineRule="exact"/>
        <w:ind w:firstLineChars="200" w:firstLine="420"/>
        <w:contextualSpacing/>
      </w:pPr>
    </w:p>
    <w:p w:rsidR="00AB65DB" w:rsidRDefault="00AB65DB">
      <w:pPr>
        <w:spacing w:before="100" w:beforeAutospacing="1" w:after="100" w:afterAutospacing="1" w:line="360" w:lineRule="exact"/>
        <w:contextualSpacing/>
        <w:jc w:val="center"/>
        <w:rPr>
          <w:rFonts w:eastAsia="黑体"/>
          <w:bCs/>
          <w:color w:val="000000"/>
          <w:sz w:val="32"/>
          <w:szCs w:val="32"/>
        </w:rPr>
      </w:pPr>
    </w:p>
    <w:p w:rsidR="00AB65DB" w:rsidRDefault="00AB65DB">
      <w:pPr>
        <w:spacing w:before="100" w:beforeAutospacing="1" w:after="100" w:afterAutospacing="1" w:line="360" w:lineRule="exact"/>
        <w:contextualSpacing/>
        <w:jc w:val="center"/>
        <w:rPr>
          <w:rFonts w:eastAsia="黑体"/>
          <w:bCs/>
          <w:color w:val="000000"/>
          <w:sz w:val="32"/>
          <w:szCs w:val="32"/>
        </w:rPr>
      </w:pPr>
    </w:p>
    <w:p w:rsidR="00AB65DB" w:rsidRDefault="00AB65DB">
      <w:pPr>
        <w:pStyle w:val="a3"/>
        <w:spacing w:line="360" w:lineRule="exact"/>
        <w:contextualSpacing/>
        <w:rPr>
          <w:rFonts w:eastAsia="黑体"/>
          <w:bCs/>
          <w:color w:val="000000"/>
          <w:sz w:val="32"/>
          <w:szCs w:val="32"/>
        </w:rPr>
      </w:pPr>
    </w:p>
    <w:p w:rsidR="00AB65DB" w:rsidRDefault="00AB65DB">
      <w:pPr>
        <w:spacing w:line="360" w:lineRule="exact"/>
        <w:contextualSpacing/>
      </w:pPr>
    </w:p>
    <w:p w:rsidR="00AB65DB" w:rsidRDefault="00AB65DB">
      <w:pPr>
        <w:spacing w:before="100" w:beforeAutospacing="1" w:after="100" w:afterAutospacing="1" w:line="360" w:lineRule="exact"/>
        <w:contextualSpacing/>
        <w:jc w:val="center"/>
        <w:rPr>
          <w:rFonts w:eastAsia="黑体"/>
          <w:bCs/>
          <w:color w:val="000000"/>
          <w:sz w:val="32"/>
          <w:szCs w:val="32"/>
        </w:rPr>
      </w:pPr>
    </w:p>
    <w:p w:rsidR="00AB65DB" w:rsidRDefault="00AB65DB">
      <w:pPr>
        <w:spacing w:before="100" w:beforeAutospacing="1" w:after="100" w:afterAutospacing="1" w:line="360" w:lineRule="exact"/>
        <w:contextualSpacing/>
        <w:jc w:val="center"/>
        <w:rPr>
          <w:rFonts w:eastAsia="黑体"/>
          <w:bCs/>
          <w:color w:val="000000"/>
          <w:sz w:val="32"/>
          <w:szCs w:val="32"/>
        </w:rPr>
      </w:pPr>
    </w:p>
    <w:p w:rsidR="00AB65DB" w:rsidRDefault="00AB65DB">
      <w:pPr>
        <w:spacing w:before="100" w:beforeAutospacing="1" w:after="100" w:afterAutospacing="1" w:line="360" w:lineRule="exact"/>
        <w:contextualSpacing/>
        <w:jc w:val="center"/>
        <w:rPr>
          <w:rFonts w:eastAsia="黑体"/>
          <w:bCs/>
          <w:color w:val="000000"/>
          <w:sz w:val="32"/>
          <w:szCs w:val="32"/>
        </w:rPr>
      </w:pPr>
    </w:p>
    <w:p w:rsidR="00AB65DB" w:rsidRDefault="00AB65DB">
      <w:pPr>
        <w:spacing w:before="100" w:beforeAutospacing="1" w:after="100" w:afterAutospacing="1" w:line="360" w:lineRule="exact"/>
        <w:contextualSpacing/>
        <w:jc w:val="center"/>
        <w:rPr>
          <w:rFonts w:eastAsia="黑体"/>
          <w:bCs/>
          <w:color w:val="000000"/>
          <w:sz w:val="32"/>
          <w:szCs w:val="32"/>
        </w:rPr>
      </w:pPr>
    </w:p>
    <w:p w:rsidR="00AB65DB" w:rsidRDefault="00AB65DB">
      <w:pPr>
        <w:spacing w:before="100" w:beforeAutospacing="1" w:after="100" w:afterAutospacing="1" w:line="360" w:lineRule="exact"/>
        <w:contextualSpacing/>
        <w:jc w:val="center"/>
        <w:rPr>
          <w:rFonts w:eastAsia="黑体"/>
          <w:bCs/>
          <w:color w:val="000000"/>
          <w:sz w:val="32"/>
          <w:szCs w:val="32"/>
        </w:rPr>
      </w:pPr>
    </w:p>
    <w:p w:rsidR="00AB65DB" w:rsidRDefault="00AB65DB">
      <w:pPr>
        <w:spacing w:before="100" w:beforeAutospacing="1" w:after="100" w:afterAutospacing="1" w:line="360" w:lineRule="exact"/>
        <w:contextualSpacing/>
        <w:jc w:val="center"/>
        <w:rPr>
          <w:rFonts w:eastAsia="黑体"/>
          <w:bCs/>
          <w:color w:val="000000"/>
          <w:sz w:val="32"/>
          <w:szCs w:val="32"/>
        </w:rPr>
        <w:sectPr w:rsidR="00AB65DB">
          <w:pgSz w:w="11906" w:h="16838"/>
          <w:pgMar w:top="1418" w:right="1134" w:bottom="1134" w:left="1418" w:header="964" w:footer="992" w:gutter="0"/>
          <w:cols w:space="425"/>
          <w:docGrid w:type="lines" w:linePitch="312"/>
        </w:sectPr>
      </w:pPr>
    </w:p>
    <w:p w:rsidR="00AB65DB" w:rsidRDefault="007C6B50">
      <w:pPr>
        <w:pStyle w:val="a1"/>
        <w:numPr>
          <w:ilvl w:val="0"/>
          <w:numId w:val="0"/>
        </w:numPr>
        <w:snapToGrid w:val="0"/>
        <w:spacing w:before="156" w:after="156" w:line="360" w:lineRule="exact"/>
        <w:contextualSpacing/>
        <w:jc w:val="center"/>
        <w:rPr>
          <w:rFonts w:ascii="Times New Roman"/>
          <w:bCs/>
          <w:color w:val="000000"/>
          <w:sz w:val="32"/>
          <w:szCs w:val="32"/>
        </w:rPr>
      </w:pPr>
      <w:r>
        <w:rPr>
          <w:rFonts w:ascii="Times New Roman" w:hint="eastAsia"/>
          <w:bCs/>
          <w:color w:val="000000"/>
          <w:sz w:val="32"/>
          <w:szCs w:val="32"/>
        </w:rPr>
        <w:lastRenderedPageBreak/>
        <w:t>稀土沉淀智能控制技术规范</w:t>
      </w:r>
    </w:p>
    <w:p w:rsidR="00AB65DB" w:rsidRDefault="007C6B50">
      <w:pPr>
        <w:pStyle w:val="a1"/>
        <w:numPr>
          <w:ilvl w:val="0"/>
          <w:numId w:val="0"/>
        </w:numPr>
        <w:snapToGrid w:val="0"/>
        <w:spacing w:beforeLines="100" w:before="312" w:afterLines="100" w:after="312" w:line="360" w:lineRule="exact"/>
        <w:contextualSpacing/>
        <w:rPr>
          <w:rFonts w:ascii="Times New Roman"/>
        </w:rPr>
      </w:pPr>
      <w:bookmarkStart w:id="1" w:name="_Toc162717648"/>
      <w:r>
        <w:rPr>
          <w:rFonts w:hAnsi="黑体" w:hint="eastAsia"/>
        </w:rPr>
        <w:t xml:space="preserve">1  </w:t>
      </w:r>
      <w:r>
        <w:rPr>
          <w:rFonts w:ascii="Times New Roman"/>
        </w:rPr>
        <w:t>范围</w:t>
      </w:r>
      <w:bookmarkEnd w:id="1"/>
    </w:p>
    <w:p w:rsidR="00AB65DB" w:rsidRDefault="007C6B50">
      <w:pPr>
        <w:spacing w:line="360" w:lineRule="exact"/>
        <w:ind w:firstLineChars="200" w:firstLine="420"/>
        <w:contextualSpacing/>
      </w:pPr>
      <w:bookmarkStart w:id="2" w:name="_Hlk162621982"/>
      <w:r>
        <w:rPr>
          <w:rFonts w:hint="eastAsia"/>
        </w:rPr>
        <w:t>本文件规定了稀土沉淀智能控制技术的总则、概述、设备技术要求、分散控制系统、生产制造执行系统、产品追溯系统、系统安全的要求。</w:t>
      </w:r>
    </w:p>
    <w:p w:rsidR="00AB65DB" w:rsidRDefault="007C6B50">
      <w:pPr>
        <w:spacing w:line="360" w:lineRule="exact"/>
        <w:ind w:firstLineChars="200" w:firstLine="420"/>
        <w:contextualSpacing/>
      </w:pPr>
      <w:r>
        <w:rPr>
          <w:rFonts w:hint="eastAsia"/>
        </w:rPr>
        <w:t>本文件适用于将可溶性的稀土盐溶液与可溶性的沉淀剂（碳酸盐、草酸盐等）发生反应生成稀土碳酸盐或草酸盐并进行过滤、洗涤和包装生产线的智能控制、建设与维护。</w:t>
      </w:r>
    </w:p>
    <w:p w:rsidR="00AB65DB" w:rsidRDefault="007C6B50">
      <w:pPr>
        <w:pStyle w:val="a1"/>
        <w:numPr>
          <w:ilvl w:val="0"/>
          <w:numId w:val="0"/>
        </w:numPr>
        <w:snapToGrid w:val="0"/>
        <w:spacing w:beforeLines="100" w:before="312" w:afterLines="100" w:after="312" w:line="360" w:lineRule="exact"/>
        <w:contextualSpacing/>
        <w:rPr>
          <w:rFonts w:ascii="Times New Roman"/>
          <w:szCs w:val="22"/>
        </w:rPr>
      </w:pPr>
      <w:bookmarkStart w:id="3" w:name="_Toc162717649"/>
      <w:bookmarkEnd w:id="2"/>
      <w:r>
        <w:rPr>
          <w:rFonts w:hAnsi="黑体" w:hint="eastAsia"/>
          <w:szCs w:val="22"/>
        </w:rPr>
        <w:t>2</w:t>
      </w:r>
      <w:r>
        <w:rPr>
          <w:rFonts w:ascii="Times New Roman" w:hint="eastAsia"/>
          <w:szCs w:val="22"/>
        </w:rPr>
        <w:t xml:space="preserve">  </w:t>
      </w:r>
      <w:r>
        <w:rPr>
          <w:rFonts w:ascii="Times New Roman"/>
          <w:szCs w:val="22"/>
        </w:rPr>
        <w:t>规范性引用文件</w:t>
      </w:r>
      <w:bookmarkEnd w:id="3"/>
    </w:p>
    <w:p w:rsidR="00AB65DB" w:rsidRDefault="007C6B50">
      <w:pPr>
        <w:spacing w:line="360" w:lineRule="exact"/>
        <w:ind w:firstLineChars="200" w:firstLine="420"/>
        <w:contextualSpacing/>
        <w:rPr>
          <w:color w:val="000000"/>
          <w:szCs w:val="21"/>
        </w:rPr>
      </w:pPr>
      <w:r>
        <w:rPr>
          <w:kern w:val="0"/>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AB65DB" w:rsidRDefault="007C6B50">
      <w:pPr>
        <w:spacing w:line="360" w:lineRule="exact"/>
        <w:ind w:firstLineChars="200" w:firstLine="420"/>
        <w:contextualSpacing/>
      </w:pPr>
      <w:bookmarkStart w:id="4" w:name="_Toc162717650"/>
      <w:r>
        <w:rPr>
          <w:rFonts w:hint="eastAsia"/>
        </w:rPr>
        <w:t xml:space="preserve">GB/T 4774 </w:t>
      </w:r>
      <w:r>
        <w:t>过滤与分离</w:t>
      </w:r>
      <w:r>
        <w:rPr>
          <w:rFonts w:hint="eastAsia"/>
        </w:rPr>
        <w:t xml:space="preserve"> </w:t>
      </w:r>
      <w:r>
        <w:t>名词术语</w:t>
      </w:r>
    </w:p>
    <w:p w:rsidR="00AB65DB" w:rsidRDefault="007C6B50">
      <w:pPr>
        <w:spacing w:line="360" w:lineRule="exact"/>
        <w:ind w:firstLineChars="200" w:firstLine="420"/>
        <w:contextualSpacing/>
      </w:pPr>
      <w:r>
        <w:rPr>
          <w:rFonts w:hint="eastAsia"/>
        </w:rPr>
        <w:t xml:space="preserve">GB/T 9268 </w:t>
      </w:r>
      <w:r>
        <w:rPr>
          <w:rFonts w:hint="eastAsia"/>
        </w:rPr>
        <w:t>分散型控制系统</w:t>
      </w:r>
      <w:r>
        <w:rPr>
          <w:rFonts w:hint="eastAsia"/>
        </w:rPr>
        <w:t xml:space="preserve"> </w:t>
      </w:r>
      <w:r>
        <w:rPr>
          <w:rFonts w:hint="eastAsia"/>
        </w:rPr>
        <w:t>术语</w:t>
      </w:r>
    </w:p>
    <w:p w:rsidR="00AB65DB" w:rsidRDefault="007C6B50">
      <w:pPr>
        <w:spacing w:line="360" w:lineRule="exact"/>
        <w:ind w:firstLineChars="200" w:firstLine="420"/>
        <w:contextualSpacing/>
      </w:pPr>
      <w:r>
        <w:rPr>
          <w:rFonts w:hint="eastAsia"/>
        </w:rPr>
        <w:t xml:space="preserve">GB/T 15676 </w:t>
      </w:r>
      <w:r>
        <w:rPr>
          <w:rFonts w:hint="eastAsia"/>
        </w:rPr>
        <w:t>稀土术语</w:t>
      </w:r>
    </w:p>
    <w:p w:rsidR="00AB65DB" w:rsidRDefault="007C6B50">
      <w:pPr>
        <w:spacing w:line="360" w:lineRule="exact"/>
      </w:pPr>
      <w:r>
        <w:rPr>
          <w:rFonts w:hint="eastAsia"/>
        </w:rPr>
        <w:t xml:space="preserve">    </w:t>
      </w:r>
      <w:r>
        <w:t>GB/T 22239</w:t>
      </w:r>
      <w:r>
        <w:rPr>
          <w:rFonts w:hint="eastAsia"/>
        </w:rPr>
        <w:t xml:space="preserve"> </w:t>
      </w:r>
      <w:r>
        <w:rPr>
          <w:rFonts w:hint="eastAsia"/>
        </w:rPr>
        <w:t>信息安全技术</w:t>
      </w:r>
      <w:r>
        <w:rPr>
          <w:rFonts w:hint="eastAsia"/>
        </w:rPr>
        <w:t xml:space="preserve"> </w:t>
      </w:r>
      <w:r>
        <w:rPr>
          <w:rFonts w:hint="eastAsia"/>
        </w:rPr>
        <w:t>网络安全等级保护基本要求</w:t>
      </w:r>
    </w:p>
    <w:p w:rsidR="00AB65DB" w:rsidRDefault="007C6B50">
      <w:pPr>
        <w:spacing w:line="360" w:lineRule="exact"/>
      </w:pPr>
      <w:r>
        <w:rPr>
          <w:rFonts w:hint="eastAsia"/>
        </w:rPr>
        <w:t xml:space="preserve">    </w:t>
      </w:r>
      <w:r>
        <w:t>GB/T 38129</w:t>
      </w:r>
      <w:r>
        <w:rPr>
          <w:rFonts w:hint="eastAsia"/>
        </w:rPr>
        <w:t xml:space="preserve"> </w:t>
      </w:r>
      <w:r>
        <w:rPr>
          <w:rFonts w:hint="eastAsia"/>
        </w:rPr>
        <w:t>智能工厂</w:t>
      </w:r>
      <w:r>
        <w:rPr>
          <w:rFonts w:hint="eastAsia"/>
        </w:rPr>
        <w:t xml:space="preserve"> </w:t>
      </w:r>
      <w:r>
        <w:rPr>
          <w:rFonts w:hint="eastAsia"/>
        </w:rPr>
        <w:t>安全控制要求</w:t>
      </w:r>
    </w:p>
    <w:p w:rsidR="00AB65DB" w:rsidRDefault="007C6B50">
      <w:pPr>
        <w:spacing w:line="360" w:lineRule="exact"/>
      </w:pPr>
      <w:r>
        <w:rPr>
          <w:rFonts w:hint="eastAsia"/>
        </w:rPr>
        <w:t xml:space="preserve">    </w:t>
      </w:r>
      <w:r>
        <w:t>GB/T 38854</w:t>
      </w:r>
      <w:r>
        <w:rPr>
          <w:rFonts w:hint="eastAsia"/>
        </w:rPr>
        <w:t xml:space="preserve"> </w:t>
      </w:r>
      <w:r>
        <w:rPr>
          <w:rFonts w:hint="eastAsia"/>
        </w:rPr>
        <w:t>智能工厂</w:t>
      </w:r>
      <w:r>
        <w:rPr>
          <w:rFonts w:hint="eastAsia"/>
        </w:rPr>
        <w:t xml:space="preserve"> </w:t>
      </w:r>
      <w:r>
        <w:rPr>
          <w:rFonts w:hint="eastAsia"/>
        </w:rPr>
        <w:t>生产过程控制数据传输协议</w:t>
      </w:r>
    </w:p>
    <w:p w:rsidR="00AB65DB" w:rsidRDefault="007C6B50">
      <w:pPr>
        <w:pStyle w:val="a1"/>
        <w:numPr>
          <w:ilvl w:val="0"/>
          <w:numId w:val="0"/>
        </w:numPr>
        <w:snapToGrid w:val="0"/>
        <w:spacing w:beforeLines="100" w:before="312" w:afterLines="100" w:after="312" w:line="360" w:lineRule="exact"/>
        <w:contextualSpacing/>
        <w:rPr>
          <w:rFonts w:hAnsi="黑体"/>
          <w:szCs w:val="22"/>
        </w:rPr>
      </w:pPr>
      <w:r>
        <w:rPr>
          <w:rFonts w:hAnsi="黑体" w:hint="eastAsia"/>
          <w:szCs w:val="22"/>
        </w:rPr>
        <w:t xml:space="preserve">3  </w:t>
      </w:r>
      <w:r>
        <w:rPr>
          <w:rFonts w:hAnsi="黑体"/>
          <w:szCs w:val="22"/>
        </w:rPr>
        <w:t>术语和定义</w:t>
      </w:r>
      <w:bookmarkEnd w:id="4"/>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t>GB/T 4774</w:t>
      </w:r>
      <w:r>
        <w:rPr>
          <w:rFonts w:ascii="Times New Roman" w:hint="eastAsia"/>
          <w:color w:val="000000"/>
        </w:rPr>
        <w:t>、</w:t>
      </w:r>
      <w:r>
        <w:rPr>
          <w:rFonts w:ascii="Times New Roman" w:hint="eastAsia"/>
          <w:color w:val="000000"/>
        </w:rPr>
        <w:t>GB/T 9268</w:t>
      </w:r>
      <w:r>
        <w:rPr>
          <w:rFonts w:ascii="Times New Roman" w:hint="eastAsia"/>
          <w:color w:val="000000"/>
        </w:rPr>
        <w:t>和</w:t>
      </w:r>
      <w:r>
        <w:rPr>
          <w:rFonts w:ascii="Times New Roman" w:hint="eastAsia"/>
          <w:color w:val="000000"/>
        </w:rPr>
        <w:t>GB/T 15676</w:t>
      </w:r>
      <w:r>
        <w:rPr>
          <w:rFonts w:ascii="Times New Roman" w:hint="eastAsia"/>
          <w:color w:val="000000"/>
        </w:rPr>
        <w:t>界定的以及下列术语和定义适用于本文件。</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3.1</w:t>
      </w:r>
    </w:p>
    <w:p w:rsidR="00AB65DB" w:rsidRDefault="007C6B50">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稀土沉淀智能化执行系统  </w:t>
      </w:r>
      <w:r>
        <w:rPr>
          <w:rFonts w:ascii="Times New Roman" w:eastAsia="黑体"/>
          <w:color w:val="000000"/>
        </w:rPr>
        <w:t>Intelligent execution system for rare earth precipitation</w:t>
      </w:r>
    </w:p>
    <w:p w:rsidR="00AB65DB" w:rsidRDefault="007C6B50">
      <w:pPr>
        <w:pStyle w:val="af2"/>
        <w:snapToGrid w:val="0"/>
        <w:spacing w:line="360" w:lineRule="exact"/>
        <w:ind w:firstLineChars="195" w:firstLine="409"/>
        <w:contextualSpacing/>
        <w:rPr>
          <w:rFonts w:ascii="Times New Roman"/>
          <w:color w:val="000000"/>
        </w:rPr>
      </w:pPr>
      <w:r>
        <w:rPr>
          <w:rFonts w:ascii="Times New Roman" w:hint="eastAsia"/>
          <w:color w:val="000000"/>
        </w:rPr>
        <w:t>通过采用先进的管理模式和技术手段，将物联网、大数据、人工智能、智能控制等新技术与稀土沉淀业务相融合，实现稀土沉淀工艺的自动控制、数字化管理。</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3.2</w:t>
      </w:r>
    </w:p>
    <w:p w:rsidR="00AB65DB" w:rsidRDefault="007C6B50">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稀土沉淀智能化监控系统  </w:t>
      </w:r>
      <w:r>
        <w:rPr>
          <w:rFonts w:ascii="Times New Roman" w:eastAsia="黑体"/>
          <w:color w:val="000000"/>
        </w:rPr>
        <w:t>Rare earth precipitation intelligent monitoring system</w:t>
      </w:r>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t>能够实现稀土沉淀工艺产线设备运行、设备状态监测、设备计量、视频等信息的统一接入、储存和管理，具有运行监视、操作、控制、综合信息分析、视频监控、智能告警、运行管理等功能的系统。</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3.3</w:t>
      </w:r>
    </w:p>
    <w:p w:rsidR="00AB65DB" w:rsidRDefault="007C6B50">
      <w:pPr>
        <w:pStyle w:val="af2"/>
        <w:snapToGrid w:val="0"/>
        <w:spacing w:line="360" w:lineRule="exact"/>
        <w:ind w:firstLine="420"/>
        <w:contextualSpacing/>
        <w:rPr>
          <w:rFonts w:ascii="黑体" w:eastAsia="黑体" w:hAnsi="黑体"/>
          <w:color w:val="000000"/>
        </w:rPr>
      </w:pPr>
      <w:r>
        <w:rPr>
          <w:rFonts w:ascii="黑体" w:eastAsia="黑体" w:hAnsi="黑体" w:hint="eastAsia"/>
          <w:color w:val="000000"/>
        </w:rPr>
        <w:t xml:space="preserve">分散型控制系统  </w:t>
      </w:r>
      <w:r>
        <w:rPr>
          <w:rFonts w:ascii="Times New Roman" w:eastAsia="黑体"/>
          <w:color w:val="000000"/>
        </w:rPr>
        <w:t>distributed control system</w:t>
      </w:r>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t>分散型控制系统及与之相关的术语引用自</w:t>
      </w:r>
      <w:r>
        <w:rPr>
          <w:rFonts w:ascii="Times New Roman" w:hint="eastAsia"/>
          <w:color w:val="000000"/>
        </w:rPr>
        <w:t xml:space="preserve">GB/T 9268-1999 </w:t>
      </w:r>
      <w:r>
        <w:rPr>
          <w:rFonts w:ascii="Times New Roman" w:hint="eastAsia"/>
          <w:color w:val="000000"/>
        </w:rPr>
        <w:t>分散型控制系统</w:t>
      </w:r>
      <w:r>
        <w:rPr>
          <w:rFonts w:ascii="Times New Roman" w:hint="eastAsia"/>
          <w:color w:val="000000"/>
        </w:rPr>
        <w:t xml:space="preserve"> </w:t>
      </w:r>
      <w:r>
        <w:rPr>
          <w:rFonts w:ascii="Times New Roman" w:hint="eastAsia"/>
          <w:color w:val="000000"/>
        </w:rPr>
        <w:t>术语。</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4</w:t>
      </w:r>
    </w:p>
    <w:p w:rsidR="00AB65DB" w:rsidRDefault="007C6B50">
      <w:pPr>
        <w:pStyle w:val="af2"/>
        <w:snapToGrid w:val="0"/>
        <w:spacing w:line="360" w:lineRule="exact"/>
        <w:ind w:firstLine="420"/>
        <w:contextualSpacing/>
        <w:rPr>
          <w:rFonts w:ascii="Times New Roman"/>
          <w:color w:val="000000"/>
        </w:rPr>
      </w:pPr>
      <w:r>
        <w:rPr>
          <w:rFonts w:ascii="黑体" w:eastAsia="黑体" w:hAnsi="黑体" w:hint="eastAsia"/>
          <w:color w:val="000000"/>
        </w:rPr>
        <w:t xml:space="preserve">电磁干扰 </w:t>
      </w:r>
      <w:r>
        <w:rPr>
          <w:rFonts w:ascii="Times New Roman" w:hint="eastAsia"/>
          <w:color w:val="000000"/>
        </w:rPr>
        <w:t xml:space="preserve"> electromagnetic interference</w:t>
      </w:r>
    </w:p>
    <w:p w:rsidR="00AB65DB" w:rsidRDefault="007C6B50">
      <w:pPr>
        <w:pStyle w:val="af2"/>
        <w:snapToGrid w:val="0"/>
        <w:spacing w:line="360" w:lineRule="exact"/>
        <w:ind w:firstLineChars="295" w:firstLine="619"/>
        <w:contextualSpacing/>
        <w:rPr>
          <w:rFonts w:ascii="Times New Roman"/>
          <w:color w:val="000000"/>
        </w:rPr>
      </w:pPr>
      <w:r>
        <w:rPr>
          <w:rFonts w:ascii="Times New Roman" w:hint="eastAsia"/>
          <w:color w:val="000000"/>
        </w:rPr>
        <w:t>电磁作用对电子设备工作的非正常影响。</w:t>
      </w:r>
      <w:r>
        <w:rPr>
          <w:rFonts w:ascii="Times New Roman" w:hint="eastAsia"/>
          <w:color w:val="000000"/>
        </w:rPr>
        <w:t xml:space="preserve"> </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5</w:t>
      </w:r>
    </w:p>
    <w:p w:rsidR="00AB65DB" w:rsidRDefault="007C6B50">
      <w:pPr>
        <w:pStyle w:val="af2"/>
        <w:snapToGrid w:val="0"/>
        <w:spacing w:line="360" w:lineRule="exact"/>
        <w:ind w:firstLine="420"/>
        <w:contextualSpacing/>
        <w:rPr>
          <w:rFonts w:ascii="Times New Roman"/>
          <w:color w:val="000000"/>
        </w:rPr>
      </w:pPr>
      <w:r>
        <w:rPr>
          <w:rFonts w:ascii="黑体" w:eastAsia="黑体" w:hAnsi="黑体" w:hint="eastAsia"/>
          <w:color w:val="000000"/>
        </w:rPr>
        <w:t>电磁兼容性</w:t>
      </w:r>
      <w:r>
        <w:rPr>
          <w:rFonts w:ascii="Times New Roman" w:hint="eastAsia"/>
          <w:color w:val="000000"/>
        </w:rPr>
        <w:t xml:space="preserve">  electromagnetic compatibility</w:t>
      </w:r>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lastRenderedPageBreak/>
        <w:t>电子设备对所在环境中存在的电磁干扰具有一定的抵制能力，即抗电磁干扰功能，并且电子设备在正常运行过程中对所在环境的电磁干扰不超过规定的限值。</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6</w:t>
      </w:r>
    </w:p>
    <w:p w:rsidR="00AB65DB" w:rsidRDefault="007C6B50">
      <w:pPr>
        <w:pStyle w:val="af2"/>
        <w:snapToGrid w:val="0"/>
        <w:spacing w:line="360" w:lineRule="exact"/>
        <w:ind w:firstLine="420"/>
        <w:contextualSpacing/>
        <w:rPr>
          <w:rFonts w:ascii="Times New Roman"/>
          <w:color w:val="000000"/>
        </w:rPr>
      </w:pPr>
      <w:r>
        <w:rPr>
          <w:rFonts w:ascii="黑体" w:eastAsia="黑体" w:hAnsi="黑体" w:hint="eastAsia"/>
          <w:color w:val="000000"/>
        </w:rPr>
        <w:t>抗干扰能力</w:t>
      </w:r>
      <w:r>
        <w:rPr>
          <w:rFonts w:ascii="Times New Roman" w:hint="eastAsia"/>
          <w:color w:val="000000"/>
        </w:rPr>
        <w:t xml:space="preserve">  immunity</w:t>
      </w:r>
    </w:p>
    <w:p w:rsidR="00AB65DB" w:rsidRDefault="007C6B50">
      <w:pPr>
        <w:pStyle w:val="af2"/>
        <w:snapToGrid w:val="0"/>
        <w:spacing w:line="360" w:lineRule="exact"/>
        <w:ind w:firstLineChars="195" w:firstLine="409"/>
        <w:contextualSpacing/>
        <w:rPr>
          <w:rFonts w:ascii="Times New Roman"/>
          <w:color w:val="000000"/>
        </w:rPr>
      </w:pPr>
      <w:r>
        <w:rPr>
          <w:rFonts w:ascii="Times New Roman" w:hint="eastAsia"/>
          <w:color w:val="000000"/>
        </w:rPr>
        <w:t>电子设备或系统受到电磁干扰时维持正常工作的能力。</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7</w:t>
      </w:r>
    </w:p>
    <w:p w:rsidR="00AB65DB" w:rsidRDefault="007C6B50">
      <w:pPr>
        <w:pStyle w:val="af2"/>
        <w:snapToGrid w:val="0"/>
        <w:spacing w:line="360" w:lineRule="exact"/>
        <w:ind w:firstLineChars="195" w:firstLine="409"/>
        <w:contextualSpacing/>
        <w:rPr>
          <w:rFonts w:ascii="Times New Roman"/>
          <w:color w:val="000000"/>
        </w:rPr>
      </w:pPr>
      <w:r>
        <w:rPr>
          <w:rFonts w:ascii="黑体" w:eastAsia="黑体" w:hAnsi="黑体" w:hint="eastAsia"/>
          <w:color w:val="000000"/>
        </w:rPr>
        <w:t>服务器</w:t>
      </w:r>
      <w:r>
        <w:rPr>
          <w:rFonts w:ascii="Times New Roman" w:hint="eastAsia"/>
          <w:color w:val="000000"/>
        </w:rPr>
        <w:t xml:space="preserve">  server</w:t>
      </w:r>
    </w:p>
    <w:p w:rsidR="00AB65DB" w:rsidRDefault="007C6B50">
      <w:pPr>
        <w:pStyle w:val="af2"/>
        <w:snapToGrid w:val="0"/>
        <w:spacing w:line="360" w:lineRule="exact"/>
        <w:ind w:firstLineChars="195" w:firstLine="409"/>
        <w:contextualSpacing/>
        <w:rPr>
          <w:rFonts w:ascii="Times New Roman"/>
          <w:color w:val="000000"/>
        </w:rPr>
      </w:pPr>
      <w:r>
        <w:rPr>
          <w:rFonts w:ascii="Times New Roman" w:hint="eastAsia"/>
          <w:color w:val="000000"/>
        </w:rPr>
        <w:t>网络环境下为客户端计算机提供特定应用服务的计算机系统。</w:t>
      </w:r>
    </w:p>
    <w:p w:rsidR="00AB65DB" w:rsidRDefault="007C6B50">
      <w:pPr>
        <w:pStyle w:val="af2"/>
        <w:snapToGrid w:val="0"/>
        <w:spacing w:line="360" w:lineRule="exact"/>
        <w:ind w:firstLineChars="0" w:firstLine="0"/>
        <w:contextualSpacing/>
        <w:rPr>
          <w:rFonts w:ascii="Times New Roman"/>
          <w:color w:val="000000"/>
        </w:rPr>
      </w:pPr>
      <w:r>
        <w:rPr>
          <w:rFonts w:ascii="Times New Roman" w:hint="eastAsia"/>
          <w:color w:val="000000"/>
        </w:rPr>
        <w:t>注：本标准计算机系统指服务器</w:t>
      </w:r>
      <w:r w:rsidR="00A47096">
        <w:rPr>
          <w:rFonts w:ascii="Times New Roman" w:hint="eastAsia"/>
          <w:color w:val="000000"/>
        </w:rPr>
        <w:t>驱动单元</w:t>
      </w:r>
      <w:bookmarkStart w:id="5" w:name="_GoBack"/>
      <w:bookmarkEnd w:id="5"/>
      <w:r>
        <w:rPr>
          <w:rFonts w:ascii="Times New Roman" w:hint="eastAsia"/>
          <w:color w:val="000000"/>
        </w:rPr>
        <w:t>部分，主要包含独立计算单元、存储单元、网络传输单元、监控管理单元、供电单元及驱动程序等。</w:t>
      </w:r>
    </w:p>
    <w:p w:rsidR="00AB65DB" w:rsidRDefault="007C6B50">
      <w:pPr>
        <w:pStyle w:val="af2"/>
        <w:snapToGrid w:val="0"/>
        <w:spacing w:line="360" w:lineRule="exact"/>
        <w:ind w:firstLineChars="0" w:firstLine="0"/>
        <w:contextualSpacing/>
        <w:rPr>
          <w:rFonts w:ascii="黑体" w:eastAsia="黑体" w:hAnsi="黑体"/>
          <w:color w:val="000000"/>
        </w:rPr>
      </w:pPr>
      <w:r>
        <w:rPr>
          <w:rFonts w:ascii="黑体" w:eastAsia="黑体" w:hAnsi="黑体"/>
          <w:color w:val="000000"/>
        </w:rPr>
        <w:t>3.</w:t>
      </w:r>
      <w:r>
        <w:rPr>
          <w:rFonts w:ascii="黑体" w:eastAsia="黑体" w:hAnsi="黑体" w:hint="eastAsia"/>
          <w:color w:val="000000"/>
        </w:rPr>
        <w:t>8</w:t>
      </w:r>
    </w:p>
    <w:p w:rsidR="00AB65DB" w:rsidRDefault="007C6B50">
      <w:pPr>
        <w:pStyle w:val="af2"/>
        <w:snapToGrid w:val="0"/>
        <w:spacing w:line="360" w:lineRule="exact"/>
        <w:ind w:firstLine="420"/>
        <w:contextualSpacing/>
        <w:rPr>
          <w:rFonts w:ascii="Times New Roman"/>
          <w:color w:val="000000"/>
        </w:rPr>
      </w:pPr>
      <w:r>
        <w:rPr>
          <w:rFonts w:ascii="黑体" w:eastAsia="黑体" w:hAnsi="黑体" w:hint="eastAsia"/>
          <w:color w:val="000000"/>
        </w:rPr>
        <w:t>性能判据</w:t>
      </w:r>
      <w:r>
        <w:rPr>
          <w:rFonts w:ascii="Times New Roman" w:hint="eastAsia"/>
          <w:color w:val="000000"/>
        </w:rPr>
        <w:t xml:space="preserve">  performance criterion</w:t>
      </w:r>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t>性能判据用来对受试设备在电磁兼容性抗扰度试验期间功能丧失或性能降低现象进行分类。</w:t>
      </w:r>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t>A</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试验期间和试验后受试设备均应按预期要求继续运行，无功能丧失或性能下降</w:t>
      </w:r>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t>B</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试验期间，受试设备允许出现暂时的性能下降或功能丧失，设备可自我恢复，试验后设备应按预期要求继续运行，不出现系统死机、复位或重启情况。</w:t>
      </w:r>
    </w:p>
    <w:p w:rsidR="00AB65DB" w:rsidRDefault="007C6B50">
      <w:pPr>
        <w:pStyle w:val="af2"/>
        <w:snapToGrid w:val="0"/>
        <w:spacing w:line="360" w:lineRule="exact"/>
        <w:ind w:firstLine="420"/>
        <w:contextualSpacing/>
        <w:rPr>
          <w:rFonts w:ascii="Times New Roman"/>
          <w:color w:val="000000"/>
        </w:rPr>
      </w:pPr>
      <w:r>
        <w:rPr>
          <w:rFonts w:ascii="Times New Roman" w:hint="eastAsia"/>
          <w:color w:val="000000"/>
        </w:rPr>
        <w:t>C</w:t>
      </w:r>
      <w:r>
        <w:rPr>
          <w:rFonts w:ascii="Times New Roman" w:hint="eastAsia"/>
          <w:color w:val="000000"/>
        </w:rPr>
        <w:t>级</w:t>
      </w:r>
      <w:r>
        <w:rPr>
          <w:rFonts w:ascii="Times New Roman" w:hint="eastAsia"/>
          <w:color w:val="000000"/>
        </w:rPr>
        <w:t xml:space="preserve"> </w:t>
      </w:r>
      <w:r>
        <w:rPr>
          <w:rFonts w:ascii="Times New Roman" w:hint="eastAsia"/>
          <w:color w:val="000000"/>
        </w:rPr>
        <w:t>试验期间，允许受试设备出现暂时的性能下降或功能丧失，通过人工干预或系统复位可恢复。</w:t>
      </w:r>
    </w:p>
    <w:p w:rsidR="00AB65DB" w:rsidRDefault="007C6B50">
      <w:pPr>
        <w:pStyle w:val="a1"/>
        <w:numPr>
          <w:ilvl w:val="0"/>
          <w:numId w:val="0"/>
        </w:numPr>
        <w:snapToGrid w:val="0"/>
        <w:spacing w:beforeLines="100" w:before="312" w:afterLines="100" w:after="312" w:line="360" w:lineRule="exact"/>
        <w:contextualSpacing/>
        <w:rPr>
          <w:rFonts w:hAnsi="黑体"/>
          <w:szCs w:val="22"/>
        </w:rPr>
      </w:pPr>
      <w:bookmarkStart w:id="6" w:name="_Toc162717651"/>
      <w:r>
        <w:rPr>
          <w:rFonts w:hAnsi="黑体" w:hint="eastAsia"/>
          <w:szCs w:val="22"/>
        </w:rPr>
        <w:t>4  缩略语</w:t>
      </w:r>
      <w:bookmarkEnd w:id="6"/>
    </w:p>
    <w:p w:rsidR="00AB65DB" w:rsidRDefault="007C6B50">
      <w:pPr>
        <w:pStyle w:val="af2"/>
        <w:spacing w:line="360" w:lineRule="exact"/>
        <w:ind w:firstLine="420"/>
        <w:contextualSpacing/>
      </w:pPr>
      <w:r>
        <w:rPr>
          <w:rFonts w:hint="eastAsia"/>
        </w:rPr>
        <w:t>下列缩略语适用于本文件。</w:t>
      </w:r>
    </w:p>
    <w:p w:rsidR="00AB65DB" w:rsidRDefault="007C6B50">
      <w:pPr>
        <w:pStyle w:val="af2"/>
        <w:spacing w:line="360" w:lineRule="exact"/>
        <w:ind w:firstLine="420"/>
        <w:contextualSpacing/>
      </w:pPr>
      <w:r>
        <w:rPr>
          <w:rFonts w:hint="eastAsia"/>
        </w:rPr>
        <w:t>APC：先进控制 (Advanced Process Control)</w:t>
      </w:r>
    </w:p>
    <w:p w:rsidR="00AB65DB" w:rsidRDefault="007C6B50">
      <w:pPr>
        <w:pStyle w:val="af2"/>
        <w:spacing w:line="360" w:lineRule="exact"/>
        <w:ind w:firstLine="420"/>
        <w:contextualSpacing/>
      </w:pPr>
      <w:r>
        <w:rPr>
          <w:rFonts w:hint="eastAsia"/>
        </w:rPr>
        <w:t>OPC：用于过程控制的内部数据设备连接协议 (Object Linking and Embedding (OLE)for Process Control)</w:t>
      </w:r>
    </w:p>
    <w:p w:rsidR="00AB65DB" w:rsidRDefault="007C6B50">
      <w:pPr>
        <w:pStyle w:val="af2"/>
        <w:spacing w:line="360" w:lineRule="exact"/>
        <w:ind w:firstLine="420"/>
        <w:contextualSpacing/>
      </w:pPr>
      <w:r>
        <w:rPr>
          <w:rFonts w:hint="eastAsia"/>
        </w:rPr>
        <w:t>I/O：输入/输出模块 (Input/output module)</w:t>
      </w:r>
    </w:p>
    <w:p w:rsidR="00AB65DB" w:rsidRDefault="007C6B50">
      <w:pPr>
        <w:pStyle w:val="af2"/>
        <w:spacing w:line="360" w:lineRule="exact"/>
        <w:ind w:firstLine="420"/>
        <w:contextualSpacing/>
      </w:pPr>
      <w:r>
        <w:rPr>
          <w:rFonts w:hint="eastAsia"/>
        </w:rPr>
        <w:t>MES：生产管理系统 (Manufacturing Execution System)</w:t>
      </w:r>
    </w:p>
    <w:p w:rsidR="00AB65DB" w:rsidRDefault="007C6B50">
      <w:pPr>
        <w:pStyle w:val="af2"/>
        <w:spacing w:line="360" w:lineRule="exact"/>
        <w:ind w:firstLine="420"/>
        <w:contextualSpacing/>
      </w:pPr>
      <w:r>
        <w:rPr>
          <w:rFonts w:hint="eastAsia"/>
        </w:rPr>
        <w:t>PID：</w:t>
      </w:r>
      <w:bookmarkStart w:id="7" w:name="_Hlk162717276"/>
      <w:r>
        <w:rPr>
          <w:rFonts w:hint="eastAsia"/>
        </w:rPr>
        <w:t>工业控制系统中广泛使用的控制策略（Proportional-Integral-Derivative）</w:t>
      </w:r>
    </w:p>
    <w:p w:rsidR="00AB65DB" w:rsidRDefault="007C6B50">
      <w:pPr>
        <w:pStyle w:val="a1"/>
        <w:numPr>
          <w:ilvl w:val="0"/>
          <w:numId w:val="0"/>
        </w:numPr>
        <w:snapToGrid w:val="0"/>
        <w:spacing w:beforeLines="100" w:before="312" w:afterLines="100" w:after="312" w:line="360" w:lineRule="exact"/>
        <w:contextualSpacing/>
        <w:rPr>
          <w:rFonts w:hAnsi="黑体"/>
          <w:szCs w:val="22"/>
        </w:rPr>
      </w:pPr>
      <w:bookmarkStart w:id="8" w:name="_Toc162717652"/>
      <w:bookmarkEnd w:id="7"/>
      <w:r>
        <w:rPr>
          <w:rFonts w:hAnsi="黑体" w:hint="eastAsia"/>
          <w:szCs w:val="22"/>
        </w:rPr>
        <w:t>5  总体</w:t>
      </w:r>
      <w:r>
        <w:rPr>
          <w:rFonts w:hAnsi="黑体"/>
          <w:szCs w:val="22"/>
        </w:rPr>
        <w:t>要求</w:t>
      </w:r>
      <w:bookmarkEnd w:id="8"/>
    </w:p>
    <w:p w:rsidR="00AB65DB" w:rsidRDefault="007C6B50">
      <w:pPr>
        <w:pStyle w:val="af2"/>
        <w:spacing w:line="360" w:lineRule="exact"/>
        <w:ind w:firstLine="420"/>
        <w:contextualSpacing/>
      </w:pPr>
      <w:r>
        <w:rPr>
          <w:rFonts w:hint="eastAsia"/>
        </w:rPr>
        <w:t>稀土沉淀工艺产线智能化执行与监控系统满足以下要求：</w:t>
      </w:r>
    </w:p>
    <w:p w:rsidR="00AB65DB" w:rsidRDefault="007C6B50">
      <w:pPr>
        <w:pStyle w:val="af2"/>
        <w:spacing w:line="360" w:lineRule="exact"/>
        <w:ind w:firstLine="420"/>
        <w:contextualSpacing/>
      </w:pPr>
      <w:r>
        <w:rPr>
          <w:rFonts w:hint="eastAsia"/>
        </w:rPr>
        <w:t>——支撑生产设备的远程集中监控业务，实现对生产线的远程集中监视与控制。</w:t>
      </w:r>
    </w:p>
    <w:p w:rsidR="00AB65DB" w:rsidRDefault="007C6B50">
      <w:pPr>
        <w:pStyle w:val="af2"/>
        <w:spacing w:line="360" w:lineRule="exact"/>
        <w:ind w:firstLine="420"/>
        <w:contextualSpacing/>
      </w:pPr>
      <w:r>
        <w:rPr>
          <w:rFonts w:hint="eastAsia"/>
        </w:rPr>
        <w:t>——选用成熟的、经过实际应用检验的、先进的控制系统，应便于扩展，并能满足稀土沉淀装置大规模生产的过程控制、检测、操作与管理的需要。</w:t>
      </w:r>
    </w:p>
    <w:p w:rsidR="00AB65DB" w:rsidRDefault="007C6B50">
      <w:pPr>
        <w:pStyle w:val="af2"/>
        <w:spacing w:line="360" w:lineRule="exact"/>
        <w:ind w:firstLine="420"/>
        <w:contextualSpacing/>
      </w:pPr>
      <w:r>
        <w:rPr>
          <w:rFonts w:hint="eastAsia"/>
        </w:rPr>
        <w:t>——工艺过程的控制、检测、操作、报警、数据和事件记录、数据存储等功能均应在工业控制系统中实现。</w:t>
      </w:r>
    </w:p>
    <w:p w:rsidR="00AB65DB" w:rsidRDefault="007C6B50">
      <w:pPr>
        <w:pStyle w:val="af2"/>
        <w:spacing w:line="360" w:lineRule="exact"/>
        <w:ind w:firstLine="420"/>
        <w:contextualSpacing/>
      </w:pPr>
      <w:r>
        <w:rPr>
          <w:rFonts w:hint="eastAsia"/>
        </w:rPr>
        <w:t>——重要设备冗余配置。</w:t>
      </w:r>
    </w:p>
    <w:p w:rsidR="00AB65DB" w:rsidRDefault="007C6B50">
      <w:pPr>
        <w:pStyle w:val="af2"/>
        <w:spacing w:line="360" w:lineRule="exact"/>
        <w:ind w:firstLine="420"/>
        <w:contextualSpacing/>
      </w:pPr>
      <w:r>
        <w:rPr>
          <w:rFonts w:hint="eastAsia"/>
        </w:rPr>
        <w:t>——支持生产工艺的智能预测功能。</w:t>
      </w:r>
    </w:p>
    <w:p w:rsidR="00AB65DB" w:rsidRDefault="007C6B50">
      <w:pPr>
        <w:pStyle w:val="a1"/>
        <w:numPr>
          <w:ilvl w:val="0"/>
          <w:numId w:val="0"/>
        </w:numPr>
        <w:snapToGrid w:val="0"/>
        <w:spacing w:beforeLines="100" w:before="312" w:afterLines="100" w:after="312" w:line="360" w:lineRule="exact"/>
        <w:rPr>
          <w:rFonts w:hAnsi="黑体"/>
          <w:szCs w:val="22"/>
        </w:rPr>
      </w:pPr>
      <w:bookmarkStart w:id="9" w:name="_Toc162717653"/>
      <w:r>
        <w:rPr>
          <w:rFonts w:hAnsi="黑体" w:hint="eastAsia"/>
          <w:szCs w:val="22"/>
        </w:rPr>
        <w:lastRenderedPageBreak/>
        <w:t>6  工艺要求</w:t>
      </w:r>
      <w:bookmarkEnd w:id="9"/>
    </w:p>
    <w:p w:rsidR="00AB65DB" w:rsidRDefault="007C6B50">
      <w:pPr>
        <w:pStyle w:val="a1"/>
        <w:numPr>
          <w:ilvl w:val="1"/>
          <w:numId w:val="0"/>
        </w:numPr>
        <w:snapToGrid w:val="0"/>
        <w:spacing w:before="156" w:after="156" w:line="360" w:lineRule="exact"/>
        <w:contextualSpacing/>
        <w:rPr>
          <w:rFonts w:hAnsi="黑体"/>
          <w:szCs w:val="22"/>
        </w:rPr>
      </w:pPr>
      <w:bookmarkStart w:id="10" w:name="_Toc162717654"/>
      <w:r>
        <w:rPr>
          <w:rFonts w:hAnsi="黑体" w:hint="eastAsia"/>
          <w:szCs w:val="22"/>
        </w:rPr>
        <w:t>6</w:t>
      </w:r>
      <w:r>
        <w:rPr>
          <w:rFonts w:hAnsi="黑体"/>
          <w:szCs w:val="22"/>
        </w:rPr>
        <w:t>.1</w:t>
      </w:r>
      <w:r w:rsidR="003E5084">
        <w:rPr>
          <w:rFonts w:hAnsi="黑体"/>
          <w:szCs w:val="22"/>
        </w:rPr>
        <w:t xml:space="preserve">  </w:t>
      </w:r>
      <w:r>
        <w:rPr>
          <w:rFonts w:hAnsi="黑体" w:hint="eastAsia"/>
          <w:szCs w:val="22"/>
        </w:rPr>
        <w:t>基本要求</w:t>
      </w:r>
      <w:bookmarkEnd w:id="10"/>
    </w:p>
    <w:p w:rsidR="00AB65DB" w:rsidRDefault="007C6B50">
      <w:pPr>
        <w:pStyle w:val="af2"/>
        <w:spacing w:line="360" w:lineRule="exact"/>
        <w:ind w:firstLine="420"/>
        <w:contextualSpacing/>
      </w:pPr>
      <w:r>
        <w:rPr>
          <w:rFonts w:hint="eastAsia"/>
        </w:rPr>
        <w:t>稀土沉淀工艺需要对进入沉淀生产线的各种原料及辅料的流量进行控制，其浓度进行检测；对产出的浆液、废水和循环用水的流量进行控制，其浓度、固液比进行检测；对关键工艺控制点的反应釜内温度、pH值、固液比和粒度进行监测；对沉淀、过滤、洗涤设备的运行状态进行监测。</w:t>
      </w:r>
    </w:p>
    <w:p w:rsidR="00AB65DB" w:rsidRDefault="007C6B50">
      <w:pPr>
        <w:pStyle w:val="af2"/>
        <w:spacing w:line="360" w:lineRule="exact"/>
        <w:ind w:firstLine="420"/>
        <w:contextualSpacing/>
      </w:pPr>
      <w:r>
        <w:rPr>
          <w:rFonts w:hint="eastAsia"/>
        </w:rPr>
        <w:t>对上一工序衔接的罐区储量进行测量。</w:t>
      </w:r>
    </w:p>
    <w:p w:rsidR="00AB65DB" w:rsidRDefault="007C6B50">
      <w:pPr>
        <w:pStyle w:val="af2"/>
        <w:spacing w:line="360" w:lineRule="exact"/>
        <w:ind w:firstLine="420"/>
        <w:contextualSpacing/>
      </w:pPr>
      <w:r>
        <w:rPr>
          <w:rFonts w:hint="eastAsia"/>
        </w:rPr>
        <w:t>稀土沉淀监控包括稀土原料供给系统的控制、沉淀剂供给控制、沉淀过程控制、洗涤过滤控制、废水中转、产品包装暂存、视频监控共7个单元，具体工艺流程参见附图。</w:t>
      </w:r>
    </w:p>
    <w:p w:rsidR="00AB65DB" w:rsidRDefault="007C6B50">
      <w:pPr>
        <w:pStyle w:val="af2"/>
        <w:spacing w:line="360" w:lineRule="exact"/>
        <w:ind w:firstLine="420"/>
        <w:contextualSpacing/>
      </w:pPr>
      <w:r>
        <w:rPr>
          <w:rFonts w:hint="eastAsia"/>
        </w:rPr>
        <w:t>闭环协调控制应在实现各自环节自主监控的基础上，形成稀土原料及沉淀剂供给---稀土溶液沉淀---稀土固体洗涤过滤----稀土产品的包装存储的全过程智能监控体系。</w:t>
      </w:r>
    </w:p>
    <w:p w:rsidR="00AB65DB" w:rsidRDefault="007C6B50">
      <w:pPr>
        <w:pStyle w:val="a3"/>
      </w:pPr>
      <w:r>
        <w:rPr>
          <w:noProof/>
        </w:rPr>
        <w:drawing>
          <wp:inline distT="0" distB="0" distL="0" distR="0">
            <wp:extent cx="5664200" cy="2832100"/>
            <wp:effectExtent l="0" t="0" r="0" b="6350"/>
            <wp:docPr id="7349549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54996" name="图片 2"/>
                    <pic:cNvPicPr>
                      <a:picLocks noChangeAspect="1" noChangeArrowheads="1"/>
                    </pic:cNvPicPr>
                  </pic:nvPicPr>
                  <pic:blipFill>
                    <a:blip r:embed="rId14">
                      <a:extLst>
                        <a:ext uri="{28A0092B-C50C-407E-A947-70E740481C1C}">
                          <a14:useLocalDpi xmlns:a14="http://schemas.microsoft.com/office/drawing/2010/main" val="0"/>
                        </a:ext>
                      </a:extLst>
                    </a:blip>
                    <a:srcRect l="2672" t="2715" r="1936" b="4195"/>
                    <a:stretch>
                      <a:fillRect/>
                    </a:stretch>
                  </pic:blipFill>
                  <pic:spPr>
                    <a:xfrm>
                      <a:off x="0" y="0"/>
                      <a:ext cx="5664200" cy="2832100"/>
                    </a:xfrm>
                    <a:prstGeom prst="rect">
                      <a:avLst/>
                    </a:prstGeom>
                    <a:noFill/>
                    <a:ln>
                      <a:noFill/>
                    </a:ln>
                  </pic:spPr>
                </pic:pic>
              </a:graphicData>
            </a:graphic>
          </wp:inline>
        </w:drawing>
      </w:r>
    </w:p>
    <w:p w:rsidR="00AB65DB" w:rsidRDefault="007C6B50">
      <w:pPr>
        <w:pStyle w:val="a3"/>
        <w:spacing w:line="360" w:lineRule="exact"/>
        <w:contextualSpacing/>
        <w:jc w:val="center"/>
      </w:pPr>
      <w:r>
        <w:rPr>
          <w:rFonts w:hint="eastAsia"/>
        </w:rPr>
        <w:t>图</w:t>
      </w:r>
      <w:r>
        <w:rPr>
          <w:rFonts w:hint="eastAsia"/>
        </w:rPr>
        <w:t xml:space="preserve">1 </w:t>
      </w:r>
      <w:r>
        <w:rPr>
          <w:rFonts w:hint="eastAsia"/>
        </w:rPr>
        <w:t>稀土沉淀工艺图</w:t>
      </w:r>
    </w:p>
    <w:p w:rsidR="00AB65DB" w:rsidRDefault="007C6B50">
      <w:pPr>
        <w:pStyle w:val="a1"/>
        <w:numPr>
          <w:ilvl w:val="1"/>
          <w:numId w:val="0"/>
        </w:numPr>
        <w:snapToGrid w:val="0"/>
        <w:spacing w:before="156" w:after="156" w:line="360" w:lineRule="exact"/>
        <w:contextualSpacing/>
        <w:rPr>
          <w:rFonts w:hAnsi="黑体"/>
          <w:szCs w:val="22"/>
        </w:rPr>
      </w:pPr>
      <w:bookmarkStart w:id="11" w:name="_Toc162717655"/>
      <w:r>
        <w:rPr>
          <w:rFonts w:hAnsi="黑体" w:hint="eastAsia"/>
          <w:szCs w:val="22"/>
        </w:rPr>
        <w:t>6.2</w:t>
      </w:r>
      <w:r w:rsidR="003E5084">
        <w:rPr>
          <w:rFonts w:hAnsi="黑体"/>
          <w:szCs w:val="22"/>
        </w:rPr>
        <w:t xml:space="preserve">  </w:t>
      </w:r>
      <w:r>
        <w:rPr>
          <w:rFonts w:hAnsi="黑体" w:hint="eastAsia"/>
          <w:szCs w:val="22"/>
        </w:rPr>
        <w:t>原料供给控制单元</w:t>
      </w:r>
      <w:bookmarkEnd w:id="11"/>
    </w:p>
    <w:p w:rsidR="00AB65DB" w:rsidRDefault="007C6B50">
      <w:pPr>
        <w:pStyle w:val="af2"/>
        <w:spacing w:line="360" w:lineRule="exact"/>
        <w:ind w:firstLineChars="0" w:firstLine="0"/>
        <w:contextualSpacing/>
      </w:pPr>
      <w:r>
        <w:rPr>
          <w:rFonts w:ascii="黑体" w:eastAsia="黑体" w:hAnsi="黑体" w:hint="eastAsia"/>
        </w:rPr>
        <w:t>6.2.1</w:t>
      </w:r>
      <w:r w:rsidR="003E5084">
        <w:rPr>
          <w:rFonts w:ascii="黑体" w:eastAsia="黑体" w:hAnsi="黑体"/>
        </w:rPr>
        <w:t xml:space="preserve">  </w:t>
      </w:r>
      <w:r>
        <w:rPr>
          <w:rFonts w:hint="eastAsia"/>
        </w:rPr>
        <w:t>主要设备包括：储罐/储池，泵（含电机、变频器）、调节阀、流量计和换热器。</w:t>
      </w:r>
    </w:p>
    <w:p w:rsidR="00AB65DB" w:rsidRDefault="007C6B50">
      <w:pPr>
        <w:pStyle w:val="af2"/>
        <w:spacing w:line="360" w:lineRule="exact"/>
        <w:ind w:firstLineChars="0" w:firstLine="0"/>
        <w:contextualSpacing/>
      </w:pPr>
      <w:r>
        <w:rPr>
          <w:rFonts w:ascii="黑体" w:eastAsia="黑体" w:hAnsi="黑体" w:hint="eastAsia"/>
        </w:rPr>
        <w:t>6.2.2</w:t>
      </w:r>
      <w:r w:rsidR="003E5084">
        <w:rPr>
          <w:rFonts w:ascii="黑体" w:eastAsia="黑体" w:hAnsi="黑体"/>
        </w:rPr>
        <w:t xml:space="preserve">  </w:t>
      </w:r>
      <w:r>
        <w:rPr>
          <w:rFonts w:hint="eastAsia"/>
        </w:rPr>
        <w:t>控制对象应为泵的启停、变频调节，或调节阀阀门开度。</w:t>
      </w:r>
    </w:p>
    <w:p w:rsidR="00AB65DB" w:rsidRDefault="007C6B50">
      <w:r>
        <w:rPr>
          <w:rFonts w:ascii="黑体" w:eastAsia="黑体" w:hAnsi="黑体" w:hint="eastAsia"/>
        </w:rPr>
        <w:t>6.2.3</w:t>
      </w:r>
      <w:r w:rsidR="003E5084">
        <w:rPr>
          <w:rFonts w:ascii="黑体" w:eastAsia="黑体" w:hAnsi="黑体"/>
        </w:rPr>
        <w:t xml:space="preserve">  </w:t>
      </w:r>
      <w:r>
        <w:rPr>
          <w:rFonts w:ascii="宋体" w:hint="eastAsia"/>
          <w:kern w:val="0"/>
        </w:rPr>
        <w:t>宜通过建立沉淀系统所需稀土原料质量与原料罐内液位、原料浓度、原料流量和管道压力之间的自动监控数学模型，实现泵的自动启停、变频调速或电动（气动）阀门开度的自动控制。</w:t>
      </w:r>
    </w:p>
    <w:p w:rsidR="00AB65DB" w:rsidRDefault="007C6B50">
      <w:pPr>
        <w:pStyle w:val="a1"/>
        <w:numPr>
          <w:ilvl w:val="1"/>
          <w:numId w:val="0"/>
        </w:numPr>
        <w:snapToGrid w:val="0"/>
        <w:spacing w:before="156" w:after="156" w:line="360" w:lineRule="exact"/>
        <w:contextualSpacing/>
        <w:rPr>
          <w:rFonts w:hAnsi="黑体"/>
          <w:szCs w:val="22"/>
        </w:rPr>
      </w:pPr>
      <w:bookmarkStart w:id="12" w:name="_Toc162717656"/>
      <w:r>
        <w:rPr>
          <w:rFonts w:hAnsi="黑体" w:hint="eastAsia"/>
          <w:szCs w:val="22"/>
        </w:rPr>
        <w:t>6.3</w:t>
      </w:r>
      <w:r w:rsidR="003E5084">
        <w:rPr>
          <w:rFonts w:hAnsi="黑体"/>
          <w:szCs w:val="22"/>
        </w:rPr>
        <w:t xml:space="preserve">  </w:t>
      </w:r>
      <w:r>
        <w:rPr>
          <w:rFonts w:hAnsi="黑体" w:hint="eastAsia"/>
          <w:szCs w:val="22"/>
        </w:rPr>
        <w:t>沉淀剂供给控制单元</w:t>
      </w:r>
      <w:bookmarkEnd w:id="12"/>
    </w:p>
    <w:p w:rsidR="00AB65DB" w:rsidRDefault="007C6B50">
      <w:pPr>
        <w:pStyle w:val="af2"/>
        <w:spacing w:line="360" w:lineRule="exact"/>
        <w:ind w:firstLineChars="0" w:firstLine="0"/>
        <w:contextualSpacing/>
      </w:pPr>
      <w:r>
        <w:rPr>
          <w:rFonts w:ascii="黑体" w:eastAsia="黑体" w:hAnsi="黑体" w:hint="eastAsia"/>
        </w:rPr>
        <w:t>6.3.1</w:t>
      </w:r>
      <w:r w:rsidR="003E5084">
        <w:rPr>
          <w:rFonts w:ascii="黑体" w:eastAsia="黑体" w:hAnsi="黑体"/>
        </w:rPr>
        <w:t xml:space="preserve">  </w:t>
      </w:r>
      <w:r>
        <w:rPr>
          <w:rFonts w:hint="eastAsia"/>
        </w:rPr>
        <w:t>主要设备包括：储罐/储池，泵（含电机、变频器）、调节阀、流量计、液位计、pH计、温度计。</w:t>
      </w:r>
    </w:p>
    <w:p w:rsidR="00AB65DB" w:rsidRDefault="007C6B50">
      <w:pPr>
        <w:pStyle w:val="af2"/>
        <w:spacing w:line="360" w:lineRule="exact"/>
        <w:ind w:firstLineChars="0" w:firstLine="0"/>
        <w:contextualSpacing/>
      </w:pPr>
      <w:r>
        <w:rPr>
          <w:rFonts w:ascii="黑体" w:eastAsia="黑体" w:hAnsi="黑体" w:hint="eastAsia"/>
        </w:rPr>
        <w:t>6.3.2</w:t>
      </w:r>
      <w:r w:rsidR="003E5084">
        <w:rPr>
          <w:rFonts w:ascii="黑体" w:eastAsia="黑体" w:hAnsi="黑体"/>
        </w:rPr>
        <w:t xml:space="preserve">  </w:t>
      </w:r>
      <w:r>
        <w:rPr>
          <w:rFonts w:hint="eastAsia"/>
        </w:rPr>
        <w:t>控制对象应为沉淀剂泵的启停、变频调节流量、沉淀剂管道压力变化和阀门的开度。</w:t>
      </w:r>
    </w:p>
    <w:p w:rsidR="00AB65DB" w:rsidRDefault="007C6B50">
      <w:pPr>
        <w:pStyle w:val="af2"/>
        <w:spacing w:line="360" w:lineRule="exact"/>
        <w:ind w:firstLineChars="0" w:firstLine="0"/>
        <w:contextualSpacing/>
      </w:pPr>
      <w:r>
        <w:rPr>
          <w:rFonts w:ascii="黑体" w:eastAsia="黑体" w:hAnsi="黑体" w:hint="eastAsia"/>
        </w:rPr>
        <w:t>6.3.3</w:t>
      </w:r>
      <w:r w:rsidR="003E5084">
        <w:t xml:space="preserve">  </w:t>
      </w:r>
      <w:r>
        <w:rPr>
          <w:rFonts w:hint="eastAsia"/>
        </w:rPr>
        <w:t>宜通过沉淀剂固体的加入量与水、蒸汽的流量，计划调配浓度、温度建立数学模型，根据反应釜配置的各个过程的参数，反馈沉淀剂浓度和温度的智能控制，实现配制过程中，泵和搅拌的自动启停、变频调速或电动（气动）阀门开度的自动控制。</w:t>
      </w:r>
    </w:p>
    <w:p w:rsidR="00AB65DB" w:rsidRDefault="007C6B50">
      <w:pPr>
        <w:pStyle w:val="af2"/>
        <w:spacing w:line="360" w:lineRule="exact"/>
        <w:ind w:firstLine="420"/>
        <w:contextualSpacing/>
      </w:pPr>
      <w:r>
        <w:rPr>
          <w:rFonts w:hint="eastAsia"/>
        </w:rPr>
        <w:lastRenderedPageBreak/>
        <w:t>宜通过沉淀剂的加入量与稀土原料流量，反应釜内稀土溶液的浓度、pH值的变量建立数学模型，根据反应釜配置的各个过程的参数，反馈沉淀剂加入量的智能控制，实现泵的自动启停、变频调速或电动（气动）阀门开度的自动控制。</w:t>
      </w:r>
    </w:p>
    <w:p w:rsidR="00AB65DB" w:rsidRDefault="007C6B50">
      <w:pPr>
        <w:pStyle w:val="a1"/>
        <w:numPr>
          <w:ilvl w:val="1"/>
          <w:numId w:val="0"/>
        </w:numPr>
        <w:snapToGrid w:val="0"/>
        <w:spacing w:before="156" w:after="156" w:line="360" w:lineRule="exact"/>
        <w:contextualSpacing/>
        <w:rPr>
          <w:rFonts w:ascii="Times New Roman"/>
          <w:szCs w:val="22"/>
        </w:rPr>
      </w:pPr>
      <w:bookmarkStart w:id="13" w:name="_Toc162717657"/>
      <w:r>
        <w:rPr>
          <w:rFonts w:hAnsi="黑体" w:hint="eastAsia"/>
          <w:szCs w:val="22"/>
        </w:rPr>
        <w:t>6.4</w:t>
      </w:r>
      <w:r>
        <w:rPr>
          <w:rFonts w:hAnsi="黑体"/>
          <w:szCs w:val="22"/>
        </w:rPr>
        <w:t xml:space="preserve"> </w:t>
      </w:r>
      <w:r w:rsidR="003E5084">
        <w:rPr>
          <w:rFonts w:hAnsi="黑体"/>
          <w:szCs w:val="22"/>
        </w:rPr>
        <w:t xml:space="preserve"> </w:t>
      </w:r>
      <w:r>
        <w:rPr>
          <w:rFonts w:ascii="Times New Roman" w:hint="eastAsia"/>
          <w:szCs w:val="22"/>
        </w:rPr>
        <w:t>沉淀过程控制单元</w:t>
      </w:r>
      <w:bookmarkEnd w:id="13"/>
    </w:p>
    <w:p w:rsidR="00AB65DB" w:rsidRDefault="007C6B50">
      <w:pPr>
        <w:pStyle w:val="af2"/>
        <w:spacing w:line="360" w:lineRule="exact"/>
        <w:ind w:firstLineChars="0" w:firstLine="0"/>
        <w:contextualSpacing/>
      </w:pPr>
      <w:r>
        <w:rPr>
          <w:rFonts w:ascii="黑体" w:eastAsia="黑体" w:hAnsi="黑体" w:hint="eastAsia"/>
        </w:rPr>
        <w:t>6.4.1</w:t>
      </w:r>
      <w:r w:rsidR="003E5084">
        <w:rPr>
          <w:rFonts w:ascii="黑体" w:eastAsia="黑体" w:hAnsi="黑体"/>
        </w:rPr>
        <w:t xml:space="preserve">  </w:t>
      </w:r>
      <w:r>
        <w:rPr>
          <w:rFonts w:hint="eastAsia"/>
        </w:rPr>
        <w:t>主要设备包括：反应釜、搅拌电机、泵（含电机、变频器）、调节阀、流量计、液位计、pH计、温度计。</w:t>
      </w:r>
    </w:p>
    <w:p w:rsidR="00AB65DB" w:rsidRDefault="007C6B50">
      <w:pPr>
        <w:pStyle w:val="af2"/>
        <w:spacing w:line="360" w:lineRule="exact"/>
        <w:ind w:firstLineChars="0" w:firstLine="0"/>
        <w:contextualSpacing/>
      </w:pPr>
      <w:r>
        <w:rPr>
          <w:rFonts w:ascii="黑体" w:eastAsia="黑体" w:hAnsi="黑体" w:hint="eastAsia"/>
        </w:rPr>
        <w:t>6.4.2</w:t>
      </w:r>
      <w:r w:rsidR="003E5084">
        <w:rPr>
          <w:rFonts w:ascii="黑体" w:eastAsia="黑体" w:hAnsi="黑体"/>
        </w:rPr>
        <w:t xml:space="preserve">  </w:t>
      </w:r>
      <w:r>
        <w:rPr>
          <w:rFonts w:hint="eastAsia"/>
        </w:rPr>
        <w:t>控制对象为进入沉淀反应釜内各时间段或各级</w:t>
      </w:r>
      <w:r>
        <w:t>pH值、粒度与相应的</w:t>
      </w:r>
      <w:r>
        <w:rPr>
          <w:rFonts w:hint="eastAsia"/>
        </w:rPr>
        <w:t>稀土原料和沉淀剂的流量</w:t>
      </w:r>
      <w:r>
        <w:t>、电动（气动）阀门开度</w:t>
      </w:r>
      <w:r>
        <w:rPr>
          <w:rFonts w:hint="eastAsia"/>
        </w:rPr>
        <w:t>；</w:t>
      </w:r>
    </w:p>
    <w:p w:rsidR="00AB65DB" w:rsidRDefault="007C6B50">
      <w:pPr>
        <w:spacing w:line="276" w:lineRule="auto"/>
      </w:pPr>
      <w:r>
        <w:rPr>
          <w:rFonts w:ascii="黑体" w:eastAsia="黑体" w:hAnsi="黑体" w:hint="eastAsia"/>
        </w:rPr>
        <w:t>6.4.3</w:t>
      </w:r>
      <w:r w:rsidR="003E5084">
        <w:rPr>
          <w:rFonts w:ascii="黑体" w:eastAsia="黑体" w:hAnsi="黑体"/>
        </w:rPr>
        <w:t xml:space="preserve">  </w:t>
      </w:r>
      <w:r>
        <w:rPr>
          <w:rFonts w:ascii="宋体" w:hint="eastAsia"/>
          <w:kern w:val="0"/>
        </w:rPr>
        <w:t>宜在通过各时间段或各级的数据反馈过程中建立稀土原料流量、沉淀剂流量建立计算模型，将采集到的反应釜内温度，稀土溶液浓度，pH值，废水浓度，稀土产品的粒度等参数通过算法，匹配相应的稀土原料流量、沉淀剂流量、蒸汽量所需量，对相应的泵、阀进行调节。</w:t>
      </w:r>
    </w:p>
    <w:p w:rsidR="00AB65DB" w:rsidRDefault="007C6B50">
      <w:pPr>
        <w:pStyle w:val="af2"/>
        <w:spacing w:line="360" w:lineRule="exact"/>
        <w:ind w:firstLineChars="0" w:firstLine="0"/>
        <w:contextualSpacing/>
      </w:pPr>
      <w:r>
        <w:rPr>
          <w:rFonts w:ascii="黑体" w:eastAsia="黑体" w:hAnsi="黑体" w:hint="eastAsia"/>
        </w:rPr>
        <w:t>6.4.4</w:t>
      </w:r>
      <w:r w:rsidR="003E5084">
        <w:rPr>
          <w:rFonts w:ascii="黑体" w:eastAsia="黑体" w:hAnsi="黑体"/>
        </w:rPr>
        <w:t xml:space="preserve">  </w:t>
      </w:r>
      <w:r>
        <w:rPr>
          <w:rFonts w:hint="eastAsia"/>
        </w:rPr>
        <w:t>应按工艺要求的顺序启停设备。</w:t>
      </w:r>
    </w:p>
    <w:p w:rsidR="00AB65DB" w:rsidRDefault="007C6B50">
      <w:pPr>
        <w:pStyle w:val="a1"/>
        <w:numPr>
          <w:ilvl w:val="1"/>
          <w:numId w:val="0"/>
        </w:numPr>
        <w:snapToGrid w:val="0"/>
        <w:spacing w:before="156" w:after="156" w:line="360" w:lineRule="exact"/>
        <w:contextualSpacing/>
        <w:rPr>
          <w:rFonts w:hAnsi="黑体"/>
          <w:szCs w:val="22"/>
        </w:rPr>
      </w:pPr>
      <w:bookmarkStart w:id="14" w:name="_Toc162717658"/>
      <w:r>
        <w:rPr>
          <w:rFonts w:hAnsi="黑体"/>
          <w:szCs w:val="22"/>
        </w:rPr>
        <w:t>6.</w:t>
      </w:r>
      <w:r>
        <w:rPr>
          <w:rFonts w:hAnsi="黑体" w:hint="eastAsia"/>
          <w:szCs w:val="22"/>
        </w:rPr>
        <w:t>5</w:t>
      </w:r>
      <w:r w:rsidR="003E5084">
        <w:rPr>
          <w:rFonts w:hAnsi="黑体"/>
          <w:szCs w:val="22"/>
        </w:rPr>
        <w:t xml:space="preserve">  </w:t>
      </w:r>
      <w:r>
        <w:rPr>
          <w:rFonts w:hAnsi="黑体" w:hint="eastAsia"/>
          <w:szCs w:val="22"/>
        </w:rPr>
        <w:t>过滤洗涤过程控制单元</w:t>
      </w:r>
      <w:bookmarkEnd w:id="14"/>
    </w:p>
    <w:p w:rsidR="00AB65DB" w:rsidRDefault="007C6B50">
      <w:pPr>
        <w:pStyle w:val="a3"/>
        <w:spacing w:line="360" w:lineRule="exact"/>
        <w:contextualSpacing/>
      </w:pPr>
      <w:r>
        <w:rPr>
          <w:rFonts w:ascii="黑体" w:eastAsia="黑体" w:hAnsi="黑体" w:hint="eastAsia"/>
          <w:kern w:val="0"/>
        </w:rPr>
        <w:t>6.5.1</w:t>
      </w:r>
      <w:r w:rsidR="003E5084">
        <w:rPr>
          <w:rFonts w:ascii="黑体" w:eastAsia="黑体" w:hAnsi="黑体"/>
          <w:kern w:val="0"/>
        </w:rPr>
        <w:t xml:space="preserve">  </w:t>
      </w:r>
      <w:r>
        <w:rPr>
          <w:rFonts w:hint="eastAsia"/>
        </w:rPr>
        <w:t>主要设备包括：过滤设备、搅拌电机、泵（含电机、变频器）、流量计、液位计、温度计。</w:t>
      </w:r>
    </w:p>
    <w:p w:rsidR="00AB65DB" w:rsidRDefault="007C6B50">
      <w:pPr>
        <w:pStyle w:val="a3"/>
        <w:spacing w:line="360" w:lineRule="exact"/>
        <w:contextualSpacing/>
      </w:pPr>
      <w:r>
        <w:rPr>
          <w:rFonts w:ascii="黑体" w:eastAsia="黑体" w:hAnsi="黑体" w:hint="eastAsia"/>
          <w:kern w:val="0"/>
        </w:rPr>
        <w:t>6.5.2</w:t>
      </w:r>
      <w:r w:rsidR="003E5084">
        <w:rPr>
          <w:rFonts w:ascii="黑体" w:eastAsia="黑体" w:hAnsi="黑体"/>
          <w:kern w:val="0"/>
        </w:rPr>
        <w:t xml:space="preserve">  </w:t>
      </w:r>
      <w:r>
        <w:rPr>
          <w:rFonts w:hint="eastAsia"/>
        </w:rPr>
        <w:t>控制对象应为浆液的液位、稀土固体过滤厚度、洗涤水量和温度的监控；对过滤设备的过滤压力或电机转速，电机运行状态监测。。</w:t>
      </w:r>
    </w:p>
    <w:p w:rsidR="00AB65DB" w:rsidRDefault="007C6B50">
      <w:pPr>
        <w:pStyle w:val="a3"/>
        <w:spacing w:line="360" w:lineRule="exact"/>
        <w:contextualSpacing/>
      </w:pPr>
      <w:r>
        <w:rPr>
          <w:rFonts w:ascii="黑体" w:eastAsia="黑体" w:hAnsi="黑体" w:hint="eastAsia"/>
          <w:kern w:val="0"/>
        </w:rPr>
        <w:t>6.5.3</w:t>
      </w:r>
      <w:r w:rsidR="003E5084">
        <w:rPr>
          <w:rFonts w:ascii="黑体" w:eastAsia="黑体" w:hAnsi="黑体"/>
          <w:kern w:val="0"/>
        </w:rPr>
        <w:t xml:space="preserve">  </w:t>
      </w:r>
      <w:r>
        <w:rPr>
          <w:rFonts w:hint="eastAsia"/>
        </w:rPr>
        <w:t>宜通过建立稀土固体过滤厚度与洗涤水量数学关系，实现洗涤水量在恒温下根据稀土固体过滤厚度自动供给控制。</w:t>
      </w:r>
    </w:p>
    <w:p w:rsidR="00AB65DB" w:rsidRDefault="007C6B50">
      <w:pPr>
        <w:pStyle w:val="a3"/>
        <w:spacing w:line="360" w:lineRule="exact"/>
        <w:contextualSpacing/>
      </w:pPr>
      <w:r>
        <w:rPr>
          <w:rFonts w:ascii="黑体" w:eastAsia="黑体" w:hAnsi="黑体" w:hint="eastAsia"/>
        </w:rPr>
        <w:t>6.5.4</w:t>
      </w:r>
      <w:r w:rsidR="003E5084">
        <w:rPr>
          <w:rFonts w:ascii="黑体" w:eastAsia="黑体" w:hAnsi="黑体"/>
        </w:rPr>
        <w:t xml:space="preserve">  </w:t>
      </w:r>
      <w:r>
        <w:rPr>
          <w:rFonts w:hint="eastAsia"/>
        </w:rPr>
        <w:t>应按工艺要求的顺序启停设备。</w:t>
      </w:r>
    </w:p>
    <w:p w:rsidR="00AB65DB" w:rsidRDefault="007C6B50">
      <w:pPr>
        <w:pStyle w:val="a1"/>
        <w:numPr>
          <w:ilvl w:val="1"/>
          <w:numId w:val="0"/>
        </w:numPr>
        <w:snapToGrid w:val="0"/>
        <w:spacing w:before="156" w:after="156" w:line="360" w:lineRule="exact"/>
        <w:contextualSpacing/>
        <w:rPr>
          <w:rFonts w:hAnsi="黑体"/>
          <w:szCs w:val="22"/>
        </w:rPr>
      </w:pPr>
      <w:bookmarkStart w:id="15" w:name="_Toc162717659"/>
      <w:r>
        <w:rPr>
          <w:rFonts w:hAnsi="黑体"/>
          <w:szCs w:val="22"/>
        </w:rPr>
        <w:t>6.</w:t>
      </w:r>
      <w:r>
        <w:rPr>
          <w:rFonts w:hAnsi="黑体" w:hint="eastAsia"/>
          <w:szCs w:val="22"/>
        </w:rPr>
        <w:t>6</w:t>
      </w:r>
      <w:r w:rsidR="003E5084">
        <w:rPr>
          <w:rFonts w:hAnsi="黑体"/>
          <w:szCs w:val="22"/>
        </w:rPr>
        <w:t xml:space="preserve"> </w:t>
      </w:r>
      <w:r>
        <w:rPr>
          <w:rFonts w:hAnsi="黑体"/>
          <w:szCs w:val="22"/>
        </w:rPr>
        <w:t xml:space="preserve"> </w:t>
      </w:r>
      <w:r>
        <w:rPr>
          <w:rFonts w:hAnsi="黑体" w:hint="eastAsia"/>
          <w:szCs w:val="22"/>
        </w:rPr>
        <w:t>废水和产品中转控制单元</w:t>
      </w:r>
      <w:bookmarkEnd w:id="15"/>
    </w:p>
    <w:p w:rsidR="00AB65DB" w:rsidRDefault="007C6B50">
      <w:pPr>
        <w:spacing w:beforeLines="50" w:before="156" w:afterLines="50" w:after="156" w:line="360" w:lineRule="exact"/>
        <w:contextualSpacing/>
        <w:rPr>
          <w:color w:val="000000"/>
        </w:rPr>
      </w:pPr>
      <w:r>
        <w:rPr>
          <w:rFonts w:ascii="黑体" w:eastAsia="黑体" w:hAnsi="黑体" w:hint="eastAsia"/>
          <w:color w:val="000000"/>
        </w:rPr>
        <w:t>6.6.1</w:t>
      </w:r>
      <w:r w:rsidR="003E5084">
        <w:rPr>
          <w:rFonts w:ascii="黑体" w:eastAsia="黑体" w:hAnsi="黑体"/>
          <w:color w:val="000000"/>
        </w:rPr>
        <w:t xml:space="preserve">  </w:t>
      </w:r>
      <w:r>
        <w:rPr>
          <w:rFonts w:hint="eastAsia"/>
          <w:color w:val="000000"/>
        </w:rPr>
        <w:t>主要设备包括：储罐</w:t>
      </w:r>
      <w:r>
        <w:rPr>
          <w:rFonts w:hint="eastAsia"/>
          <w:color w:val="000000"/>
        </w:rPr>
        <w:t>/</w:t>
      </w:r>
      <w:r>
        <w:rPr>
          <w:rFonts w:hint="eastAsia"/>
          <w:color w:val="000000"/>
        </w:rPr>
        <w:t>储池，泵（含电机、变频器）、包装设备、称重设备、调节阀、流量计、液位计。</w:t>
      </w:r>
    </w:p>
    <w:p w:rsidR="00AB65DB" w:rsidRDefault="007C6B50">
      <w:pPr>
        <w:spacing w:beforeLines="50" w:before="156" w:afterLines="50" w:after="156" w:line="360" w:lineRule="exact"/>
        <w:contextualSpacing/>
        <w:rPr>
          <w:color w:val="000000"/>
        </w:rPr>
      </w:pPr>
      <w:r>
        <w:rPr>
          <w:rFonts w:ascii="黑体" w:eastAsia="黑体" w:hAnsi="黑体" w:hint="eastAsia"/>
          <w:color w:val="000000"/>
        </w:rPr>
        <w:t>6.6.2</w:t>
      </w:r>
      <w:r w:rsidR="003E5084">
        <w:rPr>
          <w:rFonts w:ascii="黑体" w:eastAsia="黑体" w:hAnsi="黑体"/>
          <w:color w:val="000000"/>
        </w:rPr>
        <w:t xml:space="preserve">  </w:t>
      </w:r>
      <w:r>
        <w:rPr>
          <w:rFonts w:hint="eastAsia"/>
          <w:color w:val="000000"/>
        </w:rPr>
        <w:t>控制对象应为泵的启停、变频调节，</w:t>
      </w:r>
      <w:r>
        <w:rPr>
          <w:rFonts w:hint="eastAsia"/>
        </w:rPr>
        <w:t>包装设备的启停、变频调节，及调节阀阀门开度。</w:t>
      </w:r>
    </w:p>
    <w:p w:rsidR="00AB65DB" w:rsidRDefault="007C6B50">
      <w:pPr>
        <w:spacing w:line="276" w:lineRule="auto"/>
      </w:pPr>
      <w:r>
        <w:rPr>
          <w:rFonts w:ascii="黑体" w:eastAsia="黑体" w:hAnsi="黑体" w:hint="eastAsia"/>
          <w:color w:val="000000"/>
        </w:rPr>
        <w:t>6.6.3</w:t>
      </w:r>
      <w:r w:rsidR="003E5084">
        <w:rPr>
          <w:rFonts w:ascii="黑体" w:eastAsia="黑体" w:hAnsi="黑体"/>
          <w:color w:val="000000"/>
        </w:rPr>
        <w:t xml:space="preserve">  </w:t>
      </w:r>
      <w:r>
        <w:rPr>
          <w:rFonts w:hint="eastAsia"/>
        </w:rPr>
        <w:t>宜通过班产量与转接罐区储量、管道压力等参数之间的数学关系，建立智能化控制模型，实现转料泵的自动启停、阀门自动关断；变频调速或调节阀阀门开度的自动控制。</w:t>
      </w:r>
    </w:p>
    <w:p w:rsidR="00AB65DB" w:rsidRDefault="007C6B50">
      <w:pPr>
        <w:spacing w:line="276" w:lineRule="auto"/>
      </w:pPr>
      <w:r>
        <w:rPr>
          <w:rFonts w:ascii="黑体" w:eastAsia="黑体" w:hAnsi="黑体" w:hint="eastAsia"/>
          <w:color w:val="000000"/>
        </w:rPr>
        <w:t>6.6.4</w:t>
      </w:r>
      <w:r w:rsidR="003E5084">
        <w:rPr>
          <w:rFonts w:ascii="黑体" w:eastAsia="黑体" w:hAnsi="黑体"/>
          <w:color w:val="000000"/>
        </w:rPr>
        <w:t xml:space="preserve">  </w:t>
      </w:r>
      <w:r>
        <w:rPr>
          <w:rFonts w:hint="eastAsia"/>
        </w:rPr>
        <w:t>宜通过班产量与包装设备运行速度、工作节拍等参数之间的数学关系，建立智能化控制模型，实现包装设备的自动启停、变频调速等自动控制。</w:t>
      </w:r>
    </w:p>
    <w:p w:rsidR="00AB65DB" w:rsidRDefault="007C6B50">
      <w:pPr>
        <w:pStyle w:val="a1"/>
        <w:numPr>
          <w:ilvl w:val="1"/>
          <w:numId w:val="0"/>
        </w:numPr>
        <w:snapToGrid w:val="0"/>
        <w:spacing w:before="156" w:after="156" w:line="360" w:lineRule="exact"/>
        <w:contextualSpacing/>
        <w:rPr>
          <w:rFonts w:hAnsi="黑体"/>
          <w:szCs w:val="22"/>
        </w:rPr>
      </w:pPr>
      <w:bookmarkStart w:id="16" w:name="_Toc162717660"/>
      <w:r>
        <w:rPr>
          <w:rFonts w:hAnsi="黑体"/>
          <w:szCs w:val="22"/>
        </w:rPr>
        <w:t>6.</w:t>
      </w:r>
      <w:r>
        <w:rPr>
          <w:rFonts w:hAnsi="黑体" w:hint="eastAsia"/>
          <w:szCs w:val="22"/>
        </w:rPr>
        <w:t xml:space="preserve">7 </w:t>
      </w:r>
      <w:r w:rsidR="003E5084">
        <w:rPr>
          <w:rFonts w:hAnsi="黑体"/>
          <w:szCs w:val="22"/>
        </w:rPr>
        <w:t xml:space="preserve"> </w:t>
      </w:r>
      <w:r>
        <w:rPr>
          <w:rFonts w:hAnsi="黑体" w:hint="eastAsia"/>
          <w:szCs w:val="22"/>
        </w:rPr>
        <w:t>视频监控控制单元</w:t>
      </w:r>
      <w:bookmarkEnd w:id="16"/>
    </w:p>
    <w:p w:rsidR="00AB65DB" w:rsidRDefault="007C6B50">
      <w:pPr>
        <w:pStyle w:val="a3"/>
        <w:spacing w:line="360" w:lineRule="exact"/>
        <w:ind w:firstLineChars="200" w:firstLine="420"/>
        <w:contextualSpacing/>
      </w:pPr>
      <w:r>
        <w:rPr>
          <w:rFonts w:hint="eastAsia"/>
          <w:color w:val="000000" w:themeColor="text1"/>
        </w:rPr>
        <w:t>工艺单元视频监控的主要监控对象、安装位置、安装数量、功能要求应满足智慧沉淀生产线安防需要以及生产运维管理需求。</w:t>
      </w:r>
    </w:p>
    <w:p w:rsidR="00AB65DB" w:rsidRDefault="007C6B50">
      <w:pPr>
        <w:pStyle w:val="a1"/>
        <w:numPr>
          <w:ilvl w:val="0"/>
          <w:numId w:val="0"/>
        </w:numPr>
        <w:snapToGrid w:val="0"/>
        <w:spacing w:beforeLines="100" w:before="312" w:afterLines="100" w:after="312" w:line="360" w:lineRule="exact"/>
        <w:rPr>
          <w:rFonts w:hAnsi="黑体"/>
          <w:szCs w:val="22"/>
        </w:rPr>
      </w:pPr>
      <w:bookmarkStart w:id="17" w:name="_Toc162717661"/>
      <w:r>
        <w:rPr>
          <w:rFonts w:hAnsi="黑体" w:hint="eastAsia"/>
          <w:szCs w:val="22"/>
        </w:rPr>
        <w:t>7  设备技术要求</w:t>
      </w:r>
      <w:bookmarkEnd w:id="17"/>
    </w:p>
    <w:p w:rsidR="00AB65DB" w:rsidRDefault="007C6B50">
      <w:pPr>
        <w:pStyle w:val="a1"/>
        <w:numPr>
          <w:ilvl w:val="0"/>
          <w:numId w:val="0"/>
        </w:numPr>
        <w:snapToGrid w:val="0"/>
        <w:spacing w:before="156" w:after="156" w:line="360" w:lineRule="exact"/>
        <w:contextualSpacing/>
        <w:rPr>
          <w:rFonts w:hAnsi="黑体"/>
          <w:szCs w:val="22"/>
        </w:rPr>
      </w:pPr>
      <w:bookmarkStart w:id="18" w:name="_Toc162717662"/>
      <w:r>
        <w:rPr>
          <w:rFonts w:hAnsi="黑体"/>
          <w:szCs w:val="22"/>
        </w:rPr>
        <w:t>7.1</w:t>
      </w:r>
      <w:r>
        <w:rPr>
          <w:rFonts w:hAnsi="黑体" w:hint="eastAsia"/>
          <w:szCs w:val="22"/>
        </w:rPr>
        <w:t xml:space="preserve"> </w:t>
      </w:r>
      <w:r w:rsidR="003E5084">
        <w:rPr>
          <w:rFonts w:hAnsi="黑体"/>
          <w:szCs w:val="22"/>
        </w:rPr>
        <w:t xml:space="preserve"> </w:t>
      </w:r>
      <w:r>
        <w:rPr>
          <w:rFonts w:hAnsi="黑体" w:hint="eastAsia"/>
          <w:szCs w:val="22"/>
        </w:rPr>
        <w:t>设备仪表及接口要求</w:t>
      </w:r>
      <w:bookmarkEnd w:id="18"/>
    </w:p>
    <w:p w:rsidR="00AB65DB" w:rsidRDefault="007C6B50">
      <w:pPr>
        <w:spacing w:line="360" w:lineRule="exact"/>
        <w:contextualSpacing/>
      </w:pPr>
      <w:r>
        <w:rPr>
          <w:rFonts w:ascii="黑体" w:eastAsia="黑体" w:hAnsi="黑体"/>
          <w:szCs w:val="21"/>
        </w:rPr>
        <w:lastRenderedPageBreak/>
        <w:t>7.1.1</w:t>
      </w:r>
      <w:r w:rsidR="003E5084">
        <w:rPr>
          <w:rFonts w:ascii="黑体" w:eastAsia="黑体" w:hAnsi="黑体"/>
          <w:szCs w:val="21"/>
        </w:rPr>
        <w:t xml:space="preserve">  </w:t>
      </w:r>
      <w:r>
        <w:rPr>
          <w:rFonts w:hint="eastAsia"/>
        </w:rPr>
        <w:t>搅拌电机技术要求应符合下列规定：</w:t>
      </w:r>
    </w:p>
    <w:p w:rsidR="00AB65DB" w:rsidRDefault="007C6B50">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搅拌电机的类型：永磁同步电机；</w:t>
      </w:r>
    </w:p>
    <w:p w:rsidR="00AB65DB" w:rsidRDefault="007C6B50">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搅拌电机的连接方式：直连；</w:t>
      </w:r>
    </w:p>
    <w:p w:rsidR="00AB65DB" w:rsidRDefault="007C6B50">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搅拌电机的能效等级：一级；</w:t>
      </w:r>
    </w:p>
    <w:p w:rsidR="00AB65DB" w:rsidRDefault="007C6B50">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搅拌电机的防护等级：</w:t>
      </w:r>
      <w:r>
        <w:rPr>
          <w:rFonts w:hint="eastAsia"/>
        </w:rPr>
        <w:t>IP65</w:t>
      </w:r>
      <w:r>
        <w:rPr>
          <w:rFonts w:hint="eastAsia"/>
        </w:rPr>
        <w:t>。</w:t>
      </w:r>
    </w:p>
    <w:p w:rsidR="00AB65DB" w:rsidRDefault="007C6B50">
      <w:pPr>
        <w:spacing w:line="360" w:lineRule="exact"/>
        <w:contextualSpacing/>
        <w:rPr>
          <w:rFonts w:asciiTheme="minorEastAsia" w:eastAsiaTheme="minorEastAsia" w:hAnsiTheme="minorEastAsia"/>
          <w:szCs w:val="21"/>
        </w:rPr>
      </w:pPr>
      <w:r>
        <w:rPr>
          <w:rFonts w:ascii="黑体" w:eastAsia="黑体" w:hAnsi="黑体"/>
          <w:szCs w:val="21"/>
        </w:rPr>
        <w:t xml:space="preserve">7.1.2 </w:t>
      </w:r>
      <w:r w:rsidR="003E5084">
        <w:rPr>
          <w:rFonts w:ascii="黑体" w:eastAsia="黑体" w:hAnsi="黑体"/>
          <w:szCs w:val="21"/>
        </w:rPr>
        <w:t xml:space="preserve"> </w:t>
      </w:r>
      <w:r>
        <w:rPr>
          <w:rFonts w:asciiTheme="minorEastAsia" w:eastAsiaTheme="minorEastAsia" w:hAnsiTheme="minorEastAsia" w:hint="eastAsia"/>
          <w:szCs w:val="21"/>
        </w:rPr>
        <w:t>泵的技术要求</w:t>
      </w:r>
    </w:p>
    <w:p w:rsidR="00AB65DB" w:rsidRDefault="007C6B50">
      <w:pPr>
        <w:spacing w:beforeLines="50" w:before="156" w:afterLines="50" w:after="156"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泵的结构形式：卧式变频泵，结构形式为水平吸入，垂直排出；</w:t>
      </w:r>
    </w:p>
    <w:p w:rsidR="00AB65DB" w:rsidRDefault="007C6B50">
      <w:pPr>
        <w:spacing w:beforeLines="50" w:before="156" w:afterLines="50" w:after="156"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泵的密封形式：机械密封结合工况，适用强酸、耐腐蚀、浆料的材质。并保证机械密封耐磨、耐腐、耐压、防结晶；</w:t>
      </w:r>
    </w:p>
    <w:p w:rsidR="00AB65DB" w:rsidRDefault="007C6B50">
      <w:pPr>
        <w:spacing w:beforeLines="50" w:before="156" w:afterLines="50" w:after="156"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泵的能效等级：一级；</w:t>
      </w:r>
    </w:p>
    <w:p w:rsidR="00AB65DB" w:rsidRDefault="007C6B50">
      <w:pPr>
        <w:snapToGrid w:val="0"/>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泵的防护等级：</w:t>
      </w:r>
      <w:r>
        <w:rPr>
          <w:rFonts w:hint="eastAsia"/>
        </w:rPr>
        <w:t>IP65</w:t>
      </w:r>
      <w:r>
        <w:rPr>
          <w:rFonts w:hint="eastAsia"/>
        </w:rPr>
        <w:t>。</w:t>
      </w:r>
    </w:p>
    <w:p w:rsidR="00AB65DB" w:rsidRDefault="007C6B50">
      <w:pPr>
        <w:pStyle w:val="a3"/>
        <w:snapToGrid w:val="0"/>
        <w:spacing w:line="360" w:lineRule="exact"/>
        <w:contextualSpacing/>
        <w:rPr>
          <w:rFonts w:ascii="黑体" w:eastAsia="黑体" w:hAnsi="黑体"/>
        </w:rPr>
      </w:pPr>
      <w:r>
        <w:rPr>
          <w:rFonts w:ascii="黑体" w:eastAsia="黑体" w:hAnsi="黑体" w:hint="eastAsia"/>
        </w:rPr>
        <w:t>7.1.3</w:t>
      </w:r>
      <w:r w:rsidR="003E5084">
        <w:rPr>
          <w:rFonts w:ascii="黑体" w:eastAsia="黑体" w:hAnsi="黑体"/>
        </w:rPr>
        <w:t xml:space="preserve">  </w:t>
      </w:r>
      <w:r>
        <w:rPr>
          <w:rFonts w:asciiTheme="minorEastAsia" w:eastAsiaTheme="minorEastAsia" w:hAnsiTheme="minorEastAsia" w:hint="eastAsia"/>
        </w:rPr>
        <w:t>监测仪表的技术要求</w:t>
      </w:r>
    </w:p>
    <w:p w:rsidR="00AB65DB" w:rsidRDefault="007C6B50">
      <w:pPr>
        <w:pStyle w:val="a3"/>
        <w:spacing w:line="360" w:lineRule="exact"/>
        <w:contextualSpacing/>
      </w:pPr>
      <w:r>
        <w:rPr>
          <w:rFonts w:ascii="黑体" w:eastAsia="黑体" w:hAnsi="黑体" w:hint="eastAsia"/>
          <w:szCs w:val="21"/>
        </w:rPr>
        <w:t>7.1.3.1</w:t>
      </w:r>
      <w:r w:rsidR="003E5084">
        <w:rPr>
          <w:rFonts w:ascii="黑体" w:eastAsia="黑体" w:hAnsi="黑体"/>
          <w:szCs w:val="21"/>
        </w:rPr>
        <w:t xml:space="preserve">  </w:t>
      </w:r>
      <w:r>
        <w:rPr>
          <w:rFonts w:hint="eastAsia"/>
        </w:rPr>
        <w:t>流量计的技术要求</w:t>
      </w:r>
    </w:p>
    <w:p w:rsidR="00AB65DB" w:rsidRDefault="007C6B50">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流量计的流速范围：±</w:t>
      </w:r>
      <w:r>
        <w:rPr>
          <w:rFonts w:hint="eastAsia"/>
        </w:rPr>
        <w:t>10 m/s</w:t>
      </w:r>
      <w:r>
        <w:rPr>
          <w:rFonts w:hint="eastAsia"/>
        </w:rPr>
        <w:t>；</w:t>
      </w:r>
    </w:p>
    <w:p w:rsidR="00AB65DB" w:rsidRDefault="007C6B50">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流量计的功能：测量、指示和传送管道内介质的流量、状态；</w:t>
      </w:r>
    </w:p>
    <w:p w:rsidR="00AB65DB" w:rsidRDefault="007C6B50">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流量计的组成：传感器、变送器，电缆；</w:t>
      </w:r>
    </w:p>
    <w:p w:rsidR="00AB65DB" w:rsidRDefault="007C6B50">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流量计的测量精度：</w:t>
      </w:r>
      <w:r>
        <w:rPr>
          <w:rFonts w:hint="eastAsia"/>
        </w:rPr>
        <w:t xml:space="preserve"> 0.5%</w:t>
      </w:r>
      <w:r>
        <w:rPr>
          <w:rFonts w:hint="eastAsia"/>
        </w:rPr>
        <w:t>；</w:t>
      </w:r>
    </w:p>
    <w:p w:rsidR="00AB65DB" w:rsidRPr="00D9348E" w:rsidRDefault="007C6B50">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hint="eastAsia"/>
          <w:color w:val="000000"/>
          <w:kern w:val="0"/>
        </w:rPr>
        <w:t xml:space="preserve"> </w:t>
      </w:r>
      <w:r>
        <w:rPr>
          <w:rFonts w:hint="eastAsia"/>
        </w:rPr>
        <w:t>流量计的环境温度</w:t>
      </w:r>
      <w:r w:rsidRPr="00D9348E">
        <w:rPr>
          <w:rFonts w:hint="eastAsia"/>
        </w:rPr>
        <w:t>：</w:t>
      </w:r>
      <w:r w:rsidRPr="00D9348E">
        <w:rPr>
          <w:rFonts w:hint="eastAsia"/>
        </w:rPr>
        <w:t xml:space="preserve"> -25 </w:t>
      </w:r>
      <w:r w:rsidRPr="00D9348E">
        <w:rPr>
          <w:rFonts w:hint="eastAsia"/>
        </w:rPr>
        <w:t>℃</w:t>
      </w:r>
      <w:r w:rsidRPr="00D9348E">
        <w:rPr>
          <w:rFonts w:hint="eastAsia"/>
        </w:rPr>
        <w:t xml:space="preserve">~40 </w:t>
      </w:r>
      <w:r w:rsidRPr="00D9348E">
        <w:rPr>
          <w:rFonts w:hint="eastAsia"/>
        </w:rPr>
        <w:t>℃；</w:t>
      </w:r>
    </w:p>
    <w:p w:rsidR="00AB65DB" w:rsidRPr="00D9348E" w:rsidRDefault="007C6B50">
      <w:pPr>
        <w:pStyle w:val="a3"/>
        <w:spacing w:line="360" w:lineRule="exact"/>
        <w:ind w:firstLineChars="200" w:firstLine="420"/>
        <w:contextualSpacing/>
      </w:pPr>
      <w:r w:rsidRPr="00D9348E">
        <w:rPr>
          <w:rFonts w:hint="eastAsia"/>
          <w:kern w:val="0"/>
        </w:rPr>
        <w:t>f</w:t>
      </w:r>
      <w:r w:rsidRPr="00D9348E">
        <w:rPr>
          <w:rFonts w:hint="eastAsia"/>
          <w:kern w:val="0"/>
        </w:rPr>
        <w:t>）</w:t>
      </w:r>
      <w:r w:rsidRPr="00D9348E">
        <w:rPr>
          <w:rFonts w:hint="eastAsia"/>
          <w:kern w:val="0"/>
        </w:rPr>
        <w:t xml:space="preserve"> </w:t>
      </w:r>
      <w:r w:rsidRPr="00D9348E">
        <w:rPr>
          <w:rFonts w:hint="eastAsia"/>
        </w:rPr>
        <w:t>流量计的工作温度：</w:t>
      </w:r>
      <w:r w:rsidRPr="00D9348E">
        <w:rPr>
          <w:rFonts w:hint="eastAsia"/>
        </w:rPr>
        <w:t xml:space="preserve"> -25 </w:t>
      </w:r>
      <w:r w:rsidRPr="00D9348E">
        <w:rPr>
          <w:rFonts w:hint="eastAsia"/>
        </w:rPr>
        <w:t>℃</w:t>
      </w:r>
      <w:r w:rsidRPr="00D9348E">
        <w:rPr>
          <w:rFonts w:hint="eastAsia"/>
        </w:rPr>
        <w:t xml:space="preserve">~80 </w:t>
      </w:r>
      <w:r w:rsidRPr="00D9348E">
        <w:rPr>
          <w:rFonts w:hint="eastAsia"/>
        </w:rPr>
        <w:t>℃；</w:t>
      </w:r>
    </w:p>
    <w:p w:rsidR="00AB65DB" w:rsidRPr="00D9348E" w:rsidRDefault="007C6B50">
      <w:pPr>
        <w:pStyle w:val="a3"/>
        <w:spacing w:line="360" w:lineRule="exact"/>
        <w:ind w:firstLineChars="200" w:firstLine="420"/>
        <w:contextualSpacing/>
      </w:pPr>
      <w:r w:rsidRPr="00D9348E">
        <w:rPr>
          <w:rFonts w:hint="eastAsia"/>
          <w:kern w:val="0"/>
        </w:rPr>
        <w:t>g</w:t>
      </w:r>
      <w:r w:rsidRPr="00D9348E">
        <w:rPr>
          <w:rFonts w:hint="eastAsia"/>
          <w:kern w:val="0"/>
        </w:rPr>
        <w:t>）</w:t>
      </w:r>
      <w:r w:rsidRPr="00D9348E">
        <w:rPr>
          <w:rFonts w:hint="eastAsia"/>
          <w:kern w:val="0"/>
        </w:rPr>
        <w:t xml:space="preserve"> </w:t>
      </w:r>
      <w:r w:rsidRPr="00D9348E">
        <w:rPr>
          <w:rFonts w:hint="eastAsia"/>
        </w:rPr>
        <w:t>流量计的最高工作压力：</w:t>
      </w:r>
      <w:r w:rsidRPr="00D9348E">
        <w:rPr>
          <w:rFonts w:hint="eastAsia"/>
        </w:rPr>
        <w:t xml:space="preserve">  1.6 Mpa</w:t>
      </w:r>
      <w:r w:rsidRPr="00D9348E">
        <w:rPr>
          <w:rFonts w:hint="eastAsia"/>
        </w:rPr>
        <w:t>，特殊压力可定制；</w:t>
      </w:r>
    </w:p>
    <w:p w:rsidR="00AB65DB" w:rsidRPr="00D9348E" w:rsidRDefault="007C6B50">
      <w:pPr>
        <w:pStyle w:val="a3"/>
        <w:spacing w:line="360" w:lineRule="exact"/>
        <w:ind w:firstLineChars="200" w:firstLine="420"/>
        <w:contextualSpacing/>
      </w:pPr>
      <w:r w:rsidRPr="00D9348E">
        <w:rPr>
          <w:rFonts w:hint="eastAsia"/>
          <w:kern w:val="0"/>
        </w:rPr>
        <w:t>h</w:t>
      </w:r>
      <w:r w:rsidRPr="00D9348E">
        <w:rPr>
          <w:rFonts w:hint="eastAsia"/>
          <w:kern w:val="0"/>
        </w:rPr>
        <w:t>）</w:t>
      </w:r>
      <w:r w:rsidRPr="00D9348E">
        <w:rPr>
          <w:rFonts w:hint="eastAsia"/>
          <w:kern w:val="0"/>
        </w:rPr>
        <w:t xml:space="preserve"> </w:t>
      </w:r>
      <w:r w:rsidRPr="00D9348E">
        <w:rPr>
          <w:rFonts w:hint="eastAsia"/>
        </w:rPr>
        <w:t>流量计的自动功能：现场操作、断电自动储存数据、预置故障反馈；</w:t>
      </w:r>
    </w:p>
    <w:p w:rsidR="00AB65DB" w:rsidRPr="00D9348E" w:rsidRDefault="007C6B50">
      <w:pPr>
        <w:pStyle w:val="a3"/>
        <w:spacing w:line="360" w:lineRule="exact"/>
        <w:ind w:firstLineChars="200" w:firstLine="420"/>
        <w:contextualSpacing/>
      </w:pPr>
      <w:r w:rsidRPr="00D9348E">
        <w:rPr>
          <w:rFonts w:hint="eastAsia"/>
          <w:kern w:val="0"/>
        </w:rPr>
        <w:t>i</w:t>
      </w:r>
      <w:r w:rsidRPr="00D9348E">
        <w:rPr>
          <w:rFonts w:hint="eastAsia"/>
          <w:kern w:val="0"/>
        </w:rPr>
        <w:t>）</w:t>
      </w:r>
      <w:r w:rsidRPr="00D9348E">
        <w:rPr>
          <w:rFonts w:hint="eastAsia"/>
          <w:kern w:val="0"/>
        </w:rPr>
        <w:t xml:space="preserve"> </w:t>
      </w:r>
      <w:r w:rsidRPr="00D9348E">
        <w:rPr>
          <w:rFonts w:hint="eastAsia"/>
        </w:rPr>
        <w:t>流量计的数据显示：</w:t>
      </w:r>
      <w:r w:rsidRPr="00D9348E">
        <w:rPr>
          <w:rFonts w:hint="eastAsia"/>
        </w:rPr>
        <w:t xml:space="preserve"> LCD</w:t>
      </w:r>
      <w:r w:rsidRPr="00D9348E">
        <w:rPr>
          <w:rFonts w:hint="eastAsia"/>
        </w:rPr>
        <w:t>发光数码显示；</w:t>
      </w:r>
    </w:p>
    <w:p w:rsidR="00AB65DB" w:rsidRPr="00D9348E" w:rsidRDefault="007C6B50">
      <w:pPr>
        <w:pStyle w:val="a3"/>
        <w:spacing w:line="360" w:lineRule="exact"/>
        <w:ind w:firstLineChars="200" w:firstLine="420"/>
        <w:contextualSpacing/>
      </w:pPr>
      <w:r w:rsidRPr="00D9348E">
        <w:rPr>
          <w:rFonts w:hint="eastAsia"/>
          <w:kern w:val="0"/>
        </w:rPr>
        <w:t>j</w:t>
      </w:r>
      <w:r w:rsidRPr="00D9348E">
        <w:rPr>
          <w:rFonts w:hint="eastAsia"/>
          <w:kern w:val="0"/>
        </w:rPr>
        <w:t>）</w:t>
      </w:r>
      <w:r w:rsidRPr="00D9348E">
        <w:rPr>
          <w:rFonts w:hint="eastAsia"/>
          <w:kern w:val="0"/>
        </w:rPr>
        <w:t xml:space="preserve"> </w:t>
      </w:r>
      <w:r w:rsidRPr="00D9348E">
        <w:rPr>
          <w:rFonts w:hint="eastAsia"/>
        </w:rPr>
        <w:t>流量计的灵活性：体积流量、累积流量、流速、设定及出错数据、反向流量标示等，低流量切除、</w:t>
      </w:r>
      <w:r w:rsidRPr="00D9348E">
        <w:rPr>
          <w:rFonts w:hint="eastAsia"/>
        </w:rPr>
        <w:t xml:space="preserve"> </w:t>
      </w:r>
      <w:r w:rsidRPr="00D9348E">
        <w:rPr>
          <w:rFonts w:hint="eastAsia"/>
        </w:rPr>
        <w:t>最大流量的</w:t>
      </w:r>
      <w:r w:rsidRPr="00D9348E">
        <w:rPr>
          <w:rFonts w:hint="eastAsia"/>
        </w:rPr>
        <w:t>0</w:t>
      </w:r>
      <w:r w:rsidRPr="00D9348E">
        <w:rPr>
          <w:rFonts w:hint="eastAsia"/>
        </w:rPr>
        <w:t>％～</w:t>
      </w:r>
      <w:r w:rsidRPr="00D9348E">
        <w:rPr>
          <w:rFonts w:hint="eastAsia"/>
        </w:rPr>
        <w:t>9.9</w:t>
      </w:r>
      <w:r w:rsidRPr="00D9348E">
        <w:rPr>
          <w:rFonts w:hint="eastAsia"/>
        </w:rPr>
        <w:t>％可调；</w:t>
      </w:r>
    </w:p>
    <w:p w:rsidR="00AB65DB" w:rsidRPr="00D9348E" w:rsidRDefault="007C6B50">
      <w:pPr>
        <w:pStyle w:val="a3"/>
        <w:spacing w:line="360" w:lineRule="exact"/>
        <w:ind w:firstLineChars="200" w:firstLine="420"/>
        <w:contextualSpacing/>
      </w:pPr>
      <w:r w:rsidRPr="00D9348E">
        <w:rPr>
          <w:rFonts w:hint="eastAsia"/>
          <w:kern w:val="0"/>
        </w:rPr>
        <w:t>k</w:t>
      </w:r>
      <w:r w:rsidRPr="00D9348E">
        <w:rPr>
          <w:rFonts w:hint="eastAsia"/>
          <w:kern w:val="0"/>
        </w:rPr>
        <w:t>）</w:t>
      </w:r>
      <w:r w:rsidRPr="00D9348E">
        <w:rPr>
          <w:rFonts w:hint="eastAsia"/>
          <w:kern w:val="0"/>
        </w:rPr>
        <w:t xml:space="preserve"> </w:t>
      </w:r>
      <w:r w:rsidRPr="00D9348E">
        <w:rPr>
          <w:rFonts w:hint="eastAsia"/>
        </w:rPr>
        <w:t>流量计的信号输出：（</w:t>
      </w:r>
      <w:r w:rsidRPr="00D9348E">
        <w:rPr>
          <w:rFonts w:hint="eastAsia"/>
        </w:rPr>
        <w:t>4 mA</w:t>
      </w:r>
      <w:r w:rsidRPr="00D9348E">
        <w:rPr>
          <w:rFonts w:hint="eastAsia"/>
        </w:rPr>
        <w:t>～</w:t>
      </w:r>
      <w:r w:rsidRPr="00D9348E">
        <w:rPr>
          <w:rFonts w:hint="eastAsia"/>
        </w:rPr>
        <w:t>20 mA</w:t>
      </w:r>
      <w:r w:rsidRPr="00D9348E">
        <w:rPr>
          <w:rFonts w:hint="eastAsia"/>
        </w:rPr>
        <w:t>）</w:t>
      </w:r>
      <w:r w:rsidRPr="00D9348E">
        <w:rPr>
          <w:rFonts w:hint="eastAsia"/>
        </w:rPr>
        <w:t>/RS485</w:t>
      </w:r>
      <w:r w:rsidRPr="00D9348E">
        <w:rPr>
          <w:rFonts w:hint="eastAsia"/>
        </w:rPr>
        <w:t>。</w:t>
      </w:r>
    </w:p>
    <w:p w:rsidR="00AB65DB" w:rsidRPr="00D9348E" w:rsidRDefault="007C6B50">
      <w:pPr>
        <w:pStyle w:val="a3"/>
        <w:spacing w:line="360" w:lineRule="exact"/>
        <w:contextualSpacing/>
      </w:pPr>
      <w:r w:rsidRPr="00D9348E">
        <w:rPr>
          <w:rFonts w:ascii="黑体" w:eastAsia="黑体" w:hAnsi="黑体" w:hint="eastAsia"/>
          <w:szCs w:val="21"/>
        </w:rPr>
        <w:t>7.1.3.2</w:t>
      </w:r>
      <w:r w:rsidR="003E5084">
        <w:rPr>
          <w:rFonts w:ascii="黑体" w:eastAsia="黑体" w:hAnsi="黑体"/>
          <w:szCs w:val="21"/>
        </w:rPr>
        <w:t xml:space="preserve">  </w:t>
      </w:r>
      <w:r w:rsidRPr="00D9348E">
        <w:rPr>
          <w:rFonts w:hint="eastAsia"/>
        </w:rPr>
        <w:t>液位计的技术要求</w:t>
      </w:r>
    </w:p>
    <w:p w:rsidR="00AB65DB" w:rsidRPr="00D9348E" w:rsidRDefault="007C6B50">
      <w:pPr>
        <w:pStyle w:val="a3"/>
        <w:spacing w:line="360" w:lineRule="exact"/>
        <w:ind w:firstLineChars="200" w:firstLine="420"/>
        <w:contextualSpacing/>
      </w:pPr>
      <w:r w:rsidRPr="00D9348E">
        <w:rPr>
          <w:rFonts w:hint="eastAsia"/>
          <w:kern w:val="0"/>
        </w:rPr>
        <w:t>a</w:t>
      </w:r>
      <w:r w:rsidRPr="00D9348E">
        <w:rPr>
          <w:rFonts w:hint="eastAsia"/>
          <w:kern w:val="0"/>
        </w:rPr>
        <w:t>）</w:t>
      </w:r>
      <w:r w:rsidRPr="00D9348E">
        <w:rPr>
          <w:rFonts w:hint="eastAsia"/>
          <w:kern w:val="0"/>
        </w:rPr>
        <w:t xml:space="preserve"> </w:t>
      </w:r>
      <w:r w:rsidRPr="00D9348E">
        <w:rPr>
          <w:rFonts w:hint="eastAsia"/>
        </w:rPr>
        <w:t>液位计的量程范围：</w:t>
      </w:r>
      <w:r w:rsidRPr="00D9348E">
        <w:rPr>
          <w:rFonts w:hint="eastAsia"/>
        </w:rPr>
        <w:t>0 m</w:t>
      </w:r>
      <w:r w:rsidRPr="00D9348E">
        <w:rPr>
          <w:rFonts w:hint="eastAsia"/>
        </w:rPr>
        <w:t>～</w:t>
      </w:r>
      <w:r w:rsidRPr="00D9348E">
        <w:rPr>
          <w:rFonts w:hint="eastAsia"/>
        </w:rPr>
        <w:t>10 m</w:t>
      </w:r>
      <w:r w:rsidRPr="00D9348E">
        <w:rPr>
          <w:rFonts w:hint="eastAsia"/>
        </w:rPr>
        <w:t>；</w:t>
      </w:r>
    </w:p>
    <w:p w:rsidR="00AB65DB" w:rsidRPr="00D9348E" w:rsidRDefault="007C6B50">
      <w:pPr>
        <w:pStyle w:val="a3"/>
        <w:spacing w:line="360" w:lineRule="exact"/>
        <w:ind w:firstLineChars="200" w:firstLine="420"/>
        <w:contextualSpacing/>
      </w:pPr>
      <w:r w:rsidRPr="00D9348E">
        <w:rPr>
          <w:rFonts w:hint="eastAsia"/>
          <w:kern w:val="0"/>
        </w:rPr>
        <w:t>b</w:t>
      </w:r>
      <w:r w:rsidRPr="00D9348E">
        <w:rPr>
          <w:rFonts w:hint="eastAsia"/>
          <w:kern w:val="0"/>
        </w:rPr>
        <w:t>）</w:t>
      </w:r>
      <w:r w:rsidRPr="00D9348E">
        <w:rPr>
          <w:rFonts w:hint="eastAsia"/>
          <w:kern w:val="0"/>
        </w:rPr>
        <w:t xml:space="preserve"> </w:t>
      </w:r>
      <w:r w:rsidRPr="00D9348E">
        <w:rPr>
          <w:rFonts w:hint="eastAsia"/>
        </w:rPr>
        <w:t>液位计的量程：</w:t>
      </w:r>
      <w:r w:rsidRPr="00D9348E">
        <w:rPr>
          <w:rFonts w:hint="eastAsia"/>
        </w:rPr>
        <w:t>3 m</w:t>
      </w:r>
      <w:r w:rsidRPr="00D9348E">
        <w:rPr>
          <w:rFonts w:hint="eastAsia"/>
        </w:rPr>
        <w:t>、</w:t>
      </w:r>
      <w:r w:rsidRPr="00D9348E">
        <w:rPr>
          <w:rFonts w:hint="eastAsia"/>
        </w:rPr>
        <w:t>5 m</w:t>
      </w:r>
      <w:r w:rsidRPr="00D9348E">
        <w:rPr>
          <w:rFonts w:hint="eastAsia"/>
        </w:rPr>
        <w:t>、</w:t>
      </w:r>
      <w:r w:rsidRPr="00D9348E">
        <w:rPr>
          <w:rFonts w:hint="eastAsia"/>
        </w:rPr>
        <w:t>8 m</w:t>
      </w:r>
      <w:r w:rsidRPr="00D9348E">
        <w:rPr>
          <w:rFonts w:hint="eastAsia"/>
        </w:rPr>
        <w:t>、</w:t>
      </w:r>
      <w:r w:rsidRPr="00D9348E">
        <w:rPr>
          <w:rFonts w:hint="eastAsia"/>
        </w:rPr>
        <w:t>10 m</w:t>
      </w:r>
      <w:r w:rsidRPr="00D9348E">
        <w:rPr>
          <w:rFonts w:hint="eastAsia"/>
        </w:rPr>
        <w:t>（可选）；</w:t>
      </w:r>
    </w:p>
    <w:p w:rsidR="00AB65DB" w:rsidRPr="00D9348E" w:rsidRDefault="007C6B50">
      <w:pPr>
        <w:pStyle w:val="a3"/>
        <w:spacing w:line="360" w:lineRule="exact"/>
        <w:ind w:firstLineChars="200" w:firstLine="420"/>
        <w:contextualSpacing/>
      </w:pPr>
      <w:r w:rsidRPr="00D9348E">
        <w:rPr>
          <w:rFonts w:hint="eastAsia"/>
          <w:kern w:val="0"/>
        </w:rPr>
        <w:t>c</w:t>
      </w:r>
      <w:r w:rsidRPr="00D9348E">
        <w:rPr>
          <w:rFonts w:hint="eastAsia"/>
          <w:kern w:val="0"/>
        </w:rPr>
        <w:t>）</w:t>
      </w:r>
      <w:r w:rsidRPr="00D9348E">
        <w:rPr>
          <w:rFonts w:hint="eastAsia"/>
          <w:kern w:val="0"/>
        </w:rPr>
        <w:t xml:space="preserve"> </w:t>
      </w:r>
      <w:r w:rsidRPr="00D9348E">
        <w:rPr>
          <w:rFonts w:hint="eastAsia"/>
        </w:rPr>
        <w:t>液位计的控制：二</w:t>
      </w:r>
      <w:r w:rsidRPr="00D9348E">
        <w:rPr>
          <w:rFonts w:hint="eastAsia"/>
        </w:rPr>
        <w:t>/</w:t>
      </w:r>
      <w:r w:rsidRPr="00D9348E">
        <w:rPr>
          <w:rFonts w:hint="eastAsia"/>
        </w:rPr>
        <w:t>四路继电器</w:t>
      </w:r>
      <w:r w:rsidRPr="00D9348E">
        <w:rPr>
          <w:rFonts w:hint="eastAsia"/>
        </w:rPr>
        <w:t xml:space="preserve"> </w:t>
      </w:r>
      <w:r w:rsidRPr="00D9348E">
        <w:rPr>
          <w:rFonts w:hint="eastAsia"/>
        </w:rPr>
        <w:t>；</w:t>
      </w:r>
    </w:p>
    <w:p w:rsidR="00AB65DB" w:rsidRPr="00D9348E" w:rsidRDefault="007C6B50">
      <w:pPr>
        <w:pStyle w:val="a3"/>
        <w:spacing w:line="360" w:lineRule="exact"/>
        <w:ind w:firstLineChars="200" w:firstLine="420"/>
        <w:contextualSpacing/>
      </w:pPr>
      <w:r w:rsidRPr="00D9348E">
        <w:rPr>
          <w:rFonts w:hint="eastAsia"/>
          <w:kern w:val="0"/>
        </w:rPr>
        <w:t>d</w:t>
      </w:r>
      <w:r w:rsidRPr="00D9348E">
        <w:rPr>
          <w:rFonts w:hint="eastAsia"/>
          <w:kern w:val="0"/>
        </w:rPr>
        <w:t>）</w:t>
      </w:r>
      <w:r w:rsidRPr="00D9348E">
        <w:rPr>
          <w:rFonts w:hint="eastAsia"/>
          <w:kern w:val="0"/>
        </w:rPr>
        <w:t xml:space="preserve"> </w:t>
      </w:r>
      <w:r w:rsidRPr="00D9348E">
        <w:rPr>
          <w:rFonts w:hint="eastAsia"/>
        </w:rPr>
        <w:t>液位计的压力：常压；</w:t>
      </w:r>
    </w:p>
    <w:p w:rsidR="00AB65DB" w:rsidRPr="00D9348E" w:rsidRDefault="007C6B50">
      <w:pPr>
        <w:pStyle w:val="a3"/>
        <w:spacing w:line="360" w:lineRule="exact"/>
        <w:ind w:firstLineChars="200" w:firstLine="420"/>
        <w:contextualSpacing/>
      </w:pPr>
      <w:r w:rsidRPr="00D9348E">
        <w:rPr>
          <w:rFonts w:hint="eastAsia"/>
          <w:kern w:val="0"/>
        </w:rPr>
        <w:t>e</w:t>
      </w:r>
      <w:r w:rsidRPr="00D9348E">
        <w:rPr>
          <w:rFonts w:hint="eastAsia"/>
          <w:kern w:val="0"/>
        </w:rPr>
        <w:t>）</w:t>
      </w:r>
      <w:r w:rsidRPr="00D9348E">
        <w:rPr>
          <w:rFonts w:hint="eastAsia"/>
          <w:kern w:val="0"/>
        </w:rPr>
        <w:t xml:space="preserve"> </w:t>
      </w:r>
      <w:r w:rsidRPr="00D9348E">
        <w:rPr>
          <w:rFonts w:hint="eastAsia"/>
        </w:rPr>
        <w:t>液位计的过程温度：</w:t>
      </w:r>
      <w:r w:rsidRPr="00D9348E">
        <w:rPr>
          <w:rFonts w:hint="eastAsia"/>
        </w:rPr>
        <w:t xml:space="preserve"> -20 </w:t>
      </w:r>
      <w:r w:rsidRPr="00D9348E">
        <w:rPr>
          <w:rFonts w:hint="eastAsia"/>
        </w:rPr>
        <w:t>℃</w:t>
      </w:r>
      <w:r w:rsidRPr="00D9348E">
        <w:rPr>
          <w:rFonts w:hint="eastAsia"/>
        </w:rPr>
        <w:t xml:space="preserve">~70 </w:t>
      </w:r>
      <w:r w:rsidRPr="00D9348E">
        <w:rPr>
          <w:rFonts w:hint="eastAsia"/>
        </w:rPr>
        <w:t>℃。</w:t>
      </w:r>
    </w:p>
    <w:p w:rsidR="00AB65DB" w:rsidRPr="00D9348E" w:rsidRDefault="007C6B50">
      <w:pPr>
        <w:pStyle w:val="a3"/>
        <w:spacing w:line="360" w:lineRule="exact"/>
        <w:contextualSpacing/>
      </w:pPr>
      <w:r w:rsidRPr="00D9348E">
        <w:rPr>
          <w:rFonts w:ascii="黑体" w:eastAsia="黑体" w:hAnsi="黑体" w:hint="eastAsia"/>
          <w:szCs w:val="21"/>
        </w:rPr>
        <w:t>7.1.3.3</w:t>
      </w:r>
      <w:r w:rsidR="003E5084">
        <w:rPr>
          <w:rFonts w:ascii="黑体" w:eastAsia="黑体" w:hAnsi="黑体"/>
          <w:szCs w:val="21"/>
        </w:rPr>
        <w:t xml:space="preserve">  </w:t>
      </w:r>
      <w:r w:rsidRPr="00D9348E">
        <w:rPr>
          <w:rFonts w:hint="eastAsia"/>
        </w:rPr>
        <w:t>压力表的技术要求</w:t>
      </w:r>
    </w:p>
    <w:p w:rsidR="00AB65DB" w:rsidRPr="00D9348E" w:rsidRDefault="007C6B50">
      <w:pPr>
        <w:pStyle w:val="a3"/>
        <w:spacing w:line="360" w:lineRule="exact"/>
        <w:ind w:firstLineChars="200" w:firstLine="420"/>
        <w:contextualSpacing/>
      </w:pPr>
      <w:r w:rsidRPr="00D9348E">
        <w:rPr>
          <w:rFonts w:hint="eastAsia"/>
          <w:kern w:val="0"/>
        </w:rPr>
        <w:t>a</w:t>
      </w:r>
      <w:r w:rsidRPr="00D9348E">
        <w:rPr>
          <w:rFonts w:hint="eastAsia"/>
          <w:kern w:val="0"/>
        </w:rPr>
        <w:t>）</w:t>
      </w:r>
      <w:r w:rsidRPr="00D9348E">
        <w:rPr>
          <w:rFonts w:hint="eastAsia"/>
          <w:kern w:val="0"/>
        </w:rPr>
        <w:t xml:space="preserve"> </w:t>
      </w:r>
      <w:r w:rsidRPr="00D9348E">
        <w:rPr>
          <w:rFonts w:hint="eastAsia"/>
        </w:rPr>
        <w:t>压力表的量程范围：</w:t>
      </w:r>
      <w:r w:rsidRPr="00D9348E">
        <w:rPr>
          <w:rFonts w:hint="eastAsia"/>
        </w:rPr>
        <w:t>0 MPa</w:t>
      </w:r>
      <w:r w:rsidRPr="00D9348E">
        <w:rPr>
          <w:rFonts w:hint="eastAsia"/>
        </w:rPr>
        <w:t>～</w:t>
      </w:r>
      <w:r w:rsidRPr="00D9348E">
        <w:rPr>
          <w:rFonts w:hint="eastAsia"/>
        </w:rPr>
        <w:t>1 MPa</w:t>
      </w:r>
      <w:r w:rsidRPr="00D9348E">
        <w:rPr>
          <w:rFonts w:hint="eastAsia"/>
        </w:rPr>
        <w:t>；</w:t>
      </w:r>
    </w:p>
    <w:p w:rsidR="00AB65DB" w:rsidRPr="00D9348E" w:rsidRDefault="007C6B50">
      <w:pPr>
        <w:pStyle w:val="a3"/>
        <w:spacing w:line="360" w:lineRule="exact"/>
        <w:ind w:firstLineChars="200" w:firstLine="420"/>
        <w:contextualSpacing/>
      </w:pPr>
      <w:r w:rsidRPr="00D9348E">
        <w:rPr>
          <w:rFonts w:hint="eastAsia"/>
          <w:kern w:val="0"/>
        </w:rPr>
        <w:t>b</w:t>
      </w:r>
      <w:r w:rsidRPr="00D9348E">
        <w:rPr>
          <w:rFonts w:hint="eastAsia"/>
          <w:kern w:val="0"/>
        </w:rPr>
        <w:t>）</w:t>
      </w:r>
      <w:r w:rsidRPr="00D9348E">
        <w:rPr>
          <w:rFonts w:hint="eastAsia"/>
          <w:kern w:val="0"/>
        </w:rPr>
        <w:t xml:space="preserve"> </w:t>
      </w:r>
      <w:r w:rsidRPr="00D9348E">
        <w:rPr>
          <w:rFonts w:hint="eastAsia"/>
        </w:rPr>
        <w:t>压力表的输出接口</w:t>
      </w:r>
      <w:r w:rsidRPr="00D9348E">
        <w:rPr>
          <w:rFonts w:hint="eastAsia"/>
        </w:rPr>
        <w:t>4 mA</w:t>
      </w:r>
      <w:r w:rsidRPr="00D9348E">
        <w:rPr>
          <w:rFonts w:hint="eastAsia"/>
        </w:rPr>
        <w:t>～</w:t>
      </w:r>
      <w:r w:rsidRPr="00D9348E">
        <w:rPr>
          <w:rFonts w:hint="eastAsia"/>
        </w:rPr>
        <w:t>20 mA/RS485</w:t>
      </w:r>
      <w:r w:rsidRPr="00D9348E">
        <w:rPr>
          <w:rFonts w:hint="eastAsia"/>
        </w:rPr>
        <w:t>；</w:t>
      </w:r>
    </w:p>
    <w:p w:rsidR="00AB65DB" w:rsidRPr="00D9348E" w:rsidRDefault="007C6B50">
      <w:pPr>
        <w:pStyle w:val="a3"/>
        <w:spacing w:line="360" w:lineRule="exact"/>
        <w:ind w:firstLineChars="200" w:firstLine="420"/>
        <w:contextualSpacing/>
      </w:pPr>
      <w:r w:rsidRPr="00D9348E">
        <w:rPr>
          <w:rFonts w:hint="eastAsia"/>
          <w:kern w:val="0"/>
        </w:rPr>
        <w:t>c</w:t>
      </w:r>
      <w:r w:rsidRPr="00D9348E">
        <w:rPr>
          <w:rFonts w:hint="eastAsia"/>
          <w:kern w:val="0"/>
        </w:rPr>
        <w:t>）</w:t>
      </w:r>
      <w:r w:rsidRPr="00D9348E">
        <w:rPr>
          <w:rFonts w:hint="eastAsia"/>
          <w:kern w:val="0"/>
        </w:rPr>
        <w:t xml:space="preserve"> </w:t>
      </w:r>
      <w:r w:rsidRPr="00D9348E">
        <w:rPr>
          <w:rFonts w:hint="eastAsia"/>
        </w:rPr>
        <w:t>压力表的连接材料：钛、钽等；</w:t>
      </w:r>
    </w:p>
    <w:p w:rsidR="00AB65DB" w:rsidRDefault="007C6B50">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hint="eastAsia"/>
          <w:color w:val="000000"/>
          <w:kern w:val="0"/>
        </w:rPr>
        <w:t xml:space="preserve"> </w:t>
      </w:r>
      <w:r>
        <w:rPr>
          <w:rFonts w:hint="eastAsia"/>
        </w:rPr>
        <w:t>压力表的输出方式：</w:t>
      </w:r>
      <w:r>
        <w:rPr>
          <w:rFonts w:hint="eastAsia"/>
        </w:rPr>
        <w:t>4 mA</w:t>
      </w:r>
      <w:r>
        <w:rPr>
          <w:rFonts w:hint="eastAsia"/>
        </w:rPr>
        <w:t>～</w:t>
      </w:r>
      <w:r>
        <w:rPr>
          <w:rFonts w:hint="eastAsia"/>
        </w:rPr>
        <w:t>20 mA</w:t>
      </w:r>
      <w:r>
        <w:rPr>
          <w:rFonts w:hint="eastAsia"/>
        </w:rPr>
        <w:t>两线制带显示；</w:t>
      </w:r>
    </w:p>
    <w:p w:rsidR="00AB65DB" w:rsidRDefault="007C6B50">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hint="eastAsia"/>
          <w:color w:val="000000"/>
          <w:kern w:val="0"/>
        </w:rPr>
        <w:t xml:space="preserve"> </w:t>
      </w:r>
      <w:r>
        <w:rPr>
          <w:rFonts w:hint="eastAsia"/>
        </w:rPr>
        <w:t>压力表的精度：</w:t>
      </w:r>
      <w:r>
        <w:rPr>
          <w:rFonts w:hint="eastAsia"/>
        </w:rPr>
        <w:t>0.5%</w:t>
      </w:r>
      <w:r>
        <w:rPr>
          <w:rFonts w:hint="eastAsia"/>
        </w:rPr>
        <w:t>；</w:t>
      </w:r>
    </w:p>
    <w:p w:rsidR="00AB65DB" w:rsidRDefault="007C6B50">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color w:val="000000"/>
          <w:kern w:val="0"/>
        </w:rPr>
        <w:t xml:space="preserve"> </w:t>
      </w:r>
      <w:r>
        <w:rPr>
          <w:rFonts w:hint="eastAsia"/>
        </w:rPr>
        <w:t>压力表的过程温度：</w:t>
      </w:r>
      <w:r>
        <w:rPr>
          <w:rFonts w:hint="eastAsia"/>
        </w:rPr>
        <w:t xml:space="preserve"> -10 </w:t>
      </w:r>
      <w:r>
        <w:rPr>
          <w:rFonts w:hint="eastAsia"/>
        </w:rPr>
        <w:t>℃</w:t>
      </w:r>
      <w:r>
        <w:rPr>
          <w:rFonts w:hint="eastAsia"/>
        </w:rPr>
        <w:t xml:space="preserve">~60 </w:t>
      </w:r>
      <w:r>
        <w:rPr>
          <w:rFonts w:hint="eastAsia"/>
        </w:rPr>
        <w:t>℃。</w:t>
      </w:r>
    </w:p>
    <w:p w:rsidR="00AB65DB" w:rsidRDefault="007C6B50">
      <w:pPr>
        <w:pStyle w:val="a3"/>
        <w:spacing w:line="360" w:lineRule="exact"/>
        <w:contextualSpacing/>
      </w:pPr>
      <w:r>
        <w:rPr>
          <w:rFonts w:ascii="黑体" w:eastAsia="黑体" w:hAnsi="黑体" w:hint="eastAsia"/>
          <w:szCs w:val="21"/>
        </w:rPr>
        <w:lastRenderedPageBreak/>
        <w:t>7.1.3.4</w:t>
      </w:r>
      <w:r w:rsidR="003E5084">
        <w:rPr>
          <w:rFonts w:ascii="黑体" w:eastAsia="黑体" w:hAnsi="黑体"/>
          <w:szCs w:val="21"/>
        </w:rPr>
        <w:t xml:space="preserve">  </w:t>
      </w:r>
      <w:r>
        <w:rPr>
          <w:rFonts w:hint="eastAsia"/>
        </w:rPr>
        <w:t>调节阀的技术要求</w:t>
      </w:r>
    </w:p>
    <w:p w:rsidR="00AB65DB" w:rsidRDefault="007C6B50">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hint="eastAsia"/>
          <w:color w:val="000000"/>
          <w:kern w:val="0"/>
        </w:rPr>
        <w:t xml:space="preserve"> </w:t>
      </w:r>
      <w:r>
        <w:rPr>
          <w:rFonts w:hint="eastAsia"/>
        </w:rPr>
        <w:t>调节阀的介质温度：</w:t>
      </w:r>
      <w:r>
        <w:rPr>
          <w:rFonts w:hint="eastAsia"/>
        </w:rPr>
        <w:t>50</w:t>
      </w:r>
      <w:r>
        <w:rPr>
          <w:rFonts w:hint="eastAsia"/>
        </w:rPr>
        <w:t>℃；</w:t>
      </w:r>
    </w:p>
    <w:p w:rsidR="00AB65DB" w:rsidRDefault="007C6B50">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hint="eastAsia"/>
          <w:color w:val="000000"/>
          <w:kern w:val="0"/>
        </w:rPr>
        <w:t xml:space="preserve"> </w:t>
      </w:r>
      <w:r>
        <w:rPr>
          <w:rFonts w:hint="eastAsia"/>
        </w:rPr>
        <w:t>调节阀的流量特性：等百分比；</w:t>
      </w:r>
    </w:p>
    <w:p w:rsidR="00AB65DB" w:rsidRDefault="007C6B50">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hint="eastAsia"/>
          <w:color w:val="000000"/>
          <w:kern w:val="0"/>
        </w:rPr>
        <w:t xml:space="preserve"> </w:t>
      </w:r>
      <w:r>
        <w:rPr>
          <w:rFonts w:hint="eastAsia"/>
        </w:rPr>
        <w:t>调节阀的泄漏等级：</w:t>
      </w:r>
      <w:r>
        <w:rPr>
          <w:rFonts w:hint="eastAsia"/>
        </w:rPr>
        <w:t>ANSI CLASS IV</w:t>
      </w:r>
      <w:r>
        <w:rPr>
          <w:rFonts w:hint="eastAsia"/>
        </w:rPr>
        <w:t>；</w:t>
      </w:r>
    </w:p>
    <w:p w:rsidR="00AB65DB" w:rsidRDefault="007C6B50">
      <w:pPr>
        <w:pStyle w:val="a3"/>
        <w:spacing w:line="360" w:lineRule="exact"/>
        <w:ind w:firstLineChars="200" w:firstLine="420"/>
        <w:contextualSpacing/>
      </w:pPr>
      <w:r>
        <w:rPr>
          <w:rFonts w:hint="eastAsia"/>
          <w:color w:val="000000"/>
          <w:kern w:val="0"/>
        </w:rPr>
        <w:t>d</w:t>
      </w:r>
      <w:r>
        <w:rPr>
          <w:rFonts w:hint="eastAsia"/>
          <w:color w:val="000000"/>
          <w:kern w:val="0"/>
        </w:rPr>
        <w:t>）</w:t>
      </w:r>
      <w:r>
        <w:rPr>
          <w:rFonts w:ascii="黑体" w:eastAsia="黑体" w:hAnsi="黑体" w:hint="eastAsia"/>
          <w:szCs w:val="21"/>
        </w:rPr>
        <w:t xml:space="preserve"> </w:t>
      </w:r>
      <w:r>
        <w:rPr>
          <w:rFonts w:hint="eastAsia"/>
        </w:rPr>
        <w:t>调节阀的阀杆、阀芯、阀座材质：不锈钢衬</w:t>
      </w:r>
      <w:r>
        <w:rPr>
          <w:rFonts w:hint="eastAsia"/>
        </w:rPr>
        <w:t>PTFE</w:t>
      </w:r>
      <w:r>
        <w:rPr>
          <w:rFonts w:hint="eastAsia"/>
        </w:rPr>
        <w:t>；</w:t>
      </w:r>
    </w:p>
    <w:p w:rsidR="00AB65DB" w:rsidRDefault="007C6B50">
      <w:pPr>
        <w:pStyle w:val="a3"/>
        <w:spacing w:line="360" w:lineRule="exact"/>
        <w:ind w:firstLineChars="200" w:firstLine="420"/>
        <w:contextualSpacing/>
      </w:pPr>
      <w:r>
        <w:rPr>
          <w:rFonts w:hint="eastAsia"/>
          <w:color w:val="000000"/>
          <w:kern w:val="0"/>
        </w:rPr>
        <w:t>e</w:t>
      </w:r>
      <w:r>
        <w:rPr>
          <w:rFonts w:hint="eastAsia"/>
          <w:color w:val="000000"/>
          <w:kern w:val="0"/>
        </w:rPr>
        <w:t>）</w:t>
      </w:r>
      <w:r>
        <w:rPr>
          <w:rFonts w:ascii="黑体" w:eastAsia="黑体" w:hAnsi="黑体" w:hint="eastAsia"/>
          <w:szCs w:val="21"/>
        </w:rPr>
        <w:t xml:space="preserve"> </w:t>
      </w:r>
      <w:r>
        <w:rPr>
          <w:rFonts w:hint="eastAsia"/>
        </w:rPr>
        <w:t>调节阀的气源附件：过滤减压器（带压力表）；</w:t>
      </w:r>
    </w:p>
    <w:p w:rsidR="00AB65DB" w:rsidRDefault="007C6B50">
      <w:pPr>
        <w:pStyle w:val="a3"/>
        <w:spacing w:line="360" w:lineRule="exact"/>
        <w:ind w:firstLineChars="200" w:firstLine="420"/>
        <w:contextualSpacing/>
      </w:pPr>
      <w:r>
        <w:rPr>
          <w:rFonts w:hint="eastAsia"/>
          <w:color w:val="000000"/>
          <w:kern w:val="0"/>
        </w:rPr>
        <w:t>f</w:t>
      </w:r>
      <w:r>
        <w:rPr>
          <w:rFonts w:hint="eastAsia"/>
          <w:color w:val="000000"/>
          <w:kern w:val="0"/>
        </w:rPr>
        <w:t>）</w:t>
      </w:r>
      <w:r>
        <w:rPr>
          <w:rFonts w:hint="eastAsia"/>
          <w:color w:val="000000"/>
          <w:kern w:val="0"/>
        </w:rPr>
        <w:t xml:space="preserve"> </w:t>
      </w:r>
      <w:r>
        <w:rPr>
          <w:rFonts w:hint="eastAsia"/>
        </w:rPr>
        <w:t>调节阀的控制信号：</w:t>
      </w:r>
      <w:r>
        <w:rPr>
          <w:rFonts w:hint="eastAsia"/>
        </w:rPr>
        <w:t>4-20mA</w:t>
      </w:r>
      <w:r>
        <w:rPr>
          <w:rFonts w:hint="eastAsia"/>
        </w:rPr>
        <w:t>；</w:t>
      </w:r>
    </w:p>
    <w:p w:rsidR="00AB65DB" w:rsidRDefault="007C6B50">
      <w:pPr>
        <w:pStyle w:val="a3"/>
        <w:spacing w:line="360" w:lineRule="exact"/>
        <w:ind w:firstLineChars="200" w:firstLine="420"/>
        <w:contextualSpacing/>
      </w:pPr>
      <w:r>
        <w:rPr>
          <w:rFonts w:hint="eastAsia"/>
          <w:color w:val="000000"/>
          <w:kern w:val="0"/>
        </w:rPr>
        <w:t>g</w:t>
      </w:r>
      <w:r>
        <w:rPr>
          <w:rFonts w:hint="eastAsia"/>
          <w:color w:val="000000"/>
          <w:kern w:val="0"/>
        </w:rPr>
        <w:t>）</w:t>
      </w:r>
      <w:r>
        <w:rPr>
          <w:rFonts w:ascii="黑体" w:eastAsia="黑体" w:hAnsi="黑体" w:hint="eastAsia"/>
          <w:szCs w:val="21"/>
        </w:rPr>
        <w:t xml:space="preserve"> </w:t>
      </w:r>
      <w:r>
        <w:rPr>
          <w:rFonts w:hint="eastAsia"/>
        </w:rPr>
        <w:t>调节阀的输出信号：</w:t>
      </w:r>
      <w:r>
        <w:rPr>
          <w:rFonts w:hint="eastAsia"/>
        </w:rPr>
        <w:t>4-20mA</w:t>
      </w:r>
      <w:r>
        <w:rPr>
          <w:rFonts w:hint="eastAsia"/>
        </w:rPr>
        <w:t>；</w:t>
      </w:r>
    </w:p>
    <w:p w:rsidR="00AB65DB" w:rsidRDefault="007C6B50">
      <w:pPr>
        <w:pStyle w:val="a3"/>
        <w:spacing w:line="360" w:lineRule="exact"/>
        <w:ind w:firstLineChars="200" w:firstLine="420"/>
        <w:contextualSpacing/>
      </w:pPr>
      <w:r>
        <w:rPr>
          <w:rFonts w:hint="eastAsia"/>
          <w:color w:val="000000"/>
          <w:kern w:val="0"/>
        </w:rPr>
        <w:t>h</w:t>
      </w:r>
      <w:r>
        <w:rPr>
          <w:rFonts w:hint="eastAsia"/>
          <w:color w:val="000000"/>
          <w:kern w:val="0"/>
        </w:rPr>
        <w:t>）</w:t>
      </w:r>
      <w:r>
        <w:rPr>
          <w:rFonts w:ascii="黑体" w:eastAsia="黑体" w:hAnsi="黑体" w:hint="eastAsia"/>
          <w:szCs w:val="21"/>
        </w:rPr>
        <w:t xml:space="preserve"> </w:t>
      </w:r>
      <w:r>
        <w:rPr>
          <w:rFonts w:hint="eastAsia"/>
        </w:rPr>
        <w:t>调节阀的动作方式：气动单动作，气压增加，阀开；</w:t>
      </w:r>
    </w:p>
    <w:p w:rsidR="00AB65DB" w:rsidRDefault="007C6B50">
      <w:pPr>
        <w:pStyle w:val="a3"/>
        <w:spacing w:line="360" w:lineRule="exact"/>
        <w:ind w:firstLineChars="200" w:firstLine="420"/>
        <w:contextualSpacing/>
      </w:pPr>
      <w:r>
        <w:rPr>
          <w:rFonts w:ascii="黑体" w:eastAsia="黑体" w:hAnsi="黑体" w:hint="eastAsia"/>
          <w:szCs w:val="21"/>
        </w:rPr>
        <w:t xml:space="preserve">i） </w:t>
      </w:r>
      <w:r>
        <w:rPr>
          <w:rFonts w:hint="eastAsia"/>
        </w:rPr>
        <w:t>调节阀的动作速度：</w:t>
      </w:r>
      <w:r>
        <w:rPr>
          <w:rFonts w:hint="eastAsia"/>
        </w:rPr>
        <w:t>5s</w:t>
      </w:r>
      <w:r>
        <w:rPr>
          <w:rFonts w:hint="eastAsia"/>
        </w:rPr>
        <w:t>（全行程）。</w:t>
      </w:r>
    </w:p>
    <w:p w:rsidR="00AB65DB" w:rsidRDefault="007C6B50">
      <w:pPr>
        <w:pStyle w:val="a3"/>
        <w:spacing w:line="360" w:lineRule="exact"/>
        <w:contextualSpacing/>
      </w:pPr>
      <w:r>
        <w:rPr>
          <w:rFonts w:ascii="黑体" w:eastAsia="黑体" w:hAnsi="黑体" w:hint="eastAsia"/>
          <w:szCs w:val="21"/>
        </w:rPr>
        <w:t>7.1.3.5</w:t>
      </w:r>
      <w:r w:rsidR="003E5084">
        <w:rPr>
          <w:rFonts w:ascii="黑体" w:eastAsia="黑体" w:hAnsi="黑体"/>
          <w:szCs w:val="21"/>
        </w:rPr>
        <w:t xml:space="preserve">  </w:t>
      </w:r>
      <w:r>
        <w:rPr>
          <w:rFonts w:hint="eastAsia"/>
        </w:rPr>
        <w:t>多功能智能电表的技术要求</w:t>
      </w:r>
    </w:p>
    <w:p w:rsidR="00AB65DB" w:rsidRDefault="007C6B50">
      <w:pPr>
        <w:pStyle w:val="a3"/>
        <w:spacing w:line="360" w:lineRule="exact"/>
        <w:ind w:firstLineChars="200" w:firstLine="420"/>
        <w:contextualSpacing/>
      </w:pPr>
      <w:r>
        <w:rPr>
          <w:rFonts w:hint="eastAsia"/>
        </w:rPr>
        <w:t>作为电力监控系统的前端元件，用以实现远程数据采集与控制，采用现代微处理器和数字信号处理技术，集合全面的三相电量测量</w:t>
      </w:r>
      <w:r>
        <w:rPr>
          <w:rFonts w:hint="eastAsia"/>
        </w:rPr>
        <w:t>/</w:t>
      </w:r>
      <w:r>
        <w:rPr>
          <w:rFonts w:hint="eastAsia"/>
        </w:rPr>
        <w:t>显示、能量累计、电力品质分析、数字输入</w:t>
      </w:r>
      <w:r>
        <w:rPr>
          <w:rFonts w:hint="eastAsia"/>
        </w:rPr>
        <w:t>/</w:t>
      </w:r>
      <w:r>
        <w:rPr>
          <w:rFonts w:hint="eastAsia"/>
        </w:rPr>
        <w:t>输出与通讯于一体。主要测量数据如电压、电流、功率、能量等；同时具备</w:t>
      </w:r>
      <w:r>
        <w:rPr>
          <w:rFonts w:hint="eastAsia"/>
        </w:rPr>
        <w:t>RE-483/RS-232</w:t>
      </w:r>
      <w:r>
        <w:rPr>
          <w:rFonts w:hint="eastAsia"/>
        </w:rPr>
        <w:t>通讯功能和网络通讯功能（</w:t>
      </w:r>
      <w:r>
        <w:rPr>
          <w:rFonts w:hint="eastAsia"/>
        </w:rPr>
        <w:t>tcp/ip</w:t>
      </w:r>
      <w:r>
        <w:rPr>
          <w:rFonts w:hint="eastAsia"/>
        </w:rPr>
        <w:t>）。</w:t>
      </w:r>
    </w:p>
    <w:p w:rsidR="00AB65DB" w:rsidRDefault="007C6B50">
      <w:pPr>
        <w:pStyle w:val="a3"/>
        <w:spacing w:line="360" w:lineRule="exact"/>
        <w:contextualSpacing/>
      </w:pPr>
      <w:r>
        <w:rPr>
          <w:rFonts w:ascii="黑体" w:eastAsia="黑体" w:hAnsi="黑体" w:hint="eastAsia"/>
          <w:szCs w:val="21"/>
        </w:rPr>
        <w:t>7.1.4</w:t>
      </w:r>
      <w:r w:rsidR="003E5084">
        <w:rPr>
          <w:rFonts w:ascii="黑体" w:eastAsia="黑体" w:hAnsi="黑体"/>
          <w:szCs w:val="21"/>
        </w:rPr>
        <w:t xml:space="preserve">  </w:t>
      </w:r>
      <w:r>
        <w:rPr>
          <w:rFonts w:hint="eastAsia"/>
        </w:rPr>
        <w:t>pH</w:t>
      </w:r>
      <w:r>
        <w:rPr>
          <w:rFonts w:hint="eastAsia"/>
        </w:rPr>
        <w:t>计的技术要求</w:t>
      </w:r>
    </w:p>
    <w:p w:rsidR="00AB65DB" w:rsidRDefault="007C6B50">
      <w:pPr>
        <w:pStyle w:val="a3"/>
        <w:spacing w:line="360" w:lineRule="exact"/>
        <w:ind w:firstLineChars="200" w:firstLine="420"/>
        <w:contextualSpacing/>
      </w:pPr>
      <w:r>
        <w:rPr>
          <w:rFonts w:hint="eastAsia"/>
          <w:color w:val="000000"/>
          <w:kern w:val="0"/>
        </w:rPr>
        <w:t>a</w:t>
      </w:r>
      <w:r>
        <w:rPr>
          <w:rFonts w:hint="eastAsia"/>
          <w:color w:val="000000"/>
          <w:kern w:val="0"/>
        </w:rPr>
        <w:t>）</w:t>
      </w:r>
      <w:r>
        <w:rPr>
          <w:rFonts w:ascii="宋体" w:hAnsi="宋体" w:cs="宋体"/>
          <w:spacing w:val="-10"/>
          <w:szCs w:val="21"/>
        </w:rPr>
        <w:t>测量范围：</w:t>
      </w:r>
      <w:r>
        <w:rPr>
          <w:rFonts w:ascii="宋体" w:hAnsi="宋体" w:cs="宋体"/>
          <w:spacing w:val="28"/>
          <w:szCs w:val="21"/>
        </w:rPr>
        <w:t xml:space="preserve"> </w:t>
      </w:r>
      <w:r>
        <w:rPr>
          <w:rFonts w:ascii="宋体" w:hAnsi="宋体" w:cs="宋体"/>
          <w:spacing w:val="-10"/>
          <w:szCs w:val="21"/>
        </w:rPr>
        <w:t>0～14；</w:t>
      </w:r>
    </w:p>
    <w:p w:rsidR="00AB65DB" w:rsidRDefault="007C6B50">
      <w:pPr>
        <w:pStyle w:val="a3"/>
        <w:spacing w:line="360" w:lineRule="exact"/>
        <w:ind w:firstLineChars="200" w:firstLine="420"/>
        <w:contextualSpacing/>
      </w:pPr>
      <w:r>
        <w:rPr>
          <w:rFonts w:hint="eastAsia"/>
          <w:color w:val="000000"/>
          <w:kern w:val="0"/>
        </w:rPr>
        <w:t>b</w:t>
      </w:r>
      <w:r>
        <w:rPr>
          <w:rFonts w:hint="eastAsia"/>
          <w:color w:val="000000"/>
          <w:kern w:val="0"/>
        </w:rPr>
        <w:t>）</w:t>
      </w:r>
      <w:r>
        <w:rPr>
          <w:rFonts w:ascii="宋体" w:hAnsi="宋体" w:cs="宋体"/>
          <w:spacing w:val="-3"/>
          <w:szCs w:val="21"/>
        </w:rPr>
        <w:t>分辨率：</w:t>
      </w:r>
      <w:r>
        <w:rPr>
          <w:rFonts w:ascii="宋体" w:hAnsi="宋体" w:cs="宋体"/>
          <w:spacing w:val="13"/>
          <w:szCs w:val="21"/>
        </w:rPr>
        <w:t xml:space="preserve"> </w:t>
      </w:r>
      <w:r>
        <w:rPr>
          <w:rFonts w:ascii="宋体" w:hAnsi="宋体" w:cs="宋体"/>
          <w:spacing w:val="-3"/>
          <w:szCs w:val="21"/>
        </w:rPr>
        <w:t>pH:0.01pH mV</w:t>
      </w:r>
      <w:r>
        <w:rPr>
          <w:rFonts w:ascii="宋体" w:hAnsi="宋体" w:cs="宋体"/>
          <w:spacing w:val="-4"/>
          <w:szCs w:val="21"/>
        </w:rPr>
        <w:t>:1mV；</w:t>
      </w:r>
    </w:p>
    <w:p w:rsidR="00AB65DB" w:rsidRPr="00D9348E" w:rsidRDefault="007C6B50">
      <w:pPr>
        <w:pStyle w:val="a3"/>
        <w:spacing w:line="360" w:lineRule="exact"/>
        <w:ind w:firstLineChars="200" w:firstLine="420"/>
        <w:contextualSpacing/>
      </w:pPr>
      <w:r>
        <w:rPr>
          <w:rFonts w:hint="eastAsia"/>
          <w:color w:val="000000"/>
          <w:kern w:val="0"/>
        </w:rPr>
        <w:t>c</w:t>
      </w:r>
      <w:r>
        <w:rPr>
          <w:rFonts w:hint="eastAsia"/>
          <w:color w:val="000000"/>
          <w:kern w:val="0"/>
        </w:rPr>
        <w:t>）</w:t>
      </w:r>
      <w:r>
        <w:rPr>
          <w:rFonts w:ascii="宋体" w:hAnsi="宋体" w:cs="宋体"/>
          <w:spacing w:val="6"/>
          <w:szCs w:val="21"/>
        </w:rPr>
        <w:t>仪表精度：±0.1%</w:t>
      </w:r>
      <w:r w:rsidRPr="00D9348E">
        <w:rPr>
          <w:rFonts w:ascii="宋体" w:hAnsi="宋体" w:cs="宋体"/>
          <w:spacing w:val="6"/>
          <w:szCs w:val="21"/>
        </w:rPr>
        <w:t>;</w:t>
      </w:r>
    </w:p>
    <w:p w:rsidR="00AB65DB" w:rsidRPr="00D9348E" w:rsidRDefault="007C6B50">
      <w:pPr>
        <w:pStyle w:val="a3"/>
        <w:spacing w:line="360" w:lineRule="exact"/>
        <w:ind w:firstLineChars="200" w:firstLine="420"/>
        <w:contextualSpacing/>
      </w:pPr>
      <w:r w:rsidRPr="00D9348E">
        <w:rPr>
          <w:rFonts w:hint="eastAsia"/>
          <w:kern w:val="0"/>
        </w:rPr>
        <w:t>d</w:t>
      </w:r>
      <w:r w:rsidRPr="00D9348E">
        <w:rPr>
          <w:rFonts w:hint="eastAsia"/>
          <w:kern w:val="0"/>
        </w:rPr>
        <w:t>）</w:t>
      </w:r>
      <w:r w:rsidRPr="00D9348E">
        <w:rPr>
          <w:rFonts w:ascii="宋体" w:hAnsi="宋体" w:cs="宋体"/>
          <w:spacing w:val="-4"/>
          <w:szCs w:val="21"/>
        </w:rPr>
        <w:t>工作温度：</w:t>
      </w:r>
      <w:r w:rsidRPr="00D9348E">
        <w:rPr>
          <w:rFonts w:ascii="宋体" w:hAnsi="宋体" w:cs="宋体"/>
          <w:spacing w:val="27"/>
          <w:szCs w:val="21"/>
        </w:rPr>
        <w:t xml:space="preserve"> </w:t>
      </w:r>
      <w:r w:rsidRPr="00D9348E">
        <w:rPr>
          <w:rFonts w:ascii="宋体" w:hAnsi="宋体" w:cs="宋体"/>
          <w:spacing w:val="-4"/>
          <w:szCs w:val="21"/>
        </w:rPr>
        <w:t>-25 ℃~</w:t>
      </w:r>
      <w:r w:rsidRPr="00D9348E">
        <w:rPr>
          <w:rFonts w:ascii="宋体" w:hAnsi="宋体" w:cs="宋体" w:hint="eastAsia"/>
          <w:spacing w:val="-4"/>
          <w:szCs w:val="21"/>
        </w:rPr>
        <w:t>80</w:t>
      </w:r>
      <w:r w:rsidRPr="00D9348E">
        <w:rPr>
          <w:rFonts w:ascii="宋体" w:hAnsi="宋体" w:cs="宋体"/>
          <w:spacing w:val="-4"/>
          <w:szCs w:val="21"/>
        </w:rPr>
        <w:t xml:space="preserve"> ℃;</w:t>
      </w:r>
    </w:p>
    <w:p w:rsidR="00AB65DB" w:rsidRPr="00D9348E" w:rsidRDefault="007C6B50">
      <w:pPr>
        <w:pStyle w:val="a3"/>
        <w:spacing w:line="360" w:lineRule="exact"/>
        <w:ind w:firstLineChars="200" w:firstLine="420"/>
        <w:contextualSpacing/>
      </w:pPr>
      <w:r w:rsidRPr="00D9348E">
        <w:rPr>
          <w:rFonts w:hint="eastAsia"/>
          <w:kern w:val="0"/>
        </w:rPr>
        <w:t>e</w:t>
      </w:r>
      <w:r w:rsidRPr="00D9348E">
        <w:rPr>
          <w:rFonts w:hint="eastAsia"/>
          <w:kern w:val="0"/>
        </w:rPr>
        <w:t>）</w:t>
      </w:r>
      <w:r w:rsidRPr="00D9348E">
        <w:rPr>
          <w:rFonts w:ascii="宋体" w:hAnsi="宋体" w:cs="宋体"/>
          <w:spacing w:val="-5"/>
          <w:szCs w:val="21"/>
        </w:rPr>
        <w:t>模拟输出：</w:t>
      </w:r>
      <w:r w:rsidRPr="00D9348E">
        <w:rPr>
          <w:rFonts w:ascii="宋体" w:hAnsi="宋体" w:cs="宋体"/>
          <w:spacing w:val="34"/>
          <w:szCs w:val="21"/>
        </w:rPr>
        <w:t xml:space="preserve"> </w:t>
      </w:r>
      <w:r w:rsidRPr="00D9348E">
        <w:rPr>
          <w:rFonts w:ascii="宋体" w:hAnsi="宋体" w:cs="宋体"/>
          <w:spacing w:val="-5"/>
          <w:szCs w:val="21"/>
        </w:rPr>
        <w:t>4</w:t>
      </w:r>
      <w:r w:rsidRPr="00D9348E">
        <w:rPr>
          <w:rFonts w:ascii="宋体" w:hAnsi="宋体" w:cs="宋体"/>
          <w:spacing w:val="-32"/>
          <w:szCs w:val="21"/>
        </w:rPr>
        <w:t xml:space="preserve"> </w:t>
      </w:r>
      <w:r w:rsidRPr="00D9348E">
        <w:rPr>
          <w:rFonts w:ascii="宋体" w:hAnsi="宋体" w:cs="宋体"/>
          <w:spacing w:val="-5"/>
          <w:szCs w:val="21"/>
        </w:rPr>
        <w:t>mA～20</w:t>
      </w:r>
      <w:r w:rsidRPr="00D9348E">
        <w:rPr>
          <w:rFonts w:ascii="宋体" w:hAnsi="宋体" w:cs="宋体"/>
          <w:spacing w:val="-33"/>
          <w:szCs w:val="21"/>
        </w:rPr>
        <w:t xml:space="preserve"> </w:t>
      </w:r>
      <w:r w:rsidRPr="00D9348E">
        <w:rPr>
          <w:rFonts w:ascii="宋体" w:hAnsi="宋体" w:cs="宋体"/>
          <w:spacing w:val="-5"/>
          <w:szCs w:val="21"/>
        </w:rPr>
        <w:t>mA；</w:t>
      </w:r>
    </w:p>
    <w:p w:rsidR="00AB65DB" w:rsidRPr="00D9348E" w:rsidRDefault="007C6B50">
      <w:pPr>
        <w:pStyle w:val="a3"/>
        <w:spacing w:line="360" w:lineRule="exact"/>
        <w:ind w:firstLineChars="200" w:firstLine="420"/>
        <w:contextualSpacing/>
      </w:pPr>
      <w:r w:rsidRPr="00D9348E">
        <w:rPr>
          <w:rFonts w:hint="eastAsia"/>
          <w:kern w:val="0"/>
        </w:rPr>
        <w:t>f</w:t>
      </w:r>
      <w:r w:rsidRPr="00D9348E">
        <w:rPr>
          <w:rFonts w:hint="eastAsia"/>
          <w:kern w:val="0"/>
        </w:rPr>
        <w:t>）</w:t>
      </w:r>
      <w:r w:rsidRPr="00D9348E">
        <w:rPr>
          <w:rFonts w:hint="eastAsia"/>
        </w:rPr>
        <w:t>通讯接口：</w:t>
      </w:r>
      <w:r w:rsidRPr="00D9348E">
        <w:rPr>
          <w:rFonts w:hint="eastAsia"/>
        </w:rPr>
        <w:t xml:space="preserve"> RS-232/RS-485</w:t>
      </w:r>
      <w:r w:rsidRPr="00D9348E">
        <w:rPr>
          <w:rFonts w:hint="eastAsia"/>
        </w:rPr>
        <w:t>。</w:t>
      </w:r>
    </w:p>
    <w:p w:rsidR="00AB65DB" w:rsidRPr="00D9348E" w:rsidRDefault="007C6B50">
      <w:pPr>
        <w:pStyle w:val="a1"/>
        <w:numPr>
          <w:ilvl w:val="0"/>
          <w:numId w:val="0"/>
        </w:numPr>
        <w:snapToGrid w:val="0"/>
        <w:spacing w:before="156" w:after="156" w:line="360" w:lineRule="exact"/>
        <w:contextualSpacing/>
        <w:rPr>
          <w:rFonts w:hAnsi="黑体"/>
          <w:szCs w:val="22"/>
        </w:rPr>
      </w:pPr>
      <w:bookmarkStart w:id="19" w:name="_Toc162717663"/>
      <w:r w:rsidRPr="00D9348E">
        <w:rPr>
          <w:rFonts w:hAnsi="黑体" w:hint="eastAsia"/>
          <w:szCs w:val="22"/>
        </w:rPr>
        <w:t xml:space="preserve">7.2 </w:t>
      </w:r>
      <w:r w:rsidR="003E5084">
        <w:rPr>
          <w:rFonts w:hAnsi="黑体"/>
          <w:szCs w:val="22"/>
        </w:rPr>
        <w:t xml:space="preserve"> </w:t>
      </w:r>
      <w:r w:rsidRPr="00D9348E">
        <w:rPr>
          <w:rFonts w:hAnsi="黑体" w:hint="eastAsia"/>
          <w:szCs w:val="22"/>
        </w:rPr>
        <w:t>视频监控设备的技术要求</w:t>
      </w:r>
      <w:bookmarkEnd w:id="19"/>
    </w:p>
    <w:p w:rsidR="00AB65DB" w:rsidRPr="00D9348E" w:rsidRDefault="007C6B50">
      <w:pPr>
        <w:pStyle w:val="a3"/>
        <w:spacing w:line="360" w:lineRule="exact"/>
        <w:contextualSpacing/>
      </w:pPr>
      <w:r w:rsidRPr="00D9348E">
        <w:rPr>
          <w:rFonts w:ascii="黑体" w:eastAsia="黑体" w:hAnsi="黑体" w:hint="eastAsia"/>
        </w:rPr>
        <w:t>7.2.1</w:t>
      </w:r>
      <w:r w:rsidR="003E5084">
        <w:rPr>
          <w:rFonts w:ascii="黑体" w:eastAsia="黑体" w:hAnsi="黑体"/>
        </w:rPr>
        <w:t xml:space="preserve">  </w:t>
      </w:r>
      <w:r w:rsidRPr="00D9348E">
        <w:rPr>
          <w:rFonts w:hint="eastAsia"/>
        </w:rPr>
        <w:t>视频监控应覆盖沉淀生产线所有设备。</w:t>
      </w:r>
    </w:p>
    <w:p w:rsidR="00AB65DB" w:rsidRPr="00D9348E" w:rsidRDefault="007C6B50">
      <w:pPr>
        <w:pStyle w:val="a3"/>
        <w:spacing w:line="360" w:lineRule="exact"/>
        <w:contextualSpacing/>
      </w:pPr>
      <w:r w:rsidRPr="00D9348E">
        <w:rPr>
          <w:rFonts w:ascii="黑体" w:eastAsia="黑体" w:hAnsi="黑体" w:hint="eastAsia"/>
        </w:rPr>
        <w:t>7.2.2</w:t>
      </w:r>
      <w:r w:rsidR="003E5084">
        <w:rPr>
          <w:rFonts w:ascii="黑体" w:eastAsia="黑体" w:hAnsi="黑体"/>
        </w:rPr>
        <w:t xml:space="preserve">  </w:t>
      </w:r>
      <w:r w:rsidRPr="00D9348E">
        <w:rPr>
          <w:rFonts w:hint="eastAsia"/>
        </w:rPr>
        <w:t>视频监控系统应具备全天候监控、昼夜成像、高清成像、追踪、报警、回放、查询等功能。</w:t>
      </w:r>
    </w:p>
    <w:p w:rsidR="00AB65DB" w:rsidRPr="00D9348E" w:rsidRDefault="007C6B50">
      <w:pPr>
        <w:pStyle w:val="a3"/>
        <w:spacing w:line="360" w:lineRule="exact"/>
        <w:contextualSpacing/>
      </w:pPr>
      <w:r w:rsidRPr="00D9348E">
        <w:rPr>
          <w:rFonts w:ascii="黑体" w:eastAsia="黑体" w:hAnsi="黑体" w:hint="eastAsia"/>
        </w:rPr>
        <w:t>7.2.3</w:t>
      </w:r>
      <w:r w:rsidR="003E5084">
        <w:rPr>
          <w:rFonts w:ascii="黑体" w:eastAsia="黑体" w:hAnsi="黑体"/>
        </w:rPr>
        <w:t xml:space="preserve">  </w:t>
      </w:r>
      <w:r w:rsidRPr="00D9348E">
        <w:rPr>
          <w:rFonts w:hint="eastAsia"/>
        </w:rPr>
        <w:t>视频存储格式应满足公安技防部门要求，存储时长不小于</w:t>
      </w:r>
      <w:r w:rsidRPr="00D9348E">
        <w:rPr>
          <w:rFonts w:hint="eastAsia"/>
        </w:rPr>
        <w:t xml:space="preserve"> 3 </w:t>
      </w:r>
      <w:r w:rsidRPr="00D9348E">
        <w:rPr>
          <w:rFonts w:hint="eastAsia"/>
        </w:rPr>
        <w:t>个月。</w:t>
      </w:r>
    </w:p>
    <w:p w:rsidR="00AB65DB" w:rsidRPr="00D9348E" w:rsidRDefault="007C6B50">
      <w:pPr>
        <w:pStyle w:val="a3"/>
        <w:spacing w:line="360" w:lineRule="exact"/>
        <w:contextualSpacing/>
      </w:pPr>
      <w:r w:rsidRPr="00D9348E">
        <w:rPr>
          <w:rFonts w:ascii="黑体" w:eastAsia="黑体" w:hAnsi="黑体" w:hint="eastAsia"/>
        </w:rPr>
        <w:t>7.2.4</w:t>
      </w:r>
      <w:r w:rsidR="003E5084">
        <w:rPr>
          <w:rFonts w:ascii="黑体" w:eastAsia="黑体" w:hAnsi="黑体"/>
        </w:rPr>
        <w:t xml:space="preserve">  </w:t>
      </w:r>
      <w:r w:rsidRPr="00D9348E">
        <w:rPr>
          <w:rFonts w:hint="eastAsia"/>
        </w:rPr>
        <w:t>所有户外视频监控设施应设置防雷措施。</w:t>
      </w:r>
    </w:p>
    <w:p w:rsidR="00AB65DB" w:rsidRDefault="007C6B50">
      <w:pPr>
        <w:pStyle w:val="a1"/>
        <w:numPr>
          <w:ilvl w:val="0"/>
          <w:numId w:val="0"/>
        </w:numPr>
        <w:snapToGrid w:val="0"/>
        <w:spacing w:beforeLines="100" w:before="312" w:afterLines="100" w:after="312" w:line="360" w:lineRule="exact"/>
        <w:rPr>
          <w:rFonts w:ascii="Times New Roman"/>
          <w:szCs w:val="22"/>
        </w:rPr>
      </w:pPr>
      <w:bookmarkStart w:id="20" w:name="_Toc162717664"/>
      <w:r>
        <w:rPr>
          <w:rFonts w:hAnsi="黑体" w:hint="eastAsia"/>
          <w:szCs w:val="22"/>
        </w:rPr>
        <w:t>8</w:t>
      </w:r>
      <w:r>
        <w:rPr>
          <w:rFonts w:ascii="Times New Roman" w:hint="eastAsia"/>
          <w:szCs w:val="22"/>
        </w:rPr>
        <w:t xml:space="preserve">  </w:t>
      </w:r>
      <w:r>
        <w:rPr>
          <w:rFonts w:ascii="Times New Roman" w:hint="eastAsia"/>
          <w:szCs w:val="22"/>
        </w:rPr>
        <w:t>分散控制系统要求</w:t>
      </w:r>
      <w:bookmarkEnd w:id="20"/>
    </w:p>
    <w:p w:rsidR="00AB65DB" w:rsidRDefault="007C6B50">
      <w:pPr>
        <w:pStyle w:val="a1"/>
        <w:numPr>
          <w:ilvl w:val="0"/>
          <w:numId w:val="0"/>
        </w:numPr>
        <w:snapToGrid w:val="0"/>
        <w:spacing w:before="156" w:after="156" w:line="360" w:lineRule="exact"/>
        <w:contextualSpacing/>
        <w:rPr>
          <w:rFonts w:hAnsi="黑体"/>
          <w:szCs w:val="22"/>
        </w:rPr>
      </w:pPr>
      <w:bookmarkStart w:id="21" w:name="_Toc162717665"/>
      <w:r>
        <w:rPr>
          <w:rFonts w:hAnsi="黑体"/>
          <w:szCs w:val="22"/>
        </w:rPr>
        <w:t xml:space="preserve">8.1 </w:t>
      </w:r>
      <w:r>
        <w:rPr>
          <w:rFonts w:hAnsi="黑体" w:hint="eastAsia"/>
          <w:szCs w:val="22"/>
        </w:rPr>
        <w:t>设计原则</w:t>
      </w:r>
      <w:bookmarkEnd w:id="21"/>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8.1.1</w:t>
      </w:r>
      <w:r w:rsidR="003E5084">
        <w:rPr>
          <w:rFonts w:ascii="黑体" w:eastAsia="黑体" w:hAnsi="黑体"/>
          <w:color w:val="000000"/>
          <w:kern w:val="0"/>
        </w:rPr>
        <w:t xml:space="preserve">  </w:t>
      </w:r>
      <w:r>
        <w:rPr>
          <w:rFonts w:hint="eastAsia"/>
          <w:color w:val="000000"/>
          <w:kern w:val="0"/>
        </w:rPr>
        <w:t>选用的分散控制系统应当是成熟的、经过实际应用检验的系统，应便于扩展，应能满足稀土装置大规模生产的过程控制、检测、监测、操作与管理的需要。</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8.1.2</w:t>
      </w:r>
      <w:r w:rsidR="003E5084">
        <w:rPr>
          <w:rFonts w:ascii="黑体" w:eastAsia="黑体" w:hAnsi="黑体"/>
          <w:color w:val="000000"/>
          <w:kern w:val="0"/>
        </w:rPr>
        <w:t xml:space="preserve">  </w:t>
      </w:r>
      <w:r>
        <w:rPr>
          <w:rFonts w:hint="eastAsia"/>
          <w:color w:val="000000"/>
          <w:kern w:val="0"/>
        </w:rPr>
        <w:t>选用的分散控制系统应能实现工艺装置、公用工程单元及储运单元等过程的连续控制、间歇控制、批量控制、开关控制、状态控制等类型的过程控制功能。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8.1.3</w:t>
      </w:r>
      <w:r w:rsidR="003E5084">
        <w:rPr>
          <w:rFonts w:ascii="黑体" w:eastAsia="黑体" w:hAnsi="黑体"/>
          <w:color w:val="000000"/>
          <w:kern w:val="0"/>
        </w:rPr>
        <w:t xml:space="preserve">  </w:t>
      </w:r>
      <w:r>
        <w:rPr>
          <w:rFonts w:hint="eastAsia"/>
          <w:color w:val="000000"/>
          <w:kern w:val="0"/>
        </w:rPr>
        <w:t>工艺过程的控制、检测、操作、报警、数据和事件记录、数据存储等功能均应在分散控制系统中实现。</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8.1.4</w:t>
      </w:r>
      <w:r w:rsidR="003E5084">
        <w:rPr>
          <w:rFonts w:ascii="黑体" w:eastAsia="黑体" w:hAnsi="黑体"/>
          <w:color w:val="000000"/>
          <w:kern w:val="0"/>
        </w:rPr>
        <w:t xml:space="preserve">  </w:t>
      </w:r>
      <w:r>
        <w:rPr>
          <w:rFonts w:hint="eastAsia"/>
          <w:color w:val="000000"/>
          <w:kern w:val="0"/>
        </w:rPr>
        <w:t>分散控制系统还应能实现与其他控制设备或系统的数据通信、显示、报警、数据记录及存储等</w:t>
      </w:r>
      <w:r>
        <w:rPr>
          <w:rFonts w:hint="eastAsia"/>
          <w:color w:val="000000"/>
          <w:kern w:val="0"/>
        </w:rPr>
        <w:lastRenderedPageBreak/>
        <w:t>应用功能。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8.1.5</w:t>
      </w:r>
      <w:r w:rsidR="003E5084">
        <w:rPr>
          <w:rFonts w:ascii="黑体" w:eastAsia="黑体" w:hAnsi="黑体"/>
          <w:color w:val="000000"/>
          <w:kern w:val="0"/>
        </w:rPr>
        <w:t xml:space="preserve">  </w:t>
      </w:r>
      <w:r>
        <w:rPr>
          <w:rFonts w:hint="eastAsia"/>
          <w:color w:val="000000"/>
          <w:kern w:val="0"/>
        </w:rPr>
        <w:t>分散控制系统应能通过网络将过程控制层的各类设备构成统一的整体，应能实现全系统的控制、检测、操作、数据处理、数据存储、数据通信等信息集成，不应有硬件、软件或功能限制。</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8.1.6</w:t>
      </w:r>
      <w:r w:rsidR="003E5084">
        <w:rPr>
          <w:rFonts w:ascii="黑体" w:eastAsia="黑体" w:hAnsi="黑体"/>
          <w:color w:val="000000"/>
          <w:kern w:val="0"/>
        </w:rPr>
        <w:t xml:space="preserve">  </w:t>
      </w:r>
      <w:r>
        <w:rPr>
          <w:rFonts w:hint="eastAsia"/>
          <w:color w:val="000000"/>
          <w:kern w:val="0"/>
        </w:rPr>
        <w:t>分散控制系统设备的机械性能、环境适应性和电磁兼容性应通过“中国国家强制性产品认证（</w:t>
      </w:r>
      <w:r>
        <w:rPr>
          <w:rFonts w:hint="eastAsia"/>
          <w:color w:val="000000"/>
          <w:kern w:val="0"/>
        </w:rPr>
        <w:t>CCC</w:t>
      </w:r>
      <w:r>
        <w:rPr>
          <w:rFonts w:hint="eastAsia"/>
          <w:color w:val="000000"/>
          <w:kern w:val="0"/>
        </w:rPr>
        <w:t>认证）”或“欧洲统一认证（</w:t>
      </w:r>
      <w:r>
        <w:rPr>
          <w:rFonts w:hint="eastAsia"/>
          <w:color w:val="000000"/>
          <w:kern w:val="0"/>
        </w:rPr>
        <w:t>CE</w:t>
      </w:r>
      <w:r>
        <w:rPr>
          <w:rFonts w:hint="eastAsia"/>
          <w:color w:val="000000"/>
          <w:kern w:val="0"/>
        </w:rPr>
        <w:t>认证）”。</w:t>
      </w:r>
    </w:p>
    <w:p w:rsidR="00AB65DB" w:rsidRDefault="007C6B50">
      <w:pPr>
        <w:pStyle w:val="a1"/>
        <w:numPr>
          <w:ilvl w:val="0"/>
          <w:numId w:val="0"/>
        </w:numPr>
        <w:snapToGrid w:val="0"/>
        <w:spacing w:before="156" w:after="156" w:line="360" w:lineRule="exact"/>
        <w:contextualSpacing/>
        <w:rPr>
          <w:rFonts w:hAnsi="黑体"/>
          <w:szCs w:val="22"/>
        </w:rPr>
      </w:pPr>
      <w:bookmarkStart w:id="22" w:name="_Toc162717666"/>
      <w:r>
        <w:rPr>
          <w:rFonts w:hAnsi="黑体" w:hint="eastAsia"/>
          <w:szCs w:val="22"/>
        </w:rPr>
        <w:t xml:space="preserve">8.2 </w:t>
      </w:r>
      <w:r w:rsidR="003E5084">
        <w:rPr>
          <w:rFonts w:hAnsi="黑体"/>
          <w:szCs w:val="22"/>
        </w:rPr>
        <w:t xml:space="preserve"> </w:t>
      </w:r>
      <w:r>
        <w:rPr>
          <w:rFonts w:hAnsi="黑体" w:hint="eastAsia"/>
          <w:szCs w:val="22"/>
        </w:rPr>
        <w:t>系统结构</w:t>
      </w:r>
      <w:bookmarkEnd w:id="22"/>
    </w:p>
    <w:p w:rsidR="00AB65DB" w:rsidRDefault="007C6B50">
      <w:pPr>
        <w:snapToGrid w:val="0"/>
        <w:spacing w:beforeLines="50" w:before="156" w:afterLines="50" w:after="156" w:line="360" w:lineRule="exact"/>
        <w:ind w:firstLineChars="200" w:firstLine="420"/>
        <w:contextualSpacing/>
        <w:rPr>
          <w:color w:val="000000"/>
          <w:kern w:val="0"/>
        </w:rPr>
      </w:pPr>
      <w:bookmarkStart w:id="23" w:name="_Hlk162693260"/>
      <w:r>
        <w:rPr>
          <w:rFonts w:hint="eastAsia"/>
          <w:color w:val="000000"/>
          <w:kern w:val="0"/>
        </w:rPr>
        <w:t>分散控制系统功能结构</w:t>
      </w:r>
      <w:bookmarkEnd w:id="23"/>
      <w:r>
        <w:rPr>
          <w:rFonts w:hint="eastAsia"/>
          <w:color w:val="000000"/>
          <w:kern w:val="0"/>
        </w:rPr>
        <w:t>可分为过程控制层、操作监控层、数据服务层、数据缓冲层和生产运行应用层。</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8.2.1</w:t>
      </w:r>
      <w:r w:rsidR="00F912F9">
        <w:rPr>
          <w:rFonts w:ascii="黑体" w:eastAsia="黑体" w:hAnsi="黑体"/>
          <w:color w:val="000000"/>
          <w:kern w:val="0"/>
        </w:rPr>
        <w:t xml:space="preserve">  </w:t>
      </w:r>
      <w:r>
        <w:rPr>
          <w:rFonts w:hint="eastAsia"/>
          <w:color w:val="000000"/>
          <w:kern w:val="0"/>
        </w:rPr>
        <w:t>过程控制层</w:t>
      </w:r>
    </w:p>
    <w:p w:rsidR="00AB65DB" w:rsidRDefault="007C6B50" w:rsidP="00F912F9">
      <w:pPr>
        <w:snapToGrid w:val="0"/>
        <w:spacing w:beforeLines="50" w:before="156" w:afterLines="50" w:after="156" w:line="360" w:lineRule="exact"/>
        <w:ind w:firstLineChars="200" w:firstLine="420"/>
        <w:contextualSpacing/>
        <w:rPr>
          <w:color w:val="000000"/>
          <w:kern w:val="0"/>
        </w:rPr>
      </w:pPr>
      <w:r>
        <w:rPr>
          <w:rFonts w:hint="eastAsia"/>
          <w:color w:val="000000"/>
          <w:kern w:val="0"/>
        </w:rPr>
        <w:t>过程控制层应完成分散控制系统对过程的直接控制以及过程变量的数据采集、实时存储和传输功能。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8.2.2</w:t>
      </w:r>
      <w:r w:rsidR="00F912F9">
        <w:rPr>
          <w:rFonts w:ascii="黑体" w:eastAsia="黑体" w:hAnsi="黑体"/>
          <w:color w:val="000000"/>
          <w:kern w:val="0"/>
        </w:rPr>
        <w:t xml:space="preserve">  </w:t>
      </w:r>
      <w:r>
        <w:rPr>
          <w:rFonts w:hint="eastAsia"/>
          <w:color w:val="000000"/>
          <w:kern w:val="0"/>
        </w:rPr>
        <w:t>操作监控层</w:t>
      </w:r>
    </w:p>
    <w:p w:rsidR="00AB65DB" w:rsidRDefault="007C6B50" w:rsidP="00F912F9">
      <w:pPr>
        <w:snapToGrid w:val="0"/>
        <w:spacing w:beforeLines="50" w:before="156" w:afterLines="50" w:after="156" w:line="360" w:lineRule="exact"/>
        <w:ind w:firstLineChars="200" w:firstLine="420"/>
        <w:contextualSpacing/>
        <w:rPr>
          <w:color w:val="000000"/>
          <w:kern w:val="0"/>
        </w:rPr>
      </w:pPr>
      <w:r>
        <w:rPr>
          <w:rFonts w:hint="eastAsia"/>
          <w:color w:val="000000"/>
          <w:kern w:val="0"/>
        </w:rPr>
        <w:t>操作监控层应为分散控制系统的主要人机接口，应能对来自过程控制层的数据进行各种显示、报警、记录、调节、处理、存储等监控操作，实现集中操作管理的功能。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8.2.3</w:t>
      </w:r>
      <w:r w:rsidR="00F912F9">
        <w:rPr>
          <w:rFonts w:ascii="黑体" w:eastAsia="黑体" w:hAnsi="黑体"/>
          <w:color w:val="000000"/>
          <w:kern w:val="0"/>
        </w:rPr>
        <w:t xml:space="preserve">  </w:t>
      </w:r>
      <w:r>
        <w:rPr>
          <w:rFonts w:hint="eastAsia"/>
          <w:color w:val="000000"/>
          <w:kern w:val="0"/>
        </w:rPr>
        <w:t>数据服务层</w:t>
      </w:r>
    </w:p>
    <w:p w:rsidR="00AB65DB" w:rsidRDefault="007C6B50" w:rsidP="00F912F9">
      <w:pPr>
        <w:snapToGrid w:val="0"/>
        <w:spacing w:beforeLines="50" w:before="156" w:afterLines="50" w:after="156" w:line="360" w:lineRule="exact"/>
        <w:ind w:firstLineChars="200" w:firstLine="420"/>
        <w:contextualSpacing/>
        <w:rPr>
          <w:color w:val="000000"/>
          <w:kern w:val="0"/>
        </w:rPr>
      </w:pPr>
      <w:r>
        <w:rPr>
          <w:rFonts w:hint="eastAsia"/>
          <w:color w:val="000000"/>
          <w:kern w:val="0"/>
        </w:rPr>
        <w:t>数据服务层可用于各操作分区设备的全局数据服务（如全局工程师站、全局操作员站、全局历史数据备份恢复、用户权限管理和访问控制、时钟同步等）。数据服务层应通过过程控制层进行数据交换。</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8.2.4</w:t>
      </w:r>
      <w:r w:rsidR="00F912F9">
        <w:rPr>
          <w:rFonts w:ascii="黑体" w:eastAsia="黑体" w:hAnsi="黑体"/>
          <w:color w:val="000000"/>
          <w:kern w:val="0"/>
        </w:rPr>
        <w:t xml:space="preserve">  </w:t>
      </w:r>
      <w:r>
        <w:rPr>
          <w:rFonts w:hint="eastAsia"/>
          <w:color w:val="000000"/>
          <w:kern w:val="0"/>
        </w:rPr>
        <w:t>数据缓冲层</w:t>
      </w:r>
    </w:p>
    <w:p w:rsidR="00AB65DB" w:rsidRDefault="007C6B50" w:rsidP="00F912F9">
      <w:pPr>
        <w:snapToGrid w:val="0"/>
        <w:spacing w:beforeLines="50" w:before="156" w:afterLines="50" w:after="156" w:line="360" w:lineRule="exact"/>
        <w:ind w:firstLineChars="200" w:firstLine="420"/>
        <w:contextualSpacing/>
        <w:rPr>
          <w:color w:val="000000"/>
          <w:kern w:val="0"/>
        </w:rPr>
      </w:pPr>
      <w:r>
        <w:rPr>
          <w:rFonts w:hint="eastAsia"/>
          <w:color w:val="000000"/>
          <w:kern w:val="0"/>
        </w:rPr>
        <w:t>数据缓冲层应为分散控制系统内部网络与外部网络数据交换的中间层，可向间接参与生产过程的用户提供数据服务。</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8.2.5</w:t>
      </w:r>
      <w:r w:rsidR="00F912F9">
        <w:rPr>
          <w:rFonts w:ascii="黑体" w:eastAsia="黑体" w:hAnsi="黑体"/>
          <w:color w:val="000000"/>
          <w:kern w:val="0"/>
        </w:rPr>
        <w:t xml:space="preserve">  </w:t>
      </w:r>
      <w:r>
        <w:rPr>
          <w:rFonts w:hint="eastAsia"/>
          <w:color w:val="000000"/>
          <w:kern w:val="0"/>
        </w:rPr>
        <w:t>生产运行应用层</w:t>
      </w:r>
    </w:p>
    <w:p w:rsidR="00AB65DB" w:rsidRDefault="007C6B50" w:rsidP="00F912F9">
      <w:pPr>
        <w:snapToGrid w:val="0"/>
        <w:spacing w:beforeLines="50" w:before="156" w:afterLines="50" w:after="156" w:line="360" w:lineRule="exact"/>
        <w:ind w:firstLineChars="200" w:firstLine="420"/>
        <w:contextualSpacing/>
        <w:rPr>
          <w:color w:val="000000"/>
          <w:kern w:val="0"/>
        </w:rPr>
      </w:pPr>
      <w:r>
        <w:rPr>
          <w:rFonts w:hint="eastAsia"/>
          <w:color w:val="000000"/>
          <w:kern w:val="0"/>
        </w:rPr>
        <w:t>生产运行应用层可用于向间接参与生产过程的用户提供应用服务。与分散控制系统功能相关的第三方应用计算机应设置在生产运行应用层，设备和数据的安全应在分散控制系统系统安全保护范围内，并满足</w:t>
      </w:r>
      <w:r>
        <w:rPr>
          <w:rFonts w:hint="eastAsia"/>
          <w:color w:val="000000"/>
          <w:kern w:val="0"/>
        </w:rPr>
        <w:t>7</w:t>
      </w:r>
      <w:r>
        <w:rPr>
          <w:rFonts w:hint="eastAsia"/>
          <w:color w:val="000000"/>
          <w:kern w:val="0"/>
        </w:rPr>
        <w:t>中的安全要求。</w:t>
      </w:r>
    </w:p>
    <w:p w:rsidR="00AB65DB" w:rsidRDefault="007C6B50">
      <w:pPr>
        <w:pStyle w:val="a3"/>
        <w:jc w:val="center"/>
      </w:pPr>
      <w:r>
        <w:rPr>
          <w:noProof/>
        </w:rPr>
        <w:lastRenderedPageBreak/>
        <w:drawing>
          <wp:inline distT="0" distB="0" distL="0" distR="0">
            <wp:extent cx="4328160" cy="3551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336126" cy="3558275"/>
                    </a:xfrm>
                    <a:prstGeom prst="rect">
                      <a:avLst/>
                    </a:prstGeom>
                  </pic:spPr>
                </pic:pic>
              </a:graphicData>
            </a:graphic>
          </wp:inline>
        </w:drawing>
      </w:r>
    </w:p>
    <w:p w:rsidR="00AB65DB" w:rsidRDefault="007C6B50">
      <w:pPr>
        <w:jc w:val="center"/>
      </w:pPr>
      <w:r>
        <w:rPr>
          <w:rFonts w:hint="eastAsia"/>
        </w:rPr>
        <w:t>图</w:t>
      </w:r>
      <w:r>
        <w:rPr>
          <w:rFonts w:hint="eastAsia"/>
        </w:rPr>
        <w:t xml:space="preserve">2 </w:t>
      </w:r>
      <w:r>
        <w:rPr>
          <w:rFonts w:hint="eastAsia"/>
        </w:rPr>
        <w:t>稀土沉淀分散控制系统功能结构</w:t>
      </w:r>
    </w:p>
    <w:p w:rsidR="00AB65DB" w:rsidRDefault="007C6B50">
      <w:pPr>
        <w:pStyle w:val="a1"/>
        <w:numPr>
          <w:ilvl w:val="0"/>
          <w:numId w:val="0"/>
        </w:numPr>
        <w:snapToGrid w:val="0"/>
        <w:spacing w:before="156" w:after="156" w:line="360" w:lineRule="exact"/>
        <w:contextualSpacing/>
        <w:rPr>
          <w:rFonts w:hAnsi="黑体"/>
          <w:szCs w:val="22"/>
        </w:rPr>
      </w:pPr>
      <w:bookmarkStart w:id="24" w:name="_Toc162717667"/>
      <w:r>
        <w:rPr>
          <w:rFonts w:hAnsi="黑体" w:hint="eastAsia"/>
          <w:szCs w:val="22"/>
        </w:rPr>
        <w:t xml:space="preserve">8.3 </w:t>
      </w:r>
      <w:r w:rsidR="003E5084">
        <w:rPr>
          <w:rFonts w:hAnsi="黑体"/>
          <w:szCs w:val="22"/>
        </w:rPr>
        <w:t xml:space="preserve"> </w:t>
      </w:r>
      <w:r>
        <w:rPr>
          <w:rFonts w:hAnsi="黑体" w:hint="eastAsia"/>
          <w:szCs w:val="22"/>
        </w:rPr>
        <w:t>网络结构</w:t>
      </w:r>
      <w:bookmarkEnd w:id="24"/>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生产过程网络可由过程控制网、公共数据网、服务数据网、应用数据网和安全管理网等组成。</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w:t>
      </w:r>
      <w:r w:rsidR="003E5084">
        <w:rPr>
          <w:rFonts w:ascii="黑体" w:eastAsia="黑体" w:hAnsi="黑体"/>
          <w:color w:val="000000"/>
          <w:kern w:val="0"/>
        </w:rPr>
        <w:t xml:space="preserve">  </w:t>
      </w:r>
      <w:r>
        <w:rPr>
          <w:rFonts w:hint="eastAsia"/>
          <w:color w:val="000000"/>
          <w:kern w:val="0"/>
        </w:rPr>
        <w:t>过程控制网</w:t>
      </w:r>
    </w:p>
    <w:p w:rsidR="00AB65DB" w:rsidRDefault="007C6B50" w:rsidP="00F912F9">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用于过程控制层与操作监控层之间工艺过程检测控制数据、分散控制系统系统组态数据、仪控设备状态数据的传递。</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w:t>
      </w:r>
      <w:r w:rsidR="00E30B38">
        <w:rPr>
          <w:rFonts w:ascii="黑体" w:eastAsia="黑体" w:hAnsi="黑体"/>
          <w:color w:val="000000"/>
          <w:kern w:val="0"/>
        </w:rPr>
        <w:t>1</w:t>
      </w:r>
      <w:r w:rsidR="00F912F9">
        <w:rPr>
          <w:rFonts w:ascii="黑体" w:eastAsia="黑体" w:hAnsi="黑体"/>
          <w:color w:val="000000"/>
          <w:kern w:val="0"/>
        </w:rPr>
        <w:t xml:space="preserve">  </w:t>
      </w:r>
      <w:r>
        <w:rPr>
          <w:rFonts w:hint="eastAsia"/>
          <w:color w:val="000000"/>
          <w:kern w:val="0"/>
        </w:rPr>
        <w:t>过程控制网应与分散控制系统其它数据网络网络独立设置且相互隔离，不应与分散控制系统其他网络共用交换机、网卡等网络设施。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8.3.1.</w:t>
      </w:r>
      <w:r w:rsidR="00E30B38">
        <w:rPr>
          <w:rFonts w:ascii="黑体" w:eastAsia="黑体" w:hAnsi="黑体"/>
          <w:color w:val="000000"/>
          <w:kern w:val="0"/>
        </w:rPr>
        <w:t>2</w:t>
      </w:r>
      <w:r w:rsidR="00F912F9">
        <w:rPr>
          <w:rFonts w:ascii="黑体" w:eastAsia="黑体" w:hAnsi="黑体"/>
          <w:color w:val="000000"/>
          <w:kern w:val="0"/>
        </w:rPr>
        <w:t xml:space="preserve">  </w:t>
      </w:r>
      <w:r>
        <w:rPr>
          <w:rFonts w:hint="eastAsia"/>
          <w:color w:val="000000"/>
          <w:kern w:val="0"/>
        </w:rPr>
        <w:t>过程数据网应采用冗余配置，冗余网络之间应相互隔离。</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8.3.2</w:t>
      </w:r>
      <w:r w:rsidR="00F912F9">
        <w:rPr>
          <w:rFonts w:ascii="黑体" w:eastAsia="黑体" w:hAnsi="黑体"/>
          <w:color w:val="000000"/>
          <w:kern w:val="0"/>
        </w:rPr>
        <w:t xml:space="preserve">  </w:t>
      </w:r>
      <w:r>
        <w:rPr>
          <w:rFonts w:hint="eastAsia"/>
          <w:color w:val="000000"/>
          <w:kern w:val="0"/>
        </w:rPr>
        <w:t>公共数据网</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操作监控层和公共数据服务层设备之间工艺过程检测控制数据、仪控设备状态数据、备份恢复数据、设备和用户配置数据、时钟数据以及间接参与生产操作的高级应用数据的传输，不宜用于生产操作控制直接相关的数据传输。</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8.3.3</w:t>
      </w:r>
      <w:r w:rsidR="00F912F9">
        <w:rPr>
          <w:rFonts w:ascii="黑体" w:eastAsia="黑体" w:hAnsi="黑体"/>
          <w:color w:val="000000"/>
          <w:kern w:val="0"/>
        </w:rPr>
        <w:t xml:space="preserve">  </w:t>
      </w:r>
      <w:r>
        <w:rPr>
          <w:rFonts w:hint="eastAsia"/>
          <w:color w:val="000000"/>
          <w:kern w:val="0"/>
        </w:rPr>
        <w:t>服务数据网</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作为分散控制系统的数据缓冲区可用于分散控制系统内部网络与外部网络进行数据交换，用于保护分散控制系统内部网络，实现分散控制系统数据的安全应用。服务数据网不应以任何形式与过程数据网络进行连接。</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8.3.4</w:t>
      </w:r>
      <w:r w:rsidR="00F912F9">
        <w:rPr>
          <w:rFonts w:ascii="黑体" w:eastAsia="黑体" w:hAnsi="黑体"/>
          <w:color w:val="000000"/>
          <w:kern w:val="0"/>
        </w:rPr>
        <w:t xml:space="preserve">  </w:t>
      </w:r>
      <w:r>
        <w:rPr>
          <w:rFonts w:hint="eastAsia"/>
          <w:color w:val="000000"/>
          <w:kern w:val="0"/>
        </w:rPr>
        <w:t>应用数据网</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用于与分散控制系统功能间接相关的应用（如设备状态监控、生产调度、工艺分析等）数据的传输。应用数据网应通过防火墙与服务数据网络连接，并应与公共数据网络隔离。</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8.3.5</w:t>
      </w:r>
      <w:r w:rsidR="00F912F9">
        <w:rPr>
          <w:rFonts w:ascii="黑体" w:eastAsia="黑体" w:hAnsi="黑体"/>
          <w:color w:val="000000"/>
          <w:kern w:val="0"/>
        </w:rPr>
        <w:t xml:space="preserve">  </w:t>
      </w:r>
      <w:r>
        <w:rPr>
          <w:rFonts w:hint="eastAsia"/>
          <w:color w:val="000000"/>
          <w:kern w:val="0"/>
        </w:rPr>
        <w:t>安全管理网</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用于分散控制系统网络交换机、网络安全设备（如防火墙、网闸）的状态信息、审计日志、安全策</w:t>
      </w:r>
      <w:r>
        <w:rPr>
          <w:rFonts w:hint="eastAsia"/>
          <w:color w:val="000000"/>
          <w:kern w:val="0"/>
        </w:rPr>
        <w:lastRenderedPageBreak/>
        <w:t>略、设备配置等安全管理数据与安全管理系统之间的数据传输，以及安全管理系统内部设备之间的数据传输；安全管理网应独立设置，网络连接方式。</w:t>
      </w:r>
    </w:p>
    <w:p w:rsidR="00AB65DB" w:rsidRDefault="00131331" w:rsidP="00F912F9">
      <w:pPr>
        <w:pStyle w:val="a3"/>
        <w:jc w:val="left"/>
      </w:pPr>
      <w:r>
        <w:rPr>
          <w:noProof/>
        </w:rPr>
        <w:drawing>
          <wp:anchor distT="0" distB="0" distL="114300" distR="114300" simplePos="0" relativeHeight="251659776" behindDoc="0" locked="0" layoutInCell="1" allowOverlap="1" wp14:anchorId="10193015" wp14:editId="31565F36">
            <wp:simplePos x="0" y="0"/>
            <wp:positionH relativeFrom="column">
              <wp:posOffset>662305</wp:posOffset>
            </wp:positionH>
            <wp:positionV relativeFrom="paragraph">
              <wp:posOffset>133350</wp:posOffset>
            </wp:positionV>
            <wp:extent cx="4622165" cy="2994025"/>
            <wp:effectExtent l="0" t="0" r="698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622165" cy="2994025"/>
                    </a:xfrm>
                    <a:prstGeom prst="rect">
                      <a:avLst/>
                    </a:prstGeom>
                  </pic:spPr>
                </pic:pic>
              </a:graphicData>
            </a:graphic>
          </wp:anchor>
        </w:drawing>
      </w:r>
      <w:r w:rsidR="00F912F9">
        <w:br w:type="textWrapping" w:clear="all"/>
      </w:r>
    </w:p>
    <w:p w:rsidR="00AB65DB" w:rsidRDefault="007C6B50">
      <w:pPr>
        <w:jc w:val="center"/>
      </w:pPr>
      <w:r>
        <w:rPr>
          <w:rFonts w:hint="eastAsia"/>
        </w:rPr>
        <w:t>图</w:t>
      </w:r>
      <w:r>
        <w:rPr>
          <w:rFonts w:hint="eastAsia"/>
        </w:rPr>
        <w:t xml:space="preserve">3 </w:t>
      </w:r>
      <w:r>
        <w:rPr>
          <w:rFonts w:hint="eastAsia"/>
        </w:rPr>
        <w:t>稀土沉淀生产过程网络</w:t>
      </w:r>
    </w:p>
    <w:p w:rsidR="00AB65DB" w:rsidRDefault="007C6B50">
      <w:pPr>
        <w:pStyle w:val="a1"/>
        <w:numPr>
          <w:ilvl w:val="0"/>
          <w:numId w:val="0"/>
        </w:numPr>
        <w:snapToGrid w:val="0"/>
        <w:spacing w:before="156" w:after="156" w:line="360" w:lineRule="exact"/>
        <w:contextualSpacing/>
        <w:rPr>
          <w:rFonts w:hAnsi="黑体"/>
          <w:szCs w:val="22"/>
        </w:rPr>
      </w:pPr>
      <w:bookmarkStart w:id="25" w:name="_Toc162717668"/>
      <w:r>
        <w:rPr>
          <w:rFonts w:hAnsi="黑体" w:hint="eastAsia"/>
          <w:szCs w:val="22"/>
        </w:rPr>
        <w:t xml:space="preserve">8.4 </w:t>
      </w:r>
      <w:r w:rsidR="003E5084">
        <w:rPr>
          <w:rFonts w:hAnsi="黑体"/>
          <w:szCs w:val="22"/>
        </w:rPr>
        <w:t xml:space="preserve"> </w:t>
      </w:r>
      <w:r>
        <w:rPr>
          <w:rFonts w:hAnsi="黑体" w:hint="eastAsia"/>
          <w:szCs w:val="22"/>
        </w:rPr>
        <w:t>分散控制系统功能要求</w:t>
      </w:r>
      <w:bookmarkEnd w:id="25"/>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8.4.1</w:t>
      </w:r>
      <w:r w:rsidR="00F912F9">
        <w:rPr>
          <w:rFonts w:ascii="黑体" w:eastAsia="黑体" w:hAnsi="黑体"/>
          <w:color w:val="000000"/>
          <w:kern w:val="0"/>
        </w:rPr>
        <w:t xml:space="preserve">  </w:t>
      </w:r>
      <w:r>
        <w:rPr>
          <w:rFonts w:hint="eastAsia"/>
          <w:color w:val="000000"/>
          <w:kern w:val="0"/>
        </w:rPr>
        <w:t>过程控制站</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除了常规</w:t>
      </w:r>
      <w:r>
        <w:rPr>
          <w:rFonts w:hint="eastAsia"/>
          <w:color w:val="000000"/>
          <w:kern w:val="0"/>
        </w:rPr>
        <w:t>PID</w:t>
      </w:r>
      <w:r>
        <w:rPr>
          <w:rFonts w:hint="eastAsia"/>
          <w:color w:val="000000"/>
          <w:kern w:val="0"/>
        </w:rPr>
        <w:t>控制外，控制器还应具备比值控制、超驰控制、前馈控制、批量处理、顺序控制、分程控制、逻辑运算、数值计算等控制功能和计算功能。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8.4.2</w:t>
      </w:r>
      <w:r w:rsidR="00F912F9">
        <w:rPr>
          <w:rFonts w:ascii="黑体" w:eastAsia="黑体" w:hAnsi="黑体"/>
          <w:color w:val="000000"/>
          <w:kern w:val="0"/>
        </w:rPr>
        <w:t xml:space="preserve">  </w:t>
      </w:r>
      <w:r>
        <w:rPr>
          <w:rFonts w:hint="eastAsia"/>
          <w:color w:val="000000"/>
          <w:kern w:val="0"/>
        </w:rPr>
        <w:t>冗余与容错</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控制器应采用带容错功能的同步冗余配置。相互冗余的控制器均应处理输入数据，同时执行控制运算，由工作控制器控制最终执行元件。</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2</w:t>
      </w:r>
      <w:r>
        <w:rPr>
          <w:rFonts w:ascii="黑体" w:eastAsia="黑体" w:hAnsi="黑体" w:hint="eastAsia"/>
          <w:color w:val="000000"/>
          <w:kern w:val="0"/>
        </w:rPr>
        <w:t>.</w:t>
      </w:r>
      <w:r w:rsidR="00E30B38">
        <w:rPr>
          <w:rFonts w:ascii="黑体" w:eastAsia="黑体" w:hAnsi="黑体"/>
          <w:color w:val="000000"/>
          <w:kern w:val="0"/>
        </w:rPr>
        <w:t>1</w:t>
      </w:r>
      <w:r w:rsidR="00F912F9">
        <w:rPr>
          <w:rFonts w:ascii="黑体" w:eastAsia="黑体" w:hAnsi="黑体"/>
          <w:color w:val="000000"/>
          <w:kern w:val="0"/>
        </w:rPr>
        <w:t xml:space="preserve">  </w:t>
      </w:r>
      <w:r>
        <w:rPr>
          <w:rFonts w:hint="eastAsia"/>
          <w:color w:val="000000"/>
          <w:kern w:val="0"/>
        </w:rPr>
        <w:t>控制器负荷</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控制器的实际运行最大负荷应不超过额定负荷</w:t>
      </w:r>
      <w:r>
        <w:rPr>
          <w:rFonts w:hint="eastAsia"/>
          <w:color w:val="000000"/>
          <w:kern w:val="0"/>
        </w:rPr>
        <w:t xml:space="preserve">60% </w:t>
      </w:r>
      <w:r>
        <w:rPr>
          <w:rFonts w:hint="eastAsia"/>
          <w:color w:val="000000"/>
          <w:kern w:val="0"/>
        </w:rPr>
        <w:t>。</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2</w:t>
      </w:r>
      <w:r>
        <w:rPr>
          <w:rFonts w:ascii="黑体" w:eastAsia="黑体" w:hAnsi="黑体" w:hint="eastAsia"/>
          <w:color w:val="000000"/>
          <w:kern w:val="0"/>
        </w:rPr>
        <w:t>.</w:t>
      </w:r>
      <w:r w:rsidR="00E30B38">
        <w:rPr>
          <w:rFonts w:ascii="黑体" w:eastAsia="黑体" w:hAnsi="黑体"/>
          <w:color w:val="000000"/>
          <w:kern w:val="0"/>
        </w:rPr>
        <w:t>2</w:t>
      </w:r>
      <w:r w:rsidR="00F912F9">
        <w:rPr>
          <w:rFonts w:ascii="黑体" w:eastAsia="黑体" w:hAnsi="黑体"/>
          <w:color w:val="000000"/>
          <w:kern w:val="0"/>
        </w:rPr>
        <w:t xml:space="preserve">  </w:t>
      </w:r>
      <w:r>
        <w:rPr>
          <w:rFonts w:hint="eastAsia"/>
          <w:color w:val="000000"/>
          <w:kern w:val="0"/>
        </w:rPr>
        <w:t>备用原则</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各控制站</w:t>
      </w:r>
      <w:r>
        <w:rPr>
          <w:rFonts w:hint="eastAsia"/>
          <w:color w:val="000000"/>
          <w:kern w:val="0"/>
        </w:rPr>
        <w:t>I/O</w:t>
      </w:r>
      <w:r>
        <w:rPr>
          <w:rFonts w:hint="eastAsia"/>
          <w:color w:val="000000"/>
          <w:kern w:val="0"/>
        </w:rPr>
        <w:t>模块插槽应预留不小于</w:t>
      </w:r>
      <w:r>
        <w:rPr>
          <w:rFonts w:hint="eastAsia"/>
          <w:color w:val="000000"/>
          <w:kern w:val="0"/>
        </w:rPr>
        <w:t>20%</w:t>
      </w:r>
      <w:r>
        <w:rPr>
          <w:rFonts w:hint="eastAsia"/>
          <w:color w:val="000000"/>
          <w:kern w:val="0"/>
        </w:rPr>
        <w:t>的余量。</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3</w:t>
      </w:r>
      <w:r w:rsidR="00F912F9">
        <w:rPr>
          <w:rFonts w:ascii="黑体" w:eastAsia="黑体" w:hAnsi="黑体"/>
          <w:color w:val="000000"/>
          <w:kern w:val="0"/>
        </w:rPr>
        <w:t xml:space="preserve">  </w:t>
      </w:r>
      <w:r>
        <w:rPr>
          <w:rFonts w:hint="eastAsia"/>
          <w:color w:val="000000"/>
          <w:kern w:val="0"/>
        </w:rPr>
        <w:t>过程接口单元</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3</w:t>
      </w:r>
      <w:r>
        <w:rPr>
          <w:rFonts w:ascii="黑体" w:eastAsia="黑体" w:hAnsi="黑体" w:hint="eastAsia"/>
          <w:color w:val="000000"/>
          <w:kern w:val="0"/>
        </w:rPr>
        <w:t>.1</w:t>
      </w:r>
      <w:r w:rsidR="00F912F9">
        <w:rPr>
          <w:rFonts w:ascii="黑体" w:eastAsia="黑体" w:hAnsi="黑体"/>
          <w:color w:val="000000"/>
          <w:kern w:val="0"/>
        </w:rPr>
        <w:t xml:space="preserve">  </w:t>
      </w:r>
      <w:r>
        <w:rPr>
          <w:rFonts w:hint="eastAsia"/>
          <w:color w:val="000000"/>
          <w:kern w:val="0"/>
        </w:rPr>
        <w:t>I/O</w:t>
      </w:r>
      <w:r>
        <w:rPr>
          <w:rFonts w:hint="eastAsia"/>
          <w:color w:val="000000"/>
          <w:kern w:val="0"/>
        </w:rPr>
        <w:t>模块应具备输入信号滤波和非线性输入信号的线性化等功能。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3</w:t>
      </w:r>
      <w:r>
        <w:rPr>
          <w:rFonts w:ascii="黑体" w:eastAsia="黑体" w:hAnsi="黑体" w:hint="eastAsia"/>
          <w:color w:val="000000"/>
          <w:kern w:val="0"/>
        </w:rPr>
        <w:t>.2</w:t>
      </w:r>
      <w:r w:rsidR="00F912F9">
        <w:rPr>
          <w:rFonts w:ascii="黑体" w:eastAsia="黑体" w:hAnsi="黑体"/>
          <w:color w:val="000000"/>
          <w:kern w:val="0"/>
        </w:rPr>
        <w:t xml:space="preserve">  </w:t>
      </w:r>
      <w:r>
        <w:rPr>
          <w:rFonts w:hint="eastAsia"/>
          <w:color w:val="000000"/>
          <w:kern w:val="0"/>
        </w:rPr>
        <w:t>根据不同的</w:t>
      </w:r>
      <w:r>
        <w:rPr>
          <w:rFonts w:hint="eastAsia"/>
          <w:color w:val="000000"/>
          <w:kern w:val="0"/>
        </w:rPr>
        <w:t>I/O</w:t>
      </w:r>
      <w:r>
        <w:rPr>
          <w:rFonts w:hint="eastAsia"/>
          <w:color w:val="000000"/>
          <w:kern w:val="0"/>
        </w:rPr>
        <w:t>模块类型，所有输入、输出点都应带有信号过载保护功能。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3</w:t>
      </w:r>
      <w:r>
        <w:rPr>
          <w:rFonts w:ascii="黑体" w:eastAsia="黑体" w:hAnsi="黑体" w:hint="eastAsia"/>
          <w:color w:val="000000"/>
          <w:kern w:val="0"/>
        </w:rPr>
        <w:t>.3</w:t>
      </w:r>
      <w:r w:rsidR="00F912F9">
        <w:rPr>
          <w:rFonts w:ascii="黑体" w:eastAsia="黑体" w:hAnsi="黑体"/>
          <w:color w:val="000000"/>
          <w:kern w:val="0"/>
        </w:rPr>
        <w:t xml:space="preserve">  </w:t>
      </w:r>
      <w:r>
        <w:rPr>
          <w:rFonts w:hint="eastAsia"/>
          <w:color w:val="000000"/>
          <w:kern w:val="0"/>
        </w:rPr>
        <w:t>模拟量</w:t>
      </w:r>
      <w:r>
        <w:rPr>
          <w:rFonts w:hint="eastAsia"/>
          <w:color w:val="000000"/>
          <w:kern w:val="0"/>
        </w:rPr>
        <w:t>I/O</w:t>
      </w:r>
      <w:r>
        <w:rPr>
          <w:rFonts w:hint="eastAsia"/>
          <w:color w:val="000000"/>
          <w:kern w:val="0"/>
        </w:rPr>
        <w:t>模块宜具有通道间隔离方式，数字量</w:t>
      </w:r>
      <w:r>
        <w:rPr>
          <w:rFonts w:hint="eastAsia"/>
          <w:color w:val="000000"/>
          <w:kern w:val="0"/>
        </w:rPr>
        <w:t>I/O</w:t>
      </w:r>
      <w:r>
        <w:rPr>
          <w:rFonts w:hint="eastAsia"/>
          <w:color w:val="000000"/>
          <w:kern w:val="0"/>
        </w:rPr>
        <w:t>模块宜具有组隔离方式。</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4</w:t>
      </w:r>
      <w:r w:rsidR="00F912F9">
        <w:rPr>
          <w:rFonts w:ascii="黑体" w:eastAsia="黑体" w:hAnsi="黑体"/>
          <w:color w:val="000000"/>
          <w:kern w:val="0"/>
        </w:rPr>
        <w:t xml:space="preserve">  </w:t>
      </w:r>
      <w:r>
        <w:rPr>
          <w:rFonts w:hint="eastAsia"/>
          <w:color w:val="000000"/>
          <w:kern w:val="0"/>
        </w:rPr>
        <w:t>操作站</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4</w:t>
      </w:r>
      <w:r>
        <w:rPr>
          <w:rFonts w:ascii="黑体" w:eastAsia="黑体" w:hAnsi="黑体" w:hint="eastAsia"/>
          <w:color w:val="000000"/>
          <w:kern w:val="0"/>
        </w:rPr>
        <w:t>.1</w:t>
      </w:r>
      <w:r w:rsidR="00F912F9">
        <w:rPr>
          <w:rFonts w:ascii="黑体" w:eastAsia="黑体" w:hAnsi="黑体"/>
          <w:color w:val="000000"/>
          <w:kern w:val="0"/>
        </w:rPr>
        <w:t xml:space="preserve">  </w:t>
      </w:r>
      <w:r>
        <w:rPr>
          <w:rFonts w:hint="eastAsia"/>
          <w:color w:val="000000"/>
          <w:kern w:val="0"/>
        </w:rPr>
        <w:t>操作站作为分散控制系统的人机接口，应具备工艺过程、过程变量、控制流程、设定参数及数据等的各种图形、显示、报警、记录、调节、处理、存储等监控操作及维护设备和处理事故的功能。</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4</w:t>
      </w:r>
      <w:r>
        <w:rPr>
          <w:rFonts w:ascii="黑体" w:eastAsia="黑体" w:hAnsi="黑体" w:hint="eastAsia"/>
          <w:color w:val="000000"/>
          <w:kern w:val="0"/>
        </w:rPr>
        <w:t>.2</w:t>
      </w:r>
      <w:r w:rsidR="00F912F9">
        <w:rPr>
          <w:rFonts w:ascii="黑体" w:eastAsia="黑体" w:hAnsi="黑体"/>
          <w:color w:val="000000"/>
          <w:kern w:val="0"/>
        </w:rPr>
        <w:t xml:space="preserve">  </w:t>
      </w:r>
      <w:r>
        <w:rPr>
          <w:rFonts w:hint="eastAsia"/>
          <w:color w:val="000000"/>
          <w:kern w:val="0"/>
        </w:rPr>
        <w:t>中心控制室或现场控制室内应按工艺装置、公用工程单元、储运单元或操作分区配置操作站，</w:t>
      </w:r>
      <w:r>
        <w:rPr>
          <w:rFonts w:hint="eastAsia"/>
          <w:color w:val="000000"/>
          <w:kern w:val="0"/>
        </w:rPr>
        <w:lastRenderedPageBreak/>
        <w:t>每个工艺装置、公用工程单元、储运单元或操作分区应至少配置</w:t>
      </w:r>
      <w:r>
        <w:rPr>
          <w:rFonts w:hint="eastAsia"/>
          <w:color w:val="000000"/>
          <w:kern w:val="0"/>
        </w:rPr>
        <w:t>1</w:t>
      </w:r>
      <w:r>
        <w:rPr>
          <w:rFonts w:hint="eastAsia"/>
          <w:color w:val="000000"/>
          <w:kern w:val="0"/>
        </w:rPr>
        <w:t>台操作站。</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4</w:t>
      </w:r>
      <w:r>
        <w:rPr>
          <w:rFonts w:ascii="黑体" w:eastAsia="黑体" w:hAnsi="黑体" w:hint="eastAsia"/>
          <w:color w:val="000000"/>
          <w:kern w:val="0"/>
        </w:rPr>
        <w:t>.3</w:t>
      </w:r>
      <w:r w:rsidR="00F912F9">
        <w:rPr>
          <w:rFonts w:ascii="黑体" w:eastAsia="黑体" w:hAnsi="黑体"/>
          <w:color w:val="000000"/>
          <w:kern w:val="0"/>
        </w:rPr>
        <w:t xml:space="preserve">  </w:t>
      </w:r>
      <w:r>
        <w:rPr>
          <w:rFonts w:hint="eastAsia"/>
          <w:color w:val="000000"/>
          <w:kern w:val="0"/>
        </w:rPr>
        <w:t>操作站信息画面应包含以下信息：</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）总貌及链接目录；</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）图面及图示分组；</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）操作回路；</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）报警列表图、分级、分区、分组图及报警统计与检索图；</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）实时趋势；</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f</w:t>
      </w:r>
      <w:r>
        <w:rPr>
          <w:rFonts w:hint="eastAsia"/>
          <w:color w:val="000000"/>
          <w:kern w:val="0"/>
        </w:rPr>
        <w:t>）历史趋势；</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g</w:t>
      </w:r>
      <w:r>
        <w:rPr>
          <w:rFonts w:hint="eastAsia"/>
          <w:color w:val="000000"/>
          <w:kern w:val="0"/>
        </w:rPr>
        <w:t>）操作事件记录；</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h</w:t>
      </w:r>
      <w:r>
        <w:rPr>
          <w:rFonts w:hint="eastAsia"/>
          <w:color w:val="000000"/>
          <w:kern w:val="0"/>
        </w:rPr>
        <w:t>）系统状态和概貌；</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i</w:t>
      </w:r>
      <w:r>
        <w:rPr>
          <w:rFonts w:hint="eastAsia"/>
          <w:color w:val="000000"/>
          <w:kern w:val="0"/>
        </w:rPr>
        <w:t>）诊断信息；</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j</w:t>
      </w:r>
      <w:r>
        <w:rPr>
          <w:rFonts w:hint="eastAsia"/>
          <w:color w:val="000000"/>
          <w:kern w:val="0"/>
        </w:rPr>
        <w:t>）控制点或检测点细节；</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k</w:t>
      </w:r>
      <w:r>
        <w:rPr>
          <w:rFonts w:hint="eastAsia"/>
          <w:color w:val="000000"/>
          <w:kern w:val="0"/>
        </w:rPr>
        <w:t>）流程图；</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l</w:t>
      </w:r>
      <w:r>
        <w:rPr>
          <w:rFonts w:hint="eastAsia"/>
          <w:color w:val="000000"/>
          <w:kern w:val="0"/>
        </w:rPr>
        <w:t>）其他。</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5</w:t>
      </w:r>
      <w:r w:rsidR="00F912F9">
        <w:rPr>
          <w:rFonts w:ascii="黑体" w:eastAsia="黑体" w:hAnsi="黑体"/>
          <w:color w:val="000000"/>
          <w:kern w:val="0"/>
        </w:rPr>
        <w:t xml:space="preserve">  </w:t>
      </w:r>
      <w:r>
        <w:rPr>
          <w:rFonts w:hint="eastAsia"/>
          <w:color w:val="000000"/>
          <w:kern w:val="0"/>
        </w:rPr>
        <w:t>工程师站</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5</w:t>
      </w:r>
      <w:r>
        <w:rPr>
          <w:rFonts w:ascii="黑体" w:eastAsia="黑体" w:hAnsi="黑体" w:hint="eastAsia"/>
          <w:color w:val="000000"/>
          <w:kern w:val="0"/>
        </w:rPr>
        <w:t>.1</w:t>
      </w:r>
      <w:r w:rsidR="00F912F9">
        <w:rPr>
          <w:rFonts w:ascii="黑体" w:eastAsia="黑体" w:hAnsi="黑体"/>
          <w:color w:val="000000"/>
          <w:kern w:val="0"/>
        </w:rPr>
        <w:t xml:space="preserve">  </w:t>
      </w:r>
      <w:r>
        <w:rPr>
          <w:rFonts w:hint="eastAsia"/>
          <w:color w:val="000000"/>
          <w:kern w:val="0"/>
        </w:rPr>
        <w:t>工程师站作为用于系统管理和组态维护及修改的人机接口，应具有如下功能：</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w:t>
      </w:r>
      <w:r>
        <w:rPr>
          <w:rFonts w:hint="eastAsia"/>
          <w:color w:val="000000"/>
          <w:kern w:val="0"/>
        </w:rPr>
        <w:t xml:space="preserve"> </w:t>
      </w:r>
      <w:r>
        <w:rPr>
          <w:rFonts w:hint="eastAsia"/>
          <w:color w:val="000000"/>
          <w:kern w:val="0"/>
        </w:rPr>
        <w:t>系统测试与诊断；</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）硬件的组态和功能定义；</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）控制软件的组态与下装；</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）可运行操作员站软件，并可通过修改用户权限的方式兼做操作站；</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）工程师站不应用于软件开发、数据管理以及文档处理等其他用途。</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5</w:t>
      </w:r>
      <w:r>
        <w:rPr>
          <w:rFonts w:ascii="黑体" w:eastAsia="黑体" w:hAnsi="黑体" w:hint="eastAsia"/>
          <w:color w:val="000000"/>
          <w:kern w:val="0"/>
        </w:rPr>
        <w:t>.2</w:t>
      </w:r>
      <w:r w:rsidR="00F912F9">
        <w:rPr>
          <w:rFonts w:ascii="黑体" w:eastAsia="黑体" w:hAnsi="黑体"/>
          <w:color w:val="000000"/>
          <w:kern w:val="0"/>
        </w:rPr>
        <w:t xml:space="preserve">  </w:t>
      </w:r>
      <w:r>
        <w:rPr>
          <w:rFonts w:hint="eastAsia"/>
          <w:color w:val="000000"/>
          <w:kern w:val="0"/>
        </w:rPr>
        <w:t>工程师站不宜兼做操作站。</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5</w:t>
      </w:r>
      <w:r>
        <w:rPr>
          <w:rFonts w:ascii="黑体" w:eastAsia="黑体" w:hAnsi="黑体" w:hint="eastAsia"/>
          <w:color w:val="000000"/>
          <w:kern w:val="0"/>
        </w:rPr>
        <w:t>.3</w:t>
      </w:r>
      <w:r w:rsidR="00F912F9">
        <w:rPr>
          <w:rFonts w:ascii="黑体" w:eastAsia="黑体" w:hAnsi="黑体"/>
          <w:color w:val="000000"/>
          <w:kern w:val="0"/>
        </w:rPr>
        <w:t xml:space="preserve">  </w:t>
      </w:r>
      <w:r>
        <w:rPr>
          <w:rFonts w:hint="eastAsia"/>
          <w:color w:val="000000"/>
          <w:kern w:val="0"/>
        </w:rPr>
        <w:t>工程师站组态应用程序宜具备以下功能：</w:t>
      </w:r>
      <w:r>
        <w:rPr>
          <w:rFonts w:hint="eastAsia"/>
          <w:color w:val="000000"/>
          <w:kern w:val="0"/>
        </w:rPr>
        <w:t xml:space="preserve"> </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a</w:t>
      </w:r>
      <w:r>
        <w:rPr>
          <w:rFonts w:hint="eastAsia"/>
          <w:color w:val="000000"/>
          <w:kern w:val="0"/>
        </w:rPr>
        <w:t>）系统结构定义组态；</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b</w:t>
      </w:r>
      <w:r>
        <w:rPr>
          <w:rFonts w:hint="eastAsia"/>
          <w:color w:val="000000"/>
          <w:kern w:val="0"/>
        </w:rPr>
        <w:t>）数据库组态；</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c</w:t>
      </w:r>
      <w:r>
        <w:rPr>
          <w:rFonts w:hint="eastAsia"/>
          <w:color w:val="000000"/>
          <w:kern w:val="0"/>
        </w:rPr>
        <w:t>）控制回路组态；</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d</w:t>
      </w:r>
      <w:r>
        <w:rPr>
          <w:rFonts w:hint="eastAsia"/>
          <w:color w:val="000000"/>
          <w:kern w:val="0"/>
        </w:rPr>
        <w:t>）编制程序；</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e</w:t>
      </w:r>
      <w:r>
        <w:rPr>
          <w:rFonts w:hint="eastAsia"/>
          <w:color w:val="000000"/>
          <w:kern w:val="0"/>
        </w:rPr>
        <w:t>）画面绘制；</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f</w:t>
      </w:r>
      <w:r>
        <w:rPr>
          <w:rFonts w:hint="eastAsia"/>
          <w:color w:val="000000"/>
          <w:kern w:val="0"/>
        </w:rPr>
        <w:t>）过程变量的零点、量程及报警限设定；</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g</w:t>
      </w:r>
      <w:r>
        <w:rPr>
          <w:rFonts w:hint="eastAsia"/>
          <w:color w:val="000000"/>
          <w:kern w:val="0"/>
        </w:rPr>
        <w:t>）实时和历史数据库组态等。</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6</w:t>
      </w:r>
      <w:r w:rsidR="00F912F9">
        <w:rPr>
          <w:rFonts w:ascii="黑体" w:eastAsia="黑体" w:hAnsi="黑体"/>
          <w:color w:val="000000"/>
          <w:kern w:val="0"/>
        </w:rPr>
        <w:t xml:space="preserve">  </w:t>
      </w:r>
      <w:r>
        <w:rPr>
          <w:rFonts w:hint="eastAsia"/>
          <w:color w:val="000000"/>
          <w:kern w:val="0"/>
        </w:rPr>
        <w:t>历史服务器</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6</w:t>
      </w:r>
      <w:r>
        <w:rPr>
          <w:rFonts w:ascii="黑体" w:eastAsia="黑体" w:hAnsi="黑体" w:hint="eastAsia"/>
          <w:color w:val="000000"/>
          <w:kern w:val="0"/>
        </w:rPr>
        <w:t>.1</w:t>
      </w:r>
      <w:r w:rsidR="00F912F9">
        <w:rPr>
          <w:rFonts w:ascii="黑体" w:eastAsia="黑体" w:hAnsi="黑体"/>
          <w:color w:val="000000"/>
          <w:kern w:val="0"/>
        </w:rPr>
        <w:t xml:space="preserve">  </w:t>
      </w:r>
      <w:r>
        <w:rPr>
          <w:rFonts w:hint="eastAsia"/>
          <w:color w:val="000000"/>
          <w:kern w:val="0"/>
        </w:rPr>
        <w:t>历史服务器应能存储与管理过程数据、报警记录和事件记录，并可为其它应用提供存储的数据。</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6</w:t>
      </w:r>
      <w:r>
        <w:rPr>
          <w:rFonts w:ascii="黑体" w:eastAsia="黑体" w:hAnsi="黑体" w:hint="eastAsia"/>
          <w:color w:val="000000"/>
          <w:kern w:val="0"/>
        </w:rPr>
        <w:t>.2</w:t>
      </w:r>
      <w:r w:rsidR="00F912F9">
        <w:rPr>
          <w:rFonts w:ascii="黑体" w:eastAsia="黑体" w:hAnsi="黑体"/>
          <w:color w:val="000000"/>
          <w:kern w:val="0"/>
        </w:rPr>
        <w:t xml:space="preserve">  </w:t>
      </w:r>
      <w:r>
        <w:rPr>
          <w:rFonts w:hint="eastAsia"/>
          <w:color w:val="000000"/>
          <w:kern w:val="0"/>
        </w:rPr>
        <w:t>历史服务器所属工艺装置、公用工程单元、储运单元或操作分区的操作站均应能随时调用相应的历史趋势和数据。</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7</w:t>
      </w:r>
      <w:r w:rsidR="00F912F9">
        <w:rPr>
          <w:rFonts w:ascii="黑体" w:eastAsia="黑体" w:hAnsi="黑体"/>
          <w:color w:val="000000"/>
          <w:kern w:val="0"/>
        </w:rPr>
        <w:t xml:space="preserve">  </w:t>
      </w:r>
      <w:r>
        <w:rPr>
          <w:rFonts w:hint="eastAsia"/>
          <w:color w:val="000000"/>
          <w:kern w:val="0"/>
        </w:rPr>
        <w:t>过程数据应用</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过程数据（</w:t>
      </w:r>
      <w:r>
        <w:rPr>
          <w:rFonts w:hint="eastAsia"/>
          <w:color w:val="000000"/>
          <w:kern w:val="0"/>
        </w:rPr>
        <w:t>OPC</w:t>
      </w:r>
      <w:r>
        <w:rPr>
          <w:rFonts w:hint="eastAsia"/>
          <w:color w:val="000000"/>
          <w:kern w:val="0"/>
        </w:rPr>
        <w:t>）应用服务器作为高级应用或管理的数据接口，应能对分散控制系统网络中的过程数据（包括实时数据和历史数据）进行采集和传输。</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lastRenderedPageBreak/>
        <w:t>8.4.</w:t>
      </w:r>
      <w:r w:rsidR="00E30B38">
        <w:rPr>
          <w:rFonts w:ascii="黑体" w:eastAsia="黑体" w:hAnsi="黑体"/>
          <w:color w:val="000000"/>
          <w:kern w:val="0"/>
        </w:rPr>
        <w:t>8</w:t>
      </w:r>
      <w:r w:rsidR="00F912F9">
        <w:rPr>
          <w:rFonts w:ascii="黑体" w:eastAsia="黑体" w:hAnsi="黑体"/>
          <w:color w:val="000000"/>
          <w:kern w:val="0"/>
        </w:rPr>
        <w:t xml:space="preserve">  </w:t>
      </w:r>
      <w:r>
        <w:rPr>
          <w:rFonts w:hint="eastAsia"/>
          <w:color w:val="000000"/>
          <w:kern w:val="0"/>
        </w:rPr>
        <w:t>先进控制应用（</w:t>
      </w:r>
      <w:r>
        <w:rPr>
          <w:rFonts w:hint="eastAsia"/>
          <w:color w:val="000000"/>
          <w:kern w:val="0"/>
        </w:rPr>
        <w:t>APC</w:t>
      </w:r>
      <w:r>
        <w:rPr>
          <w:rFonts w:hint="eastAsia"/>
          <w:color w:val="000000"/>
          <w:kern w:val="0"/>
        </w:rPr>
        <w:t>）</w:t>
      </w:r>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先进控制应用服务器作为先进控制软件的数据交换平台，应通过先进控制数据库对分散控制系统网络中的过程变量进行读取和写入。先进控制的控制功能宜通过标准化功能模块或软件组态完成，不宜采用编写程序语言方式。除先进控制人机操作界面，无扰切换，超限保护，通信保护和安全切换逻辑外，先进控制不宜在分散控制系统端进行任何控制方案的修改和新增。</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9</w:t>
      </w:r>
      <w:r>
        <w:rPr>
          <w:rFonts w:ascii="黑体" w:eastAsia="黑体" w:hAnsi="黑体" w:hint="eastAsia"/>
          <w:color w:val="000000"/>
          <w:kern w:val="0"/>
        </w:rPr>
        <w:t xml:space="preserve"> </w:t>
      </w:r>
      <w:r w:rsidR="00F912F9">
        <w:rPr>
          <w:rFonts w:ascii="黑体" w:eastAsia="黑体" w:hAnsi="黑体"/>
          <w:color w:val="000000"/>
          <w:kern w:val="0"/>
        </w:rPr>
        <w:t xml:space="preserve">  </w:t>
      </w:r>
      <w:r>
        <w:rPr>
          <w:rFonts w:hint="eastAsia"/>
          <w:color w:val="000000"/>
          <w:kern w:val="0"/>
        </w:rPr>
        <w:t>Web</w:t>
      </w:r>
      <w:r>
        <w:rPr>
          <w:rFonts w:hint="eastAsia"/>
          <w:color w:val="000000"/>
          <w:kern w:val="0"/>
        </w:rPr>
        <w:t>发布应用</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9</w:t>
      </w:r>
      <w:r>
        <w:rPr>
          <w:rFonts w:ascii="黑体" w:eastAsia="黑体" w:hAnsi="黑体" w:hint="eastAsia"/>
          <w:color w:val="000000"/>
          <w:kern w:val="0"/>
        </w:rPr>
        <w:t>.1</w:t>
      </w:r>
      <w:r w:rsidR="00F912F9">
        <w:rPr>
          <w:rFonts w:ascii="黑体" w:eastAsia="黑体" w:hAnsi="黑体"/>
          <w:color w:val="000000"/>
          <w:kern w:val="0"/>
        </w:rPr>
        <w:t xml:space="preserve">  </w:t>
      </w:r>
      <w:r>
        <w:rPr>
          <w:rFonts w:hint="eastAsia"/>
          <w:color w:val="000000"/>
          <w:kern w:val="0"/>
        </w:rPr>
        <w:t>Web</w:t>
      </w:r>
      <w:r>
        <w:rPr>
          <w:rFonts w:hint="eastAsia"/>
          <w:color w:val="000000"/>
          <w:kern w:val="0"/>
        </w:rPr>
        <w:t>发布应用服务器（网页浏览服务器）不应直接接入过程数据网，应通过设置在数据缓冲层的过程数据服务器读取分散控制系统中的过程数据。</w:t>
      </w:r>
    </w:p>
    <w:p w:rsidR="00AB65DB" w:rsidRDefault="007C6B50">
      <w:pPr>
        <w:snapToGrid w:val="0"/>
        <w:spacing w:beforeLines="50" w:before="156" w:afterLines="50" w:after="156" w:line="360" w:lineRule="exact"/>
        <w:contextualSpacing/>
        <w:rPr>
          <w:color w:val="000000"/>
          <w:kern w:val="0"/>
        </w:rPr>
      </w:pPr>
      <w:r>
        <w:rPr>
          <w:rFonts w:ascii="黑体" w:eastAsia="黑体" w:hAnsi="黑体" w:hint="eastAsia"/>
          <w:color w:val="000000"/>
          <w:kern w:val="0"/>
        </w:rPr>
        <w:t>8.4.</w:t>
      </w:r>
      <w:r w:rsidR="00E30B38">
        <w:rPr>
          <w:rFonts w:ascii="黑体" w:eastAsia="黑体" w:hAnsi="黑体"/>
          <w:color w:val="000000"/>
          <w:kern w:val="0"/>
        </w:rPr>
        <w:t>9</w:t>
      </w:r>
      <w:r>
        <w:rPr>
          <w:rFonts w:ascii="黑体" w:eastAsia="黑体" w:hAnsi="黑体" w:hint="eastAsia"/>
          <w:color w:val="000000"/>
          <w:kern w:val="0"/>
        </w:rPr>
        <w:t>.2</w:t>
      </w:r>
      <w:r w:rsidR="00F912F9">
        <w:rPr>
          <w:rFonts w:ascii="黑体" w:eastAsia="黑体" w:hAnsi="黑体"/>
          <w:color w:val="000000"/>
          <w:kern w:val="0"/>
        </w:rPr>
        <w:t xml:space="preserve">  </w:t>
      </w:r>
      <w:r>
        <w:rPr>
          <w:rFonts w:hint="eastAsia"/>
          <w:color w:val="000000"/>
          <w:kern w:val="0"/>
        </w:rPr>
        <w:t>Web</w:t>
      </w:r>
      <w:r>
        <w:rPr>
          <w:rFonts w:hint="eastAsia"/>
          <w:color w:val="000000"/>
          <w:kern w:val="0"/>
        </w:rPr>
        <w:t>发布应用服务器的硬件配置应能充分满足操作数据和画面的存储容量要求，并应根据访问用户的数量配置足够的内存容量和网络带宽。</w:t>
      </w:r>
    </w:p>
    <w:p w:rsidR="00AB65DB" w:rsidRDefault="007C6B50">
      <w:pPr>
        <w:pStyle w:val="a1"/>
        <w:numPr>
          <w:ilvl w:val="0"/>
          <w:numId w:val="0"/>
        </w:numPr>
        <w:snapToGrid w:val="0"/>
        <w:spacing w:beforeLines="100" w:before="312" w:afterLines="100" w:after="312" w:line="360" w:lineRule="exact"/>
        <w:contextualSpacing/>
        <w:rPr>
          <w:rFonts w:hAnsi="黑体"/>
          <w:szCs w:val="22"/>
        </w:rPr>
      </w:pPr>
      <w:bookmarkStart w:id="26" w:name="_Toc162717669"/>
      <w:r>
        <w:rPr>
          <w:rFonts w:hAnsi="黑体" w:hint="eastAsia"/>
          <w:szCs w:val="22"/>
        </w:rPr>
        <w:t>9　生产制造执行系统要求</w:t>
      </w:r>
      <w:bookmarkEnd w:id="26"/>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稀土沉淀的主体业务应包含</w:t>
      </w:r>
      <w:r>
        <w:rPr>
          <w:rFonts w:hint="eastAsia"/>
          <w:color w:val="000000"/>
          <w:kern w:val="0"/>
        </w:rPr>
        <w:t>MES</w:t>
      </w:r>
      <w:r>
        <w:rPr>
          <w:rFonts w:hint="eastAsia"/>
          <w:color w:val="000000"/>
          <w:kern w:val="0"/>
        </w:rPr>
        <w:t>和现场执行过程，其中</w:t>
      </w:r>
      <w:r>
        <w:rPr>
          <w:rFonts w:hint="eastAsia"/>
          <w:color w:val="000000"/>
          <w:kern w:val="0"/>
        </w:rPr>
        <w:t>MES</w:t>
      </w:r>
      <w:r>
        <w:rPr>
          <w:rFonts w:hint="eastAsia"/>
          <w:color w:val="000000"/>
          <w:kern w:val="0"/>
        </w:rPr>
        <w:t>包含生产计划过程、订单执行过程、物流周转过程。</w:t>
      </w:r>
    </w:p>
    <w:p w:rsidR="00AB65DB" w:rsidRDefault="007C6B50">
      <w:pPr>
        <w:pStyle w:val="a1"/>
        <w:numPr>
          <w:ilvl w:val="0"/>
          <w:numId w:val="0"/>
        </w:numPr>
        <w:snapToGrid w:val="0"/>
        <w:spacing w:before="156" w:after="156" w:line="360" w:lineRule="exact"/>
        <w:contextualSpacing/>
        <w:rPr>
          <w:rFonts w:hAnsi="黑体"/>
          <w:szCs w:val="22"/>
        </w:rPr>
      </w:pPr>
      <w:bookmarkStart w:id="27" w:name="_Toc162717670"/>
      <w:r>
        <w:rPr>
          <w:rFonts w:hAnsi="黑体" w:hint="eastAsia"/>
          <w:szCs w:val="22"/>
        </w:rPr>
        <w:t xml:space="preserve">9.1 </w:t>
      </w:r>
      <w:r w:rsidR="00F912F9">
        <w:rPr>
          <w:rFonts w:hAnsi="黑体"/>
          <w:szCs w:val="22"/>
        </w:rPr>
        <w:t xml:space="preserve"> </w:t>
      </w:r>
      <w:r>
        <w:rPr>
          <w:rFonts w:hAnsi="黑体" w:hint="eastAsia"/>
          <w:szCs w:val="22"/>
        </w:rPr>
        <w:t>生产计划过程</w:t>
      </w:r>
      <w:bookmarkEnd w:id="27"/>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企业信息业务系统将生产计划导入到</w:t>
      </w:r>
      <w:r>
        <w:rPr>
          <w:rFonts w:hint="eastAsia"/>
          <w:color w:val="000000"/>
          <w:kern w:val="0"/>
        </w:rPr>
        <w:t>MES</w:t>
      </w:r>
      <w:r>
        <w:rPr>
          <w:rFonts w:hint="eastAsia"/>
          <w:color w:val="000000"/>
          <w:kern w:val="0"/>
        </w:rPr>
        <w:t>系统，生产计划包括订单生产的基本信息（如合同信息，产品需求，订单工艺资料等），或者计划生产信息（比如计划属性，计划数量，计划工艺要求等）；</w:t>
      </w:r>
    </w:p>
    <w:p w:rsidR="00AB65DB" w:rsidRDefault="007C6B50">
      <w:pPr>
        <w:pStyle w:val="a1"/>
        <w:numPr>
          <w:ilvl w:val="0"/>
          <w:numId w:val="0"/>
        </w:numPr>
        <w:snapToGrid w:val="0"/>
        <w:spacing w:before="156" w:after="156" w:line="360" w:lineRule="exact"/>
        <w:contextualSpacing/>
        <w:rPr>
          <w:rFonts w:hAnsi="黑体"/>
          <w:szCs w:val="22"/>
        </w:rPr>
      </w:pPr>
      <w:bookmarkStart w:id="28" w:name="_Toc162717671"/>
      <w:r>
        <w:rPr>
          <w:rFonts w:hAnsi="黑体" w:hint="eastAsia"/>
          <w:szCs w:val="22"/>
        </w:rPr>
        <w:t>9.2</w:t>
      </w:r>
      <w:r w:rsidR="00F912F9">
        <w:rPr>
          <w:rFonts w:hAnsi="黑体"/>
          <w:szCs w:val="22"/>
        </w:rPr>
        <w:t xml:space="preserve"> </w:t>
      </w:r>
      <w:r>
        <w:rPr>
          <w:rFonts w:hAnsi="黑体" w:hint="eastAsia"/>
          <w:szCs w:val="22"/>
        </w:rPr>
        <w:t xml:space="preserve"> 计划执行过程</w:t>
      </w:r>
      <w:bookmarkEnd w:id="28"/>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MES</w:t>
      </w:r>
      <w:r>
        <w:rPr>
          <w:rFonts w:hint="eastAsia"/>
          <w:color w:val="000000"/>
          <w:kern w:val="0"/>
        </w:rPr>
        <w:t>根据计划制定工艺实现路线和准备生产所需的技术文件，指令下达到沉淀生产线和各个流程节点。</w:t>
      </w:r>
    </w:p>
    <w:p w:rsidR="00AB65DB" w:rsidRDefault="007C6B50">
      <w:pPr>
        <w:pStyle w:val="a1"/>
        <w:numPr>
          <w:ilvl w:val="0"/>
          <w:numId w:val="0"/>
        </w:numPr>
        <w:snapToGrid w:val="0"/>
        <w:spacing w:before="156" w:after="156" w:line="360" w:lineRule="exact"/>
        <w:contextualSpacing/>
        <w:rPr>
          <w:rFonts w:hAnsi="黑体"/>
          <w:szCs w:val="22"/>
        </w:rPr>
      </w:pPr>
      <w:bookmarkStart w:id="29" w:name="_Toc162717672"/>
      <w:r>
        <w:rPr>
          <w:rFonts w:hAnsi="黑体" w:hint="eastAsia"/>
          <w:szCs w:val="22"/>
        </w:rPr>
        <w:t>9.3</w:t>
      </w:r>
      <w:r w:rsidR="00F912F9">
        <w:rPr>
          <w:rFonts w:hAnsi="黑体"/>
          <w:szCs w:val="22"/>
        </w:rPr>
        <w:t xml:space="preserve">  </w:t>
      </w:r>
      <w:r>
        <w:rPr>
          <w:rFonts w:hAnsi="黑体" w:hint="eastAsia"/>
          <w:szCs w:val="22"/>
        </w:rPr>
        <w:t>物流周转过程</w:t>
      </w:r>
      <w:bookmarkEnd w:id="29"/>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物料调度和平衡过程按照排产内容和作业计划执行任务，在各个产线和流程间进行物料和辅料的分配及递送业务，管理产成品、物料和辅料的库存，平衡物料用量。</w:t>
      </w:r>
    </w:p>
    <w:p w:rsidR="00AB65DB" w:rsidRDefault="007C6B50">
      <w:pPr>
        <w:snapToGrid w:val="0"/>
        <w:spacing w:beforeLines="50" w:before="156" w:afterLines="50" w:after="156" w:line="360" w:lineRule="exact"/>
        <w:contextualSpacing/>
        <w:rPr>
          <w:rFonts w:ascii="黑体" w:eastAsia="黑体" w:hAnsi="黑体"/>
          <w:kern w:val="0"/>
          <w:szCs w:val="22"/>
        </w:rPr>
      </w:pPr>
      <w:r>
        <w:rPr>
          <w:rFonts w:ascii="黑体" w:eastAsia="黑体" w:hAnsi="黑体" w:hint="eastAsia"/>
          <w:kern w:val="0"/>
          <w:szCs w:val="22"/>
        </w:rPr>
        <w:t xml:space="preserve">9.4 </w:t>
      </w:r>
      <w:r w:rsidR="00F912F9">
        <w:rPr>
          <w:rFonts w:ascii="黑体" w:eastAsia="黑体" w:hAnsi="黑体"/>
          <w:kern w:val="0"/>
          <w:szCs w:val="22"/>
        </w:rPr>
        <w:t xml:space="preserve"> </w:t>
      </w:r>
      <w:r>
        <w:rPr>
          <w:rFonts w:ascii="黑体" w:eastAsia="黑体" w:hAnsi="黑体" w:hint="eastAsia"/>
          <w:kern w:val="0"/>
          <w:szCs w:val="22"/>
        </w:rPr>
        <w:t>现场执行过程</w:t>
      </w:r>
    </w:p>
    <w:p w:rsidR="00D9348E"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各个工序节点及工位按照工艺要求进行生产准备、工序加工、质量检查、环境监测、产品交付等工作。</w:t>
      </w:r>
    </w:p>
    <w:p w:rsidR="00D9348E" w:rsidRPr="00D9348E" w:rsidRDefault="00D9348E" w:rsidP="00D9348E"/>
    <w:p w:rsidR="00D9348E" w:rsidRPr="00D9348E" w:rsidRDefault="00D9348E" w:rsidP="00D9348E"/>
    <w:p w:rsidR="00D9348E" w:rsidRDefault="00D9348E" w:rsidP="00D9348E"/>
    <w:p w:rsidR="00AB65DB" w:rsidRPr="00D9348E" w:rsidRDefault="00D9348E" w:rsidP="00D9348E">
      <w:pPr>
        <w:tabs>
          <w:tab w:val="left" w:pos="7092"/>
        </w:tabs>
      </w:pPr>
      <w:r>
        <w:tab/>
      </w:r>
    </w:p>
    <w:p w:rsidR="00AB65DB" w:rsidRDefault="00131331">
      <w:pPr>
        <w:pStyle w:val="a3"/>
        <w:jc w:val="center"/>
      </w:pPr>
      <w:r>
        <w:rPr>
          <w:noProof/>
        </w:rPr>
        <w:lastRenderedPageBreak/>
        <w:drawing>
          <wp:inline distT="0" distB="0" distL="0" distR="0">
            <wp:extent cx="5939790" cy="4455160"/>
            <wp:effectExtent l="0" t="0" r="381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碳沉.jpg"/>
                    <pic:cNvPicPr/>
                  </pic:nvPicPr>
                  <pic:blipFill>
                    <a:blip r:embed="rId17">
                      <a:extLst>
                        <a:ext uri="{28A0092B-C50C-407E-A947-70E740481C1C}">
                          <a14:useLocalDpi xmlns:a14="http://schemas.microsoft.com/office/drawing/2010/main" val="0"/>
                        </a:ext>
                      </a:extLst>
                    </a:blip>
                    <a:stretch>
                      <a:fillRect/>
                    </a:stretch>
                  </pic:blipFill>
                  <pic:spPr>
                    <a:xfrm>
                      <a:off x="0" y="0"/>
                      <a:ext cx="5939790" cy="4455160"/>
                    </a:xfrm>
                    <a:prstGeom prst="rect">
                      <a:avLst/>
                    </a:prstGeom>
                  </pic:spPr>
                </pic:pic>
              </a:graphicData>
            </a:graphic>
          </wp:inline>
        </w:drawing>
      </w:r>
    </w:p>
    <w:p w:rsidR="00AB65DB" w:rsidRDefault="007C6B50">
      <w:pPr>
        <w:jc w:val="center"/>
      </w:pPr>
      <w:r>
        <w:rPr>
          <w:rFonts w:hint="eastAsia"/>
        </w:rPr>
        <w:t>图</w:t>
      </w:r>
      <w:r>
        <w:rPr>
          <w:rFonts w:hint="eastAsia"/>
        </w:rPr>
        <w:t xml:space="preserve">4 </w:t>
      </w:r>
      <w:r>
        <w:rPr>
          <w:rFonts w:hint="eastAsia"/>
        </w:rPr>
        <w:t>生产制造执行系统</w:t>
      </w:r>
    </w:p>
    <w:p w:rsidR="00AB65DB" w:rsidRDefault="007C6B50">
      <w:pPr>
        <w:pStyle w:val="a1"/>
        <w:numPr>
          <w:ilvl w:val="0"/>
          <w:numId w:val="0"/>
        </w:numPr>
        <w:snapToGrid w:val="0"/>
        <w:spacing w:beforeLines="100" w:before="312" w:afterLines="100" w:after="312" w:line="360" w:lineRule="exact"/>
        <w:contextualSpacing/>
        <w:rPr>
          <w:rFonts w:hAnsi="黑体"/>
          <w:szCs w:val="22"/>
        </w:rPr>
      </w:pPr>
      <w:bookmarkStart w:id="30" w:name="_Toc162717673"/>
      <w:r>
        <w:rPr>
          <w:rFonts w:hAnsi="黑体" w:hint="eastAsia"/>
          <w:szCs w:val="22"/>
        </w:rPr>
        <w:t>10　产品质量追溯系统要求</w:t>
      </w:r>
      <w:bookmarkEnd w:id="30"/>
    </w:p>
    <w:p w:rsidR="00AB65DB" w:rsidRDefault="007C6B50">
      <w:pPr>
        <w:pStyle w:val="aff9"/>
        <w:ind w:firstLine="420"/>
        <w:rPr>
          <w:rFonts w:ascii="Times New Roman"/>
          <w:color w:val="000000"/>
        </w:rPr>
      </w:pPr>
      <w:r>
        <w:rPr>
          <w:rFonts w:ascii="Times New Roman" w:hint="eastAsia"/>
          <w:color w:val="000000"/>
        </w:rPr>
        <w:t>对生产过程中的产品质量管控与产品质量信息进行跟踪，为产品质量异常原因分析提供历史数据。产品质量跟踪与追溯应包括以下内容</w:t>
      </w:r>
      <w:r>
        <w:rPr>
          <w:rFonts w:ascii="Times New Roman" w:hint="eastAsia"/>
          <w:color w:val="000000"/>
        </w:rPr>
        <w:t>:</w:t>
      </w:r>
    </w:p>
    <w:p w:rsidR="00AB65DB" w:rsidRDefault="007C6B50">
      <w:pPr>
        <w:adjustRightInd w:val="0"/>
        <w:spacing w:before="1" w:line="264" w:lineRule="auto"/>
        <w:ind w:left="419" w:right="1150"/>
        <w:rPr>
          <w:color w:val="000000"/>
          <w:kern w:val="0"/>
        </w:rPr>
      </w:pPr>
      <w:r>
        <w:rPr>
          <w:rFonts w:hint="eastAsia"/>
        </w:rPr>
        <w:t>——</w:t>
      </w:r>
      <w:r>
        <w:rPr>
          <w:rFonts w:hint="eastAsia"/>
          <w:color w:val="000000"/>
          <w:kern w:val="0"/>
        </w:rPr>
        <w:t>查询产品质量管理事件，包括产品质量封锁、释放、返修、降级、改配等内容；</w:t>
      </w:r>
    </w:p>
    <w:p w:rsidR="00AB65DB" w:rsidRDefault="007C6B50">
      <w:pPr>
        <w:adjustRightInd w:val="0"/>
        <w:spacing w:before="1" w:line="264" w:lineRule="auto"/>
        <w:ind w:left="419" w:right="1150"/>
        <w:rPr>
          <w:color w:val="000000"/>
          <w:kern w:val="0"/>
        </w:rPr>
      </w:pPr>
      <w:r>
        <w:rPr>
          <w:rFonts w:hint="eastAsia"/>
        </w:rPr>
        <w:t>——</w:t>
      </w:r>
      <w:r>
        <w:rPr>
          <w:rFonts w:hint="eastAsia"/>
          <w:color w:val="000000"/>
          <w:kern w:val="0"/>
        </w:rPr>
        <w:t>查询在制品、产成品质检信息；</w:t>
      </w:r>
    </w:p>
    <w:p w:rsidR="00AB65DB" w:rsidRDefault="007C6B50">
      <w:pPr>
        <w:adjustRightInd w:val="0"/>
        <w:spacing w:before="1" w:line="264" w:lineRule="auto"/>
        <w:ind w:right="1150" w:firstLineChars="200" w:firstLine="420"/>
        <w:rPr>
          <w:color w:val="000000"/>
          <w:kern w:val="0"/>
        </w:rPr>
      </w:pPr>
      <w:r>
        <w:rPr>
          <w:rFonts w:hint="eastAsia"/>
        </w:rPr>
        <w:t>——</w:t>
      </w:r>
      <w:r>
        <w:rPr>
          <w:rFonts w:hint="eastAsia"/>
          <w:color w:val="000000"/>
          <w:kern w:val="0"/>
        </w:rPr>
        <w:t>追溯产品质量异常发生的时间、地点与作业者。</w:t>
      </w:r>
    </w:p>
    <w:p w:rsidR="00AB65DB" w:rsidRDefault="007C6B50">
      <w:pPr>
        <w:pStyle w:val="a1"/>
        <w:numPr>
          <w:ilvl w:val="0"/>
          <w:numId w:val="0"/>
        </w:numPr>
        <w:snapToGrid w:val="0"/>
        <w:spacing w:beforeLines="100" w:before="312" w:afterLines="100" w:after="312" w:line="360" w:lineRule="exact"/>
        <w:contextualSpacing/>
        <w:rPr>
          <w:rFonts w:hAnsi="黑体"/>
          <w:szCs w:val="22"/>
        </w:rPr>
      </w:pPr>
      <w:bookmarkStart w:id="31" w:name="_Toc162717674"/>
      <w:r>
        <w:rPr>
          <w:rFonts w:hAnsi="黑体" w:hint="eastAsia"/>
          <w:szCs w:val="22"/>
        </w:rPr>
        <w:t>11　系统安全</w:t>
      </w:r>
      <w:bookmarkEnd w:id="31"/>
    </w:p>
    <w:p w:rsidR="00AB65DB" w:rsidRDefault="007C6B50">
      <w:pPr>
        <w:snapToGrid w:val="0"/>
        <w:spacing w:beforeLines="50" w:before="156" w:afterLines="50" w:after="156" w:line="360" w:lineRule="exact"/>
        <w:ind w:firstLineChars="200" w:firstLine="420"/>
        <w:contextualSpacing/>
        <w:rPr>
          <w:color w:val="000000"/>
          <w:kern w:val="0"/>
        </w:rPr>
      </w:pPr>
      <w:r>
        <w:rPr>
          <w:rFonts w:hint="eastAsia"/>
          <w:color w:val="000000"/>
          <w:kern w:val="0"/>
        </w:rPr>
        <w:t>系统传输应符合</w:t>
      </w:r>
      <w:r>
        <w:rPr>
          <w:rFonts w:hint="eastAsia"/>
          <w:color w:val="000000"/>
          <w:kern w:val="0"/>
        </w:rPr>
        <w:t>GB/T 38854</w:t>
      </w:r>
      <w:r>
        <w:rPr>
          <w:rFonts w:hint="eastAsia"/>
          <w:color w:val="000000"/>
          <w:kern w:val="0"/>
        </w:rPr>
        <w:t>的规定。安全管控应符合</w:t>
      </w:r>
      <w:bookmarkStart w:id="32" w:name="_Hlk162719155"/>
      <w:r>
        <w:rPr>
          <w:rFonts w:hint="eastAsia"/>
          <w:color w:val="000000"/>
          <w:kern w:val="0"/>
        </w:rPr>
        <w:t>GB/T 38129</w:t>
      </w:r>
      <w:bookmarkEnd w:id="32"/>
      <w:r>
        <w:rPr>
          <w:rFonts w:hint="eastAsia"/>
          <w:color w:val="000000"/>
          <w:kern w:val="0"/>
        </w:rPr>
        <w:t>的规定。网络安全应符合</w:t>
      </w:r>
      <w:bookmarkStart w:id="33" w:name="_Hlk162719180"/>
      <w:r>
        <w:rPr>
          <w:rFonts w:hint="eastAsia"/>
          <w:color w:val="000000"/>
          <w:kern w:val="0"/>
        </w:rPr>
        <w:t>GB/T 22239</w:t>
      </w:r>
      <w:bookmarkEnd w:id="33"/>
      <w:r>
        <w:rPr>
          <w:rFonts w:hint="eastAsia"/>
          <w:color w:val="000000"/>
          <w:kern w:val="0"/>
        </w:rPr>
        <w:t>的规定。</w:t>
      </w:r>
    </w:p>
    <w:p w:rsidR="00AB65DB" w:rsidRDefault="00AB65DB">
      <w:pPr>
        <w:spacing w:beforeLines="50" w:before="156" w:afterLines="50" w:after="156" w:line="360" w:lineRule="exact"/>
        <w:contextualSpacing/>
        <w:rPr>
          <w:color w:val="000000"/>
          <w:kern w:val="0"/>
        </w:rPr>
      </w:pPr>
    </w:p>
    <w:p w:rsidR="00AB65DB" w:rsidRDefault="007C6B50">
      <w:pPr>
        <w:spacing w:beforeLines="50" w:before="156" w:afterLines="50" w:after="156" w:line="360" w:lineRule="exact"/>
        <w:contextualSpacing/>
        <w:jc w:val="center"/>
        <w:rPr>
          <w:rFonts w:eastAsia="黑体"/>
        </w:rPr>
      </w:pPr>
      <w:r>
        <w:rPr>
          <w:rFonts w:eastAsia="黑体"/>
          <w:noProof/>
        </w:rPr>
        <w:drawing>
          <wp:inline distT="0" distB="0" distL="0" distR="0">
            <wp:extent cx="1774190" cy="18415"/>
            <wp:effectExtent l="0" t="0" r="0" b="0"/>
            <wp:docPr id="18383836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83657"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774190" cy="18415"/>
                    </a:xfrm>
                    <a:prstGeom prst="rect">
                      <a:avLst/>
                    </a:prstGeom>
                    <a:noFill/>
                  </pic:spPr>
                </pic:pic>
              </a:graphicData>
            </a:graphic>
          </wp:inline>
        </w:drawing>
      </w:r>
    </w:p>
    <w:p w:rsidR="00AB65DB" w:rsidRDefault="00AB65DB">
      <w:pPr>
        <w:pStyle w:val="a3"/>
        <w:spacing w:line="360" w:lineRule="exact"/>
        <w:contextualSpacing/>
      </w:pPr>
    </w:p>
    <w:sectPr w:rsidR="00AB65DB">
      <w:pgSz w:w="11906" w:h="16838"/>
      <w:pgMar w:top="1418" w:right="1134" w:bottom="1134" w:left="1418" w:header="96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587" w:rsidRDefault="00984587">
      <w:r>
        <w:separator/>
      </w:r>
    </w:p>
  </w:endnote>
  <w:endnote w:type="continuationSeparator" w:id="0">
    <w:p w:rsidR="00984587" w:rsidRDefault="0098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38" w:rsidRDefault="00E30B38">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rPr>
      <w:t>6</w:t>
    </w:r>
    <w:r>
      <w:rPr>
        <w:rStyle w:val="af"/>
      </w:rPr>
      <w:fldChar w:fldCharType="end"/>
    </w:r>
  </w:p>
  <w:p w:rsidR="00E30B38" w:rsidRDefault="00E30B3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833030"/>
    </w:sdtPr>
    <w:sdtEndPr/>
    <w:sdtContent>
      <w:p w:rsidR="00E30B38" w:rsidRDefault="00E30B38">
        <w:pPr>
          <w:pStyle w:val="aa"/>
          <w:jc w:val="center"/>
        </w:pPr>
        <w:r>
          <w:fldChar w:fldCharType="begin"/>
        </w:r>
        <w:r>
          <w:instrText>PAGE   \* MERGEFORMAT</w:instrText>
        </w:r>
        <w:r>
          <w:fldChar w:fldCharType="separate"/>
        </w:r>
        <w:r w:rsidR="00A47096" w:rsidRPr="00A47096">
          <w:rPr>
            <w:noProof/>
            <w:lang w:val="zh-CN"/>
          </w:rPr>
          <w:t>4</w:t>
        </w:r>
        <w:r>
          <w:fldChar w:fldCharType="end"/>
        </w:r>
      </w:p>
    </w:sdtContent>
  </w:sdt>
  <w:p w:rsidR="00E30B38" w:rsidRDefault="00E30B38">
    <w:pPr>
      <w:pStyle w:val="aff7"/>
      <w:rPr>
        <w:rStyle w:val="a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587" w:rsidRDefault="00984587">
      <w:r>
        <w:separator/>
      </w:r>
    </w:p>
  </w:footnote>
  <w:footnote w:type="continuationSeparator" w:id="0">
    <w:p w:rsidR="00984587" w:rsidRDefault="00984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38" w:rsidRDefault="00E30B38">
    <w:pPr>
      <w:pStyle w:val="aff6"/>
      <w:ind w:firstLineChars="3200" w:firstLine="6720"/>
    </w:pPr>
    <w:r>
      <w:t xml:space="preserve">XB/T </w:t>
    </w:r>
    <w:r>
      <w:rPr>
        <w:rFonts w:hint="eastAsia"/>
      </w:rPr>
      <w:t>501</w:t>
    </w:r>
    <w:r>
      <w:t>—</w:t>
    </w:r>
    <w:r>
      <w:rPr>
        <w:rFonts w:hint="eastAsia"/>
      </w:rPr>
      <w:t>20</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38" w:rsidRDefault="00E30B38">
    <w:pPr>
      <w:pStyle w:val="aff5"/>
    </w:pPr>
    <w:r>
      <w:t>XB/T ××××—201×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38" w:rsidRDefault="00E30B38">
    <w:pPr>
      <w:spacing w:after="100" w:afterAutospacing="1"/>
      <w:ind w:rightChars="-73" w:right="-153"/>
      <w:jc w:val="right"/>
      <w:rPr>
        <w:szCs w:val="21"/>
      </w:rPr>
    </w:pPr>
    <w:r>
      <w:rPr>
        <w:rFonts w:hint="eastAsia"/>
        <w:szCs w:val="21"/>
      </w:rPr>
      <w:t>XB</w:t>
    </w:r>
    <w:r>
      <w:rPr>
        <w:szCs w:val="21"/>
      </w:rPr>
      <w:t>/</w:t>
    </w:r>
    <w:r>
      <w:rPr>
        <w:rFonts w:hint="eastAsia"/>
        <w:szCs w:val="21"/>
      </w:rPr>
      <w:t>T XXX- 202X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Letter"/>
      <w:pStyle w:val="a"/>
      <w:suff w:val="nothing"/>
      <w:lvlText w:val="附　录　%1"/>
      <w:lvlJc w:val="left"/>
      <w:pPr>
        <w:ind w:left="5145" w:firstLine="0"/>
      </w:pPr>
      <w:rPr>
        <w:rFonts w:ascii="黑体" w:eastAsia="黑体" w:hAnsi="Times New Roman" w:hint="eastAsia"/>
        <w:b w:val="0"/>
        <w:i w:val="0"/>
        <w:sz w:val="21"/>
      </w:rPr>
    </w:lvl>
    <w:lvl w:ilvl="1">
      <w:start w:val="1"/>
      <w:numFmt w:val="decimal"/>
      <w:suff w:val="nothing"/>
      <w:lvlText w:val="%1.%2　"/>
      <w:lvlJc w:val="left"/>
      <w:pPr>
        <w:ind w:left="31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2"/>
    <w:multiLevelType w:val="multilevel"/>
    <w:tmpl w:val="00000002"/>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suff w:val="nothing"/>
      <w:lvlText w:val="%1%2.%3.%4　"/>
      <w:lvlJc w:val="left"/>
      <w:pPr>
        <w:ind w:left="115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OGRlNTUzOWI0ZmMwMGU4MTQxNzcyZjcwMmEzMDIifQ=="/>
    <w:docVar w:name="KSO_WPS_MARK_KEY" w:val="a076bb9a-c4a8-4a84-9f45-b8ef03d0f041"/>
  </w:docVars>
  <w:rsids>
    <w:rsidRoot w:val="0050620E"/>
    <w:rsid w:val="0006123E"/>
    <w:rsid w:val="00070BE0"/>
    <w:rsid w:val="00072FD7"/>
    <w:rsid w:val="000A53D7"/>
    <w:rsid w:val="000B10A2"/>
    <w:rsid w:val="00113F07"/>
    <w:rsid w:val="00131331"/>
    <w:rsid w:val="00141DD2"/>
    <w:rsid w:val="00153219"/>
    <w:rsid w:val="00175315"/>
    <w:rsid w:val="0019155F"/>
    <w:rsid w:val="001A27C3"/>
    <w:rsid w:val="001E65FF"/>
    <w:rsid w:val="001F432A"/>
    <w:rsid w:val="00263745"/>
    <w:rsid w:val="00276628"/>
    <w:rsid w:val="00276B92"/>
    <w:rsid w:val="0028332E"/>
    <w:rsid w:val="002B7B67"/>
    <w:rsid w:val="002D73DB"/>
    <w:rsid w:val="00325DC7"/>
    <w:rsid w:val="003E5084"/>
    <w:rsid w:val="00407AAC"/>
    <w:rsid w:val="004437CF"/>
    <w:rsid w:val="004501B2"/>
    <w:rsid w:val="00470454"/>
    <w:rsid w:val="004939C1"/>
    <w:rsid w:val="004F026A"/>
    <w:rsid w:val="004F1786"/>
    <w:rsid w:val="0050620E"/>
    <w:rsid w:val="00556A6C"/>
    <w:rsid w:val="005B65CC"/>
    <w:rsid w:val="005C144F"/>
    <w:rsid w:val="005E5048"/>
    <w:rsid w:val="005F4C0B"/>
    <w:rsid w:val="00611025"/>
    <w:rsid w:val="00617C88"/>
    <w:rsid w:val="00626D78"/>
    <w:rsid w:val="00652405"/>
    <w:rsid w:val="006638EF"/>
    <w:rsid w:val="006C4443"/>
    <w:rsid w:val="00766CE2"/>
    <w:rsid w:val="007B58D3"/>
    <w:rsid w:val="007C5E76"/>
    <w:rsid w:val="007C6B50"/>
    <w:rsid w:val="008134F5"/>
    <w:rsid w:val="00836FE2"/>
    <w:rsid w:val="00851B9B"/>
    <w:rsid w:val="00856C3C"/>
    <w:rsid w:val="008674C9"/>
    <w:rsid w:val="0089635F"/>
    <w:rsid w:val="008A2919"/>
    <w:rsid w:val="008A4EDC"/>
    <w:rsid w:val="008B1696"/>
    <w:rsid w:val="008E7555"/>
    <w:rsid w:val="008F0004"/>
    <w:rsid w:val="009426D2"/>
    <w:rsid w:val="0094425D"/>
    <w:rsid w:val="009757B3"/>
    <w:rsid w:val="00984587"/>
    <w:rsid w:val="00994E54"/>
    <w:rsid w:val="009E539E"/>
    <w:rsid w:val="00A0221E"/>
    <w:rsid w:val="00A06799"/>
    <w:rsid w:val="00A12994"/>
    <w:rsid w:val="00A23F30"/>
    <w:rsid w:val="00A45B31"/>
    <w:rsid w:val="00A47096"/>
    <w:rsid w:val="00A62121"/>
    <w:rsid w:val="00A64581"/>
    <w:rsid w:val="00A81D2F"/>
    <w:rsid w:val="00A829E1"/>
    <w:rsid w:val="00AB65DB"/>
    <w:rsid w:val="00AC7D0D"/>
    <w:rsid w:val="00AD5FC7"/>
    <w:rsid w:val="00AF4A02"/>
    <w:rsid w:val="00B2453A"/>
    <w:rsid w:val="00B31859"/>
    <w:rsid w:val="00B331E3"/>
    <w:rsid w:val="00B401F6"/>
    <w:rsid w:val="00B6167D"/>
    <w:rsid w:val="00B82DA0"/>
    <w:rsid w:val="00B8574C"/>
    <w:rsid w:val="00C6715B"/>
    <w:rsid w:val="00C861FA"/>
    <w:rsid w:val="00C909CD"/>
    <w:rsid w:val="00CD7B97"/>
    <w:rsid w:val="00CF644B"/>
    <w:rsid w:val="00D06950"/>
    <w:rsid w:val="00D07753"/>
    <w:rsid w:val="00D22B3F"/>
    <w:rsid w:val="00D319B9"/>
    <w:rsid w:val="00D5711E"/>
    <w:rsid w:val="00D734E1"/>
    <w:rsid w:val="00D85F0E"/>
    <w:rsid w:val="00D9348E"/>
    <w:rsid w:val="00DB215F"/>
    <w:rsid w:val="00DB2731"/>
    <w:rsid w:val="00DB6187"/>
    <w:rsid w:val="00DD5732"/>
    <w:rsid w:val="00DF0CDE"/>
    <w:rsid w:val="00DF13E1"/>
    <w:rsid w:val="00E03437"/>
    <w:rsid w:val="00E07455"/>
    <w:rsid w:val="00E07B5D"/>
    <w:rsid w:val="00E30B38"/>
    <w:rsid w:val="00E41227"/>
    <w:rsid w:val="00E46A7B"/>
    <w:rsid w:val="00E86827"/>
    <w:rsid w:val="00EA7F8C"/>
    <w:rsid w:val="00EC5B93"/>
    <w:rsid w:val="00F0630F"/>
    <w:rsid w:val="00F07627"/>
    <w:rsid w:val="00F61004"/>
    <w:rsid w:val="00F81009"/>
    <w:rsid w:val="00F912F9"/>
    <w:rsid w:val="00FA2313"/>
    <w:rsid w:val="00FD0DF6"/>
    <w:rsid w:val="00FF35F5"/>
    <w:rsid w:val="017E2287"/>
    <w:rsid w:val="01FC0592"/>
    <w:rsid w:val="028407B1"/>
    <w:rsid w:val="08211641"/>
    <w:rsid w:val="0866183D"/>
    <w:rsid w:val="08D44632"/>
    <w:rsid w:val="0A5C3E40"/>
    <w:rsid w:val="0E083D49"/>
    <w:rsid w:val="0FBC02C7"/>
    <w:rsid w:val="10754CE3"/>
    <w:rsid w:val="16924BAE"/>
    <w:rsid w:val="19815957"/>
    <w:rsid w:val="19B16E8A"/>
    <w:rsid w:val="19C62ED8"/>
    <w:rsid w:val="1A0C4AC1"/>
    <w:rsid w:val="1A861284"/>
    <w:rsid w:val="1A8C5B53"/>
    <w:rsid w:val="1B2C5F0C"/>
    <w:rsid w:val="1B3115D5"/>
    <w:rsid w:val="1BB041B1"/>
    <w:rsid w:val="1D3C4017"/>
    <w:rsid w:val="1E0E60CF"/>
    <w:rsid w:val="1E1E7279"/>
    <w:rsid w:val="20371910"/>
    <w:rsid w:val="215917D6"/>
    <w:rsid w:val="2450074F"/>
    <w:rsid w:val="245E1D27"/>
    <w:rsid w:val="24A2321E"/>
    <w:rsid w:val="25455EDD"/>
    <w:rsid w:val="25EB34D4"/>
    <w:rsid w:val="274719E5"/>
    <w:rsid w:val="286F384A"/>
    <w:rsid w:val="2A2052A5"/>
    <w:rsid w:val="2BFF7A1A"/>
    <w:rsid w:val="2E577949"/>
    <w:rsid w:val="309D2676"/>
    <w:rsid w:val="30CC1F16"/>
    <w:rsid w:val="30EE1D17"/>
    <w:rsid w:val="31D04385"/>
    <w:rsid w:val="32074675"/>
    <w:rsid w:val="33BF1907"/>
    <w:rsid w:val="37DE5516"/>
    <w:rsid w:val="381848F2"/>
    <w:rsid w:val="3A854433"/>
    <w:rsid w:val="3AC6527A"/>
    <w:rsid w:val="3BB72BC1"/>
    <w:rsid w:val="3F6902F3"/>
    <w:rsid w:val="3F8A64BB"/>
    <w:rsid w:val="403B0B6F"/>
    <w:rsid w:val="41FA58DB"/>
    <w:rsid w:val="43AD22FB"/>
    <w:rsid w:val="45F67B38"/>
    <w:rsid w:val="4703600F"/>
    <w:rsid w:val="47533312"/>
    <w:rsid w:val="47EB42C8"/>
    <w:rsid w:val="48623AD0"/>
    <w:rsid w:val="4889794B"/>
    <w:rsid w:val="49F31320"/>
    <w:rsid w:val="4BA1327D"/>
    <w:rsid w:val="4CCD679F"/>
    <w:rsid w:val="4E5277A8"/>
    <w:rsid w:val="51203F44"/>
    <w:rsid w:val="52AD098C"/>
    <w:rsid w:val="52AD7E0B"/>
    <w:rsid w:val="540C4DBB"/>
    <w:rsid w:val="54193404"/>
    <w:rsid w:val="552E2095"/>
    <w:rsid w:val="55BF1C5E"/>
    <w:rsid w:val="562D2A62"/>
    <w:rsid w:val="59170F7F"/>
    <w:rsid w:val="59F54845"/>
    <w:rsid w:val="5C690128"/>
    <w:rsid w:val="5C985553"/>
    <w:rsid w:val="5D227C1A"/>
    <w:rsid w:val="5E5238CE"/>
    <w:rsid w:val="604D2BD5"/>
    <w:rsid w:val="60613897"/>
    <w:rsid w:val="60E47C2F"/>
    <w:rsid w:val="618C45AA"/>
    <w:rsid w:val="61947C35"/>
    <w:rsid w:val="61D91B96"/>
    <w:rsid w:val="62B3379A"/>
    <w:rsid w:val="630C0C8E"/>
    <w:rsid w:val="6688306A"/>
    <w:rsid w:val="669B63D3"/>
    <w:rsid w:val="6734598E"/>
    <w:rsid w:val="69057F41"/>
    <w:rsid w:val="6933534A"/>
    <w:rsid w:val="6A0456D0"/>
    <w:rsid w:val="6A732575"/>
    <w:rsid w:val="6B4368F3"/>
    <w:rsid w:val="6CBE7F68"/>
    <w:rsid w:val="6E111767"/>
    <w:rsid w:val="6EC922AC"/>
    <w:rsid w:val="6F3A4F98"/>
    <w:rsid w:val="707C3099"/>
    <w:rsid w:val="709D754D"/>
    <w:rsid w:val="716000D2"/>
    <w:rsid w:val="7239274A"/>
    <w:rsid w:val="72EF38A1"/>
    <w:rsid w:val="75487539"/>
    <w:rsid w:val="77F7197C"/>
    <w:rsid w:val="7A160D92"/>
    <w:rsid w:val="7B8967D0"/>
    <w:rsid w:val="7CC779CA"/>
    <w:rsid w:val="7CF14FFE"/>
    <w:rsid w:val="7E087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79EF68E-AD6C-47A7-8FED-FD237157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pPr>
      <w:widowControl w:val="0"/>
      <w:jc w:val="both"/>
    </w:pPr>
    <w:rPr>
      <w:kern w:val="2"/>
      <w:sz w:val="21"/>
    </w:rPr>
  </w:style>
  <w:style w:type="paragraph" w:styleId="1">
    <w:name w:val="heading 1"/>
    <w:basedOn w:val="a2"/>
    <w:next w:val="a2"/>
    <w:uiPriority w:val="9"/>
    <w:qFormat/>
    <w:pPr>
      <w:spacing w:beforeAutospacing="1" w:afterAutospacing="1"/>
      <w:jc w:val="left"/>
      <w:outlineLvl w:val="0"/>
    </w:pPr>
    <w:rPr>
      <w:rFonts w:ascii="宋体" w:hAnsi="宋体" w:hint="eastAsia"/>
      <w:b/>
      <w:bCs/>
      <w:kern w:val="44"/>
      <w:sz w:val="48"/>
      <w:szCs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table of authorities"/>
    <w:basedOn w:val="a2"/>
    <w:next w:val="a2"/>
    <w:uiPriority w:val="99"/>
    <w:qFormat/>
  </w:style>
  <w:style w:type="paragraph" w:styleId="a7">
    <w:name w:val="annotation text"/>
    <w:basedOn w:val="a2"/>
    <w:link w:val="Char"/>
    <w:qFormat/>
    <w:pPr>
      <w:jc w:val="left"/>
    </w:pPr>
  </w:style>
  <w:style w:type="paragraph" w:styleId="a8">
    <w:name w:val="Date"/>
    <w:basedOn w:val="a2"/>
    <w:next w:val="a2"/>
    <w:link w:val="Char0"/>
    <w:uiPriority w:val="99"/>
    <w:semiHidden/>
    <w:unhideWhenUsed/>
    <w:qFormat/>
    <w:pPr>
      <w:ind w:leftChars="2500" w:left="100"/>
    </w:pPr>
  </w:style>
  <w:style w:type="paragraph" w:styleId="a9">
    <w:name w:val="Balloon Text"/>
    <w:basedOn w:val="a2"/>
    <w:link w:val="Char1"/>
    <w:qFormat/>
    <w:rPr>
      <w:sz w:val="18"/>
      <w:szCs w:val="18"/>
    </w:rPr>
  </w:style>
  <w:style w:type="paragraph" w:styleId="aa">
    <w:name w:val="footer"/>
    <w:basedOn w:val="a2"/>
    <w:link w:val="Char2"/>
    <w:uiPriority w:val="99"/>
    <w:qFormat/>
    <w:pPr>
      <w:tabs>
        <w:tab w:val="center" w:pos="4153"/>
        <w:tab w:val="right" w:pos="8306"/>
      </w:tabs>
      <w:snapToGrid w:val="0"/>
      <w:jc w:val="left"/>
    </w:pPr>
    <w:rPr>
      <w:sz w:val="18"/>
      <w:szCs w:val="18"/>
    </w:rPr>
  </w:style>
  <w:style w:type="paragraph" w:styleId="ab">
    <w:name w:val="header"/>
    <w:basedOn w:val="a2"/>
    <w:qFormat/>
    <w:pPr>
      <w:pBdr>
        <w:bottom w:val="single" w:sz="6" w:space="1" w:color="auto"/>
      </w:pBdr>
      <w:tabs>
        <w:tab w:val="center" w:pos="4153"/>
        <w:tab w:val="right" w:pos="8306"/>
      </w:tabs>
      <w:snapToGrid w:val="0"/>
      <w:jc w:val="center"/>
    </w:pPr>
    <w:rPr>
      <w:sz w:val="18"/>
      <w:szCs w:val="18"/>
    </w:rPr>
  </w:style>
  <w:style w:type="paragraph" w:styleId="2">
    <w:name w:val="toc 2"/>
    <w:basedOn w:val="a2"/>
    <w:next w:val="a2"/>
    <w:uiPriority w:val="39"/>
    <w:unhideWhenUsed/>
    <w:qFormat/>
    <w:pPr>
      <w:ind w:leftChars="200" w:left="420"/>
    </w:pPr>
  </w:style>
  <w:style w:type="paragraph" w:styleId="ac">
    <w:name w:val="Title"/>
    <w:basedOn w:val="a2"/>
    <w:qFormat/>
    <w:pPr>
      <w:spacing w:afterLines="50" w:line="440" w:lineRule="exact"/>
      <w:jc w:val="center"/>
    </w:pPr>
    <w:rPr>
      <w:b/>
      <w:bCs/>
      <w:sz w:val="28"/>
      <w:szCs w:val="24"/>
    </w:rPr>
  </w:style>
  <w:style w:type="paragraph" w:styleId="ad">
    <w:name w:val="annotation subject"/>
    <w:basedOn w:val="a7"/>
    <w:next w:val="a7"/>
    <w:link w:val="Char3"/>
    <w:qFormat/>
    <w:rPr>
      <w:b/>
      <w:bCs/>
    </w:rPr>
  </w:style>
  <w:style w:type="table" w:styleId="ae">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Hyperlink"/>
    <w:basedOn w:val="a4"/>
    <w:uiPriority w:val="99"/>
    <w:unhideWhenUsed/>
    <w:qFormat/>
    <w:rPr>
      <w:color w:val="0000FF" w:themeColor="hyperlink"/>
      <w:u w:val="single"/>
    </w:rPr>
  </w:style>
  <w:style w:type="character" w:styleId="af1">
    <w:name w:val="annotation reference"/>
    <w:basedOn w:val="a4"/>
    <w:qFormat/>
    <w:rPr>
      <w:sz w:val="21"/>
      <w:szCs w:val="21"/>
    </w:rPr>
  </w:style>
  <w:style w:type="character" w:customStyle="1" w:styleId="Char1">
    <w:name w:val="批注框文本 Char"/>
    <w:basedOn w:val="a4"/>
    <w:link w:val="a9"/>
    <w:qFormat/>
    <w:rPr>
      <w:kern w:val="2"/>
      <w:sz w:val="18"/>
      <w:szCs w:val="18"/>
    </w:rPr>
  </w:style>
  <w:style w:type="paragraph" w:customStyle="1" w:styleId="Char4">
    <w:name w:val="Char"/>
    <w:basedOn w:val="a2"/>
    <w:qFormat/>
    <w:pPr>
      <w:widowControl/>
      <w:spacing w:after="160" w:line="240" w:lineRule="exact"/>
      <w:jc w:val="left"/>
    </w:pPr>
  </w:style>
  <w:style w:type="paragraph" w:customStyle="1" w:styleId="a0">
    <w:name w:val="前言、引言标题"/>
    <w:next w:val="a2"/>
    <w:qFormat/>
    <w:pPr>
      <w:numPr>
        <w:numId w:val="1"/>
      </w:numPr>
      <w:shd w:val="clear" w:color="FFFFFF" w:fill="FFFFFF"/>
      <w:spacing w:before="640" w:after="560"/>
      <w:jc w:val="center"/>
      <w:outlineLvl w:val="0"/>
    </w:pPr>
    <w:rPr>
      <w:rFonts w:ascii="黑体" w:eastAsia="黑体"/>
      <w:sz w:val="32"/>
    </w:rPr>
  </w:style>
  <w:style w:type="paragraph" w:customStyle="1" w:styleId="af2">
    <w:name w:val="段"/>
    <w:link w:val="Char5"/>
    <w:qFormat/>
    <w:pPr>
      <w:autoSpaceDE w:val="0"/>
      <w:autoSpaceDN w:val="0"/>
      <w:ind w:firstLineChars="200" w:firstLine="200"/>
      <w:jc w:val="both"/>
    </w:pPr>
    <w:rPr>
      <w:rFonts w:ascii="宋体"/>
      <w:sz w:val="21"/>
    </w:rPr>
  </w:style>
  <w:style w:type="paragraph" w:customStyle="1" w:styleId="a1">
    <w:name w:val="章标题"/>
    <w:next w:val="af2"/>
    <w:qFormat/>
    <w:pPr>
      <w:numPr>
        <w:ilvl w:val="1"/>
        <w:numId w:val="1"/>
      </w:numPr>
      <w:spacing w:beforeLines="50" w:afterLines="50"/>
      <w:jc w:val="both"/>
      <w:outlineLvl w:val="1"/>
    </w:pPr>
    <w:rPr>
      <w:rFonts w:ascii="黑体" w:eastAsia="黑体"/>
      <w:sz w:val="21"/>
    </w:rPr>
  </w:style>
  <w:style w:type="paragraph" w:customStyle="1" w:styleId="af3">
    <w:name w:val="一级条标题"/>
    <w:next w:val="af2"/>
    <w:qFormat/>
    <w:pPr>
      <w:outlineLvl w:val="2"/>
    </w:pPr>
    <w:rPr>
      <w:rFonts w:eastAsia="黑体"/>
      <w:sz w:val="21"/>
    </w:rPr>
  </w:style>
  <w:style w:type="paragraph" w:customStyle="1" w:styleId="af4">
    <w:name w:val="二级条标题"/>
    <w:basedOn w:val="af3"/>
    <w:next w:val="af2"/>
    <w:qFormat/>
    <w:pPr>
      <w:outlineLvl w:val="3"/>
    </w:pPr>
  </w:style>
  <w:style w:type="paragraph" w:customStyle="1" w:styleId="af5">
    <w:name w:val="三级条标题"/>
    <w:basedOn w:val="af4"/>
    <w:next w:val="af2"/>
    <w:qFormat/>
    <w:pPr>
      <w:outlineLvl w:val="4"/>
    </w:pPr>
  </w:style>
  <w:style w:type="paragraph" w:customStyle="1" w:styleId="af6">
    <w:name w:val="四级条标题"/>
    <w:basedOn w:val="af5"/>
    <w:next w:val="af2"/>
    <w:qFormat/>
    <w:pPr>
      <w:outlineLvl w:val="5"/>
    </w:pPr>
  </w:style>
  <w:style w:type="paragraph" w:customStyle="1" w:styleId="af7">
    <w:name w:val="五级条标题"/>
    <w:basedOn w:val="af6"/>
    <w:next w:val="af2"/>
    <w:qFormat/>
    <w:pPr>
      <w:outlineLvl w:val="6"/>
    </w:pPr>
  </w:style>
  <w:style w:type="paragraph" w:customStyle="1" w:styleId="a">
    <w:name w:val="附录标识"/>
    <w:basedOn w:val="a0"/>
    <w:qFormat/>
    <w:pPr>
      <w:numPr>
        <w:numId w:val="2"/>
      </w:numPr>
      <w:tabs>
        <w:tab w:val="left" w:pos="6405"/>
      </w:tabs>
      <w:spacing w:after="200"/>
    </w:pPr>
    <w:rPr>
      <w:sz w:val="21"/>
    </w:rPr>
  </w:style>
  <w:style w:type="character" w:customStyle="1" w:styleId="Char5">
    <w:name w:val="段 Char"/>
    <w:link w:val="af2"/>
    <w:qFormat/>
    <w:rPr>
      <w:rFonts w:ascii="宋体"/>
      <w:sz w:val="21"/>
    </w:rPr>
  </w:style>
  <w:style w:type="paragraph" w:customStyle="1" w:styleId="a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9">
    <w:name w:val="其他标准标志"/>
    <w:basedOn w:val="a2"/>
    <w:qFormat/>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character" w:styleId="afa">
    <w:name w:val="Placeholder Text"/>
    <w:basedOn w:val="a4"/>
    <w:uiPriority w:val="99"/>
    <w:qFormat/>
    <w:rPr>
      <w:color w:val="808080"/>
    </w:rPr>
  </w:style>
  <w:style w:type="paragraph" w:styleId="afb">
    <w:name w:val="List Paragraph"/>
    <w:basedOn w:val="a2"/>
    <w:uiPriority w:val="34"/>
    <w:qFormat/>
    <w:pPr>
      <w:ind w:firstLineChars="200" w:firstLine="420"/>
    </w:pPr>
  </w:style>
  <w:style w:type="paragraph" w:customStyle="1" w:styleId="afc">
    <w:name w:val="标准标志"/>
    <w:next w:val="a2"/>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d">
    <w:name w:val="发布部门"/>
    <w:next w:val="af2"/>
    <w:qFormat/>
    <w:pPr>
      <w:framePr w:w="7433" w:h="585" w:hRule="exact" w:hSpace="180" w:vSpace="180" w:wrap="around" w:hAnchor="margin" w:xAlign="center" w:y="14401" w:anchorLock="1"/>
      <w:jc w:val="center"/>
    </w:pPr>
    <w:rPr>
      <w:rFonts w:ascii="宋体"/>
      <w:b/>
      <w:spacing w:val="20"/>
      <w:w w:val="135"/>
      <w:sz w:val="36"/>
    </w:rPr>
  </w:style>
  <w:style w:type="paragraph" w:customStyle="1" w:styleId="afe">
    <w:name w:val="实施日期"/>
    <w:basedOn w:val="aff"/>
    <w:qFormat/>
    <w:pPr>
      <w:framePr w:hSpace="0" w:wrap="around" w:xAlign="right"/>
      <w:jc w:val="right"/>
    </w:pPr>
  </w:style>
  <w:style w:type="paragraph" w:customStyle="1" w:styleId="aff">
    <w:name w:val="发布日期"/>
    <w:qFormat/>
    <w:pPr>
      <w:framePr w:w="4000" w:h="473" w:hRule="exact" w:hSpace="180" w:vSpace="180" w:wrap="around" w:hAnchor="margin" w:y="13511" w:anchorLock="1"/>
    </w:pPr>
    <w:rPr>
      <w:rFonts w:eastAsia="黑体"/>
      <w:sz w:val="28"/>
    </w:rPr>
  </w:style>
  <w:style w:type="paragraph" w:customStyle="1" w:styleId="a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1">
    <w:name w:val="封面一致性程度标识"/>
    <w:qFormat/>
    <w:pPr>
      <w:spacing w:before="440" w:line="400" w:lineRule="exact"/>
      <w:jc w:val="center"/>
    </w:pPr>
    <w:rPr>
      <w:rFonts w:ascii="宋体"/>
      <w:sz w:val="28"/>
    </w:rPr>
  </w:style>
  <w:style w:type="paragraph" w:customStyle="1" w:styleId="aff2">
    <w:name w:val="封面标准文稿编辑信息"/>
    <w:qFormat/>
    <w:pPr>
      <w:spacing w:before="180" w:line="180" w:lineRule="exact"/>
      <w:jc w:val="center"/>
    </w:pPr>
    <w:rPr>
      <w:rFonts w:ascii="宋体"/>
      <w:sz w:val="21"/>
    </w:rPr>
  </w:style>
  <w:style w:type="paragraph" w:customStyle="1" w:styleId="20">
    <w:name w:val="封面标准号2"/>
    <w:basedOn w:val="a2"/>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rPr>
  </w:style>
  <w:style w:type="paragraph" w:customStyle="1" w:styleId="aff3">
    <w:name w:val="其他标准称谓"/>
    <w:qFormat/>
    <w:pPr>
      <w:spacing w:line="0" w:lineRule="atLeast"/>
      <w:jc w:val="distribute"/>
    </w:pPr>
    <w:rPr>
      <w:rFonts w:ascii="黑体" w:eastAsia="黑体" w:hAnsi="宋体"/>
      <w:sz w:val="52"/>
    </w:rPr>
  </w:style>
  <w:style w:type="paragraph" w:customStyle="1" w:styleId="aff4">
    <w:name w:val="标准称谓"/>
    <w:next w:val="a2"/>
    <w:qFormat/>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f5">
    <w:name w:val="标准书眉_奇数页"/>
    <w:next w:val="a2"/>
    <w:qFormat/>
    <w:pPr>
      <w:tabs>
        <w:tab w:val="center" w:pos="4154"/>
        <w:tab w:val="right" w:pos="8306"/>
      </w:tabs>
      <w:spacing w:after="120"/>
      <w:jc w:val="right"/>
    </w:pPr>
    <w:rPr>
      <w:sz w:val="21"/>
    </w:rPr>
  </w:style>
  <w:style w:type="paragraph" w:customStyle="1" w:styleId="aff6">
    <w:name w:val="标准书眉_偶数页"/>
    <w:basedOn w:val="aff5"/>
    <w:next w:val="a2"/>
    <w:qFormat/>
    <w:pPr>
      <w:jc w:val="left"/>
    </w:pPr>
  </w:style>
  <w:style w:type="paragraph" w:customStyle="1" w:styleId="aff7">
    <w:name w:val="标准书脚_奇数页"/>
    <w:qFormat/>
    <w:pPr>
      <w:spacing w:before="120"/>
      <w:jc w:val="right"/>
    </w:pPr>
    <w:rPr>
      <w:sz w:val="18"/>
    </w:rPr>
  </w:style>
  <w:style w:type="character" w:customStyle="1" w:styleId="Char">
    <w:name w:val="批注文字 Char"/>
    <w:basedOn w:val="a4"/>
    <w:link w:val="a7"/>
    <w:qFormat/>
    <w:rPr>
      <w:rFonts w:ascii="Times New Roman" w:eastAsia="宋体" w:hAnsi="Times New Roman" w:cs="Times New Roman"/>
      <w:kern w:val="2"/>
      <w:sz w:val="21"/>
    </w:rPr>
  </w:style>
  <w:style w:type="character" w:customStyle="1" w:styleId="Char3">
    <w:name w:val="批注主题 Char"/>
    <w:basedOn w:val="Char"/>
    <w:link w:val="ad"/>
    <w:qFormat/>
    <w:rPr>
      <w:rFonts w:ascii="Times New Roman" w:eastAsia="宋体" w:hAnsi="Times New Roman" w:cs="Times New Roman"/>
      <w:b/>
      <w:bCs/>
      <w:kern w:val="2"/>
      <w:sz w:val="21"/>
    </w:rPr>
  </w:style>
  <w:style w:type="character" w:customStyle="1" w:styleId="aff8">
    <w:name w:val="发布"/>
    <w:basedOn w:val="a4"/>
    <w:qFormat/>
    <w:rPr>
      <w:rFonts w:ascii="黑体" w:eastAsia="黑体"/>
      <w:spacing w:val="22"/>
      <w:w w:val="100"/>
      <w:position w:val="3"/>
      <w:sz w:val="28"/>
    </w:rPr>
  </w:style>
  <w:style w:type="paragraph" w:customStyle="1" w:styleId="p18">
    <w:name w:val="p18"/>
    <w:basedOn w:val="a2"/>
    <w:qFormat/>
    <w:pPr>
      <w:widowControl/>
      <w:spacing w:beforeLines="50" w:afterLines="50"/>
      <w:jc w:val="left"/>
    </w:pPr>
    <w:rPr>
      <w:rFonts w:ascii="黑体" w:eastAsia="黑体" w:hAnsi="宋体" w:cs="宋体"/>
      <w:kern w:val="0"/>
      <w:szCs w:val="21"/>
    </w:rPr>
  </w:style>
  <w:style w:type="paragraph" w:customStyle="1" w:styleId="10">
    <w:name w:val="修订1"/>
    <w:hidden/>
    <w:uiPriority w:val="99"/>
    <w:unhideWhenUsed/>
    <w:qFormat/>
    <w:rPr>
      <w:kern w:val="2"/>
      <w:sz w:val="21"/>
    </w:rPr>
  </w:style>
  <w:style w:type="character" w:customStyle="1" w:styleId="Char0">
    <w:name w:val="日期 Char"/>
    <w:basedOn w:val="a4"/>
    <w:link w:val="a8"/>
    <w:uiPriority w:val="99"/>
    <w:semiHidden/>
    <w:qFormat/>
    <w:rPr>
      <w:kern w:val="2"/>
      <w:sz w:val="21"/>
    </w:rPr>
  </w:style>
  <w:style w:type="character" w:customStyle="1" w:styleId="Char2">
    <w:name w:val="页脚 Char"/>
    <w:basedOn w:val="a4"/>
    <w:link w:val="aa"/>
    <w:uiPriority w:val="99"/>
    <w:qFormat/>
    <w:rPr>
      <w:kern w:val="2"/>
      <w:sz w:val="18"/>
      <w:szCs w:val="18"/>
    </w:rPr>
  </w:style>
  <w:style w:type="paragraph" w:customStyle="1" w:styleId="TOC1">
    <w:name w:val="TOC 标题1"/>
    <w:basedOn w:val="1"/>
    <w:next w:val="a2"/>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bCs w:val="0"/>
      <w:color w:val="365F91" w:themeColor="accent1" w:themeShade="BF"/>
      <w:kern w:val="0"/>
      <w:sz w:val="32"/>
      <w:szCs w:val="32"/>
    </w:rPr>
  </w:style>
  <w:style w:type="paragraph" w:customStyle="1" w:styleId="aff9">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9"/>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1B1CAB-4E48-423A-9E2D-4F222DAB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1722</Words>
  <Characters>9821</Characters>
  <Application>Microsoft Office Word</Application>
  <DocSecurity>0</DocSecurity>
  <Lines>81</Lines>
  <Paragraphs>23</Paragraphs>
  <ScaleCrop>false</ScaleCrop>
  <Company>微软用户</Company>
  <LinksUpToDate>false</LinksUpToDate>
  <CharactersWithSpaces>11520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催化裂化用氯化镧铈</dc:title>
  <dc:creator>微软中国</dc:creator>
  <cp:lastModifiedBy>李婷婷</cp:lastModifiedBy>
  <cp:revision>73</cp:revision>
  <cp:lastPrinted>2023-06-20T10:40:00Z</cp:lastPrinted>
  <dcterms:created xsi:type="dcterms:W3CDTF">2022-08-17T01:53:00Z</dcterms:created>
  <dcterms:modified xsi:type="dcterms:W3CDTF">2026-04-16T03:25:00Z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C328B9B73BAC4079A8A07EB2B24DBAF7</vt:lpwstr>
  </property>
</Properties>
</file>