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2ECCF">
      <w:pPr>
        <w:keepNext w:val="0"/>
        <w:keepLines w:val="0"/>
        <w:pageBreakBefore w:val="0"/>
        <w:kinsoku/>
        <w:wordWrap/>
        <w:overflowPunct/>
        <w:topLinePunct w:val="0"/>
        <w:bidi w:val="0"/>
        <w:adjustRightInd/>
        <w:snapToGrid/>
        <w:spacing w:beforeAutospacing="0" w:line="360" w:lineRule="auto"/>
        <w:jc w:val="both"/>
        <w:textAlignment w:val="auto"/>
        <w:rPr>
          <w:rFonts w:hint="eastAsia" w:asciiTheme="minorEastAsia" w:hAnsiTheme="minorEastAsia"/>
          <w:b/>
          <w:sz w:val="21"/>
          <w:szCs w:val="21"/>
        </w:rPr>
      </w:pPr>
      <w:bookmarkStart w:id="51" w:name="_GoBack"/>
      <w:bookmarkEnd w:id="51"/>
    </w:p>
    <w:p w14:paraId="05413B8D">
      <w:pPr>
        <w:keepNext w:val="0"/>
        <w:keepLines w:val="0"/>
        <w:pageBreakBefore w:val="0"/>
        <w:kinsoku/>
        <w:wordWrap/>
        <w:overflowPunct/>
        <w:topLinePunct w:val="0"/>
        <w:bidi w:val="0"/>
        <w:adjustRightInd/>
        <w:snapToGrid/>
        <w:spacing w:beforeAutospacing="0" w:line="360" w:lineRule="auto"/>
        <w:jc w:val="both"/>
        <w:textAlignment w:val="auto"/>
        <w:rPr>
          <w:rFonts w:hint="eastAsia" w:asciiTheme="minorEastAsia" w:hAnsiTheme="minorEastAsia"/>
          <w:b/>
          <w:sz w:val="21"/>
          <w:szCs w:val="21"/>
        </w:rPr>
      </w:pPr>
    </w:p>
    <w:p w14:paraId="57564DF8">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Theme="minorEastAsia" w:hAnsiTheme="minorEastAsia"/>
          <w:b/>
          <w:sz w:val="21"/>
          <w:szCs w:val="21"/>
        </w:rPr>
      </w:pPr>
    </w:p>
    <w:p w14:paraId="021B5650">
      <w:pPr>
        <w:pStyle w:val="23"/>
        <w:keepNext w:val="0"/>
        <w:keepLines w:val="0"/>
        <w:pageBreakBefore w:val="0"/>
        <w:kinsoku/>
        <w:wordWrap/>
        <w:overflowPunct/>
        <w:topLinePunct w:val="0"/>
        <w:bidi w:val="0"/>
        <w:adjustRightInd/>
        <w:snapToGrid/>
        <w:spacing w:line="360" w:lineRule="auto"/>
        <w:jc w:val="center"/>
        <w:rPr>
          <w:rFonts w:hint="eastAsia"/>
          <w:b/>
          <w:bCs/>
          <w:sz w:val="44"/>
          <w:szCs w:val="44"/>
          <w:lang w:eastAsia="zh-CN"/>
        </w:rPr>
      </w:pPr>
      <w:r>
        <w:rPr>
          <w:rFonts w:hint="eastAsia"/>
          <w:b/>
          <w:bCs/>
          <w:sz w:val="44"/>
          <w:szCs w:val="44"/>
          <w:lang w:val="en-US" w:eastAsia="zh-CN"/>
        </w:rPr>
        <w:t>国家</w:t>
      </w:r>
      <w:r>
        <w:rPr>
          <w:rFonts w:hint="eastAsia"/>
          <w:b/>
          <w:bCs/>
          <w:sz w:val="44"/>
          <w:szCs w:val="44"/>
          <w:lang w:eastAsia="zh-CN"/>
        </w:rPr>
        <w:t>标准</w:t>
      </w:r>
    </w:p>
    <w:p w14:paraId="0BA0BA9C">
      <w:pPr>
        <w:pStyle w:val="23"/>
        <w:keepNext w:val="0"/>
        <w:keepLines w:val="0"/>
        <w:pageBreakBefore w:val="0"/>
        <w:kinsoku/>
        <w:wordWrap/>
        <w:overflowPunct/>
        <w:topLinePunct w:val="0"/>
        <w:bidi w:val="0"/>
        <w:adjustRightInd/>
        <w:snapToGrid/>
        <w:spacing w:line="360" w:lineRule="auto"/>
        <w:jc w:val="center"/>
        <w:rPr>
          <w:rFonts w:hint="eastAsia"/>
          <w:b/>
          <w:bCs/>
          <w:sz w:val="44"/>
          <w:szCs w:val="44"/>
          <w:lang w:val="en-US" w:eastAsia="zh-CN"/>
        </w:rPr>
      </w:pPr>
    </w:p>
    <w:p w14:paraId="57FE2B68">
      <w:pPr>
        <w:pStyle w:val="23"/>
        <w:keepNext w:val="0"/>
        <w:keepLines w:val="0"/>
        <w:pageBreakBefore w:val="0"/>
        <w:kinsoku/>
        <w:wordWrap/>
        <w:overflowPunct/>
        <w:topLinePunct w:val="0"/>
        <w:bidi w:val="0"/>
        <w:adjustRightInd/>
        <w:snapToGrid/>
        <w:spacing w:line="360" w:lineRule="auto"/>
        <w:jc w:val="center"/>
        <w:rPr>
          <w:b/>
          <w:bCs/>
          <w:sz w:val="36"/>
          <w:szCs w:val="36"/>
        </w:rPr>
      </w:pPr>
      <w:bookmarkStart w:id="0" w:name="OLE_LINK4"/>
      <w:r>
        <w:rPr>
          <w:rFonts w:hint="eastAsia"/>
          <w:b/>
          <w:bCs/>
          <w:sz w:val="36"/>
          <w:szCs w:val="36"/>
          <w:lang w:eastAsia="zh-CN"/>
        </w:rPr>
        <w:t>《</w:t>
      </w:r>
      <w:r>
        <w:rPr>
          <w:rFonts w:hint="eastAsia" w:eastAsia="黑体"/>
          <w:color w:val="auto"/>
          <w:sz w:val="36"/>
          <w:szCs w:val="36"/>
          <w:lang w:eastAsia="zh-CN"/>
        </w:rPr>
        <w:t>有色金属行业低碳企业评价指南</w:t>
      </w:r>
      <w:r>
        <w:rPr>
          <w:rFonts w:hint="eastAsia"/>
          <w:b/>
          <w:bCs/>
          <w:sz w:val="36"/>
          <w:szCs w:val="36"/>
          <w:lang w:eastAsia="zh-CN"/>
        </w:rPr>
        <w:t>》</w:t>
      </w:r>
    </w:p>
    <w:bookmarkEnd w:id="0"/>
    <w:p w14:paraId="77AEFD10">
      <w:pPr>
        <w:pStyle w:val="24"/>
        <w:keepNext w:val="0"/>
        <w:keepLines w:val="0"/>
        <w:pageBreakBefore w:val="0"/>
        <w:kinsoku/>
        <w:wordWrap/>
        <w:overflowPunct/>
        <w:topLinePunct w:val="0"/>
        <w:bidi w:val="0"/>
        <w:adjustRightInd/>
        <w:snapToGrid/>
        <w:spacing w:line="360" w:lineRule="auto"/>
        <w:rPr>
          <w:rFonts w:hint="eastAsia" w:ascii="黑体" w:hAnsi="Times New Roman" w:eastAsia="黑体" w:cs="Times New Roman"/>
          <w:b/>
          <w:bCs/>
          <w:sz w:val="44"/>
          <w:szCs w:val="44"/>
          <w:lang w:val="en-US" w:eastAsia="zh-CN" w:bidi="ar-SA"/>
        </w:rPr>
      </w:pPr>
      <w:r>
        <w:rPr>
          <w:rFonts w:hint="eastAsia" w:ascii="黑体" w:hAnsi="Times New Roman" w:eastAsia="黑体" w:cs="Times New Roman"/>
          <w:b/>
          <w:bCs/>
          <w:sz w:val="44"/>
          <w:szCs w:val="44"/>
          <w:lang w:val="en-US" w:eastAsia="zh-CN" w:bidi="ar-SA"/>
        </w:rPr>
        <w:t>编制说明</w:t>
      </w:r>
    </w:p>
    <w:p w14:paraId="500937E7">
      <w:pPr>
        <w:keepNext w:val="0"/>
        <w:keepLines w:val="0"/>
        <w:pageBreakBefore w:val="0"/>
        <w:kinsoku/>
        <w:wordWrap/>
        <w:overflowPunct/>
        <w:topLinePunct w:val="0"/>
        <w:bidi w:val="0"/>
        <w:adjustRightInd/>
        <w:snapToGrid/>
        <w:spacing w:beforeAutospacing="0" w:line="360" w:lineRule="auto"/>
        <w:jc w:val="center"/>
        <w:textAlignment w:val="auto"/>
        <w:outlineLvl w:val="9"/>
        <w:rPr>
          <w:rFonts w:hint="default" w:asciiTheme="minorEastAsia" w:hAnsiTheme="minorEastAsia" w:eastAsiaTheme="minorEastAsia"/>
          <w:b/>
          <w:sz w:val="28"/>
          <w:szCs w:val="28"/>
          <w:lang w:val="en-US" w:eastAsia="zh-CN"/>
        </w:rPr>
      </w:pPr>
      <w:bookmarkStart w:id="1" w:name="_Toc26836"/>
      <w:r>
        <w:rPr>
          <w:rFonts w:hint="eastAsia" w:asciiTheme="minorEastAsia" w:hAnsiTheme="minorEastAsia"/>
          <w:b/>
          <w:sz w:val="28"/>
          <w:szCs w:val="28"/>
          <w:lang w:eastAsia="zh-CN"/>
        </w:rPr>
        <w:t>（</w:t>
      </w:r>
      <w:r>
        <w:rPr>
          <w:rFonts w:hint="eastAsia" w:asciiTheme="minorEastAsia" w:hAnsiTheme="minorEastAsia"/>
          <w:b/>
          <w:sz w:val="28"/>
          <w:szCs w:val="28"/>
          <w:lang w:val="en-US" w:eastAsia="zh-CN"/>
        </w:rPr>
        <w:t>讨论稿）</w:t>
      </w:r>
      <w:bookmarkEnd w:id="1"/>
    </w:p>
    <w:p w14:paraId="54FE13DE">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Theme="minorEastAsia" w:hAnsiTheme="minorEastAsia"/>
          <w:b/>
          <w:sz w:val="21"/>
          <w:szCs w:val="21"/>
        </w:rPr>
      </w:pPr>
    </w:p>
    <w:p w14:paraId="4EA4600F">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Theme="minorEastAsia" w:hAnsiTheme="minorEastAsia"/>
          <w:b/>
          <w:sz w:val="21"/>
          <w:szCs w:val="21"/>
        </w:rPr>
      </w:pPr>
    </w:p>
    <w:p w14:paraId="392F533A">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Theme="minorEastAsia" w:hAnsiTheme="minorEastAsia"/>
          <w:b/>
          <w:sz w:val="21"/>
          <w:szCs w:val="21"/>
        </w:rPr>
      </w:pPr>
    </w:p>
    <w:p w14:paraId="4F260912">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Theme="minorEastAsia" w:hAnsiTheme="minorEastAsia"/>
          <w:b/>
          <w:sz w:val="21"/>
          <w:szCs w:val="21"/>
        </w:rPr>
      </w:pPr>
    </w:p>
    <w:p w14:paraId="79D8C7ED">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Theme="minorEastAsia" w:hAnsiTheme="minorEastAsia"/>
          <w:b/>
          <w:sz w:val="21"/>
          <w:szCs w:val="21"/>
        </w:rPr>
      </w:pPr>
    </w:p>
    <w:p w14:paraId="565AE3B4">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Theme="minorEastAsia" w:hAnsiTheme="minorEastAsia"/>
          <w:b/>
          <w:sz w:val="21"/>
          <w:szCs w:val="21"/>
        </w:rPr>
      </w:pPr>
    </w:p>
    <w:p w14:paraId="7C533FF7">
      <w:pPr>
        <w:keepNext w:val="0"/>
        <w:keepLines w:val="0"/>
        <w:pageBreakBefore w:val="0"/>
        <w:kinsoku/>
        <w:wordWrap/>
        <w:overflowPunct/>
        <w:topLinePunct w:val="0"/>
        <w:bidi w:val="0"/>
        <w:adjustRightInd/>
        <w:snapToGrid/>
        <w:spacing w:beforeAutospacing="0" w:line="360" w:lineRule="auto"/>
        <w:jc w:val="both"/>
        <w:textAlignment w:val="auto"/>
        <w:rPr>
          <w:rFonts w:hint="eastAsia" w:asciiTheme="minorEastAsia" w:hAnsiTheme="minorEastAsia"/>
          <w:b/>
          <w:sz w:val="21"/>
          <w:szCs w:val="21"/>
        </w:rPr>
      </w:pPr>
    </w:p>
    <w:p w14:paraId="5EBCDF52">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Theme="minorEastAsia" w:hAnsiTheme="minorEastAsia"/>
          <w:b/>
          <w:sz w:val="21"/>
          <w:szCs w:val="21"/>
        </w:rPr>
      </w:pPr>
    </w:p>
    <w:p w14:paraId="657A3E18">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Theme="minorEastAsia" w:hAnsiTheme="minorEastAsia"/>
          <w:b/>
          <w:sz w:val="21"/>
          <w:szCs w:val="21"/>
        </w:rPr>
      </w:pPr>
    </w:p>
    <w:p w14:paraId="6246BCC9">
      <w:pPr>
        <w:pStyle w:val="5"/>
        <w:keepNext w:val="0"/>
        <w:keepLines w:val="0"/>
        <w:pageBreakBefore w:val="0"/>
        <w:kinsoku/>
        <w:wordWrap/>
        <w:overflowPunct/>
        <w:topLinePunct w:val="0"/>
        <w:bidi w:val="0"/>
        <w:adjustRightInd/>
        <w:snapToGrid/>
        <w:spacing w:line="360" w:lineRule="auto"/>
        <w:rPr>
          <w:rFonts w:hint="eastAsia" w:asciiTheme="minorEastAsia" w:hAnsiTheme="minorEastAsia"/>
          <w:b/>
          <w:sz w:val="21"/>
          <w:szCs w:val="21"/>
        </w:rPr>
      </w:pPr>
    </w:p>
    <w:p w14:paraId="6601D25B">
      <w:pPr>
        <w:pStyle w:val="5"/>
        <w:keepNext w:val="0"/>
        <w:keepLines w:val="0"/>
        <w:pageBreakBefore w:val="0"/>
        <w:kinsoku/>
        <w:wordWrap/>
        <w:overflowPunct/>
        <w:topLinePunct w:val="0"/>
        <w:bidi w:val="0"/>
        <w:adjustRightInd/>
        <w:snapToGrid/>
        <w:spacing w:line="360" w:lineRule="auto"/>
        <w:rPr>
          <w:rFonts w:hint="eastAsia" w:asciiTheme="minorEastAsia" w:hAnsiTheme="minorEastAsia"/>
          <w:b/>
          <w:sz w:val="21"/>
          <w:szCs w:val="21"/>
        </w:rPr>
      </w:pPr>
    </w:p>
    <w:p w14:paraId="60DE6A1B">
      <w:pPr>
        <w:keepNext w:val="0"/>
        <w:keepLines w:val="0"/>
        <w:pageBreakBefore w:val="0"/>
        <w:kinsoku/>
        <w:wordWrap/>
        <w:overflowPunct/>
        <w:topLinePunct w:val="0"/>
        <w:bidi w:val="0"/>
        <w:adjustRightInd/>
        <w:snapToGrid/>
        <w:spacing w:line="360" w:lineRule="auto"/>
        <w:jc w:val="center"/>
        <w:outlineLvl w:val="9"/>
        <w:rPr>
          <w:rFonts w:hint="eastAsia" w:ascii="宋体" w:hAnsi="Times New Roman" w:eastAsia="宋体" w:cs="Times New Roman"/>
          <w:kern w:val="0"/>
          <w:sz w:val="28"/>
          <w:szCs w:val="20"/>
          <w:lang w:val="en-US" w:eastAsia="zh-CN" w:bidi="ar-SA"/>
        </w:rPr>
      </w:pPr>
      <w:bookmarkStart w:id="2" w:name="_Toc15496"/>
      <w:r>
        <w:rPr>
          <w:rFonts w:hint="eastAsia" w:ascii="宋体" w:hAnsi="Times New Roman" w:eastAsia="宋体" w:cs="Times New Roman"/>
          <w:kern w:val="0"/>
          <w:sz w:val="28"/>
          <w:szCs w:val="20"/>
          <w:lang w:val="en-US" w:eastAsia="zh-CN" w:bidi="ar-SA"/>
        </w:rPr>
        <w:t>江西铜业股份有限公司</w:t>
      </w:r>
      <w:bookmarkEnd w:id="2"/>
    </w:p>
    <w:p w14:paraId="1D035E93">
      <w:pPr>
        <w:keepNext w:val="0"/>
        <w:keepLines w:val="0"/>
        <w:pageBreakBefore w:val="0"/>
        <w:kinsoku/>
        <w:wordWrap/>
        <w:overflowPunct/>
        <w:topLinePunct w:val="0"/>
        <w:bidi w:val="0"/>
        <w:adjustRightInd/>
        <w:snapToGrid/>
        <w:spacing w:line="360" w:lineRule="auto"/>
        <w:jc w:val="center"/>
        <w:rPr>
          <w:rFonts w:hint="eastAsia" w:ascii="宋体" w:hAnsi="Times New Roman" w:eastAsia="宋体" w:cs="Times New Roman"/>
          <w:kern w:val="0"/>
          <w:sz w:val="28"/>
          <w:szCs w:val="20"/>
          <w:lang w:val="en-US" w:eastAsia="zh-CN" w:bidi="ar-SA"/>
        </w:rPr>
      </w:pPr>
    </w:p>
    <w:p w14:paraId="5DD00452">
      <w:pPr>
        <w:keepNext w:val="0"/>
        <w:keepLines w:val="0"/>
        <w:pageBreakBefore w:val="0"/>
        <w:kinsoku/>
        <w:wordWrap/>
        <w:overflowPunct/>
        <w:topLinePunct w:val="0"/>
        <w:bidi w:val="0"/>
        <w:adjustRightInd/>
        <w:snapToGrid/>
        <w:spacing w:line="360" w:lineRule="auto"/>
        <w:jc w:val="center"/>
        <w:rPr>
          <w:rFonts w:hint="default" w:ascii="宋体" w:hAnsi="Times New Roman" w:eastAsia="宋体" w:cs="Times New Roman"/>
          <w:kern w:val="0"/>
          <w:sz w:val="28"/>
          <w:szCs w:val="20"/>
          <w:lang w:val="en-US" w:eastAsia="zh-CN" w:bidi="ar-SA"/>
        </w:rPr>
      </w:pPr>
      <w:r>
        <w:rPr>
          <w:rFonts w:hint="eastAsia" w:ascii="宋体" w:hAnsi="Times New Roman" w:eastAsia="宋体" w:cs="Times New Roman"/>
          <w:kern w:val="0"/>
          <w:sz w:val="28"/>
          <w:szCs w:val="20"/>
          <w:lang w:val="en-US" w:eastAsia="zh-CN" w:bidi="ar-SA"/>
        </w:rPr>
        <w:t>2026年03月</w:t>
      </w:r>
    </w:p>
    <w:p w14:paraId="20601B8F">
      <w:pPr>
        <w:pStyle w:val="5"/>
        <w:keepNext w:val="0"/>
        <w:keepLines w:val="0"/>
        <w:pageBreakBefore w:val="0"/>
        <w:kinsoku/>
        <w:wordWrap/>
        <w:overflowPunct/>
        <w:topLinePunct w:val="0"/>
        <w:bidi w:val="0"/>
        <w:adjustRightInd/>
        <w:snapToGrid/>
        <w:spacing w:line="360" w:lineRule="auto"/>
        <w:rPr>
          <w:rFonts w:hint="eastAsia"/>
        </w:rPr>
      </w:pPr>
    </w:p>
    <w:p w14:paraId="22D0CB11">
      <w:pPr>
        <w:spacing w:before="0" w:beforeLines="-2147483648" w:after="0" w:afterLines="-2147483648" w:line="360" w:lineRule="auto"/>
        <w:ind w:left="0" w:leftChars="0" w:right="0" w:rightChars="0" w:firstLine="0" w:firstLineChars="0"/>
        <w:jc w:val="center"/>
      </w:pPr>
    </w:p>
    <w:p w14:paraId="4903361A">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lang w:val="en-US" w:eastAsia="zh-CN" w:bidi="ar-SA"/>
        </w:rPr>
        <w:sectPr>
          <w:headerReference r:id="rId3" w:type="default"/>
          <w:footerReference r:id="rId4" w:type="even"/>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stheme="minorBidi"/>
          <w:kern w:val="2"/>
          <w:sz w:val="21"/>
          <w:szCs w:val="22"/>
          <w:lang w:val="en-US" w:eastAsia="zh-CN" w:bidi="ar-SA"/>
        </w:rPr>
        <w:id w:val="147465831"/>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14:paraId="30E4A122">
          <w:pPr>
            <w:spacing w:before="0" w:beforeLines="0" w:after="0" w:afterLines="0" w:line="240" w:lineRule="auto"/>
            <w:ind w:left="0" w:leftChars="0" w:right="0" w:rightChars="0" w:firstLine="0" w:firstLineChars="0"/>
            <w:jc w:val="center"/>
          </w:pPr>
          <w:r>
            <w:rPr>
              <w:rFonts w:ascii="宋体" w:hAnsi="宋体" w:eastAsia="宋体"/>
              <w:sz w:val="21"/>
            </w:rPr>
            <w:t>目录</w:t>
          </w:r>
        </w:p>
        <w:p w14:paraId="328BB971">
          <w:pPr>
            <w:pStyle w:val="8"/>
            <w:tabs>
              <w:tab w:val="right" w:leader="dot" w:pos="8306"/>
            </w:tabs>
          </w:pPr>
          <w:r>
            <w:fldChar w:fldCharType="begin"/>
          </w:r>
          <w:r>
            <w:instrText xml:space="preserve">TOC \o "1-3" \t "目录标题,1" \h</w:instrText>
          </w:r>
          <w:r>
            <w:fldChar w:fldCharType="separate"/>
          </w:r>
          <w:r>
            <w:fldChar w:fldCharType="begin"/>
          </w:r>
          <w:r>
            <w:instrText xml:space="preserve"> HYPERLINK \l _Toc11913 </w:instrText>
          </w:r>
          <w:r>
            <w:fldChar w:fldCharType="separate"/>
          </w:r>
          <w:r>
            <w:rPr>
              <w:rFonts w:hint="eastAsia"/>
            </w:rPr>
            <w:t>一、 工作概况</w:t>
          </w:r>
          <w:r>
            <w:tab/>
          </w:r>
          <w:r>
            <w:fldChar w:fldCharType="begin"/>
          </w:r>
          <w:r>
            <w:instrText xml:space="preserve"> PAGEREF _Toc11913 \h </w:instrText>
          </w:r>
          <w:r>
            <w:fldChar w:fldCharType="separate"/>
          </w:r>
          <w:r>
            <w:t>1</w:t>
          </w:r>
          <w:r>
            <w:fldChar w:fldCharType="end"/>
          </w:r>
          <w:r>
            <w:fldChar w:fldCharType="end"/>
          </w:r>
        </w:p>
        <w:p w14:paraId="51178172">
          <w:pPr>
            <w:pStyle w:val="8"/>
            <w:tabs>
              <w:tab w:val="right" w:leader="dot" w:pos="8306"/>
            </w:tabs>
          </w:pPr>
          <w:r>
            <w:fldChar w:fldCharType="begin"/>
          </w:r>
          <w:r>
            <w:instrText xml:space="preserve"> HYPERLINK \l _Toc17395 </w:instrText>
          </w:r>
          <w:r>
            <w:fldChar w:fldCharType="separate"/>
          </w:r>
          <w:r>
            <w:rPr>
              <w:rFonts w:hint="eastAsia"/>
              <w:lang w:val="en-US" w:eastAsia="zh-CN"/>
            </w:rPr>
            <w:t xml:space="preserve">二、 </w:t>
          </w:r>
          <w:r>
            <w:rPr>
              <w:rFonts w:hint="eastAsia"/>
            </w:rPr>
            <w:t>标准编制原则</w:t>
          </w:r>
          <w:r>
            <w:tab/>
          </w:r>
          <w:r>
            <w:fldChar w:fldCharType="begin"/>
          </w:r>
          <w:r>
            <w:instrText xml:space="preserve"> PAGEREF _Toc17395 \h </w:instrText>
          </w:r>
          <w:r>
            <w:fldChar w:fldCharType="separate"/>
          </w:r>
          <w:r>
            <w:t>3</w:t>
          </w:r>
          <w:r>
            <w:fldChar w:fldCharType="end"/>
          </w:r>
          <w:r>
            <w:fldChar w:fldCharType="end"/>
          </w:r>
        </w:p>
        <w:p w14:paraId="21A65D8D">
          <w:pPr>
            <w:pStyle w:val="8"/>
            <w:tabs>
              <w:tab w:val="right" w:leader="dot" w:pos="8306"/>
            </w:tabs>
          </w:pPr>
          <w:r>
            <w:fldChar w:fldCharType="begin"/>
          </w:r>
          <w:r>
            <w:instrText xml:space="preserve"> HYPERLINK \l _Toc23238 </w:instrText>
          </w:r>
          <w:r>
            <w:fldChar w:fldCharType="separate"/>
          </w:r>
          <w:r>
            <w:rPr>
              <w:rFonts w:hint="eastAsia"/>
              <w:lang w:val="en-US" w:eastAsia="zh-CN"/>
            </w:rPr>
            <w:t xml:space="preserve">三、 </w:t>
          </w:r>
          <w:r>
            <w:rPr>
              <w:rFonts w:hint="eastAsia"/>
            </w:rPr>
            <w:t>主要内容</w:t>
          </w:r>
          <w:r>
            <w:rPr>
              <w:rFonts w:hint="eastAsia"/>
              <w:lang w:val="en-US" w:eastAsia="zh-CN"/>
            </w:rPr>
            <w:t>及其确认依据</w:t>
          </w:r>
          <w:r>
            <w:tab/>
          </w:r>
          <w:r>
            <w:fldChar w:fldCharType="begin"/>
          </w:r>
          <w:r>
            <w:instrText xml:space="preserve"> PAGEREF _Toc23238 \h </w:instrText>
          </w:r>
          <w:r>
            <w:fldChar w:fldCharType="separate"/>
          </w:r>
          <w:r>
            <w:t>4</w:t>
          </w:r>
          <w:r>
            <w:fldChar w:fldCharType="end"/>
          </w:r>
          <w:r>
            <w:fldChar w:fldCharType="end"/>
          </w:r>
        </w:p>
        <w:p w14:paraId="5E7B64BD">
          <w:pPr>
            <w:pStyle w:val="8"/>
            <w:tabs>
              <w:tab w:val="right" w:leader="dot" w:pos="8306"/>
            </w:tabs>
          </w:pPr>
          <w:r>
            <w:fldChar w:fldCharType="begin"/>
          </w:r>
          <w:r>
            <w:instrText xml:space="preserve"> HYPERLINK \l _Toc8775 </w:instrText>
          </w:r>
          <w:r>
            <w:fldChar w:fldCharType="separate"/>
          </w:r>
          <w:r>
            <w:rPr>
              <w:rFonts w:hint="eastAsia"/>
              <w:lang w:val="en-US" w:eastAsia="zh-CN"/>
            </w:rPr>
            <w:t>四、 采用国际标准或国外先进标准的目的、意义和一致性程度；我国标准与被采用标准的主要差异及其原因；以及与国际、国外同类标准水平的对比情况</w:t>
          </w:r>
          <w:r>
            <w:tab/>
          </w:r>
          <w:r>
            <w:fldChar w:fldCharType="begin"/>
          </w:r>
          <w:r>
            <w:instrText xml:space="preserve"> PAGEREF _Toc8775 \h </w:instrText>
          </w:r>
          <w:r>
            <w:fldChar w:fldCharType="separate"/>
          </w:r>
          <w:r>
            <w:t>11</w:t>
          </w:r>
          <w:r>
            <w:fldChar w:fldCharType="end"/>
          </w:r>
          <w:r>
            <w:fldChar w:fldCharType="end"/>
          </w:r>
        </w:p>
        <w:p w14:paraId="20BA5CA3">
          <w:pPr>
            <w:pStyle w:val="8"/>
            <w:tabs>
              <w:tab w:val="right" w:leader="dot" w:pos="8306"/>
            </w:tabs>
          </w:pPr>
          <w:r>
            <w:fldChar w:fldCharType="begin"/>
          </w:r>
          <w:r>
            <w:instrText xml:space="preserve"> HYPERLINK \l _Toc13387 </w:instrText>
          </w:r>
          <w:r>
            <w:fldChar w:fldCharType="separate"/>
          </w:r>
          <w:r>
            <w:rPr>
              <w:rFonts w:hint="eastAsia"/>
              <w:lang w:val="en-US" w:eastAsia="zh-CN"/>
            </w:rPr>
            <w:t>五、 与我国有关的现行法律、法规和相关强制性标准的关系</w:t>
          </w:r>
          <w:r>
            <w:tab/>
          </w:r>
          <w:r>
            <w:fldChar w:fldCharType="begin"/>
          </w:r>
          <w:r>
            <w:instrText xml:space="preserve"> PAGEREF _Toc13387 \h </w:instrText>
          </w:r>
          <w:r>
            <w:fldChar w:fldCharType="separate"/>
          </w:r>
          <w:r>
            <w:t>11</w:t>
          </w:r>
          <w:r>
            <w:fldChar w:fldCharType="end"/>
          </w:r>
          <w:r>
            <w:fldChar w:fldCharType="end"/>
          </w:r>
        </w:p>
        <w:p w14:paraId="6BC60697">
          <w:pPr>
            <w:pStyle w:val="8"/>
            <w:tabs>
              <w:tab w:val="right" w:leader="dot" w:pos="8306"/>
            </w:tabs>
          </w:pPr>
          <w:r>
            <w:fldChar w:fldCharType="begin"/>
          </w:r>
          <w:r>
            <w:instrText xml:space="preserve"> HYPERLINK \l _Toc24408 </w:instrText>
          </w:r>
          <w:r>
            <w:fldChar w:fldCharType="separate"/>
          </w:r>
          <w:r>
            <w:rPr>
              <w:rFonts w:hint="eastAsia"/>
              <w:lang w:val="en-US" w:eastAsia="zh-CN"/>
            </w:rPr>
            <w:t>六、 与钢铁、建材、矿山等行业低碳企业评价标准或计划的协调关系</w:t>
          </w:r>
          <w:r>
            <w:tab/>
          </w:r>
          <w:r>
            <w:fldChar w:fldCharType="begin"/>
          </w:r>
          <w:r>
            <w:instrText xml:space="preserve"> PAGEREF _Toc24408 \h </w:instrText>
          </w:r>
          <w:r>
            <w:fldChar w:fldCharType="separate"/>
          </w:r>
          <w:r>
            <w:t>11</w:t>
          </w:r>
          <w:r>
            <w:fldChar w:fldCharType="end"/>
          </w:r>
          <w:r>
            <w:fldChar w:fldCharType="end"/>
          </w:r>
        </w:p>
        <w:p w14:paraId="2C5A72F4">
          <w:pPr>
            <w:pStyle w:val="8"/>
            <w:tabs>
              <w:tab w:val="right" w:leader="dot" w:pos="8306"/>
            </w:tabs>
          </w:pPr>
          <w:r>
            <w:fldChar w:fldCharType="begin"/>
          </w:r>
          <w:r>
            <w:instrText xml:space="preserve"> HYPERLINK \l _Toc10959 </w:instrText>
          </w:r>
          <w:r>
            <w:fldChar w:fldCharType="separate"/>
          </w:r>
          <w:r>
            <w:rPr>
              <w:rFonts w:hint="eastAsia"/>
              <w:lang w:val="en-US" w:eastAsia="zh-CN"/>
            </w:rPr>
            <w:t>七、 重大分歧意见的处理经过和依据</w:t>
          </w:r>
          <w:r>
            <w:tab/>
          </w:r>
          <w:r>
            <w:fldChar w:fldCharType="begin"/>
          </w:r>
          <w:r>
            <w:instrText xml:space="preserve"> PAGEREF _Toc10959 \h </w:instrText>
          </w:r>
          <w:r>
            <w:fldChar w:fldCharType="separate"/>
          </w:r>
          <w:r>
            <w:t>12</w:t>
          </w:r>
          <w:r>
            <w:fldChar w:fldCharType="end"/>
          </w:r>
          <w:r>
            <w:fldChar w:fldCharType="end"/>
          </w:r>
        </w:p>
        <w:p w14:paraId="5BB5323F">
          <w:pPr>
            <w:pStyle w:val="8"/>
            <w:tabs>
              <w:tab w:val="right" w:leader="dot" w:pos="8306"/>
            </w:tabs>
          </w:pPr>
          <w:r>
            <w:fldChar w:fldCharType="begin"/>
          </w:r>
          <w:r>
            <w:instrText xml:space="preserve"> HYPERLINK \l _Toc21184 </w:instrText>
          </w:r>
          <w:r>
            <w:fldChar w:fldCharType="separate"/>
          </w:r>
          <w:r>
            <w:rPr>
              <w:rFonts w:hint="eastAsia"/>
              <w:lang w:val="en-US" w:eastAsia="zh-CN"/>
            </w:rPr>
            <w:t>八、 标准性质的建议说明</w:t>
          </w:r>
          <w:r>
            <w:tab/>
          </w:r>
          <w:r>
            <w:fldChar w:fldCharType="begin"/>
          </w:r>
          <w:r>
            <w:instrText xml:space="preserve"> PAGEREF _Toc21184 \h </w:instrText>
          </w:r>
          <w:r>
            <w:fldChar w:fldCharType="separate"/>
          </w:r>
          <w:r>
            <w:t>12</w:t>
          </w:r>
          <w:r>
            <w:fldChar w:fldCharType="end"/>
          </w:r>
          <w:r>
            <w:fldChar w:fldCharType="end"/>
          </w:r>
        </w:p>
        <w:p w14:paraId="6891E150">
          <w:pPr>
            <w:pStyle w:val="8"/>
            <w:tabs>
              <w:tab w:val="right" w:leader="dot" w:pos="8306"/>
            </w:tabs>
          </w:pPr>
          <w:r>
            <w:fldChar w:fldCharType="begin"/>
          </w:r>
          <w:r>
            <w:instrText xml:space="preserve"> HYPERLINK \l _Toc11104 </w:instrText>
          </w:r>
          <w:r>
            <w:fldChar w:fldCharType="separate"/>
          </w:r>
          <w:r>
            <w:rPr>
              <w:rFonts w:hint="eastAsia"/>
              <w:lang w:val="en-US" w:eastAsia="zh-CN"/>
            </w:rPr>
            <w:t>九、 贯彻标准的要求和措施建议</w:t>
          </w:r>
          <w:r>
            <w:tab/>
          </w:r>
          <w:r>
            <w:fldChar w:fldCharType="begin"/>
          </w:r>
          <w:r>
            <w:instrText xml:space="preserve"> PAGEREF _Toc11104 \h </w:instrText>
          </w:r>
          <w:r>
            <w:fldChar w:fldCharType="separate"/>
          </w:r>
          <w:r>
            <w:t>13</w:t>
          </w:r>
          <w:r>
            <w:fldChar w:fldCharType="end"/>
          </w:r>
          <w:r>
            <w:fldChar w:fldCharType="end"/>
          </w:r>
        </w:p>
        <w:p w14:paraId="0BB13652">
          <w:pPr>
            <w:pStyle w:val="8"/>
            <w:tabs>
              <w:tab w:val="right" w:leader="dot" w:pos="8306"/>
            </w:tabs>
          </w:pPr>
          <w:r>
            <w:fldChar w:fldCharType="begin"/>
          </w:r>
          <w:r>
            <w:instrText xml:space="preserve"> HYPERLINK \l _Toc8669 </w:instrText>
          </w:r>
          <w:r>
            <w:fldChar w:fldCharType="separate"/>
          </w:r>
          <w:r>
            <w:rPr>
              <w:rFonts w:hint="eastAsia"/>
              <w:lang w:val="en-US" w:eastAsia="zh-CN"/>
            </w:rPr>
            <w:t xml:space="preserve">十、 </w:t>
          </w:r>
          <w:r>
            <w:rPr>
              <w:rFonts w:hint="default"/>
              <w:lang w:val="en-US" w:eastAsia="zh-CN"/>
            </w:rPr>
            <w:t>废止现行有关标准的建议</w:t>
          </w:r>
          <w:r>
            <w:tab/>
          </w:r>
          <w:r>
            <w:fldChar w:fldCharType="begin"/>
          </w:r>
          <w:r>
            <w:instrText xml:space="preserve"> PAGEREF _Toc8669 \h </w:instrText>
          </w:r>
          <w:r>
            <w:fldChar w:fldCharType="separate"/>
          </w:r>
          <w:r>
            <w:t>13</w:t>
          </w:r>
          <w:r>
            <w:fldChar w:fldCharType="end"/>
          </w:r>
          <w:r>
            <w:fldChar w:fldCharType="end"/>
          </w:r>
        </w:p>
        <w:p w14:paraId="6A67FFAC">
          <w:pPr>
            <w:pStyle w:val="8"/>
            <w:tabs>
              <w:tab w:val="right" w:leader="dot" w:pos="8306"/>
            </w:tabs>
          </w:pPr>
          <w:r>
            <w:fldChar w:fldCharType="begin"/>
          </w:r>
          <w:r>
            <w:instrText xml:space="preserve"> HYPERLINK \l _Toc10299 </w:instrText>
          </w:r>
          <w:r>
            <w:fldChar w:fldCharType="separate"/>
          </w:r>
          <w:r>
            <w:rPr>
              <w:rFonts w:hint="eastAsia" w:asciiTheme="minorAscii" w:hAnsiTheme="minorAscii" w:eastAsiaTheme="minorEastAsia" w:cstheme="minorBidi"/>
              <w:kern w:val="2"/>
              <w:szCs w:val="28"/>
            </w:rPr>
            <w:t xml:space="preserve">十一、 </w:t>
          </w:r>
          <w:r>
            <w:rPr>
              <w:rFonts w:hint="default" w:asciiTheme="minorAscii" w:hAnsiTheme="minorAscii" w:eastAsiaTheme="minorEastAsia" w:cstheme="minorBidi"/>
              <w:kern w:val="2"/>
              <w:szCs w:val="28"/>
            </w:rPr>
            <w:t>涉及专利的有关说明</w:t>
          </w:r>
          <w:r>
            <w:tab/>
          </w:r>
          <w:r>
            <w:fldChar w:fldCharType="begin"/>
          </w:r>
          <w:r>
            <w:instrText xml:space="preserve"> PAGEREF _Toc10299 \h </w:instrText>
          </w:r>
          <w:r>
            <w:fldChar w:fldCharType="separate"/>
          </w:r>
          <w:r>
            <w:t>13</w:t>
          </w:r>
          <w:r>
            <w:fldChar w:fldCharType="end"/>
          </w:r>
          <w:r>
            <w:fldChar w:fldCharType="end"/>
          </w:r>
        </w:p>
        <w:p w14:paraId="2E43EEAC">
          <w:pPr>
            <w:pStyle w:val="8"/>
            <w:tabs>
              <w:tab w:val="right" w:leader="dot" w:pos="8306"/>
            </w:tabs>
          </w:pPr>
          <w:r>
            <w:fldChar w:fldCharType="begin"/>
          </w:r>
          <w:r>
            <w:instrText xml:space="preserve"> HYPERLINK \l _Toc22224 </w:instrText>
          </w:r>
          <w:r>
            <w:fldChar w:fldCharType="separate"/>
          </w:r>
          <w:r>
            <w:rPr>
              <w:rFonts w:hint="eastAsia" w:asciiTheme="minorAscii" w:hAnsiTheme="minorAscii" w:eastAsiaTheme="minorEastAsia" w:cstheme="minorBidi"/>
              <w:szCs w:val="28"/>
            </w:rPr>
            <w:t xml:space="preserve">十二、 </w:t>
          </w:r>
          <w:r>
            <w:rPr>
              <w:rFonts w:asciiTheme="minorAscii" w:hAnsiTheme="minorAscii" w:eastAsiaTheme="minorEastAsia" w:cstheme="minorBidi"/>
              <w:szCs w:val="28"/>
            </w:rPr>
            <w:t>废止现行有关标准的建议</w:t>
          </w:r>
          <w:r>
            <w:tab/>
          </w:r>
          <w:r>
            <w:fldChar w:fldCharType="begin"/>
          </w:r>
          <w:r>
            <w:instrText xml:space="preserve"> PAGEREF _Toc22224 \h </w:instrText>
          </w:r>
          <w:r>
            <w:fldChar w:fldCharType="separate"/>
          </w:r>
          <w:r>
            <w:t>14</w:t>
          </w:r>
          <w:r>
            <w:fldChar w:fldCharType="end"/>
          </w:r>
          <w:r>
            <w:fldChar w:fldCharType="end"/>
          </w:r>
        </w:p>
        <w:p w14:paraId="31987833">
          <w:pPr>
            <w:pStyle w:val="8"/>
            <w:tabs>
              <w:tab w:val="right" w:leader="dot" w:pos="8306"/>
            </w:tabs>
          </w:pPr>
          <w:r>
            <w:fldChar w:fldCharType="begin"/>
          </w:r>
          <w:r>
            <w:instrText xml:space="preserve"> HYPERLINK \l _Toc18550 </w:instrText>
          </w:r>
          <w:r>
            <w:fldChar w:fldCharType="separate"/>
          </w:r>
          <w:r>
            <w:rPr>
              <w:rFonts w:hint="eastAsia" w:asciiTheme="minorAscii" w:hAnsiTheme="minorAscii" w:eastAsiaTheme="minorEastAsia" w:cstheme="minorBidi"/>
              <w:szCs w:val="28"/>
            </w:rPr>
            <w:t xml:space="preserve">十三、 </w:t>
          </w:r>
          <w:r>
            <w:rPr>
              <w:rFonts w:hint="default" w:asciiTheme="minorAscii" w:hAnsiTheme="minorAscii" w:eastAsiaTheme="minorEastAsia" w:cstheme="minorBidi"/>
              <w:szCs w:val="28"/>
            </w:rPr>
            <w:t>公平竞争审查条例</w:t>
          </w:r>
          <w:r>
            <w:tab/>
          </w:r>
          <w:r>
            <w:fldChar w:fldCharType="begin"/>
          </w:r>
          <w:r>
            <w:instrText xml:space="preserve"> PAGEREF _Toc18550 \h </w:instrText>
          </w:r>
          <w:r>
            <w:fldChar w:fldCharType="separate"/>
          </w:r>
          <w:r>
            <w:t>14</w:t>
          </w:r>
          <w:r>
            <w:fldChar w:fldCharType="end"/>
          </w:r>
          <w:r>
            <w:fldChar w:fldCharType="end"/>
          </w:r>
        </w:p>
        <w:p w14:paraId="2DCEB6C9">
          <w:pPr>
            <w:pStyle w:val="8"/>
            <w:tabs>
              <w:tab w:val="right" w:leader="dot" w:pos="8306"/>
            </w:tabs>
          </w:pPr>
          <w:r>
            <w:fldChar w:fldCharType="begin"/>
          </w:r>
          <w:r>
            <w:instrText xml:space="preserve"> HYPERLINK \l _Toc29697 </w:instrText>
          </w:r>
          <w:r>
            <w:fldChar w:fldCharType="separate"/>
          </w:r>
          <w:r>
            <w:rPr>
              <w:rFonts w:hint="eastAsia" w:asciiTheme="minorAscii" w:hAnsiTheme="minorAscii" w:eastAsiaTheme="minorEastAsia" w:cstheme="minorBidi"/>
              <w:szCs w:val="28"/>
            </w:rPr>
            <w:t xml:space="preserve">十四、 </w:t>
          </w:r>
          <w:r>
            <w:rPr>
              <w:rFonts w:asciiTheme="minorAscii" w:hAnsiTheme="minorAscii" w:eastAsiaTheme="minorEastAsia" w:cstheme="minorBidi"/>
              <w:szCs w:val="28"/>
            </w:rPr>
            <w:t>其他应予说明的事项</w:t>
          </w:r>
          <w:r>
            <w:tab/>
          </w:r>
          <w:r>
            <w:fldChar w:fldCharType="begin"/>
          </w:r>
          <w:r>
            <w:instrText xml:space="preserve"> PAGEREF _Toc29697 \h </w:instrText>
          </w:r>
          <w:r>
            <w:fldChar w:fldCharType="separate"/>
          </w:r>
          <w:r>
            <w:t>14</w:t>
          </w:r>
          <w:r>
            <w:fldChar w:fldCharType="end"/>
          </w:r>
          <w:r>
            <w:fldChar w:fldCharType="end"/>
          </w:r>
        </w:p>
        <w:p w14:paraId="68E5A171">
          <w:pPr>
            <w:sectPr>
              <w:footerReference r:id="rId5" w:type="default"/>
              <w:footerReference r:id="rId6" w:type="even"/>
              <w:pgSz w:w="11906" w:h="16838"/>
              <w:pgMar w:top="1440" w:right="1800" w:bottom="1440" w:left="1800" w:header="851" w:footer="992" w:gutter="0"/>
              <w:pgNumType w:fmt="decimal" w:start="1"/>
              <w:cols w:space="425" w:num="1"/>
              <w:docGrid w:type="lines" w:linePitch="312" w:charSpace="0"/>
            </w:sectPr>
          </w:pPr>
          <w:r>
            <w:fldChar w:fldCharType="end"/>
          </w:r>
        </w:p>
      </w:sdtContent>
    </w:sdt>
    <w:p w14:paraId="5EF6E2E8">
      <w:pPr>
        <w:keepNext w:val="0"/>
        <w:keepLines w:val="0"/>
        <w:pageBreakBefore w:val="0"/>
        <w:widowControl w:val="0"/>
        <w:kinsoku/>
        <w:wordWrap/>
        <w:overflowPunct/>
        <w:topLinePunct w:val="0"/>
        <w:autoSpaceDE/>
        <w:autoSpaceDN/>
        <w:bidi w:val="0"/>
        <w:adjustRightInd/>
        <w:snapToGrid/>
        <w:spacing w:before="469" w:beforeLines="150" w:beforeAutospacing="0" w:after="469" w:afterLines="150" w:line="240" w:lineRule="auto"/>
        <w:jc w:val="center"/>
        <w:textAlignment w:val="auto"/>
        <w:outlineLvl w:val="9"/>
        <w:rPr>
          <w:sz w:val="30"/>
          <w:szCs w:val="30"/>
        </w:rPr>
      </w:pPr>
      <w:bookmarkStart w:id="3" w:name="_Toc10453"/>
      <w:r>
        <w:rPr>
          <w:rFonts w:hint="eastAsia" w:asciiTheme="minorEastAsia" w:hAnsiTheme="minorEastAsia"/>
          <w:b/>
          <w:sz w:val="30"/>
          <w:szCs w:val="30"/>
          <w:lang w:eastAsia="zh-CN"/>
        </w:rPr>
        <w:t>《</w:t>
      </w:r>
      <w:r>
        <w:rPr>
          <w:rFonts w:hint="eastAsia" w:asciiTheme="minorEastAsia" w:hAnsiTheme="minorEastAsia" w:eastAsiaTheme="minorEastAsia" w:cstheme="minorEastAsia"/>
          <w:b/>
          <w:bCs/>
          <w:color w:val="auto"/>
          <w:kern w:val="2"/>
          <w:sz w:val="30"/>
          <w:szCs w:val="30"/>
          <w:lang w:val="en-US" w:eastAsia="zh-CN"/>
        </w:rPr>
        <w:t>有色金属行业低碳企业评价指南</w:t>
      </w:r>
      <w:r>
        <w:rPr>
          <w:rFonts w:hint="eastAsia" w:asciiTheme="minorEastAsia" w:hAnsiTheme="minorEastAsia"/>
          <w:b/>
          <w:sz w:val="30"/>
          <w:szCs w:val="30"/>
          <w:lang w:eastAsia="zh-CN"/>
        </w:rPr>
        <w:t>》</w:t>
      </w:r>
      <w:r>
        <w:rPr>
          <w:rFonts w:hint="eastAsia" w:asciiTheme="minorEastAsia" w:hAnsiTheme="minorEastAsia"/>
          <w:b/>
          <w:sz w:val="30"/>
          <w:szCs w:val="30"/>
          <w:lang w:val="en-US" w:eastAsia="zh-CN"/>
        </w:rPr>
        <w:t>国家</w:t>
      </w:r>
      <w:r>
        <w:rPr>
          <w:rFonts w:hint="eastAsia" w:asciiTheme="minorEastAsia" w:hAnsiTheme="minorEastAsia"/>
          <w:b/>
          <w:sz w:val="30"/>
          <w:szCs w:val="30"/>
          <w:lang w:eastAsia="zh-CN"/>
        </w:rPr>
        <w:t>标准</w:t>
      </w:r>
      <w:r>
        <w:rPr>
          <w:rFonts w:hint="eastAsia" w:asciiTheme="minorEastAsia" w:hAnsiTheme="minorEastAsia"/>
          <w:b/>
          <w:sz w:val="30"/>
          <w:szCs w:val="30"/>
        </w:rPr>
        <w:t>编制说明</w:t>
      </w:r>
      <w:bookmarkEnd w:id="3"/>
    </w:p>
    <w:p w14:paraId="12D39550">
      <w:pPr>
        <w:pStyle w:val="30"/>
        <w:bidi w:val="0"/>
        <w:rPr>
          <w:rFonts w:hint="eastAsia"/>
        </w:rPr>
      </w:pPr>
      <w:bookmarkStart w:id="4" w:name="_Toc17948"/>
      <w:bookmarkStart w:id="5" w:name="_Toc11913"/>
      <w:r>
        <w:rPr>
          <w:rFonts w:hint="eastAsia"/>
        </w:rPr>
        <w:t>工作概况</w:t>
      </w:r>
      <w:bookmarkEnd w:id="4"/>
      <w:bookmarkEnd w:id="5"/>
    </w:p>
    <w:p w14:paraId="7D4E5511">
      <w:pPr>
        <w:keepNext w:val="0"/>
        <w:keepLines w:val="0"/>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line="240" w:lineRule="auto"/>
        <w:textAlignment w:val="auto"/>
        <w:outlineLvl w:val="0"/>
        <w:rPr>
          <w:rFonts w:hint="eastAsia" w:asciiTheme="minorEastAsia" w:hAnsiTheme="minorEastAsia"/>
          <w:b/>
          <w:sz w:val="28"/>
          <w:szCs w:val="28"/>
          <w:lang w:val="en-US" w:eastAsia="zh-CN"/>
        </w:rPr>
      </w:pPr>
      <w:r>
        <w:rPr>
          <w:rFonts w:hint="eastAsia" w:asciiTheme="minorEastAsia" w:hAnsiTheme="minorEastAsia"/>
          <w:b/>
          <w:sz w:val="28"/>
          <w:szCs w:val="28"/>
          <w:lang w:eastAsia="zh-CN"/>
        </w:rPr>
        <w:t>（</w:t>
      </w:r>
      <w:r>
        <w:rPr>
          <w:rFonts w:hint="eastAsia" w:asciiTheme="minorEastAsia" w:hAnsiTheme="minorEastAsia"/>
          <w:b/>
          <w:sz w:val="28"/>
          <w:szCs w:val="28"/>
          <w:lang w:val="en-US" w:eastAsia="zh-CN"/>
        </w:rPr>
        <w:t>一）</w:t>
      </w:r>
      <w:r>
        <w:rPr>
          <w:rFonts w:hint="eastAsia" w:asciiTheme="minorEastAsia" w:hAnsiTheme="minorEastAsia"/>
          <w:b/>
          <w:sz w:val="28"/>
          <w:szCs w:val="28"/>
        </w:rPr>
        <w:t>任务来源</w:t>
      </w:r>
    </w:p>
    <w:p w14:paraId="2A784A90">
      <w:pPr>
        <w:ind w:left="0" w:leftChars="0" w:firstLine="420" w:firstLineChars="20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2025年12月5日，根据国标委发[2025]69号《国家标准委关于下达2025年第十一推荐性国家标准计划及相关标准外文版计划的通知》，全国有色金属标准化技术委员会下达了编写《有色金属行业低碳企业评价指南》国家标准的任务，完成期限为2027年6月，技术归口单位为全国有色金属标准化技术委员会（SAC/TC 243）。计划号为：20256500-T-610。</w:t>
      </w:r>
    </w:p>
    <w:p w14:paraId="137F9E13">
      <w:pPr>
        <w:ind w:left="0" w:leftChars="0" w:firstLine="420" w:firstLineChars="20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1、主要起草单位变更情况</w:t>
      </w:r>
    </w:p>
    <w:p w14:paraId="5CB4A8E9">
      <w:pPr>
        <w:ind w:left="0" w:leftChars="0" w:firstLine="420" w:firstLineChars="20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国家标准项目《有色金属行业低碳企业评价指南》主要起草单位：江西铜业股份有限公司、紫金矿业集团股份有限公司、铜陵有色金属集团股份有限公司、大冶有色金属集团控股有限公司、中国恩菲工程技术有限公司、北方铜业股份有限公司。随着标准编制工作的深入推进，为增强标准的行业代表性、技术全面性和广泛适用性，经项目召集单位与各参与单位协商一致，并报全国有色金属标准化技术委员会备案，标准起草单位调整为：江西铜业股份有限公司、中铝洛阳铜加工有限公司、浙江海亮股份有限公司、有色金属技术经济研究院有限责任公司、云南铜业股份有限公司西南铜业分公司、紫金矿业集团股份有限公司、山东宏桥新型材料有限公司、云南铝业股份有限公司、北方铜业股份有限公司、山东创新金属科技有限公司、深圳市中金岭南有色金属股份有限公司、国家电投集团宁夏能源铝业有限公司、金川集团股份有限公司、陕西天宇镁业集团有限公司、内蒙古霍煤鸿骏铝电有限责任公司、矿冶科技集团有限公司、葫芦岛锌业股份有限公司、大冶有色金属集团控股有限公司、江西铜业铅锌金属有限公司、铜陵有色金属集团控股有限公司、云南锡业股份有限公司锡业分公司、中国恩菲工程技术有限公司、株洲冶炼集团股份有限公司、内蒙古白音华铝电有限公司、云南驰宏锌锗股份有限公司。</w:t>
      </w:r>
    </w:p>
    <w:p w14:paraId="137AC746">
      <w:pPr>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rPr>
        <w:t>计划下达后，主编单位立即成立起草组，吸纳相关有色金属企业，编制组扩大为：</w:t>
      </w:r>
      <w:r>
        <w:rPr>
          <w:rFonts w:hint="eastAsia" w:ascii="宋体" w:hAnsi="宋体" w:eastAsia="宋体" w:cs="宋体"/>
          <w:color w:val="auto"/>
          <w:sz w:val="21"/>
          <w:szCs w:val="21"/>
        </w:rPr>
        <w:t>吴锦龙、罗维、赵黎明、吴帅锦、赵大华、孙永辉、魏连运、于海波、朱秋华、罗楚佩、叶舒琪、杨丛森、杨慧彬、牛天荣、赵晓光、刘晓明、詹磊、马卫东、周明珠、王芳、张杰、罗义、樊赣湘、刘文强、韩厚华、唐都作、郭照满、景觅、祝元兵、张春、赵万花、田丹女、黄浩宸、徐健、孙元林、王跃全、郑凯凯、郭跃宇、黄亮、</w:t>
      </w:r>
      <w:r>
        <w:rPr>
          <w:rFonts w:hint="eastAsia" w:ascii="宋体" w:hAnsi="宋体" w:eastAsia="宋体" w:cs="宋体"/>
          <w:color w:val="auto"/>
          <w:sz w:val="21"/>
          <w:szCs w:val="21"/>
          <w:lang w:eastAsia="zh-CN"/>
        </w:rPr>
        <w:t>张愈年</w:t>
      </w:r>
      <w:r>
        <w:rPr>
          <w:rFonts w:hint="eastAsia" w:ascii="宋体" w:hAnsi="宋体" w:eastAsia="宋体" w:cs="宋体"/>
          <w:color w:val="auto"/>
          <w:sz w:val="21"/>
          <w:szCs w:val="21"/>
        </w:rPr>
        <w:t>、陈致良、何力、林星杰、王宇、徐波林、姜林友、李云、覃雪莲、刘璐、马健双、夏丽优。</w:t>
      </w:r>
    </w:p>
    <w:p w14:paraId="4DD8B834">
      <w:pPr>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default" w:ascii="宋体" w:hAnsi="宋体" w:eastAsia="宋体" w:cs="宋体"/>
          <w:color w:val="auto"/>
          <w:sz w:val="21"/>
          <w:szCs w:val="21"/>
          <w:lang w:val="en-US" w:eastAsia="zh-CN"/>
        </w:rPr>
        <w:t>标准制定的目的和意义</w:t>
      </w:r>
      <w:r>
        <w:rPr>
          <w:rFonts w:hint="eastAsia" w:ascii="宋体" w:hAnsi="宋体" w:eastAsia="宋体" w:cs="宋体"/>
          <w:color w:val="auto"/>
          <w:sz w:val="21"/>
          <w:szCs w:val="21"/>
          <w:lang w:val="en-US" w:eastAsia="zh-CN"/>
        </w:rPr>
        <w:t>：</w:t>
      </w:r>
    </w:p>
    <w:p w14:paraId="282920C7">
      <w:pPr>
        <w:ind w:left="0" w:leftChars="0" w:firstLine="420" w:firstLineChars="200"/>
        <w:rPr>
          <w:rFonts w:hint="eastAsia" w:ascii="宋体" w:hAnsi="宋体" w:eastAsia="宋体" w:cs="宋体"/>
          <w:i w:val="0"/>
          <w:iCs w:val="0"/>
          <w:caps w:val="0"/>
          <w:color w:val="auto"/>
          <w:spacing w:val="0"/>
          <w:sz w:val="21"/>
          <w:szCs w:val="21"/>
          <w:shd w:val="clear"/>
        </w:rPr>
      </w:pPr>
      <w:r>
        <w:rPr>
          <w:rFonts w:hint="eastAsia" w:ascii="宋体" w:hAnsi="宋体" w:eastAsia="宋体" w:cs="宋体"/>
          <w:i w:val="0"/>
          <w:iCs w:val="0"/>
          <w:caps w:val="0"/>
          <w:color w:val="auto"/>
          <w:spacing w:val="0"/>
          <w:sz w:val="21"/>
          <w:szCs w:val="21"/>
          <w:shd w:val="clear"/>
        </w:rPr>
        <w:t>中国是世界有色金属第一大消费国和第一大生产国，有色金属作为国民经济的基础性原材料，被誉为“现代工业的维生素”，在新能源、高端装备制造、航空航天等领域具有不可替代的战略地位。2024年我国十种有色金属产量达7919万吨，连续二十二年位居世界首位，有色金属进出口贸易总额3687.9亿美元。然而，有色金属行业也是能源消耗和碳排放的重点领域，碳排放总量约占全国5%，仅次于电力和钢铁行业，是制造业领域低碳转型的关键阵地。</w:t>
      </w:r>
    </w:p>
    <w:p w14:paraId="678ACB6E">
      <w:pPr>
        <w:ind w:left="0" w:leftChars="0" w:firstLine="420" w:firstLineChars="200"/>
        <w:rPr>
          <w:rFonts w:hint="eastAsia" w:ascii="宋体" w:hAnsi="宋体" w:eastAsia="宋体" w:cs="宋体"/>
          <w:i w:val="0"/>
          <w:iCs w:val="0"/>
          <w:caps w:val="0"/>
          <w:color w:val="auto"/>
          <w:spacing w:val="0"/>
          <w:sz w:val="21"/>
          <w:szCs w:val="21"/>
          <w:shd w:val="clear"/>
        </w:rPr>
      </w:pPr>
      <w:r>
        <w:rPr>
          <w:rFonts w:hint="eastAsia" w:ascii="宋体" w:hAnsi="宋体" w:eastAsia="宋体" w:cs="宋体"/>
          <w:i w:val="0"/>
          <w:iCs w:val="0"/>
          <w:caps w:val="0"/>
          <w:color w:val="auto"/>
          <w:spacing w:val="0"/>
          <w:sz w:val="21"/>
          <w:szCs w:val="21"/>
          <w:shd w:val="clear"/>
        </w:rPr>
        <w:t>2020年中国提出“双碳”目标后，有色金属行业面临双重挑战：一方面需应对发达国家通过“绿色供应链”“碳关税”（如欧盟CBAM）构筑的贸易壁垒，出口型企业面临碳排放数据披露、碳足迹认证等合规压力；另一方面，行业内多数企业低碳转型理念不足，缺乏系统的低碳发展规划和明确的评价依据，低碳技术应用不均衡，极大影响了行业低碳发展进程。</w:t>
      </w:r>
    </w:p>
    <w:p w14:paraId="49771480">
      <w:pPr>
        <w:ind w:left="0" w:leftChars="0" w:firstLine="420" w:firstLineChars="200"/>
        <w:rPr>
          <w:rFonts w:hint="default" w:ascii="宋体" w:hAnsi="宋体" w:eastAsia="宋体" w:cs="宋体"/>
          <w:color w:val="auto"/>
          <w:kern w:val="2"/>
          <w:sz w:val="21"/>
          <w:szCs w:val="21"/>
          <w:lang w:val="en-US" w:eastAsia="zh-CN"/>
        </w:rPr>
      </w:pPr>
      <w:r>
        <w:rPr>
          <w:rFonts w:hint="eastAsia" w:ascii="宋体" w:hAnsi="宋体" w:eastAsia="宋体" w:cs="宋体"/>
          <w:i w:val="0"/>
          <w:iCs w:val="0"/>
          <w:caps w:val="0"/>
          <w:color w:val="auto"/>
          <w:spacing w:val="0"/>
          <w:sz w:val="21"/>
          <w:szCs w:val="21"/>
          <w:shd w:val="clear"/>
        </w:rPr>
        <w:t>为深入贯彻落实《中共中央国务院关于完整准确全面贯彻新发展理念做好碳达峰碳中和工作的意见》《国家标准化发展纲要》和《2030年前碳达峰行动方案》《有色金属行业碳达峰实施方案》的工作部署，抓紧健全有色金属行业碳达峰、碳中和标准体系，填补行业低碳企业专项评价标准空白，引导企业规范开展低碳生产实践，经全国有色金属标准化技术委员会申报，启动《有色金属行业低碳企业评价指南》国家标准的制定工作，为行业低碳转型提供科学、统一、可操作的指导依据。</w:t>
      </w:r>
    </w:p>
    <w:p w14:paraId="504B48BF">
      <w:pPr>
        <w:keepNext w:val="0"/>
        <w:keepLines w:val="0"/>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line="240" w:lineRule="auto"/>
        <w:textAlignment w:val="auto"/>
        <w:outlineLvl w:val="0"/>
        <w:rPr>
          <w:rFonts w:hint="eastAsia" w:asciiTheme="minorEastAsia" w:hAnsiTheme="minorEastAsia"/>
          <w:b/>
          <w:sz w:val="28"/>
          <w:szCs w:val="28"/>
          <w:lang w:val="en-US" w:eastAsia="zh-CN"/>
        </w:rPr>
      </w:pPr>
      <w:r>
        <w:rPr>
          <w:rFonts w:hint="eastAsia" w:asciiTheme="minorEastAsia" w:hAnsiTheme="minorEastAsia"/>
          <w:b/>
          <w:sz w:val="28"/>
          <w:szCs w:val="28"/>
          <w:lang w:val="en-US" w:eastAsia="zh-CN"/>
        </w:rPr>
        <w:t>（二）主要参加单位和工作成员及其所作的工作</w:t>
      </w:r>
    </w:p>
    <w:p w14:paraId="793E3F12">
      <w:pPr>
        <w:keepNext w:val="0"/>
        <w:keepLines w:val="0"/>
        <w:pageBreakBefore w:val="0"/>
        <w:widowControl w:val="0"/>
        <w:kinsoku/>
        <w:wordWrap/>
        <w:overflowPunct/>
        <w:topLinePunct w:val="0"/>
        <w:autoSpaceDE/>
        <w:autoSpaceDN/>
        <w:bidi w:val="0"/>
        <w:adjustRightInd/>
        <w:snapToGrid/>
        <w:spacing w:beforeAutospacing="0"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1、主要参加单位</w:t>
      </w:r>
    </w:p>
    <w:p w14:paraId="1724E206">
      <w:pPr>
        <w:keepNext w:val="0"/>
        <w:keepLines w:val="0"/>
        <w:pageBreakBefore w:val="0"/>
        <w:widowControl w:val="0"/>
        <w:kinsoku/>
        <w:wordWrap/>
        <w:overflowPunct/>
        <w:topLinePunct w:val="0"/>
        <w:autoSpaceDE/>
        <w:autoSpaceDN/>
        <w:bidi w:val="0"/>
        <w:adjustRightInd/>
        <w:snapToGrid/>
        <w:spacing w:beforeAutospacing="0"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江西铜业股份有限公司（简称“江铜”）成立于1979年，并于1997年在香港、伦敦同时上市，成为国内首支境外上市矿业股，也是中国铜行业和江西省首家世界500强企业。2019年，江铜成功完成恒邦股份控股控股收购；由江铜作为主要股东的佳鑫国际资源投资有限公司于2025年8月28日正式在香港联交所主板、阿斯塔纳国际交易所“一带一路”板同步上市，江铜旗下上市公司增至三家。2025年，江铜实现营业收入5735亿元，利润107亿元，现位列《财富》世界500强第165位。目前，江铜在铜以及相关有色金属领域，拥有勘探、采矿、选矿、冶炼、加工为一体的全产业链，形成了江西（鄱阳湖生态区）、环黄渤海地区、长三角地区、粤港澳大湾区、中亚五大产业基地，实现了沿江、沿海T字型产业布局，建立了覆盖全国、辐射海外的投资、金融和贸易等多元产业，旗下拥有138个成员单位。江铜产品质量优良，拥有多个“世界名牌”产品。主要涵盖阴极铜、黄金、白银、铅锌、硫酸等冶炼产品，钼、硒、碲、铼、铂、钯、铋等稀贵稀散金属产品，高端铜箔、铜板带、铜管、高压电缆、铜银合金细线、铜杆等铜加工产品，单壁碳纳米管、石墨-铜（铝）复合材料等新型材料产品，阳极炉圆盘浇铸机、球磨机衬板、高分子PE管材等制造产品，共100余品种，其中，“江铜牌”和“贵冶牌”阴极铜为伦敦金属交易所注册产品，“江铜牌”黄金、白银为伦敦金银市场协会注册产品。展望未来，江铜将围绕“主业聚焦、创新突破，高质发展、迈向一流”战略方针，坚持四大发展原则，全力推进十大产业体系转型升级，加快与供应链创新链价值链的深入融合，全面构建以上市公司为主体的产业集群，坚定不移做实、做强、做优、做大实体经济，通过不断追求卓越，至2030年，基本建成具有全球核心竞争力世界一流企业。</w:t>
      </w:r>
    </w:p>
    <w:p w14:paraId="7EA361F7">
      <w:pPr>
        <w:keepNext w:val="0"/>
        <w:keepLines w:val="0"/>
        <w:pageBreakBefore w:val="0"/>
        <w:widowControl w:val="0"/>
        <w:kinsoku/>
        <w:wordWrap/>
        <w:overflowPunct/>
        <w:topLinePunct w:val="0"/>
        <w:autoSpaceDE/>
        <w:autoSpaceDN/>
        <w:bidi w:val="0"/>
        <w:adjustRightInd/>
        <w:snapToGrid/>
        <w:spacing w:beforeAutospacing="0"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浙江海亮股份有限公司是海亮集团核心产业全资子公司。自2001年成立以来，公司一直致力于优质铜产品、导体新材料、铝基新材料的研发、生产、销售和服务，于2008年1月16日在深圳证券交易所上市（股票代码：002203），是全球铜管棒加工行业的标杆和领袖级企业。截至2024年底，公司总资产达444.80亿元，实现总营业收入875.45亿元，利润总额6.58亿元。目前公司在浙江、上海、安徽、广东、越南、泰国、重庆、成都、山东、甘肃、美国、德国、法国、意大利、西班牙等亚洲、美洲、欧洲地区拥有23大生产基地，在国内外积累了大批优质稳定的客户，与132个国家或地区的近万家客户建立了长期业务关系，与多家行业品牌企业成为战略合作伙伴。公司牵头或参与编制已发布的国家行业等各类标准共70项（其中国家标准34项），公司在国家行业标准编制方面具有丰富的经验，可以保证该标准顺利编制完成。</w:t>
      </w:r>
    </w:p>
    <w:p w14:paraId="3C7F5095">
      <w:pPr>
        <w:keepNext w:val="0"/>
        <w:keepLines w:val="0"/>
        <w:pageBreakBefore w:val="0"/>
        <w:widowControl w:val="0"/>
        <w:kinsoku/>
        <w:wordWrap/>
        <w:overflowPunct/>
        <w:topLinePunct w:val="0"/>
        <w:autoSpaceDE/>
        <w:autoSpaceDN/>
        <w:bidi w:val="0"/>
        <w:adjustRightInd/>
        <w:snapToGrid/>
        <w:spacing w:beforeAutospacing="0"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云南铜业股份有限公司西南铜业分公司（简称西南铜业）是中国铜业有限公司在云南铜业股份有限公司的分支机构，成立于2017年5月5日，公司所在地位于云南省昆明市安宁市青龙街道白塔村委会松坪村小组。西南铜业前身为云南铜业股份有限公司冶炼加工总厂（简称总厂）。始建于1958年，原为云南冶炼厂，是国家“一五”计划156个重点项目之一东川矿务局的配套项目，是新中国建厂最早的三家铜冶炼厂之一。1998年6月，云南冶炼厂改制，成立云南铜业股份有限公司（简称云南铜业）。2008年6月，根据云南铜业（集团）有限公司管控模式调整要求成立总厂，总部设在王家桥主生产区。按照上级单位深化改革相求，总厂更名为西南铜业，2017年5月5日正式运营，西南铜业为存续企业。2024年西南铜业搬迁至安宁。目前，西南铜业在铜等相关有色金属领域，拥有冶炼、综合回收为一体的完整产业链，按功能分为火法、电解、制酸、稀贵、渣选、资源综合利用、动力等七个主要工序。历经60余年发展，公司现已形成年产阴极铜55万吨、工业硫酸140万吨、黄金12吨、白银650吨的生产能力，综合回收铅、锌、铋、镍、硒、碲、铂、钯、铼等多种有色金属和稀贵/稀散金属及化工产品。</w:t>
      </w:r>
    </w:p>
    <w:p w14:paraId="6096696F">
      <w:pPr>
        <w:keepNext w:val="0"/>
        <w:keepLines w:val="0"/>
        <w:pageBreakBefore w:val="0"/>
        <w:widowControl w:val="0"/>
        <w:kinsoku/>
        <w:wordWrap/>
        <w:overflowPunct/>
        <w:topLinePunct w:val="0"/>
        <w:autoSpaceDE/>
        <w:autoSpaceDN/>
        <w:bidi w:val="0"/>
        <w:adjustRightInd/>
        <w:snapToGrid/>
        <w:spacing w:beforeAutospacing="0"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山东宏桥新型材料有限公司是香港上市公司——中国宏桥集团有限公司（股票代码：1378.HK） 的下属子公司，拥有“热电-采矿-氧化铝-原铝-铝深加工、新材料 ”的完整产业链，形成了 “铝电网一体化 ”和“上下游产业一体化 ”的产业模式，在滨州各地拉动形成了多个发展潜力大、支持带动力强、质量效益突出的特色铝产业集群。山东宏桥的生产工艺和装备水平世界领先。其热电生产采用超临界、超超临界大型发电机组；氧化铝生产采用拜耳法工艺；原铝生产全部采用电流强度为500 千安以上的大型阳极预焙电解槽，世界上第一条正式投产的600 千安特大型阳极预焙电解槽于2014 年投入运行，整体技术达到了国际领先水平，2016 年荣获中国有色金属工业科学技术奖一等奖，2016 年、2019 年、2020年三次被工信部、发改委、质检总局三部委联合公布为电解铝行业唯一的能效“领跑者 ”企业，2017 年在电解铝行业率先实现了超低排放；高精铝板带箔生产采用国际先进的铝液直接熔炼铸锭—热连轧—冷轧—精整生产工艺，全部引进世界上最先进的高精度、高自动化轧机，经济技术指标居全国同行业前列，工艺技术和自动化控制均达到了国际领先水平。魏桥轻量化基地依托魏桥苏州大学研究院、魏桥国科研究院，联合国内外研究机构和骨干生产企业，以新能源汽车用系列高强高韧新型铝合金材料开发为核心，致力于汽车轻量化系统解决方案，打造世界领先的全流程轻量化研发、实验、制造基地。公司致力于在循环经济中展现新作为，与德国顺尔茨集团合作建设中德宏顺循环科技合作项目，以报废汽车拆解、 白色家电回收、 电池回收为主导，对工业产品进行循环再利用，在循环经济中发挥自身优势和价值。</w:t>
      </w:r>
    </w:p>
    <w:p w14:paraId="3F3B026D">
      <w:pPr>
        <w:keepNext w:val="0"/>
        <w:keepLines w:val="0"/>
        <w:pageBreakBefore w:val="0"/>
        <w:widowControl w:val="0"/>
        <w:kinsoku/>
        <w:wordWrap/>
        <w:overflowPunct/>
        <w:topLinePunct w:val="0"/>
        <w:autoSpaceDE/>
        <w:autoSpaceDN/>
        <w:bidi w:val="0"/>
        <w:adjustRightInd/>
        <w:snapToGrid/>
        <w:spacing w:beforeAutospacing="0"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山东创新金属科技有限公司位于邹平市国家级经济技术开发区，注册成立于2007年，是一家囊括生产经营铸造铝合金铸锭、高端变形铝合金铸锭、高品质再生铝合金材料等产品为主的企业，产品广泛应用于交通运输汽车、工业产品、电子、电力、建筑、装饰等领域，是国内规模最大的铝合金材料生产与研发基地，其中铝合金棒材市场占有率连续多年位居全国第一。自2017年至今创新金属连续9年入围中国企业500强，2025年位列第303位，同时还位列中国制造业企业500强第158位、中国民营企业500强第130位、山东企业200强第28位、山东民营企业200强第15位。是中国有色金属工业协会副会长单位、中国有色金属加工工业协会副理事长单位、山东省铝业协会常务副会长单位和滨州市铝行业协会会长单位。2025年创新金属通过国家高新技术企业认定，公司先后荣获 “国家级绿色工厂”“国家级制造业单项冠军”“全国就业与社会保障先进民营企业”等荣誉。近年来，创新金属先后与中南大学、山东大学等名校联合开展产学研合作，承担了百余项国内顶尖科研课题，被认定为省级高强高韧铝合金新材料工程研究中心、省级企业技术中心和院士工作站，成为山东省博士后创新实践基地、山东省新型研发机构和全国合金棒、合金电缆标准制定的主要发起及参与单位。当前，创新金属深入贯彻绿色发展理念，深入践行双碳目标，大力实施工业低碳行动和绿色制造工程。立足“高标准、高性能”引进全球高精设备，如西班牙英赛德脱漆炉、侧井炉，德国罗伊双室熔炼炉、奥地利高奇倾动炉、挪威海德鲁的真空除气设备、美国WAGSTAFF铸造生产设备、SNIF在线净化设备，能生产世界最顶级质量标准的各类铝合金产品，大幅度提高了对铝合金废料的处理能力和利用率，成为全球铝加工行业率先实现全流程碳足迹跟踪的企业之一，是国内铝合金圆铸锭领域首家开展碳足迹国际标准认证的企业。</w:t>
      </w:r>
    </w:p>
    <w:p w14:paraId="5B953165">
      <w:pPr>
        <w:keepNext w:val="0"/>
        <w:keepLines w:val="0"/>
        <w:pageBreakBefore w:val="0"/>
        <w:widowControl w:val="0"/>
        <w:kinsoku/>
        <w:wordWrap/>
        <w:overflowPunct/>
        <w:topLinePunct w:val="0"/>
        <w:autoSpaceDE/>
        <w:autoSpaceDN/>
        <w:bidi w:val="0"/>
        <w:adjustRightInd/>
        <w:snapToGrid/>
        <w:spacing w:beforeAutospacing="0"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深圳市中金岭南有色金属股份有限公司成立于1984年9月，1997年1月在深圳证券交易所挂牌上市，是以铜、铅、锌采选冶，综合回收金、银、镓、锗、铟、硒、碲、铋、铂、钯、铑等稀有稀散稀贵金属为主业的国际化全产业链资源公司，为广东省属国有独资重点企业广晟控股集团的控股上市公司。公司注册资本37.38亿元，总资产超430亿元，年营业收入超600亿元，现有员工超11500人（外籍员工约1100人）。公司业务范围涵盖矿山、冶炼、新材料、供应链等板块，下设直属企业、全资、控股子公司20余家，主要实体企业有凡口铅锌矿、韶关冶炼厂、丹霞冶炼厂、中金铜业公司、广西矿业公司、澳大利亚佩利雅公司、中金科技公司和华加日公司，年产精矿铅锌金属量30万吨、冶炼铅锌产品45万吨、阴极铜45万吨、铝型材2.1万吨、电池锌粉2万吨、复合金属材料5400吨。其中，电池锌粉国内市场占有率第一，镍氢镍镉电池极板材料国内市场占有率第一，热双金属国内市场占有率第一。目前在中国、澳大利亚、多米尼加拥有4座矿山，掌控已探明的铅、锌、铜以及“三稀”等有色金属资源金属量超千万吨，潜在价值超千亿元。</w:t>
      </w:r>
    </w:p>
    <w:p w14:paraId="37B3A09E">
      <w:pPr>
        <w:keepNext w:val="0"/>
        <w:keepLines w:val="0"/>
        <w:pageBreakBefore w:val="0"/>
        <w:widowControl w:val="0"/>
        <w:kinsoku/>
        <w:wordWrap/>
        <w:overflowPunct/>
        <w:topLinePunct w:val="0"/>
        <w:autoSpaceDE/>
        <w:autoSpaceDN/>
        <w:bidi w:val="0"/>
        <w:adjustRightInd/>
        <w:snapToGrid/>
        <w:spacing w:beforeAutospacing="0"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家电投集团宁夏能源铝业有限公司（以下简称“宁夏能源铝业”）由国家电投集团铝电投资有限公司（持股76.05%）和宁夏国有投资运营有限公司（持股23.95%）共同投资设立，主要负责宁夏区域资产的运营管理，同时履行国家电投在宁夏区域化管理职能。宁夏能源铝业资产总额204.7亿元，用工总数5657人，拥有火电、新能源、电解铝等多个产业。拥有电力装机323.94万千瓦，其中自备火电装机171万千瓦，风电84.65万千瓦，光伏发电68.29万千瓦；拥有电解铝年产能99万吨，炭素年产能52万吨。宁夏能源铝业电解铝年用电量超140亿千瓦时，约占自治区全社会用电量11%，产业链上下游直接关系数十家企业，带动从业人员3万人以上，为自治区经济社会发展发挥了重要作用。</w:t>
      </w:r>
    </w:p>
    <w:p w14:paraId="37FE7A1F">
      <w:pPr>
        <w:keepNext w:val="0"/>
        <w:keepLines w:val="0"/>
        <w:pageBreakBefore w:val="0"/>
        <w:widowControl w:val="0"/>
        <w:kinsoku/>
        <w:wordWrap/>
        <w:overflowPunct/>
        <w:topLinePunct w:val="0"/>
        <w:autoSpaceDE/>
        <w:autoSpaceDN/>
        <w:bidi w:val="0"/>
        <w:adjustRightInd/>
        <w:snapToGrid/>
        <w:spacing w:beforeAutospacing="0"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金川集团股份有限公司成立于1959年，总部位于甘肃金昌，是甘肃省人民政府控股的特大型采、选、冶、化、深加工联合企业，拥有世界第三大硫化铜镍矿床，是中国镍钴生产基地、铂族金属提炼中心和北方地区最大的铜生产企业。主要生产镍、铜、钴、黄金、白银、铂族贵金属及先进有色金属材料和化工产品等，产品广泛应用于建筑、机械、石油化工、新能源及电池制造、生物医用等现代工业和国民经济各领域。镍产量世界第二，钴产量世界第四，铜产量国内第三，矿产铂族金属产量亚洲第一。拥有镍钴共伴生资源开发与综合利用全国重点实验室、国家镍钴新材料工程技术研究中心、院士专家工作站、博士后工作站等创新平台，形成了专业领域齐全、创新主体多样、上下游协同、多系统互补的创新体系，在有色金属领域取得了一系列重要成果。先后荣获国家科技进步特等奖、中国工业大奖等多项国家级科技奖项。2025年，集团位列世界500强第235位，中国企业500强第59位，中国制造业企业500强第19位，有色金属行业第4位。</w:t>
      </w:r>
    </w:p>
    <w:p w14:paraId="6D91E6AD">
      <w:pPr>
        <w:keepNext w:val="0"/>
        <w:keepLines w:val="0"/>
        <w:pageBreakBefore w:val="0"/>
        <w:widowControl w:val="0"/>
        <w:kinsoku/>
        <w:wordWrap/>
        <w:overflowPunct/>
        <w:topLinePunct w:val="0"/>
        <w:autoSpaceDE/>
        <w:autoSpaceDN/>
        <w:bidi w:val="0"/>
        <w:adjustRightInd/>
        <w:snapToGrid/>
        <w:spacing w:beforeAutospacing="0"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陕西天宇镁业集团有限公司是一家专注于镁及镁合金产业的综合性企业，其业务范围涵盖煤炭加工、半焦制气、特种合金铸造、机械加工、物流开发、煤焦贸易及自营镁产品出口等多个领域。集团注册资本7亿元、员工1500余人，旗下包括3家独资生产企业、2家贸易企业、1家物流企业以及7家合资企业。目前，集团的独资镁企业已具备年产5.5万吨金属镁产能，同时配套有年产105万吨半焦（兰炭）及相应的150万吨洗选煤生产线、年产5000万块镁渣免烧砖和年产1.8万支炼镁用还原罐的生产线，年总营业收入超20亿元。公司成立于1994年，起初以煤炭和兰炭贸易为主，自1997年起开始涉足实业领域。金属镁生产线于2003年建立，并于2007年进行了扩建。2009年，公司通过了ISO9001质量体系认证，自2010年起，公司将主营业务定位于镁行业。金属镁生产线在2012年被列入国家工信部首批镁行业准入企业名单。金属镁生产基地在2021年被授予镁及镁合金国际标准研制示范基地及试点企业。自2008年起，天宇镁业开始自营镁产品出口业务，其产品远销至欧洲、日本、韩国、印度、中东、中亚等国际市场。2016年，公司被国际专业评级机构Technavio评为“全球五大顶级原镁供应商”之一。多年来，天宇集团始终秉持“踏实、稳重”的经营风格，坚持“求真、创新、务实”的企业精神。在当前双碳战略激发轻量化需求的背景下，公司愿与行业同仁携手，积极倡导和推动镁基新材料在装备制造业的应用拓展，为“中国制造减重、国产装备瘦身”贡献镁的力量。</w:t>
      </w:r>
    </w:p>
    <w:p w14:paraId="63B8F1B0">
      <w:pPr>
        <w:keepNext w:val="0"/>
        <w:keepLines w:val="0"/>
        <w:pageBreakBefore w:val="0"/>
        <w:widowControl w:val="0"/>
        <w:kinsoku/>
        <w:wordWrap/>
        <w:overflowPunct/>
        <w:topLinePunct w:val="0"/>
        <w:autoSpaceDE/>
        <w:autoSpaceDN/>
        <w:bidi w:val="0"/>
        <w:adjustRightInd/>
        <w:snapToGrid/>
        <w:spacing w:beforeAutospacing="0"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矿冶科技集团有限公司是隶属于国务院国资委管理的中央企业，属国家首批创新型企业，是中国以矿冶科学与工程技术为主的规模最大的综合性研究与设计机构。矿冶科技集团有限公司是我国以矿产资源综合开发利用和材料科学与工程为核心主业，学科齐全、专业配套的大型综合性研究与设计机构，先后隶属于重工业部、冶金工业部、中国有色金属工业总公司、国家有色金属工业局，1999年转制为中央直属的大型科技企业，现隶属于国务院国有资产监督管理委员会。全院设有10个专业研究所、1个技术创新中心、1个工程设计院、11个科技产业公司和3个直属生产厂，拥有3个国家工程技术研究中心。全院拥有现代化的大型设备仪器和工程化能力较强的中试及生产装备，拥有等离子光谱（ICP）等现代化的大型设备仪器600多台（套），建设有12条工程化能力强的中试装备，拥有实验室单元108个，是工信部的工业节能与绿色发展评价中心。矿冶集团汇聚了一支由顶尖科技人才组成的高水平团队，是行业科技创新的人才高地。拥有中国工程院院士3人，享受国务院政府津贴专家142人，百千万人才工程国家级人选13人。拥有矿业工程、冶金工程、材料科学与工程、机械工程和电子信息5个一级学科/专业领域硕士学位授予权，并设有博士后工作站。</w:t>
      </w:r>
    </w:p>
    <w:p w14:paraId="3BB3E774">
      <w:pPr>
        <w:keepNext w:val="0"/>
        <w:keepLines w:val="0"/>
        <w:pageBreakBefore w:val="0"/>
        <w:widowControl w:val="0"/>
        <w:kinsoku/>
        <w:wordWrap/>
        <w:overflowPunct/>
        <w:topLinePunct w:val="0"/>
        <w:autoSpaceDE/>
        <w:autoSpaceDN/>
        <w:bidi w:val="0"/>
        <w:adjustRightInd/>
        <w:snapToGrid/>
        <w:spacing w:beforeAutospacing="0"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葫芦岛锌业股份有限公司是东北和华北地区唯一的大型重有色金属冶炼企业，近邻铜、铅、锌消费市场，陆路、水路交通便利，物流费用低廉，进口原料资源与国内同行业企业相比有得天独厚的区域优势。2013年公司经过破产重整，企业重新焕发了青春，十几年来取得了翻天覆地的变化，实现了跨越式的发展，成为混合所有制改革的典范。2021年10月收购了葫芦岛宏跃北方铜业有限责任公司。公司的主要业务为有色金属锌、铅、铜冶炼及深加工产品，同时综合回收有价金属镉、铟、金、银、铋、硒、钴、锑、锗等，并副产硫酸、硫酸锌、硫酸铜等。公司同时拥有湿法炼锌和火法炼锌两种锌冶炼工艺，以及澳斯麦特粗铜冶炼到电解铜精炼的全流程铜冶炼系统，形成了冶炼制酸、余热发电、综合利用、新技术研发全方位配套工程。其中主要产品的生产能力：锌金属产品年生产能力达到39万吨以上，阴极铜年生产能力达到10万吨以上。产品广泛应用于冶金、机械、电子、医药、化工、军工等行业，远销20多个国家和地区。公司拥有共和国若干个第一，生产了共和国第一块锌锭、第一块镉锭，生产出共和国第一批碳化硅耐火材料，建成第一座高温氧化沸腾炉、第一座特大型竖罐蒸馏炉，第一次用精馏法生产氧化锌、第一家用冶炼烟气制取硫酸等。</w:t>
      </w:r>
    </w:p>
    <w:p w14:paraId="2372CFA4">
      <w:pPr>
        <w:keepNext w:val="0"/>
        <w:keepLines w:val="0"/>
        <w:pageBreakBefore w:val="0"/>
        <w:widowControl w:val="0"/>
        <w:kinsoku/>
        <w:wordWrap/>
        <w:overflowPunct/>
        <w:topLinePunct w:val="0"/>
        <w:autoSpaceDE/>
        <w:autoSpaceDN/>
        <w:bidi w:val="0"/>
        <w:adjustRightInd/>
        <w:snapToGrid/>
        <w:spacing w:beforeAutospacing="0"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江西铜业铅锌金属有限公司隶属世界500强企业——江铜集团，公司成立于2009年9月，为江西铜业集团有限公司下属独立法人单位。公司注册资本金为人民币20亿元，是江西省“十百千亿工程”的重点建设项目，为目前国内规模最大的现代化大型铅锌联合冶炼工厂。公司位于九江市湖口县高新技术产业园区内，厂区占地面积约2000亩，厂址紧邻长江岸线,物流优势比较突出。主要生产铅、锌锭，并综合回收金、银、铟、镉、铟、铋等金属和硫酸，2025年年营业收入120亿元。公司先后通过质量、环境、职业健康安全、能源、测量管理体系认证、荣获“国家高新技术企业”，获评工信部工业领域电力需求侧管理第四批示范企业、工信部铅锌行业首批合规企业，授予“全国‘安康杯’竞赛优秀组织单位”“‘十三五’江西省安全生产工作先进单位”“江西省品牌建设先进单位”，“江铜”牌铅锭、锌锭、银锭荣获“江西省名牌产品”称号。2022年1月，公司荣获“第八届九江市市长质量奖”，入选工信部2021年度重点用能行业能效“领跑者”企业榜单。近年来公司参与起草的各类标准共46项，其中国家标准13项，行业标准26项，团体标准7项。</w:t>
      </w:r>
    </w:p>
    <w:p w14:paraId="564762FD">
      <w:pPr>
        <w:keepNext w:val="0"/>
        <w:keepLines w:val="0"/>
        <w:pageBreakBefore w:val="0"/>
        <w:widowControl w:val="0"/>
        <w:kinsoku/>
        <w:wordWrap/>
        <w:overflowPunct/>
        <w:topLinePunct w:val="0"/>
        <w:autoSpaceDE/>
        <w:autoSpaceDN/>
        <w:bidi w:val="0"/>
        <w:adjustRightInd/>
        <w:snapToGrid/>
        <w:spacing w:beforeAutospacing="0"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株洲冶炼集团股份有限公司源于1956年始建的株洲冶炼厂，株冶以“奋楫深耕锌产业，建设美好新株冶”为使命，以“成为绿色智能高效的双一流锌行业标杆”为愿景，形成“严细实恒、精益求精”的质量文化，主要产品锌及锌基合金产能68万吨，年营业收入160多亿元，是我国主要的锌及锌合金生产研发基地和国内外大型钢厂的主要热镀锌供应商。株冶自创建始，坚持“高起点、高标准、严要求”，先后通过质量管理体系、环境管理体系、职业健康安全管理体系、汽车质量管理体系、能源管理体系认证。主要生产子公司湖南株冶有色金属有限公司按照国内最严格的环保标准进行设计，采用世界最大的单系列30万吨浸出和OTC溶液深度净化系统、行业最大的富氧挥发回转窑、铟直接萃取提炼锌铟、全厂智能化生产控制/决策支持系统等一系列新技术。公司先后获评国家级绿色工厂、湖南省工业碳减排标杆企业等。</w:t>
      </w:r>
    </w:p>
    <w:p w14:paraId="1EBC2C67">
      <w:pPr>
        <w:ind w:left="0" w:leftChars="0" w:firstLine="420" w:firstLineChars="200"/>
        <w:rPr>
          <w:rFonts w:hint="eastAsia" w:ascii="宋体" w:hAnsi="宋体" w:eastAsia="宋体" w:cs="宋体"/>
          <w:sz w:val="24"/>
          <w:szCs w:val="24"/>
          <w:lang w:val="en-US" w:eastAsia="zh-CN"/>
        </w:rPr>
      </w:pPr>
      <w:r>
        <w:rPr>
          <w:rFonts w:hint="eastAsia" w:ascii="宋体" w:hAnsi="宋体" w:eastAsia="宋体" w:cs="宋体"/>
          <w:i w:val="0"/>
          <w:iCs w:val="0"/>
          <w:caps w:val="0"/>
          <w:color w:val="auto"/>
          <w:spacing w:val="0"/>
          <w:sz w:val="21"/>
          <w:szCs w:val="21"/>
          <w:shd w:val="clear"/>
          <w:lang w:val="en-US" w:eastAsia="zh-CN"/>
        </w:rPr>
        <w:t>2、主起草人及工作职责见表1。</w:t>
      </w:r>
    </w:p>
    <w:p w14:paraId="4F993C2A">
      <w:pPr>
        <w:keepNext w:val="0"/>
        <w:keepLines w:val="0"/>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line="240" w:lineRule="auto"/>
        <w:ind w:firstLine="420" w:firstLineChars="200"/>
        <w:jc w:val="center"/>
        <w:textAlignment w:val="auto"/>
        <w:rPr>
          <w:rFonts w:hint="eastAsia" w:ascii="黑体" w:hAnsi="黑体" w:eastAsia="黑体" w:cs="黑体"/>
          <w:color w:val="000000" w:themeColor="text1"/>
          <w:kern w:val="2"/>
          <w:sz w:val="21"/>
          <w:szCs w:val="21"/>
          <w:lang w:val="en-US" w:eastAsia="zh-CN" w:bidi="ar-SA"/>
          <w14:textFill>
            <w14:solidFill>
              <w14:schemeClr w14:val="tx1"/>
            </w14:solidFill>
          </w14:textFill>
        </w:rPr>
      </w:pPr>
      <w:r>
        <w:rPr>
          <w:rFonts w:hint="eastAsia" w:ascii="黑体" w:hAnsi="黑体" w:eastAsia="黑体" w:cs="黑体"/>
          <w:color w:val="000000" w:themeColor="text1"/>
          <w:kern w:val="2"/>
          <w:sz w:val="21"/>
          <w:szCs w:val="21"/>
          <w:lang w:val="en-US" w:eastAsia="zh-CN" w:bidi="ar-SA"/>
          <w14:textFill>
            <w14:solidFill>
              <w14:schemeClr w14:val="tx1"/>
            </w14:solidFill>
          </w14:textFill>
        </w:rPr>
        <w:t>表1 主要起草人及工作职责</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9"/>
        <w:gridCol w:w="5673"/>
      </w:tblGrid>
      <w:tr w14:paraId="140E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9" w:type="dxa"/>
            <w:vAlign w:val="center"/>
          </w:tcPr>
          <w:p w14:paraId="344FA0E4">
            <w:pPr>
              <w:pStyle w:val="11"/>
              <w:keepNext w:val="0"/>
              <w:keepLines w:val="0"/>
              <w:pageBreakBefore w:val="0"/>
              <w:widowControl/>
              <w:suppressLineNumbers w:val="0"/>
              <w:kinsoku/>
              <w:wordWrap/>
              <w:overflowPunct/>
              <w:topLinePunct w:val="0"/>
              <w:bidi w:val="0"/>
              <w:adjustRightInd/>
              <w:snapToGrid/>
              <w:spacing w:before="0" w:beforeAutospacing="0" w:after="0" w:afterAutospacing="1" w:line="360" w:lineRule="auto"/>
              <w:ind w:right="0"/>
              <w:jc w:val="center"/>
              <w:textAlignment w:val="auto"/>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起草人</w:t>
            </w:r>
          </w:p>
        </w:tc>
        <w:tc>
          <w:tcPr>
            <w:tcW w:w="5673" w:type="dxa"/>
            <w:vAlign w:val="center"/>
          </w:tcPr>
          <w:p w14:paraId="4FEDD3D5">
            <w:pPr>
              <w:pStyle w:val="11"/>
              <w:keepNext w:val="0"/>
              <w:keepLines w:val="0"/>
              <w:pageBreakBefore w:val="0"/>
              <w:widowControl/>
              <w:suppressLineNumbers w:val="0"/>
              <w:kinsoku/>
              <w:wordWrap/>
              <w:overflowPunct/>
              <w:topLinePunct w:val="0"/>
              <w:bidi w:val="0"/>
              <w:adjustRightInd/>
              <w:snapToGrid/>
              <w:spacing w:before="0" w:beforeAutospacing="0" w:after="0" w:afterAutospacing="1" w:line="360" w:lineRule="auto"/>
              <w:ind w:right="0"/>
              <w:jc w:val="center"/>
              <w:textAlignment w:val="auto"/>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工作职责</w:t>
            </w:r>
          </w:p>
        </w:tc>
      </w:tr>
      <w:tr w14:paraId="25DE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849" w:type="dxa"/>
            <w:vAlign w:val="center"/>
          </w:tcPr>
          <w:p w14:paraId="4A8B3AB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吴锦龙</w:t>
            </w:r>
          </w:p>
        </w:tc>
        <w:tc>
          <w:tcPr>
            <w:tcW w:w="5673" w:type="dxa"/>
            <w:vAlign w:val="center"/>
          </w:tcPr>
          <w:p w14:paraId="2E157CD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cstheme="minorBidi"/>
                <w:color w:val="auto"/>
                <w:kern w:val="2"/>
                <w:sz w:val="21"/>
                <w:szCs w:val="21"/>
                <w:vertAlign w:val="baseline"/>
                <w:lang w:val="en-US" w:eastAsia="zh-CN" w:bidi="ar-SA"/>
              </w:rPr>
            </w:pPr>
            <w:r>
              <w:rPr>
                <w:rFonts w:hint="eastAsia" w:ascii="宋体" w:hAnsi="宋体" w:eastAsia="宋体" w:cs="宋体"/>
                <w:color w:val="auto"/>
                <w:sz w:val="21"/>
                <w:szCs w:val="21"/>
              </w:rPr>
              <w:t>组长，全面负责标准研制工作</w:t>
            </w:r>
          </w:p>
        </w:tc>
      </w:tr>
      <w:tr w14:paraId="5CAE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849" w:type="dxa"/>
            <w:vAlign w:val="center"/>
          </w:tcPr>
          <w:p w14:paraId="4074DA2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罗维</w:t>
            </w:r>
          </w:p>
        </w:tc>
        <w:tc>
          <w:tcPr>
            <w:tcW w:w="5673" w:type="dxa"/>
            <w:vAlign w:val="center"/>
          </w:tcPr>
          <w:p w14:paraId="4FF9577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cstheme="minorBidi"/>
                <w:color w:val="auto"/>
                <w:kern w:val="2"/>
                <w:sz w:val="21"/>
                <w:szCs w:val="21"/>
                <w:vertAlign w:val="baseline"/>
                <w:lang w:val="en-US" w:eastAsia="zh-CN" w:bidi="ar-SA"/>
              </w:rPr>
            </w:pPr>
            <w:r>
              <w:rPr>
                <w:rFonts w:hint="eastAsia" w:ascii="宋体" w:hAnsi="宋体" w:eastAsia="宋体" w:cs="宋体"/>
                <w:color w:val="auto"/>
                <w:sz w:val="21"/>
                <w:szCs w:val="21"/>
              </w:rPr>
              <w:t>参与标准主要技术指标的确定；文本主笔人，文本参与人</w:t>
            </w:r>
          </w:p>
        </w:tc>
      </w:tr>
      <w:tr w14:paraId="4B17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849" w:type="dxa"/>
            <w:vAlign w:val="center"/>
          </w:tcPr>
          <w:p w14:paraId="267E2A4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赵黎明</w:t>
            </w:r>
          </w:p>
        </w:tc>
        <w:tc>
          <w:tcPr>
            <w:tcW w:w="5673" w:type="dxa"/>
            <w:vAlign w:val="center"/>
          </w:tcPr>
          <w:p w14:paraId="57E08BA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cstheme="minorBidi"/>
                <w:color w:val="auto"/>
                <w:kern w:val="2"/>
                <w:sz w:val="21"/>
                <w:szCs w:val="21"/>
                <w:vertAlign w:val="baseline"/>
                <w:lang w:val="en-US" w:eastAsia="zh-CN" w:bidi="ar-SA"/>
              </w:rPr>
            </w:pPr>
            <w:r>
              <w:rPr>
                <w:rFonts w:hint="eastAsia" w:ascii="宋体" w:hAnsi="宋体" w:eastAsia="宋体" w:cs="宋体"/>
                <w:color w:val="auto"/>
                <w:sz w:val="21"/>
                <w:szCs w:val="21"/>
              </w:rPr>
              <w:t>参与标准主要技术指标的确定；文本参与人</w:t>
            </w:r>
          </w:p>
        </w:tc>
      </w:tr>
      <w:tr w14:paraId="0963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849" w:type="dxa"/>
            <w:vAlign w:val="center"/>
          </w:tcPr>
          <w:p w14:paraId="34F6227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吴帅锦</w:t>
            </w:r>
          </w:p>
        </w:tc>
        <w:tc>
          <w:tcPr>
            <w:tcW w:w="5673" w:type="dxa"/>
            <w:vAlign w:val="center"/>
          </w:tcPr>
          <w:p w14:paraId="579756F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cstheme="minorBidi"/>
                <w:color w:val="auto"/>
                <w:kern w:val="2"/>
                <w:sz w:val="21"/>
                <w:szCs w:val="21"/>
                <w:vertAlign w:val="baseline"/>
                <w:lang w:val="en-US" w:eastAsia="zh-CN" w:bidi="ar-SA"/>
              </w:rPr>
            </w:pPr>
            <w:r>
              <w:rPr>
                <w:rFonts w:hint="eastAsia" w:ascii="宋体" w:hAnsi="宋体" w:eastAsia="宋体" w:cs="宋体"/>
                <w:color w:val="auto"/>
                <w:sz w:val="21"/>
                <w:szCs w:val="21"/>
              </w:rPr>
              <w:t>参与标准主要技术指标的确定；文本参与人</w:t>
            </w:r>
          </w:p>
        </w:tc>
      </w:tr>
      <w:tr w14:paraId="4E1C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849" w:type="dxa"/>
            <w:vAlign w:val="center"/>
          </w:tcPr>
          <w:p w14:paraId="65B736F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赵大华、孙永辉</w:t>
            </w:r>
          </w:p>
        </w:tc>
        <w:tc>
          <w:tcPr>
            <w:tcW w:w="5673" w:type="dxa"/>
            <w:vAlign w:val="center"/>
          </w:tcPr>
          <w:p w14:paraId="551A0DE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参与产品质量指标的确定</w:t>
            </w:r>
          </w:p>
        </w:tc>
      </w:tr>
      <w:tr w14:paraId="06AC2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849" w:type="dxa"/>
            <w:vAlign w:val="center"/>
          </w:tcPr>
          <w:p w14:paraId="788E05D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魏连运、于海波、朱秋华</w:t>
            </w:r>
          </w:p>
        </w:tc>
        <w:tc>
          <w:tcPr>
            <w:tcW w:w="5673" w:type="dxa"/>
            <w:vAlign w:val="center"/>
          </w:tcPr>
          <w:p w14:paraId="7E0E340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参与标准编制说明的撰写</w:t>
            </w:r>
          </w:p>
        </w:tc>
      </w:tr>
      <w:tr w14:paraId="488B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849" w:type="dxa"/>
            <w:vAlign w:val="center"/>
          </w:tcPr>
          <w:p w14:paraId="68A79A2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罗楚佩、叶舒琪</w:t>
            </w:r>
          </w:p>
        </w:tc>
        <w:tc>
          <w:tcPr>
            <w:tcW w:w="5673" w:type="dxa"/>
            <w:vAlign w:val="center"/>
          </w:tcPr>
          <w:p w14:paraId="0721E48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参与产品工况需求调研</w:t>
            </w:r>
          </w:p>
        </w:tc>
      </w:tr>
      <w:tr w14:paraId="45A8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849" w:type="dxa"/>
            <w:vAlign w:val="center"/>
          </w:tcPr>
          <w:p w14:paraId="7AB7324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杨丛森、杨慧彬、樊赣湘</w:t>
            </w:r>
          </w:p>
        </w:tc>
        <w:tc>
          <w:tcPr>
            <w:tcW w:w="5673" w:type="dxa"/>
            <w:vAlign w:val="center"/>
          </w:tcPr>
          <w:p w14:paraId="3F7C34A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参与产品工况需求调研</w:t>
            </w:r>
          </w:p>
        </w:tc>
      </w:tr>
      <w:tr w14:paraId="4177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849" w:type="dxa"/>
            <w:vAlign w:val="center"/>
          </w:tcPr>
          <w:p w14:paraId="1914715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牛天荣、赵晓光、刘文强</w:t>
            </w:r>
          </w:p>
        </w:tc>
        <w:tc>
          <w:tcPr>
            <w:tcW w:w="5673" w:type="dxa"/>
            <w:vAlign w:val="center"/>
          </w:tcPr>
          <w:p w14:paraId="7224AF2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参与产品使用寿命调研</w:t>
            </w:r>
          </w:p>
        </w:tc>
      </w:tr>
      <w:tr w14:paraId="3A14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849" w:type="dxa"/>
            <w:vAlign w:val="center"/>
          </w:tcPr>
          <w:p w14:paraId="5DF3C44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韩厚华、唐都作、赵万花</w:t>
            </w:r>
          </w:p>
        </w:tc>
        <w:tc>
          <w:tcPr>
            <w:tcW w:w="5673" w:type="dxa"/>
            <w:vAlign w:val="center"/>
          </w:tcPr>
          <w:p w14:paraId="53B8846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参与产品使用寿命调研</w:t>
            </w:r>
          </w:p>
        </w:tc>
      </w:tr>
      <w:tr w14:paraId="50FD2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849" w:type="dxa"/>
            <w:vAlign w:val="center"/>
          </w:tcPr>
          <w:p w14:paraId="0CC6079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魏连运、田丹女</w:t>
            </w:r>
          </w:p>
        </w:tc>
        <w:tc>
          <w:tcPr>
            <w:tcW w:w="5673" w:type="dxa"/>
            <w:vAlign w:val="center"/>
          </w:tcPr>
          <w:p w14:paraId="6622E33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提出相关技术要求</w:t>
            </w:r>
          </w:p>
        </w:tc>
      </w:tr>
      <w:tr w14:paraId="05B8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849" w:type="dxa"/>
            <w:vAlign w:val="center"/>
          </w:tcPr>
          <w:p w14:paraId="3DF0452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刘晓明、詹磊、郭照满</w:t>
            </w:r>
          </w:p>
        </w:tc>
        <w:tc>
          <w:tcPr>
            <w:tcW w:w="5673" w:type="dxa"/>
            <w:vAlign w:val="center"/>
          </w:tcPr>
          <w:p w14:paraId="774D785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提出相关技术要求</w:t>
            </w:r>
          </w:p>
        </w:tc>
      </w:tr>
      <w:tr w14:paraId="3352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849" w:type="dxa"/>
            <w:vAlign w:val="center"/>
          </w:tcPr>
          <w:p w14:paraId="262147B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景觅、郭跃宇、黄亮</w:t>
            </w:r>
          </w:p>
        </w:tc>
        <w:tc>
          <w:tcPr>
            <w:tcW w:w="5673" w:type="dxa"/>
            <w:vAlign w:val="center"/>
          </w:tcPr>
          <w:p w14:paraId="12B9F3D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参与标准制定</w:t>
            </w:r>
          </w:p>
        </w:tc>
      </w:tr>
      <w:tr w14:paraId="13EC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849" w:type="dxa"/>
            <w:vAlign w:val="center"/>
          </w:tcPr>
          <w:p w14:paraId="11EE04A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马卫东、周明珠、祝元兵</w:t>
            </w:r>
          </w:p>
        </w:tc>
        <w:tc>
          <w:tcPr>
            <w:tcW w:w="5673" w:type="dxa"/>
            <w:vAlign w:val="center"/>
          </w:tcPr>
          <w:p w14:paraId="19FDA6A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参与标准制定</w:t>
            </w:r>
          </w:p>
        </w:tc>
      </w:tr>
      <w:tr w14:paraId="4330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849" w:type="dxa"/>
            <w:vAlign w:val="center"/>
          </w:tcPr>
          <w:p w14:paraId="20AAB57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张春、黄浩宸、张愈年</w:t>
            </w:r>
          </w:p>
        </w:tc>
        <w:tc>
          <w:tcPr>
            <w:tcW w:w="5673" w:type="dxa"/>
            <w:vAlign w:val="center"/>
          </w:tcPr>
          <w:p w14:paraId="1F9C335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参与关键指标制定</w:t>
            </w:r>
          </w:p>
        </w:tc>
      </w:tr>
      <w:tr w14:paraId="06C2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849" w:type="dxa"/>
            <w:vAlign w:val="center"/>
          </w:tcPr>
          <w:p w14:paraId="4BBC0AB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王芳、张杰、徐健</w:t>
            </w:r>
          </w:p>
        </w:tc>
        <w:tc>
          <w:tcPr>
            <w:tcW w:w="5673" w:type="dxa"/>
            <w:vAlign w:val="center"/>
          </w:tcPr>
          <w:p w14:paraId="1A0C052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参与关键指标制定</w:t>
            </w:r>
          </w:p>
        </w:tc>
      </w:tr>
    </w:tbl>
    <w:p w14:paraId="169A1739">
      <w:pPr>
        <w:keepNext w:val="0"/>
        <w:keepLines w:val="0"/>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line="240" w:lineRule="auto"/>
        <w:textAlignment w:val="auto"/>
        <w:outlineLvl w:val="0"/>
        <w:rPr>
          <w:rFonts w:hint="eastAsia" w:asciiTheme="minorEastAsia" w:hAnsiTheme="minorEastAsia"/>
          <w:b/>
          <w:sz w:val="28"/>
          <w:szCs w:val="28"/>
          <w:lang w:val="en-US" w:eastAsia="zh-CN"/>
        </w:rPr>
      </w:pPr>
      <w:r>
        <w:rPr>
          <w:rFonts w:hint="eastAsia" w:asciiTheme="minorEastAsia" w:hAnsiTheme="minorEastAsia"/>
          <w:b/>
          <w:sz w:val="28"/>
          <w:szCs w:val="28"/>
          <w:lang w:val="en-US" w:eastAsia="zh-CN"/>
        </w:rPr>
        <w:t>（三）主要工作过程</w:t>
      </w:r>
    </w:p>
    <w:p w14:paraId="22702715">
      <w:pPr>
        <w:keepNext w:val="0"/>
        <w:keepLines w:val="0"/>
        <w:pageBreakBefore w:val="0"/>
        <w:kinsoku/>
        <w:wordWrap/>
        <w:overflowPunct/>
        <w:topLinePunct w:val="0"/>
        <w:bidi w:val="0"/>
        <w:adjustRightInd/>
        <w:snapToGrid/>
        <w:spacing w:beforeAutospacing="0" w:line="360" w:lineRule="auto"/>
        <w:ind w:firstLine="480" w:firstLineChars="200"/>
        <w:textAlignment w:val="auto"/>
        <w:rPr>
          <w:rFonts w:hint="eastAsia" w:ascii="黑体" w:hAnsi="黑体" w:eastAsia="黑体" w:cs="黑体"/>
          <w:b w:val="0"/>
          <w:bCs/>
          <w:sz w:val="24"/>
          <w:szCs w:val="24"/>
          <w:lang w:val="en-US" w:eastAsia="zh-CN"/>
        </w:rPr>
      </w:pPr>
      <w:r>
        <w:rPr>
          <w:rFonts w:hint="eastAsia" w:ascii="黑体" w:hAnsi="黑体" w:eastAsia="黑体" w:cs="黑体"/>
          <w:b w:val="0"/>
          <w:bCs/>
          <w:sz w:val="24"/>
          <w:szCs w:val="24"/>
        </w:rPr>
        <w:t>第一阶段：预研</w:t>
      </w:r>
      <w:r>
        <w:rPr>
          <w:rFonts w:hint="eastAsia" w:ascii="黑体" w:hAnsi="黑体" w:eastAsia="黑体" w:cs="黑体"/>
          <w:b w:val="0"/>
          <w:bCs/>
          <w:sz w:val="24"/>
          <w:szCs w:val="24"/>
          <w:lang w:val="en-US" w:eastAsia="zh-CN"/>
        </w:rPr>
        <w:t>阶段</w:t>
      </w:r>
    </w:p>
    <w:p w14:paraId="18278260">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（1）第一次标准调研（2025年3月-4月）</w:t>
      </w:r>
    </w:p>
    <w:p w14:paraId="2F7FA1A7">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2025年3月，成立了以江西铜业股份有限公司为主的工作组，开展标准调研工作，了解有色金属行业低碳企业评价指南相关需求。具体内容为：</w:t>
      </w:r>
    </w:p>
    <w:p w14:paraId="5CD76905">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①进行针对性资料收集，包括现行浇注料执行标准、专利、专著等；</w:t>
      </w:r>
    </w:p>
    <w:p w14:paraId="2995EB26">
      <w:pPr>
        <w:ind w:left="0" w:leftChars="0" w:firstLine="420" w:firstLineChars="200"/>
        <w:rPr>
          <w:rFonts w:hint="eastAsia" w:ascii="宋体" w:hAnsi="宋体" w:eastAsia="宋体" w:cs="宋体"/>
          <w:i w:val="0"/>
          <w:iCs w:val="0"/>
          <w:caps w:val="0"/>
          <w:color w:val="auto"/>
          <w:spacing w:val="0"/>
          <w:sz w:val="21"/>
          <w:szCs w:val="21"/>
          <w:shd w:val="clear"/>
          <w:lang w:eastAsia="zh-CN"/>
        </w:rPr>
      </w:pPr>
      <w:r>
        <w:rPr>
          <w:rFonts w:hint="eastAsia" w:ascii="宋体" w:hAnsi="宋体" w:eastAsia="宋体" w:cs="宋体"/>
          <w:i w:val="0"/>
          <w:iCs w:val="0"/>
          <w:caps w:val="0"/>
          <w:color w:val="auto"/>
          <w:spacing w:val="0"/>
          <w:sz w:val="21"/>
          <w:szCs w:val="21"/>
          <w:shd w:val="clear"/>
          <w:lang w:val="en-US" w:eastAsia="zh-CN"/>
        </w:rPr>
        <w:t>②</w:t>
      </w:r>
      <w:r>
        <w:rPr>
          <w:rFonts w:hint="eastAsia" w:ascii="宋体" w:hAnsi="宋体" w:eastAsia="宋体" w:cs="宋体"/>
          <w:i w:val="0"/>
          <w:iCs w:val="0"/>
          <w:caps w:val="0"/>
          <w:color w:val="auto"/>
          <w:spacing w:val="0"/>
          <w:sz w:val="21"/>
          <w:szCs w:val="21"/>
          <w:shd w:val="clear"/>
        </w:rPr>
        <w:t>开展全面行业调研，立足标准执行的广泛性与代表性原则，覆盖铜、铝、铅、锌、镍等主要有色金属品种，调研企业涵盖采选、冶炼、加工等全产业链环节，全面收集企业碳排放基础数据、低碳技术应用现状、现有低碳管理模式、政策落地执行情况等相关基础资料。</w:t>
      </w:r>
    </w:p>
    <w:p w14:paraId="4DDF58D7">
      <w:pPr>
        <w:ind w:left="0" w:leftChars="0" w:firstLine="420" w:firstLineChars="200"/>
        <w:rPr>
          <w:rFonts w:hint="eastAsia" w:ascii="宋体" w:hAnsi="宋体" w:eastAsia="宋体" w:cs="宋体"/>
          <w:i w:val="0"/>
          <w:iCs w:val="0"/>
          <w:caps w:val="0"/>
          <w:color w:val="auto"/>
          <w:spacing w:val="0"/>
          <w:sz w:val="21"/>
          <w:szCs w:val="21"/>
          <w:shd w:val="clear"/>
          <w:lang w:eastAsia="zh-CN"/>
        </w:rPr>
      </w:pPr>
      <w:r>
        <w:rPr>
          <w:rFonts w:hint="eastAsia" w:ascii="宋体" w:hAnsi="宋体" w:eastAsia="宋体" w:cs="宋体"/>
          <w:i w:val="0"/>
          <w:iCs w:val="0"/>
          <w:caps w:val="0"/>
          <w:color w:val="auto"/>
          <w:spacing w:val="0"/>
          <w:sz w:val="21"/>
          <w:szCs w:val="21"/>
          <w:shd w:val="clear"/>
          <w:lang w:val="en-US" w:eastAsia="zh-CN"/>
        </w:rPr>
        <w:t>③结合国家“双碳”战略相关政策要求、行业绿色低碳发展实际需求，以及调研收集的各类资料，完成《有色金属行业低碳企业评价指南》第一版标准草案及编制说明的编制工作。</w:t>
      </w:r>
    </w:p>
    <w:p w14:paraId="1F398ABD">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（2）第二次标准调研（2025年6月-8月）</w:t>
      </w:r>
    </w:p>
    <w:p w14:paraId="2C7AFA86">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工作组立足标准执行的广泛性与代表性的原则，于2023年4月上旬完成了《有色金属行业低碳企业评价指南》第一版草案的编制，经充分研讨，2025年8月下旬完成了第二版草案。</w:t>
      </w:r>
    </w:p>
    <w:p w14:paraId="0852A52F">
      <w:pPr>
        <w:keepNext w:val="0"/>
        <w:keepLines w:val="0"/>
        <w:pageBreakBefore w:val="0"/>
        <w:kinsoku/>
        <w:wordWrap/>
        <w:overflowPunct/>
        <w:topLinePunct w:val="0"/>
        <w:bidi w:val="0"/>
        <w:adjustRightInd/>
        <w:snapToGrid/>
        <w:spacing w:beforeAutospacing="0" w:line="360" w:lineRule="auto"/>
        <w:ind w:firstLine="480" w:firstLineChars="200"/>
        <w:textAlignment w:val="auto"/>
        <w:rPr>
          <w:rFonts w:hint="default" w:ascii="黑体" w:hAnsi="黑体" w:eastAsia="黑体" w:cs="黑体"/>
          <w:b w:val="0"/>
          <w:bCs/>
          <w:sz w:val="24"/>
          <w:szCs w:val="24"/>
          <w:lang w:val="en-US"/>
        </w:rPr>
      </w:pPr>
      <w:r>
        <w:rPr>
          <w:rFonts w:hint="eastAsia" w:ascii="黑体" w:hAnsi="黑体" w:eastAsia="黑体" w:cs="黑体"/>
          <w:b w:val="0"/>
          <w:bCs/>
          <w:sz w:val="24"/>
          <w:szCs w:val="24"/>
        </w:rPr>
        <w:t>第二阶段：</w:t>
      </w:r>
      <w:r>
        <w:rPr>
          <w:rFonts w:hint="eastAsia" w:ascii="黑体" w:hAnsi="黑体" w:eastAsia="黑体" w:cs="黑体"/>
          <w:b w:val="0"/>
          <w:bCs/>
          <w:sz w:val="24"/>
          <w:szCs w:val="24"/>
          <w:lang w:val="en-US" w:eastAsia="zh-CN"/>
        </w:rPr>
        <w:t>立项阶段</w:t>
      </w:r>
    </w:p>
    <w:p w14:paraId="5226811A">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2025年3月，全国有色金属标准化技术委员会组织在广东韶关召开标准项目论证会。会上，各位专家对《有色金属行业低碳企业评价指南》进行项目论证，对文本的格式、标准名称和内容等方面提出修改建议。</w:t>
      </w:r>
    </w:p>
    <w:p w14:paraId="5B2DD947">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 xml:space="preserve"> 2025年10月，江西铜业股份有限公司向有色金属标准化技术委员会提交了《有色金属行业低碳企业评价指南》推荐性国家标准项目建议书、标准草案及标准立项说明等材料。</w:t>
      </w:r>
    </w:p>
    <w:p w14:paraId="77EC10E4">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2025年12月，根据《国家标准委关于下达2025年第十一推荐性国家标准计划及相关标准外文版计划的通知》，全国有色金属标准化技术委员会下达了编写《</w:t>
      </w:r>
      <w:r>
        <w:rPr>
          <w:rFonts w:hint="eastAsia" w:ascii="宋体" w:hAnsi="宋体" w:eastAsia="宋体" w:cs="宋体"/>
          <w:i w:val="0"/>
          <w:iCs w:val="0"/>
          <w:caps w:val="0"/>
          <w:color w:val="auto"/>
          <w:spacing w:val="0"/>
          <w:sz w:val="21"/>
          <w:szCs w:val="21"/>
          <w:shd w:val="clear"/>
        </w:rPr>
        <w:t>有色金属行业低碳企业评价指南</w:t>
      </w:r>
      <w:r>
        <w:rPr>
          <w:rFonts w:hint="eastAsia" w:ascii="宋体" w:hAnsi="宋体" w:eastAsia="宋体" w:cs="宋体"/>
          <w:i w:val="0"/>
          <w:iCs w:val="0"/>
          <w:caps w:val="0"/>
          <w:color w:val="auto"/>
          <w:spacing w:val="0"/>
          <w:sz w:val="21"/>
          <w:szCs w:val="21"/>
          <w:shd w:val="clear"/>
          <w:lang w:val="en-US" w:eastAsia="zh-CN"/>
        </w:rPr>
        <w:t>》国家标准的任务。</w:t>
      </w:r>
    </w:p>
    <w:p w14:paraId="52DB98FD">
      <w:pPr>
        <w:keepNext w:val="0"/>
        <w:keepLines w:val="0"/>
        <w:pageBreakBefore w:val="0"/>
        <w:kinsoku/>
        <w:wordWrap/>
        <w:overflowPunct/>
        <w:topLinePunct w:val="0"/>
        <w:bidi w:val="0"/>
        <w:adjustRightInd/>
        <w:snapToGrid/>
        <w:spacing w:beforeAutospacing="0" w:line="360" w:lineRule="auto"/>
        <w:ind w:firstLine="480" w:firstLineChars="200"/>
        <w:textAlignment w:val="auto"/>
        <w:rPr>
          <w:rFonts w:hint="eastAsia" w:ascii="黑体" w:hAnsi="黑体" w:eastAsia="黑体" w:cs="黑体"/>
          <w:b w:val="0"/>
          <w:bCs/>
          <w:sz w:val="24"/>
          <w:szCs w:val="24"/>
        </w:rPr>
      </w:pPr>
      <w:r>
        <w:rPr>
          <w:rFonts w:hint="eastAsia" w:ascii="黑体" w:hAnsi="黑体" w:eastAsia="黑体" w:cs="黑体"/>
          <w:b w:val="0"/>
          <w:bCs/>
          <w:sz w:val="24"/>
          <w:szCs w:val="24"/>
        </w:rPr>
        <w:t>第三阶段：起草</w:t>
      </w:r>
      <w:r>
        <w:rPr>
          <w:rFonts w:hint="eastAsia" w:ascii="黑体" w:hAnsi="黑体" w:eastAsia="黑体" w:cs="黑体"/>
          <w:b w:val="0"/>
          <w:bCs/>
          <w:sz w:val="24"/>
          <w:szCs w:val="24"/>
          <w:lang w:val="en-US" w:eastAsia="zh-CN"/>
        </w:rPr>
        <w:t>阶段</w:t>
      </w:r>
    </w:p>
    <w:p w14:paraId="7AA2722A">
      <w:pPr>
        <w:keepNext w:val="0"/>
        <w:keepLines w:val="0"/>
        <w:pageBreakBefore w:val="0"/>
        <w:kinsoku/>
        <w:wordWrap/>
        <w:overflowPunct/>
        <w:topLinePunct w:val="0"/>
        <w:bidi w:val="0"/>
        <w:adjustRightInd/>
        <w:snapToGrid/>
        <w:spacing w:beforeAutospacing="0" w:line="360" w:lineRule="auto"/>
        <w:ind w:firstLine="480" w:firstLineChars="200"/>
        <w:textAlignment w:val="auto"/>
        <w:rPr>
          <w:rFonts w:hint="eastAsia" w:ascii="黑体" w:hAnsi="黑体" w:eastAsia="黑体" w:cs="黑体"/>
          <w:b w:val="0"/>
          <w:bCs/>
          <w:sz w:val="24"/>
          <w:szCs w:val="24"/>
        </w:rPr>
      </w:pPr>
      <w:r>
        <w:rPr>
          <w:rFonts w:hint="eastAsia" w:ascii="黑体" w:hAnsi="黑体" w:eastAsia="黑体" w:cs="黑体"/>
          <w:b w:val="0"/>
          <w:bCs/>
          <w:sz w:val="24"/>
          <w:szCs w:val="24"/>
        </w:rPr>
        <w:t>第四阶段：</w:t>
      </w:r>
      <w:r>
        <w:rPr>
          <w:rFonts w:hint="eastAsia" w:ascii="黑体" w:hAnsi="黑体" w:eastAsia="黑体" w:cs="黑体"/>
          <w:b w:val="0"/>
          <w:bCs/>
          <w:sz w:val="24"/>
          <w:szCs w:val="24"/>
          <w:lang w:val="en-US" w:eastAsia="zh-CN"/>
        </w:rPr>
        <w:t>征求意见</w:t>
      </w:r>
      <w:r>
        <w:rPr>
          <w:rFonts w:hint="eastAsia" w:ascii="黑体" w:hAnsi="黑体" w:eastAsia="黑体" w:cs="黑体"/>
          <w:b w:val="0"/>
          <w:bCs/>
          <w:sz w:val="24"/>
          <w:szCs w:val="24"/>
        </w:rPr>
        <w:t>阶段</w:t>
      </w:r>
    </w:p>
    <w:p w14:paraId="0D61C055">
      <w:pPr>
        <w:keepNext w:val="0"/>
        <w:keepLines w:val="0"/>
        <w:pageBreakBefore w:val="0"/>
        <w:kinsoku/>
        <w:wordWrap/>
        <w:overflowPunct/>
        <w:topLinePunct w:val="0"/>
        <w:bidi w:val="0"/>
        <w:adjustRightInd/>
        <w:snapToGrid/>
        <w:spacing w:beforeAutospacing="0" w:line="360" w:lineRule="auto"/>
        <w:ind w:firstLine="480" w:firstLineChars="200"/>
        <w:textAlignment w:val="auto"/>
        <w:rPr>
          <w:rFonts w:hint="eastAsia" w:ascii="黑体" w:hAnsi="黑体" w:eastAsia="黑体" w:cs="黑体"/>
          <w:b w:val="0"/>
          <w:bCs/>
          <w:sz w:val="24"/>
          <w:szCs w:val="24"/>
        </w:rPr>
      </w:pPr>
      <w:r>
        <w:rPr>
          <w:rFonts w:hint="eastAsia" w:ascii="黑体" w:hAnsi="黑体" w:eastAsia="黑体" w:cs="黑体"/>
          <w:b w:val="0"/>
          <w:bCs/>
          <w:sz w:val="24"/>
          <w:szCs w:val="24"/>
        </w:rPr>
        <w:t>第</w:t>
      </w:r>
      <w:r>
        <w:rPr>
          <w:rFonts w:hint="eastAsia" w:ascii="黑体" w:hAnsi="黑体" w:eastAsia="黑体" w:cs="黑体"/>
          <w:b w:val="0"/>
          <w:bCs/>
          <w:sz w:val="24"/>
          <w:szCs w:val="24"/>
          <w:lang w:val="en-US" w:eastAsia="zh-CN"/>
        </w:rPr>
        <w:t>五</w:t>
      </w:r>
      <w:r>
        <w:rPr>
          <w:rFonts w:hint="eastAsia" w:ascii="黑体" w:hAnsi="黑体" w:eastAsia="黑体" w:cs="黑体"/>
          <w:b w:val="0"/>
          <w:bCs/>
          <w:sz w:val="24"/>
          <w:szCs w:val="24"/>
        </w:rPr>
        <w:t>阶段：</w:t>
      </w:r>
      <w:r>
        <w:rPr>
          <w:rFonts w:hint="eastAsia" w:ascii="黑体" w:hAnsi="黑体" w:eastAsia="黑体" w:cs="黑体"/>
          <w:b w:val="0"/>
          <w:bCs/>
          <w:sz w:val="24"/>
          <w:szCs w:val="24"/>
          <w:lang w:val="en-US" w:eastAsia="zh-CN"/>
        </w:rPr>
        <w:t>审查</w:t>
      </w:r>
      <w:r>
        <w:rPr>
          <w:rFonts w:hint="eastAsia" w:ascii="黑体" w:hAnsi="黑体" w:eastAsia="黑体" w:cs="黑体"/>
          <w:b w:val="0"/>
          <w:bCs/>
          <w:sz w:val="24"/>
          <w:szCs w:val="24"/>
        </w:rPr>
        <w:t>阶段</w:t>
      </w:r>
    </w:p>
    <w:p w14:paraId="4E47CEDB">
      <w:pPr>
        <w:pStyle w:val="28"/>
        <w:keepNext w:val="0"/>
        <w:keepLines w:val="0"/>
        <w:pageBreakBefore w:val="0"/>
        <w:widowControl/>
        <w:kinsoku/>
        <w:wordWrap/>
        <w:overflowPunct/>
        <w:topLinePunct w:val="0"/>
        <w:autoSpaceDE w:val="0"/>
        <w:autoSpaceDN w:val="0"/>
        <w:bidi w:val="0"/>
        <w:adjustRightInd/>
        <w:snapToGrid/>
        <w:spacing w:line="240" w:lineRule="auto"/>
        <w:ind w:left="0" w:leftChars="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p>
    <w:p w14:paraId="18F698DA">
      <w:pPr>
        <w:pStyle w:val="30"/>
        <w:bidi w:val="0"/>
        <w:rPr>
          <w:rFonts w:hint="default"/>
          <w:lang w:val="en-US" w:eastAsia="zh-CN"/>
        </w:rPr>
      </w:pPr>
      <w:bookmarkStart w:id="6" w:name="_Toc17395"/>
      <w:bookmarkStart w:id="7" w:name="_Toc15982"/>
      <w:bookmarkStart w:id="8" w:name="OLE_LINK3"/>
      <w:r>
        <w:rPr>
          <w:rFonts w:hint="eastAsia"/>
        </w:rPr>
        <w:t>标准编制原则</w:t>
      </w:r>
      <w:bookmarkEnd w:id="6"/>
      <w:bookmarkEnd w:id="7"/>
    </w:p>
    <w:bookmarkEnd w:id="8"/>
    <w:p w14:paraId="6F33C1BE">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本文件按照《GB/T 1.1-2020 标准化工作导则 第1部分：标准化文件的结构和起草规则》的规定起草，编制过程中严格遵循目的性、科学性、适用性和协调性四大原则。</w:t>
      </w:r>
    </w:p>
    <w:p w14:paraId="7840E8BE">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1）目的性原则：以促进有色金属行业低碳企业评价工作规范化、标准化为核心目的，对低碳企业评价指标体系、评价方法、评价程序、评价报告等核心内容进行统一规划和指导，为企业低碳转型提供明确指引，为政策激励、市场监管提供权威依据。</w:t>
      </w:r>
    </w:p>
    <w:p w14:paraId="60EA9526">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2）科学性原则：通过系统收集国内外相关文献、行业数据，深入研究有色金属行业生产工艺特点和低碳发展规律，结合国家“双碳”政策导向和国际绿色贸易规则，借鉴钢铁等相关行业低碳评价标准的编制经验，确保评价指标科学合理、评价方法可量化、可验证，评价结果客观公正。</w:t>
      </w:r>
    </w:p>
    <w:p w14:paraId="67F206A1">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3）适用性原则：充分考虑我国有色金属行业品种多、工艺差异大、企业规模不均衡（大型骨干企业与中小企业并存）的特点，兼顾采选、冶炼、加工等全产业链环节，按同类型生产企业分类制定评价实施细则，设置差异化评价要求，确保标准在不同类型、不同规模企业中均具有可操作性和适用性，便于企业落地实施和推广应用。</w:t>
      </w:r>
    </w:p>
    <w:p w14:paraId="239EDF10">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4）协调性原则：本文件与现行国家法律、法规、政策及相关国家标准、行业标准协调一致，无相悖之处；重点衔接碳排放核算、能源消耗、资源循环、绿色制造等相关标准，避免重复交叉，形成上下衔接、协同配套的有色金属行业低碳标准体系。</w:t>
      </w:r>
    </w:p>
    <w:p w14:paraId="4147EAD2">
      <w:pPr>
        <w:pStyle w:val="30"/>
        <w:bidi w:val="0"/>
        <w:rPr>
          <w:rFonts w:hint="default"/>
          <w:lang w:val="en-US" w:eastAsia="zh-CN"/>
        </w:rPr>
      </w:pPr>
      <w:bookmarkStart w:id="9" w:name="_Toc23238"/>
      <w:bookmarkStart w:id="10" w:name="_Toc16631"/>
      <w:r>
        <w:rPr>
          <w:rFonts w:hint="eastAsia"/>
        </w:rPr>
        <w:t>主要内容</w:t>
      </w:r>
      <w:r>
        <w:rPr>
          <w:rFonts w:hint="eastAsia"/>
          <w:lang w:val="en-US" w:eastAsia="zh-CN"/>
        </w:rPr>
        <w:t>及其确认依据</w:t>
      </w:r>
      <w:bookmarkEnd w:id="9"/>
      <w:bookmarkEnd w:id="10"/>
    </w:p>
    <w:p w14:paraId="1D11DF6D">
      <w:pPr>
        <w:pStyle w:val="9"/>
        <w:keepNext w:val="0"/>
        <w:keepLines w:val="0"/>
        <w:pageBreakBefore w:val="0"/>
        <w:widowControl w:val="0"/>
        <w:tabs>
          <w:tab w:val="right" w:leader="dot" w:pos="9174"/>
        </w:tabs>
        <w:kinsoku/>
        <w:wordWrap/>
        <w:overflowPunct/>
        <w:topLinePunct w:val="0"/>
        <w:autoSpaceDE/>
        <w:autoSpaceDN/>
        <w:bidi w:val="0"/>
        <w:adjustRightInd/>
        <w:snapToGrid/>
        <w:spacing w:before="157" w:beforeLines="50" w:after="157" w:afterLines="50" w:line="240" w:lineRule="auto"/>
        <w:ind w:left="0" w:leftChars="0"/>
        <w:jc w:val="left"/>
        <w:textAlignment w:val="auto"/>
        <w:rPr>
          <w:rFonts w:hint="eastAsia" w:ascii="黑体" w:hAnsi="黑体" w:eastAsia="黑体" w:cs="黑体"/>
          <w:b w:val="0"/>
          <w:bCs w:val="0"/>
          <w:color w:val="auto"/>
          <w:kern w:val="2"/>
          <w:sz w:val="24"/>
          <w:szCs w:val="24"/>
          <w:lang w:val="en-US" w:eastAsia="zh-CN"/>
        </w:rPr>
      </w:pPr>
      <w:bookmarkStart w:id="11" w:name="_Toc8979"/>
      <w:r>
        <w:rPr>
          <w:rFonts w:hint="eastAsia" w:ascii="黑体" w:hAnsi="黑体" w:eastAsia="黑体" w:cs="黑体"/>
          <w:b w:val="0"/>
          <w:bCs w:val="0"/>
          <w:color w:val="auto"/>
          <w:kern w:val="2"/>
          <w:sz w:val="24"/>
          <w:szCs w:val="24"/>
          <w:lang w:val="en-US" w:eastAsia="zh-CN"/>
        </w:rPr>
        <w:t>（一）范围</w:t>
      </w:r>
    </w:p>
    <w:p w14:paraId="2266EC54">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本标准明确规定了有色金属行业低碳企业评价的评价总则、评价指标体系、评价方法、评价程序、评价报告编制等核心内容。该标准定义的评价对象为以独立法人企业或视同法人的有色金属行业企业，核算和评价处于有色金属企业运营控制权之下的所有生产场所、生产设施生产，涵盖采矿、冶炼、加工全产业链环节，包括直接生产系统、辅助生产系统和附属生产系统。范围一和范围二的排放必须全部纳入核算边界内。</w:t>
      </w:r>
    </w:p>
    <w:p w14:paraId="08C6572B">
      <w:pPr>
        <w:pStyle w:val="9"/>
        <w:keepNext w:val="0"/>
        <w:keepLines w:val="0"/>
        <w:pageBreakBefore w:val="0"/>
        <w:widowControl w:val="0"/>
        <w:tabs>
          <w:tab w:val="right" w:leader="dot" w:pos="9174"/>
        </w:tabs>
        <w:kinsoku/>
        <w:wordWrap/>
        <w:overflowPunct/>
        <w:topLinePunct w:val="0"/>
        <w:autoSpaceDE/>
        <w:autoSpaceDN/>
        <w:bidi w:val="0"/>
        <w:adjustRightInd/>
        <w:snapToGrid/>
        <w:spacing w:before="157" w:beforeLines="50" w:after="157" w:afterLines="50" w:line="240" w:lineRule="auto"/>
        <w:ind w:left="0" w:leftChars="0"/>
        <w:jc w:val="left"/>
        <w:textAlignment w:val="auto"/>
        <w:rPr>
          <w:rFonts w:hint="eastAsia" w:ascii="黑体" w:hAnsi="黑体" w:eastAsia="黑体" w:cs="黑体"/>
          <w:b w:val="0"/>
          <w:bCs w:val="0"/>
          <w:color w:val="auto"/>
          <w:kern w:val="2"/>
          <w:sz w:val="24"/>
          <w:szCs w:val="24"/>
          <w:lang w:val="en-US" w:eastAsia="zh-CN"/>
        </w:rPr>
      </w:pPr>
      <w:r>
        <w:rPr>
          <w:rFonts w:hint="eastAsia" w:ascii="黑体" w:hAnsi="黑体" w:eastAsia="黑体" w:cs="黑体"/>
          <w:b w:val="0"/>
          <w:bCs w:val="0"/>
          <w:color w:val="auto"/>
          <w:kern w:val="2"/>
          <w:sz w:val="24"/>
          <w:szCs w:val="24"/>
          <w:lang w:val="en-US" w:eastAsia="zh-CN"/>
        </w:rPr>
        <w:t>（二）规范性引用文件</w:t>
      </w:r>
    </w:p>
    <w:p w14:paraId="5DA007CD">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给出了本文件引用的相关标准、文件名称及文号，明确凡不注日期的引用文件，其有效版本适用于本文件。引用文件涵盖能源计量、能源消耗限额、温室气体排放核算、管理体系等多个领域，为标准各项技术要求提供支撑。</w:t>
      </w:r>
    </w:p>
    <w:p w14:paraId="797E94D6">
      <w:pPr>
        <w:ind w:left="0" w:leftChars="0" w:firstLine="420" w:firstLineChars="200"/>
        <w:rPr>
          <w:rFonts w:hint="default" w:ascii="宋体" w:hAnsi="宋体" w:eastAsia="宋体" w:cs="宋体"/>
          <w:i w:val="0"/>
          <w:iCs w:val="0"/>
          <w:caps w:val="0"/>
          <w:color w:val="auto"/>
          <w:spacing w:val="0"/>
          <w:sz w:val="21"/>
          <w:szCs w:val="21"/>
          <w:shd w:val="clear"/>
          <w:lang w:val="en-US" w:eastAsia="zh-CN"/>
        </w:rPr>
      </w:pPr>
      <w:r>
        <w:rPr>
          <w:rFonts w:hint="default" w:ascii="宋体" w:hAnsi="宋体" w:eastAsia="宋体" w:cs="宋体"/>
          <w:i w:val="0"/>
          <w:iCs w:val="0"/>
          <w:caps w:val="0"/>
          <w:color w:val="auto"/>
          <w:spacing w:val="0"/>
          <w:sz w:val="21"/>
          <w:szCs w:val="21"/>
          <w:shd w:val="clear"/>
          <w:lang w:val="en-US" w:eastAsia="zh-CN"/>
        </w:rPr>
        <w:t>GB 17166</w:t>
      </w:r>
      <w:r>
        <w:rPr>
          <w:rFonts w:hint="eastAsia" w:ascii="宋体" w:hAnsi="宋体" w:eastAsia="宋体" w:cs="宋体"/>
          <w:i w:val="0"/>
          <w:iCs w:val="0"/>
          <w:caps w:val="0"/>
          <w:color w:val="auto"/>
          <w:spacing w:val="0"/>
          <w:sz w:val="21"/>
          <w:szCs w:val="21"/>
          <w:shd w:val="clear"/>
          <w:lang w:val="en-US" w:eastAsia="zh-CN"/>
        </w:rPr>
        <w:t xml:space="preserve">  </w:t>
      </w:r>
      <w:r>
        <w:rPr>
          <w:rFonts w:hint="default" w:ascii="宋体" w:hAnsi="宋体" w:eastAsia="宋体" w:cs="宋体"/>
          <w:i w:val="0"/>
          <w:iCs w:val="0"/>
          <w:caps w:val="0"/>
          <w:color w:val="auto"/>
          <w:spacing w:val="0"/>
          <w:sz w:val="21"/>
          <w:szCs w:val="21"/>
          <w:shd w:val="clear"/>
          <w:lang w:val="en-US" w:eastAsia="zh-CN"/>
        </w:rPr>
        <w:t>用能单位能源计量器具配备和管理通则</w:t>
      </w:r>
    </w:p>
    <w:p w14:paraId="0B617FF1">
      <w:pPr>
        <w:ind w:left="0" w:leftChars="0" w:firstLine="420" w:firstLineChars="200"/>
        <w:rPr>
          <w:rFonts w:hint="default" w:ascii="宋体" w:hAnsi="宋体" w:eastAsia="宋体" w:cs="宋体"/>
          <w:i w:val="0"/>
          <w:iCs w:val="0"/>
          <w:caps w:val="0"/>
          <w:color w:val="auto"/>
          <w:spacing w:val="0"/>
          <w:sz w:val="21"/>
          <w:szCs w:val="21"/>
          <w:shd w:val="clear"/>
          <w:lang w:val="en-US" w:eastAsia="zh-CN"/>
        </w:rPr>
      </w:pPr>
      <w:r>
        <w:rPr>
          <w:rFonts w:hint="default" w:ascii="宋体" w:hAnsi="宋体" w:eastAsia="宋体" w:cs="宋体"/>
          <w:i w:val="0"/>
          <w:iCs w:val="0"/>
          <w:caps w:val="0"/>
          <w:color w:val="auto"/>
          <w:spacing w:val="0"/>
          <w:sz w:val="21"/>
          <w:szCs w:val="21"/>
          <w:shd w:val="clear"/>
          <w:lang w:val="en-US" w:eastAsia="zh-CN"/>
        </w:rPr>
        <w:t>GB 21346</w:t>
      </w:r>
      <w:r>
        <w:rPr>
          <w:rFonts w:hint="eastAsia" w:ascii="宋体" w:hAnsi="宋体" w:eastAsia="宋体" w:cs="宋体"/>
          <w:i w:val="0"/>
          <w:iCs w:val="0"/>
          <w:caps w:val="0"/>
          <w:color w:val="auto"/>
          <w:spacing w:val="0"/>
          <w:sz w:val="21"/>
          <w:szCs w:val="21"/>
          <w:shd w:val="clear"/>
          <w:lang w:val="en-US" w:eastAsia="zh-CN"/>
        </w:rPr>
        <w:t xml:space="preserve">  电解铝和氧化铝单位产品能源消耗限额</w:t>
      </w:r>
    </w:p>
    <w:p w14:paraId="69E125F2">
      <w:pPr>
        <w:ind w:left="0" w:leftChars="0" w:firstLine="420" w:firstLineChars="200"/>
        <w:rPr>
          <w:rFonts w:hint="default" w:ascii="宋体" w:hAnsi="宋体" w:eastAsia="宋体" w:cs="宋体"/>
          <w:i w:val="0"/>
          <w:iCs w:val="0"/>
          <w:caps w:val="0"/>
          <w:color w:val="auto"/>
          <w:spacing w:val="0"/>
          <w:sz w:val="21"/>
          <w:szCs w:val="21"/>
          <w:shd w:val="clear"/>
          <w:lang w:val="en-US" w:eastAsia="zh-CN"/>
        </w:rPr>
      </w:pPr>
      <w:r>
        <w:rPr>
          <w:rFonts w:hint="default" w:ascii="宋体" w:hAnsi="宋体" w:eastAsia="宋体" w:cs="宋体"/>
          <w:i w:val="0"/>
          <w:iCs w:val="0"/>
          <w:caps w:val="0"/>
          <w:color w:val="auto"/>
          <w:spacing w:val="0"/>
          <w:sz w:val="21"/>
          <w:szCs w:val="21"/>
          <w:shd w:val="clear"/>
          <w:lang w:val="en-US" w:eastAsia="zh-CN"/>
        </w:rPr>
        <w:t>GB 21351</w:t>
      </w:r>
      <w:r>
        <w:rPr>
          <w:rFonts w:hint="eastAsia" w:ascii="宋体" w:hAnsi="宋体" w:eastAsia="宋体" w:cs="宋体"/>
          <w:i w:val="0"/>
          <w:iCs w:val="0"/>
          <w:caps w:val="0"/>
          <w:color w:val="auto"/>
          <w:spacing w:val="0"/>
          <w:sz w:val="21"/>
          <w:szCs w:val="21"/>
          <w:shd w:val="clear"/>
          <w:lang w:val="en-US" w:eastAsia="zh-CN"/>
        </w:rPr>
        <w:t xml:space="preserve">  变形铝及铝合金单位产品能源消耗限额</w:t>
      </w:r>
    </w:p>
    <w:p w14:paraId="5E68F941">
      <w:pPr>
        <w:ind w:left="0" w:leftChars="0" w:firstLine="420" w:firstLineChars="200"/>
        <w:rPr>
          <w:rFonts w:hint="default" w:ascii="宋体" w:hAnsi="宋体" w:eastAsia="宋体" w:cs="宋体"/>
          <w:i w:val="0"/>
          <w:iCs w:val="0"/>
          <w:caps w:val="0"/>
          <w:color w:val="auto"/>
          <w:spacing w:val="0"/>
          <w:sz w:val="21"/>
          <w:szCs w:val="21"/>
          <w:shd w:val="clear"/>
          <w:lang w:val="en-US" w:eastAsia="zh-CN"/>
        </w:rPr>
      </w:pPr>
      <w:r>
        <w:rPr>
          <w:rFonts w:hint="default" w:ascii="宋体" w:hAnsi="宋体" w:eastAsia="宋体" w:cs="宋体"/>
          <w:i w:val="0"/>
          <w:iCs w:val="0"/>
          <w:caps w:val="0"/>
          <w:color w:val="auto"/>
          <w:spacing w:val="0"/>
          <w:sz w:val="21"/>
          <w:szCs w:val="21"/>
          <w:shd w:val="clear"/>
          <w:lang w:val="en-US" w:eastAsia="zh-CN"/>
        </w:rPr>
        <w:t>GB/T 23331</w:t>
      </w:r>
      <w:r>
        <w:rPr>
          <w:rFonts w:hint="eastAsia" w:ascii="宋体" w:hAnsi="宋体" w:eastAsia="宋体" w:cs="宋体"/>
          <w:i w:val="0"/>
          <w:iCs w:val="0"/>
          <w:caps w:val="0"/>
          <w:color w:val="auto"/>
          <w:spacing w:val="0"/>
          <w:sz w:val="21"/>
          <w:szCs w:val="21"/>
          <w:shd w:val="clear"/>
          <w:lang w:val="en-US" w:eastAsia="zh-CN"/>
        </w:rPr>
        <w:t xml:space="preserve">  </w:t>
      </w:r>
      <w:r>
        <w:rPr>
          <w:rFonts w:hint="default" w:ascii="宋体" w:hAnsi="宋体" w:eastAsia="宋体" w:cs="宋体"/>
          <w:i w:val="0"/>
          <w:iCs w:val="0"/>
          <w:caps w:val="0"/>
          <w:color w:val="auto"/>
          <w:spacing w:val="0"/>
          <w:sz w:val="21"/>
          <w:szCs w:val="21"/>
          <w:shd w:val="clear"/>
          <w:lang w:val="en-US" w:eastAsia="zh-CN"/>
        </w:rPr>
        <w:t>能源管理体系　要求及使用指南</w:t>
      </w:r>
    </w:p>
    <w:p w14:paraId="10B9DEEC">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default" w:ascii="宋体" w:hAnsi="宋体" w:eastAsia="宋体" w:cs="宋体"/>
          <w:i w:val="0"/>
          <w:iCs w:val="0"/>
          <w:caps w:val="0"/>
          <w:color w:val="auto"/>
          <w:spacing w:val="0"/>
          <w:sz w:val="21"/>
          <w:szCs w:val="21"/>
          <w:shd w:val="clear"/>
          <w:lang w:val="en-US" w:eastAsia="zh-CN"/>
        </w:rPr>
        <w:t>GB 25323</w:t>
      </w:r>
      <w:r>
        <w:rPr>
          <w:rFonts w:hint="eastAsia" w:ascii="宋体" w:hAnsi="宋体" w:eastAsia="宋体" w:cs="宋体"/>
          <w:i w:val="0"/>
          <w:iCs w:val="0"/>
          <w:caps w:val="0"/>
          <w:color w:val="auto"/>
          <w:spacing w:val="0"/>
          <w:sz w:val="21"/>
          <w:szCs w:val="21"/>
          <w:shd w:val="clear"/>
          <w:lang w:val="en-US" w:eastAsia="zh-CN"/>
        </w:rPr>
        <w:t xml:space="preserve">  有色金属冶炼企业单位产品能源消耗限额</w:t>
      </w:r>
    </w:p>
    <w:p w14:paraId="0C93F767">
      <w:pPr>
        <w:ind w:left="0" w:leftChars="0" w:firstLine="420" w:firstLineChars="200"/>
        <w:rPr>
          <w:rFonts w:hint="default" w:ascii="宋体" w:hAnsi="宋体" w:eastAsia="宋体" w:cs="宋体"/>
          <w:i w:val="0"/>
          <w:iCs w:val="0"/>
          <w:caps w:val="0"/>
          <w:color w:val="auto"/>
          <w:spacing w:val="0"/>
          <w:sz w:val="21"/>
          <w:szCs w:val="21"/>
          <w:shd w:val="clear"/>
          <w:lang w:val="en-US" w:eastAsia="zh-CN"/>
        </w:rPr>
      </w:pPr>
      <w:r>
        <w:rPr>
          <w:rFonts w:hint="default" w:ascii="宋体" w:hAnsi="宋体" w:eastAsia="宋体" w:cs="宋体"/>
          <w:i w:val="0"/>
          <w:iCs w:val="0"/>
          <w:caps w:val="0"/>
          <w:color w:val="auto"/>
          <w:spacing w:val="0"/>
          <w:sz w:val="21"/>
          <w:szCs w:val="21"/>
          <w:shd w:val="clear"/>
          <w:lang w:val="en-US" w:eastAsia="zh-CN"/>
        </w:rPr>
        <w:t>GB 32032</w:t>
      </w:r>
      <w:r>
        <w:rPr>
          <w:rFonts w:hint="eastAsia" w:ascii="宋体" w:hAnsi="宋体" w:eastAsia="宋体" w:cs="宋体"/>
          <w:i w:val="0"/>
          <w:iCs w:val="0"/>
          <w:caps w:val="0"/>
          <w:color w:val="auto"/>
          <w:spacing w:val="0"/>
          <w:sz w:val="21"/>
          <w:szCs w:val="21"/>
          <w:shd w:val="clear"/>
          <w:lang w:val="en-US" w:eastAsia="zh-CN"/>
        </w:rPr>
        <w:t xml:space="preserve">  金矿开采、选冶和金精炼单位产品能源消耗限额</w:t>
      </w:r>
    </w:p>
    <w:p w14:paraId="2D65A999">
      <w:pPr>
        <w:ind w:left="0" w:leftChars="0" w:firstLine="420" w:firstLineChars="200"/>
        <w:rPr>
          <w:rFonts w:hint="default" w:ascii="宋体" w:hAnsi="宋体" w:eastAsia="宋体" w:cs="宋体"/>
          <w:i w:val="0"/>
          <w:iCs w:val="0"/>
          <w:caps w:val="0"/>
          <w:color w:val="auto"/>
          <w:spacing w:val="0"/>
          <w:sz w:val="21"/>
          <w:szCs w:val="21"/>
          <w:shd w:val="clear"/>
          <w:lang w:val="en-US" w:eastAsia="zh-CN"/>
        </w:rPr>
      </w:pPr>
      <w:r>
        <w:rPr>
          <w:rFonts w:hint="default" w:ascii="宋体" w:hAnsi="宋体" w:eastAsia="宋体" w:cs="宋体"/>
          <w:i w:val="0"/>
          <w:iCs w:val="0"/>
          <w:caps w:val="0"/>
          <w:color w:val="auto"/>
          <w:spacing w:val="0"/>
          <w:sz w:val="21"/>
          <w:szCs w:val="21"/>
          <w:shd w:val="clear"/>
          <w:lang w:val="en-US" w:eastAsia="zh-CN"/>
        </w:rPr>
        <w:t>GB/T 32150</w:t>
      </w:r>
      <w:r>
        <w:rPr>
          <w:rFonts w:hint="eastAsia" w:ascii="宋体" w:hAnsi="宋体" w:eastAsia="宋体" w:cs="宋体"/>
          <w:i w:val="0"/>
          <w:iCs w:val="0"/>
          <w:caps w:val="0"/>
          <w:color w:val="auto"/>
          <w:spacing w:val="0"/>
          <w:sz w:val="21"/>
          <w:szCs w:val="21"/>
          <w:shd w:val="clear"/>
          <w:lang w:val="en-US" w:eastAsia="zh-CN"/>
        </w:rPr>
        <w:t xml:space="preserve">  </w:t>
      </w:r>
      <w:r>
        <w:rPr>
          <w:rFonts w:hint="default" w:ascii="宋体" w:hAnsi="宋体" w:eastAsia="宋体" w:cs="宋体"/>
          <w:i w:val="0"/>
          <w:iCs w:val="0"/>
          <w:caps w:val="0"/>
          <w:color w:val="auto"/>
          <w:spacing w:val="0"/>
          <w:sz w:val="21"/>
          <w:szCs w:val="21"/>
          <w:shd w:val="clear"/>
          <w:lang w:val="en-US" w:eastAsia="zh-CN"/>
        </w:rPr>
        <w:t>工业企业温室气体排放核算和报告通则</w:t>
      </w:r>
    </w:p>
    <w:p w14:paraId="61E9293D">
      <w:pPr>
        <w:ind w:left="0" w:leftChars="0" w:firstLine="420" w:firstLineChars="200"/>
        <w:rPr>
          <w:rFonts w:hint="default" w:ascii="宋体" w:hAnsi="宋体" w:eastAsia="宋体" w:cs="宋体"/>
          <w:i w:val="0"/>
          <w:iCs w:val="0"/>
          <w:caps w:val="0"/>
          <w:color w:val="auto"/>
          <w:spacing w:val="0"/>
          <w:sz w:val="21"/>
          <w:szCs w:val="21"/>
          <w:shd w:val="clear"/>
          <w:lang w:val="en-US" w:eastAsia="zh-CN"/>
        </w:rPr>
      </w:pPr>
      <w:r>
        <w:rPr>
          <w:rFonts w:hint="default" w:ascii="宋体" w:hAnsi="宋体" w:eastAsia="宋体" w:cs="宋体"/>
          <w:i w:val="0"/>
          <w:iCs w:val="0"/>
          <w:caps w:val="0"/>
          <w:color w:val="auto"/>
          <w:spacing w:val="0"/>
          <w:sz w:val="21"/>
          <w:szCs w:val="21"/>
          <w:shd w:val="clear"/>
          <w:lang w:val="en-US" w:eastAsia="zh-CN"/>
        </w:rPr>
        <w:t>GB/T 32151</w:t>
      </w:r>
      <w:r>
        <w:rPr>
          <w:rFonts w:hint="eastAsia" w:ascii="宋体" w:hAnsi="宋体" w:eastAsia="宋体" w:cs="宋体"/>
          <w:i w:val="0"/>
          <w:iCs w:val="0"/>
          <w:caps w:val="0"/>
          <w:color w:val="auto"/>
          <w:spacing w:val="0"/>
          <w:sz w:val="21"/>
          <w:szCs w:val="21"/>
          <w:shd w:val="clear"/>
          <w:lang w:val="en-US" w:eastAsia="zh-CN"/>
        </w:rPr>
        <w:t xml:space="preserve">  </w:t>
      </w:r>
      <w:r>
        <w:rPr>
          <w:rFonts w:hint="default" w:ascii="宋体" w:hAnsi="宋体" w:eastAsia="宋体" w:cs="宋体"/>
          <w:i w:val="0"/>
          <w:iCs w:val="0"/>
          <w:caps w:val="0"/>
          <w:color w:val="auto"/>
          <w:spacing w:val="0"/>
          <w:sz w:val="21"/>
          <w:szCs w:val="21"/>
          <w:shd w:val="clear"/>
          <w:lang w:val="en-US" w:eastAsia="zh-CN"/>
        </w:rPr>
        <w:t xml:space="preserve">温室气体排放核算与报告要求 </w:t>
      </w:r>
    </w:p>
    <w:p w14:paraId="49D0084B">
      <w:pPr>
        <w:pStyle w:val="9"/>
        <w:keepNext w:val="0"/>
        <w:keepLines w:val="0"/>
        <w:pageBreakBefore w:val="0"/>
        <w:widowControl w:val="0"/>
        <w:tabs>
          <w:tab w:val="right" w:leader="dot" w:pos="9174"/>
        </w:tabs>
        <w:kinsoku/>
        <w:wordWrap/>
        <w:overflowPunct/>
        <w:topLinePunct w:val="0"/>
        <w:autoSpaceDE/>
        <w:autoSpaceDN/>
        <w:bidi w:val="0"/>
        <w:adjustRightInd/>
        <w:snapToGrid/>
        <w:spacing w:before="157" w:beforeLines="50" w:after="157" w:afterLines="50" w:line="240" w:lineRule="auto"/>
        <w:ind w:left="0" w:leftChars="0"/>
        <w:jc w:val="left"/>
        <w:textAlignment w:val="auto"/>
        <w:rPr>
          <w:rFonts w:hint="eastAsia" w:ascii="黑体" w:hAnsi="黑体" w:eastAsia="黑体" w:cs="黑体"/>
          <w:b w:val="0"/>
          <w:bCs w:val="0"/>
          <w:color w:val="auto"/>
          <w:kern w:val="2"/>
          <w:sz w:val="24"/>
          <w:szCs w:val="24"/>
          <w:lang w:val="en-US" w:eastAsia="zh-CN"/>
        </w:rPr>
      </w:pPr>
      <w:r>
        <w:rPr>
          <w:rFonts w:hint="eastAsia" w:ascii="黑体" w:hAnsi="黑体" w:eastAsia="黑体" w:cs="黑体"/>
          <w:b w:val="0"/>
          <w:bCs w:val="0"/>
          <w:color w:val="auto"/>
          <w:kern w:val="2"/>
          <w:sz w:val="24"/>
          <w:szCs w:val="24"/>
          <w:lang w:val="en-US" w:eastAsia="zh-CN"/>
        </w:rPr>
        <w:t>（三）术语和定义</w:t>
      </w:r>
    </w:p>
    <w:p w14:paraId="4E744F7F">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在充分考虑本文件适用范围以及参考其他相关标准定义的基础上，给出本文件的术语和定义。参考国家现行相关标准，对低碳、低碳企业、评价指标体系、碳排放强度、评价报告期等关键性术语作相关定义，使标准的使用者更为便捷地获取其含义。</w:t>
      </w:r>
    </w:p>
    <w:p w14:paraId="3B467456">
      <w:pPr>
        <w:pStyle w:val="9"/>
        <w:keepNext w:val="0"/>
        <w:keepLines w:val="0"/>
        <w:pageBreakBefore w:val="0"/>
        <w:widowControl w:val="0"/>
        <w:tabs>
          <w:tab w:val="right" w:leader="dot" w:pos="9174"/>
        </w:tabs>
        <w:kinsoku/>
        <w:wordWrap/>
        <w:overflowPunct/>
        <w:topLinePunct w:val="0"/>
        <w:autoSpaceDE/>
        <w:autoSpaceDN/>
        <w:bidi w:val="0"/>
        <w:adjustRightInd/>
        <w:snapToGrid/>
        <w:spacing w:before="157" w:beforeLines="50" w:after="157" w:afterLines="50" w:line="240" w:lineRule="auto"/>
        <w:ind w:left="0" w:leftChars="0"/>
        <w:jc w:val="left"/>
        <w:textAlignment w:val="auto"/>
        <w:rPr>
          <w:rFonts w:hint="eastAsia" w:ascii="黑体" w:hAnsi="黑体" w:eastAsia="黑体" w:cs="黑体"/>
          <w:b w:val="0"/>
          <w:bCs w:val="0"/>
          <w:color w:val="auto"/>
          <w:kern w:val="2"/>
          <w:sz w:val="24"/>
          <w:szCs w:val="24"/>
          <w:lang w:val="en-US" w:eastAsia="zh-CN"/>
        </w:rPr>
      </w:pPr>
      <w:r>
        <w:rPr>
          <w:rFonts w:hint="eastAsia" w:ascii="黑体" w:hAnsi="黑体" w:eastAsia="黑体" w:cs="黑体"/>
          <w:b w:val="0"/>
          <w:bCs w:val="0"/>
          <w:color w:val="auto"/>
          <w:kern w:val="2"/>
          <w:sz w:val="24"/>
          <w:szCs w:val="24"/>
          <w:lang w:val="en-US" w:eastAsia="zh-CN"/>
        </w:rPr>
        <w:t>（四）评价指标体系</w:t>
      </w:r>
    </w:p>
    <w:p w14:paraId="1BAF9C93">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为充分体现有色金属行业低碳企业评价结果的先进性，评价指标设计包含低碳管理、低碳技术、低碳绩效三个一级指标，涵盖 13 个二级指标，覆盖企业低碳发展全流程、各环节，各指标具体评价要求、分值权重及设置理由如下：</w:t>
      </w:r>
    </w:p>
    <w:p w14:paraId="76595BC2">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1. 低碳管理（一级指标，权重 30%）</w:t>
      </w:r>
    </w:p>
    <w:p w14:paraId="5A574D21">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核心围绕企业低碳发展的组织保障、顶层设计、制度建设和数字化支撑提出系统性要求，总权重 30%，对应总分 30 分，旨在强化企业低碳发展的基础管理能力，确保低碳工作有序、长效推进。</w:t>
      </w:r>
    </w:p>
    <w:p w14:paraId="3264048C">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（1）组织机构（二级指标，分值 6 分，权重 6/30）</w:t>
      </w:r>
    </w:p>
    <w:p w14:paraId="2B721C68">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具体评价要求：企业宜建立健全碳排放管理机构，设立碳管理部门和专职岗位，并确保碳排放管理工作权责清晰。</w:t>
      </w:r>
    </w:p>
    <w:p w14:paraId="0143F169">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设置理由：组织机构是低碳管理的前提保障，有色金属行业企业规模大、产业链长，需专人专岗统筹协调低碳工作，避免 “无人管、责任散” 的问题。6 分的分值既突出组织保障的重要性，又不夸大其在整体管理中的占比，与实际工作优先级匹配。</w:t>
      </w:r>
    </w:p>
    <w:p w14:paraId="21B3CF82">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（2）低碳规划（二级指标，分值 6 分，权重 6/30）</w:t>
      </w:r>
    </w:p>
    <w:p w14:paraId="3F03D174">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具体评价要求：企业宜制定低碳发展的中长期规划、年度目标和行动方案，方案中需包含项目实施清单、时间计划和资金投入举措等具体内容，明确低碳发展路径和实施步骤。</w:t>
      </w:r>
    </w:p>
    <w:p w14:paraId="4D17441A">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设置理由：低碳规划是企业低碳发展的 “路线图”，有色金属行业低碳转型涉及工艺改造、技术升级等长期投入，需顶层设计引领。6 分的分值与组织机构持平，强调 “有组织、有规划” 的协同性，避免企业盲目开展低碳工作。</w:t>
      </w:r>
    </w:p>
    <w:p w14:paraId="15CBF0BA">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（3）管理体系（二级指标，分值 8 分，权重 8/30）</w:t>
      </w:r>
    </w:p>
    <w:p w14:paraId="6A6E8815">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具体评价要求：企业建立完善的低碳管理相关体系，一是宜建立完善的低碳管理制度，落实低碳管理目标和管理责任，制定低碳绩效考核办法；二是应按照 GB 17166、GB/T 20902 要求开展能源计量与审计，并严格按照能源审计整改措施进行改进；三是应按照 GB/T 23331 建立能源管理体系；四是应按照 GB/T 32150、GB/T 32151 和适用的文件要求对碳排放数据进行核算，并配合主管部门完成碳排放核查工作；五是应按照 GB/T 45001 及《中华人民共和国职业病防治法》等要求建立健全职业健康安全管理制度；六是应按照 GB/T 19001 及相关行业质量规范建立完善的质量管理体系；七是宜制定适宜、有效、覆盖完整的碳排放监测计划，定期对监测结果进行分析与评价；八是宜以报告、网络平台等多种形式定期披露企业碳排放相关信息。</w:t>
      </w:r>
    </w:p>
    <w:p w14:paraId="3816375A">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设置理由：管理体系是低碳工作落地的核心支撑，涵盖制度、能源、碳排放、安全、质量等多维度，直接影响低碳管理的规范性和有效性。8 分的分值为低碳管理类指标最高，体现 “制度先行、体系保障” 的导向，契合有色金属行业多环节、高要求的管理特点。</w:t>
      </w:r>
    </w:p>
    <w:p w14:paraId="370B6265">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（4）管理信息化（二级指标，分值 10 分，权重 10/30）</w:t>
      </w:r>
    </w:p>
    <w:p w14:paraId="3F5E06A2">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具体评价要求：企业宜建立碳排放信息管理平台，该平台宜具备碳排放核算、碳交易及履约、碳资产管理、碳排放报告、产品碳足迹标签生成等功能，实现碳排放数据的数字化管控。</w:t>
      </w:r>
    </w:p>
    <w:p w14:paraId="5FCE3129">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设置理由：数字化是提升低碳管理效率的关键手段，有色金属行业碳排放数据量大、核算复杂，传统人工管理难以满足 “精准、高效、可追溯” 的要求。10 分的分值为低碳管理类指标最高，突出数字化转型对行业低碳发展的赋能作用，引导企业通过技术手段破解数据管理痛点。</w:t>
      </w:r>
    </w:p>
    <w:p w14:paraId="29A2AEEE">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2. 低碳技术（一级指标，权重 30%）</w:t>
      </w:r>
    </w:p>
    <w:p w14:paraId="33073067">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聚焦有色金属采矿、冶炼、加工全工序低碳技术应用与创新，从源头减碳、过程控碳、末端固碳及国际规则适配等方面提出要求，总权重 30%，对应总分 30 分，旨在引导企业以技术创新为核心，推动全流程节能降碳。</w:t>
      </w:r>
    </w:p>
    <w:p w14:paraId="5BF3A645">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（1）系统能效提升（二级指标，分值 6 分，权重 6/30）</w:t>
      </w:r>
    </w:p>
    <w:p w14:paraId="5D1A1AF0">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具体评价要求：聚焦企业全流程能源利用效率提升，要求企业通过对采矿、冶炼、加工全工序能源使用、回收、输送和转换过程的优化，加强全流程物质流和能源流的协同耦合；评价覆盖先进节能技术及装备应用、余热余能回收利用、采矿 - 冶炼 - 加工界面衔接优化、能源精细化管控、能源转换效率提升、节能技术改造推进情况等方面。</w:t>
      </w:r>
    </w:p>
    <w:p w14:paraId="38A1422F">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设置理由：能源消耗是有色金属行业碳排放的主要来源，能效提升是最直接、最经济的减碳路径。6 分的分值为低碳技术类指标最高，突出 “节能优先” 的行业减碳逻辑，引导企业聚焦全流程能效优化。</w:t>
      </w:r>
    </w:p>
    <w:p w14:paraId="4946CB62">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（2）资源循环利用（二级指标，分值 6 分，权重 6/30）</w:t>
      </w:r>
    </w:p>
    <w:p w14:paraId="60EBC9C6">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具体评价要求：聚焦全工序各类副产物、废弃物的高效利用，要求企业高效循环利用有色金属生产过程中产生的各类副产物和废弃物，结合绿色照明、工业固体废物综合利用等实现资源利用价值最大化；评价覆盖采矿废石、冶炼渣等固废资源回收利用，矿山废水、废酸等废液资源循环利用，冶炼副产烟气等气态资源资源化利用，绿色照明比重，废旧有色金属回收再利用水平，资源循环利用相关技术装备应用情况等方面。</w:t>
      </w:r>
    </w:p>
    <w:p w14:paraId="4670B598">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设置理由：有色金属行业具备资源循环利用的天然优势，固废、废液、气态资源的回收利用既能降低资源消耗，又能减少碳排放，符合 “循环经济” 发展理念。6 分的分值与系统能效提升持平，体现 “节能 + 循环” 双核心的技术减碳路径。</w:t>
      </w:r>
    </w:p>
    <w:p w14:paraId="6D868437">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（3）低碳工艺与技术迭代（二级指标，分值 5 分，权重 5/30）</w:t>
      </w:r>
    </w:p>
    <w:p w14:paraId="7F3A14C3">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具体评价要求：要求企业立足采矿、冶炼、加工全工序现有工艺及装备基础，通过调整优化原料结构、能源结构与工艺结构，创新行业特色制造工艺流程，从源头深度削减碳排放；评价覆盖原料结构优化、能源结构优化、工艺技术迭代、低碳关键装备国产化与智能化升级等方面，包括提高高品位矿比、扩大绿电消纳比例、推广有色金属短流程熔炼技术、应用智能选矿设备等具体要求。</w:t>
      </w:r>
    </w:p>
    <w:p w14:paraId="0E15D516">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设置理由：工艺迭代是源头减碳的关键，有色金属行业传统工艺碳排放强度较高，需通过原料、能源、工艺结构优化实现深度减碳。5 分的分值体现其在技术体系中的核心地位，同时兼顾技术迭代的长期性和复杂性，避免设置过高门槛。</w:t>
      </w:r>
    </w:p>
    <w:p w14:paraId="696539FC">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（4）碳捕集封存利用（二级指标，分值 3 分，权重 3/30）</w:t>
      </w:r>
    </w:p>
    <w:p w14:paraId="270F629F">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具体评价要求：聚焦碳排放末端治理，要求企业将碳从有色金属生产各排放源中捕集分离，并封存、固化或资源化利用，减少末端碳排放；评价覆盖二氧化碳的富集、分离和提取技术应用，有色金属生产流程中二氧化碳资源化循环利用，二氧化碳跨行业利用，碳封存、固化技术及装备应用，碳捕集封存利用相关技术研发与产业化推进情况等方面。</w:t>
      </w:r>
    </w:p>
    <w:p w14:paraId="61AE6191">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设置理由：碳捕集封存利用是行业深度减碳的重要补充技术，但目前在有色金属行业应用尚处于推广阶段，技术成熟度和经济性有待提升。3 分的分值为低碳技术类最低，既引导企业关注末端治理技术研发与应用，又充分考虑行业技术现状，避免脱离实际。</w:t>
      </w:r>
    </w:p>
    <w:p w14:paraId="4F0C033E">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（5）碳治理与合规管理（二级指标，分值 5 分，权重 5/30）</w:t>
      </w:r>
    </w:p>
    <w:p w14:paraId="41213AE9">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具体评价要求：要求企业建立与国际标准接轨的碳管理体系，确保生产运营活动符合国内外碳相关法规要求；评价重点考核企业碳管理体系的认证情况（如 ISO 14064、ISO 14067）、产品碳足迹核算与认证水平、供应链碳追溯能力及低碳供应链建设成效，要求企业制定分阶段碳中和目标并定期披露进展，同时评估企业对欧盟 CBAM 等国际规则的适配性。</w:t>
      </w:r>
    </w:p>
    <w:p w14:paraId="770EB2BF">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设置理由：随着全球碳规则趋严，出口型有色金属企业面临绿色贸易壁垒压力，碳治理与合规能力直接影响企业国际竞争力。5 分的分值突出 “合规适配” 的重要性，引导企业对接国际标准，规避贸易风险。</w:t>
      </w:r>
    </w:p>
    <w:p w14:paraId="3993C420">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（6）创新驱动与标准引领（二级指标，分值 5 分，权重 5/30）</w:t>
      </w:r>
    </w:p>
    <w:p w14:paraId="146E290E">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具体评价要求：要求企业以技术研发与标准制定为核心抓手，强化低碳技术创新突破，主导或深度参与行业标准体系建设；评价覆盖低碳技术研发投入强度，低碳相关专利申请与成果转化效率，参与国内、行业标准制定的活跃度，主导或深度参与国家标准、团体标准制定的情况，技术成果的行业引领与推广应用效果等方面。</w:t>
      </w:r>
    </w:p>
    <w:p w14:paraId="1726EDAA">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设置理由：技术创新是行业低碳转型的长效动力，标准引领能提升我国有色金属行业在全球低碳领域的话语权。5 分的分值与低碳工艺迭代、碳治理与合规管理持平，体现 “技术应用 + 创新引领” 的双轮驱动导向。</w:t>
      </w:r>
    </w:p>
    <w:p w14:paraId="212E9146">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3. 低碳绩效（一级指标，权重 40%）</w:t>
      </w:r>
    </w:p>
    <w:p w14:paraId="1D195A27">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作为企业低碳管理和技术应用的最终成果考核指标，明确量化管控要求，总权重 40%，对应总分 40 分，旨在强化 “重结果、重实效” 的评价导向，确保评价结果能真实反映企业低碳发展水平。</w:t>
      </w:r>
    </w:p>
    <w:p w14:paraId="4598F7B6">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（1）碳排放总量（二级指标，分值 5 分，权重 5/40）</w:t>
      </w:r>
    </w:p>
    <w:p w14:paraId="3C3D5E81">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具体评价要求：要求企业碳排放总量应符合政府和有色金属行业对企业的碳排放控制要求。</w:t>
      </w:r>
    </w:p>
    <w:p w14:paraId="464C95FC">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设置理由：碳排放总量控制是国家 “双碳” 战略的核心要求，有色金属行业作为碳排放重点领域，企业需严格落实总量管控责任。15 分的分值体现总量控制的强制性和重要性，确保企业在发展过程中不突破碳排放总量红线。</w:t>
      </w:r>
    </w:p>
    <w:p w14:paraId="770846E0">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（2）碳排放强度（二级指标，分值 25 分，权重 25/40）</w:t>
      </w:r>
    </w:p>
    <w:p w14:paraId="133293E0">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具体评价要求：碳排放强度宜根据企业产品碳排放强度行业排名进行分级评分：行业排名前 10% 的企业，本项指标评分为 20 分～25 分；排名前 10%～20% 的企业，评分为 15 分～20 分；排名前 20%～40% 的企业，评分为 0 分～15 分；排名后 60% 的企业，本项指标不予计分。如企业生产不止一种产品，其碳排放强度宜根据各产品碳排放量和对应产品产量加权核算确定；无统一行业对标基准的，宜逐步降低排放，并经评价达到行业先进水平。同时明确吨产品碳排放强度、工序单位产品碳排放强度的具体计算公式及各参数定义，吨产品碳排放强度为企业温室气体排放总量与产品产量的比值，工序单位产品碳排放强度为某工序温室气体排放总量与该工序产品产量的比值。</w:t>
      </w:r>
    </w:p>
    <w:p w14:paraId="0BD34DCC">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设置理由：碳排放强度是衡量企业单位产品减碳成效的核心量化指标，能精准反映企业低碳技术应用和管理优化的实际效果，且便于不同规模、不同产品结构的企业横向对比。15 分的分值与碳排放总量持平，体现 “总量 + 强度双控” 的国家政策导向，是评价低碳企业的核心指标。</w:t>
      </w:r>
    </w:p>
    <w:p w14:paraId="7DD5B640">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（3）能源消耗指标（二级指标，分值 10 分，权重 10/40）</w:t>
      </w:r>
    </w:p>
    <w:p w14:paraId="4EC5468B">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具体评价要求：企业能源消耗指标应优于其所属行业产品能耗限额标准（如 GB 21351、GB 25323、GB 32032 等）中 3 级指标的规定；新建、改扩建企业能源消耗指标应优于其所属行业产品能耗限额标准中 2 级指标的规定。低碳企业的工序能耗指标，满足 GB 21346、GB 21351、GB 25323、GB 32032 等相应能效标准 1 级指标要求的，本项指标给予满分；无对应国家能效标准的工序，宜参照对应工艺的行业最佳实践进行排名分级评分，排名靠前的企业按规定给予对应评分。</w:t>
      </w:r>
    </w:p>
    <w:p w14:paraId="4504B7EF">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设置理由：能源消耗与碳排放直接相关，能效达标是低碳企业的基础条件，且国家已出台明确的能耗限额标准，指标可量化、可验证。10 分的分值作为总量和强度指标的补充，确保企业低碳绩效的全面性，避免 “重碳轻能” 的片面性。</w:t>
      </w:r>
    </w:p>
    <w:p w14:paraId="0312AEB1">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（五）指标体系权重整体设置逻辑</w:t>
      </w:r>
    </w:p>
    <w:p w14:paraId="52454638">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权重分配核心原则：遵循 “结果导向为主、过程支撑为辅、技术创新为核” 的原则，低碳绩效权重 40%，突出减碳实效的核心地位；低碳管理和低碳技术各占 30%，兼顾管理基础和技术支撑的重要性，形成 “管理 - 技术 - 绩效” 相互支撑、层层递进的评价逻辑。</w:t>
      </w:r>
    </w:p>
    <w:p w14:paraId="0CED8CF5">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行业适配性考量：结合有色金属行业 “高能耗、高排放、长产业链、技术迭代慢” 的特点，在指标权重分配上，向能效提升、资源循环、总量与强度双控等核心环节倾斜，同时为碳捕集、数字化管理等新兴领域预留发展空间，既符合当前行业实际，又具有前瞻性。</w:t>
      </w:r>
    </w:p>
    <w:p w14:paraId="5A15E61B">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可操作性与引导性平衡：权重分配兼顾指标的可量化性和引导性，定量指标（如碳排放强度、能耗指标）对应的分值权重较高，定性指标（如组织机构、低碳规划）分值权重相对适中，既确保评价结果客观可比，又能引导企业在管理、技术、绩效等多维度全面提升。</w:t>
      </w:r>
    </w:p>
    <w:p w14:paraId="6EF28660">
      <w:pPr>
        <w:pStyle w:val="9"/>
        <w:keepNext w:val="0"/>
        <w:keepLines w:val="0"/>
        <w:pageBreakBefore w:val="0"/>
        <w:widowControl w:val="0"/>
        <w:tabs>
          <w:tab w:val="right" w:leader="dot" w:pos="9174"/>
        </w:tabs>
        <w:kinsoku/>
        <w:wordWrap/>
        <w:overflowPunct/>
        <w:topLinePunct w:val="0"/>
        <w:autoSpaceDE/>
        <w:autoSpaceDN/>
        <w:bidi w:val="0"/>
        <w:adjustRightInd/>
        <w:snapToGrid/>
        <w:spacing w:before="157" w:beforeLines="50" w:after="157" w:afterLines="50" w:line="240" w:lineRule="auto"/>
        <w:ind w:left="0" w:leftChars="0"/>
        <w:jc w:val="left"/>
        <w:textAlignment w:val="auto"/>
        <w:rPr>
          <w:rFonts w:hint="eastAsia" w:ascii="黑体" w:hAnsi="黑体" w:eastAsia="黑体" w:cs="黑体"/>
          <w:b w:val="0"/>
          <w:bCs w:val="0"/>
          <w:color w:val="auto"/>
          <w:kern w:val="2"/>
          <w:sz w:val="24"/>
          <w:szCs w:val="24"/>
          <w:lang w:val="en-US" w:eastAsia="zh-CN"/>
        </w:rPr>
      </w:pPr>
      <w:r>
        <w:rPr>
          <w:rFonts w:hint="eastAsia" w:ascii="黑体" w:hAnsi="黑体" w:eastAsia="黑体" w:cs="黑体"/>
          <w:b w:val="0"/>
          <w:bCs w:val="0"/>
          <w:color w:val="auto"/>
          <w:kern w:val="2"/>
          <w:sz w:val="24"/>
          <w:szCs w:val="24"/>
          <w:lang w:val="en-US" w:eastAsia="zh-CN"/>
        </w:rPr>
        <w:t>（六）评价方法</w:t>
      </w:r>
    </w:p>
    <w:p w14:paraId="2973D10D">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开展有色金属行业低碳企业的评价，应按同类型生产企业分类制定统一的评价实施细则，结合各类企业工艺流程及产品特点，明确评价指标具体评分标准、评分依据及权重，评价指标表格式见附录 A及附录 B。</w:t>
      </w:r>
    </w:p>
    <w:p w14:paraId="41277C64">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评价采用指标加权综合评分的方式，企业最终得分为各评价指标加权得分之和，总分设置为100分。权重分配体现行业减排优先级：碳效率与减排绩效提升、清洁能源与能效优化、低碳工艺与技术迭代、资源循环与闭环经济、碳治理与合规管理、创新驱动与标准引领。同时引入动态修正系数，包括中小企业规模系数、区域绿电系数，确保评价的公平性和适用性。为鼓励企业加大低碳创新技术的研发、示范及应用，可对相关指标设置加分项。</w:t>
      </w:r>
    </w:p>
    <w:p w14:paraId="6D59059D">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评价结果按综合得分划定，综合得分 80 分及以上的企业认定为低碳企业；60 分≤综合得分＜80 分为低碳改进型企业；综合得分＜60 分为非低碳企业。评价机构开展评价工作，应严格遵循本文件及配套的统一评价规范与实施细则，确保评价标准统一、过程规范，保障评价结果具有可比性和权威性。</w:t>
      </w:r>
    </w:p>
    <w:p w14:paraId="42AE96E8">
      <w:pPr>
        <w:pStyle w:val="9"/>
        <w:keepNext w:val="0"/>
        <w:keepLines w:val="0"/>
        <w:pageBreakBefore w:val="0"/>
        <w:widowControl w:val="0"/>
        <w:tabs>
          <w:tab w:val="right" w:leader="dot" w:pos="9174"/>
        </w:tabs>
        <w:kinsoku/>
        <w:wordWrap/>
        <w:overflowPunct/>
        <w:topLinePunct w:val="0"/>
        <w:autoSpaceDE/>
        <w:autoSpaceDN/>
        <w:bidi w:val="0"/>
        <w:adjustRightInd/>
        <w:snapToGrid/>
        <w:spacing w:before="157" w:beforeLines="50" w:after="157" w:afterLines="50" w:line="240" w:lineRule="auto"/>
        <w:ind w:left="0" w:leftChars="0"/>
        <w:jc w:val="left"/>
        <w:textAlignment w:val="auto"/>
        <w:rPr>
          <w:rFonts w:hint="eastAsia" w:ascii="黑体" w:hAnsi="黑体" w:eastAsia="黑体" w:cs="黑体"/>
          <w:b w:val="0"/>
          <w:bCs w:val="0"/>
          <w:color w:val="auto"/>
          <w:kern w:val="2"/>
          <w:sz w:val="24"/>
          <w:szCs w:val="24"/>
          <w:lang w:val="en-US" w:eastAsia="zh-CN"/>
        </w:rPr>
      </w:pPr>
      <w:r>
        <w:rPr>
          <w:rFonts w:hint="eastAsia" w:ascii="黑体" w:hAnsi="黑体" w:eastAsia="黑体" w:cs="黑体"/>
          <w:b w:val="0"/>
          <w:bCs w:val="0"/>
          <w:color w:val="auto"/>
          <w:kern w:val="2"/>
          <w:sz w:val="24"/>
          <w:szCs w:val="24"/>
          <w:lang w:val="en-US" w:eastAsia="zh-CN"/>
        </w:rPr>
        <w:t>（七）评价程序</w:t>
      </w:r>
    </w:p>
    <w:p w14:paraId="7C4F1E0D">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有色金属行业低碳企业评价应建立规范的工作流程，确保评价工作的客观性、公正性和可追溯性，主要包括评价启动、评价实施、评价报告编制3个核心环节：</w:t>
      </w:r>
    </w:p>
    <w:p w14:paraId="403605C4">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1）评价启动：企业完成自评后，委托具备资质的第三方评价机构开展低碳企业评价；明确第三方评价机构资质范围，具体包括：具有独立法人资格，经国家认证认可监督管理委员会（CNCA）批准，具备温室气体核查、低碳评价或认证相关业务范围；取得中国合格评定国家认可委员会（CNAS）相应领域认可；纳入工业和信息化主管部门绿色制造体系评价机构、生态环境主管部门碳核查机构或省级及以上绿色低碳服务机构名录；涉及能源与环境监测检测的，应具备检验检测机构资质认定（CMA）证书；配备满足评价工作需要的专业技术人员。成立低碳评价工作组，成员包括有色金属行业低碳领域专家，人数不少于3人，其中1人担任组长；编制评价工作计划，明确评价目的、评价准则、评价范围、评价活动日程安排等。</w:t>
      </w:r>
    </w:p>
    <w:p w14:paraId="7B21CD29">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2）评价实施：包括文件审核和现场评价两个步骤。文件审核阶段，工作组对企业提供的申报材料进行初步审核，评价其是否达到本文件规定的相关要求，识别现场评价需重点关注的内容；现场评价阶段，通过召开见面会、查阅材料、访谈相关人员、现场考察相关设施、召开评价总结会等方式，全面核查企业低碳管理、低碳技术应用、低碳绩效等情况，并与企业相关负责人沟通评价过程中发现的问题和提升建议。</w:t>
      </w:r>
    </w:p>
    <w:p w14:paraId="4AFC55E4">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（3）评价报告编制：工作组根据评价实施情况，编制评价报告，明确评价结论和改进建议，评价报告需符合本标准附录C规定的格式和内容，附相关证明材料，确保评价结果可追溯、可验证。</w:t>
      </w:r>
    </w:p>
    <w:p w14:paraId="014337DF">
      <w:pPr>
        <w:pStyle w:val="9"/>
        <w:keepNext w:val="0"/>
        <w:keepLines w:val="0"/>
        <w:pageBreakBefore w:val="0"/>
        <w:widowControl w:val="0"/>
        <w:tabs>
          <w:tab w:val="right" w:leader="dot" w:pos="9174"/>
        </w:tabs>
        <w:kinsoku/>
        <w:wordWrap/>
        <w:overflowPunct/>
        <w:topLinePunct w:val="0"/>
        <w:autoSpaceDE/>
        <w:autoSpaceDN/>
        <w:bidi w:val="0"/>
        <w:adjustRightInd/>
        <w:snapToGrid/>
        <w:spacing w:before="157" w:beforeLines="50" w:after="157" w:afterLines="50" w:line="240" w:lineRule="auto"/>
        <w:ind w:left="0" w:leftChars="0"/>
        <w:jc w:val="left"/>
        <w:textAlignment w:val="auto"/>
        <w:rPr>
          <w:rFonts w:hint="eastAsia" w:ascii="黑体" w:hAnsi="黑体" w:eastAsia="黑体" w:cs="黑体"/>
          <w:b w:val="0"/>
          <w:bCs w:val="0"/>
          <w:color w:val="auto"/>
          <w:kern w:val="2"/>
          <w:sz w:val="24"/>
          <w:szCs w:val="24"/>
          <w:lang w:val="en-US" w:eastAsia="zh-CN"/>
        </w:rPr>
      </w:pPr>
      <w:r>
        <w:rPr>
          <w:rFonts w:hint="eastAsia" w:ascii="黑体" w:hAnsi="黑体" w:eastAsia="黑体" w:cs="黑体"/>
          <w:b w:val="0"/>
          <w:bCs w:val="0"/>
          <w:color w:val="auto"/>
          <w:kern w:val="2"/>
          <w:sz w:val="24"/>
          <w:szCs w:val="24"/>
          <w:lang w:val="en-US" w:eastAsia="zh-CN"/>
        </w:rPr>
        <w:t>（八）标准预期的经济效益、社会效益和生态效益</w:t>
      </w:r>
    </w:p>
    <w:p w14:paraId="1C2F2148">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本标准的制定与实施，将通过规范有色金属行业低碳企业评价、引导企业系统化推进低碳转型，产生显著的经济效益、社会效益和生态效益，具体如下：</w:t>
      </w:r>
    </w:p>
    <w:p w14:paraId="79E5A804">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1、经济效益</w:t>
      </w:r>
    </w:p>
    <w:p w14:paraId="122880CC">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降低企业运营成本：标准聚焦系统能效提升、资源循环利用等核心技术指标，引导企业推广节能装备、回收余热余能、循环利用固废废液。例如，通过全工序能源数字化监控与动态调控，可降低企业综合能耗 5%-15%；冶炼渣、冶金尘泥等固废回收利用率提升至 90% 以上，既能减少原料采购成本，又能通过固废资源化产生额外收益，显著降低企业单位产品生产成本。</w:t>
      </w:r>
    </w:p>
    <w:p w14:paraId="20F66B97">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提升市场竞争力：标准强化碳治理与合规管理指标，引导企业对接 ISO 14064、ISO 14067 等国际标准，完成产品碳足迹核算与认证，适配欧盟 CBAM 等国际规则。这将帮助出口型企业规避绿色贸易壁垒，进入高端绿色供应链，提高产品附加值；同时，“低碳企业” 认证将成为企业差异化竞争优势，助力企业在政府采购、绿色金融等领域获得优先支持。</w:t>
      </w:r>
    </w:p>
    <w:p w14:paraId="2B309582">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获得政策与金融支持：达标企业可享受国家及地方针对低碳企业的税收优惠、财政补贴、绿色信贷贴息等政策红利；低碳转型带来的碳排放权结余，可通过碳交易市场变现，为企业增加额外现金流；此外，标准化的低碳管理与绩效数据，能降低企业与金融机构的信息不对称，助力企业获得更低成本的融资支持，缓解低碳技术改造的资金压力。</w:t>
      </w:r>
    </w:p>
    <w:p w14:paraId="30C94F46">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推动产业升级增效：标准引导企业加大低碳技术研发投入与成果转化，推动短流程熔炼、低能耗电解、智能选矿等先进技术的规模化应用，加速行业淘汰高耗能、高排放工艺装备。这将促进产业结构优化升级，提升行业整体生产效率与技术水平，增强我国有色金属行业在全球市场的话语权与竞争力。</w:t>
      </w:r>
    </w:p>
    <w:p w14:paraId="779AC4ED">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2、社会效益</w:t>
      </w:r>
    </w:p>
    <w:p w14:paraId="2D268A1D">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稳定产业链供应链安全：有色金属是新能源、高端装备制造、航空航天等战略领域的核心原材料，标准通过引导企业低碳转型，确保行业在 “双碳” 目标下持续健康发展，避免因碳排放超标导致的生产受限，保障关键原材料的稳定供应，支撑国民经济重点产业的发展。</w:t>
      </w:r>
    </w:p>
    <w:p w14:paraId="4866A270">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带动就业与技术扩散：低碳技术研发、低碳装备制造、第三方碳评价、碳资产管理等相关产业将伴随标准实施快速发展，创造大量新增就业岗位；同时，龙头企业的低碳技术成果与管理经验，将通过行业交流、标准推广等方式向中小企业扩散，带动全行业低碳能力提升，形成 “龙头引领、中小企业协同” 的低碳发展格局。</w:t>
      </w:r>
    </w:p>
    <w:p w14:paraId="5366568D">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增强行业社会认同感：标准推动企业加强碳排放信息披露，开展矿山生态修复、绿色供应链建设等工作，减少生产过程对环境的影响，改善行业 “高耗能、高污染” 的传统形象。这将提升公众对有色金属行业的社会认同感，促进企业与周边社区、环境的和谐共生，维护行业可持续发展的社会环境。</w:t>
      </w:r>
    </w:p>
    <w:p w14:paraId="69324BC9">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完善行业标准体系：本标准填补了有色金属行业低碳企业专项评价的标准空白，与碳排放核算、能源消耗限额、资源循环利用等现有标准衔接协同，构建起完整的行业低碳标准体系。这将为政府监管、市场评价提供统一依据，规范行业竞争秩序，引导行业从 “无序减排” 向 “有序转型” 转变。</w:t>
      </w:r>
    </w:p>
    <w:p w14:paraId="493BFB97">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3、生态效益</w:t>
      </w:r>
    </w:p>
    <w:p w14:paraId="0B8B7036">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显著减少温室气体排放：标准通过 “碳排放总量 + 强度双控” 指标，强制要求企业碳排放符合国家及地方控制要求，碳排放强度达到行业先进水平（相关标准 1 级要求）。预计全行业推广实施后，重点企业吨产品碳排放强度可降低 10%-20%，行业整体碳排放总量每年减少数千万吨二氧化碳当量，为国家 “双碳” 目标达成提供关键支撑，助力缓解全球气候变化压力。</w:t>
      </w:r>
    </w:p>
    <w:p w14:paraId="0208FD77">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降低污染物协同减排：有色金属生产过程中的能耗下降、工艺优化，将同步减少 SO₂、NOₓ、颗粒物等大气污染物排放；矿山废水、废酸、废油等废液的循环利用，可降低水体污染风险；固废资源化利用能减少填埋、堆放带来的土壤污染与生态破坏，实现 “减碳” 与 “减污” 协同增效，改善区域生态环境质量。</w:t>
      </w:r>
    </w:p>
    <w:p w14:paraId="431F0406">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节约资源与保护生态：标准引导企业提高高品位矿比、再生金属配比，推广废旧有色金属回收再利用，可减少原生矿产资源的开采强度，降低矿山开采对地表植被、地质结构的破坏；绿色照明、水资源循环利用等措施，能节约电力、水资源消耗，缓解资源供需矛盾；矿山生态修复相关要求，将推动企业对采矿区域进行植被恢复、水土保持，提升区域生态系统服务功能，促进生态环境可持续发展。</w:t>
      </w:r>
    </w:p>
    <w:p w14:paraId="08CEA638">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推动末端碳治理技术应用：标准将碳捕集封存利用（CCUS）作为重要评价指标，引导企业开展冶炼尾气 二氧化碳回收制化工产品、碳封存与固化等技术研发与产业化应用。这将加速 CCUS 技术在有色金属行业的成熟与推广，为行业深度脱碳提供技术支撑，助力实现 “近零碳” 甚至 “零碳” 发展目标，为全球工业领域深度脱碳提供中国方案。</w:t>
      </w:r>
    </w:p>
    <w:p w14:paraId="1D1EC6B9">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p>
    <w:bookmarkEnd w:id="11"/>
    <w:p w14:paraId="2C3F97AC">
      <w:pPr>
        <w:pStyle w:val="30"/>
        <w:bidi w:val="0"/>
        <w:rPr>
          <w:rFonts w:hint="eastAsia"/>
          <w:lang w:val="en-US" w:eastAsia="zh-CN"/>
        </w:rPr>
      </w:pPr>
      <w:bookmarkStart w:id="12" w:name="_Toc8775"/>
      <w:r>
        <w:rPr>
          <w:rFonts w:hint="eastAsia"/>
          <w:lang w:val="en-US" w:eastAsia="zh-CN"/>
        </w:rPr>
        <w:t>采用国际标准或国外先进标准的目的、意义和一致性程度；我国标准与被采用标准的主要差异及其原因；以及与国际、国外同类标准水平的对比情况</w:t>
      </w:r>
      <w:bookmarkEnd w:id="12"/>
    </w:p>
    <w:p w14:paraId="32944FA8">
      <w:pPr>
        <w:pStyle w:val="30"/>
        <w:bidi w:val="0"/>
        <w:rPr>
          <w:rFonts w:hint="eastAsia"/>
          <w:lang w:val="en-US" w:eastAsia="zh-CN"/>
        </w:rPr>
      </w:pPr>
      <w:bookmarkStart w:id="13" w:name="_Toc13387"/>
      <w:bookmarkStart w:id="14" w:name="_Toc1539"/>
      <w:r>
        <w:rPr>
          <w:rFonts w:hint="eastAsia"/>
          <w:lang w:val="en-US" w:eastAsia="zh-CN"/>
        </w:rPr>
        <w:t>与我国有关的现行法律、法规和相关强制性标准的关系</w:t>
      </w:r>
      <w:bookmarkEnd w:id="13"/>
      <w:bookmarkEnd w:id="14"/>
    </w:p>
    <w:p w14:paraId="75F598FF">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bookmarkStart w:id="15" w:name="OLE_LINK2"/>
      <w:bookmarkStart w:id="16" w:name="_Toc17270"/>
      <w:r>
        <w:rPr>
          <w:rFonts w:hint="eastAsia" w:ascii="宋体" w:hAnsi="宋体" w:eastAsia="宋体" w:cs="宋体"/>
          <w:i w:val="0"/>
          <w:iCs w:val="0"/>
          <w:caps w:val="0"/>
          <w:color w:val="auto"/>
          <w:spacing w:val="0"/>
          <w:sz w:val="21"/>
          <w:szCs w:val="21"/>
          <w:shd w:val="clear"/>
          <w:lang w:val="en-US" w:eastAsia="zh-CN"/>
        </w:rPr>
        <w:t>本标准属于有色金属行业碳达峰碳中和标准体系的核心专项标准，定位为评价类指南标准，填补了有色金属行业低碳企业评价领域的标准空白，与我国现行相关法律、法规、规章及相关强制性标准协调一致，无相悖之处，同时注重与钢铁、建材、矿山等行业低碳企业评价标准或计划相互协调，形成协同配套的工业领域低碳评价标准体系。</w:t>
      </w:r>
    </w:p>
    <w:p w14:paraId="1AA1FCDF">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（一）与现行法律、法规的关系</w:t>
      </w:r>
    </w:p>
    <w:p w14:paraId="2D9D678D">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本标准严格遵循《中华人民共和国环境保护法》《中华人民共和国节约能源法》《中华人民共和国安全生产法》《碳排放权交易管理暂行条例》等现行法律、法规要求，将相关法律、法规中关于环境保护、能源节约、碳排放控制、安全生产等方面的规定，转化为具体的评价指标和评价要求。例如，根据《中华人民共和国环境保护法》中关于污染物排放控制的要求，在评价指标体系中设置资源循环利用、废气废水治理相关内容；根据《碳排放权交易管理暂行条例》要求，明确企业碳排放核算、披露的相关评价要求，确保标准内容符合法律、法规的强制性规定，为法律、法规在有色金属行业的落地实施提供了具体的评价指引。</w:t>
      </w:r>
    </w:p>
    <w:p w14:paraId="33814ACD">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（二）与相关强制性标准的关系</w:t>
      </w:r>
    </w:p>
    <w:p w14:paraId="44B1E47C">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本标准充分衔接我国现行相关强制性标准，重点协调GB 17166《用能单位能源计量器具配备和管理通则》、GB 21346《电解铝和氧化铝单位产品能源消耗限额》、GB 21351《变形铝及铝合金单位产品能源消耗限额》、GB 25323《有色金属冶炼企业单位产品能源消耗限额》、GB/T 32150《工业企业温室气体排放核算和报告通则》等强制性标准及推荐性国家标准，明确评价指标的量化要求必须符合相关强制性标准的规定。例如，在低碳绩效指标中，明确企业能源消耗指标需符合GB 21346、GB 25323等强制性标准中1级指标的要求，碳排放核算需遵循GB/T 32150的相关规定，避免与现有强制性标准冲突，确保标准体系的协调性和统一性。</w:t>
      </w:r>
    </w:p>
    <w:p w14:paraId="7AA70C1D">
      <w:pPr>
        <w:pStyle w:val="30"/>
        <w:bidi w:val="0"/>
        <w:rPr>
          <w:rFonts w:hint="eastAsia"/>
          <w:lang w:val="en-US" w:eastAsia="zh-CN"/>
        </w:rPr>
      </w:pPr>
      <w:bookmarkStart w:id="17" w:name="_Toc24408"/>
      <w:r>
        <w:rPr>
          <w:rFonts w:hint="eastAsia"/>
          <w:lang w:val="en-US" w:eastAsia="zh-CN"/>
        </w:rPr>
        <w:t>与钢铁、建材、矿山等行业低碳企业评价标准或计划的协调关系</w:t>
      </w:r>
      <w:bookmarkEnd w:id="17"/>
    </w:p>
    <w:p w14:paraId="08B565DF">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为推动工业领域低碳转型协同推进，构建统一规范的工业低碳企业评价体系，本标准在编制过程中，对标GB/T 45004《钢铁行业低碳企业评价指南》、《冶金矿山行业低碳企业评价指南》（计划号：20243824-T-605） 通用要求，实现 “框架统一、指标衔接、要求适配、体系配套”，具体体现在以下四个方面：</w:t>
      </w:r>
    </w:p>
    <w:p w14:paraId="28138377">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1. 评价框架完全协同一致</w:t>
      </w:r>
    </w:p>
    <w:p w14:paraId="329772B8">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本标准核心框架与工业领域低碳企业评价系列标准保持统一，对标 GB/T 45004、《冶金矿山行业低碳企业评价指南》的编制逻辑。</w:t>
      </w:r>
    </w:p>
    <w:p w14:paraId="0EF7CC36">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在评价原则上，与上述标准统一采用 “科学合理、独立公正、可量化、可验证” 四项基本原则，确保评价工作的底层逻辑一致；</w:t>
      </w:r>
    </w:p>
    <w:p w14:paraId="2DD82194">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在评价流程上，统一遵循 “企业自评→具备资质的第三方机构评价→主管部门复核公示” 的三级流程，明确评价工作组人员资质、现场核查要求等通用规则；</w:t>
      </w:r>
    </w:p>
    <w:p w14:paraId="66318097">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在成果输出上，统一规范评价报告的核心章节和内容要素，便于主管部门统一监管、数据汇总和跨行业对比分析。</w:t>
      </w:r>
    </w:p>
    <w:p w14:paraId="20F90CFE">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2. 指标体系共性衔接、个性互补</w:t>
      </w:r>
    </w:p>
    <w:p w14:paraId="7FDDD8D9">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在指标设置上，兼顾工业领域低碳发展的共性要求和有色金属行业的工艺特色，与钢铁、矿山行业形成 “共性指标统一、个性指标互补” 的指标体系：</w:t>
      </w:r>
    </w:p>
    <w:p w14:paraId="448F6176">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本标准结合有色金属行业特点，增设 “再生金属 / 废杂金属配比、多金属共伴生资源回收、欧盟 CBAM 规则适配、国际低碳标准参与” 等特色指标，精准体现行业低碳转型路径。</w:t>
      </w:r>
    </w:p>
    <w:p w14:paraId="6C62BE96">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3. 评价要求协同适配、公平可比</w:t>
      </w:r>
    </w:p>
    <w:p w14:paraId="2ED56465">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在评价门槛、认定标准等核心要求上，与钢铁、矿山行业保持高度协同，确保不同行业低碳企业的认定标准具有同等效力：</w:t>
      </w:r>
    </w:p>
    <w:p w14:paraId="61378967">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准入门槛统一：与上述行业标准一致，均要求企业 “连续稳定生产不少于 1 年、评价近三年无较大及以上安全环保质量事故、未使用国家淘汰类工艺装备”，能耗指标均对标对应行业国家能耗限额标准的基础等级要求；</w:t>
      </w:r>
    </w:p>
    <w:p w14:paraId="1BFBAAE7">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认定标准统一：与 GB/T 45004、《冶金矿山行业低碳企业评价指南》保持一致，均采用指标加权综合评分法，满分 100 分，得分 80 分及以上认定为低碳企业，确保跨行业低碳企业认定结果的公平性和互认性；</w:t>
      </w:r>
    </w:p>
    <w:p w14:paraId="730C78C5">
      <w:pPr>
        <w:ind w:left="0" w:leftChars="0" w:firstLine="420" w:firstLineChars="200"/>
        <w:rPr>
          <w:rFonts w:hint="eastAsia" w:ascii="宋体" w:hAnsi="宋体" w:eastAsia="宋体" w:cs="宋体"/>
          <w:sz w:val="24"/>
          <w:szCs w:val="24"/>
          <w:lang w:val="en-US" w:eastAsia="zh-CN"/>
        </w:rPr>
      </w:pPr>
      <w:r>
        <w:rPr>
          <w:rFonts w:hint="eastAsia" w:ascii="宋体" w:hAnsi="宋体" w:eastAsia="宋体" w:cs="宋体"/>
          <w:i w:val="0"/>
          <w:iCs w:val="0"/>
          <w:caps w:val="0"/>
          <w:color w:val="auto"/>
          <w:spacing w:val="0"/>
          <w:sz w:val="21"/>
          <w:szCs w:val="21"/>
          <w:shd w:val="clear"/>
          <w:lang w:val="en-US" w:eastAsia="zh-CN"/>
        </w:rPr>
        <w:t>差异化权重适配：针对各行业碳排放核心来源差异，在指标权重分配上进行合理调整：钢铁、有色金属行业侧重 “低碳绩效”（权重 40%），矿山行业侧重 “资源循环与生态治理”，建材行业侧重 “协同处置与工艺替代”，既体现行业特色，又不偏离统一的评价导向。</w:t>
      </w:r>
    </w:p>
    <w:p w14:paraId="4D0A68E4">
      <w:pPr>
        <w:pStyle w:val="30"/>
        <w:bidi w:val="0"/>
        <w:rPr>
          <w:rFonts w:hint="eastAsia"/>
          <w:lang w:val="en-US" w:eastAsia="zh-CN"/>
        </w:rPr>
      </w:pPr>
      <w:bookmarkStart w:id="18" w:name="_Toc10959"/>
      <w:r>
        <w:rPr>
          <w:rFonts w:hint="eastAsia"/>
          <w:lang w:val="en-US" w:eastAsia="zh-CN"/>
        </w:rPr>
        <w:t>重大分歧意见</w:t>
      </w:r>
      <w:bookmarkEnd w:id="15"/>
      <w:r>
        <w:rPr>
          <w:rFonts w:hint="eastAsia"/>
          <w:lang w:val="en-US" w:eastAsia="zh-CN"/>
        </w:rPr>
        <w:t>的处理经过和依据</w:t>
      </w:r>
      <w:bookmarkEnd w:id="16"/>
      <w:bookmarkEnd w:id="18"/>
    </w:p>
    <w:p w14:paraId="279B4D2A">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本标准未产生重大分歧意见。</w:t>
      </w:r>
    </w:p>
    <w:p w14:paraId="64FD6D0A">
      <w:pPr>
        <w:pStyle w:val="30"/>
        <w:bidi w:val="0"/>
        <w:rPr>
          <w:rFonts w:hint="eastAsia"/>
          <w:lang w:val="en-US" w:eastAsia="zh-CN"/>
        </w:rPr>
      </w:pPr>
      <w:bookmarkStart w:id="19" w:name="_Toc21184"/>
      <w:bookmarkStart w:id="20" w:name="_Toc27422"/>
      <w:r>
        <w:rPr>
          <w:rFonts w:hint="eastAsia"/>
          <w:lang w:val="en-US" w:eastAsia="zh-CN"/>
        </w:rPr>
        <w:t>标准性质的建议说明</w:t>
      </w:r>
      <w:bookmarkEnd w:id="19"/>
      <w:bookmarkEnd w:id="20"/>
    </w:p>
    <w:p w14:paraId="3E69C7E5">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根据标准化法和有关规定，建议本标准的性质为推荐性国家标准。</w:t>
      </w:r>
    </w:p>
    <w:p w14:paraId="243C0A80">
      <w:pPr>
        <w:pStyle w:val="30"/>
        <w:bidi w:val="0"/>
        <w:rPr>
          <w:rFonts w:hint="eastAsia"/>
          <w:lang w:val="en-US" w:eastAsia="zh-CN"/>
        </w:rPr>
      </w:pPr>
      <w:bookmarkStart w:id="21" w:name="_Toc8851"/>
      <w:bookmarkStart w:id="22" w:name="_Toc11104"/>
      <w:r>
        <w:rPr>
          <w:rFonts w:hint="eastAsia"/>
          <w:lang w:val="en-US" w:eastAsia="zh-CN"/>
        </w:rPr>
        <w:t>贯彻标准的要求和措施建议</w:t>
      </w:r>
      <w:bookmarkEnd w:id="21"/>
      <w:bookmarkEnd w:id="22"/>
    </w:p>
    <w:p w14:paraId="74930F9C">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default" w:ascii="宋体" w:hAnsi="宋体" w:eastAsia="宋体" w:cs="宋体"/>
          <w:i w:val="0"/>
          <w:iCs w:val="0"/>
          <w:caps w:val="0"/>
          <w:color w:val="auto"/>
          <w:spacing w:val="0"/>
          <w:sz w:val="21"/>
          <w:szCs w:val="21"/>
          <w:shd w:val="clear"/>
          <w:lang w:val="en-US" w:eastAsia="zh-CN"/>
        </w:rPr>
        <w:t>本标准的内容是推荐性的，建议标准发布</w:t>
      </w:r>
      <w:r>
        <w:rPr>
          <w:rFonts w:hint="eastAsia" w:ascii="宋体" w:hAnsi="宋体" w:eastAsia="宋体" w:cs="宋体"/>
          <w:i w:val="0"/>
          <w:iCs w:val="0"/>
          <w:caps w:val="0"/>
          <w:color w:val="auto"/>
          <w:spacing w:val="0"/>
          <w:sz w:val="21"/>
          <w:szCs w:val="21"/>
          <w:shd w:val="clear"/>
          <w:lang w:val="en-US" w:eastAsia="zh-CN"/>
        </w:rPr>
        <w:t>3-6个月</w:t>
      </w:r>
      <w:r>
        <w:rPr>
          <w:rFonts w:hint="default" w:ascii="宋体" w:hAnsi="宋体" w:eastAsia="宋体" w:cs="宋体"/>
          <w:i w:val="0"/>
          <w:iCs w:val="0"/>
          <w:caps w:val="0"/>
          <w:color w:val="auto"/>
          <w:spacing w:val="0"/>
          <w:sz w:val="21"/>
          <w:szCs w:val="21"/>
          <w:shd w:val="clear"/>
          <w:lang w:val="en-US" w:eastAsia="zh-CN"/>
        </w:rPr>
        <w:t>后实施。</w:t>
      </w:r>
      <w:r>
        <w:rPr>
          <w:rFonts w:hint="eastAsia" w:ascii="宋体" w:hAnsi="宋体" w:eastAsia="宋体" w:cs="宋体"/>
          <w:i w:val="0"/>
          <w:iCs w:val="0"/>
          <w:caps w:val="0"/>
          <w:color w:val="auto"/>
          <w:spacing w:val="0"/>
          <w:sz w:val="21"/>
          <w:szCs w:val="21"/>
          <w:shd w:val="clear"/>
          <w:lang w:val="en-US" w:eastAsia="zh-CN"/>
        </w:rPr>
        <w:t>本文件发布后，各企业应加强本文件的宣传力度，可以对各企业相关部门进行标准的培训和宣贯，以保证标准的贯彻实施。</w:t>
      </w:r>
    </w:p>
    <w:p w14:paraId="23B6511F">
      <w:pPr>
        <w:pStyle w:val="30"/>
        <w:bidi w:val="0"/>
        <w:rPr>
          <w:rFonts w:hint="default"/>
          <w:lang w:val="en-US" w:eastAsia="zh-CN"/>
        </w:rPr>
      </w:pPr>
      <w:bookmarkStart w:id="23" w:name="_Toc17819"/>
      <w:bookmarkStart w:id="24" w:name="_Toc8669"/>
      <w:r>
        <w:rPr>
          <w:rFonts w:hint="default"/>
          <w:lang w:val="en-US" w:eastAsia="zh-CN"/>
        </w:rPr>
        <w:t>废止现行有关标准的建议</w:t>
      </w:r>
      <w:bookmarkEnd w:id="23"/>
      <w:bookmarkEnd w:id="24"/>
    </w:p>
    <w:p w14:paraId="10FBF497">
      <w:pPr>
        <w:keepNext w:val="0"/>
        <w:keepLines w:val="0"/>
        <w:pageBreakBefore w:val="0"/>
        <w:widowControl w:val="0"/>
        <w:kinsoku/>
        <w:wordWrap/>
        <w:overflowPunct/>
        <w:topLinePunct w:val="0"/>
        <w:autoSpaceDE/>
        <w:autoSpaceDN/>
        <w:bidi w:val="0"/>
        <w:adjustRightInd/>
        <w:snapToGrid/>
        <w:spacing w:beforeAutospacing="0" w:line="240" w:lineRule="auto"/>
        <w:ind w:firstLine="420" w:firstLineChars="200"/>
        <w:textAlignment w:val="auto"/>
        <w:rPr>
          <w:rFonts w:hint="default" w:ascii="宋体" w:hAnsi="宋体" w:eastAsia="宋体" w:cs="宋体"/>
          <w:sz w:val="24"/>
          <w:szCs w:val="24"/>
          <w:lang w:val="en-US" w:eastAsia="zh-CN"/>
        </w:rPr>
      </w:pPr>
      <w:r>
        <w:rPr>
          <w:rFonts w:hint="default" w:ascii="宋体" w:hAnsi="宋体" w:eastAsia="宋体" w:cs="宋体"/>
          <w:i w:val="0"/>
          <w:iCs w:val="0"/>
          <w:caps w:val="0"/>
          <w:color w:val="auto"/>
          <w:spacing w:val="0"/>
          <w:sz w:val="21"/>
          <w:szCs w:val="21"/>
          <w:shd w:val="clear"/>
          <w:lang w:val="en-US" w:eastAsia="zh-CN"/>
        </w:rPr>
        <w:t>本标准为首次制定，</w:t>
      </w:r>
      <w:r>
        <w:rPr>
          <w:rFonts w:hint="eastAsia" w:ascii="宋体" w:hAnsi="宋体" w:eastAsia="宋体" w:cs="宋体"/>
          <w:i w:val="0"/>
          <w:iCs w:val="0"/>
          <w:caps w:val="0"/>
          <w:color w:val="auto"/>
          <w:spacing w:val="0"/>
          <w:sz w:val="21"/>
          <w:szCs w:val="21"/>
          <w:shd w:val="clear"/>
          <w:lang w:val="en-US" w:eastAsia="zh-CN"/>
        </w:rPr>
        <w:t>不需要废止任何现行</w:t>
      </w:r>
      <w:r>
        <w:rPr>
          <w:rFonts w:hint="default" w:ascii="宋体" w:hAnsi="宋体" w:eastAsia="宋体" w:cs="宋体"/>
          <w:i w:val="0"/>
          <w:iCs w:val="0"/>
          <w:caps w:val="0"/>
          <w:color w:val="auto"/>
          <w:spacing w:val="0"/>
          <w:sz w:val="21"/>
          <w:szCs w:val="21"/>
          <w:shd w:val="clear"/>
          <w:lang w:val="en-US" w:eastAsia="zh-CN"/>
        </w:rPr>
        <w:t>标准。</w:t>
      </w:r>
      <w:r>
        <w:rPr>
          <w:rFonts w:hint="default" w:ascii="宋体" w:hAnsi="宋体" w:eastAsia="宋体" w:cs="宋体"/>
          <w:sz w:val="24"/>
          <w:szCs w:val="24"/>
          <w:lang w:val="en-US" w:eastAsia="zh-CN"/>
        </w:rPr>
        <w:t xml:space="preserve"> </w:t>
      </w:r>
    </w:p>
    <w:p w14:paraId="0E0695DE">
      <w:pPr>
        <w:pStyle w:val="30"/>
        <w:rPr>
          <w:rFonts w:hint="default" w:asciiTheme="minorAscii" w:hAnsiTheme="minorAscii" w:eastAsiaTheme="minorEastAsia" w:cstheme="minorBidi"/>
          <w:color w:val="000000"/>
          <w:kern w:val="2"/>
          <w:sz w:val="28"/>
          <w:szCs w:val="28"/>
        </w:rPr>
      </w:pPr>
      <w:bookmarkStart w:id="25" w:name="_Toc22868"/>
      <w:bookmarkStart w:id="26" w:name="_Toc10299"/>
      <w:bookmarkStart w:id="27" w:name="_Toc2816"/>
      <w:bookmarkStart w:id="28" w:name="_Toc28118"/>
      <w:bookmarkStart w:id="29" w:name="_Toc16742"/>
      <w:bookmarkStart w:id="30" w:name="_Toc10975"/>
      <w:bookmarkStart w:id="31" w:name="_Toc24409"/>
      <w:bookmarkStart w:id="32" w:name="_Toc19762"/>
      <w:bookmarkStart w:id="33" w:name="_Toc18660"/>
      <w:bookmarkStart w:id="34" w:name="_Toc14541"/>
      <w:bookmarkStart w:id="35" w:name="_Toc16957"/>
      <w:r>
        <w:rPr>
          <w:rFonts w:hint="default" w:asciiTheme="minorAscii" w:hAnsiTheme="minorAscii" w:eastAsiaTheme="minorEastAsia" w:cstheme="minorBidi"/>
          <w:color w:val="000000"/>
          <w:kern w:val="2"/>
          <w:sz w:val="28"/>
          <w:szCs w:val="28"/>
        </w:rPr>
        <w:t>涉及专利的有关说明</w:t>
      </w:r>
      <w:bookmarkEnd w:id="25"/>
      <w:bookmarkEnd w:id="26"/>
    </w:p>
    <w:p w14:paraId="523CB361">
      <w:pPr>
        <w:ind w:left="0" w:leftChars="0" w:firstLine="420" w:firstLineChars="200"/>
        <w:rPr>
          <w:rFonts w:hint="default" w:ascii="宋体" w:hAnsi="宋体" w:eastAsia="宋体" w:cs="宋体"/>
          <w:i w:val="0"/>
          <w:iCs w:val="0"/>
          <w:caps w:val="0"/>
          <w:color w:val="auto"/>
          <w:spacing w:val="0"/>
          <w:sz w:val="21"/>
          <w:szCs w:val="21"/>
          <w:shd w:val="clear"/>
          <w:lang w:val="en-US" w:eastAsia="zh-CN"/>
        </w:rPr>
      </w:pPr>
      <w:r>
        <w:rPr>
          <w:rFonts w:hint="eastAsia" w:cs="Times New Roman"/>
          <w:kern w:val="2"/>
          <w:sz w:val="21"/>
          <w:szCs w:val="24"/>
          <w:lang w:val="en-US" w:eastAsia="zh-CN"/>
        </w:rPr>
        <w:t xml:space="preserve">      </w:t>
      </w:r>
      <w:r>
        <w:rPr>
          <w:rFonts w:hint="default" w:ascii="宋体" w:hAnsi="宋体" w:eastAsia="宋体" w:cs="宋体"/>
          <w:i w:val="0"/>
          <w:iCs w:val="0"/>
          <w:caps w:val="0"/>
          <w:color w:val="auto"/>
          <w:spacing w:val="0"/>
          <w:sz w:val="21"/>
          <w:szCs w:val="21"/>
          <w:shd w:val="clear"/>
          <w:lang w:val="en-US" w:eastAsia="zh-CN"/>
        </w:rPr>
        <w:t>本标准在编制过程中，严格遵循 “开放、公平、公正” 的原则，充分吸纳有色金属行业低碳领域的共性技术、通用方法及公开技术成果，未专门纳入特定企业或个人的专有专利技术，也未依赖任何未公开的专利成果开展指标设定、评价方法制定等核心工作。</w:t>
      </w:r>
    </w:p>
    <w:p w14:paraId="049D80F3">
      <w:pPr>
        <w:ind w:left="0" w:leftChars="0" w:firstLine="420" w:firstLineChars="200"/>
        <w:rPr>
          <w:rFonts w:hint="default" w:ascii="宋体" w:hAnsi="宋体" w:eastAsia="宋体" w:cs="宋体"/>
          <w:i w:val="0"/>
          <w:iCs w:val="0"/>
          <w:caps w:val="0"/>
          <w:color w:val="auto"/>
          <w:spacing w:val="0"/>
          <w:sz w:val="21"/>
          <w:szCs w:val="21"/>
          <w:shd w:val="clear"/>
          <w:lang w:val="en-US" w:eastAsia="zh-CN"/>
        </w:rPr>
      </w:pPr>
      <w:r>
        <w:rPr>
          <w:rFonts w:hint="default" w:ascii="宋体" w:hAnsi="宋体" w:eastAsia="宋体" w:cs="宋体"/>
          <w:i w:val="0"/>
          <w:iCs w:val="0"/>
          <w:caps w:val="0"/>
          <w:color w:val="auto"/>
          <w:spacing w:val="0"/>
          <w:sz w:val="21"/>
          <w:szCs w:val="21"/>
          <w:shd w:val="clear"/>
          <w:lang w:val="en-US" w:eastAsia="zh-CN"/>
        </w:rPr>
        <w:t>（一）专利排查情况</w:t>
      </w:r>
    </w:p>
    <w:p w14:paraId="5BD71041">
      <w:pPr>
        <w:ind w:left="0" w:leftChars="0" w:firstLine="420" w:firstLineChars="200"/>
        <w:rPr>
          <w:rFonts w:hint="default" w:ascii="宋体" w:hAnsi="宋体" w:eastAsia="宋体" w:cs="宋体"/>
          <w:i w:val="0"/>
          <w:iCs w:val="0"/>
          <w:caps w:val="0"/>
          <w:color w:val="auto"/>
          <w:spacing w:val="0"/>
          <w:sz w:val="21"/>
          <w:szCs w:val="21"/>
          <w:shd w:val="clear"/>
          <w:lang w:val="en-US" w:eastAsia="zh-CN"/>
        </w:rPr>
      </w:pPr>
      <w:r>
        <w:rPr>
          <w:rFonts w:hint="default" w:ascii="宋体" w:hAnsi="宋体" w:eastAsia="宋体" w:cs="宋体"/>
          <w:i w:val="0"/>
          <w:iCs w:val="0"/>
          <w:caps w:val="0"/>
          <w:color w:val="auto"/>
          <w:spacing w:val="0"/>
          <w:sz w:val="21"/>
          <w:szCs w:val="21"/>
          <w:shd w:val="clear"/>
          <w:lang w:val="en-US" w:eastAsia="zh-CN"/>
        </w:rPr>
        <w:t>编制组在标准起草阶段，通过检索国家知识产权局专利数据库、行业技术成果库及国际专利检索平台，对标准涉及的系统能效提升、资源循环利用、低碳工艺与技术迭代、碳捕集封存利用等核心技术领域的相关专利进行了全面排查。经核查，本标准中明确的评价指标、技术要求及评价方法，均基于行业普遍应用的成熟技术、公开的标准规范（如 GB/T 32150、GB 25323 等）及公知的行业实践经验，未直接引用或强制要求采用特定专利技术。</w:t>
      </w:r>
    </w:p>
    <w:p w14:paraId="371A12B4">
      <w:pPr>
        <w:ind w:left="0" w:leftChars="0" w:firstLine="420" w:firstLineChars="200"/>
        <w:rPr>
          <w:rFonts w:hint="default" w:ascii="宋体" w:hAnsi="宋体" w:eastAsia="宋体" w:cs="宋体"/>
          <w:i w:val="0"/>
          <w:iCs w:val="0"/>
          <w:caps w:val="0"/>
          <w:color w:val="auto"/>
          <w:spacing w:val="0"/>
          <w:sz w:val="21"/>
          <w:szCs w:val="21"/>
          <w:shd w:val="clear"/>
          <w:lang w:val="en-US" w:eastAsia="zh-CN"/>
        </w:rPr>
      </w:pPr>
      <w:r>
        <w:rPr>
          <w:rFonts w:hint="default" w:ascii="宋体" w:hAnsi="宋体" w:eastAsia="宋体" w:cs="宋体"/>
          <w:i w:val="0"/>
          <w:iCs w:val="0"/>
          <w:caps w:val="0"/>
          <w:color w:val="auto"/>
          <w:spacing w:val="0"/>
          <w:sz w:val="21"/>
          <w:szCs w:val="21"/>
          <w:shd w:val="clear"/>
          <w:lang w:val="en-US" w:eastAsia="zh-CN"/>
        </w:rPr>
        <w:t>（二）知识产权声明</w:t>
      </w:r>
    </w:p>
    <w:p w14:paraId="4E04093E">
      <w:pPr>
        <w:ind w:left="0" w:leftChars="0" w:firstLine="420" w:firstLineChars="200"/>
        <w:rPr>
          <w:rFonts w:hint="default" w:ascii="宋体" w:hAnsi="宋体" w:eastAsia="宋体" w:cs="宋体"/>
          <w:i w:val="0"/>
          <w:iCs w:val="0"/>
          <w:caps w:val="0"/>
          <w:color w:val="auto"/>
          <w:spacing w:val="0"/>
          <w:sz w:val="21"/>
          <w:szCs w:val="21"/>
          <w:shd w:val="clear"/>
          <w:lang w:val="en-US" w:eastAsia="zh-CN"/>
        </w:rPr>
      </w:pPr>
      <w:r>
        <w:rPr>
          <w:rFonts w:hint="default" w:ascii="宋体" w:hAnsi="宋体" w:eastAsia="宋体" w:cs="宋体"/>
          <w:i w:val="0"/>
          <w:iCs w:val="0"/>
          <w:caps w:val="0"/>
          <w:color w:val="auto"/>
          <w:spacing w:val="0"/>
          <w:sz w:val="21"/>
          <w:szCs w:val="21"/>
          <w:shd w:val="clear"/>
          <w:lang w:val="en-US" w:eastAsia="zh-CN"/>
        </w:rPr>
        <w:t>本标准的发布机构（国家标准化管理委员会）、提出单位（中国有色金属工业协会）及归口单位（全国有色金属标准化技术委员会）不承担识别标准内容可能涉及专利的责任。</w:t>
      </w:r>
    </w:p>
    <w:p w14:paraId="73AFA292">
      <w:pPr>
        <w:ind w:left="0" w:leftChars="0" w:firstLine="420" w:firstLineChars="200"/>
        <w:rPr>
          <w:rFonts w:hint="default" w:ascii="宋体" w:hAnsi="宋体" w:eastAsia="宋体" w:cs="宋体"/>
          <w:i w:val="0"/>
          <w:iCs w:val="0"/>
          <w:caps w:val="0"/>
          <w:color w:val="auto"/>
          <w:spacing w:val="0"/>
          <w:sz w:val="21"/>
          <w:szCs w:val="21"/>
          <w:shd w:val="clear"/>
          <w:lang w:val="en-US" w:eastAsia="zh-CN"/>
        </w:rPr>
      </w:pPr>
      <w:r>
        <w:rPr>
          <w:rFonts w:hint="default" w:ascii="宋体" w:hAnsi="宋体" w:eastAsia="宋体" w:cs="宋体"/>
          <w:i w:val="0"/>
          <w:iCs w:val="0"/>
          <w:caps w:val="0"/>
          <w:color w:val="auto"/>
          <w:spacing w:val="0"/>
          <w:sz w:val="21"/>
          <w:szCs w:val="21"/>
          <w:shd w:val="clear"/>
          <w:lang w:val="en-US" w:eastAsia="zh-CN"/>
        </w:rPr>
        <w:t>若任何单位或个人认为本标准的实施可能涉及自身拥有的专利（包括发明、实用新型、外观设计专利等），请在本标准征求意见期内，向全国有色金属标准化技术委员会提交书面声明，明确专利号、专利名称、专利权人、专利保护范围及专利许可使用条件等详细信息，并提供相关专利证明材料。</w:t>
      </w:r>
    </w:p>
    <w:p w14:paraId="30D3E377">
      <w:pPr>
        <w:ind w:left="0" w:leftChars="0" w:firstLine="420" w:firstLineChars="200"/>
        <w:rPr>
          <w:rFonts w:hint="default" w:ascii="宋体" w:hAnsi="宋体" w:eastAsia="宋体" w:cs="宋体"/>
          <w:i w:val="0"/>
          <w:iCs w:val="0"/>
          <w:caps w:val="0"/>
          <w:color w:val="auto"/>
          <w:spacing w:val="0"/>
          <w:sz w:val="21"/>
          <w:szCs w:val="21"/>
          <w:shd w:val="clear"/>
          <w:lang w:val="en-US" w:eastAsia="zh-CN"/>
        </w:rPr>
      </w:pPr>
      <w:r>
        <w:rPr>
          <w:rFonts w:hint="default" w:ascii="宋体" w:hAnsi="宋体" w:eastAsia="宋体" w:cs="宋体"/>
          <w:i w:val="0"/>
          <w:iCs w:val="0"/>
          <w:caps w:val="0"/>
          <w:color w:val="auto"/>
          <w:spacing w:val="0"/>
          <w:sz w:val="21"/>
          <w:szCs w:val="21"/>
          <w:shd w:val="clear"/>
          <w:lang w:val="en-US" w:eastAsia="zh-CN"/>
        </w:rPr>
        <w:t>全国有色金属标准化技术委员会将对收到的专利声明进行核实与公示，组织专利相关方与标准使用方进行协商，推动达成合理的专利许可使用方案，确保标准的顺利实施。若协商未果，将根据实际情况对标准相关技术内容进行调整优化，避免知识产权侵权风险。</w:t>
      </w:r>
    </w:p>
    <w:p w14:paraId="1B1DC7CE">
      <w:pPr>
        <w:ind w:left="0" w:leftChars="0" w:firstLine="420" w:firstLineChars="200"/>
        <w:rPr>
          <w:rFonts w:hint="default" w:ascii="宋体" w:hAnsi="宋体" w:eastAsia="宋体" w:cs="宋体"/>
          <w:i w:val="0"/>
          <w:iCs w:val="0"/>
          <w:caps w:val="0"/>
          <w:color w:val="auto"/>
          <w:spacing w:val="0"/>
          <w:sz w:val="21"/>
          <w:szCs w:val="21"/>
          <w:shd w:val="clear"/>
          <w:lang w:val="en-US" w:eastAsia="zh-CN"/>
        </w:rPr>
      </w:pPr>
      <w:r>
        <w:rPr>
          <w:rFonts w:hint="default" w:ascii="宋体" w:hAnsi="宋体" w:eastAsia="宋体" w:cs="宋体"/>
          <w:i w:val="0"/>
          <w:iCs w:val="0"/>
          <w:caps w:val="0"/>
          <w:color w:val="auto"/>
          <w:spacing w:val="0"/>
          <w:sz w:val="21"/>
          <w:szCs w:val="21"/>
          <w:shd w:val="clear"/>
          <w:lang w:val="en-US" w:eastAsia="zh-CN"/>
        </w:rPr>
        <w:t>本标准的实施不意味着对任何专利的有效性、合法性进行认可，也不构成对专利使用的强制许可，标准使用者应自行承担因专利使用产生的相关法律责任与费用。</w:t>
      </w:r>
    </w:p>
    <w:p w14:paraId="4572894F">
      <w:pPr>
        <w:pStyle w:val="30"/>
        <w:rPr>
          <w:rFonts w:asciiTheme="minorAscii" w:hAnsiTheme="minorAscii" w:eastAsiaTheme="minorEastAsia" w:cstheme="minorBidi"/>
          <w:color w:val="000000"/>
          <w:sz w:val="28"/>
          <w:szCs w:val="28"/>
        </w:rPr>
      </w:pPr>
      <w:bookmarkStart w:id="36" w:name="_Toc22224"/>
      <w:r>
        <w:rPr>
          <w:rFonts w:asciiTheme="minorAscii" w:hAnsiTheme="minorAscii" w:eastAsiaTheme="minorEastAsia" w:cstheme="minorBidi"/>
          <w:color w:val="000000"/>
          <w:sz w:val="28"/>
          <w:szCs w:val="28"/>
        </w:rPr>
        <w:t>废止现行有关标准的建议</w:t>
      </w:r>
      <w:bookmarkEnd w:id="27"/>
      <w:bookmarkEnd w:id="28"/>
      <w:bookmarkEnd w:id="29"/>
      <w:bookmarkEnd w:id="30"/>
      <w:bookmarkEnd w:id="31"/>
      <w:bookmarkEnd w:id="32"/>
      <w:bookmarkEnd w:id="33"/>
      <w:bookmarkEnd w:id="34"/>
      <w:bookmarkEnd w:id="36"/>
    </w:p>
    <w:p w14:paraId="66D3449C">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 xml:space="preserve">无   </w:t>
      </w:r>
    </w:p>
    <w:p w14:paraId="6E1503B8">
      <w:pPr>
        <w:pStyle w:val="30"/>
        <w:rPr>
          <w:rFonts w:hint="default" w:asciiTheme="minorAscii" w:hAnsiTheme="minorAscii" w:eastAsiaTheme="minorEastAsia" w:cstheme="minorBidi"/>
          <w:color w:val="000000"/>
          <w:sz w:val="28"/>
          <w:szCs w:val="28"/>
        </w:rPr>
      </w:pPr>
      <w:bookmarkStart w:id="37" w:name="_Toc4393"/>
      <w:bookmarkStart w:id="38" w:name="_Toc18550"/>
      <w:bookmarkStart w:id="39" w:name="_Toc9235"/>
      <w:bookmarkStart w:id="40" w:name="_Toc4711"/>
      <w:bookmarkStart w:id="41" w:name="_Toc14422"/>
      <w:bookmarkStart w:id="42" w:name="_Toc24452"/>
      <w:bookmarkStart w:id="43" w:name="_Toc18981"/>
      <w:bookmarkStart w:id="44" w:name="_Toc29138"/>
      <w:r>
        <w:rPr>
          <w:rFonts w:hint="default" w:asciiTheme="minorAscii" w:hAnsiTheme="minorAscii" w:eastAsiaTheme="minorEastAsia" w:cstheme="minorBidi"/>
          <w:color w:val="000000"/>
          <w:sz w:val="28"/>
          <w:szCs w:val="28"/>
        </w:rPr>
        <w:t>公平竞争审查条例</w:t>
      </w:r>
      <w:bookmarkEnd w:id="37"/>
      <w:bookmarkEnd w:id="38"/>
    </w:p>
    <w:p w14:paraId="08682A2B">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bookmarkStart w:id="45" w:name="_Toc15170"/>
      <w:r>
        <w:rPr>
          <w:rFonts w:hint="eastAsia" w:ascii="宋体" w:hAnsi="宋体" w:eastAsia="宋体" w:cs="宋体"/>
          <w:i w:val="0"/>
          <w:iCs w:val="0"/>
          <w:caps w:val="0"/>
          <w:color w:val="auto"/>
          <w:spacing w:val="0"/>
          <w:sz w:val="21"/>
          <w:szCs w:val="21"/>
          <w:shd w:val="clear"/>
          <w:lang w:val="en-US" w:eastAsia="zh-CN"/>
        </w:rPr>
        <w:t>依照《公平竞争审查条例》规定开展公平竞争审查，本标准不存在“限制或者变相限制市场准入和退出”、“限制或者变相限制商品要素自由流动”、“影响经营者生产经营成本”、“影响经营者生产经营行为”等情况，也不适用《公平竞争审查条例》第十二条的规定。</w:t>
      </w:r>
      <w:bookmarkEnd w:id="45"/>
    </w:p>
    <w:p w14:paraId="031316F3">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bookmarkStart w:id="46" w:name="_Toc6311"/>
      <w:r>
        <w:rPr>
          <w:rFonts w:hint="eastAsia" w:ascii="宋体" w:hAnsi="宋体" w:eastAsia="宋体" w:cs="宋体"/>
          <w:i w:val="0"/>
          <w:iCs w:val="0"/>
          <w:caps w:val="0"/>
          <w:color w:val="auto"/>
          <w:spacing w:val="0"/>
          <w:sz w:val="21"/>
          <w:szCs w:val="21"/>
          <w:shd w:val="clear"/>
          <w:lang w:val="en-US" w:eastAsia="zh-CN"/>
        </w:rPr>
        <w:t>本标准审查结论为“不影响”。</w:t>
      </w:r>
      <w:bookmarkEnd w:id="46"/>
    </w:p>
    <w:p w14:paraId="7810B89A">
      <w:pPr>
        <w:pStyle w:val="30"/>
        <w:rPr>
          <w:rFonts w:asciiTheme="minorAscii" w:hAnsiTheme="minorAscii" w:eastAsiaTheme="minorEastAsia" w:cstheme="minorBidi"/>
          <w:color w:val="000000"/>
          <w:sz w:val="28"/>
          <w:szCs w:val="28"/>
        </w:rPr>
      </w:pPr>
      <w:bookmarkStart w:id="47" w:name="_Toc31004"/>
      <w:bookmarkStart w:id="48" w:name="_Toc29697"/>
      <w:r>
        <w:rPr>
          <w:rFonts w:asciiTheme="minorAscii" w:hAnsiTheme="minorAscii" w:eastAsiaTheme="minorEastAsia" w:cstheme="minorBidi"/>
          <w:color w:val="000000"/>
          <w:sz w:val="28"/>
          <w:szCs w:val="28"/>
        </w:rPr>
        <w:t>其他应予说明的事项</w:t>
      </w:r>
      <w:bookmarkEnd w:id="39"/>
      <w:bookmarkEnd w:id="40"/>
      <w:bookmarkEnd w:id="41"/>
      <w:bookmarkEnd w:id="42"/>
      <w:bookmarkEnd w:id="43"/>
      <w:bookmarkEnd w:id="44"/>
      <w:bookmarkEnd w:id="47"/>
      <w:bookmarkEnd w:id="48"/>
    </w:p>
    <w:p w14:paraId="1522E054">
      <w:pPr>
        <w:ind w:left="0" w:leftChars="0" w:firstLine="420" w:firstLineChars="200"/>
        <w:rPr>
          <w:rFonts w:hint="eastAsia" w:ascii="宋体" w:hAnsi="宋体" w:eastAsia="宋体" w:cs="宋体"/>
          <w:i w:val="0"/>
          <w:iCs w:val="0"/>
          <w:caps w:val="0"/>
          <w:color w:val="auto"/>
          <w:spacing w:val="0"/>
          <w:sz w:val="21"/>
          <w:szCs w:val="21"/>
          <w:shd w:val="clear"/>
          <w:lang w:val="en-US" w:eastAsia="zh-CN"/>
        </w:rPr>
      </w:pPr>
      <w:r>
        <w:rPr>
          <w:rFonts w:hint="eastAsia" w:ascii="宋体" w:hAnsi="宋体" w:eastAsia="宋体" w:cs="宋体"/>
          <w:i w:val="0"/>
          <w:iCs w:val="0"/>
          <w:caps w:val="0"/>
          <w:color w:val="auto"/>
          <w:spacing w:val="0"/>
          <w:sz w:val="21"/>
          <w:szCs w:val="21"/>
          <w:shd w:val="clear"/>
          <w:lang w:val="en-US" w:eastAsia="zh-CN"/>
        </w:rPr>
        <w:t>本文件不存在侵犯相关国际、国外、国内机构版权的情况。</w:t>
      </w:r>
    </w:p>
    <w:bookmarkEnd w:id="35"/>
    <w:p w14:paraId="2DF1BC83">
      <w:pPr>
        <w:keepNext w:val="0"/>
        <w:keepLines w:val="0"/>
        <w:pageBreakBefore w:val="0"/>
        <w:widowControl w:val="0"/>
        <w:kinsoku/>
        <w:wordWrap/>
        <w:overflowPunct/>
        <w:topLinePunct w:val="0"/>
        <w:autoSpaceDE/>
        <w:autoSpaceDN/>
        <w:bidi w:val="0"/>
        <w:adjustRightInd/>
        <w:snapToGrid/>
        <w:spacing w:beforeAutospacing="0" w:line="240" w:lineRule="auto"/>
        <w:textAlignment w:val="auto"/>
        <w:rPr>
          <w:rFonts w:hint="eastAsia" w:ascii="宋体" w:hAnsi="宋体" w:eastAsia="宋体" w:cs="宋体"/>
          <w:sz w:val="24"/>
          <w:szCs w:val="24"/>
          <w:lang w:val="en-US" w:eastAsia="zh-CN"/>
        </w:rPr>
      </w:pPr>
    </w:p>
    <w:p w14:paraId="20379DAC">
      <w:pPr>
        <w:keepNext w:val="0"/>
        <w:keepLines w:val="0"/>
        <w:pageBreakBefore w:val="0"/>
        <w:widowControl w:val="0"/>
        <w:kinsoku/>
        <w:wordWrap/>
        <w:overflowPunct/>
        <w:topLinePunct w:val="0"/>
        <w:autoSpaceDE/>
        <w:autoSpaceDN/>
        <w:bidi w:val="0"/>
        <w:adjustRightInd/>
        <w:snapToGrid/>
        <w:spacing w:beforeAutospacing="0" w:line="240" w:lineRule="auto"/>
        <w:ind w:firstLine="480" w:firstLineChars="200"/>
        <w:textAlignment w:val="auto"/>
        <w:rPr>
          <w:rFonts w:hint="eastAsia" w:ascii="宋体" w:hAnsi="宋体" w:eastAsia="宋体" w:cs="宋体"/>
          <w:sz w:val="24"/>
          <w:szCs w:val="24"/>
          <w:lang w:val="en-US" w:eastAsia="zh-CN"/>
        </w:rPr>
      </w:pPr>
    </w:p>
    <w:p w14:paraId="5E01F667">
      <w:pPr>
        <w:pStyle w:val="5"/>
        <w:keepNext w:val="0"/>
        <w:keepLines w:val="0"/>
        <w:pageBreakBefore w:val="0"/>
        <w:kinsoku/>
        <w:wordWrap/>
        <w:overflowPunct/>
        <w:topLinePunct w:val="0"/>
        <w:bidi w:val="0"/>
        <w:adjustRightInd/>
        <w:snapToGrid/>
        <w:spacing w:line="360" w:lineRule="auto"/>
        <w:jc w:val="right"/>
        <w:outlineLvl w:val="0"/>
        <w:rPr>
          <w:rFonts w:hint="eastAsia" w:asciiTheme="minorEastAsia" w:hAnsiTheme="minorEastAsia"/>
          <w:b/>
          <w:sz w:val="28"/>
          <w:szCs w:val="28"/>
          <w:lang w:eastAsia="zh-CN"/>
        </w:rPr>
      </w:pPr>
      <w:bookmarkStart w:id="49" w:name="_Toc5468"/>
      <w:r>
        <w:rPr>
          <w:rFonts w:hint="eastAsia" w:asciiTheme="minorEastAsia" w:hAnsiTheme="minorEastAsia"/>
          <w:b/>
          <w:sz w:val="28"/>
          <w:szCs w:val="28"/>
          <w:lang w:eastAsia="zh-CN"/>
        </w:rPr>
        <w:t>《</w:t>
      </w:r>
      <w:r>
        <w:rPr>
          <w:rFonts w:hint="eastAsia" w:ascii="宋体" w:hAnsi="宋体" w:eastAsia="宋体" w:cs="宋体"/>
          <w:b/>
          <w:bCs/>
          <w:color w:val="auto"/>
          <w:sz w:val="28"/>
          <w:szCs w:val="28"/>
          <w:lang w:eastAsia="zh-CN"/>
        </w:rPr>
        <w:t>有色金属行业低碳企业评价指南</w:t>
      </w:r>
      <w:r>
        <w:rPr>
          <w:rFonts w:hint="eastAsia" w:asciiTheme="minorEastAsia" w:hAnsiTheme="minorEastAsia"/>
          <w:b/>
          <w:sz w:val="28"/>
          <w:szCs w:val="28"/>
          <w:lang w:eastAsia="zh-CN"/>
        </w:rPr>
        <w:t>》编制组</w:t>
      </w:r>
      <w:bookmarkEnd w:id="49"/>
    </w:p>
    <w:p w14:paraId="2ABB8B9E">
      <w:pPr>
        <w:pStyle w:val="5"/>
        <w:keepNext w:val="0"/>
        <w:keepLines w:val="0"/>
        <w:pageBreakBefore w:val="0"/>
        <w:kinsoku/>
        <w:wordWrap/>
        <w:overflowPunct/>
        <w:topLinePunct w:val="0"/>
        <w:bidi w:val="0"/>
        <w:adjustRightInd/>
        <w:snapToGrid/>
        <w:spacing w:line="360" w:lineRule="auto"/>
        <w:ind w:firstLine="2811" w:firstLineChars="1000"/>
        <w:jc w:val="right"/>
        <w:outlineLvl w:val="0"/>
        <w:rPr>
          <w:rFonts w:hint="default" w:asciiTheme="minorEastAsia" w:hAnsiTheme="minorEastAsia"/>
          <w:b/>
          <w:sz w:val="28"/>
          <w:szCs w:val="28"/>
          <w:lang w:val="en-US" w:eastAsia="zh-CN"/>
        </w:rPr>
      </w:pPr>
      <w:r>
        <w:rPr>
          <w:rFonts w:hint="eastAsia" w:asciiTheme="minorEastAsia" w:hAnsiTheme="minorEastAsia"/>
          <w:b/>
          <w:sz w:val="28"/>
          <w:szCs w:val="28"/>
          <w:lang w:val="en-US" w:eastAsia="zh-CN"/>
        </w:rPr>
        <w:t xml:space="preserve">                       </w:t>
      </w:r>
      <w:bookmarkStart w:id="50" w:name="_Toc4700"/>
      <w:r>
        <w:rPr>
          <w:rFonts w:hint="eastAsia" w:asciiTheme="minorEastAsia" w:hAnsiTheme="minorEastAsia"/>
          <w:b/>
          <w:sz w:val="28"/>
          <w:szCs w:val="28"/>
          <w:lang w:val="en-US" w:eastAsia="zh-CN"/>
        </w:rPr>
        <w:t>2026年3月</w:t>
      </w:r>
      <w:bookmarkEnd w:id="50"/>
    </w:p>
    <w:sectPr>
      <w:footerReference r:id="rId7" w:type="default"/>
      <w:footerReference r:id="rId8" w:type="even"/>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F0F04">
    <w:pPr>
      <w:pStyle w:val="6"/>
      <w:ind w:right="240"/>
      <w:jc w:val="both"/>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5FC00">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B1060">
    <w:pPr>
      <w:pStyle w:val="6"/>
      <w:ind w:right="240"/>
      <w:jc w:val="both"/>
      <w:rPr>
        <w:rFonts w:hint="eastAsia" w:eastAsia="宋体"/>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4A5E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DF510">
                          <w:pPr>
                            <w:pStyle w:val="6"/>
                            <w:rPr>
                              <w:rFonts w:ascii="宋体" w:hAnsi="宋体" w:eastAsia="宋体"/>
                              <w:sz w:val="28"/>
                              <w:szCs w:val="18"/>
                            </w:rPr>
                          </w:pPr>
                          <w:r>
                            <w:rPr>
                              <w:rFonts w:ascii="宋体" w:hAnsi="宋体" w:eastAsia="宋体"/>
                              <w:sz w:val="28"/>
                              <w:szCs w:val="18"/>
                            </w:rPr>
                            <w:fldChar w:fldCharType="begin"/>
                          </w:r>
                          <w:r>
                            <w:rPr>
                              <w:rFonts w:ascii="宋体" w:hAnsi="宋体" w:eastAsia="宋体"/>
                              <w:sz w:val="28"/>
                              <w:szCs w:val="18"/>
                            </w:rPr>
                            <w:instrText xml:space="preserve"> PAGE  \* MERGEFORMAT </w:instrText>
                          </w:r>
                          <w:r>
                            <w:rPr>
                              <w:rFonts w:ascii="宋体" w:hAnsi="宋体" w:eastAsia="宋体"/>
                              <w:sz w:val="28"/>
                              <w:szCs w:val="18"/>
                            </w:rPr>
                            <w:fldChar w:fldCharType="separate"/>
                          </w:r>
                          <w:r>
                            <w:rPr>
                              <w:rFonts w:ascii="宋体" w:hAnsi="宋体" w:eastAsia="宋体"/>
                              <w:sz w:val="28"/>
                              <w:szCs w:val="18"/>
                            </w:rPr>
                            <w:t>1</w:t>
                          </w:r>
                          <w:r>
                            <w:rPr>
                              <w:rFonts w:ascii="宋体" w:hAnsi="宋体" w:eastAsia="宋体"/>
                              <w:sz w:val="2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right;mso-position-horizontal-relative:margin;mso-wrap-style:none;z-index:251659264;mso-width-relative:page;mso-height-relative:page;" filled="f" stroked="f" coordsize="21600,21600" o:gfxdata="UEsDBAoAAAAAAIdO4kAAAAAAAAAAAAAAAAAEAAAAZHJzL1BLAwQUAAAACACHTuJAAHoB1tMAAAAG&#10;AQAADwAAAGRycy9kb3ducmV2LnhtbE2PQU/DMAyF70j8h8hI3FiyglApTScxUY5IrDtwzBrTdmuc&#10;Ksm68u8xJzj5Wc96/l65WdwoZgxx8KRhvVIgkFpvB+o07Jv6LgcRkyFrRk+o4RsjbKrrq9IU1l/o&#10;A+dd6gSHUCyMhj6lqZAytj06E1d+QmLvywdnEq+hkzaYC4e7UWZKPUpnBuIPvZlw22N72p2dhm3d&#10;NGHGGMZPfKvvj+8vD/i6aH17s1bPIBIu6e8YfvEZHSpmOvgz2ShGDVwkach4sJnlOYsDiyelQFal&#10;/I9f/QB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B6AdbTAAAABg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14:paraId="70FDF510">
                    <w:pPr>
                      <w:pStyle w:val="6"/>
                      <w:rPr>
                        <w:rFonts w:ascii="宋体" w:hAnsi="宋体" w:eastAsia="宋体"/>
                        <w:sz w:val="28"/>
                        <w:szCs w:val="18"/>
                      </w:rPr>
                    </w:pPr>
                    <w:r>
                      <w:rPr>
                        <w:rFonts w:ascii="宋体" w:hAnsi="宋体" w:eastAsia="宋体"/>
                        <w:sz w:val="28"/>
                        <w:szCs w:val="18"/>
                      </w:rPr>
                      <w:fldChar w:fldCharType="begin"/>
                    </w:r>
                    <w:r>
                      <w:rPr>
                        <w:rFonts w:ascii="宋体" w:hAnsi="宋体" w:eastAsia="宋体"/>
                        <w:sz w:val="28"/>
                        <w:szCs w:val="18"/>
                      </w:rPr>
                      <w:instrText xml:space="preserve"> PAGE  \* MERGEFORMAT </w:instrText>
                    </w:r>
                    <w:r>
                      <w:rPr>
                        <w:rFonts w:ascii="宋体" w:hAnsi="宋体" w:eastAsia="宋体"/>
                        <w:sz w:val="28"/>
                        <w:szCs w:val="18"/>
                      </w:rPr>
                      <w:fldChar w:fldCharType="separate"/>
                    </w:r>
                    <w:r>
                      <w:rPr>
                        <w:rFonts w:ascii="宋体" w:hAnsi="宋体" w:eastAsia="宋体"/>
                        <w:sz w:val="28"/>
                        <w:szCs w:val="18"/>
                      </w:rPr>
                      <w:t>1</w:t>
                    </w:r>
                    <w:r>
                      <w:rPr>
                        <w:rFonts w:ascii="宋体" w:hAnsi="宋体" w:eastAsia="宋体"/>
                        <w:sz w:val="2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47FB1">
    <w:pPr>
      <w:pStyle w:val="6"/>
      <w:ind w:right="240"/>
      <w:jc w:val="both"/>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16BE3">
                          <w:pPr>
                            <w:pStyle w:val="6"/>
                            <w:jc w:val="right"/>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right;mso-position-horizontal-relative:margin;mso-wrap-style:none;z-index:251660288;mso-width-relative:page;mso-height-relative:page;" filled="f" stroked="f" coordsize="21600,21600" o:gfxdata="UEsDBAoAAAAAAIdO4kAAAAAAAAAAAAAAAAAEAAAAZHJzL1BLAwQUAAAACACHTuJAAHoB1tMAAAAG&#10;AQAADwAAAGRycy9kb3ducmV2LnhtbE2PQU/DMAyF70j8h8hI3FiyglApTScxUY5IrDtwzBrTdmuc&#10;Ksm68u8xJzj5Wc96/l65WdwoZgxx8KRhvVIgkFpvB+o07Jv6LgcRkyFrRk+o4RsjbKrrq9IU1l/o&#10;A+dd6gSHUCyMhj6lqZAytj06E1d+QmLvywdnEq+hkzaYC4e7UWZKPUpnBuIPvZlw22N72p2dhm3d&#10;NGHGGMZPfKvvj+8vD/i6aH17s1bPIBIu6e8YfvEZHSpmOvgz2ShGDVwkach4sJnlOYsDiyelQFal&#10;/I9f/QBQSwMEFAAAAAgAh07iQCSCRrQxAgAAYQ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oucTikxTKPgl+/f&#10;Lj9+XX5+JdMkT+3CHFE7h7jYvLUNmmY4DzhMrJvS6/QFHwI/xD1fxRVNJDxdmk1nszFcHL5hA/zs&#10;8brzIb4TVpNk5NSjeq2o7LQNsQsdQlI2YzdSqbaCypA6pzev34zbC1cPwJVBjkSie2yyYrNvemZ7&#10;W5xBzNuuM4LjG4nkWxbiA/NoBTwYwxLvsZTKIontLUoq67/86zzFo0LwUlKjtXJqMEmUqPcGlQNg&#10;HAw/GPvBMEd9Z9GrEwyh462JCz6qwSy91Z8xQauUAy5mODLlNA7mXezaGxPIxWrVBh2dl4equ4C+&#10;cyxuzc7xlCYJGdzqGCFmq3ESqFOl1w2d11apn5LU2n/u26jHP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B6AdbTAAAABgEAAA8AAAAAAAAAAQAgAAAAIgAAAGRycy9kb3ducmV2LnhtbFBLAQIU&#10;ABQAAAAIAIdO4kAkgka0MQIAAGEEAAAOAAAAAAAAAAEAIAAAACIBAABkcnMvZTJvRG9jLnhtbFBL&#10;BQYAAAAABgAGAFkBAADFBQAAAAA=&#10;">
              <v:fill on="f" focussize="0,0"/>
              <v:stroke on="f" weight="0.5pt"/>
              <v:imagedata o:title=""/>
              <o:lock v:ext="edit" aspectratio="f"/>
              <v:textbox inset="0mm,0mm,0mm,0mm" style="mso-fit-shape-to-text:t;">
                <w:txbxContent>
                  <w:p w14:paraId="3F316BE3">
                    <w:pPr>
                      <w:pStyle w:val="6"/>
                      <w:jc w:val="right"/>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9DA74">
    <w:pPr>
      <w:pStyle w:val="7"/>
    </w:pPr>
  </w:p>
  <w:p w14:paraId="25A4EEA9">
    <w:pPr>
      <w:pStyle w:val="7"/>
    </w:pPr>
  </w:p>
  <w:p w14:paraId="0C1584B9">
    <w:pPr>
      <w:pStyle w:val="7"/>
      <w:pBdr>
        <w:bottom w:val="none" w:color="auto" w:sz="0" w:space="0"/>
      </w:pBdr>
      <w:tabs>
        <w:tab w:val="left" w:pos="1314"/>
      </w:tabs>
      <w:spacing w:beforeLines="250"/>
      <w:jc w:val="right"/>
      <w:rPr>
        <w:rFonts w:eastAsia="宋体"/>
        <w:b/>
        <w:bCs/>
        <w:spacing w:val="-4"/>
        <w:kern w:val="2"/>
        <w:sz w:val="21"/>
        <w:szCs w:val="21"/>
        <w:lang w:eastAsia="zh-CN" w:bidi="ar-SA"/>
      </w:rPr>
    </w:pPr>
    <w:r>
      <w:rPr>
        <w:rFonts w:hint="eastAsia" w:eastAsia="宋体"/>
        <w:b/>
        <w:bCs/>
        <w:spacing w:val="-4"/>
        <w:kern w:val="2"/>
        <w:sz w:val="21"/>
        <w:szCs w:val="21"/>
        <w:lang w:eastAsia="zh-CN" w:bidi="ar-S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20"/>
      <w:suff w:val="nothing"/>
      <w:lvlText w:val="注%1："/>
      <w:lvlJc w:val="left"/>
      <w:pPr>
        <w:ind w:left="811" w:hanging="448"/>
      </w:pPr>
      <w:rPr>
        <w:rFonts w:hint="default" w:ascii="黑体" w:eastAsia="黑体"/>
        <w:b w:val="0"/>
        <w:bCs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75EDD29C"/>
    <w:multiLevelType w:val="singleLevel"/>
    <w:tmpl w:val="75EDD29C"/>
    <w:lvl w:ilvl="0" w:tentative="0">
      <w:start w:val="1"/>
      <w:numFmt w:val="chineseCounting"/>
      <w:pStyle w:val="30"/>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mMzVkZGU0NjcxMDNjYzQ1MWE0YmZjNzAwY2I0MDYifQ=="/>
    <w:docVar w:name="KSO_WPS_MARK_KEY" w:val="c52e3394-5f9f-4356-a497-4119027c2d5c"/>
  </w:docVars>
  <w:rsids>
    <w:rsidRoot w:val="00BA0C69"/>
    <w:rsid w:val="00016F8A"/>
    <w:rsid w:val="00093649"/>
    <w:rsid w:val="000E2BD4"/>
    <w:rsid w:val="00180709"/>
    <w:rsid w:val="00203106"/>
    <w:rsid w:val="0037545A"/>
    <w:rsid w:val="008E388C"/>
    <w:rsid w:val="009B025E"/>
    <w:rsid w:val="00A82F03"/>
    <w:rsid w:val="00AF6BAB"/>
    <w:rsid w:val="00BA0C69"/>
    <w:rsid w:val="00BD1102"/>
    <w:rsid w:val="00C925A1"/>
    <w:rsid w:val="00D51BF0"/>
    <w:rsid w:val="015956FE"/>
    <w:rsid w:val="019B53E2"/>
    <w:rsid w:val="01B02834"/>
    <w:rsid w:val="01D24969"/>
    <w:rsid w:val="020531A4"/>
    <w:rsid w:val="029167E5"/>
    <w:rsid w:val="033F6241"/>
    <w:rsid w:val="03EA0104"/>
    <w:rsid w:val="042E0790"/>
    <w:rsid w:val="05524952"/>
    <w:rsid w:val="059B1E55"/>
    <w:rsid w:val="06D3561E"/>
    <w:rsid w:val="070E64EB"/>
    <w:rsid w:val="0764117E"/>
    <w:rsid w:val="07DA234C"/>
    <w:rsid w:val="08536DF9"/>
    <w:rsid w:val="0A051F93"/>
    <w:rsid w:val="0A9669E0"/>
    <w:rsid w:val="0BF16452"/>
    <w:rsid w:val="0D2E35AF"/>
    <w:rsid w:val="0F594E24"/>
    <w:rsid w:val="117D252D"/>
    <w:rsid w:val="12805F73"/>
    <w:rsid w:val="12AB389D"/>
    <w:rsid w:val="130D1BB6"/>
    <w:rsid w:val="132A2A6A"/>
    <w:rsid w:val="151C4634"/>
    <w:rsid w:val="15477903"/>
    <w:rsid w:val="15A608E0"/>
    <w:rsid w:val="164E0D73"/>
    <w:rsid w:val="16851B74"/>
    <w:rsid w:val="16D43419"/>
    <w:rsid w:val="18780F0E"/>
    <w:rsid w:val="19447FA5"/>
    <w:rsid w:val="195146DA"/>
    <w:rsid w:val="1A77764E"/>
    <w:rsid w:val="1BC17057"/>
    <w:rsid w:val="1C362646"/>
    <w:rsid w:val="1E884A58"/>
    <w:rsid w:val="1F8A4FBC"/>
    <w:rsid w:val="1FDE0E64"/>
    <w:rsid w:val="20880DD0"/>
    <w:rsid w:val="217A2DFB"/>
    <w:rsid w:val="21A551BF"/>
    <w:rsid w:val="21B93937"/>
    <w:rsid w:val="232A5A15"/>
    <w:rsid w:val="23B36376"/>
    <w:rsid w:val="2443362F"/>
    <w:rsid w:val="244B2840"/>
    <w:rsid w:val="244D65B8"/>
    <w:rsid w:val="252F3F10"/>
    <w:rsid w:val="255F672A"/>
    <w:rsid w:val="25DA6F8A"/>
    <w:rsid w:val="26020369"/>
    <w:rsid w:val="277C67F7"/>
    <w:rsid w:val="2826784C"/>
    <w:rsid w:val="285F2DD2"/>
    <w:rsid w:val="290C2416"/>
    <w:rsid w:val="2AA06ECA"/>
    <w:rsid w:val="2AC11AAE"/>
    <w:rsid w:val="2AC5334C"/>
    <w:rsid w:val="2BC55463"/>
    <w:rsid w:val="2C7566AC"/>
    <w:rsid w:val="2D5C7BBB"/>
    <w:rsid w:val="2D5F1580"/>
    <w:rsid w:val="2D7F023C"/>
    <w:rsid w:val="2F0A5D38"/>
    <w:rsid w:val="30451EC6"/>
    <w:rsid w:val="30827DE3"/>
    <w:rsid w:val="317070E4"/>
    <w:rsid w:val="321C7AAD"/>
    <w:rsid w:val="33DC5263"/>
    <w:rsid w:val="342B2E5D"/>
    <w:rsid w:val="34384B8F"/>
    <w:rsid w:val="34DD5737"/>
    <w:rsid w:val="34F2020C"/>
    <w:rsid w:val="36653C36"/>
    <w:rsid w:val="36DE3D7E"/>
    <w:rsid w:val="371C64A1"/>
    <w:rsid w:val="388E1D0A"/>
    <w:rsid w:val="38932192"/>
    <w:rsid w:val="39C81CD7"/>
    <w:rsid w:val="3A853EF2"/>
    <w:rsid w:val="3BBE3294"/>
    <w:rsid w:val="3BE524B4"/>
    <w:rsid w:val="3BF935F1"/>
    <w:rsid w:val="3C0B2F57"/>
    <w:rsid w:val="3C9B0393"/>
    <w:rsid w:val="3CA56B3A"/>
    <w:rsid w:val="3CA57D0B"/>
    <w:rsid w:val="3CDE71C1"/>
    <w:rsid w:val="3DC11DF5"/>
    <w:rsid w:val="3F3E6DD2"/>
    <w:rsid w:val="3F65400E"/>
    <w:rsid w:val="3FB8749B"/>
    <w:rsid w:val="3FC73820"/>
    <w:rsid w:val="407C3507"/>
    <w:rsid w:val="40B070E5"/>
    <w:rsid w:val="41AB0088"/>
    <w:rsid w:val="41BE41FA"/>
    <w:rsid w:val="420C5C44"/>
    <w:rsid w:val="43B21B3C"/>
    <w:rsid w:val="441E5CB8"/>
    <w:rsid w:val="451B19F1"/>
    <w:rsid w:val="4554168A"/>
    <w:rsid w:val="46705543"/>
    <w:rsid w:val="473700E6"/>
    <w:rsid w:val="4759345D"/>
    <w:rsid w:val="479D572C"/>
    <w:rsid w:val="47CE0835"/>
    <w:rsid w:val="48274AEC"/>
    <w:rsid w:val="48D1422D"/>
    <w:rsid w:val="4A36144F"/>
    <w:rsid w:val="4CD76BA2"/>
    <w:rsid w:val="4DA01E66"/>
    <w:rsid w:val="503F0A1A"/>
    <w:rsid w:val="505D7867"/>
    <w:rsid w:val="513D439B"/>
    <w:rsid w:val="53411E8B"/>
    <w:rsid w:val="53436CB1"/>
    <w:rsid w:val="53513120"/>
    <w:rsid w:val="577E4D29"/>
    <w:rsid w:val="57A56C58"/>
    <w:rsid w:val="57D543A1"/>
    <w:rsid w:val="59202CBE"/>
    <w:rsid w:val="59DF66A0"/>
    <w:rsid w:val="5A096502"/>
    <w:rsid w:val="5AA31EC3"/>
    <w:rsid w:val="5ABE2569"/>
    <w:rsid w:val="5B4068DB"/>
    <w:rsid w:val="5BDE4B5D"/>
    <w:rsid w:val="5CCA40B3"/>
    <w:rsid w:val="5CD955EE"/>
    <w:rsid w:val="5E677C9B"/>
    <w:rsid w:val="5EE65951"/>
    <w:rsid w:val="5EFF7ED4"/>
    <w:rsid w:val="5F335DCF"/>
    <w:rsid w:val="5F8D6A5F"/>
    <w:rsid w:val="613D2F35"/>
    <w:rsid w:val="61EF4734"/>
    <w:rsid w:val="62437EEA"/>
    <w:rsid w:val="63105496"/>
    <w:rsid w:val="63F0428F"/>
    <w:rsid w:val="6457430E"/>
    <w:rsid w:val="64CC0DED"/>
    <w:rsid w:val="64DA2ADC"/>
    <w:rsid w:val="650F7235"/>
    <w:rsid w:val="6646288C"/>
    <w:rsid w:val="66507267"/>
    <w:rsid w:val="671B5F35"/>
    <w:rsid w:val="6745738A"/>
    <w:rsid w:val="6B072404"/>
    <w:rsid w:val="6C1674AD"/>
    <w:rsid w:val="6CCF1CAB"/>
    <w:rsid w:val="6D221591"/>
    <w:rsid w:val="6D531D11"/>
    <w:rsid w:val="6D6261FE"/>
    <w:rsid w:val="6EAE579F"/>
    <w:rsid w:val="6ED21161"/>
    <w:rsid w:val="70757FF6"/>
    <w:rsid w:val="70AE3508"/>
    <w:rsid w:val="716A38D3"/>
    <w:rsid w:val="71A7583C"/>
    <w:rsid w:val="7224305C"/>
    <w:rsid w:val="738E15FA"/>
    <w:rsid w:val="74DF6386"/>
    <w:rsid w:val="753C7334"/>
    <w:rsid w:val="760D0CD1"/>
    <w:rsid w:val="76C8477C"/>
    <w:rsid w:val="77644920"/>
    <w:rsid w:val="77E06E55"/>
    <w:rsid w:val="78324A1E"/>
    <w:rsid w:val="7837097B"/>
    <w:rsid w:val="78395DAD"/>
    <w:rsid w:val="7ADA6EDB"/>
    <w:rsid w:val="7D80622C"/>
    <w:rsid w:val="7D91786B"/>
    <w:rsid w:val="7DE855DE"/>
    <w:rsid w:val="7EEB5167"/>
    <w:rsid w:val="7FAE0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w:basedOn w:val="1"/>
    <w:autoRedefine/>
    <w:qFormat/>
    <w:uiPriority w:val="0"/>
    <w:pPr>
      <w:spacing w:after="120" w:afterLines="0" w:afterAutospacing="0"/>
    </w:pPr>
  </w:style>
  <w:style w:type="paragraph" w:styleId="6">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unhideWhenUsed/>
    <w:qFormat/>
    <w:uiPriority w:val="39"/>
  </w:style>
  <w:style w:type="paragraph" w:styleId="9">
    <w:name w:val="toc 2"/>
    <w:basedOn w:val="1"/>
    <w:next w:val="1"/>
    <w:qFormat/>
    <w:uiPriority w:val="0"/>
    <w:pPr>
      <w:ind w:left="420" w:leftChars="200"/>
    </w:pPr>
  </w:style>
  <w:style w:type="paragraph" w:styleId="1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22"/>
    <w:rPr>
      <w:b/>
    </w:rPr>
  </w:style>
  <w:style w:type="character" w:styleId="16">
    <w:name w:val="Hyperlink"/>
    <w:basedOn w:val="14"/>
    <w:autoRedefine/>
    <w:semiHidden/>
    <w:unhideWhenUsed/>
    <w:qFormat/>
    <w:uiPriority w:val="99"/>
    <w:rPr>
      <w:color w:val="0000FF"/>
      <w:u w:val="single"/>
    </w:rPr>
  </w:style>
  <w:style w:type="paragraph" w:customStyle="1" w:styleId="17">
    <w:name w:val="Normal Indent1"/>
    <w:basedOn w:val="1"/>
    <w:autoRedefine/>
    <w:qFormat/>
    <w:uiPriority w:val="0"/>
    <w:pPr>
      <w:widowControl/>
      <w:spacing w:line="360" w:lineRule="auto"/>
      <w:ind w:firstLine="420"/>
    </w:pPr>
    <w:rPr>
      <w:rFonts w:ascii="宋体"/>
      <w:kern w:val="0"/>
      <w:sz w:val="20"/>
    </w:rPr>
  </w:style>
  <w:style w:type="character" w:customStyle="1" w:styleId="18">
    <w:name w:val="页眉 Char"/>
    <w:basedOn w:val="14"/>
    <w:link w:val="7"/>
    <w:autoRedefine/>
    <w:semiHidden/>
    <w:qFormat/>
    <w:uiPriority w:val="99"/>
    <w:rPr>
      <w:sz w:val="18"/>
      <w:szCs w:val="18"/>
    </w:rPr>
  </w:style>
  <w:style w:type="character" w:customStyle="1" w:styleId="19">
    <w:name w:val="页脚 Char"/>
    <w:basedOn w:val="14"/>
    <w:link w:val="6"/>
    <w:autoRedefine/>
    <w:semiHidden/>
    <w:qFormat/>
    <w:uiPriority w:val="99"/>
    <w:rPr>
      <w:sz w:val="18"/>
      <w:szCs w:val="18"/>
    </w:rPr>
  </w:style>
  <w:style w:type="paragraph" w:customStyle="1" w:styleId="20">
    <w:name w:val="标准文件_注×："/>
    <w:autoRedefine/>
    <w:qFormat/>
    <w:uiPriority w:val="0"/>
    <w:pPr>
      <w:widowControl w:val="0"/>
      <w:numPr>
        <w:ilvl w:val="0"/>
        <w:numId w:val="1"/>
      </w:numPr>
      <w:autoSpaceDE w:val="0"/>
      <w:autoSpaceDN w:val="0"/>
      <w:jc w:val="both"/>
    </w:pPr>
    <w:rPr>
      <w:rFonts w:ascii="宋体" w:hAnsi="Times New Roman" w:eastAsia="宋体" w:cs="Times New Roman"/>
      <w:sz w:val="18"/>
      <w:szCs w:val="18"/>
      <w:lang w:val="en-US" w:eastAsia="zh-CN" w:bidi="ar-SA"/>
    </w:rPr>
  </w:style>
  <w:style w:type="paragraph" w:customStyle="1" w:styleId="21">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22">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3">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4">
    <w:name w:val="封面一致性程度标识"/>
    <w:autoRedefine/>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25">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6">
    <w:name w:val="文献分类号"/>
    <w:autoRedefine/>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27">
    <w:name w:val="正文标准"/>
    <w:basedOn w:val="1"/>
    <w:autoRedefine/>
    <w:qFormat/>
    <w:uiPriority w:val="0"/>
    <w:pPr>
      <w:spacing w:line="360" w:lineRule="exact"/>
      <w:ind w:firstLine="200" w:firstLineChars="200"/>
    </w:pPr>
    <w:rPr>
      <w:rFonts w:ascii="Times New Roman" w:hAnsi="Times New Roman" w:eastAsia="宋体" w:cs="宋体"/>
      <w:szCs w:val="20"/>
    </w:rPr>
  </w:style>
  <w:style w:type="paragraph" w:customStyle="1" w:styleId="28">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9">
    <w:name w:val="WPSOffice手动目录 1"/>
    <w:autoRedefine/>
    <w:qFormat/>
    <w:uiPriority w:val="0"/>
    <w:pPr>
      <w:ind w:leftChars="0"/>
    </w:pPr>
    <w:rPr>
      <w:rFonts w:ascii="Times New Roman" w:hAnsi="Times New Roman" w:eastAsia="宋体" w:cs="Times New Roman"/>
      <w:sz w:val="20"/>
      <w:szCs w:val="20"/>
    </w:rPr>
  </w:style>
  <w:style w:type="paragraph" w:customStyle="1" w:styleId="30">
    <w:name w:val="目录标题"/>
    <w:basedOn w:val="1"/>
    <w:qFormat/>
    <w:uiPriority w:val="0"/>
    <w:pPr>
      <w:numPr>
        <w:ilvl w:val="0"/>
        <w:numId w:val="2"/>
      </w:numPr>
      <w:spacing w:before="100" w:beforeLines="100" w:after="100" w:afterLines="100"/>
      <w:outlineLvl w:val="0"/>
    </w:pPr>
    <w:rPr>
      <w:rFonts w:hint="default" w:asciiTheme="minorAscii" w:hAnsiTheme="minorAscii"/>
      <w:b/>
      <w:sz w:val="28"/>
      <w:szCs w:val="28"/>
    </w:rPr>
  </w:style>
  <w:style w:type="paragraph" w:customStyle="1" w:styleId="31">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20766</Words>
  <Characters>21632</Characters>
  <Lines>30</Lines>
  <Paragraphs>8</Paragraphs>
  <TotalTime>5</TotalTime>
  <ScaleCrop>false</ScaleCrop>
  <LinksUpToDate>false</LinksUpToDate>
  <CharactersWithSpaces>22038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2024-03-14T05:53:00Z</dcterms:created>
  <dc:creator>未定义</dc:creator>
  <cp:lastModifiedBy>ss</cp:lastModifiedBy>
  <cp:lastPrinted>2025-06-30T03:30:00Z</cp:lastPrinted>
  <dcterms:modified xsi:type="dcterms:W3CDTF">2026-04-09T02:24:30Z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95726E7FBEF64BEA841039211A0B53C4_13</vt:lpwstr>
  </property>
  <property fmtid="{D5CDD505-2E9C-101B-9397-08002B2CF9AE}" pid="4" name="KSOTemplateDocerSaveRecord">
    <vt:lpwstr>eyJoZGlkIjoiZGM0OGYwZjkzYzk4NjE2NzIyNDgxZWVlNmY0NWE2OTIiLCJ1c2VySWQiOiIxNjA5NTcxODczIn0=</vt:lpwstr>
  </property>
</Properties>
</file>