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4E33" w14:textId="77777777" w:rsidR="00875C85" w:rsidRDefault="00875C85">
      <w:pPr>
        <w:jc w:val="center"/>
        <w:rPr>
          <w:rFonts w:eastAsia="黑体"/>
          <w:sz w:val="32"/>
          <w:szCs w:val="32"/>
        </w:rPr>
      </w:pPr>
    </w:p>
    <w:p w14:paraId="43B6A713" w14:textId="77777777" w:rsidR="00875C85" w:rsidRDefault="00875C85">
      <w:pPr>
        <w:jc w:val="center"/>
        <w:rPr>
          <w:rFonts w:eastAsia="黑体"/>
          <w:sz w:val="32"/>
          <w:szCs w:val="32"/>
        </w:rPr>
      </w:pPr>
    </w:p>
    <w:p w14:paraId="077F43BF" w14:textId="77777777" w:rsidR="00875C85" w:rsidRDefault="00875C85">
      <w:pPr>
        <w:jc w:val="center"/>
        <w:rPr>
          <w:rFonts w:eastAsia="黑体"/>
          <w:sz w:val="32"/>
          <w:szCs w:val="32"/>
        </w:rPr>
      </w:pPr>
    </w:p>
    <w:p w14:paraId="53969195" w14:textId="77777777" w:rsidR="00875C85" w:rsidRDefault="00875C85">
      <w:pPr>
        <w:jc w:val="center"/>
        <w:rPr>
          <w:rFonts w:eastAsia="黑体"/>
          <w:sz w:val="32"/>
          <w:szCs w:val="32"/>
        </w:rPr>
      </w:pPr>
    </w:p>
    <w:p w14:paraId="49B2B3D8" w14:textId="77777777" w:rsidR="00875C85" w:rsidRDefault="00875C85">
      <w:pPr>
        <w:jc w:val="center"/>
        <w:rPr>
          <w:rFonts w:eastAsia="黑体"/>
          <w:sz w:val="32"/>
          <w:szCs w:val="32"/>
        </w:rPr>
      </w:pPr>
    </w:p>
    <w:p w14:paraId="68A45F7A" w14:textId="77777777" w:rsidR="00875C85" w:rsidRDefault="00875C85">
      <w:pPr>
        <w:jc w:val="center"/>
        <w:rPr>
          <w:rFonts w:eastAsia="黑体"/>
          <w:sz w:val="44"/>
          <w:szCs w:val="44"/>
        </w:rPr>
      </w:pPr>
    </w:p>
    <w:p w14:paraId="00AE9882" w14:textId="7838B5E9" w:rsidR="00875C85" w:rsidRDefault="00000000">
      <w:pPr>
        <w:jc w:val="center"/>
        <w:rPr>
          <w:rFonts w:eastAsia="黑体"/>
          <w:sz w:val="44"/>
          <w:szCs w:val="44"/>
        </w:rPr>
      </w:pPr>
      <w:r>
        <w:rPr>
          <w:rFonts w:eastAsia="黑体" w:hint="eastAsia"/>
          <w:sz w:val="44"/>
          <w:szCs w:val="44"/>
        </w:rPr>
        <w:t>国家标准《</w:t>
      </w:r>
      <w:r w:rsidR="00051DED">
        <w:rPr>
          <w:rFonts w:eastAsia="黑体" w:hint="eastAsia"/>
          <w:sz w:val="44"/>
          <w:szCs w:val="44"/>
        </w:rPr>
        <w:t>铜及铜合金熔铸冷却水零排放和循环利用规范</w:t>
      </w:r>
      <w:r>
        <w:rPr>
          <w:rFonts w:eastAsia="黑体" w:hint="eastAsia"/>
          <w:sz w:val="44"/>
          <w:szCs w:val="44"/>
        </w:rPr>
        <w:t>》编制说明</w:t>
      </w:r>
    </w:p>
    <w:p w14:paraId="2B0E82A0" w14:textId="77777777" w:rsidR="00875C85" w:rsidRDefault="00875C85">
      <w:pPr>
        <w:pStyle w:val="a0"/>
      </w:pPr>
    </w:p>
    <w:p w14:paraId="6FD979E8" w14:textId="38AA0905" w:rsidR="00875C85" w:rsidRDefault="00000000">
      <w:pPr>
        <w:jc w:val="center"/>
        <w:rPr>
          <w:rFonts w:eastAsia="黑体"/>
          <w:sz w:val="32"/>
          <w:szCs w:val="32"/>
        </w:rPr>
      </w:pPr>
      <w:r>
        <w:rPr>
          <w:rFonts w:eastAsia="黑体" w:hint="eastAsia"/>
          <w:sz w:val="32"/>
          <w:szCs w:val="32"/>
        </w:rPr>
        <w:t>（</w:t>
      </w:r>
      <w:r w:rsidR="004D4E52">
        <w:rPr>
          <w:rFonts w:eastAsia="黑体" w:hint="eastAsia"/>
          <w:sz w:val="32"/>
          <w:szCs w:val="32"/>
        </w:rPr>
        <w:t>讨论</w:t>
      </w:r>
      <w:r>
        <w:rPr>
          <w:rFonts w:eastAsia="黑体" w:hint="eastAsia"/>
          <w:sz w:val="32"/>
          <w:szCs w:val="32"/>
        </w:rPr>
        <w:t>稿）</w:t>
      </w:r>
    </w:p>
    <w:p w14:paraId="083AF3D4" w14:textId="77777777" w:rsidR="00875C85" w:rsidRDefault="00875C85">
      <w:pPr>
        <w:jc w:val="center"/>
        <w:rPr>
          <w:rFonts w:eastAsia="黑体"/>
          <w:sz w:val="28"/>
          <w:szCs w:val="28"/>
        </w:rPr>
      </w:pPr>
    </w:p>
    <w:p w14:paraId="67D435A6" w14:textId="77777777" w:rsidR="00875C85" w:rsidRDefault="00875C85">
      <w:pPr>
        <w:jc w:val="center"/>
        <w:rPr>
          <w:rFonts w:eastAsia="黑体"/>
          <w:sz w:val="28"/>
          <w:szCs w:val="28"/>
        </w:rPr>
      </w:pPr>
    </w:p>
    <w:p w14:paraId="4D5E62B0" w14:textId="77777777" w:rsidR="00875C85" w:rsidRDefault="00875C85">
      <w:pPr>
        <w:jc w:val="center"/>
        <w:rPr>
          <w:rFonts w:eastAsia="黑体"/>
          <w:sz w:val="28"/>
          <w:szCs w:val="28"/>
        </w:rPr>
      </w:pPr>
    </w:p>
    <w:p w14:paraId="15B73921" w14:textId="77777777" w:rsidR="00875C85" w:rsidRDefault="00875C85">
      <w:pPr>
        <w:jc w:val="center"/>
        <w:rPr>
          <w:rFonts w:eastAsia="黑体"/>
          <w:sz w:val="28"/>
          <w:szCs w:val="28"/>
        </w:rPr>
      </w:pPr>
    </w:p>
    <w:p w14:paraId="4AE6AF22" w14:textId="77777777" w:rsidR="00875C85" w:rsidRDefault="00875C85">
      <w:pPr>
        <w:jc w:val="center"/>
        <w:rPr>
          <w:rFonts w:eastAsia="黑体"/>
          <w:sz w:val="28"/>
          <w:szCs w:val="28"/>
        </w:rPr>
      </w:pPr>
    </w:p>
    <w:p w14:paraId="65CCCD6A" w14:textId="77777777" w:rsidR="00875C85" w:rsidRDefault="00875C85">
      <w:pPr>
        <w:jc w:val="center"/>
        <w:rPr>
          <w:rFonts w:eastAsia="黑体"/>
          <w:sz w:val="28"/>
          <w:szCs w:val="28"/>
        </w:rPr>
      </w:pPr>
    </w:p>
    <w:p w14:paraId="00909E4C" w14:textId="77777777" w:rsidR="00875C85" w:rsidRDefault="00875C85">
      <w:pPr>
        <w:jc w:val="center"/>
        <w:rPr>
          <w:rFonts w:eastAsia="黑体"/>
          <w:sz w:val="28"/>
          <w:szCs w:val="28"/>
        </w:rPr>
      </w:pPr>
    </w:p>
    <w:p w14:paraId="154E1BBE" w14:textId="4ACEB079" w:rsidR="00875C85" w:rsidRDefault="004D4E52">
      <w:pPr>
        <w:jc w:val="center"/>
        <w:rPr>
          <w:rFonts w:eastAsia="黑体"/>
          <w:sz w:val="28"/>
          <w:szCs w:val="28"/>
        </w:rPr>
      </w:pPr>
      <w:r>
        <w:rPr>
          <w:rFonts w:eastAsia="黑体" w:hint="eastAsia"/>
          <w:sz w:val="28"/>
          <w:szCs w:val="28"/>
        </w:rPr>
        <w:t>宁波博威合金材料股份有限公司</w:t>
      </w:r>
    </w:p>
    <w:p w14:paraId="23FDA1D1" w14:textId="0D8392CA" w:rsidR="00875C85" w:rsidRDefault="004D4E52">
      <w:pPr>
        <w:jc w:val="center"/>
        <w:rPr>
          <w:rFonts w:eastAsia="黑体"/>
          <w:sz w:val="28"/>
          <w:szCs w:val="28"/>
        </w:rPr>
      </w:pPr>
      <w:r>
        <w:rPr>
          <w:rFonts w:eastAsia="黑体" w:hint="eastAsia"/>
          <w:sz w:val="28"/>
          <w:szCs w:val="28"/>
        </w:rPr>
        <w:t>2026</w:t>
      </w:r>
      <w:r>
        <w:rPr>
          <w:rFonts w:eastAsia="黑体" w:hint="eastAsia"/>
          <w:sz w:val="28"/>
          <w:szCs w:val="28"/>
        </w:rPr>
        <w:t>年</w:t>
      </w:r>
      <w:r>
        <w:rPr>
          <w:rFonts w:eastAsia="黑体" w:hint="eastAsia"/>
          <w:sz w:val="28"/>
          <w:szCs w:val="28"/>
        </w:rPr>
        <w:t>03</w:t>
      </w:r>
      <w:r>
        <w:rPr>
          <w:rFonts w:eastAsia="黑体" w:hint="eastAsia"/>
          <w:sz w:val="28"/>
          <w:szCs w:val="28"/>
        </w:rPr>
        <w:t>月</w:t>
      </w:r>
      <w:r>
        <w:rPr>
          <w:rFonts w:eastAsia="黑体" w:hint="eastAsia"/>
          <w:sz w:val="28"/>
          <w:szCs w:val="28"/>
        </w:rPr>
        <w:br w:type="page"/>
      </w:r>
    </w:p>
    <w:p w14:paraId="6E03AA90" w14:textId="68E06285" w:rsidR="00875C85" w:rsidRDefault="00000000">
      <w:pPr>
        <w:jc w:val="center"/>
        <w:rPr>
          <w:rFonts w:eastAsia="黑体"/>
          <w:sz w:val="44"/>
          <w:szCs w:val="44"/>
        </w:rPr>
      </w:pPr>
      <w:r>
        <w:rPr>
          <w:rFonts w:eastAsia="黑体" w:hint="eastAsia"/>
          <w:sz w:val="44"/>
          <w:szCs w:val="44"/>
        </w:rPr>
        <w:lastRenderedPageBreak/>
        <w:t>国家标准《</w:t>
      </w:r>
      <w:r w:rsidR="004D4E52" w:rsidRPr="004D4E52">
        <w:rPr>
          <w:rFonts w:eastAsia="黑体" w:hint="eastAsia"/>
          <w:sz w:val="44"/>
          <w:szCs w:val="44"/>
        </w:rPr>
        <w:t>铜及铜合金熔铸冷却水零排放和循环利用规范</w:t>
      </w:r>
      <w:r>
        <w:rPr>
          <w:rFonts w:eastAsia="黑体" w:hint="eastAsia"/>
          <w:sz w:val="44"/>
          <w:szCs w:val="44"/>
        </w:rPr>
        <w:t>》编制说明（</w:t>
      </w:r>
      <w:r w:rsidR="004D4E52">
        <w:rPr>
          <w:rFonts w:eastAsia="黑体" w:hint="eastAsia"/>
          <w:sz w:val="44"/>
          <w:szCs w:val="44"/>
        </w:rPr>
        <w:t>讨论稿</w:t>
      </w:r>
      <w:r>
        <w:rPr>
          <w:rFonts w:eastAsia="黑体" w:hint="eastAsia"/>
          <w:sz w:val="44"/>
          <w:szCs w:val="44"/>
        </w:rPr>
        <w:t>）</w:t>
      </w:r>
    </w:p>
    <w:p w14:paraId="5229526A" w14:textId="77777777" w:rsidR="00875C85" w:rsidRDefault="00000000">
      <w:pPr>
        <w:pStyle w:val="ae"/>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t>一、工作简况</w:t>
      </w:r>
    </w:p>
    <w:p w14:paraId="7889C107" w14:textId="77777777" w:rsidR="00875C85" w:rsidRDefault="00000000">
      <w:pPr>
        <w:pStyle w:val="ae"/>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t>1.1任务来源</w:t>
      </w:r>
    </w:p>
    <w:p w14:paraId="56D4E494" w14:textId="7086FB3C" w:rsidR="004D4E52" w:rsidRDefault="004D4E52" w:rsidP="005F31E4">
      <w:pPr>
        <w:snapToGrid w:val="0"/>
        <w:spacing w:line="300" w:lineRule="exact"/>
        <w:ind w:firstLineChars="200" w:firstLine="420"/>
        <w:jc w:val="left"/>
        <w:textAlignment w:val="center"/>
        <w:rPr>
          <w:rFonts w:ascii="宋体" w:hAnsi="宋体" w:hint="eastAsia"/>
          <w:szCs w:val="21"/>
        </w:rPr>
      </w:pPr>
      <w:r>
        <w:rPr>
          <w:rFonts w:ascii="宋体" w:hAnsi="宋体"/>
          <w:szCs w:val="21"/>
        </w:rPr>
        <w:t>根据</w:t>
      </w:r>
      <w:r w:rsidRPr="004D4E52">
        <w:rPr>
          <w:rFonts w:ascii="宋体" w:hAnsi="宋体" w:hint="eastAsia"/>
          <w:szCs w:val="21"/>
        </w:rPr>
        <w:t>国标委发〔2026〕10号《国家标准委关于下达2026年第一批推荐性国家标准计划及相关标准外文版计划的通知》</w:t>
      </w:r>
      <w:r>
        <w:rPr>
          <w:rFonts w:ascii="宋体" w:hAnsi="宋体"/>
          <w:szCs w:val="21"/>
        </w:rPr>
        <w:t>文件，《</w:t>
      </w:r>
      <w:r w:rsidR="005F31E4">
        <w:rPr>
          <w:rFonts w:ascii="宋体" w:eastAsia="宋体" w:hAnsi="宋体" w:cs="宋体" w:hint="eastAsia"/>
          <w:color w:val="000000"/>
          <w:szCs w:val="21"/>
          <w:lang w:bidi="ar"/>
        </w:rPr>
        <w:t>铜及铜合金熔铸冷却水零排放和循环利用规范</w:t>
      </w:r>
      <w:r>
        <w:rPr>
          <w:rFonts w:ascii="宋体" w:hAnsi="宋体"/>
          <w:szCs w:val="21"/>
        </w:rPr>
        <w:t>》</w:t>
      </w:r>
      <w:r w:rsidR="005F31E4">
        <w:rPr>
          <w:rFonts w:ascii="宋体" w:hAnsi="宋体" w:hint="eastAsia"/>
          <w:szCs w:val="21"/>
        </w:rPr>
        <w:t>国家</w:t>
      </w:r>
      <w:r>
        <w:rPr>
          <w:rFonts w:ascii="宋体" w:hAnsi="宋体"/>
          <w:szCs w:val="21"/>
        </w:rPr>
        <w:t>标准（计划号</w:t>
      </w:r>
      <w:r w:rsidRPr="004D4E52">
        <w:rPr>
          <w:rFonts w:ascii="宋体" w:hAnsi="宋体" w:hint="eastAsia"/>
          <w:szCs w:val="21"/>
        </w:rPr>
        <w:t>20260476-T-610</w:t>
      </w:r>
      <w:r>
        <w:rPr>
          <w:rFonts w:ascii="宋体" w:hAnsi="宋体"/>
          <w:szCs w:val="21"/>
        </w:rPr>
        <w:t>），由</w:t>
      </w:r>
      <w:r>
        <w:rPr>
          <w:rFonts w:ascii="宋体" w:hAnsi="宋体" w:hint="eastAsia"/>
          <w:szCs w:val="21"/>
        </w:rPr>
        <w:t>宁波博威合金材料股份有限公司、宁波长振铜业有限公司、</w:t>
      </w:r>
      <w:r w:rsidR="005F31E4">
        <w:rPr>
          <w:rFonts w:ascii="宋体" w:eastAsia="宋体" w:hAnsi="宋体" w:cs="宋体" w:hint="eastAsia"/>
          <w:color w:val="000000"/>
          <w:kern w:val="0"/>
          <w:szCs w:val="21"/>
          <w:lang w:bidi="ar"/>
        </w:rPr>
        <w:t>广东龙丰精密铜管有限公司</w:t>
      </w:r>
      <w:r>
        <w:rPr>
          <w:rFonts w:ascii="宋体" w:hAnsi="宋体" w:hint="eastAsia"/>
          <w:szCs w:val="21"/>
        </w:rPr>
        <w:t>、</w:t>
      </w:r>
      <w:r w:rsidRPr="000E71C0">
        <w:rPr>
          <w:rFonts w:ascii="Times New Roman" w:hint="eastAsia"/>
          <w:color w:val="000000"/>
          <w:szCs w:val="21"/>
          <w:shd w:val="clear" w:color="auto" w:fill="FFFFFF"/>
        </w:rPr>
        <w:t>浙江海亮股份有限公司</w:t>
      </w:r>
      <w:r>
        <w:rPr>
          <w:rFonts w:ascii="Times New Roman" w:hint="eastAsia"/>
          <w:color w:val="000000"/>
          <w:szCs w:val="21"/>
          <w:shd w:val="clear" w:color="auto" w:fill="FFFFFF"/>
        </w:rPr>
        <w:t>、</w:t>
      </w:r>
      <w:r w:rsidR="005F31E4">
        <w:rPr>
          <w:rFonts w:ascii="宋体" w:eastAsia="宋体" w:hAnsi="宋体" w:cs="宋体" w:hint="eastAsia"/>
          <w:color w:val="000000"/>
          <w:kern w:val="0"/>
          <w:szCs w:val="21"/>
          <w:lang w:bidi="ar"/>
        </w:rPr>
        <w:t>宁波兴敖达金属新材料有限公司、江西耐乐铜业有限公司</w:t>
      </w:r>
      <w:r>
        <w:rPr>
          <w:rFonts w:ascii="宋体" w:eastAsia="宋体" w:hAnsi="宋体" w:cs="宋体" w:hint="eastAsia"/>
          <w:kern w:val="0"/>
          <w:szCs w:val="21"/>
        </w:rPr>
        <w:t>等公司起草</w:t>
      </w:r>
      <w:r>
        <w:rPr>
          <w:rFonts w:ascii="宋体" w:hAnsi="宋体"/>
          <w:szCs w:val="21"/>
        </w:rPr>
        <w:t>，完成年限为202</w:t>
      </w:r>
      <w:r w:rsidR="005F31E4">
        <w:rPr>
          <w:rFonts w:ascii="宋体" w:hAnsi="宋体" w:hint="eastAsia"/>
          <w:szCs w:val="21"/>
        </w:rPr>
        <w:t>7</w:t>
      </w:r>
      <w:r>
        <w:rPr>
          <w:rFonts w:ascii="宋体" w:hAnsi="宋体"/>
          <w:szCs w:val="21"/>
        </w:rPr>
        <w:t>年。</w:t>
      </w:r>
    </w:p>
    <w:p w14:paraId="78559F10" w14:textId="77777777" w:rsidR="00875C85" w:rsidRDefault="00000000">
      <w:pPr>
        <w:pStyle w:val="af0"/>
        <w:spacing w:beforeLines="0" w:afterLines="0" w:line="440" w:lineRule="exact"/>
        <w:outlineLvl w:val="9"/>
        <w:rPr>
          <w:rFonts w:hAnsi="黑体" w:cs="黑体" w:hint="eastAsia"/>
          <w:szCs w:val="21"/>
        </w:rPr>
      </w:pPr>
      <w:r>
        <w:rPr>
          <w:rFonts w:hAnsi="黑体" w:cs="黑体" w:hint="eastAsia"/>
          <w:szCs w:val="21"/>
        </w:rPr>
        <w:t>1.2立项目的和意义</w:t>
      </w:r>
    </w:p>
    <w:p w14:paraId="475B2878" w14:textId="77777777" w:rsidR="005F31E4" w:rsidRDefault="005F31E4" w:rsidP="005F31E4">
      <w:pPr>
        <w:ind w:firstLineChars="200" w:firstLine="420"/>
      </w:pPr>
      <w:r w:rsidRPr="00995A78">
        <w:t>水是维系生态平衡、保障民生福祉、支撑高质量发展的命脉资源。我国人均水资源量仅为世界平均水平的四分之一，且时空分布极不均，北方半数以上城市长期处于缺水甚至重度缺水。工业化与城镇化双轮驱动下，工业用水虽不足全国总量三成，</w:t>
      </w:r>
      <w:r>
        <w:rPr>
          <w:rFonts w:hint="eastAsia"/>
        </w:rPr>
        <w:t>严重</w:t>
      </w:r>
      <w:r w:rsidRPr="000C05E7">
        <w:t>制约产能扩张与运行安全</w:t>
      </w:r>
      <w:r w:rsidRPr="00995A78">
        <w:t>。</w:t>
      </w:r>
      <w:r w:rsidRPr="000C05E7">
        <w:t>面对日益尖锐的水资源矛盾，国家已作出系统部署：</w:t>
      </w:r>
    </w:p>
    <w:p w14:paraId="0F2C67B4" w14:textId="77777777" w:rsidR="005F31E4" w:rsidRDefault="005F31E4" w:rsidP="005F31E4">
      <w:pPr>
        <w:ind w:firstLineChars="200" w:firstLine="420"/>
      </w:pPr>
      <w:r w:rsidRPr="00995A78">
        <w:t>2019</w:t>
      </w:r>
      <w:r w:rsidRPr="00995A78">
        <w:t>年《国家节水行动方案》明确提出：以计量体系与在线监测为抓手，全面推动工业节水改造；大力推广高效冷却、洗涤、循环用水、废污水再生利用及高耗水工艺替代等先进技术，为破解水约束、实现绿色增长提供坚实支撑。</w:t>
      </w:r>
    </w:p>
    <w:p w14:paraId="35930B48" w14:textId="77777777" w:rsidR="005F31E4" w:rsidRPr="00147D8E" w:rsidRDefault="005F31E4" w:rsidP="005F31E4">
      <w:pPr>
        <w:ind w:firstLineChars="200" w:firstLine="420"/>
      </w:pPr>
      <w:r w:rsidRPr="00147D8E">
        <w:rPr>
          <w:rFonts w:hint="eastAsia"/>
        </w:rPr>
        <w:t>《中国制造</w:t>
      </w:r>
      <w:r w:rsidRPr="00147D8E">
        <w:rPr>
          <w:rFonts w:hint="eastAsia"/>
        </w:rPr>
        <w:t>2025</w:t>
      </w:r>
      <w:r w:rsidRPr="00147D8E">
        <w:rPr>
          <w:rFonts w:hint="eastAsia"/>
        </w:rPr>
        <w:t>》提出，到</w:t>
      </w:r>
      <w:r w:rsidRPr="00147D8E">
        <w:rPr>
          <w:rFonts w:hint="eastAsia"/>
        </w:rPr>
        <w:t>2025</w:t>
      </w:r>
      <w:r w:rsidRPr="00147D8E">
        <w:rPr>
          <w:rFonts w:hint="eastAsia"/>
        </w:rPr>
        <w:t>年我国制造业主要目标中单位工业增加值用水量比</w:t>
      </w:r>
      <w:r w:rsidRPr="00147D8E">
        <w:rPr>
          <w:rFonts w:hint="eastAsia"/>
        </w:rPr>
        <w:t>2015</w:t>
      </w:r>
      <w:r w:rsidRPr="00147D8E">
        <w:rPr>
          <w:rFonts w:hint="eastAsia"/>
        </w:rPr>
        <w:t>年下降</w:t>
      </w:r>
      <w:r w:rsidRPr="00147D8E">
        <w:rPr>
          <w:rFonts w:hint="eastAsia"/>
        </w:rPr>
        <w:t>41%</w:t>
      </w:r>
      <w:r w:rsidRPr="00147D8E">
        <w:rPr>
          <w:rFonts w:hint="eastAsia"/>
        </w:rPr>
        <w:t>，全面推进钢铁、有色、化工、建材等传统制造业绿色改造，大力研发推广水循环利用、重金属污染减量化、有毒有害原料替代等绿色工艺技术装备；推进资源高效循环利用，构建绿色制造体系，实现绿色制造。</w:t>
      </w:r>
    </w:p>
    <w:p w14:paraId="6524870C" w14:textId="77777777" w:rsidR="005F31E4" w:rsidRPr="00147D8E" w:rsidRDefault="005F31E4" w:rsidP="005F31E4">
      <w:pPr>
        <w:ind w:firstLineChars="200" w:firstLine="420"/>
      </w:pPr>
      <w:r w:rsidRPr="00147D8E">
        <w:rPr>
          <w:rFonts w:hint="eastAsia"/>
        </w:rPr>
        <w:t>《工业水效提升行动》中指出：到</w:t>
      </w:r>
      <w:r w:rsidRPr="00147D8E">
        <w:t>2025</w:t>
      </w:r>
      <w:r w:rsidRPr="00147D8E">
        <w:rPr>
          <w:rFonts w:hint="eastAsia"/>
        </w:rPr>
        <w:t>年，全国万元工业增加值用水量较</w:t>
      </w:r>
      <w:r w:rsidRPr="00147D8E">
        <w:t>2020</w:t>
      </w:r>
      <w:r w:rsidRPr="00147D8E">
        <w:rPr>
          <w:rFonts w:hint="eastAsia"/>
        </w:rPr>
        <w:t>年下降</w:t>
      </w:r>
      <w:r w:rsidRPr="00147D8E">
        <w:t>16%</w:t>
      </w:r>
      <w:r w:rsidRPr="00147D8E">
        <w:rPr>
          <w:rFonts w:hint="eastAsia"/>
        </w:rPr>
        <w:t>。重点用水行业水效进一步提升，纺织、食品、有色金属行业主要产品单位取水量下降</w:t>
      </w:r>
      <w:r w:rsidRPr="00147D8E">
        <w:t>15%</w:t>
      </w:r>
      <w:r w:rsidRPr="00147D8E">
        <w:rPr>
          <w:rFonts w:hint="eastAsia"/>
        </w:rPr>
        <w:t>。工业废水循环利用水平进一步提高，力争全国规模以上工业用水重复利用率达到</w:t>
      </w:r>
      <w:r w:rsidRPr="00147D8E">
        <w:t>94%</w:t>
      </w:r>
      <w:r w:rsidRPr="00147D8E">
        <w:rPr>
          <w:rFonts w:hint="eastAsia"/>
        </w:rPr>
        <w:t>左右。工业节水政策机制更加健全，企业节水意识普遍增强，节水型生产方式基本建立，初步形成工业用水与发展规模、产业构和空间布局等协调发展的现代化格局。</w:t>
      </w:r>
    </w:p>
    <w:p w14:paraId="455DB28C" w14:textId="7E1C87FC" w:rsidR="005F31E4" w:rsidRDefault="005F31E4" w:rsidP="005F31E4">
      <w:pPr>
        <w:ind w:firstLineChars="200" w:firstLine="420"/>
      </w:pPr>
      <w:r w:rsidRPr="00147D8E">
        <w:rPr>
          <w:rFonts w:hint="eastAsia"/>
        </w:rPr>
        <w:t>2024</w:t>
      </w:r>
      <w:r w:rsidRPr="00147D8E">
        <w:rPr>
          <w:rFonts w:hint="eastAsia"/>
        </w:rPr>
        <w:t>年</w:t>
      </w:r>
      <w:r w:rsidRPr="00147D8E">
        <w:rPr>
          <w:rFonts w:hint="eastAsia"/>
        </w:rPr>
        <w:t>3</w:t>
      </w:r>
      <w:r w:rsidRPr="00147D8E">
        <w:rPr>
          <w:rFonts w:hint="eastAsia"/>
        </w:rPr>
        <w:t>月发布的《节约用水条例》中指出国家建立健全节水标准体系，国务院有关部门依法组织制定并适时修订有关节水的国家标准、行业标准。工业企业应当加强内部用水管理，建立节水管理制度，采用分质供水、高效冷却和洗涤、循环用水、废水处理回用等先进、适用节水技术、工艺和设备，降低单位产品（产值）耗水量，提高水资源重复利用率。</w:t>
      </w:r>
    </w:p>
    <w:p w14:paraId="734CA320" w14:textId="77777777" w:rsidR="005F31E4" w:rsidRDefault="005F31E4" w:rsidP="005F31E4">
      <w:pPr>
        <w:ind w:firstLineChars="200" w:firstLine="420"/>
      </w:pPr>
      <w:r>
        <w:rPr>
          <w:rFonts w:hint="eastAsia"/>
        </w:rPr>
        <w:t>鉴于国家用水形势的紧迫，本标准的修订迫在眉睫。</w:t>
      </w:r>
      <w:r w:rsidRPr="00BB2405">
        <w:t>本标准的修订，将为铜加工企业提供清晰可循的节水路径，以刚性规范引导行业全面节水，切实缓解用水压力；以标杆示范带动工业水效跃升，推动用水方式由粗放向集约节约的根本转变，从而有效纾解我国水资源供需矛盾、筑牢用水安全屏障，并进一步催化铜加工产业高端化、绿色化、智能化升级，为实现碳达峰、碳中和目标注入强劲动能。</w:t>
      </w:r>
    </w:p>
    <w:p w14:paraId="57437CB9" w14:textId="0FD82D40" w:rsidR="00875C85" w:rsidRDefault="00000000" w:rsidP="005F31E4">
      <w:pPr>
        <w:pStyle w:val="af0"/>
        <w:spacing w:beforeLines="0" w:afterLines="0" w:line="440" w:lineRule="exact"/>
        <w:outlineLvl w:val="9"/>
        <w:rPr>
          <w:rFonts w:hAnsi="黑体" w:cs="黑体" w:hint="eastAsia"/>
          <w:szCs w:val="21"/>
        </w:rPr>
      </w:pPr>
      <w:r>
        <w:rPr>
          <w:rFonts w:hAnsi="黑体" w:cs="黑体" w:hint="eastAsia"/>
          <w:szCs w:val="21"/>
        </w:rPr>
        <w:t>1.3主要参加单位和工作成员所作的工作</w:t>
      </w:r>
    </w:p>
    <w:p w14:paraId="354E0545" w14:textId="6F9D3C3B" w:rsidR="005F31E4" w:rsidRDefault="005F31E4" w:rsidP="005F31E4">
      <w:pPr>
        <w:pStyle w:val="af2"/>
        <w:ind w:firstLine="420"/>
        <w:contextualSpacing/>
        <w:rPr>
          <w:rFonts w:ascii="Times New Roman" w:eastAsiaTheme="minorEastAsia"/>
          <w:kern w:val="2"/>
        </w:rPr>
      </w:pPr>
      <w:r>
        <w:rPr>
          <w:rFonts w:ascii="Times New Roman" w:eastAsiaTheme="minorEastAsia" w:hint="eastAsia"/>
          <w:kern w:val="2"/>
        </w:rPr>
        <w:t>本标准的负责起草单位</w:t>
      </w:r>
      <w:r w:rsidRPr="003E2100">
        <w:rPr>
          <w:rFonts w:ascii="Times New Roman" w:eastAsiaTheme="minorEastAsia" w:hint="eastAsia"/>
          <w:b/>
          <w:bCs/>
          <w:kern w:val="2"/>
        </w:rPr>
        <w:t>宁波博威合金材料股份有限公司</w:t>
      </w:r>
      <w:r>
        <w:rPr>
          <w:rFonts w:ascii="Times New Roman" w:eastAsiaTheme="minorEastAsia" w:hint="eastAsia"/>
          <w:kern w:val="2"/>
        </w:rPr>
        <w:t>是国家技术创新示范企业、国家级制造业单项冠军示范企业，拥有国家认定企业技术中心、国家级博士后科研工作站、国家认可实验室、国家地方联合工程研究中心等。先后承担国家“十三五”重点研发计划项目、国家“十一五”、科技支撑计划等项目，迄今已获得</w:t>
      </w:r>
      <w:r>
        <w:rPr>
          <w:rFonts w:ascii="Times New Roman" w:eastAsiaTheme="minorEastAsia" w:hint="eastAsia"/>
          <w:kern w:val="2"/>
        </w:rPr>
        <w:t>200</w:t>
      </w:r>
      <w:r>
        <w:rPr>
          <w:rFonts w:ascii="Times New Roman" w:eastAsiaTheme="minorEastAsia" w:hint="eastAsia"/>
          <w:kern w:val="2"/>
        </w:rPr>
        <w:t>多项国内外发明专利，主持、参与我国国家、行业标准制修订工作</w:t>
      </w:r>
      <w:r w:rsidR="008C7E78">
        <w:rPr>
          <w:rFonts w:ascii="Times New Roman" w:eastAsiaTheme="minorEastAsia" w:hint="eastAsia"/>
          <w:kern w:val="2"/>
        </w:rPr>
        <w:t>4</w:t>
      </w:r>
      <w:r>
        <w:rPr>
          <w:rFonts w:ascii="Times New Roman" w:eastAsiaTheme="minorEastAsia" w:hint="eastAsia"/>
          <w:kern w:val="2"/>
        </w:rPr>
        <w:t>0</w:t>
      </w:r>
      <w:r>
        <w:rPr>
          <w:rFonts w:ascii="Times New Roman" w:eastAsiaTheme="minorEastAsia" w:hint="eastAsia"/>
          <w:kern w:val="2"/>
        </w:rPr>
        <w:t>多项，引领我国有色合金新材料行业持续发展。博威合金致</w:t>
      </w:r>
      <w:r>
        <w:rPr>
          <w:rFonts w:ascii="Times New Roman" w:eastAsiaTheme="minorEastAsia" w:hint="eastAsia"/>
          <w:kern w:val="2"/>
        </w:rPr>
        <w:lastRenderedPageBreak/>
        <w:t>力于有色合金新材料的研发和生产</w:t>
      </w:r>
      <w:r>
        <w:rPr>
          <w:rFonts w:ascii="Times New Roman" w:eastAsiaTheme="minorEastAsia" w:hint="eastAsia"/>
          <w:kern w:val="2"/>
        </w:rPr>
        <w:t>,</w:t>
      </w:r>
      <w:r>
        <w:rPr>
          <w:rFonts w:ascii="Times New Roman" w:eastAsiaTheme="minorEastAsia" w:hint="eastAsia"/>
          <w:kern w:val="2"/>
        </w:rPr>
        <w:t>服务于半导体、超大规模集成电路、</w:t>
      </w:r>
      <w:r>
        <w:rPr>
          <w:rFonts w:ascii="Times New Roman" w:eastAsiaTheme="minorEastAsia" w:hint="eastAsia"/>
          <w:kern w:val="2"/>
        </w:rPr>
        <w:t>5G/6G</w:t>
      </w:r>
      <w:r>
        <w:rPr>
          <w:rFonts w:ascii="Times New Roman" w:eastAsiaTheme="minorEastAsia" w:hint="eastAsia"/>
          <w:kern w:val="2"/>
        </w:rPr>
        <w:t>通讯、航空航天、高铁、船舶、新能源汽车等</w:t>
      </w:r>
      <w:r>
        <w:rPr>
          <w:rFonts w:ascii="Times New Roman" w:eastAsiaTheme="minorEastAsia" w:hint="eastAsia"/>
          <w:kern w:val="2"/>
        </w:rPr>
        <w:t>30</w:t>
      </w:r>
      <w:r>
        <w:rPr>
          <w:rFonts w:ascii="Times New Roman" w:eastAsiaTheme="minorEastAsia" w:hint="eastAsia"/>
          <w:kern w:val="2"/>
        </w:rPr>
        <w:t>多个行业，打破了多项国外企业对高端合金领域的垄断，解决了新材料“卡脖子”问题，助推我国产业升级。公司在有色合金新材料领域多种新材料的成功研发及产业化，为起草本行业标准提供了有力的技术支撑，具备了起草本国家标准的技术基础。</w:t>
      </w:r>
    </w:p>
    <w:p w14:paraId="4B7CDE9D" w14:textId="6D0D00C7" w:rsidR="008C7E78" w:rsidRPr="00872DFF" w:rsidRDefault="008C7E78" w:rsidP="00872DFF">
      <w:pPr>
        <w:pStyle w:val="af2"/>
        <w:spacing w:line="360" w:lineRule="auto"/>
        <w:ind w:firstLineChars="0" w:firstLine="0"/>
        <w:contextualSpacing/>
        <w:jc w:val="center"/>
        <w:rPr>
          <w:rFonts w:ascii="黑体" w:eastAsia="黑体" w:hAnsi="黑体" w:hint="eastAsia"/>
        </w:rPr>
      </w:pPr>
      <w:r w:rsidRPr="00872DFF">
        <w:rPr>
          <w:rFonts w:ascii="黑体" w:eastAsia="黑体" w:hAnsi="黑体" w:hint="eastAsia"/>
        </w:rPr>
        <w:t>表1 标准编制组成员及职责</w:t>
      </w:r>
    </w:p>
    <w:tbl>
      <w:tblPr>
        <w:tblStyle w:val="a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56"/>
        <w:gridCol w:w="3157"/>
        <w:gridCol w:w="3677"/>
      </w:tblGrid>
      <w:tr w:rsidR="00875C85" w14:paraId="6DC14BA7" w14:textId="77777777" w:rsidTr="00425C66">
        <w:trPr>
          <w:trHeight w:val="232"/>
          <w:jc w:val="center"/>
        </w:trPr>
        <w:tc>
          <w:tcPr>
            <w:tcW w:w="846" w:type="dxa"/>
            <w:vAlign w:val="center"/>
          </w:tcPr>
          <w:p w14:paraId="1725E9C2" w14:textId="77777777" w:rsidR="00875C85" w:rsidRPr="00872DFF" w:rsidRDefault="00000000" w:rsidP="00425C66">
            <w:pPr>
              <w:pStyle w:val="a0"/>
              <w:jc w:val="center"/>
              <w:rPr>
                <w:rFonts w:ascii="Times New Roman" w:eastAsia="宋体" w:hAnsi="Times New Roman" w:cs="Times New Roman"/>
                <w:kern w:val="0"/>
                <w:sz w:val="18"/>
                <w:szCs w:val="16"/>
              </w:rPr>
            </w:pPr>
            <w:r w:rsidRPr="00872DFF">
              <w:rPr>
                <w:rFonts w:ascii="Times New Roman" w:eastAsia="宋体" w:hAnsi="Times New Roman" w:cs="Times New Roman" w:hint="eastAsia"/>
                <w:kern w:val="0"/>
                <w:sz w:val="18"/>
                <w:szCs w:val="16"/>
              </w:rPr>
              <w:t>序号</w:t>
            </w:r>
          </w:p>
        </w:tc>
        <w:tc>
          <w:tcPr>
            <w:tcW w:w="656" w:type="dxa"/>
            <w:vAlign w:val="center"/>
          </w:tcPr>
          <w:p w14:paraId="6239DE3B" w14:textId="77777777" w:rsidR="00875C85" w:rsidRPr="00872DFF" w:rsidRDefault="00000000" w:rsidP="00425C66">
            <w:pPr>
              <w:pStyle w:val="a0"/>
              <w:jc w:val="center"/>
              <w:rPr>
                <w:rFonts w:ascii="Times New Roman" w:eastAsia="宋体" w:hAnsi="Times New Roman" w:cs="Times New Roman"/>
                <w:kern w:val="0"/>
                <w:sz w:val="18"/>
                <w:szCs w:val="16"/>
              </w:rPr>
            </w:pPr>
            <w:r w:rsidRPr="00872DFF">
              <w:rPr>
                <w:rFonts w:ascii="Times New Roman" w:eastAsia="宋体" w:hAnsi="Times New Roman" w:cs="Times New Roman" w:hint="eastAsia"/>
                <w:kern w:val="0"/>
                <w:sz w:val="18"/>
                <w:szCs w:val="16"/>
              </w:rPr>
              <w:t>姓名</w:t>
            </w:r>
          </w:p>
        </w:tc>
        <w:tc>
          <w:tcPr>
            <w:tcW w:w="3157" w:type="dxa"/>
            <w:vAlign w:val="center"/>
          </w:tcPr>
          <w:p w14:paraId="0CAB7730" w14:textId="77777777" w:rsidR="00875C85" w:rsidRPr="00872DFF" w:rsidRDefault="00000000" w:rsidP="00425C66">
            <w:pPr>
              <w:pStyle w:val="a0"/>
              <w:jc w:val="center"/>
              <w:rPr>
                <w:rFonts w:ascii="Times New Roman" w:eastAsia="宋体" w:hAnsi="Times New Roman" w:cs="Times New Roman"/>
                <w:kern w:val="0"/>
                <w:sz w:val="18"/>
                <w:szCs w:val="16"/>
              </w:rPr>
            </w:pPr>
            <w:r w:rsidRPr="00872DFF">
              <w:rPr>
                <w:rFonts w:ascii="Times New Roman" w:eastAsia="宋体" w:hAnsi="Times New Roman" w:cs="Times New Roman" w:hint="eastAsia"/>
                <w:kern w:val="0"/>
                <w:sz w:val="18"/>
                <w:szCs w:val="16"/>
              </w:rPr>
              <w:t>单位</w:t>
            </w:r>
          </w:p>
        </w:tc>
        <w:tc>
          <w:tcPr>
            <w:tcW w:w="3677" w:type="dxa"/>
            <w:vAlign w:val="center"/>
          </w:tcPr>
          <w:p w14:paraId="071403B3" w14:textId="77777777" w:rsidR="00875C85" w:rsidRPr="00872DFF" w:rsidRDefault="00000000" w:rsidP="00425C66">
            <w:pPr>
              <w:pStyle w:val="a0"/>
              <w:jc w:val="center"/>
              <w:rPr>
                <w:rFonts w:ascii="Times New Roman" w:eastAsia="宋体" w:hAnsi="Times New Roman" w:cs="Times New Roman"/>
                <w:kern w:val="0"/>
                <w:sz w:val="18"/>
                <w:szCs w:val="16"/>
              </w:rPr>
            </w:pPr>
            <w:r w:rsidRPr="00872DFF">
              <w:rPr>
                <w:rFonts w:ascii="Times New Roman" w:eastAsia="宋体" w:hAnsi="Times New Roman" w:cs="Times New Roman" w:hint="eastAsia"/>
                <w:kern w:val="0"/>
                <w:sz w:val="18"/>
                <w:szCs w:val="16"/>
              </w:rPr>
              <w:t>工作分工</w:t>
            </w:r>
          </w:p>
        </w:tc>
      </w:tr>
      <w:tr w:rsidR="00875C85" w14:paraId="75087332" w14:textId="77777777" w:rsidTr="00425C66">
        <w:trPr>
          <w:trHeight w:val="284"/>
          <w:jc w:val="center"/>
        </w:trPr>
        <w:tc>
          <w:tcPr>
            <w:tcW w:w="846" w:type="dxa"/>
            <w:vAlign w:val="center"/>
          </w:tcPr>
          <w:p w14:paraId="06768ED6" w14:textId="080E4CE2" w:rsidR="00875C85" w:rsidRPr="00872DFF" w:rsidRDefault="00425C66" w:rsidP="00425C66">
            <w:pPr>
              <w:pStyle w:val="a0"/>
              <w:jc w:val="center"/>
              <w:rPr>
                <w:rFonts w:ascii="Times New Roman" w:eastAsia="宋体" w:hAnsi="Times New Roman" w:cs="Times New Roman"/>
                <w:kern w:val="0"/>
                <w:sz w:val="18"/>
                <w:szCs w:val="16"/>
              </w:rPr>
            </w:pPr>
            <w:r>
              <w:rPr>
                <w:rFonts w:ascii="Times New Roman" w:eastAsia="宋体" w:hAnsi="Times New Roman" w:cs="Times New Roman" w:hint="eastAsia"/>
                <w:kern w:val="0"/>
                <w:sz w:val="18"/>
                <w:szCs w:val="16"/>
              </w:rPr>
              <w:t>1</w:t>
            </w:r>
          </w:p>
        </w:tc>
        <w:tc>
          <w:tcPr>
            <w:tcW w:w="656" w:type="dxa"/>
            <w:vAlign w:val="center"/>
          </w:tcPr>
          <w:p w14:paraId="56F957F1"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157" w:type="dxa"/>
            <w:vAlign w:val="center"/>
          </w:tcPr>
          <w:p w14:paraId="79BF2328"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677" w:type="dxa"/>
            <w:vAlign w:val="center"/>
          </w:tcPr>
          <w:p w14:paraId="54F0A264" w14:textId="77777777" w:rsidR="00875C85" w:rsidRPr="00872DFF" w:rsidRDefault="00875C85" w:rsidP="00425C66">
            <w:pPr>
              <w:pStyle w:val="a0"/>
              <w:jc w:val="center"/>
              <w:rPr>
                <w:rFonts w:ascii="Times New Roman" w:eastAsia="宋体" w:hAnsi="Times New Roman" w:cs="Times New Roman"/>
                <w:kern w:val="0"/>
                <w:sz w:val="18"/>
                <w:szCs w:val="16"/>
              </w:rPr>
            </w:pPr>
          </w:p>
        </w:tc>
      </w:tr>
      <w:tr w:rsidR="00875C85" w14:paraId="5E59C941" w14:textId="77777777" w:rsidTr="00425C66">
        <w:trPr>
          <w:trHeight w:val="284"/>
          <w:jc w:val="center"/>
        </w:trPr>
        <w:tc>
          <w:tcPr>
            <w:tcW w:w="846" w:type="dxa"/>
            <w:vAlign w:val="center"/>
          </w:tcPr>
          <w:p w14:paraId="03233A5A" w14:textId="43D689DF" w:rsidR="00875C85" w:rsidRPr="00872DFF" w:rsidRDefault="00425C66" w:rsidP="00425C66">
            <w:pPr>
              <w:pStyle w:val="a0"/>
              <w:jc w:val="center"/>
              <w:rPr>
                <w:rFonts w:ascii="Times New Roman" w:eastAsia="宋体" w:hAnsi="Times New Roman" w:cs="Times New Roman"/>
                <w:kern w:val="0"/>
                <w:sz w:val="18"/>
                <w:szCs w:val="16"/>
              </w:rPr>
            </w:pPr>
            <w:r>
              <w:rPr>
                <w:rFonts w:ascii="Times New Roman" w:eastAsia="宋体" w:hAnsi="Times New Roman" w:cs="Times New Roman" w:hint="eastAsia"/>
                <w:kern w:val="0"/>
                <w:sz w:val="18"/>
                <w:szCs w:val="16"/>
              </w:rPr>
              <w:t>2</w:t>
            </w:r>
          </w:p>
        </w:tc>
        <w:tc>
          <w:tcPr>
            <w:tcW w:w="656" w:type="dxa"/>
            <w:vAlign w:val="center"/>
          </w:tcPr>
          <w:p w14:paraId="4C56A2FB"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157" w:type="dxa"/>
            <w:vAlign w:val="center"/>
          </w:tcPr>
          <w:p w14:paraId="7EABAC8C"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677" w:type="dxa"/>
            <w:vAlign w:val="center"/>
          </w:tcPr>
          <w:p w14:paraId="45457549" w14:textId="77777777" w:rsidR="00875C85" w:rsidRPr="00872DFF" w:rsidRDefault="00875C85" w:rsidP="00425C66">
            <w:pPr>
              <w:pStyle w:val="a0"/>
              <w:jc w:val="center"/>
              <w:rPr>
                <w:rFonts w:ascii="Times New Roman" w:eastAsia="宋体" w:hAnsi="Times New Roman" w:cs="Times New Roman"/>
                <w:kern w:val="0"/>
                <w:sz w:val="18"/>
                <w:szCs w:val="16"/>
              </w:rPr>
            </w:pPr>
          </w:p>
        </w:tc>
      </w:tr>
      <w:tr w:rsidR="00875C85" w14:paraId="23CF34A0" w14:textId="77777777" w:rsidTr="00425C66">
        <w:trPr>
          <w:trHeight w:val="284"/>
          <w:jc w:val="center"/>
        </w:trPr>
        <w:tc>
          <w:tcPr>
            <w:tcW w:w="846" w:type="dxa"/>
            <w:vAlign w:val="center"/>
          </w:tcPr>
          <w:p w14:paraId="486E6F00" w14:textId="0D535152" w:rsidR="00875C85" w:rsidRPr="00872DFF" w:rsidRDefault="00425C66" w:rsidP="00425C66">
            <w:pPr>
              <w:pStyle w:val="a0"/>
              <w:jc w:val="center"/>
              <w:rPr>
                <w:rFonts w:ascii="Times New Roman" w:eastAsia="宋体" w:hAnsi="Times New Roman" w:cs="Times New Roman"/>
                <w:kern w:val="0"/>
                <w:sz w:val="18"/>
                <w:szCs w:val="16"/>
              </w:rPr>
            </w:pPr>
            <w:r>
              <w:rPr>
                <w:rFonts w:ascii="Times New Roman" w:eastAsia="宋体" w:hAnsi="Times New Roman" w:cs="Times New Roman" w:hint="eastAsia"/>
                <w:kern w:val="0"/>
                <w:sz w:val="18"/>
                <w:szCs w:val="16"/>
              </w:rPr>
              <w:t>3</w:t>
            </w:r>
          </w:p>
        </w:tc>
        <w:tc>
          <w:tcPr>
            <w:tcW w:w="656" w:type="dxa"/>
            <w:vAlign w:val="center"/>
          </w:tcPr>
          <w:p w14:paraId="5403E37F"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157" w:type="dxa"/>
            <w:vAlign w:val="center"/>
          </w:tcPr>
          <w:p w14:paraId="2F0FCC60"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677" w:type="dxa"/>
            <w:vAlign w:val="center"/>
          </w:tcPr>
          <w:p w14:paraId="0FCAA939" w14:textId="77777777" w:rsidR="00875C85" w:rsidRPr="00872DFF" w:rsidRDefault="00875C85" w:rsidP="00425C66">
            <w:pPr>
              <w:pStyle w:val="a0"/>
              <w:jc w:val="center"/>
              <w:rPr>
                <w:rFonts w:ascii="Times New Roman" w:eastAsia="宋体" w:hAnsi="Times New Roman" w:cs="Times New Roman"/>
                <w:kern w:val="0"/>
                <w:sz w:val="18"/>
                <w:szCs w:val="16"/>
              </w:rPr>
            </w:pPr>
          </w:p>
        </w:tc>
      </w:tr>
      <w:tr w:rsidR="00875C85" w14:paraId="69746BBC" w14:textId="77777777" w:rsidTr="00425C66">
        <w:trPr>
          <w:trHeight w:val="284"/>
          <w:jc w:val="center"/>
        </w:trPr>
        <w:tc>
          <w:tcPr>
            <w:tcW w:w="846" w:type="dxa"/>
            <w:vAlign w:val="center"/>
          </w:tcPr>
          <w:p w14:paraId="3B2BBEB6" w14:textId="380C51F6" w:rsidR="00875C85" w:rsidRPr="00872DFF" w:rsidRDefault="00425C66" w:rsidP="00425C66">
            <w:pPr>
              <w:pStyle w:val="a0"/>
              <w:jc w:val="center"/>
              <w:rPr>
                <w:rFonts w:ascii="Times New Roman" w:eastAsia="宋体" w:hAnsi="Times New Roman" w:cs="Times New Roman"/>
                <w:kern w:val="0"/>
                <w:sz w:val="18"/>
                <w:szCs w:val="16"/>
              </w:rPr>
            </w:pPr>
            <w:r>
              <w:rPr>
                <w:rFonts w:ascii="Times New Roman" w:eastAsia="宋体" w:hAnsi="Times New Roman" w:cs="Times New Roman" w:hint="eastAsia"/>
                <w:kern w:val="0"/>
                <w:sz w:val="18"/>
                <w:szCs w:val="16"/>
              </w:rPr>
              <w:t>4</w:t>
            </w:r>
          </w:p>
        </w:tc>
        <w:tc>
          <w:tcPr>
            <w:tcW w:w="656" w:type="dxa"/>
            <w:vAlign w:val="center"/>
          </w:tcPr>
          <w:p w14:paraId="6CC45A6F"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157" w:type="dxa"/>
            <w:vAlign w:val="center"/>
          </w:tcPr>
          <w:p w14:paraId="016E56D9"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677" w:type="dxa"/>
            <w:vAlign w:val="center"/>
          </w:tcPr>
          <w:p w14:paraId="1B19CC8F" w14:textId="77777777" w:rsidR="00875C85" w:rsidRPr="00872DFF" w:rsidRDefault="00875C85" w:rsidP="00425C66">
            <w:pPr>
              <w:pStyle w:val="a0"/>
              <w:jc w:val="center"/>
              <w:rPr>
                <w:rFonts w:ascii="Times New Roman" w:eastAsia="宋体" w:hAnsi="Times New Roman" w:cs="Times New Roman"/>
                <w:kern w:val="0"/>
                <w:sz w:val="18"/>
                <w:szCs w:val="16"/>
              </w:rPr>
            </w:pPr>
          </w:p>
        </w:tc>
      </w:tr>
      <w:tr w:rsidR="00875C85" w14:paraId="7D5A47CD" w14:textId="77777777" w:rsidTr="00425C66">
        <w:trPr>
          <w:trHeight w:val="284"/>
          <w:jc w:val="center"/>
        </w:trPr>
        <w:tc>
          <w:tcPr>
            <w:tcW w:w="846" w:type="dxa"/>
            <w:vAlign w:val="center"/>
          </w:tcPr>
          <w:p w14:paraId="6A43E66B" w14:textId="4BB11B97" w:rsidR="00875C85" w:rsidRPr="00872DFF" w:rsidRDefault="00425C66" w:rsidP="00425C66">
            <w:pPr>
              <w:pStyle w:val="a0"/>
              <w:jc w:val="center"/>
              <w:rPr>
                <w:rFonts w:ascii="Times New Roman" w:eastAsia="宋体" w:hAnsi="Times New Roman" w:cs="Times New Roman"/>
                <w:kern w:val="0"/>
                <w:sz w:val="18"/>
                <w:szCs w:val="16"/>
              </w:rPr>
            </w:pPr>
            <w:r>
              <w:rPr>
                <w:rFonts w:ascii="Times New Roman" w:eastAsia="宋体" w:hAnsi="Times New Roman" w:cs="Times New Roman" w:hint="eastAsia"/>
                <w:kern w:val="0"/>
                <w:sz w:val="18"/>
                <w:szCs w:val="16"/>
              </w:rPr>
              <w:t>5</w:t>
            </w:r>
          </w:p>
        </w:tc>
        <w:tc>
          <w:tcPr>
            <w:tcW w:w="656" w:type="dxa"/>
            <w:vAlign w:val="center"/>
          </w:tcPr>
          <w:p w14:paraId="1D7D5812"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157" w:type="dxa"/>
            <w:vAlign w:val="center"/>
          </w:tcPr>
          <w:p w14:paraId="7AF6C72D"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677" w:type="dxa"/>
            <w:vAlign w:val="center"/>
          </w:tcPr>
          <w:p w14:paraId="43B72A9A" w14:textId="77777777" w:rsidR="00875C85" w:rsidRPr="00872DFF" w:rsidRDefault="00875C85" w:rsidP="00425C66">
            <w:pPr>
              <w:pStyle w:val="a0"/>
              <w:jc w:val="center"/>
              <w:rPr>
                <w:rFonts w:ascii="Times New Roman" w:eastAsia="宋体" w:hAnsi="Times New Roman" w:cs="Times New Roman"/>
                <w:kern w:val="0"/>
                <w:sz w:val="18"/>
                <w:szCs w:val="16"/>
              </w:rPr>
            </w:pPr>
          </w:p>
        </w:tc>
      </w:tr>
      <w:tr w:rsidR="00875C85" w14:paraId="067765ED" w14:textId="77777777" w:rsidTr="00425C66">
        <w:trPr>
          <w:trHeight w:val="284"/>
          <w:jc w:val="center"/>
        </w:trPr>
        <w:tc>
          <w:tcPr>
            <w:tcW w:w="846" w:type="dxa"/>
            <w:vAlign w:val="center"/>
          </w:tcPr>
          <w:p w14:paraId="2C502BD3" w14:textId="647C45CC" w:rsidR="00875C85" w:rsidRPr="00872DFF" w:rsidRDefault="00425C66" w:rsidP="00425C66">
            <w:pPr>
              <w:pStyle w:val="a0"/>
              <w:jc w:val="center"/>
              <w:rPr>
                <w:rFonts w:ascii="Times New Roman" w:eastAsia="宋体" w:hAnsi="Times New Roman" w:cs="Times New Roman"/>
                <w:kern w:val="0"/>
                <w:sz w:val="18"/>
                <w:szCs w:val="16"/>
              </w:rPr>
            </w:pPr>
            <w:r>
              <w:rPr>
                <w:rFonts w:ascii="Times New Roman" w:eastAsia="宋体" w:hAnsi="Times New Roman" w:cs="Times New Roman" w:hint="eastAsia"/>
                <w:kern w:val="0"/>
                <w:sz w:val="18"/>
                <w:szCs w:val="16"/>
              </w:rPr>
              <w:t>6</w:t>
            </w:r>
          </w:p>
        </w:tc>
        <w:tc>
          <w:tcPr>
            <w:tcW w:w="656" w:type="dxa"/>
            <w:vAlign w:val="center"/>
          </w:tcPr>
          <w:p w14:paraId="6191515E"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157" w:type="dxa"/>
            <w:vAlign w:val="center"/>
          </w:tcPr>
          <w:p w14:paraId="4B8E7E52" w14:textId="77777777" w:rsidR="00875C85" w:rsidRPr="00872DFF" w:rsidRDefault="00875C85" w:rsidP="00425C66">
            <w:pPr>
              <w:pStyle w:val="a0"/>
              <w:jc w:val="center"/>
              <w:rPr>
                <w:rFonts w:ascii="Times New Roman" w:eastAsia="宋体" w:hAnsi="Times New Roman" w:cs="Times New Roman"/>
                <w:kern w:val="0"/>
                <w:sz w:val="18"/>
                <w:szCs w:val="16"/>
              </w:rPr>
            </w:pPr>
          </w:p>
        </w:tc>
        <w:tc>
          <w:tcPr>
            <w:tcW w:w="3677" w:type="dxa"/>
            <w:vAlign w:val="center"/>
          </w:tcPr>
          <w:p w14:paraId="7CDA5F18" w14:textId="77777777" w:rsidR="00875C85" w:rsidRPr="00872DFF" w:rsidRDefault="00875C85" w:rsidP="00425C66">
            <w:pPr>
              <w:pStyle w:val="a0"/>
              <w:jc w:val="center"/>
              <w:rPr>
                <w:rFonts w:ascii="Times New Roman" w:eastAsia="宋体" w:hAnsi="Times New Roman" w:cs="Times New Roman"/>
                <w:kern w:val="0"/>
                <w:sz w:val="18"/>
                <w:szCs w:val="16"/>
              </w:rPr>
            </w:pPr>
          </w:p>
        </w:tc>
      </w:tr>
    </w:tbl>
    <w:p w14:paraId="67492C66" w14:textId="77777777" w:rsidR="00875C85" w:rsidRDefault="00000000" w:rsidP="00425C66">
      <w:pPr>
        <w:pStyle w:val="af0"/>
        <w:spacing w:beforeLines="0" w:afterLines="0" w:line="440" w:lineRule="exact"/>
        <w:jc w:val="left"/>
        <w:outlineLvl w:val="9"/>
        <w:rPr>
          <w:rFonts w:hAnsi="黑体" w:cs="黑体" w:hint="eastAsia"/>
          <w:szCs w:val="21"/>
        </w:rPr>
      </w:pPr>
      <w:r>
        <w:rPr>
          <w:rFonts w:hAnsi="黑体" w:cs="黑体" w:hint="eastAsia"/>
          <w:szCs w:val="21"/>
        </w:rPr>
        <w:t>1.4 主要工作过程</w:t>
      </w:r>
    </w:p>
    <w:p w14:paraId="71E1FD77" w14:textId="77777777" w:rsidR="00875C85" w:rsidRDefault="00000000">
      <w:pPr>
        <w:rPr>
          <w:rFonts w:ascii="黑体" w:eastAsia="黑体" w:hAnsi="黑体" w:cs="黑体" w:hint="eastAsia"/>
          <w:kern w:val="0"/>
          <w:szCs w:val="21"/>
        </w:rPr>
      </w:pPr>
      <w:r>
        <w:rPr>
          <w:rFonts w:ascii="黑体" w:eastAsia="黑体" w:hAnsi="黑体" w:cs="黑体" w:hint="eastAsia"/>
          <w:kern w:val="0"/>
          <w:szCs w:val="21"/>
        </w:rPr>
        <w:t>1.4.1预研阶段</w:t>
      </w:r>
    </w:p>
    <w:p w14:paraId="325D997F" w14:textId="3EAAE30B" w:rsidR="00472663" w:rsidRPr="000F64F0" w:rsidRDefault="00472663" w:rsidP="001C3D95">
      <w:pPr>
        <w:pStyle w:val="a0"/>
        <w:ind w:firstLineChars="200" w:firstLine="420"/>
        <w:rPr>
          <w:rFonts w:ascii="Times New Roman" w:eastAsiaTheme="minorEastAsia" w:hAnsi="Times New Roman" w:cs="Times New Roman"/>
          <w:color w:val="000000"/>
        </w:rPr>
      </w:pPr>
      <w:r w:rsidRPr="000F64F0">
        <w:rPr>
          <w:rFonts w:ascii="Times New Roman" w:eastAsiaTheme="minorEastAsia" w:hAnsi="Times New Roman" w:cs="Times New Roman" w:hint="eastAsia"/>
          <w:color w:val="000000"/>
        </w:rPr>
        <w:t>宁波博威合金材料股份有限公司长期</w:t>
      </w:r>
      <w:r w:rsidR="00B808D1" w:rsidRPr="000F64F0">
        <w:rPr>
          <w:rFonts w:ascii="Times New Roman" w:eastAsiaTheme="minorEastAsia" w:hAnsi="Times New Roman" w:cs="Times New Roman" w:hint="eastAsia"/>
          <w:color w:val="000000"/>
        </w:rPr>
        <w:t>认真贯彻国家节水政策，系统梳理国家、地方关于节水的法规要求及约束性指标，</w:t>
      </w:r>
      <w:r w:rsidR="001C3D95" w:rsidRPr="000F64F0">
        <w:rPr>
          <w:rFonts w:ascii="Times New Roman" w:eastAsiaTheme="minorEastAsia" w:hAnsi="Times New Roman" w:cs="Times New Roman" w:hint="eastAsia"/>
          <w:color w:val="000000"/>
        </w:rPr>
        <w:t>调研当前行业前沿的熔铸冷却水零排放与循环利用技术路径，</w:t>
      </w:r>
      <w:r w:rsidR="00B808D1" w:rsidRPr="000F64F0">
        <w:rPr>
          <w:rFonts w:ascii="Times New Roman" w:eastAsiaTheme="minorEastAsia" w:hAnsi="Times New Roman" w:cs="Times New Roman" w:hint="eastAsia"/>
          <w:color w:val="000000"/>
        </w:rPr>
        <w:t>明确项目需遵循的政策导向与合规边界，为</w:t>
      </w:r>
      <w:r w:rsidR="000F64F0">
        <w:rPr>
          <w:rFonts w:ascii="Times New Roman" w:eastAsiaTheme="minorEastAsia" w:hAnsi="Times New Roman" w:cs="Times New Roman" w:hint="eastAsia"/>
          <w:color w:val="000000"/>
        </w:rPr>
        <w:t>本标准的修订奠定了扎实的基础</w:t>
      </w:r>
      <w:r w:rsidR="00B808D1" w:rsidRPr="000F64F0">
        <w:rPr>
          <w:rFonts w:ascii="Times New Roman" w:eastAsiaTheme="minorEastAsia" w:hAnsi="Times New Roman" w:cs="Times New Roman" w:hint="eastAsia"/>
          <w:color w:val="000000"/>
        </w:rPr>
        <w:t>。</w:t>
      </w:r>
    </w:p>
    <w:p w14:paraId="6F6A1AFA" w14:textId="652E0AB4" w:rsidR="00875C85" w:rsidRDefault="00000000">
      <w:pPr>
        <w:rPr>
          <w:rFonts w:ascii="黑体" w:eastAsia="黑体" w:hAnsi="黑体" w:cs="黑体" w:hint="eastAsia"/>
          <w:kern w:val="0"/>
          <w:szCs w:val="21"/>
        </w:rPr>
      </w:pPr>
      <w:r>
        <w:rPr>
          <w:rFonts w:ascii="黑体" w:eastAsia="黑体" w:hAnsi="黑体" w:cs="黑体" w:hint="eastAsia"/>
          <w:kern w:val="0"/>
          <w:szCs w:val="21"/>
        </w:rPr>
        <w:t>1.4.2标准立项</w:t>
      </w:r>
    </w:p>
    <w:p w14:paraId="0E74E1E9" w14:textId="78A2B538" w:rsidR="00875C85" w:rsidRPr="00C00E6B" w:rsidRDefault="00C00E6B" w:rsidP="00C00E6B">
      <w:pPr>
        <w:ind w:firstLine="420"/>
        <w:contextualSpacing/>
        <w:rPr>
          <w:rFonts w:ascii="Times New Roman" w:hAnsi="Times New Roman" w:cs="Times New Roman"/>
          <w:color w:val="000000"/>
        </w:rPr>
      </w:pPr>
      <w:r>
        <w:rPr>
          <w:rFonts w:ascii="Times New Roman" w:hAnsi="Times New Roman" w:cs="Times New Roman"/>
          <w:color w:val="000000"/>
        </w:rPr>
        <w:t>标准项目于</w:t>
      </w:r>
      <w:r>
        <w:rPr>
          <w:rFonts w:ascii="Times New Roman" w:hAnsi="Times New Roman" w:cs="Times New Roman"/>
          <w:color w:val="000000"/>
        </w:rPr>
        <w:t>202</w:t>
      </w:r>
      <w:r>
        <w:rPr>
          <w:rFonts w:ascii="Times New Roman" w:hAnsi="Times New Roman" w:cs="Times New Roman" w:hint="eastAsia"/>
          <w:color w:val="000000"/>
        </w:rPr>
        <w:t>5</w:t>
      </w:r>
      <w:r>
        <w:rPr>
          <w:rFonts w:ascii="Times New Roman" w:hAnsi="Times New Roman" w:cs="Times New Roman"/>
          <w:color w:val="000000"/>
        </w:rPr>
        <w:t>年</w:t>
      </w:r>
      <w:r>
        <w:rPr>
          <w:rFonts w:ascii="Times New Roman" w:hAnsi="Times New Roman" w:cs="Times New Roman" w:hint="eastAsia"/>
          <w:color w:val="000000"/>
        </w:rPr>
        <w:t>10</w:t>
      </w:r>
      <w:r>
        <w:rPr>
          <w:rFonts w:ascii="Times New Roman" w:hAnsi="Times New Roman" w:cs="Times New Roman"/>
          <w:color w:val="000000"/>
        </w:rPr>
        <w:t>月</w:t>
      </w:r>
      <w:r>
        <w:rPr>
          <w:rFonts w:ascii="Times New Roman" w:hAnsi="Times New Roman" w:cs="Times New Roman" w:hint="eastAsia"/>
          <w:color w:val="000000"/>
        </w:rPr>
        <w:t>荆门</w:t>
      </w:r>
      <w:r>
        <w:rPr>
          <w:rFonts w:ascii="Times New Roman" w:hAnsi="Times New Roman" w:cs="Times New Roman"/>
          <w:color w:val="000000"/>
        </w:rPr>
        <w:t>会议上提交全体委员会议讨论、申请立项，并</w:t>
      </w:r>
      <w:r>
        <w:rPr>
          <w:rFonts w:ascii="Times New Roman" w:hAnsi="Times New Roman" w:cs="Times New Roman" w:hint="eastAsia"/>
          <w:color w:val="000000"/>
        </w:rPr>
        <w:t>于</w:t>
      </w:r>
      <w:r>
        <w:rPr>
          <w:rFonts w:ascii="Times New Roman" w:hAnsi="Times New Roman" w:cs="Times New Roman"/>
          <w:color w:val="000000"/>
        </w:rPr>
        <w:t>20</w:t>
      </w:r>
      <w:r>
        <w:rPr>
          <w:rFonts w:ascii="Times New Roman" w:hAnsi="Times New Roman" w:cs="Times New Roman" w:hint="eastAsia"/>
          <w:color w:val="000000"/>
        </w:rPr>
        <w:t>26</w:t>
      </w:r>
      <w:r>
        <w:rPr>
          <w:rFonts w:ascii="Times New Roman" w:hAnsi="Times New Roman" w:cs="Times New Roman"/>
          <w:color w:val="000000"/>
        </w:rPr>
        <w:t>年</w:t>
      </w:r>
      <w:r>
        <w:rPr>
          <w:rFonts w:ascii="Times New Roman" w:hAnsi="Times New Roman" w:cs="Times New Roman" w:hint="eastAsia"/>
          <w:color w:val="000000"/>
        </w:rPr>
        <w:t>2</w:t>
      </w:r>
      <w:r>
        <w:rPr>
          <w:rFonts w:ascii="Times New Roman" w:hAnsi="Times New Roman" w:cs="Times New Roman"/>
          <w:color w:val="000000"/>
        </w:rPr>
        <w:t>月下达标准计划。</w:t>
      </w:r>
    </w:p>
    <w:p w14:paraId="1AA890DC" w14:textId="77777777" w:rsidR="00875C85" w:rsidRDefault="00000000">
      <w:pPr>
        <w:pStyle w:val="a0"/>
        <w:rPr>
          <w:rFonts w:ascii="黑体" w:eastAsia="黑体" w:hAnsi="黑体" w:cs="黑体" w:hint="eastAsia"/>
          <w:kern w:val="0"/>
          <w:szCs w:val="21"/>
        </w:rPr>
      </w:pPr>
      <w:r>
        <w:rPr>
          <w:rFonts w:ascii="黑体" w:eastAsia="黑体" w:hAnsi="黑体" w:cs="黑体" w:hint="eastAsia"/>
          <w:kern w:val="0"/>
          <w:szCs w:val="21"/>
        </w:rPr>
        <w:t>1.4.3起草阶段</w:t>
      </w:r>
    </w:p>
    <w:p w14:paraId="4A046C23" w14:textId="265A1000" w:rsidR="00526EE4" w:rsidRPr="00472663" w:rsidRDefault="00526EE4" w:rsidP="00526EE4">
      <w:pPr>
        <w:pStyle w:val="a0"/>
        <w:ind w:firstLineChars="200" w:firstLine="420"/>
        <w:rPr>
          <w:rFonts w:ascii="Times New Roman" w:eastAsiaTheme="minorEastAsia" w:hAnsi="Times New Roman" w:cs="Times New Roman"/>
          <w:color w:val="000000"/>
        </w:rPr>
      </w:pPr>
      <w:r w:rsidRPr="00472663">
        <w:rPr>
          <w:rFonts w:ascii="Times New Roman" w:eastAsiaTheme="minorEastAsia" w:hAnsi="Times New Roman" w:cs="Times New Roman"/>
          <w:color w:val="000000"/>
        </w:rPr>
        <w:t>接到标准起草任务后，</w:t>
      </w:r>
      <w:r w:rsidR="00472663" w:rsidRPr="00472663">
        <w:rPr>
          <w:rFonts w:ascii="Times New Roman" w:eastAsiaTheme="minorEastAsia" w:hAnsi="Times New Roman" w:cs="Times New Roman"/>
          <w:color w:val="000000"/>
        </w:rPr>
        <w:t>宁波博威合金</w:t>
      </w:r>
      <w:r w:rsidR="00472663" w:rsidRPr="00472663">
        <w:rPr>
          <w:rFonts w:ascii="Times New Roman" w:eastAsiaTheme="minorEastAsia" w:hAnsi="Times New Roman" w:cs="Times New Roman" w:hint="eastAsia"/>
          <w:color w:val="000000"/>
        </w:rPr>
        <w:t>材料股份</w:t>
      </w:r>
      <w:r w:rsidRPr="00472663">
        <w:rPr>
          <w:rFonts w:ascii="Times New Roman" w:eastAsiaTheme="minorEastAsia" w:hAnsi="Times New Roman" w:cs="Times New Roman"/>
          <w:color w:val="000000"/>
        </w:rPr>
        <w:t>公司立即成立标准编制小组，成员由</w:t>
      </w:r>
      <w:r w:rsidR="00C736FE">
        <w:rPr>
          <w:rFonts w:ascii="Times New Roman" w:eastAsiaTheme="minorEastAsia" w:hAnsi="Times New Roman" w:cs="Times New Roman" w:hint="eastAsia"/>
          <w:color w:val="000000"/>
        </w:rPr>
        <w:t>安环管理</w:t>
      </w:r>
      <w:r w:rsidR="00472663" w:rsidRPr="00472663">
        <w:rPr>
          <w:rFonts w:ascii="Times New Roman" w:eastAsiaTheme="minorEastAsia" w:hAnsi="Times New Roman" w:cs="Times New Roman" w:hint="eastAsia"/>
          <w:color w:val="000000"/>
        </w:rPr>
        <w:t>部</w:t>
      </w:r>
      <w:r w:rsidRPr="00472663">
        <w:rPr>
          <w:rFonts w:ascii="Times New Roman" w:eastAsiaTheme="minorEastAsia" w:hAnsi="Times New Roman" w:cs="Times New Roman"/>
          <w:color w:val="000000"/>
        </w:rPr>
        <w:t>、研发中心等专业技术人员组成。编制组系统梳理了</w:t>
      </w:r>
      <w:r w:rsidR="00472663">
        <w:rPr>
          <w:rFonts w:ascii="Times New Roman" w:eastAsiaTheme="minorEastAsia" w:hAnsi="Times New Roman" w:cs="Times New Roman" w:hint="eastAsia"/>
          <w:color w:val="000000"/>
        </w:rPr>
        <w:t>铜及铜</w:t>
      </w:r>
      <w:r w:rsidRPr="00472663">
        <w:rPr>
          <w:rFonts w:ascii="Times New Roman" w:eastAsiaTheme="minorEastAsia" w:hAnsi="Times New Roman" w:cs="Times New Roman"/>
          <w:color w:val="000000"/>
        </w:rPr>
        <w:t>合金熔铸工艺、熔铸冷却水循环使用路线、水质控制及系统运行等技术要求与现状，广泛收集各企业熔铸生产实际数据，在此基础上启动标准起草工作。经编制组多轮内部研讨及广泛征求意见，于</w:t>
      </w:r>
      <w:r w:rsidRPr="00472663">
        <w:rPr>
          <w:rFonts w:ascii="Times New Roman" w:eastAsiaTheme="minorEastAsia" w:hAnsi="Times New Roman" w:cs="Times New Roman"/>
          <w:color w:val="000000"/>
        </w:rPr>
        <w:t>2026</w:t>
      </w:r>
      <w:r w:rsidRPr="00472663">
        <w:rPr>
          <w:rFonts w:ascii="Times New Roman" w:eastAsiaTheme="minorEastAsia" w:hAnsi="Times New Roman" w:cs="Times New Roman"/>
          <w:color w:val="000000"/>
        </w:rPr>
        <w:t>年</w:t>
      </w:r>
      <w:r w:rsidRPr="00472663">
        <w:rPr>
          <w:rFonts w:ascii="Times New Roman" w:eastAsiaTheme="minorEastAsia" w:hAnsi="Times New Roman" w:cs="Times New Roman"/>
          <w:color w:val="000000"/>
        </w:rPr>
        <w:t>3</w:t>
      </w:r>
      <w:r w:rsidRPr="00472663">
        <w:rPr>
          <w:rFonts w:ascii="Times New Roman" w:eastAsiaTheme="minorEastAsia" w:hAnsi="Times New Roman" w:cs="Times New Roman"/>
          <w:color w:val="000000"/>
        </w:rPr>
        <w:t>月形成本标准《讨论稿》。</w:t>
      </w:r>
    </w:p>
    <w:p w14:paraId="76E2D1DB" w14:textId="3CD4EFDE" w:rsidR="00875C85" w:rsidRPr="00872DFF" w:rsidRDefault="00000000">
      <w:pPr>
        <w:pStyle w:val="ae"/>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t>二、编制原则、主要内容及</w:t>
      </w:r>
      <w:r w:rsidRPr="00872DFF">
        <w:rPr>
          <w:rFonts w:ascii="Times New Roman" w:eastAsiaTheme="minorEastAsia" w:hAnsi="Times New Roman" w:cs="Times New Roman" w:hint="eastAsia"/>
          <w:color w:val="000000"/>
          <w:kern w:val="2"/>
          <w:sz w:val="21"/>
          <w:szCs w:val="22"/>
        </w:rPr>
        <w:t>其</w:t>
      </w:r>
      <w:r w:rsidRPr="00872DFF">
        <w:rPr>
          <w:rFonts w:ascii="黑体" w:eastAsia="黑体" w:cs="Arial" w:hint="eastAsia"/>
          <w:sz w:val="21"/>
          <w:szCs w:val="21"/>
        </w:rPr>
        <w:t>确定依据、修订前后技术内容的对比</w:t>
      </w:r>
    </w:p>
    <w:p w14:paraId="677447D3" w14:textId="77777777" w:rsidR="00875C85" w:rsidRDefault="00000000">
      <w:pPr>
        <w:pStyle w:val="ae"/>
        <w:spacing w:before="0" w:beforeAutospacing="0" w:after="0" w:afterAutospacing="0" w:line="440" w:lineRule="exact"/>
        <w:jc w:val="both"/>
        <w:rPr>
          <w:rFonts w:ascii="黑体" w:eastAsia="黑体" w:cs="Arial" w:hint="eastAsia"/>
          <w:sz w:val="21"/>
          <w:szCs w:val="21"/>
        </w:rPr>
      </w:pPr>
      <w:bookmarkStart w:id="0" w:name="OLE_LINK7"/>
      <w:r>
        <w:rPr>
          <w:rFonts w:ascii="黑体" w:eastAsia="黑体" w:cs="Arial" w:hint="eastAsia"/>
          <w:sz w:val="21"/>
          <w:szCs w:val="21"/>
        </w:rPr>
        <w:t>1、编制原则</w:t>
      </w:r>
    </w:p>
    <w:bookmarkEnd w:id="0"/>
    <w:p w14:paraId="71EDED9C" w14:textId="7A30E6BA" w:rsidR="00F15A5A" w:rsidRPr="001C3D95" w:rsidRDefault="00F15A5A" w:rsidP="001C3D95">
      <w:pPr>
        <w:ind w:firstLine="420"/>
        <w:contextualSpacing/>
        <w:rPr>
          <w:rFonts w:ascii="Times New Roman" w:hAnsi="Times New Roman" w:cs="Times New Roman"/>
          <w:color w:val="000000"/>
        </w:rPr>
      </w:pPr>
      <w:r w:rsidRPr="001C3D95">
        <w:rPr>
          <w:rFonts w:ascii="Times New Roman" w:hAnsi="Times New Roman" w:cs="Times New Roman"/>
          <w:color w:val="000000"/>
        </w:rPr>
        <w:t>本标准起草单位自接受起草任务后，成立了本标准编制工作组负责收集</w:t>
      </w:r>
      <w:r w:rsidR="001C3D95" w:rsidRPr="001C3D95">
        <w:rPr>
          <w:rFonts w:ascii="Times New Roman" w:hAnsi="Times New Roman" w:cs="Times New Roman" w:hint="eastAsia"/>
          <w:color w:val="000000"/>
        </w:rPr>
        <w:t>铜及铜合金熔铸工艺、冷却水使用路线、水质控制及系统运行等技术要求与现状。</w:t>
      </w:r>
      <w:r w:rsidRPr="001C3D95">
        <w:rPr>
          <w:rFonts w:ascii="Times New Roman" w:hAnsi="Times New Roman" w:cs="Times New Roman"/>
          <w:color w:val="000000"/>
        </w:rPr>
        <w:t>确定了《</w:t>
      </w:r>
      <w:r w:rsidR="001C3D95" w:rsidRPr="001C3D95">
        <w:rPr>
          <w:rFonts w:ascii="Times New Roman" w:hAnsi="Times New Roman" w:cs="Times New Roman" w:hint="eastAsia"/>
          <w:color w:val="000000"/>
        </w:rPr>
        <w:t>铜及铜合金熔铸冷却水零排放和循环利用规范</w:t>
      </w:r>
      <w:r w:rsidRPr="001C3D95">
        <w:rPr>
          <w:rFonts w:ascii="Times New Roman" w:hAnsi="Times New Roman" w:cs="Times New Roman"/>
          <w:color w:val="000000"/>
        </w:rPr>
        <w:t>》标准起草所遵循的基本原则和编制依据：</w:t>
      </w:r>
    </w:p>
    <w:p w14:paraId="4FC16B0A" w14:textId="45A2764E" w:rsidR="00F15A5A" w:rsidRPr="001C3D95" w:rsidRDefault="00F15A5A" w:rsidP="00F15A5A">
      <w:pPr>
        <w:ind w:firstLine="420"/>
        <w:contextualSpacing/>
        <w:rPr>
          <w:rFonts w:ascii="Times New Roman" w:hAnsi="Times New Roman" w:cs="Times New Roman"/>
          <w:color w:val="000000"/>
        </w:rPr>
      </w:pPr>
      <w:r w:rsidRPr="001C3D95">
        <w:rPr>
          <w:rFonts w:ascii="Times New Roman" w:hAnsi="Times New Roman" w:cs="Times New Roman"/>
          <w:color w:val="000000"/>
        </w:rPr>
        <w:t>1</w:t>
      </w:r>
      <w:r w:rsidRPr="001C3D95">
        <w:rPr>
          <w:rFonts w:ascii="Times New Roman" w:hAnsi="Times New Roman" w:cs="Times New Roman"/>
          <w:color w:val="000000"/>
        </w:rPr>
        <w:t>）查阅</w:t>
      </w:r>
      <w:r w:rsidRPr="001C3D95">
        <w:rPr>
          <w:rFonts w:ascii="Times New Roman" w:hAnsi="Times New Roman" w:cs="Times New Roman" w:hint="eastAsia"/>
          <w:color w:val="000000"/>
        </w:rPr>
        <w:t>国内外</w:t>
      </w:r>
      <w:r w:rsidR="001C3D95" w:rsidRPr="001C3D95">
        <w:rPr>
          <w:rFonts w:ascii="Times New Roman" w:hAnsi="Times New Roman" w:cs="Times New Roman" w:hint="eastAsia"/>
          <w:color w:val="000000"/>
        </w:rPr>
        <w:t>节水相关标准及政策</w:t>
      </w:r>
      <w:r w:rsidRPr="001C3D95">
        <w:rPr>
          <w:rFonts w:ascii="Times New Roman" w:hAnsi="Times New Roman" w:cs="Times New Roman"/>
          <w:color w:val="000000"/>
        </w:rPr>
        <w:t>；</w:t>
      </w:r>
    </w:p>
    <w:p w14:paraId="4A3431BA" w14:textId="4110757E" w:rsidR="00F15A5A" w:rsidRPr="001C3D95" w:rsidRDefault="00F15A5A" w:rsidP="00F15A5A">
      <w:pPr>
        <w:ind w:firstLine="420"/>
        <w:contextualSpacing/>
        <w:rPr>
          <w:rFonts w:ascii="Times New Roman" w:hAnsi="Times New Roman" w:cs="Times New Roman"/>
          <w:color w:val="000000"/>
        </w:rPr>
      </w:pPr>
      <w:r w:rsidRPr="001C3D95">
        <w:rPr>
          <w:rFonts w:ascii="Times New Roman" w:hAnsi="Times New Roman" w:cs="Times New Roman"/>
          <w:color w:val="000000"/>
        </w:rPr>
        <w:t>2</w:t>
      </w:r>
      <w:r w:rsidRPr="001C3D95">
        <w:rPr>
          <w:rFonts w:ascii="Times New Roman" w:hAnsi="Times New Roman" w:cs="Times New Roman"/>
          <w:color w:val="000000"/>
        </w:rPr>
        <w:t>）根据国内铜及铜合金生产企业具体情况，力求做到标准的合理性与实用性；</w:t>
      </w:r>
    </w:p>
    <w:p w14:paraId="4F649745" w14:textId="77777777" w:rsidR="00F15A5A" w:rsidRPr="001C3D95" w:rsidRDefault="00F15A5A" w:rsidP="00F15A5A">
      <w:pPr>
        <w:ind w:firstLine="420"/>
        <w:contextualSpacing/>
        <w:rPr>
          <w:rFonts w:ascii="Times New Roman" w:hAnsi="Times New Roman" w:cs="Times New Roman"/>
          <w:color w:val="000000"/>
        </w:rPr>
      </w:pPr>
      <w:r w:rsidRPr="001C3D95">
        <w:rPr>
          <w:rFonts w:ascii="Times New Roman" w:hAnsi="Times New Roman" w:cs="Times New Roman"/>
          <w:color w:val="000000"/>
        </w:rPr>
        <w:t>3</w:t>
      </w:r>
      <w:r w:rsidRPr="001C3D95">
        <w:rPr>
          <w:rFonts w:ascii="Times New Roman" w:hAnsi="Times New Roman" w:cs="Times New Roman"/>
          <w:color w:val="000000"/>
        </w:rPr>
        <w:t>）完全按照</w:t>
      </w:r>
      <w:r w:rsidRPr="001C3D95">
        <w:rPr>
          <w:rFonts w:ascii="Times New Roman" w:hAnsi="Times New Roman" w:cs="Times New Roman"/>
          <w:color w:val="000000"/>
        </w:rPr>
        <w:t>GB/T 1.1</w:t>
      </w:r>
      <w:r w:rsidRPr="001C3D95">
        <w:rPr>
          <w:rFonts w:ascii="Times New Roman" w:hAnsi="Times New Roman" w:cs="Times New Roman"/>
          <w:color w:val="000000"/>
        </w:rPr>
        <w:t>和有色加工产品标准和国家标准编写示例的要求进行格式和结构编写。</w:t>
      </w:r>
    </w:p>
    <w:p w14:paraId="4F07531E" w14:textId="1F0842F6" w:rsidR="001C3D95" w:rsidRPr="001C3D95" w:rsidRDefault="00F15A5A" w:rsidP="00F15A5A">
      <w:pPr>
        <w:pStyle w:val="af0"/>
        <w:snapToGrid w:val="0"/>
        <w:spacing w:beforeLines="0" w:afterLines="0"/>
        <w:ind w:firstLine="420"/>
        <w:contextualSpacing/>
        <w:outlineLvl w:val="9"/>
        <w:rPr>
          <w:rFonts w:ascii="Times New Roman" w:eastAsiaTheme="minorEastAsia"/>
          <w:color w:val="000000"/>
          <w:kern w:val="2"/>
          <w:szCs w:val="22"/>
        </w:rPr>
      </w:pPr>
      <w:r w:rsidRPr="001C3D95">
        <w:rPr>
          <w:rFonts w:ascii="Times New Roman" w:eastAsiaTheme="minorEastAsia" w:hint="eastAsia"/>
          <w:color w:val="000000"/>
          <w:kern w:val="2"/>
          <w:szCs w:val="22"/>
        </w:rPr>
        <w:t>标准研究的预期目标为制定出一个适用于</w:t>
      </w:r>
      <w:r w:rsidR="001C3D95" w:rsidRPr="001C3D95">
        <w:rPr>
          <w:rFonts w:ascii="Times New Roman" w:eastAsiaTheme="minorEastAsia" w:hint="eastAsia"/>
          <w:color w:val="000000"/>
          <w:kern w:val="2"/>
          <w:szCs w:val="22"/>
        </w:rPr>
        <w:t>铜及铜合金生产企业</w:t>
      </w:r>
      <w:r w:rsidRPr="001C3D95">
        <w:rPr>
          <w:rFonts w:ascii="Times New Roman" w:eastAsiaTheme="minorEastAsia" w:hint="eastAsia"/>
          <w:color w:val="000000"/>
          <w:kern w:val="2"/>
          <w:szCs w:val="22"/>
        </w:rPr>
        <w:t>的标准</w:t>
      </w:r>
      <w:r w:rsidRPr="001C3D95">
        <w:rPr>
          <w:rFonts w:ascii="Times New Roman" w:eastAsiaTheme="minorEastAsia"/>
          <w:color w:val="000000"/>
          <w:kern w:val="2"/>
          <w:szCs w:val="22"/>
        </w:rPr>
        <w:t>，</w:t>
      </w:r>
      <w:r w:rsidRPr="001C3D95">
        <w:rPr>
          <w:rFonts w:ascii="Times New Roman" w:eastAsiaTheme="minorEastAsia" w:hint="eastAsia"/>
          <w:color w:val="000000"/>
          <w:kern w:val="2"/>
          <w:szCs w:val="22"/>
        </w:rPr>
        <w:t>以</w:t>
      </w:r>
      <w:r w:rsidRPr="001C3D95">
        <w:rPr>
          <w:rFonts w:ascii="Times New Roman" w:eastAsiaTheme="minorEastAsia"/>
          <w:color w:val="000000"/>
          <w:kern w:val="2"/>
          <w:szCs w:val="22"/>
        </w:rPr>
        <w:t>规范</w:t>
      </w:r>
      <w:r w:rsidR="001C3D95" w:rsidRPr="001C3D95">
        <w:rPr>
          <w:rFonts w:ascii="Times New Roman" w:eastAsiaTheme="minorEastAsia" w:hint="eastAsia"/>
          <w:color w:val="000000"/>
          <w:kern w:val="2"/>
          <w:szCs w:val="22"/>
        </w:rPr>
        <w:t>铜加工熔铸生产企业的用水。</w:t>
      </w:r>
    </w:p>
    <w:p w14:paraId="4CBA8220" w14:textId="77777777" w:rsidR="00875C85" w:rsidRDefault="00000000">
      <w:pPr>
        <w:pStyle w:val="ae"/>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lastRenderedPageBreak/>
        <w:t>2、标准主要技术内容的确定依据</w:t>
      </w:r>
    </w:p>
    <w:p w14:paraId="683148F3" w14:textId="700E135E" w:rsidR="00F15A5A" w:rsidRPr="00051DED" w:rsidRDefault="00F15A5A">
      <w:pPr>
        <w:pStyle w:val="a0"/>
        <w:ind w:firstLineChars="200" w:firstLine="420"/>
        <w:rPr>
          <w:rFonts w:ascii="Times New Roman" w:eastAsiaTheme="minorEastAsia" w:hAnsi="Times New Roman" w:cs="Times New Roman"/>
          <w:color w:val="000000"/>
        </w:rPr>
      </w:pPr>
      <w:r w:rsidRPr="00051DED">
        <w:rPr>
          <w:rFonts w:ascii="Times New Roman" w:eastAsiaTheme="minorEastAsia" w:hAnsi="Times New Roman" w:cs="Times New Roman" w:hint="eastAsia"/>
          <w:color w:val="000000"/>
        </w:rPr>
        <w:t xml:space="preserve">1 </w:t>
      </w:r>
      <w:r w:rsidRPr="00051DED">
        <w:rPr>
          <w:rFonts w:ascii="Times New Roman" w:eastAsiaTheme="minorEastAsia" w:hAnsi="Times New Roman" w:cs="Times New Roman" w:hint="eastAsia"/>
          <w:color w:val="000000"/>
        </w:rPr>
        <w:t>标准题目与适用范围</w:t>
      </w:r>
    </w:p>
    <w:p w14:paraId="52882CCD" w14:textId="30E83843" w:rsidR="0040471F" w:rsidRPr="00051DED" w:rsidRDefault="0040471F" w:rsidP="0040471F">
      <w:pPr>
        <w:pStyle w:val="af2"/>
        <w:ind w:firstLine="420"/>
        <w:contextualSpacing/>
        <w:rPr>
          <w:rFonts w:ascii="Times New Roman" w:eastAsiaTheme="minorEastAsia"/>
          <w:color w:val="000000"/>
          <w:kern w:val="2"/>
        </w:rPr>
      </w:pPr>
      <w:r w:rsidRPr="00051DED">
        <w:rPr>
          <w:rFonts w:ascii="Times New Roman" w:eastAsiaTheme="minorEastAsia" w:hint="eastAsia"/>
          <w:color w:val="000000"/>
          <w:kern w:val="2"/>
        </w:rPr>
        <w:t>本标准的题目为《铜及铜合金熔铸零排放和循环利用规范》，规定了铜及铜合金加工企业对熔铸冷却水循环利用，实现零排放的节水管理的基本要求。</w:t>
      </w:r>
    </w:p>
    <w:p w14:paraId="4D2B86E5" w14:textId="6CC5BCB1" w:rsidR="0040471F" w:rsidRPr="00051DED" w:rsidRDefault="0040471F" w:rsidP="0040471F">
      <w:pPr>
        <w:pStyle w:val="af2"/>
        <w:ind w:firstLine="420"/>
        <w:contextualSpacing/>
        <w:rPr>
          <w:rFonts w:ascii="Times New Roman" w:eastAsiaTheme="minorEastAsia"/>
          <w:color w:val="000000"/>
          <w:kern w:val="2"/>
        </w:rPr>
      </w:pPr>
      <w:r w:rsidRPr="00051DED">
        <w:rPr>
          <w:rFonts w:ascii="Times New Roman" w:eastAsiaTheme="minorEastAsia" w:hint="eastAsia"/>
          <w:color w:val="000000"/>
          <w:kern w:val="2"/>
        </w:rPr>
        <w:t>本标准适用于</w:t>
      </w:r>
      <w:bookmarkStart w:id="1" w:name="_Hlk205386991"/>
      <w:r w:rsidRPr="00051DED">
        <w:rPr>
          <w:rFonts w:ascii="Times New Roman" w:eastAsiaTheme="minorEastAsia" w:hint="eastAsia"/>
          <w:color w:val="000000"/>
          <w:kern w:val="2"/>
        </w:rPr>
        <w:t>铜及铜合金加工企业节水减排的管理。</w:t>
      </w:r>
      <w:bookmarkEnd w:id="1"/>
    </w:p>
    <w:p w14:paraId="01DF5EC3" w14:textId="46EC5192" w:rsidR="00F15A5A" w:rsidRPr="00051DED" w:rsidRDefault="00F15A5A" w:rsidP="0040471F">
      <w:pPr>
        <w:pStyle w:val="a0"/>
        <w:ind w:firstLineChars="200" w:firstLine="420"/>
        <w:rPr>
          <w:rFonts w:ascii="Times New Roman" w:eastAsiaTheme="minorEastAsia" w:hAnsi="Times New Roman" w:cs="Times New Roman"/>
          <w:color w:val="000000"/>
        </w:rPr>
      </w:pPr>
      <w:r w:rsidRPr="00051DED">
        <w:rPr>
          <w:rFonts w:ascii="Times New Roman" w:eastAsiaTheme="minorEastAsia" w:hAnsi="Times New Roman" w:cs="Times New Roman" w:hint="eastAsia"/>
          <w:color w:val="000000"/>
        </w:rPr>
        <w:t xml:space="preserve">2. </w:t>
      </w:r>
      <w:r w:rsidRPr="00051DED">
        <w:rPr>
          <w:rFonts w:ascii="Times New Roman" w:eastAsiaTheme="minorEastAsia" w:hAnsi="Times New Roman" w:cs="Times New Roman" w:hint="eastAsia"/>
          <w:color w:val="000000"/>
        </w:rPr>
        <w:t>规范性引用文件</w:t>
      </w:r>
    </w:p>
    <w:p w14:paraId="2A22E15B" w14:textId="77777777" w:rsidR="0040471F" w:rsidRDefault="0040471F" w:rsidP="0040471F">
      <w:pPr>
        <w:ind w:firstLineChars="200" w:firstLine="420"/>
        <w:contextualSpacing/>
        <w:rPr>
          <w:color w:val="000000"/>
        </w:rPr>
      </w:pPr>
      <w:r>
        <w:rPr>
          <w:color w:val="000000"/>
        </w:rPr>
        <w:t>下列文件</w:t>
      </w:r>
      <w:r>
        <w:rPr>
          <w:rFonts w:hint="eastAsia"/>
          <w:color w:val="000000"/>
        </w:rPr>
        <w:t>中的内容通过文中的规范性引用而构成本文件必不可少的条款</w:t>
      </w:r>
      <w:r>
        <w:rPr>
          <w:color w:val="000000"/>
        </w:rPr>
        <w:t>。</w:t>
      </w:r>
      <w:r>
        <w:rPr>
          <w:rFonts w:hint="eastAsia"/>
          <w:color w:val="000000"/>
        </w:rPr>
        <w:t>其中，</w:t>
      </w:r>
      <w:r>
        <w:rPr>
          <w:color w:val="000000"/>
        </w:rPr>
        <w:t>注日期的引用文件，仅</w:t>
      </w:r>
      <w:r>
        <w:rPr>
          <w:rFonts w:hint="eastAsia"/>
          <w:color w:val="000000"/>
        </w:rPr>
        <w:t>该</w:t>
      </w:r>
      <w:r>
        <w:rPr>
          <w:color w:val="000000"/>
        </w:rPr>
        <w:t>日期</w:t>
      </w:r>
      <w:r>
        <w:rPr>
          <w:rFonts w:hint="eastAsia"/>
          <w:color w:val="000000"/>
        </w:rPr>
        <w:t>对应</w:t>
      </w:r>
      <w:r>
        <w:rPr>
          <w:color w:val="000000"/>
        </w:rPr>
        <w:t>的版本适用于本文件</w:t>
      </w:r>
      <w:r>
        <w:rPr>
          <w:rFonts w:hint="eastAsia"/>
          <w:color w:val="000000"/>
        </w:rPr>
        <w:t>；</w:t>
      </w:r>
      <w:r>
        <w:rPr>
          <w:color w:val="000000"/>
        </w:rPr>
        <w:t>不注日期的引用文件，其最新版本（包括所有的修改单）适用于本文件。</w:t>
      </w:r>
    </w:p>
    <w:p w14:paraId="172C2140" w14:textId="77777777" w:rsidR="0040471F" w:rsidRPr="00F403BE" w:rsidRDefault="0040471F" w:rsidP="0040471F">
      <w:pPr>
        <w:pStyle w:val="af2"/>
        <w:ind w:firstLine="420"/>
        <w:contextualSpacing/>
        <w:rPr>
          <w:rFonts w:ascii="Times New Roman"/>
          <w:color w:val="000000"/>
        </w:rPr>
      </w:pPr>
      <w:r w:rsidRPr="00F403BE">
        <w:rPr>
          <w:rFonts w:ascii="Times New Roman"/>
          <w:color w:val="000000"/>
        </w:rPr>
        <w:t xml:space="preserve">GB/T 14427  </w:t>
      </w:r>
      <w:r w:rsidRPr="00F403BE">
        <w:rPr>
          <w:rFonts w:ascii="Times New Roman"/>
          <w:color w:val="000000"/>
        </w:rPr>
        <w:t>锅炉用水和冷却水分析方法</w:t>
      </w:r>
      <w:r w:rsidRPr="00F403BE">
        <w:rPr>
          <w:rFonts w:ascii="Times New Roman"/>
          <w:color w:val="000000"/>
        </w:rPr>
        <w:t xml:space="preserve"> </w:t>
      </w:r>
      <w:r w:rsidRPr="00F403BE">
        <w:rPr>
          <w:rFonts w:ascii="Times New Roman"/>
          <w:color w:val="000000"/>
        </w:rPr>
        <w:t>铁的测定</w:t>
      </w:r>
    </w:p>
    <w:p w14:paraId="130448C7" w14:textId="77777777" w:rsidR="0040471F" w:rsidRPr="00F403BE" w:rsidRDefault="0040471F" w:rsidP="0040471F">
      <w:pPr>
        <w:pStyle w:val="af2"/>
        <w:ind w:firstLine="420"/>
        <w:contextualSpacing/>
        <w:rPr>
          <w:rFonts w:ascii="Times New Roman"/>
          <w:color w:val="000000"/>
        </w:rPr>
      </w:pPr>
      <w:r w:rsidRPr="00F403BE">
        <w:rPr>
          <w:rFonts w:ascii="Times New Roman"/>
          <w:color w:val="000000"/>
        </w:rPr>
        <w:t xml:space="preserve">GB/T 15451  </w:t>
      </w:r>
      <w:r w:rsidRPr="00F403BE">
        <w:rPr>
          <w:rFonts w:ascii="Times New Roman"/>
          <w:color w:val="000000"/>
        </w:rPr>
        <w:t>工业循环冷却水</w:t>
      </w:r>
      <w:r w:rsidRPr="00F403BE">
        <w:rPr>
          <w:rFonts w:ascii="Times New Roman"/>
          <w:color w:val="000000"/>
        </w:rPr>
        <w:t xml:space="preserve"> </w:t>
      </w:r>
      <w:r w:rsidRPr="00F403BE">
        <w:rPr>
          <w:rFonts w:ascii="Times New Roman"/>
          <w:color w:val="000000"/>
        </w:rPr>
        <w:t>总碱及酚酞碱度的测定</w:t>
      </w:r>
    </w:p>
    <w:p w14:paraId="2668BA6F" w14:textId="77777777" w:rsidR="0040471F" w:rsidRPr="002E1DBE" w:rsidRDefault="0040471F" w:rsidP="0040471F">
      <w:pPr>
        <w:pStyle w:val="af2"/>
        <w:ind w:firstLine="420"/>
        <w:contextualSpacing/>
        <w:rPr>
          <w:rFonts w:ascii="Times New Roman"/>
          <w:color w:val="000000"/>
        </w:rPr>
      </w:pPr>
      <w:r w:rsidRPr="002E1DBE">
        <w:rPr>
          <w:rFonts w:ascii="Times New Roman"/>
          <w:color w:val="000000"/>
        </w:rPr>
        <w:t xml:space="preserve">GB/T 15452  </w:t>
      </w:r>
      <w:r w:rsidRPr="002E1DBE">
        <w:rPr>
          <w:rFonts w:ascii="Times New Roman"/>
          <w:color w:val="000000"/>
        </w:rPr>
        <w:t>工业循环冷却水中钙、镁离子的测定</w:t>
      </w:r>
      <w:r w:rsidRPr="002E1DBE">
        <w:rPr>
          <w:rFonts w:ascii="Times New Roman"/>
          <w:color w:val="000000"/>
        </w:rPr>
        <w:t xml:space="preserve"> EDTA </w:t>
      </w:r>
      <w:r w:rsidRPr="002E1DBE">
        <w:rPr>
          <w:rFonts w:ascii="Times New Roman"/>
          <w:color w:val="000000"/>
        </w:rPr>
        <w:t>滴定法</w:t>
      </w:r>
    </w:p>
    <w:p w14:paraId="1AC4FA63" w14:textId="77777777" w:rsidR="0040471F" w:rsidRPr="00F403BE" w:rsidRDefault="0040471F" w:rsidP="0040471F">
      <w:pPr>
        <w:pStyle w:val="af2"/>
        <w:ind w:firstLine="420"/>
        <w:contextualSpacing/>
        <w:rPr>
          <w:rFonts w:ascii="Times New Roman"/>
          <w:color w:val="000000"/>
        </w:rPr>
      </w:pPr>
      <w:r w:rsidRPr="00F403BE">
        <w:rPr>
          <w:rFonts w:ascii="Times New Roman"/>
          <w:color w:val="000000"/>
        </w:rPr>
        <w:t xml:space="preserve">GB/T 15453  </w:t>
      </w:r>
      <w:r w:rsidRPr="00F403BE">
        <w:rPr>
          <w:rFonts w:ascii="Times New Roman"/>
          <w:color w:val="000000"/>
        </w:rPr>
        <w:t>工业循环冷却水和锅炉用水中氯离子的测定</w:t>
      </w:r>
    </w:p>
    <w:p w14:paraId="11C65513" w14:textId="77777777" w:rsidR="0040471F" w:rsidRPr="00F403BE" w:rsidRDefault="0040471F" w:rsidP="0040471F">
      <w:pPr>
        <w:pStyle w:val="af2"/>
        <w:ind w:firstLine="420"/>
        <w:contextualSpacing/>
        <w:rPr>
          <w:rFonts w:ascii="Times New Roman"/>
          <w:color w:val="000000"/>
        </w:rPr>
      </w:pPr>
      <w:r w:rsidRPr="00F403BE">
        <w:rPr>
          <w:rFonts w:ascii="Times New Roman"/>
          <w:color w:val="000000"/>
        </w:rPr>
        <w:t xml:space="preserve">GB/T 15456  </w:t>
      </w:r>
      <w:r w:rsidRPr="00F403BE">
        <w:rPr>
          <w:rFonts w:ascii="Times New Roman"/>
          <w:color w:val="000000"/>
        </w:rPr>
        <w:t>工业循环冷却水中化学需氧量（</w:t>
      </w:r>
      <w:r w:rsidRPr="00F403BE">
        <w:rPr>
          <w:rFonts w:ascii="Times New Roman"/>
          <w:color w:val="000000"/>
        </w:rPr>
        <w:t>COD</w:t>
      </w:r>
      <w:r w:rsidRPr="00F403BE">
        <w:rPr>
          <w:rFonts w:ascii="Times New Roman"/>
          <w:color w:val="000000"/>
        </w:rPr>
        <w:t>）的测定</w:t>
      </w:r>
      <w:r w:rsidRPr="00F403BE">
        <w:rPr>
          <w:rFonts w:ascii="Times New Roman"/>
          <w:color w:val="000000"/>
        </w:rPr>
        <w:t xml:space="preserve"> </w:t>
      </w:r>
      <w:r w:rsidRPr="00F403BE">
        <w:rPr>
          <w:rFonts w:ascii="Times New Roman"/>
          <w:color w:val="000000"/>
        </w:rPr>
        <w:t>高锰酸盐指数法</w:t>
      </w:r>
    </w:p>
    <w:p w14:paraId="00BA7AB8" w14:textId="77777777" w:rsidR="0040471F" w:rsidRPr="00F403BE" w:rsidRDefault="0040471F" w:rsidP="0040471F">
      <w:pPr>
        <w:pStyle w:val="af2"/>
        <w:ind w:firstLine="420"/>
        <w:contextualSpacing/>
        <w:rPr>
          <w:rFonts w:ascii="Times New Roman"/>
          <w:color w:val="000000"/>
        </w:rPr>
      </w:pPr>
      <w:r w:rsidRPr="00F403BE">
        <w:rPr>
          <w:rFonts w:ascii="Times New Roman"/>
          <w:color w:val="000000"/>
        </w:rPr>
        <w:t xml:space="preserve">GB/T 15893.1  </w:t>
      </w:r>
      <w:r w:rsidRPr="00F403BE">
        <w:rPr>
          <w:rFonts w:ascii="Times New Roman"/>
          <w:color w:val="000000"/>
        </w:rPr>
        <w:t>工业循环冷却水中浊度的测定</w:t>
      </w:r>
      <w:r w:rsidRPr="00F403BE">
        <w:rPr>
          <w:rFonts w:ascii="Times New Roman"/>
          <w:color w:val="000000"/>
        </w:rPr>
        <w:t xml:space="preserve"> </w:t>
      </w:r>
      <w:r w:rsidRPr="00F403BE">
        <w:rPr>
          <w:rFonts w:ascii="Times New Roman"/>
          <w:color w:val="000000"/>
        </w:rPr>
        <w:t>散射光法</w:t>
      </w:r>
    </w:p>
    <w:p w14:paraId="0D029CE5" w14:textId="77777777" w:rsidR="0040471F" w:rsidRPr="00F403BE" w:rsidRDefault="0040471F" w:rsidP="0040471F">
      <w:pPr>
        <w:pStyle w:val="af2"/>
        <w:ind w:firstLine="420"/>
        <w:contextualSpacing/>
        <w:rPr>
          <w:rFonts w:ascii="Times New Roman"/>
          <w:color w:val="000000"/>
        </w:rPr>
      </w:pPr>
      <w:r w:rsidRPr="00F403BE">
        <w:rPr>
          <w:rFonts w:ascii="Times New Roman"/>
          <w:color w:val="000000"/>
        </w:rPr>
        <w:t xml:space="preserve">GB 17167  </w:t>
      </w:r>
      <w:r w:rsidRPr="00F403BE">
        <w:rPr>
          <w:rFonts w:ascii="Times New Roman"/>
          <w:color w:val="000000"/>
        </w:rPr>
        <w:t>用能单位能源计量器具配备和管理通则</w:t>
      </w:r>
    </w:p>
    <w:p w14:paraId="3849AB93" w14:textId="77777777" w:rsidR="0040471F" w:rsidRPr="00F403BE" w:rsidRDefault="0040471F" w:rsidP="0040471F">
      <w:pPr>
        <w:pStyle w:val="af2"/>
        <w:ind w:firstLine="420"/>
        <w:contextualSpacing/>
        <w:rPr>
          <w:rFonts w:ascii="Times New Roman"/>
          <w:color w:val="000000"/>
        </w:rPr>
      </w:pPr>
      <w:r w:rsidRPr="00F403BE">
        <w:rPr>
          <w:rFonts w:ascii="Times New Roman"/>
          <w:color w:val="000000"/>
        </w:rPr>
        <w:t xml:space="preserve">GB/T 22592  </w:t>
      </w:r>
      <w:r w:rsidRPr="00F403BE">
        <w:rPr>
          <w:rFonts w:ascii="Times New Roman"/>
          <w:color w:val="000000"/>
        </w:rPr>
        <w:t>水处理剂</w:t>
      </w:r>
      <w:r w:rsidRPr="00F403BE">
        <w:rPr>
          <w:rFonts w:ascii="Times New Roman"/>
          <w:color w:val="000000"/>
        </w:rPr>
        <w:t xml:space="preserve"> pH </w:t>
      </w:r>
      <w:r w:rsidRPr="00F403BE">
        <w:rPr>
          <w:rFonts w:ascii="Times New Roman"/>
          <w:color w:val="000000"/>
        </w:rPr>
        <w:t>值测定方法通则</w:t>
      </w:r>
    </w:p>
    <w:p w14:paraId="7D47F616" w14:textId="77777777" w:rsidR="0040471F" w:rsidRDefault="0040471F" w:rsidP="0040471F">
      <w:pPr>
        <w:pStyle w:val="af2"/>
        <w:ind w:firstLine="420"/>
        <w:contextualSpacing/>
        <w:rPr>
          <w:rFonts w:ascii="Times New Roman"/>
          <w:color w:val="000000"/>
        </w:rPr>
      </w:pPr>
      <w:r w:rsidRPr="00F403BE">
        <w:rPr>
          <w:rFonts w:ascii="Times New Roman"/>
          <w:color w:val="000000"/>
        </w:rPr>
        <w:t xml:space="preserve">GB/T 23838  </w:t>
      </w:r>
      <w:r w:rsidRPr="00F403BE">
        <w:rPr>
          <w:rFonts w:ascii="Times New Roman"/>
          <w:color w:val="000000"/>
        </w:rPr>
        <w:t>工业循环冷却水中悬浮固体的测定</w:t>
      </w:r>
    </w:p>
    <w:p w14:paraId="4CB89DAE" w14:textId="77777777" w:rsidR="0040471F" w:rsidRPr="00F403BE" w:rsidRDefault="0040471F" w:rsidP="0040471F">
      <w:pPr>
        <w:pStyle w:val="af2"/>
        <w:ind w:firstLine="420"/>
        <w:contextualSpacing/>
        <w:rPr>
          <w:rFonts w:ascii="Times New Roman"/>
          <w:color w:val="000000"/>
        </w:rPr>
      </w:pPr>
      <w:r>
        <w:rPr>
          <w:rFonts w:ascii="Times New Roman" w:hint="eastAsia"/>
          <w:color w:val="000000"/>
        </w:rPr>
        <w:t xml:space="preserve">GB/T 44325  </w:t>
      </w:r>
      <w:r>
        <w:rPr>
          <w:rFonts w:ascii="Times New Roman" w:hint="eastAsia"/>
          <w:color w:val="000000"/>
        </w:rPr>
        <w:t>工业循环冷却水零排污技术规范</w:t>
      </w:r>
    </w:p>
    <w:p w14:paraId="6186076E" w14:textId="77777777" w:rsidR="0040471F" w:rsidRPr="00F403BE" w:rsidRDefault="0040471F" w:rsidP="0040471F">
      <w:pPr>
        <w:pStyle w:val="af2"/>
        <w:ind w:firstLine="420"/>
        <w:contextualSpacing/>
        <w:rPr>
          <w:rFonts w:ascii="Times New Roman"/>
          <w:color w:val="000000"/>
        </w:rPr>
      </w:pPr>
      <w:r w:rsidRPr="00F403BE">
        <w:rPr>
          <w:rFonts w:ascii="Times New Roman"/>
          <w:color w:val="000000"/>
        </w:rPr>
        <w:t xml:space="preserve">GB 50050  </w:t>
      </w:r>
      <w:r w:rsidRPr="00F403BE">
        <w:rPr>
          <w:rFonts w:ascii="Times New Roman"/>
          <w:color w:val="000000"/>
        </w:rPr>
        <w:t>工业循环冷却水处理设计规范</w:t>
      </w:r>
    </w:p>
    <w:p w14:paraId="238B17F5" w14:textId="69A01296" w:rsidR="0040471F" w:rsidRPr="0040471F" w:rsidRDefault="0040471F" w:rsidP="0040471F">
      <w:pPr>
        <w:pStyle w:val="af2"/>
        <w:ind w:firstLine="420"/>
        <w:contextualSpacing/>
        <w:rPr>
          <w:rFonts w:ascii="Times New Roman"/>
          <w:color w:val="000000"/>
        </w:rPr>
      </w:pPr>
      <w:r w:rsidRPr="00F403BE">
        <w:rPr>
          <w:rFonts w:ascii="Times New Roman"/>
          <w:color w:val="000000"/>
        </w:rPr>
        <w:t xml:space="preserve">HJ 637  </w:t>
      </w:r>
      <w:r w:rsidRPr="00F403BE">
        <w:rPr>
          <w:rFonts w:ascii="Times New Roman"/>
          <w:color w:val="000000"/>
        </w:rPr>
        <w:t>水质</w:t>
      </w:r>
      <w:r w:rsidRPr="00F403BE">
        <w:rPr>
          <w:rFonts w:ascii="Times New Roman"/>
          <w:color w:val="000000"/>
        </w:rPr>
        <w:t xml:space="preserve"> </w:t>
      </w:r>
      <w:r w:rsidRPr="00F403BE">
        <w:rPr>
          <w:rFonts w:ascii="Times New Roman"/>
          <w:color w:val="000000"/>
        </w:rPr>
        <w:t>石油类和动植物油类的测定</w:t>
      </w:r>
      <w:r w:rsidRPr="00F403BE">
        <w:rPr>
          <w:rFonts w:ascii="Times New Roman"/>
          <w:color w:val="000000"/>
        </w:rPr>
        <w:t xml:space="preserve"> </w:t>
      </w:r>
      <w:r w:rsidRPr="00F403BE">
        <w:rPr>
          <w:rFonts w:ascii="Times New Roman"/>
          <w:color w:val="000000"/>
        </w:rPr>
        <w:t>红外分光光度法</w:t>
      </w:r>
    </w:p>
    <w:p w14:paraId="32C6CB2C" w14:textId="5F3ED201" w:rsidR="00F15A5A" w:rsidRPr="00433C64" w:rsidRDefault="00F15A5A">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hint="eastAsia"/>
          <w:color w:val="000000"/>
          <w:kern w:val="0"/>
        </w:rPr>
        <w:t>3.</w:t>
      </w:r>
      <w:r w:rsidR="002E3BA0">
        <w:rPr>
          <w:rFonts w:ascii="Times New Roman" w:eastAsia="宋体" w:hAnsi="Times New Roman" w:cs="Times New Roman" w:hint="eastAsia"/>
          <w:color w:val="000000"/>
          <w:kern w:val="0"/>
        </w:rPr>
        <w:t xml:space="preserve"> </w:t>
      </w:r>
      <w:r w:rsidR="002A331C" w:rsidRPr="00433C64">
        <w:rPr>
          <w:rFonts w:ascii="Times New Roman" w:eastAsia="宋体" w:hAnsi="Times New Roman" w:cs="Times New Roman" w:hint="eastAsia"/>
          <w:color w:val="000000"/>
          <w:kern w:val="0"/>
        </w:rPr>
        <w:t>技术要求</w:t>
      </w:r>
    </w:p>
    <w:p w14:paraId="72C5FD9F" w14:textId="4E99233D" w:rsidR="0040471F" w:rsidRPr="00433C64" w:rsidRDefault="0040471F">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hint="eastAsia"/>
          <w:color w:val="000000"/>
          <w:kern w:val="0"/>
        </w:rPr>
        <w:t xml:space="preserve">3.1 </w:t>
      </w:r>
      <w:r w:rsidRPr="00433C64">
        <w:rPr>
          <w:rFonts w:ascii="Times New Roman" w:eastAsia="宋体" w:hAnsi="Times New Roman" w:cs="Times New Roman" w:hint="eastAsia"/>
          <w:color w:val="000000"/>
          <w:kern w:val="0"/>
        </w:rPr>
        <w:t>总体要求</w:t>
      </w:r>
    </w:p>
    <w:p w14:paraId="39ECC6CB" w14:textId="3476B7CC" w:rsidR="0040471F" w:rsidRPr="00433C64" w:rsidRDefault="0040471F">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hint="eastAsia"/>
          <w:color w:val="000000"/>
          <w:kern w:val="0"/>
        </w:rPr>
        <w:t>本文件规定了铜及铜合金熔铸冷却水</w:t>
      </w:r>
      <w:r w:rsidR="00CE3BA2" w:rsidRPr="00433C64">
        <w:rPr>
          <w:rFonts w:ascii="Times New Roman" w:eastAsia="宋体" w:hAnsi="Times New Roman" w:cs="Times New Roman" w:hint="eastAsia"/>
          <w:color w:val="000000"/>
          <w:kern w:val="0"/>
        </w:rPr>
        <w:t>在循环利用过程中的总体要求，要求水重复利用率应不小于</w:t>
      </w:r>
      <w:r w:rsidR="00CE3BA2" w:rsidRPr="00433C64">
        <w:rPr>
          <w:rFonts w:ascii="Times New Roman" w:eastAsia="宋体" w:hAnsi="Times New Roman" w:cs="Times New Roman" w:hint="eastAsia"/>
          <w:color w:val="000000"/>
          <w:kern w:val="0"/>
        </w:rPr>
        <w:t>97.2%</w:t>
      </w:r>
      <w:r w:rsidR="00CE3BA2" w:rsidRPr="00433C64">
        <w:rPr>
          <w:rFonts w:ascii="Times New Roman" w:eastAsia="宋体" w:hAnsi="Times New Roman" w:cs="Times New Roman" w:hint="eastAsia"/>
          <w:color w:val="000000"/>
          <w:kern w:val="0"/>
        </w:rPr>
        <w:t>，且无非正常损耗。</w:t>
      </w:r>
    </w:p>
    <w:p w14:paraId="161CA655" w14:textId="63D2B433" w:rsidR="0040471F" w:rsidRPr="00433C64" w:rsidRDefault="0040471F">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hint="eastAsia"/>
          <w:color w:val="000000"/>
          <w:kern w:val="0"/>
        </w:rPr>
        <w:t xml:space="preserve">3.2 </w:t>
      </w:r>
      <w:r w:rsidRPr="00433C64">
        <w:rPr>
          <w:rFonts w:ascii="Times New Roman" w:eastAsia="宋体" w:hAnsi="Times New Roman" w:cs="Times New Roman" w:hint="eastAsia"/>
          <w:color w:val="000000"/>
          <w:kern w:val="0"/>
        </w:rPr>
        <w:t>具体要求</w:t>
      </w:r>
    </w:p>
    <w:p w14:paraId="06432BA6" w14:textId="1D206811" w:rsidR="000F64F0" w:rsidRPr="00433C64" w:rsidRDefault="000F64F0">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hint="eastAsia"/>
          <w:color w:val="000000"/>
          <w:kern w:val="0"/>
        </w:rPr>
        <w:t>铜及铜合金熔铸冷却水零排放和循环利用规范分为水源地的选配、熔铸冷却水供水系统、熔铸工艺</w:t>
      </w:r>
      <w:r w:rsidR="00D537DB" w:rsidRPr="00433C64">
        <w:rPr>
          <w:rFonts w:ascii="Times New Roman" w:eastAsia="宋体" w:hAnsi="Times New Roman" w:cs="Times New Roman" w:hint="eastAsia"/>
          <w:color w:val="000000"/>
          <w:kern w:val="0"/>
        </w:rPr>
        <w:t>、熔铸冷却水循环使用路线等</w:t>
      </w:r>
      <w:r w:rsidRPr="00433C64">
        <w:rPr>
          <w:rFonts w:ascii="Times New Roman" w:eastAsia="宋体" w:hAnsi="Times New Roman" w:cs="Times New Roman" w:hint="eastAsia"/>
          <w:color w:val="000000"/>
          <w:kern w:val="0"/>
        </w:rPr>
        <w:t>方面。</w:t>
      </w:r>
    </w:p>
    <w:p w14:paraId="49F357EB" w14:textId="1B5BE111" w:rsidR="00CE3BA2" w:rsidRPr="00433C64" w:rsidRDefault="00CE3BA2">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hint="eastAsia"/>
          <w:color w:val="000000"/>
          <w:kern w:val="0"/>
        </w:rPr>
        <w:t>3.</w:t>
      </w:r>
      <w:r w:rsidR="000F64F0" w:rsidRPr="00433C64">
        <w:rPr>
          <w:rFonts w:ascii="Times New Roman" w:eastAsia="宋体" w:hAnsi="Times New Roman" w:cs="Times New Roman" w:hint="eastAsia"/>
          <w:color w:val="000000"/>
          <w:kern w:val="0"/>
        </w:rPr>
        <w:t>2.</w:t>
      </w:r>
      <w:r w:rsidRPr="00433C64">
        <w:rPr>
          <w:rFonts w:ascii="Times New Roman" w:eastAsia="宋体" w:hAnsi="Times New Roman" w:cs="Times New Roman" w:hint="eastAsia"/>
          <w:color w:val="000000"/>
          <w:kern w:val="0"/>
        </w:rPr>
        <w:t xml:space="preserve">1 </w:t>
      </w:r>
      <w:r w:rsidRPr="00433C64">
        <w:rPr>
          <w:rFonts w:ascii="Times New Roman" w:eastAsia="宋体" w:hAnsi="Times New Roman" w:cs="Times New Roman" w:hint="eastAsia"/>
          <w:color w:val="000000"/>
          <w:kern w:val="0"/>
        </w:rPr>
        <w:t>水源地的选配</w:t>
      </w:r>
    </w:p>
    <w:p w14:paraId="2415D1A4" w14:textId="77777777" w:rsidR="007908DE" w:rsidRPr="007908DE" w:rsidRDefault="007908DE" w:rsidP="007908DE">
      <w:pPr>
        <w:pStyle w:val="a0"/>
        <w:ind w:firstLineChars="200" w:firstLine="420"/>
        <w:rPr>
          <w:rFonts w:ascii="Times New Roman" w:eastAsia="宋体" w:hAnsi="Times New Roman" w:cs="Times New Roman"/>
          <w:color w:val="000000"/>
          <w:kern w:val="0"/>
        </w:rPr>
      </w:pPr>
      <w:r w:rsidRPr="007908DE">
        <w:rPr>
          <w:rFonts w:ascii="Times New Roman" w:eastAsia="宋体" w:hAnsi="Times New Roman" w:cs="Times New Roman"/>
          <w:color w:val="000000"/>
          <w:kern w:val="0"/>
        </w:rPr>
        <w:t>本标准从供需平衡与合规性出发，对熔铸冷却水水源地的选配进行了全生命周期规范：</w:t>
      </w:r>
    </w:p>
    <w:p w14:paraId="74185685" w14:textId="4E355CDF" w:rsidR="007908DE" w:rsidRPr="007908DE" w:rsidRDefault="007908DE" w:rsidP="007908DE">
      <w:pPr>
        <w:pStyle w:val="a0"/>
        <w:ind w:firstLineChars="200" w:firstLine="420"/>
        <w:rPr>
          <w:rFonts w:ascii="Times New Roman" w:eastAsia="宋体" w:hAnsi="Times New Roman" w:cs="Times New Roman"/>
          <w:color w:val="000000"/>
          <w:kern w:val="0"/>
        </w:rPr>
      </w:pPr>
      <w:r w:rsidRPr="007908DE">
        <w:rPr>
          <w:rFonts w:ascii="Times New Roman" w:eastAsia="宋体" w:hAnsi="Times New Roman" w:cs="Times New Roman" w:hint="eastAsia"/>
          <w:color w:val="000000"/>
          <w:kern w:val="0"/>
        </w:rPr>
        <w:t>1</w:t>
      </w:r>
      <w:r w:rsidRPr="007908DE">
        <w:rPr>
          <w:rFonts w:ascii="Times New Roman" w:eastAsia="宋体" w:hAnsi="Times New Roman" w:cs="Times New Roman" w:hint="eastAsia"/>
          <w:color w:val="000000"/>
          <w:kern w:val="0"/>
        </w:rPr>
        <w:t>）</w:t>
      </w:r>
      <w:r w:rsidRPr="007908DE">
        <w:rPr>
          <w:rFonts w:ascii="Times New Roman" w:eastAsia="宋体" w:hAnsi="Times New Roman" w:cs="Times New Roman"/>
          <w:color w:val="000000"/>
          <w:kern w:val="0"/>
        </w:rPr>
        <w:t>选配原则：水源地的选择必须遵循国家及地区水资源政策，以实现企业生产与居民生活用水的供需平衡和谐为核心原则。</w:t>
      </w:r>
    </w:p>
    <w:p w14:paraId="64BC1344" w14:textId="04BA2003" w:rsidR="007908DE" w:rsidRPr="007908DE" w:rsidRDefault="007908DE" w:rsidP="007908DE">
      <w:pPr>
        <w:pStyle w:val="a0"/>
        <w:ind w:firstLineChars="200" w:firstLine="420"/>
        <w:rPr>
          <w:rFonts w:ascii="Times New Roman" w:eastAsia="宋体" w:hAnsi="Times New Roman" w:cs="Times New Roman"/>
          <w:color w:val="000000"/>
          <w:kern w:val="0"/>
        </w:rPr>
      </w:pPr>
      <w:r w:rsidRPr="007908DE">
        <w:rPr>
          <w:rFonts w:ascii="Times New Roman" w:eastAsia="宋体" w:hAnsi="Times New Roman" w:cs="Times New Roman" w:hint="eastAsia"/>
          <w:color w:val="000000"/>
          <w:kern w:val="0"/>
        </w:rPr>
        <w:t>2</w:t>
      </w:r>
      <w:r w:rsidRPr="007908DE">
        <w:rPr>
          <w:rFonts w:ascii="Times New Roman" w:eastAsia="宋体" w:hAnsi="Times New Roman" w:cs="Times New Roman" w:hint="eastAsia"/>
          <w:color w:val="000000"/>
          <w:kern w:val="0"/>
        </w:rPr>
        <w:t>）</w:t>
      </w:r>
      <w:r w:rsidRPr="007908DE">
        <w:rPr>
          <w:rFonts w:ascii="Times New Roman" w:eastAsia="宋体" w:hAnsi="Times New Roman" w:cs="Times New Roman"/>
          <w:color w:val="000000"/>
          <w:kern w:val="0"/>
        </w:rPr>
        <w:t>存量约束：对于已建成企业，其水源地必须符合当地用水平衡要求；若已无法满足供需平衡，则明确要求实施</w:t>
      </w:r>
      <w:r w:rsidRPr="007908DE">
        <w:rPr>
          <w:rFonts w:ascii="Times New Roman" w:eastAsia="宋体" w:hAnsi="Times New Roman" w:cs="Times New Roman"/>
          <w:color w:val="000000"/>
          <w:kern w:val="0"/>
        </w:rPr>
        <w:t>“</w:t>
      </w:r>
      <w:r w:rsidRPr="007908DE">
        <w:rPr>
          <w:rFonts w:ascii="Times New Roman" w:eastAsia="宋体" w:hAnsi="Times New Roman" w:cs="Times New Roman"/>
          <w:color w:val="000000"/>
          <w:kern w:val="0"/>
        </w:rPr>
        <w:t>移地搬迁或关停</w:t>
      </w:r>
      <w:r w:rsidRPr="007908DE">
        <w:rPr>
          <w:rFonts w:ascii="Times New Roman" w:eastAsia="宋体" w:hAnsi="Times New Roman" w:cs="Times New Roman"/>
          <w:color w:val="000000"/>
          <w:kern w:val="0"/>
        </w:rPr>
        <w:t>”</w:t>
      </w:r>
      <w:r w:rsidRPr="007908DE">
        <w:rPr>
          <w:rFonts w:ascii="Times New Roman" w:eastAsia="宋体" w:hAnsi="Times New Roman" w:cs="Times New Roman"/>
          <w:color w:val="000000"/>
          <w:kern w:val="0"/>
        </w:rPr>
        <w:t>。</w:t>
      </w:r>
    </w:p>
    <w:p w14:paraId="1E3C07B9" w14:textId="7C99C0FE" w:rsidR="007908DE" w:rsidRPr="007908DE" w:rsidRDefault="007908DE" w:rsidP="007908DE">
      <w:pPr>
        <w:pStyle w:val="a0"/>
        <w:ind w:firstLineChars="200" w:firstLine="420"/>
        <w:rPr>
          <w:rFonts w:ascii="Times New Roman" w:eastAsia="宋体" w:hAnsi="Times New Roman" w:cs="Times New Roman"/>
          <w:color w:val="000000"/>
          <w:kern w:val="0"/>
        </w:rPr>
      </w:pPr>
      <w:r w:rsidRPr="007908DE">
        <w:rPr>
          <w:rFonts w:ascii="Times New Roman" w:eastAsia="宋体" w:hAnsi="Times New Roman" w:cs="Times New Roman" w:hint="eastAsia"/>
          <w:color w:val="000000"/>
          <w:kern w:val="0"/>
        </w:rPr>
        <w:t>3</w:t>
      </w:r>
      <w:r w:rsidRPr="007908DE">
        <w:rPr>
          <w:rFonts w:ascii="Times New Roman" w:eastAsia="宋体" w:hAnsi="Times New Roman" w:cs="Times New Roman" w:hint="eastAsia"/>
          <w:color w:val="000000"/>
          <w:kern w:val="0"/>
        </w:rPr>
        <w:t>）</w:t>
      </w:r>
      <w:r w:rsidRPr="007908DE">
        <w:rPr>
          <w:rFonts w:ascii="Times New Roman" w:eastAsia="宋体" w:hAnsi="Times New Roman" w:cs="Times New Roman"/>
          <w:color w:val="000000"/>
          <w:kern w:val="0"/>
        </w:rPr>
        <w:t>增量准入：对于新建企业，强制要求在选址前依据当地水资源分布进行科学的勘探、论证与评估，从源头确保水源地选择的合理性与可持续性。</w:t>
      </w:r>
    </w:p>
    <w:p w14:paraId="0183FBE7" w14:textId="66D3B017" w:rsidR="00CE3BA2" w:rsidRPr="00433C64" w:rsidRDefault="00CE3BA2" w:rsidP="002E3BA0">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hint="eastAsia"/>
          <w:color w:val="000000"/>
          <w:kern w:val="0"/>
        </w:rPr>
        <w:t>3.</w:t>
      </w:r>
      <w:r w:rsidR="000F64F0" w:rsidRPr="00433C64">
        <w:rPr>
          <w:rFonts w:ascii="Times New Roman" w:eastAsia="宋体" w:hAnsi="Times New Roman" w:cs="Times New Roman" w:hint="eastAsia"/>
          <w:color w:val="000000"/>
          <w:kern w:val="0"/>
        </w:rPr>
        <w:t>2.</w:t>
      </w:r>
      <w:r w:rsidRPr="00433C64">
        <w:rPr>
          <w:rFonts w:ascii="Times New Roman" w:eastAsia="宋体" w:hAnsi="Times New Roman" w:cs="Times New Roman" w:hint="eastAsia"/>
          <w:color w:val="000000"/>
          <w:kern w:val="0"/>
        </w:rPr>
        <w:t xml:space="preserve">2 </w:t>
      </w:r>
      <w:r w:rsidRPr="00433C64">
        <w:rPr>
          <w:rFonts w:ascii="Times New Roman" w:eastAsia="宋体" w:hAnsi="Times New Roman" w:cs="Times New Roman" w:hint="eastAsia"/>
          <w:color w:val="000000"/>
          <w:kern w:val="0"/>
        </w:rPr>
        <w:t>熔铸冷却水供水系统</w:t>
      </w:r>
    </w:p>
    <w:p w14:paraId="4589E45F" w14:textId="208C75E9" w:rsidR="00BC721A" w:rsidRPr="00433C64" w:rsidRDefault="00BC721A" w:rsidP="00433C64">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hint="eastAsia"/>
          <w:color w:val="000000"/>
          <w:kern w:val="0"/>
        </w:rPr>
        <w:t>为达到节能减排的目的，本标准推荐使用变频加</w:t>
      </w:r>
      <w:r w:rsidRPr="00433C64">
        <w:rPr>
          <w:rFonts w:ascii="Times New Roman" w:eastAsia="宋体" w:hAnsi="Times New Roman" w:cs="Times New Roman" w:hint="eastAsia"/>
          <w:color w:val="000000"/>
          <w:kern w:val="0"/>
        </w:rPr>
        <w:t>PLC</w:t>
      </w:r>
      <w:r w:rsidRPr="00433C64">
        <w:rPr>
          <w:rFonts w:ascii="Times New Roman" w:eastAsia="宋体" w:hAnsi="Times New Roman" w:cs="Times New Roman" w:hint="eastAsia"/>
          <w:color w:val="000000"/>
          <w:kern w:val="0"/>
        </w:rPr>
        <w:t>控制的低耗能供水系统，同时限制采用交直流、电机泵站供水的高耗能供水系统，此外，供水系统的计量器具应符合</w:t>
      </w:r>
      <w:r w:rsidRPr="00433C64">
        <w:rPr>
          <w:rFonts w:ascii="Times New Roman" w:eastAsia="宋体" w:hAnsi="Times New Roman" w:cs="Times New Roman"/>
          <w:color w:val="000000"/>
          <w:kern w:val="0"/>
        </w:rPr>
        <w:t>GB 17167</w:t>
      </w:r>
      <w:r w:rsidRPr="00433C64">
        <w:rPr>
          <w:rFonts w:ascii="Times New Roman" w:eastAsia="宋体" w:hAnsi="Times New Roman" w:cs="Times New Roman" w:hint="eastAsia"/>
          <w:color w:val="000000"/>
          <w:kern w:val="0"/>
        </w:rPr>
        <w:lastRenderedPageBreak/>
        <w:t>《</w:t>
      </w:r>
      <w:r w:rsidRPr="00433C64">
        <w:rPr>
          <w:rFonts w:ascii="Times New Roman" w:eastAsia="宋体" w:hAnsi="Times New Roman" w:cs="Times New Roman"/>
          <w:color w:val="000000"/>
          <w:kern w:val="0"/>
        </w:rPr>
        <w:t>用能单位能源计量器具配备和管理通则</w:t>
      </w:r>
      <w:r w:rsidRPr="00433C64">
        <w:rPr>
          <w:rFonts w:ascii="Times New Roman" w:eastAsia="宋体" w:hAnsi="Times New Roman" w:cs="Times New Roman" w:hint="eastAsia"/>
          <w:color w:val="000000"/>
          <w:kern w:val="0"/>
        </w:rPr>
        <w:t>》的规定。</w:t>
      </w:r>
    </w:p>
    <w:p w14:paraId="6374D020" w14:textId="080B48DB" w:rsidR="00CE3BA2" w:rsidRPr="00433C64" w:rsidRDefault="000F64F0" w:rsidP="000F64F0">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hint="eastAsia"/>
          <w:color w:val="000000"/>
          <w:kern w:val="0"/>
        </w:rPr>
        <w:t>3.2.3</w:t>
      </w:r>
      <w:r w:rsidR="002E3BA0">
        <w:rPr>
          <w:rFonts w:ascii="Times New Roman" w:eastAsia="宋体" w:hAnsi="Times New Roman" w:cs="Times New Roman" w:hint="eastAsia"/>
          <w:color w:val="000000"/>
          <w:kern w:val="0"/>
        </w:rPr>
        <w:t xml:space="preserve"> </w:t>
      </w:r>
      <w:r w:rsidR="00CE3BA2" w:rsidRPr="00433C64">
        <w:rPr>
          <w:rFonts w:ascii="Times New Roman" w:eastAsia="宋体" w:hAnsi="Times New Roman" w:cs="Times New Roman" w:hint="eastAsia"/>
          <w:color w:val="000000"/>
          <w:kern w:val="0"/>
        </w:rPr>
        <w:t>熔铸工艺</w:t>
      </w:r>
    </w:p>
    <w:p w14:paraId="3749EE94" w14:textId="69244339" w:rsidR="001F5464" w:rsidRPr="00433C64" w:rsidRDefault="001F5464" w:rsidP="001F5464">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color w:val="000000"/>
          <w:kern w:val="0"/>
        </w:rPr>
        <w:t>铜合金常见的熔铸工艺分为两类：一类为连续或半连续铸造（含连铸连轧），具有效率高、污染小的特点；另一类为铁模、水冷模等非连续铸造，工艺简单但效率低、环境污染重。本标准建议优先采用高效且环境友好的铸造方式，对非连续铸造加以限制。</w:t>
      </w:r>
    </w:p>
    <w:p w14:paraId="1A3455F3" w14:textId="304362D7" w:rsidR="00D537DB" w:rsidRPr="00433C64" w:rsidRDefault="00D537DB" w:rsidP="001F5464">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hint="eastAsia"/>
          <w:color w:val="000000"/>
          <w:kern w:val="0"/>
        </w:rPr>
        <w:t xml:space="preserve">3.2.4 </w:t>
      </w:r>
      <w:r w:rsidRPr="00433C64">
        <w:rPr>
          <w:rFonts w:ascii="Times New Roman" w:eastAsia="宋体" w:hAnsi="Times New Roman" w:cs="Times New Roman" w:hint="eastAsia"/>
          <w:color w:val="000000"/>
          <w:kern w:val="0"/>
        </w:rPr>
        <w:t>熔铸冷却水使用路线</w:t>
      </w:r>
    </w:p>
    <w:p w14:paraId="00F66E35" w14:textId="19E05A55" w:rsidR="00D537DB" w:rsidRPr="00433C64" w:rsidRDefault="00D537DB" w:rsidP="001F5464">
      <w:pPr>
        <w:pStyle w:val="a0"/>
        <w:ind w:firstLineChars="200" w:firstLine="420"/>
        <w:rPr>
          <w:rFonts w:ascii="Times New Roman" w:eastAsia="宋体" w:hAnsi="Times New Roman" w:cs="Times New Roman"/>
          <w:color w:val="000000"/>
          <w:kern w:val="0"/>
        </w:rPr>
      </w:pPr>
      <w:r w:rsidRPr="00433C64">
        <w:rPr>
          <w:rFonts w:ascii="Times New Roman" w:eastAsia="宋体" w:hAnsi="Times New Roman" w:cs="Times New Roman" w:hint="eastAsia"/>
          <w:color w:val="000000"/>
          <w:kern w:val="0"/>
        </w:rPr>
        <w:t>熔铸冷却水的循环使用路线通常分以下三种</w:t>
      </w:r>
      <w:r w:rsidR="00C736FE" w:rsidRPr="00433C64">
        <w:rPr>
          <w:rFonts w:ascii="Times New Roman" w:eastAsia="宋体" w:hAnsi="Times New Roman" w:cs="Times New Roman" w:hint="eastAsia"/>
          <w:color w:val="000000"/>
          <w:kern w:val="0"/>
        </w:rPr>
        <w:t>（见下表）</w:t>
      </w:r>
      <w:r w:rsidRPr="00433C64">
        <w:rPr>
          <w:rFonts w:ascii="Times New Roman" w:eastAsia="宋体" w:hAnsi="Times New Roman" w:cs="Times New Roman" w:hint="eastAsia"/>
          <w:color w:val="000000"/>
          <w:kern w:val="0"/>
        </w:rPr>
        <w:t>。推荐使用路线一、路线二。</w:t>
      </w:r>
    </w:p>
    <w:p w14:paraId="44B2553C" w14:textId="5D69FEC1" w:rsidR="00D537DB" w:rsidRPr="00233818" w:rsidRDefault="00D537DB" w:rsidP="00D537DB">
      <w:pPr>
        <w:pStyle w:val="af2"/>
        <w:spacing w:line="360" w:lineRule="auto"/>
        <w:ind w:firstLineChars="0" w:firstLine="0"/>
        <w:contextualSpacing/>
        <w:jc w:val="center"/>
        <w:rPr>
          <w:rFonts w:ascii="黑体" w:eastAsia="黑体" w:hAnsi="黑体" w:hint="eastAsia"/>
        </w:rPr>
      </w:pPr>
      <w:r w:rsidRPr="00233818">
        <w:rPr>
          <w:rFonts w:ascii="黑体" w:eastAsia="黑体" w:hAnsi="黑体" w:hint="eastAsia"/>
        </w:rPr>
        <w:t>表</w:t>
      </w:r>
      <w:r w:rsidR="00C736FE">
        <w:rPr>
          <w:rFonts w:ascii="黑体" w:eastAsia="黑体" w:hAnsi="黑体" w:hint="eastAsia"/>
        </w:rPr>
        <w:t>2</w:t>
      </w:r>
      <w:r>
        <w:rPr>
          <w:rFonts w:ascii="黑体" w:eastAsia="黑体" w:hAnsi="黑体" w:hint="eastAsia"/>
        </w:rPr>
        <w:t xml:space="preserve"> </w:t>
      </w:r>
      <w:r w:rsidRPr="00233818">
        <w:rPr>
          <w:rFonts w:ascii="黑体" w:eastAsia="黑体" w:hAnsi="黑体" w:hint="eastAsia"/>
        </w:rPr>
        <w:t>熔铸冷却水循环使用路线</w:t>
      </w:r>
    </w:p>
    <w:tbl>
      <w:tblPr>
        <w:tblStyle w:val="af"/>
        <w:tblW w:w="86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03"/>
        <w:gridCol w:w="6237"/>
        <w:gridCol w:w="992"/>
      </w:tblGrid>
      <w:tr w:rsidR="00D537DB" w14:paraId="034ACB1F" w14:textId="77777777" w:rsidTr="002E3BA0">
        <w:tc>
          <w:tcPr>
            <w:tcW w:w="1403" w:type="dxa"/>
            <w:tcBorders>
              <w:bottom w:val="single" w:sz="12" w:space="0" w:color="auto"/>
            </w:tcBorders>
            <w:vAlign w:val="center"/>
          </w:tcPr>
          <w:p w14:paraId="087CB15F" w14:textId="77777777" w:rsidR="00D537DB" w:rsidRPr="00603D91" w:rsidRDefault="00D537DB">
            <w:pPr>
              <w:pStyle w:val="af2"/>
              <w:ind w:firstLineChars="0" w:firstLine="0"/>
              <w:contextualSpacing/>
              <w:jc w:val="center"/>
              <w:rPr>
                <w:rFonts w:ascii="Times New Roman"/>
                <w:sz w:val="18"/>
                <w:szCs w:val="16"/>
              </w:rPr>
            </w:pPr>
            <w:r w:rsidRPr="00603D91">
              <w:rPr>
                <w:rFonts w:ascii="Times New Roman"/>
                <w:sz w:val="18"/>
                <w:szCs w:val="16"/>
              </w:rPr>
              <w:t>使用路线</w:t>
            </w:r>
          </w:p>
        </w:tc>
        <w:tc>
          <w:tcPr>
            <w:tcW w:w="6237" w:type="dxa"/>
            <w:tcBorders>
              <w:bottom w:val="single" w:sz="12" w:space="0" w:color="auto"/>
            </w:tcBorders>
            <w:vAlign w:val="center"/>
          </w:tcPr>
          <w:p w14:paraId="32AD436F" w14:textId="77777777" w:rsidR="00D537DB" w:rsidRPr="00603D91" w:rsidRDefault="00D537DB">
            <w:pPr>
              <w:pStyle w:val="af2"/>
              <w:ind w:firstLineChars="0" w:firstLine="0"/>
              <w:contextualSpacing/>
              <w:jc w:val="center"/>
              <w:rPr>
                <w:rFonts w:ascii="Times New Roman"/>
                <w:sz w:val="18"/>
                <w:szCs w:val="16"/>
              </w:rPr>
            </w:pPr>
            <w:r w:rsidRPr="00603D91">
              <w:rPr>
                <w:rFonts w:ascii="Times New Roman"/>
                <w:sz w:val="18"/>
                <w:szCs w:val="16"/>
              </w:rPr>
              <w:t>说明</w:t>
            </w:r>
          </w:p>
        </w:tc>
        <w:tc>
          <w:tcPr>
            <w:tcW w:w="992" w:type="dxa"/>
            <w:tcBorders>
              <w:bottom w:val="single" w:sz="12" w:space="0" w:color="auto"/>
            </w:tcBorders>
            <w:vAlign w:val="center"/>
          </w:tcPr>
          <w:p w14:paraId="3C00BC76" w14:textId="77777777" w:rsidR="00D537DB" w:rsidRPr="00603D91" w:rsidRDefault="00D537DB">
            <w:pPr>
              <w:pStyle w:val="af2"/>
              <w:ind w:firstLineChars="0" w:firstLine="0"/>
              <w:contextualSpacing/>
              <w:jc w:val="center"/>
              <w:rPr>
                <w:rFonts w:ascii="Times New Roman"/>
                <w:sz w:val="18"/>
                <w:szCs w:val="16"/>
              </w:rPr>
            </w:pPr>
            <w:r w:rsidRPr="00603D91">
              <w:rPr>
                <w:rFonts w:ascii="Times New Roman"/>
                <w:sz w:val="18"/>
                <w:szCs w:val="16"/>
              </w:rPr>
              <w:t>备注</w:t>
            </w:r>
          </w:p>
        </w:tc>
      </w:tr>
      <w:tr w:rsidR="00D537DB" w14:paraId="08279289" w14:textId="77777777" w:rsidTr="002E3BA0">
        <w:trPr>
          <w:trHeight w:val="480"/>
        </w:trPr>
        <w:tc>
          <w:tcPr>
            <w:tcW w:w="1403" w:type="dxa"/>
            <w:tcBorders>
              <w:top w:val="single" w:sz="12" w:space="0" w:color="auto"/>
              <w:bottom w:val="single" w:sz="6" w:space="0" w:color="auto"/>
            </w:tcBorders>
            <w:vAlign w:val="center"/>
          </w:tcPr>
          <w:p w14:paraId="675F05FA" w14:textId="77777777" w:rsidR="00D537DB" w:rsidRPr="00603D91" w:rsidRDefault="00D537DB">
            <w:pPr>
              <w:pStyle w:val="af2"/>
              <w:ind w:firstLineChars="0" w:firstLine="0"/>
              <w:contextualSpacing/>
              <w:jc w:val="center"/>
              <w:rPr>
                <w:rFonts w:ascii="Times New Roman"/>
                <w:sz w:val="18"/>
                <w:szCs w:val="16"/>
              </w:rPr>
            </w:pPr>
            <w:r w:rsidRPr="00603D91">
              <w:rPr>
                <w:rFonts w:ascii="Times New Roman"/>
                <w:sz w:val="18"/>
                <w:szCs w:val="16"/>
              </w:rPr>
              <w:t>路线一</w:t>
            </w:r>
          </w:p>
        </w:tc>
        <w:tc>
          <w:tcPr>
            <w:tcW w:w="6237" w:type="dxa"/>
            <w:tcBorders>
              <w:top w:val="single" w:sz="12" w:space="0" w:color="auto"/>
              <w:bottom w:val="single" w:sz="6" w:space="0" w:color="auto"/>
            </w:tcBorders>
            <w:vAlign w:val="center"/>
          </w:tcPr>
          <w:p w14:paraId="43753DFC" w14:textId="77777777" w:rsidR="00D537DB" w:rsidRPr="00603D91" w:rsidRDefault="00D537DB">
            <w:pPr>
              <w:pStyle w:val="af2"/>
              <w:ind w:firstLine="360"/>
              <w:contextualSpacing/>
              <w:jc w:val="center"/>
              <w:rPr>
                <w:rFonts w:ascii="Times New Roman"/>
                <w:sz w:val="18"/>
                <w:szCs w:val="16"/>
              </w:rPr>
            </w:pPr>
            <w:r w:rsidRPr="00603D91">
              <w:rPr>
                <w:rFonts w:ascii="Times New Roman"/>
                <w:sz w:val="18"/>
                <w:szCs w:val="16"/>
              </w:rPr>
              <w:t>熔铸冷却水</w:t>
            </w:r>
            <w:r w:rsidRPr="00603D91">
              <w:rPr>
                <w:rFonts w:ascii="Times New Roman"/>
                <w:sz w:val="18"/>
                <w:szCs w:val="16"/>
              </w:rPr>
              <w:t>→</w:t>
            </w:r>
            <w:r w:rsidRPr="00603D91">
              <w:rPr>
                <w:rFonts w:ascii="Times New Roman"/>
                <w:sz w:val="18"/>
                <w:szCs w:val="16"/>
              </w:rPr>
              <w:t>闭式循环冷却水箱</w:t>
            </w:r>
            <w:r w:rsidRPr="00603D91">
              <w:rPr>
                <w:rFonts w:ascii="Times New Roman"/>
                <w:sz w:val="18"/>
                <w:szCs w:val="16"/>
              </w:rPr>
              <w:t>→</w:t>
            </w:r>
            <w:r w:rsidRPr="00603D91">
              <w:rPr>
                <w:rFonts w:ascii="Times New Roman"/>
                <w:sz w:val="18"/>
                <w:szCs w:val="16"/>
              </w:rPr>
              <w:t>闭式循环冷却水泵</w:t>
            </w:r>
            <w:r w:rsidRPr="00603D91">
              <w:rPr>
                <w:rFonts w:ascii="Times New Roman"/>
                <w:sz w:val="18"/>
                <w:szCs w:val="16"/>
              </w:rPr>
              <w:t>→</w:t>
            </w:r>
            <w:r w:rsidRPr="00603D91">
              <w:rPr>
                <w:rFonts w:ascii="Times New Roman"/>
                <w:sz w:val="18"/>
                <w:szCs w:val="16"/>
              </w:rPr>
              <w:t>熔铸冷却</w:t>
            </w:r>
            <w:r w:rsidRPr="00603D91">
              <w:rPr>
                <w:rFonts w:ascii="Times New Roman"/>
                <w:sz w:val="18"/>
                <w:szCs w:val="16"/>
              </w:rPr>
              <w:t>→</w:t>
            </w:r>
            <w:r w:rsidRPr="00603D91">
              <w:rPr>
                <w:rFonts w:ascii="Times New Roman"/>
                <w:sz w:val="18"/>
                <w:szCs w:val="16"/>
              </w:rPr>
              <w:t>闭式循环冷却水热交换器</w:t>
            </w:r>
            <w:r w:rsidRPr="00603D91">
              <w:rPr>
                <w:rFonts w:ascii="Times New Roman"/>
                <w:sz w:val="18"/>
                <w:szCs w:val="16"/>
              </w:rPr>
              <w:t>→</w:t>
            </w:r>
            <w:r w:rsidRPr="00603D91">
              <w:rPr>
                <w:rFonts w:ascii="Times New Roman"/>
                <w:sz w:val="18"/>
                <w:szCs w:val="16"/>
              </w:rPr>
              <w:t>循环再利用</w:t>
            </w:r>
          </w:p>
        </w:tc>
        <w:tc>
          <w:tcPr>
            <w:tcW w:w="992" w:type="dxa"/>
            <w:tcBorders>
              <w:top w:val="single" w:sz="12" w:space="0" w:color="auto"/>
              <w:bottom w:val="single" w:sz="6" w:space="0" w:color="auto"/>
            </w:tcBorders>
            <w:vAlign w:val="center"/>
          </w:tcPr>
          <w:p w14:paraId="03D7C830" w14:textId="77777777" w:rsidR="00D537DB" w:rsidRPr="00603D91" w:rsidRDefault="00D537DB">
            <w:pPr>
              <w:pStyle w:val="af2"/>
              <w:ind w:firstLineChars="0" w:firstLine="0"/>
              <w:contextualSpacing/>
              <w:jc w:val="center"/>
              <w:rPr>
                <w:rFonts w:ascii="Times New Roman"/>
                <w:sz w:val="18"/>
                <w:szCs w:val="16"/>
              </w:rPr>
            </w:pPr>
            <w:r w:rsidRPr="00603D91">
              <w:rPr>
                <w:rFonts w:ascii="Times New Roman"/>
                <w:sz w:val="18"/>
                <w:szCs w:val="16"/>
              </w:rPr>
              <w:t>推荐使用</w:t>
            </w:r>
          </w:p>
        </w:tc>
      </w:tr>
      <w:tr w:rsidR="00D537DB" w14:paraId="25AF987D" w14:textId="77777777" w:rsidTr="002E3BA0">
        <w:trPr>
          <w:trHeight w:val="480"/>
        </w:trPr>
        <w:tc>
          <w:tcPr>
            <w:tcW w:w="1403" w:type="dxa"/>
            <w:tcBorders>
              <w:top w:val="single" w:sz="6" w:space="0" w:color="auto"/>
              <w:bottom w:val="single" w:sz="6" w:space="0" w:color="auto"/>
            </w:tcBorders>
            <w:vAlign w:val="center"/>
          </w:tcPr>
          <w:p w14:paraId="712D54FA" w14:textId="77777777" w:rsidR="00D537DB" w:rsidRPr="00603D91" w:rsidRDefault="00D537DB">
            <w:pPr>
              <w:pStyle w:val="af2"/>
              <w:ind w:firstLineChars="0" w:firstLine="0"/>
              <w:contextualSpacing/>
              <w:jc w:val="center"/>
              <w:rPr>
                <w:rFonts w:ascii="Times New Roman"/>
                <w:sz w:val="18"/>
                <w:szCs w:val="16"/>
              </w:rPr>
            </w:pPr>
            <w:r w:rsidRPr="00603D91">
              <w:rPr>
                <w:rFonts w:ascii="Times New Roman"/>
                <w:sz w:val="18"/>
                <w:szCs w:val="16"/>
              </w:rPr>
              <w:t>路线二</w:t>
            </w:r>
          </w:p>
        </w:tc>
        <w:tc>
          <w:tcPr>
            <w:tcW w:w="6237" w:type="dxa"/>
            <w:tcBorders>
              <w:top w:val="single" w:sz="6" w:space="0" w:color="auto"/>
              <w:bottom w:val="single" w:sz="6" w:space="0" w:color="auto"/>
            </w:tcBorders>
            <w:vAlign w:val="center"/>
          </w:tcPr>
          <w:p w14:paraId="7321F866" w14:textId="77777777" w:rsidR="00D537DB" w:rsidRPr="00603D91" w:rsidRDefault="00D537DB">
            <w:pPr>
              <w:pStyle w:val="af2"/>
              <w:ind w:firstLineChars="0" w:firstLine="0"/>
              <w:contextualSpacing/>
              <w:jc w:val="center"/>
              <w:rPr>
                <w:rFonts w:ascii="Times New Roman"/>
                <w:sz w:val="18"/>
                <w:szCs w:val="16"/>
              </w:rPr>
            </w:pPr>
            <w:r w:rsidRPr="00603D91">
              <w:rPr>
                <w:rFonts w:ascii="Times New Roman"/>
                <w:sz w:val="18"/>
                <w:szCs w:val="16"/>
              </w:rPr>
              <w:t>熔铸冷却水（自然收集或定址提取）</w:t>
            </w:r>
            <w:r w:rsidRPr="00603D91">
              <w:rPr>
                <w:rFonts w:ascii="Times New Roman"/>
                <w:sz w:val="18"/>
                <w:szCs w:val="16"/>
              </w:rPr>
              <w:t>→</w:t>
            </w:r>
            <w:r w:rsidRPr="00603D91">
              <w:rPr>
                <w:rFonts w:ascii="Times New Roman"/>
                <w:sz w:val="18"/>
                <w:szCs w:val="16"/>
              </w:rPr>
              <w:t>净化（软化）</w:t>
            </w:r>
            <w:r w:rsidRPr="00603D91">
              <w:rPr>
                <w:rFonts w:ascii="Times New Roman"/>
                <w:sz w:val="18"/>
                <w:szCs w:val="16"/>
              </w:rPr>
              <w:t>→</w:t>
            </w:r>
            <w:r w:rsidRPr="00603D91">
              <w:rPr>
                <w:rFonts w:ascii="Times New Roman"/>
                <w:sz w:val="18"/>
                <w:szCs w:val="16"/>
              </w:rPr>
              <w:t>循环水池泵站</w:t>
            </w:r>
            <w:r w:rsidRPr="00603D91">
              <w:rPr>
                <w:rFonts w:ascii="Times New Roman"/>
                <w:sz w:val="18"/>
                <w:szCs w:val="16"/>
              </w:rPr>
              <w:t>→</w:t>
            </w:r>
            <w:r w:rsidRPr="00603D91">
              <w:rPr>
                <w:rFonts w:ascii="Times New Roman"/>
                <w:sz w:val="18"/>
                <w:szCs w:val="16"/>
              </w:rPr>
              <w:t>熔铸冷却</w:t>
            </w:r>
            <w:r w:rsidRPr="00603D91">
              <w:rPr>
                <w:rFonts w:ascii="Times New Roman"/>
                <w:sz w:val="18"/>
                <w:szCs w:val="16"/>
              </w:rPr>
              <w:t>→</w:t>
            </w:r>
            <w:r w:rsidRPr="00603D91">
              <w:rPr>
                <w:rFonts w:ascii="Times New Roman"/>
                <w:sz w:val="18"/>
                <w:szCs w:val="16"/>
              </w:rPr>
              <w:t>循环净化再利用</w:t>
            </w:r>
          </w:p>
        </w:tc>
        <w:tc>
          <w:tcPr>
            <w:tcW w:w="992" w:type="dxa"/>
            <w:tcBorders>
              <w:top w:val="single" w:sz="6" w:space="0" w:color="auto"/>
              <w:bottom w:val="single" w:sz="6" w:space="0" w:color="auto"/>
            </w:tcBorders>
            <w:vAlign w:val="center"/>
          </w:tcPr>
          <w:p w14:paraId="79434B60" w14:textId="77777777" w:rsidR="00D537DB" w:rsidRPr="00603D91" w:rsidRDefault="00D537DB">
            <w:pPr>
              <w:pStyle w:val="af2"/>
              <w:ind w:firstLineChars="0" w:firstLine="0"/>
              <w:contextualSpacing/>
              <w:jc w:val="center"/>
              <w:rPr>
                <w:rFonts w:ascii="Times New Roman"/>
                <w:sz w:val="18"/>
                <w:szCs w:val="16"/>
              </w:rPr>
            </w:pPr>
            <w:r w:rsidRPr="00603D91">
              <w:rPr>
                <w:rFonts w:ascii="Times New Roman"/>
                <w:sz w:val="18"/>
                <w:szCs w:val="16"/>
              </w:rPr>
              <w:t>推荐使用</w:t>
            </w:r>
          </w:p>
        </w:tc>
      </w:tr>
      <w:tr w:rsidR="00D537DB" w14:paraId="6E4E4DFF" w14:textId="77777777" w:rsidTr="002E3BA0">
        <w:trPr>
          <w:trHeight w:val="434"/>
        </w:trPr>
        <w:tc>
          <w:tcPr>
            <w:tcW w:w="1403" w:type="dxa"/>
            <w:tcBorders>
              <w:top w:val="single" w:sz="6" w:space="0" w:color="auto"/>
              <w:bottom w:val="single" w:sz="12" w:space="0" w:color="auto"/>
            </w:tcBorders>
            <w:vAlign w:val="center"/>
          </w:tcPr>
          <w:p w14:paraId="5C79BB91" w14:textId="77777777" w:rsidR="00D537DB" w:rsidRPr="00603D91" w:rsidRDefault="00D537DB">
            <w:pPr>
              <w:pStyle w:val="af2"/>
              <w:ind w:firstLineChars="0" w:firstLine="0"/>
              <w:contextualSpacing/>
              <w:jc w:val="center"/>
              <w:rPr>
                <w:rFonts w:ascii="Times New Roman"/>
                <w:sz w:val="18"/>
                <w:szCs w:val="16"/>
              </w:rPr>
            </w:pPr>
            <w:r w:rsidRPr="00603D91">
              <w:rPr>
                <w:rFonts w:ascii="Times New Roman"/>
                <w:sz w:val="18"/>
                <w:szCs w:val="16"/>
              </w:rPr>
              <w:t>路线三</w:t>
            </w:r>
          </w:p>
        </w:tc>
        <w:tc>
          <w:tcPr>
            <w:tcW w:w="6237" w:type="dxa"/>
            <w:tcBorders>
              <w:top w:val="single" w:sz="6" w:space="0" w:color="auto"/>
              <w:bottom w:val="single" w:sz="12" w:space="0" w:color="auto"/>
            </w:tcBorders>
            <w:vAlign w:val="center"/>
          </w:tcPr>
          <w:p w14:paraId="451D8071" w14:textId="77777777" w:rsidR="00D537DB" w:rsidRPr="00603D91" w:rsidRDefault="00D537DB">
            <w:pPr>
              <w:pStyle w:val="af2"/>
              <w:ind w:firstLineChars="0" w:firstLine="0"/>
              <w:contextualSpacing/>
              <w:jc w:val="center"/>
              <w:rPr>
                <w:rFonts w:ascii="Times New Roman"/>
                <w:sz w:val="18"/>
                <w:szCs w:val="16"/>
              </w:rPr>
            </w:pPr>
            <w:r w:rsidRPr="00603D91">
              <w:rPr>
                <w:rFonts w:ascii="Times New Roman"/>
                <w:sz w:val="18"/>
                <w:szCs w:val="16"/>
              </w:rPr>
              <w:t>熔铸冷却水（自然收集或定址提取</w:t>
            </w:r>
            <w:r w:rsidRPr="00603D91">
              <w:rPr>
                <w:rFonts w:ascii="Times New Roman"/>
                <w:sz w:val="18"/>
                <w:szCs w:val="16"/>
              </w:rPr>
              <w:t>)→</w:t>
            </w:r>
            <w:r w:rsidRPr="00603D91">
              <w:rPr>
                <w:rFonts w:ascii="Times New Roman"/>
                <w:sz w:val="18"/>
                <w:szCs w:val="16"/>
              </w:rPr>
              <w:t>循环水池泵站</w:t>
            </w:r>
            <w:r w:rsidRPr="00603D91">
              <w:rPr>
                <w:rFonts w:ascii="Times New Roman"/>
                <w:sz w:val="18"/>
                <w:szCs w:val="16"/>
              </w:rPr>
              <w:t>→</w:t>
            </w:r>
            <w:r w:rsidRPr="00603D91">
              <w:rPr>
                <w:rFonts w:ascii="Times New Roman"/>
                <w:sz w:val="18"/>
                <w:szCs w:val="16"/>
              </w:rPr>
              <w:t>熔铸冷却</w:t>
            </w:r>
            <w:r w:rsidRPr="00603D91">
              <w:rPr>
                <w:rFonts w:ascii="Times New Roman"/>
                <w:sz w:val="18"/>
                <w:szCs w:val="16"/>
              </w:rPr>
              <w:t>→</w:t>
            </w:r>
            <w:r w:rsidRPr="00603D91">
              <w:rPr>
                <w:rFonts w:ascii="Times New Roman"/>
                <w:sz w:val="18"/>
                <w:szCs w:val="16"/>
              </w:rPr>
              <w:t>循环再利用</w:t>
            </w:r>
          </w:p>
        </w:tc>
        <w:tc>
          <w:tcPr>
            <w:tcW w:w="992" w:type="dxa"/>
            <w:tcBorders>
              <w:top w:val="single" w:sz="6" w:space="0" w:color="auto"/>
              <w:bottom w:val="single" w:sz="12" w:space="0" w:color="auto"/>
            </w:tcBorders>
            <w:vAlign w:val="center"/>
          </w:tcPr>
          <w:p w14:paraId="17D555EE" w14:textId="77777777" w:rsidR="00D537DB" w:rsidRPr="00603D91" w:rsidRDefault="00D537DB">
            <w:pPr>
              <w:pStyle w:val="af2"/>
              <w:ind w:firstLineChars="0" w:firstLine="0"/>
              <w:contextualSpacing/>
              <w:jc w:val="center"/>
              <w:rPr>
                <w:rFonts w:ascii="Times New Roman"/>
                <w:sz w:val="18"/>
                <w:szCs w:val="16"/>
              </w:rPr>
            </w:pPr>
            <w:r w:rsidRPr="00603D91">
              <w:rPr>
                <w:rFonts w:ascii="Times New Roman"/>
                <w:sz w:val="18"/>
                <w:szCs w:val="16"/>
              </w:rPr>
              <w:t>限制使用</w:t>
            </w:r>
          </w:p>
        </w:tc>
      </w:tr>
    </w:tbl>
    <w:p w14:paraId="163877E3" w14:textId="77777777" w:rsidR="00CE2B95" w:rsidRPr="00433C64" w:rsidRDefault="00CE2B95" w:rsidP="00CE2B95">
      <w:pPr>
        <w:pStyle w:val="af0"/>
        <w:spacing w:beforeLines="0" w:afterLines="0" w:line="360" w:lineRule="auto"/>
        <w:ind w:firstLineChars="100" w:firstLine="210"/>
        <w:contextualSpacing/>
        <w:rPr>
          <w:color w:val="000000" w:themeColor="text1"/>
        </w:rPr>
      </w:pPr>
      <w:r w:rsidRPr="00433C64">
        <w:rPr>
          <w:rFonts w:cs="Arial" w:hint="eastAsia"/>
          <w:color w:val="000000" w:themeColor="text1"/>
          <w:szCs w:val="21"/>
        </w:rPr>
        <w:t xml:space="preserve">3.2.5 </w:t>
      </w:r>
      <w:r w:rsidRPr="00433C64">
        <w:rPr>
          <w:rFonts w:hint="eastAsia"/>
          <w:color w:val="000000" w:themeColor="text1"/>
        </w:rPr>
        <w:t>熔铸冷却水全程净化，实现零排放的工艺</w:t>
      </w:r>
    </w:p>
    <w:p w14:paraId="0F5C0514" w14:textId="77777777" w:rsidR="00CE2B95" w:rsidRPr="00433C64" w:rsidRDefault="00CE2B95" w:rsidP="00CE2B95">
      <w:pPr>
        <w:pStyle w:val="af2"/>
        <w:ind w:firstLine="420"/>
        <w:contextualSpacing/>
        <w:rPr>
          <w:color w:val="000000" w:themeColor="text1"/>
        </w:rPr>
      </w:pPr>
      <w:r w:rsidRPr="00433C64">
        <w:rPr>
          <w:rFonts w:hint="eastAsia"/>
          <w:color w:val="000000" w:themeColor="text1"/>
        </w:rPr>
        <w:t>铜及铜合金熔炼和铸造全过程中应采用节能供水设备、节水监控、水无机净化软化的无污染控制水泄漏的零排放预报警系统，实现冷却水的有效循环利用，达到零排放。熔铸冷却水全程净化，实现零排放的工艺应符合GB 50050的相应要求。</w:t>
      </w:r>
    </w:p>
    <w:p w14:paraId="6CE819A1" w14:textId="55E6542B" w:rsidR="00D537DB" w:rsidRPr="00433C64" w:rsidRDefault="00CE2B95" w:rsidP="001F5464">
      <w:pPr>
        <w:pStyle w:val="a0"/>
        <w:ind w:firstLineChars="200" w:firstLine="420"/>
        <w:rPr>
          <w:rFonts w:ascii="黑体" w:eastAsia="黑体" w:cs="Arial"/>
          <w:color w:val="000000" w:themeColor="text1"/>
          <w:szCs w:val="21"/>
        </w:rPr>
      </w:pPr>
      <w:r w:rsidRPr="00433C64">
        <w:rPr>
          <w:rFonts w:ascii="黑体" w:eastAsia="黑体" w:cs="Arial" w:hint="eastAsia"/>
          <w:color w:val="000000" w:themeColor="text1"/>
          <w:szCs w:val="21"/>
        </w:rPr>
        <w:t>3.2.6 计算方法</w:t>
      </w:r>
    </w:p>
    <w:p w14:paraId="7BE767F4" w14:textId="499A1514" w:rsidR="00CE2B95" w:rsidRPr="00433C64" w:rsidRDefault="00CE2B95" w:rsidP="001F5464">
      <w:pPr>
        <w:pStyle w:val="a0"/>
        <w:ind w:firstLineChars="200" w:firstLine="420"/>
        <w:rPr>
          <w:rFonts w:ascii="黑体" w:eastAsia="黑体" w:cs="Arial"/>
          <w:color w:val="000000" w:themeColor="text1"/>
          <w:szCs w:val="21"/>
        </w:rPr>
      </w:pPr>
      <w:r w:rsidRPr="00433C64">
        <w:rPr>
          <w:rFonts w:ascii="黑体" w:eastAsia="黑体" w:cs="Arial" w:hint="eastAsia"/>
          <w:color w:val="000000" w:themeColor="text1"/>
          <w:szCs w:val="21"/>
        </w:rPr>
        <w:t>3.2.6.1 水重复利用率</w:t>
      </w:r>
    </w:p>
    <w:p w14:paraId="4C281902" w14:textId="77777777" w:rsidR="00CE2B95" w:rsidRPr="00433C64" w:rsidRDefault="00CE2B95" w:rsidP="00CE2B95">
      <w:pPr>
        <w:pStyle w:val="af2"/>
        <w:ind w:firstLine="420"/>
        <w:contextualSpacing/>
        <w:rPr>
          <w:color w:val="000000" w:themeColor="text1"/>
        </w:rPr>
      </w:pPr>
      <w:r w:rsidRPr="00433C64">
        <w:rPr>
          <w:rFonts w:hint="eastAsia"/>
          <w:color w:val="000000" w:themeColor="text1"/>
        </w:rPr>
        <w:t>铜及铜合金熔铸过程中，水重复利用率按公式（1)计算：</w:t>
      </w:r>
    </w:p>
    <w:p w14:paraId="39543B57" w14:textId="310CC0AA" w:rsidR="00CE2B95" w:rsidRPr="00433C64" w:rsidRDefault="00CE2B95" w:rsidP="002E3BA0">
      <w:pPr>
        <w:pStyle w:val="af2"/>
        <w:ind w:firstLineChars="95" w:firstLine="199"/>
        <w:contextualSpacing/>
        <w:jc w:val="center"/>
        <w:rPr>
          <w:rFonts w:hAnsi="宋体" w:cs="宋体" w:hint="eastAsia"/>
          <w:i/>
          <w:color w:val="000000" w:themeColor="text1"/>
        </w:rPr>
      </w:pPr>
      <w:r w:rsidRPr="00433C64">
        <w:rPr>
          <w:rFonts w:hAnsi="宋体" w:cs="宋体" w:hint="eastAsia"/>
          <w:i/>
          <w:iCs/>
          <w:color w:val="000000" w:themeColor="text1"/>
          <w:szCs w:val="21"/>
        </w:rPr>
        <w:t>F</w:t>
      </w:r>
      <w:r w:rsidRPr="00433C64">
        <w:rPr>
          <w:rFonts w:hAnsi="宋体" w:cs="宋体" w:hint="eastAsia"/>
          <w:i/>
          <w:iCs/>
          <w:color w:val="000000" w:themeColor="text1"/>
          <w:szCs w:val="21"/>
          <w:vertAlign w:val="subscript"/>
        </w:rPr>
        <w:t>W</w:t>
      </w:r>
      <m:oMath>
        <m:r>
          <m:rPr>
            <m:sty m:val="p"/>
          </m:rPr>
          <w:rPr>
            <w:rFonts w:ascii="Cambria Math" w:hAnsi="Cambria Math"/>
            <w:color w:val="000000" w:themeColor="text1"/>
          </w:rPr>
          <m:t>=</m:t>
        </m:r>
      </m:oMath>
      <w:r w:rsidRPr="00433C64">
        <w:rPr>
          <w:rFonts w:ascii="Cambria Math" w:hAnsi="Cambria Math"/>
          <w:color w:val="000000" w:themeColor="text1"/>
          <w:position w:val="-24"/>
        </w:rPr>
        <w:object w:dxaOrig="1925" w:dyaOrig="626" w14:anchorId="09C45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1.6pt" o:ole="">
            <v:imagedata r:id="rId6" o:title=""/>
          </v:shape>
          <o:OLEObject Type="Embed" ProgID="Equation.KSEE3" ShapeID="_x0000_i1025" DrawAspect="Content" ObjectID="_1836367553" r:id="rId7"/>
        </w:object>
      </w:r>
      <w:r w:rsidRPr="00433C64">
        <w:rPr>
          <w:rFonts w:ascii="Cambria Math" w:hAnsi="Cambria Math" w:hint="eastAsia"/>
          <w:color w:val="000000" w:themeColor="text1"/>
        </w:rPr>
        <w:t>……………………………………（</w:t>
      </w:r>
      <w:r w:rsidRPr="00433C64">
        <w:rPr>
          <w:rFonts w:ascii="Cambria Math" w:hAnsi="Cambria Math" w:hint="eastAsia"/>
          <w:color w:val="000000" w:themeColor="text1"/>
        </w:rPr>
        <w:t>1</w:t>
      </w:r>
      <w:r w:rsidRPr="00433C64">
        <w:rPr>
          <w:rFonts w:ascii="Cambria Math" w:hAnsi="Cambria Math" w:hint="eastAsia"/>
          <w:color w:val="000000" w:themeColor="text1"/>
        </w:rPr>
        <w:t>）</w:t>
      </w:r>
    </w:p>
    <w:p w14:paraId="6F755BBC" w14:textId="77777777" w:rsidR="00CE2B95" w:rsidRPr="00433C64" w:rsidRDefault="00CE2B95" w:rsidP="00CE2B95">
      <w:pPr>
        <w:pStyle w:val="af2"/>
        <w:ind w:firstLineChars="195" w:firstLine="409"/>
        <w:contextualSpacing/>
        <w:rPr>
          <w:color w:val="000000" w:themeColor="text1"/>
        </w:rPr>
      </w:pPr>
      <w:r w:rsidRPr="00433C64">
        <w:rPr>
          <w:rFonts w:hint="eastAsia"/>
          <w:color w:val="000000" w:themeColor="text1"/>
        </w:rPr>
        <w:t>式中：</w:t>
      </w:r>
    </w:p>
    <w:p w14:paraId="044D210E" w14:textId="77777777" w:rsidR="00CE2B95" w:rsidRPr="00433C64" w:rsidRDefault="00CE2B95" w:rsidP="00CE2B95">
      <w:pPr>
        <w:pStyle w:val="af2"/>
        <w:ind w:firstLine="420"/>
        <w:contextualSpacing/>
        <w:rPr>
          <w:color w:val="000000" w:themeColor="text1"/>
        </w:rPr>
      </w:pPr>
      <w:r w:rsidRPr="00433C64">
        <w:rPr>
          <w:rFonts w:hint="eastAsia"/>
          <w:color w:val="000000" w:themeColor="text1"/>
        </w:rPr>
        <w:t>F</w:t>
      </w:r>
      <w:r w:rsidRPr="00433C64">
        <w:rPr>
          <w:rFonts w:hint="eastAsia"/>
          <w:color w:val="000000" w:themeColor="text1"/>
          <w:vertAlign w:val="subscript"/>
        </w:rPr>
        <w:t>w</w:t>
      </w:r>
      <w:r w:rsidRPr="00433C64">
        <w:rPr>
          <w:rFonts w:hint="eastAsia"/>
          <w:color w:val="000000" w:themeColor="text1"/>
        </w:rPr>
        <w:t>——水重复利用率，单位为百分数（%）；</w:t>
      </w:r>
    </w:p>
    <w:p w14:paraId="1DF9BCFA" w14:textId="77777777" w:rsidR="00CE2B95" w:rsidRPr="00433C64" w:rsidRDefault="00CE2B95" w:rsidP="00CE2B95">
      <w:pPr>
        <w:pStyle w:val="af2"/>
        <w:ind w:firstLine="420"/>
        <w:contextualSpacing/>
        <w:rPr>
          <w:color w:val="000000" w:themeColor="text1"/>
        </w:rPr>
      </w:pPr>
      <w:r w:rsidRPr="00433C64">
        <w:rPr>
          <w:rFonts w:hint="eastAsia"/>
          <w:color w:val="000000" w:themeColor="text1"/>
        </w:rPr>
        <w:t>ΣW</w:t>
      </w:r>
      <w:r w:rsidRPr="00433C64">
        <w:rPr>
          <w:rFonts w:hint="eastAsia"/>
          <w:color w:val="000000" w:themeColor="text1"/>
          <w:vertAlign w:val="subscript"/>
        </w:rPr>
        <w:t>n</w:t>
      </w:r>
      <w:r w:rsidRPr="00433C64">
        <w:rPr>
          <w:rFonts w:hint="eastAsia"/>
          <w:color w:val="000000" w:themeColor="text1"/>
        </w:rPr>
        <w:t>——补充新水量，单位为立方米（m</w:t>
      </w:r>
      <w:r w:rsidRPr="00433C64">
        <w:rPr>
          <w:rFonts w:hint="eastAsia"/>
          <w:color w:val="000000" w:themeColor="text1"/>
          <w:vertAlign w:val="superscript"/>
        </w:rPr>
        <w:t>3</w:t>
      </w:r>
      <w:r w:rsidRPr="00433C64">
        <w:rPr>
          <w:rFonts w:hint="eastAsia"/>
          <w:color w:val="000000" w:themeColor="text1"/>
        </w:rPr>
        <w:t>）；</w:t>
      </w:r>
    </w:p>
    <w:p w14:paraId="10D380B7" w14:textId="77777777" w:rsidR="00CE2B95" w:rsidRPr="00433C64" w:rsidRDefault="00CE2B95" w:rsidP="00CE2B95">
      <w:pPr>
        <w:pStyle w:val="af2"/>
        <w:ind w:firstLine="420"/>
        <w:contextualSpacing/>
        <w:rPr>
          <w:color w:val="000000" w:themeColor="text1"/>
        </w:rPr>
      </w:pPr>
      <w:r w:rsidRPr="00433C64">
        <w:rPr>
          <w:rFonts w:hint="eastAsia"/>
          <w:color w:val="000000" w:themeColor="text1"/>
        </w:rPr>
        <w:t>W</w:t>
      </w:r>
      <w:r w:rsidRPr="00433C64">
        <w:rPr>
          <w:rFonts w:hint="eastAsia"/>
          <w:color w:val="000000" w:themeColor="text1"/>
          <w:vertAlign w:val="subscript"/>
        </w:rPr>
        <w:t>e</w:t>
      </w:r>
      <w:r w:rsidRPr="00433C64">
        <w:rPr>
          <w:rFonts w:hint="eastAsia"/>
          <w:color w:val="000000" w:themeColor="text1"/>
        </w:rPr>
        <w:t>——循环水量，单位为立方米（m</w:t>
      </w:r>
      <w:r w:rsidRPr="00433C64">
        <w:rPr>
          <w:rFonts w:hint="eastAsia"/>
          <w:color w:val="000000" w:themeColor="text1"/>
          <w:vertAlign w:val="superscript"/>
        </w:rPr>
        <w:t>3</w:t>
      </w:r>
      <w:r w:rsidRPr="00433C64">
        <w:rPr>
          <w:rFonts w:hint="eastAsia"/>
          <w:color w:val="000000" w:themeColor="text1"/>
        </w:rPr>
        <w:t>）。</w:t>
      </w:r>
    </w:p>
    <w:p w14:paraId="47B19DDC" w14:textId="6243B2A2" w:rsidR="00CE2B95" w:rsidRPr="00433C64" w:rsidRDefault="00CE2B95" w:rsidP="00CE2B95">
      <w:pPr>
        <w:pStyle w:val="a0"/>
        <w:ind w:firstLineChars="200" w:firstLine="420"/>
        <w:rPr>
          <w:rFonts w:ascii="黑体" w:eastAsia="黑体" w:cs="Arial"/>
          <w:color w:val="000000" w:themeColor="text1"/>
          <w:szCs w:val="21"/>
        </w:rPr>
      </w:pPr>
      <w:r w:rsidRPr="00433C64">
        <w:rPr>
          <w:rFonts w:ascii="黑体" w:eastAsia="黑体" w:cs="Arial" w:hint="eastAsia"/>
          <w:color w:val="000000" w:themeColor="text1"/>
          <w:szCs w:val="21"/>
        </w:rPr>
        <w:t>3.2.6.2 损耗率</w:t>
      </w:r>
    </w:p>
    <w:p w14:paraId="0401ED6C" w14:textId="77777777" w:rsidR="00CE2B95" w:rsidRDefault="00CE2B95" w:rsidP="00CE2B95">
      <w:pPr>
        <w:pStyle w:val="af2"/>
        <w:ind w:firstLine="420"/>
        <w:contextualSpacing/>
      </w:pPr>
      <w:r w:rsidRPr="00433C64">
        <w:rPr>
          <w:rFonts w:hint="eastAsia"/>
          <w:color w:val="000000" w:themeColor="text1"/>
        </w:rPr>
        <w:t>铜及铜合金熔铸过程中，损耗的熔铸冷却</w:t>
      </w:r>
      <w:r>
        <w:rPr>
          <w:rFonts w:hint="eastAsia"/>
        </w:rPr>
        <w:t>水包括正常损耗量与非正常损耗量。损耗率应为损耗总水量（即正常损耗水量与非正常损耗水量之和）与循环进水量的比值，而损耗的总水量等于补充的新水量，所以损耗率应按公式（2）计算：</w:t>
      </w:r>
    </w:p>
    <w:p w14:paraId="58FDFC4F" w14:textId="77777777" w:rsidR="00CE2B95" w:rsidRDefault="00CE2B95" w:rsidP="00CE2B95">
      <w:pPr>
        <w:pStyle w:val="af2"/>
        <w:ind w:firstLineChars="1000" w:firstLine="2100"/>
      </w:pPr>
      <w:r>
        <w:rPr>
          <w:rFonts w:hAnsi="宋体" w:cs="宋体" w:hint="eastAsia"/>
          <w:i/>
          <w:iCs/>
          <w:color w:val="000000" w:themeColor="text1"/>
          <w:szCs w:val="21"/>
        </w:rPr>
        <w:t>F</w:t>
      </w:r>
      <w:r>
        <w:rPr>
          <w:rFonts w:hAnsi="宋体" w:cs="宋体" w:hint="eastAsia"/>
          <w:i/>
          <w:iCs/>
          <w:color w:val="000000" w:themeColor="text1"/>
          <w:szCs w:val="21"/>
          <w:vertAlign w:val="subscript"/>
        </w:rPr>
        <w:t>S</w:t>
      </w:r>
      <m:oMath>
        <m:r>
          <m:rPr>
            <m:sty m:val="p"/>
          </m:rPr>
          <w:rPr>
            <w:rFonts w:ascii="Cambria Math" w:hAnsi="Cambria Math"/>
            <w:color w:val="000000" w:themeColor="text1"/>
          </w:rPr>
          <m:t>=</m:t>
        </m:r>
      </m:oMath>
      <w:r>
        <w:rPr>
          <w:rFonts w:ascii="Cambria Math" w:hAnsi="Cambria Math"/>
          <w:color w:val="000000" w:themeColor="text1"/>
          <w:position w:val="-24"/>
        </w:rPr>
        <w:object w:dxaOrig="3699" w:dyaOrig="633" w14:anchorId="0AF3D7FC">
          <v:shape id="_x0000_i1026" type="#_x0000_t75" style="width:185.05pt;height:31.6pt" o:ole="">
            <v:imagedata r:id="rId8" o:title=""/>
          </v:shape>
          <o:OLEObject Type="Embed" ProgID="Equation.KSEE3" ShapeID="_x0000_i1026" DrawAspect="Content" ObjectID="_1836367554" r:id="rId9"/>
        </w:object>
      </w:r>
      <w:r>
        <w:rPr>
          <w:rFonts w:ascii="Cambria Math" w:hAnsi="Cambria Math" w:hint="eastAsia"/>
          <w:color w:val="000000" w:themeColor="text1"/>
        </w:rPr>
        <w:t>……………………（</w:t>
      </w:r>
      <w:r>
        <w:rPr>
          <w:rFonts w:ascii="Cambria Math" w:hAnsi="Cambria Math" w:hint="eastAsia"/>
          <w:color w:val="000000" w:themeColor="text1"/>
        </w:rPr>
        <w:t>2</w:t>
      </w:r>
      <w:r>
        <w:rPr>
          <w:rFonts w:ascii="Cambria Math" w:hAnsi="Cambria Math" w:hint="eastAsia"/>
          <w:color w:val="000000" w:themeColor="text1"/>
        </w:rPr>
        <w:t>）</w:t>
      </w:r>
    </w:p>
    <w:p w14:paraId="22C545C2" w14:textId="77777777" w:rsidR="00CE2B95" w:rsidRPr="008F1754" w:rsidRDefault="00CE2B95" w:rsidP="00CE2B95">
      <w:pPr>
        <w:pStyle w:val="af2"/>
        <w:ind w:firstLine="420"/>
        <w:contextualSpacing/>
      </w:pPr>
      <w:r w:rsidRPr="008F1754">
        <w:rPr>
          <w:rFonts w:hint="eastAsia"/>
        </w:rPr>
        <w:t>式中：</w:t>
      </w:r>
    </w:p>
    <w:p w14:paraId="0511DBE7" w14:textId="77777777" w:rsidR="00CE2B95" w:rsidRDefault="00CE2B95" w:rsidP="00CE2B95">
      <w:pPr>
        <w:pStyle w:val="af2"/>
        <w:ind w:firstLine="420"/>
        <w:contextualSpacing/>
      </w:pPr>
      <w:r>
        <w:rPr>
          <w:rFonts w:hint="eastAsia"/>
        </w:rPr>
        <w:t>F</w:t>
      </w:r>
      <w:r>
        <w:rPr>
          <w:rFonts w:hint="eastAsia"/>
          <w:vertAlign w:val="subscript"/>
        </w:rPr>
        <w:t>s</w:t>
      </w:r>
      <w:r>
        <w:rPr>
          <w:rFonts w:hint="eastAsia"/>
        </w:rPr>
        <w:t>——损耗率，单位为百分数（%）；</w:t>
      </w:r>
    </w:p>
    <w:p w14:paraId="192DD7C8" w14:textId="77777777" w:rsidR="00CE2B95" w:rsidRDefault="00CE2B95" w:rsidP="00CE2B95">
      <w:pPr>
        <w:pStyle w:val="af2"/>
        <w:ind w:firstLine="420"/>
        <w:contextualSpacing/>
      </w:pPr>
      <w:r>
        <w:rPr>
          <w:rFonts w:hint="eastAsia"/>
        </w:rPr>
        <w:t>ΣW</w:t>
      </w:r>
      <w:r>
        <w:rPr>
          <w:rFonts w:hint="eastAsia"/>
          <w:vertAlign w:val="subscript"/>
        </w:rPr>
        <w:t>z</w:t>
      </w:r>
      <w:r>
        <w:rPr>
          <w:rFonts w:hint="eastAsia"/>
        </w:rPr>
        <w:t>——正常损耗量，单位为立方米（m³)；</w:t>
      </w:r>
    </w:p>
    <w:p w14:paraId="0EBBC33D" w14:textId="77777777" w:rsidR="00CE2B95" w:rsidRPr="00433C64" w:rsidRDefault="00CE2B95" w:rsidP="00CE2B95">
      <w:pPr>
        <w:pStyle w:val="af2"/>
        <w:ind w:firstLine="420"/>
        <w:contextualSpacing/>
        <w:rPr>
          <w:color w:val="000000" w:themeColor="text1"/>
        </w:rPr>
      </w:pPr>
      <w:r w:rsidRPr="00433C64">
        <w:rPr>
          <w:rFonts w:hint="eastAsia"/>
          <w:color w:val="000000" w:themeColor="text1"/>
        </w:rPr>
        <w:t>ΣW</w:t>
      </w:r>
      <w:r w:rsidRPr="00433C64">
        <w:rPr>
          <w:rFonts w:hint="eastAsia"/>
          <w:color w:val="000000" w:themeColor="text1"/>
          <w:vertAlign w:val="subscript"/>
        </w:rPr>
        <w:t>f</w:t>
      </w:r>
      <w:r w:rsidRPr="00433C64">
        <w:rPr>
          <w:rFonts w:hint="eastAsia"/>
          <w:color w:val="000000" w:themeColor="text1"/>
        </w:rPr>
        <w:t>——非正常损耗量，单位为立方米（m³)；</w:t>
      </w:r>
    </w:p>
    <w:p w14:paraId="543DBBBF" w14:textId="77777777" w:rsidR="00CE2B95" w:rsidRPr="00433C64" w:rsidRDefault="00CE2B95" w:rsidP="00CE2B95">
      <w:pPr>
        <w:pStyle w:val="af2"/>
        <w:ind w:firstLine="420"/>
        <w:contextualSpacing/>
        <w:rPr>
          <w:color w:val="000000" w:themeColor="text1"/>
        </w:rPr>
      </w:pPr>
      <w:r w:rsidRPr="00433C64">
        <w:rPr>
          <w:rFonts w:hint="eastAsia"/>
          <w:color w:val="000000" w:themeColor="text1"/>
        </w:rPr>
        <w:lastRenderedPageBreak/>
        <w:t>ΣW</w:t>
      </w:r>
      <w:r w:rsidRPr="00433C64">
        <w:rPr>
          <w:rFonts w:hint="eastAsia"/>
          <w:color w:val="000000" w:themeColor="text1"/>
          <w:vertAlign w:val="subscript"/>
        </w:rPr>
        <w:t>c</w:t>
      </w:r>
      <w:r w:rsidRPr="00433C64">
        <w:rPr>
          <w:rFonts w:hint="eastAsia"/>
          <w:color w:val="000000" w:themeColor="text1"/>
        </w:rPr>
        <w:t>——循环进水量，单位为立方米(m³)；</w:t>
      </w:r>
    </w:p>
    <w:p w14:paraId="5F587E41" w14:textId="77777777" w:rsidR="00CE2B95" w:rsidRPr="00433C64" w:rsidRDefault="00CE2B95" w:rsidP="00CE2B95">
      <w:pPr>
        <w:pStyle w:val="af2"/>
        <w:ind w:firstLine="420"/>
        <w:contextualSpacing/>
        <w:rPr>
          <w:color w:val="000000" w:themeColor="text1"/>
        </w:rPr>
      </w:pPr>
      <w:r w:rsidRPr="00433C64">
        <w:rPr>
          <w:rFonts w:hint="eastAsia"/>
          <w:color w:val="000000" w:themeColor="text1"/>
        </w:rPr>
        <w:t>ΣW</w:t>
      </w:r>
      <w:r w:rsidRPr="00433C64">
        <w:rPr>
          <w:rFonts w:hint="eastAsia"/>
          <w:color w:val="000000" w:themeColor="text1"/>
          <w:vertAlign w:val="subscript"/>
        </w:rPr>
        <w:t>n</w:t>
      </w:r>
      <w:r w:rsidRPr="00433C64">
        <w:rPr>
          <w:rFonts w:hint="eastAsia"/>
          <w:color w:val="000000" w:themeColor="text1"/>
        </w:rPr>
        <w:t>——补充新水量，单位为立方米（m</w:t>
      </w:r>
      <w:r w:rsidRPr="00433C64">
        <w:rPr>
          <w:rFonts w:hint="eastAsia"/>
          <w:color w:val="000000" w:themeColor="text1"/>
          <w:vertAlign w:val="superscript"/>
        </w:rPr>
        <w:t>3</w:t>
      </w:r>
      <w:r w:rsidRPr="00433C64">
        <w:rPr>
          <w:rFonts w:hint="eastAsia"/>
          <w:color w:val="000000" w:themeColor="text1"/>
        </w:rPr>
        <w:t>)。</w:t>
      </w:r>
    </w:p>
    <w:p w14:paraId="37D895B3" w14:textId="1A69119B" w:rsidR="00CE2B95" w:rsidRPr="00433C64" w:rsidRDefault="00CE2B95" w:rsidP="001F5464">
      <w:pPr>
        <w:pStyle w:val="a0"/>
        <w:ind w:firstLineChars="200" w:firstLine="420"/>
        <w:rPr>
          <w:rFonts w:ascii="黑体" w:eastAsia="黑体" w:cs="Arial"/>
          <w:color w:val="000000" w:themeColor="text1"/>
          <w:szCs w:val="21"/>
        </w:rPr>
      </w:pPr>
      <w:r w:rsidRPr="00433C64">
        <w:rPr>
          <w:rFonts w:ascii="黑体" w:eastAsia="黑体" w:cs="Arial" w:hint="eastAsia"/>
          <w:color w:val="000000" w:themeColor="text1"/>
          <w:szCs w:val="21"/>
        </w:rPr>
        <w:t>3.2.7 水质及系统控制要求</w:t>
      </w:r>
    </w:p>
    <w:p w14:paraId="4BD88704" w14:textId="42A0DFAA" w:rsidR="00CE2B95" w:rsidRPr="00B87AD2" w:rsidRDefault="00CE2B95" w:rsidP="001F5464">
      <w:pPr>
        <w:pStyle w:val="a0"/>
        <w:ind w:firstLineChars="200" w:firstLine="420"/>
        <w:rPr>
          <w:rFonts w:ascii="宋体" w:eastAsia="宋体" w:hAnsi="Times New Roman" w:cs="Times New Roman"/>
          <w:kern w:val="0"/>
        </w:rPr>
      </w:pPr>
      <w:r w:rsidRPr="00B87AD2">
        <w:rPr>
          <w:rFonts w:ascii="宋体" w:eastAsia="宋体" w:hAnsi="Times New Roman" w:cs="Times New Roman" w:hint="eastAsia"/>
          <w:kern w:val="0"/>
        </w:rPr>
        <w:t>水质及系统控制要求分为补充水、系统控制、循环冷却水水质控制三个要求。</w:t>
      </w:r>
    </w:p>
    <w:p w14:paraId="1B0612A3" w14:textId="34BDDD40" w:rsidR="00A300A5" w:rsidRPr="00433C64" w:rsidRDefault="00A300A5" w:rsidP="001F5464">
      <w:pPr>
        <w:pStyle w:val="a0"/>
        <w:ind w:firstLineChars="200" w:firstLine="420"/>
        <w:rPr>
          <w:rFonts w:ascii="黑体" w:eastAsia="黑体" w:cs="Arial"/>
          <w:color w:val="000000" w:themeColor="text1"/>
          <w:szCs w:val="21"/>
        </w:rPr>
      </w:pPr>
      <w:r w:rsidRPr="00433C64">
        <w:rPr>
          <w:rFonts w:ascii="黑体" w:eastAsia="黑体" w:cs="Arial" w:hint="eastAsia"/>
          <w:color w:val="000000" w:themeColor="text1"/>
          <w:szCs w:val="21"/>
        </w:rPr>
        <w:t>3.2.7.1 补充水要求</w:t>
      </w:r>
    </w:p>
    <w:p w14:paraId="03A5A00A" w14:textId="597B75D0" w:rsidR="00A300A5" w:rsidRDefault="00A300A5" w:rsidP="001F5464">
      <w:pPr>
        <w:pStyle w:val="a0"/>
        <w:ind w:firstLineChars="200" w:firstLine="420"/>
        <w:rPr>
          <w:rFonts w:ascii="宋体" w:eastAsia="宋体" w:hAnsi="Times New Roman" w:cs="Times New Roman"/>
          <w:kern w:val="0"/>
        </w:rPr>
      </w:pPr>
      <w:r>
        <w:rPr>
          <w:rFonts w:ascii="宋体" w:eastAsia="宋体" w:hAnsi="Times New Roman" w:cs="Times New Roman" w:hint="eastAsia"/>
          <w:kern w:val="0"/>
        </w:rPr>
        <w:t>铜及铜合金</w:t>
      </w:r>
      <w:r w:rsidRPr="00A300A5">
        <w:rPr>
          <w:rFonts w:ascii="宋体" w:eastAsia="宋体" w:hAnsi="Times New Roman" w:cs="Times New Roman"/>
          <w:kern w:val="0"/>
        </w:rPr>
        <w:t>熔铸</w:t>
      </w:r>
      <w:r>
        <w:rPr>
          <w:rFonts w:ascii="宋体" w:eastAsia="宋体" w:hAnsi="Times New Roman" w:cs="Times New Roman" w:hint="eastAsia"/>
          <w:kern w:val="0"/>
        </w:rPr>
        <w:t>循环</w:t>
      </w:r>
      <w:r w:rsidRPr="00A300A5">
        <w:rPr>
          <w:rFonts w:ascii="宋体" w:eastAsia="宋体" w:hAnsi="Times New Roman" w:cs="Times New Roman"/>
          <w:kern w:val="0"/>
        </w:rPr>
        <w:t>冷却水中的补充水至关重要，它弥补</w:t>
      </w:r>
      <w:r>
        <w:rPr>
          <w:rFonts w:ascii="宋体" w:eastAsia="宋体" w:hAnsi="Times New Roman" w:cs="Times New Roman" w:hint="eastAsia"/>
          <w:kern w:val="0"/>
        </w:rPr>
        <w:t>了</w:t>
      </w:r>
      <w:r w:rsidRPr="00A300A5">
        <w:rPr>
          <w:rFonts w:ascii="宋体" w:eastAsia="宋体" w:hAnsi="Times New Roman" w:cs="Times New Roman"/>
          <w:kern w:val="0"/>
        </w:rPr>
        <w:t>因蒸发</w:t>
      </w:r>
      <w:r>
        <w:rPr>
          <w:rFonts w:ascii="宋体" w:eastAsia="宋体" w:hAnsi="Times New Roman" w:cs="Times New Roman" w:hint="eastAsia"/>
          <w:kern w:val="0"/>
        </w:rPr>
        <w:t>等</w:t>
      </w:r>
      <w:r w:rsidRPr="00A300A5">
        <w:rPr>
          <w:rFonts w:ascii="宋体" w:eastAsia="宋体" w:hAnsi="Times New Roman" w:cs="Times New Roman"/>
          <w:kern w:val="0"/>
        </w:rPr>
        <w:t>造成的水量损耗，以维持系统循环稳定；更是调控水质浓缩倍数的关键。通过补充适当水质（如软化水）的补水，可以有效稀释循环水中不断富集的钙镁离子及腐蚀性离子，从而防止结晶器、结晶轮等关键设备因结垢导致导热不均或堵塞，并抑制腐蚀，确保冷却效率、延长设备寿命及保障熔铸产品的成型质量。</w:t>
      </w:r>
      <w:r>
        <w:rPr>
          <w:rFonts w:ascii="宋体" w:eastAsia="宋体" w:hAnsi="Times New Roman" w:cs="Times New Roman" w:hint="eastAsia"/>
          <w:kern w:val="0"/>
        </w:rPr>
        <w:t>补充水水质要求见下表。</w:t>
      </w:r>
    </w:p>
    <w:p w14:paraId="14DBAA4F" w14:textId="5306D4F0" w:rsidR="00A300A5" w:rsidRPr="00233818" w:rsidRDefault="00A300A5" w:rsidP="00A300A5">
      <w:pPr>
        <w:pStyle w:val="af2"/>
        <w:spacing w:line="360" w:lineRule="auto"/>
        <w:ind w:firstLineChars="0" w:firstLine="0"/>
        <w:contextualSpacing/>
        <w:jc w:val="center"/>
        <w:rPr>
          <w:rFonts w:ascii="黑体" w:eastAsia="黑体" w:hAnsi="黑体" w:hint="eastAsia"/>
        </w:rPr>
      </w:pPr>
      <w:r w:rsidRPr="00233818">
        <w:rPr>
          <w:rFonts w:ascii="黑体" w:eastAsia="黑体" w:hAnsi="黑体" w:hint="eastAsia"/>
        </w:rPr>
        <w:t>表</w:t>
      </w:r>
      <w:r w:rsidR="00C736FE">
        <w:rPr>
          <w:rFonts w:ascii="黑体" w:eastAsia="黑体" w:hAnsi="黑体" w:hint="eastAsia"/>
        </w:rPr>
        <w:t>3</w:t>
      </w:r>
      <w:r w:rsidRPr="00233818">
        <w:rPr>
          <w:rFonts w:ascii="黑体" w:eastAsia="黑体" w:hAnsi="黑体" w:hint="eastAsia"/>
        </w:rPr>
        <w:t xml:space="preserve"> 补充水水质要求</w:t>
      </w:r>
    </w:p>
    <w:tbl>
      <w:tblPr>
        <w:tblStyle w:val="af"/>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76"/>
        <w:gridCol w:w="3402"/>
        <w:gridCol w:w="2744"/>
      </w:tblGrid>
      <w:tr w:rsidR="00A300A5" w14:paraId="7364249B" w14:textId="77777777" w:rsidTr="00E84E34">
        <w:trPr>
          <w:jc w:val="center"/>
        </w:trPr>
        <w:tc>
          <w:tcPr>
            <w:tcW w:w="2376" w:type="dxa"/>
            <w:tcBorders>
              <w:top w:val="single" w:sz="12" w:space="0" w:color="auto"/>
              <w:bottom w:val="single" w:sz="12" w:space="0" w:color="auto"/>
            </w:tcBorders>
          </w:tcPr>
          <w:p w14:paraId="4A214DAC"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项目</w:t>
            </w:r>
          </w:p>
        </w:tc>
        <w:tc>
          <w:tcPr>
            <w:tcW w:w="3402" w:type="dxa"/>
            <w:tcBorders>
              <w:top w:val="single" w:sz="12" w:space="0" w:color="auto"/>
              <w:bottom w:val="single" w:sz="12" w:space="0" w:color="auto"/>
            </w:tcBorders>
          </w:tcPr>
          <w:p w14:paraId="7AADA96E"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允许值</w:t>
            </w:r>
          </w:p>
        </w:tc>
        <w:tc>
          <w:tcPr>
            <w:tcW w:w="2744" w:type="dxa"/>
            <w:tcBorders>
              <w:top w:val="single" w:sz="12" w:space="0" w:color="auto"/>
              <w:bottom w:val="single" w:sz="12" w:space="0" w:color="auto"/>
            </w:tcBorders>
          </w:tcPr>
          <w:p w14:paraId="7349DB04"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测定方法文件编号</w:t>
            </w:r>
          </w:p>
        </w:tc>
      </w:tr>
      <w:tr w:rsidR="00A300A5" w14:paraId="561A6405" w14:textId="77777777" w:rsidTr="00E84E34">
        <w:trPr>
          <w:jc w:val="center"/>
        </w:trPr>
        <w:tc>
          <w:tcPr>
            <w:tcW w:w="2376" w:type="dxa"/>
            <w:tcBorders>
              <w:top w:val="single" w:sz="12" w:space="0" w:color="auto"/>
            </w:tcBorders>
          </w:tcPr>
          <w:p w14:paraId="63DD4DC2"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pH</w:t>
            </w:r>
            <w:r w:rsidRPr="00603D91">
              <w:rPr>
                <w:rFonts w:ascii="Times New Roman"/>
                <w:sz w:val="18"/>
                <w:szCs w:val="16"/>
              </w:rPr>
              <w:t>值（</w:t>
            </w:r>
            <w:r w:rsidRPr="00603D91">
              <w:rPr>
                <w:rFonts w:ascii="Times New Roman"/>
                <w:sz w:val="18"/>
                <w:szCs w:val="16"/>
              </w:rPr>
              <w:t>25℃</w:t>
            </w:r>
            <w:r w:rsidRPr="00603D91">
              <w:rPr>
                <w:rFonts w:ascii="Times New Roman"/>
                <w:sz w:val="18"/>
                <w:szCs w:val="16"/>
              </w:rPr>
              <w:t>）</w:t>
            </w:r>
          </w:p>
        </w:tc>
        <w:tc>
          <w:tcPr>
            <w:tcW w:w="3402" w:type="dxa"/>
            <w:tcBorders>
              <w:top w:val="single" w:sz="12" w:space="0" w:color="auto"/>
            </w:tcBorders>
          </w:tcPr>
          <w:p w14:paraId="3BFD0AA1"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6.5</w:t>
            </w:r>
            <w:r w:rsidRPr="00603D91">
              <w:rPr>
                <w:rFonts w:ascii="Times New Roman"/>
                <w:sz w:val="18"/>
                <w:szCs w:val="16"/>
              </w:rPr>
              <w:t>～</w:t>
            </w:r>
            <w:r w:rsidRPr="00603D91">
              <w:rPr>
                <w:rFonts w:ascii="Times New Roman"/>
                <w:sz w:val="18"/>
                <w:szCs w:val="16"/>
              </w:rPr>
              <w:t>8.5</w:t>
            </w:r>
          </w:p>
        </w:tc>
        <w:tc>
          <w:tcPr>
            <w:tcW w:w="2744" w:type="dxa"/>
            <w:tcBorders>
              <w:top w:val="single" w:sz="12" w:space="0" w:color="auto"/>
            </w:tcBorders>
          </w:tcPr>
          <w:p w14:paraId="758DA5B1"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GB/T 22592</w:t>
            </w:r>
          </w:p>
        </w:tc>
      </w:tr>
      <w:tr w:rsidR="00A300A5" w14:paraId="22965A48" w14:textId="77777777" w:rsidTr="00E84E34">
        <w:trPr>
          <w:jc w:val="center"/>
        </w:trPr>
        <w:tc>
          <w:tcPr>
            <w:tcW w:w="2376" w:type="dxa"/>
          </w:tcPr>
          <w:p w14:paraId="4D7C033C"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悬浮物（</w:t>
            </w:r>
            <w:r w:rsidRPr="00603D91">
              <w:rPr>
                <w:rFonts w:ascii="Times New Roman"/>
                <w:sz w:val="18"/>
                <w:szCs w:val="16"/>
              </w:rPr>
              <w:t>SS</w:t>
            </w:r>
            <w:r w:rsidRPr="00603D91">
              <w:rPr>
                <w:rFonts w:ascii="Times New Roman"/>
                <w:sz w:val="18"/>
                <w:szCs w:val="16"/>
              </w:rPr>
              <w:t>）</w:t>
            </w:r>
            <w:r w:rsidRPr="00603D91">
              <w:rPr>
                <w:rFonts w:ascii="Times New Roman"/>
                <w:sz w:val="18"/>
                <w:szCs w:val="16"/>
              </w:rPr>
              <w:t>/</w:t>
            </w:r>
            <w:r w:rsidRPr="00603D91">
              <w:rPr>
                <w:rFonts w:ascii="Times New Roman"/>
                <w:sz w:val="18"/>
                <w:szCs w:val="16"/>
              </w:rPr>
              <w:t>（</w:t>
            </w:r>
            <w:r w:rsidRPr="00603D91">
              <w:rPr>
                <w:rFonts w:ascii="Times New Roman"/>
                <w:sz w:val="18"/>
                <w:szCs w:val="16"/>
              </w:rPr>
              <w:t>mg/L</w:t>
            </w:r>
            <w:r w:rsidRPr="00603D91">
              <w:rPr>
                <w:rFonts w:ascii="Times New Roman"/>
                <w:sz w:val="18"/>
                <w:szCs w:val="16"/>
              </w:rPr>
              <w:t>）</w:t>
            </w:r>
          </w:p>
        </w:tc>
        <w:tc>
          <w:tcPr>
            <w:tcW w:w="3402" w:type="dxa"/>
          </w:tcPr>
          <w:p w14:paraId="2994F275"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≤10</w:t>
            </w:r>
          </w:p>
        </w:tc>
        <w:tc>
          <w:tcPr>
            <w:tcW w:w="2744" w:type="dxa"/>
          </w:tcPr>
          <w:p w14:paraId="52264E4A"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GB/T 23838</w:t>
            </w:r>
          </w:p>
        </w:tc>
      </w:tr>
      <w:tr w:rsidR="00A300A5" w14:paraId="2119CDC9" w14:textId="77777777" w:rsidTr="00E84E34">
        <w:trPr>
          <w:jc w:val="center"/>
        </w:trPr>
        <w:tc>
          <w:tcPr>
            <w:tcW w:w="2376" w:type="dxa"/>
          </w:tcPr>
          <w:p w14:paraId="7D12371F"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浊度</w:t>
            </w:r>
            <w:r w:rsidRPr="00603D91">
              <w:rPr>
                <w:rFonts w:ascii="Times New Roman"/>
                <w:sz w:val="18"/>
                <w:szCs w:val="16"/>
              </w:rPr>
              <w:t>/NTU</w:t>
            </w:r>
          </w:p>
        </w:tc>
        <w:tc>
          <w:tcPr>
            <w:tcW w:w="3402" w:type="dxa"/>
          </w:tcPr>
          <w:p w14:paraId="3ED99E97"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≤5</w:t>
            </w:r>
          </w:p>
        </w:tc>
        <w:tc>
          <w:tcPr>
            <w:tcW w:w="2744" w:type="dxa"/>
          </w:tcPr>
          <w:p w14:paraId="3DA5EA49"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GB/T 15893.1</w:t>
            </w:r>
          </w:p>
        </w:tc>
      </w:tr>
      <w:tr w:rsidR="00A300A5" w14:paraId="5F0D25D1" w14:textId="77777777" w:rsidTr="00E84E34">
        <w:trPr>
          <w:jc w:val="center"/>
        </w:trPr>
        <w:tc>
          <w:tcPr>
            <w:tcW w:w="2376" w:type="dxa"/>
          </w:tcPr>
          <w:p w14:paraId="75F854A2"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COD/</w:t>
            </w:r>
            <w:r w:rsidRPr="00603D91">
              <w:rPr>
                <w:rFonts w:ascii="Times New Roman"/>
                <w:sz w:val="18"/>
                <w:szCs w:val="16"/>
              </w:rPr>
              <w:t>（</w:t>
            </w:r>
            <w:r w:rsidRPr="00603D91">
              <w:rPr>
                <w:rFonts w:ascii="Times New Roman"/>
                <w:sz w:val="18"/>
                <w:szCs w:val="16"/>
              </w:rPr>
              <w:t>mg/L</w:t>
            </w:r>
            <w:r w:rsidRPr="00603D91">
              <w:rPr>
                <w:rFonts w:ascii="Times New Roman"/>
                <w:sz w:val="18"/>
                <w:szCs w:val="16"/>
              </w:rPr>
              <w:t>）</w:t>
            </w:r>
          </w:p>
        </w:tc>
        <w:tc>
          <w:tcPr>
            <w:tcW w:w="3402" w:type="dxa"/>
          </w:tcPr>
          <w:p w14:paraId="52D3C908"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≤50</w:t>
            </w:r>
          </w:p>
        </w:tc>
        <w:tc>
          <w:tcPr>
            <w:tcW w:w="2744" w:type="dxa"/>
          </w:tcPr>
          <w:p w14:paraId="21D40D40" w14:textId="77777777" w:rsidR="00A300A5" w:rsidRPr="00603D91" w:rsidRDefault="00A300A5" w:rsidP="00E84E34">
            <w:pPr>
              <w:pStyle w:val="af2"/>
              <w:ind w:firstLineChars="0" w:firstLine="0"/>
              <w:contextualSpacing/>
              <w:jc w:val="center"/>
              <w:rPr>
                <w:rFonts w:ascii="Times New Roman"/>
                <w:sz w:val="18"/>
                <w:szCs w:val="16"/>
              </w:rPr>
            </w:pPr>
            <w:r w:rsidRPr="00603D91">
              <w:rPr>
                <w:rFonts w:ascii="Times New Roman"/>
                <w:sz w:val="18"/>
                <w:szCs w:val="16"/>
              </w:rPr>
              <w:t>GB/T 15456</w:t>
            </w:r>
          </w:p>
        </w:tc>
      </w:tr>
      <w:tr w:rsidR="00A300A5" w14:paraId="0292F885" w14:textId="77777777" w:rsidTr="00E84E34">
        <w:trPr>
          <w:jc w:val="center"/>
        </w:trPr>
        <w:tc>
          <w:tcPr>
            <w:tcW w:w="2376" w:type="dxa"/>
          </w:tcPr>
          <w:p w14:paraId="1670AD67" w14:textId="77777777" w:rsidR="00A300A5" w:rsidRPr="00603D91" w:rsidRDefault="00A300A5" w:rsidP="00B87AD2">
            <w:pPr>
              <w:pStyle w:val="af2"/>
              <w:ind w:firstLineChars="0" w:firstLine="0"/>
              <w:contextualSpacing/>
              <w:jc w:val="center"/>
              <w:rPr>
                <w:rFonts w:ascii="Times New Roman"/>
                <w:sz w:val="18"/>
                <w:szCs w:val="16"/>
              </w:rPr>
            </w:pPr>
            <w:r w:rsidRPr="00603D91">
              <w:rPr>
                <w:rFonts w:ascii="Times New Roman"/>
                <w:sz w:val="18"/>
                <w:szCs w:val="16"/>
              </w:rPr>
              <w:t>石油类</w:t>
            </w:r>
            <w:r w:rsidRPr="00603D91">
              <w:rPr>
                <w:rFonts w:ascii="Times New Roman"/>
                <w:sz w:val="18"/>
                <w:szCs w:val="16"/>
              </w:rPr>
              <w:t>/</w:t>
            </w:r>
            <w:r w:rsidRPr="00603D91">
              <w:rPr>
                <w:rFonts w:ascii="Times New Roman"/>
                <w:sz w:val="18"/>
                <w:szCs w:val="16"/>
              </w:rPr>
              <w:t>（</w:t>
            </w:r>
            <w:r w:rsidRPr="00603D91">
              <w:rPr>
                <w:rFonts w:ascii="Times New Roman"/>
                <w:sz w:val="18"/>
                <w:szCs w:val="16"/>
              </w:rPr>
              <w:t>mg/L</w:t>
            </w:r>
            <w:r w:rsidRPr="00603D91">
              <w:rPr>
                <w:rFonts w:ascii="Times New Roman"/>
                <w:sz w:val="18"/>
                <w:szCs w:val="16"/>
              </w:rPr>
              <w:t>）</w:t>
            </w:r>
          </w:p>
        </w:tc>
        <w:tc>
          <w:tcPr>
            <w:tcW w:w="3402" w:type="dxa"/>
          </w:tcPr>
          <w:p w14:paraId="7BB90029" w14:textId="77777777" w:rsidR="00A300A5" w:rsidRPr="00603D91" w:rsidRDefault="00A300A5" w:rsidP="00B87AD2">
            <w:pPr>
              <w:pStyle w:val="af2"/>
              <w:ind w:firstLineChars="0" w:firstLine="0"/>
              <w:contextualSpacing/>
              <w:jc w:val="center"/>
              <w:rPr>
                <w:rFonts w:ascii="Times New Roman"/>
                <w:sz w:val="18"/>
                <w:szCs w:val="16"/>
              </w:rPr>
            </w:pPr>
            <w:r w:rsidRPr="00603D91">
              <w:rPr>
                <w:rFonts w:ascii="Times New Roman"/>
                <w:sz w:val="18"/>
                <w:szCs w:val="16"/>
              </w:rPr>
              <w:t>≤5</w:t>
            </w:r>
          </w:p>
        </w:tc>
        <w:tc>
          <w:tcPr>
            <w:tcW w:w="2744" w:type="dxa"/>
          </w:tcPr>
          <w:p w14:paraId="03482A7F" w14:textId="77777777" w:rsidR="00A300A5" w:rsidRPr="00603D91" w:rsidRDefault="00A300A5" w:rsidP="00B87AD2">
            <w:pPr>
              <w:pStyle w:val="af2"/>
              <w:ind w:firstLineChars="0" w:firstLine="0"/>
              <w:contextualSpacing/>
              <w:jc w:val="center"/>
              <w:rPr>
                <w:rFonts w:ascii="Times New Roman"/>
                <w:sz w:val="18"/>
                <w:szCs w:val="16"/>
              </w:rPr>
            </w:pPr>
            <w:r w:rsidRPr="00603D91">
              <w:rPr>
                <w:rFonts w:ascii="Times New Roman"/>
                <w:sz w:val="18"/>
                <w:szCs w:val="16"/>
              </w:rPr>
              <w:t>HJ 637</w:t>
            </w:r>
          </w:p>
        </w:tc>
      </w:tr>
    </w:tbl>
    <w:p w14:paraId="305DBC87" w14:textId="6A42FBE1" w:rsidR="00A300A5" w:rsidRPr="00433C64" w:rsidRDefault="00A300A5" w:rsidP="00B87AD2">
      <w:pPr>
        <w:pStyle w:val="a0"/>
        <w:ind w:firstLineChars="200" w:firstLine="420"/>
        <w:contextualSpacing/>
        <w:rPr>
          <w:rFonts w:ascii="黑体" w:eastAsia="黑体" w:cs="Arial"/>
          <w:color w:val="000000" w:themeColor="text1"/>
          <w:szCs w:val="21"/>
        </w:rPr>
      </w:pPr>
      <w:r w:rsidRPr="00433C64">
        <w:rPr>
          <w:rFonts w:ascii="黑体" w:eastAsia="黑体" w:cs="Arial" w:hint="eastAsia"/>
          <w:color w:val="000000" w:themeColor="text1"/>
          <w:szCs w:val="21"/>
        </w:rPr>
        <w:t>3.2.7.2 系统控制要求</w:t>
      </w:r>
    </w:p>
    <w:p w14:paraId="0FC0F9A2" w14:textId="102FF160" w:rsidR="00A300A5" w:rsidRPr="006F3123" w:rsidRDefault="00A300A5" w:rsidP="00B87AD2">
      <w:pPr>
        <w:pStyle w:val="a0"/>
        <w:ind w:firstLineChars="200" w:firstLine="420"/>
        <w:contextualSpacing/>
        <w:rPr>
          <w:rFonts w:ascii="Times New Roman" w:eastAsia="宋体" w:hAnsi="Times New Roman" w:cs="Times New Roman"/>
          <w:color w:val="000000" w:themeColor="text1"/>
          <w:kern w:val="0"/>
        </w:rPr>
      </w:pPr>
      <w:r w:rsidRPr="00B87AD2">
        <w:rPr>
          <w:rFonts w:ascii="Times New Roman" w:eastAsia="宋体" w:hAnsi="Times New Roman" w:cs="Times New Roman"/>
          <w:color w:val="000000" w:themeColor="text1"/>
          <w:kern w:val="0"/>
        </w:rPr>
        <w:t>铜及铜合金熔铸冷却系统通过带走金属熔铸过程中释放的巨大热量，实现快速、均匀的冷却凝固，从而精确控制金属的</w:t>
      </w:r>
      <w:r w:rsidRPr="002E3BA0">
        <w:rPr>
          <w:rFonts w:ascii="Times New Roman" w:eastAsia="宋体" w:hAnsi="Times New Roman" w:cs="Times New Roman"/>
          <w:color w:val="000000" w:themeColor="text1"/>
          <w:kern w:val="0"/>
        </w:rPr>
        <w:t>结晶组织，防止铸锭出现裂纹、偏析或缩孔等内部缺陷，确保铸坯的成型质量与力学性能。同时，该系统对结晶器、铸轮等关键设备起到直接保护作用，通过防止设备因高温过热而变形或烧损，有效延长了工装寿命，是维持生产安全、提升作业率及保障最终产品合格率的决定性环节。该系统应满足</w:t>
      </w:r>
      <w:r w:rsidRPr="002E3BA0">
        <w:rPr>
          <w:rFonts w:ascii="Times New Roman" w:hAnsi="Times New Roman" w:cs="Times New Roman"/>
          <w:color w:val="000000" w:themeColor="text1"/>
        </w:rPr>
        <w:t>GB/T 44325</w:t>
      </w:r>
      <w:r w:rsidRPr="002E3BA0">
        <w:rPr>
          <w:rFonts w:ascii="Times New Roman" w:hAnsi="Times New Roman" w:cs="Times New Roman"/>
          <w:color w:val="000000" w:themeColor="text1"/>
        </w:rPr>
        <w:t>《</w:t>
      </w:r>
      <w:r w:rsidRPr="006F3123">
        <w:rPr>
          <w:rFonts w:ascii="Times New Roman" w:eastAsia="宋体" w:hAnsi="Times New Roman" w:cs="Times New Roman"/>
          <w:color w:val="000000" w:themeColor="text1"/>
          <w:kern w:val="0"/>
        </w:rPr>
        <w:t>工业循环冷却水零排污技术规范》的要求。</w:t>
      </w:r>
    </w:p>
    <w:p w14:paraId="64BD8EBC" w14:textId="74F5B4D0" w:rsidR="00A300A5" w:rsidRPr="00433C64" w:rsidRDefault="00A300A5" w:rsidP="001F5464">
      <w:pPr>
        <w:pStyle w:val="a0"/>
        <w:ind w:firstLineChars="200" w:firstLine="420"/>
        <w:rPr>
          <w:rFonts w:ascii="黑体" w:eastAsia="黑体" w:cs="Arial"/>
          <w:color w:val="000000" w:themeColor="text1"/>
          <w:szCs w:val="21"/>
        </w:rPr>
      </w:pPr>
      <w:r w:rsidRPr="00433C64">
        <w:rPr>
          <w:rFonts w:ascii="黑体" w:eastAsia="黑体" w:cs="Arial" w:hint="eastAsia"/>
          <w:color w:val="000000" w:themeColor="text1"/>
          <w:szCs w:val="21"/>
        </w:rPr>
        <w:t>3.2.7.3 循环冷却水水质控制要求</w:t>
      </w:r>
    </w:p>
    <w:p w14:paraId="4C04162E" w14:textId="2787BF75" w:rsidR="00C736FE" w:rsidRPr="002E3BA0" w:rsidRDefault="00C736FE" w:rsidP="00C736FE">
      <w:pPr>
        <w:pStyle w:val="af2"/>
        <w:ind w:firstLine="420"/>
        <w:contextualSpacing/>
        <w:jc w:val="left"/>
        <w:rPr>
          <w:rFonts w:ascii="Times New Roman"/>
        </w:rPr>
      </w:pPr>
      <w:r w:rsidRPr="002E3BA0">
        <w:rPr>
          <w:rFonts w:ascii="Times New Roman"/>
        </w:rPr>
        <w:t>熔铸冷却水水质是决定冷却效果和运行安全的关键因素。若水质硬度、盐类过高，会在结晶器、铸轮等高温换热表面迅速结垢，阻碍热传导，导致冷却不均、铸坯产生裂纹甚至发生</w:t>
      </w:r>
      <w:r w:rsidRPr="006F3123">
        <w:rPr>
          <w:rFonts w:asciiTheme="minorEastAsia" w:eastAsiaTheme="minorEastAsia" w:hAnsiTheme="minorEastAsia"/>
        </w:rPr>
        <w:t>“漏铜”等生产事故；同</w:t>
      </w:r>
      <w:r w:rsidRPr="002E3BA0">
        <w:rPr>
          <w:rFonts w:ascii="Times New Roman"/>
        </w:rPr>
        <w:t>时，水中的氯离子等腐蚀性成分会腐蚀精密设备，缩短工装的使用寿命。铜及铜合金熔铸冷却水水质控制要求见下表。</w:t>
      </w:r>
    </w:p>
    <w:p w14:paraId="2C705877" w14:textId="2284F5A6" w:rsidR="00C736FE" w:rsidRPr="00233818" w:rsidRDefault="00C736FE" w:rsidP="00C736FE">
      <w:pPr>
        <w:pStyle w:val="af2"/>
        <w:spacing w:line="360" w:lineRule="auto"/>
        <w:ind w:firstLineChars="0" w:firstLine="0"/>
        <w:contextualSpacing/>
        <w:jc w:val="center"/>
        <w:rPr>
          <w:rFonts w:ascii="黑体" w:eastAsia="黑体" w:hAnsi="黑体" w:hint="eastAsia"/>
        </w:rPr>
      </w:pPr>
      <w:r w:rsidRPr="00233818">
        <w:rPr>
          <w:rFonts w:ascii="黑体" w:eastAsia="黑体" w:hAnsi="黑体" w:hint="eastAsia"/>
        </w:rPr>
        <w:t>表</w:t>
      </w:r>
      <w:r>
        <w:rPr>
          <w:rFonts w:ascii="黑体" w:eastAsia="黑体" w:hAnsi="黑体" w:hint="eastAsia"/>
        </w:rPr>
        <w:t>4</w:t>
      </w:r>
      <w:r w:rsidRPr="00233818">
        <w:rPr>
          <w:rFonts w:ascii="黑体" w:eastAsia="黑体" w:hAnsi="黑体" w:hint="eastAsia"/>
        </w:rPr>
        <w:t xml:space="preserve"> 循环冷却水水质控制要求</w:t>
      </w:r>
    </w:p>
    <w:tbl>
      <w:tblPr>
        <w:tblStyle w:val="af"/>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10"/>
        <w:gridCol w:w="2268"/>
        <w:gridCol w:w="2744"/>
      </w:tblGrid>
      <w:tr w:rsidR="00C736FE" w14:paraId="342F62AD" w14:textId="77777777" w:rsidTr="00E84E34">
        <w:trPr>
          <w:jc w:val="center"/>
        </w:trPr>
        <w:tc>
          <w:tcPr>
            <w:tcW w:w="3510" w:type="dxa"/>
            <w:tcBorders>
              <w:bottom w:val="single" w:sz="12" w:space="0" w:color="auto"/>
            </w:tcBorders>
          </w:tcPr>
          <w:p w14:paraId="6CFEA87E" w14:textId="77777777" w:rsidR="00C736FE" w:rsidRPr="00603D91" w:rsidRDefault="00C736FE" w:rsidP="00E84E34">
            <w:pPr>
              <w:pStyle w:val="af2"/>
              <w:ind w:firstLineChars="0" w:firstLine="0"/>
              <w:contextualSpacing/>
              <w:jc w:val="center"/>
              <w:rPr>
                <w:rFonts w:ascii="Times New Roman"/>
                <w:sz w:val="18"/>
                <w:szCs w:val="16"/>
              </w:rPr>
            </w:pPr>
            <w:r w:rsidRPr="00603D91">
              <w:rPr>
                <w:rFonts w:ascii="Times New Roman"/>
                <w:sz w:val="18"/>
                <w:szCs w:val="16"/>
              </w:rPr>
              <w:t>项目</w:t>
            </w:r>
          </w:p>
        </w:tc>
        <w:tc>
          <w:tcPr>
            <w:tcW w:w="2268" w:type="dxa"/>
            <w:tcBorders>
              <w:bottom w:val="single" w:sz="12" w:space="0" w:color="auto"/>
            </w:tcBorders>
          </w:tcPr>
          <w:p w14:paraId="0092CCC2" w14:textId="77777777" w:rsidR="00C736FE" w:rsidRPr="00603D91" w:rsidRDefault="00C736FE" w:rsidP="00E84E34">
            <w:pPr>
              <w:pStyle w:val="af2"/>
              <w:ind w:firstLineChars="0" w:firstLine="0"/>
              <w:contextualSpacing/>
              <w:jc w:val="center"/>
              <w:rPr>
                <w:rFonts w:ascii="Times New Roman"/>
                <w:sz w:val="18"/>
                <w:szCs w:val="16"/>
              </w:rPr>
            </w:pPr>
            <w:r w:rsidRPr="00603D91">
              <w:rPr>
                <w:rFonts w:ascii="Times New Roman"/>
                <w:sz w:val="18"/>
                <w:szCs w:val="16"/>
              </w:rPr>
              <w:t>允许值</w:t>
            </w:r>
          </w:p>
        </w:tc>
        <w:tc>
          <w:tcPr>
            <w:tcW w:w="2744" w:type="dxa"/>
            <w:tcBorders>
              <w:bottom w:val="single" w:sz="12" w:space="0" w:color="auto"/>
            </w:tcBorders>
          </w:tcPr>
          <w:p w14:paraId="1AC5E002" w14:textId="77777777" w:rsidR="00C736FE" w:rsidRPr="00603D91" w:rsidRDefault="00C736FE" w:rsidP="00E84E34">
            <w:pPr>
              <w:pStyle w:val="af2"/>
              <w:ind w:firstLineChars="0" w:firstLine="0"/>
              <w:contextualSpacing/>
              <w:jc w:val="center"/>
              <w:rPr>
                <w:rFonts w:ascii="Times New Roman"/>
                <w:sz w:val="18"/>
                <w:szCs w:val="16"/>
              </w:rPr>
            </w:pPr>
            <w:r w:rsidRPr="00603D91">
              <w:rPr>
                <w:rFonts w:ascii="Times New Roman"/>
                <w:sz w:val="18"/>
                <w:szCs w:val="16"/>
              </w:rPr>
              <w:t>测定方法文件编号</w:t>
            </w:r>
          </w:p>
        </w:tc>
      </w:tr>
      <w:tr w:rsidR="00C736FE" w14:paraId="60349F7D" w14:textId="77777777" w:rsidTr="00E84E34">
        <w:trPr>
          <w:jc w:val="center"/>
        </w:trPr>
        <w:tc>
          <w:tcPr>
            <w:tcW w:w="3510" w:type="dxa"/>
            <w:tcBorders>
              <w:top w:val="single" w:sz="12" w:space="0" w:color="auto"/>
              <w:bottom w:val="single" w:sz="6" w:space="0" w:color="auto"/>
            </w:tcBorders>
          </w:tcPr>
          <w:p w14:paraId="18E963CD"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pH</w:t>
            </w:r>
            <w:r w:rsidRPr="006F3123">
              <w:rPr>
                <w:rFonts w:ascii="Times New Roman"/>
                <w:sz w:val="18"/>
                <w:szCs w:val="16"/>
              </w:rPr>
              <w:t>值（</w:t>
            </w:r>
            <w:r w:rsidRPr="006F3123">
              <w:rPr>
                <w:rFonts w:ascii="Times New Roman"/>
                <w:sz w:val="18"/>
                <w:szCs w:val="16"/>
              </w:rPr>
              <w:t>25 ℃</w:t>
            </w:r>
            <w:r w:rsidRPr="006F3123">
              <w:rPr>
                <w:rFonts w:ascii="Times New Roman"/>
                <w:sz w:val="18"/>
                <w:szCs w:val="16"/>
              </w:rPr>
              <w:t>）</w:t>
            </w:r>
          </w:p>
        </w:tc>
        <w:tc>
          <w:tcPr>
            <w:tcW w:w="2268" w:type="dxa"/>
            <w:tcBorders>
              <w:top w:val="single" w:sz="12" w:space="0" w:color="auto"/>
              <w:bottom w:val="single" w:sz="6" w:space="0" w:color="auto"/>
            </w:tcBorders>
          </w:tcPr>
          <w:p w14:paraId="4CA65C3E"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6.5</w:t>
            </w:r>
            <w:r w:rsidRPr="006F3123">
              <w:rPr>
                <w:rFonts w:ascii="Times New Roman"/>
                <w:sz w:val="18"/>
                <w:szCs w:val="16"/>
              </w:rPr>
              <w:t>～</w:t>
            </w:r>
            <w:r w:rsidRPr="006F3123">
              <w:rPr>
                <w:rFonts w:ascii="Times New Roman"/>
                <w:sz w:val="18"/>
                <w:szCs w:val="16"/>
              </w:rPr>
              <w:t>8.5</w:t>
            </w:r>
          </w:p>
        </w:tc>
        <w:tc>
          <w:tcPr>
            <w:tcW w:w="2744" w:type="dxa"/>
            <w:tcBorders>
              <w:top w:val="single" w:sz="12" w:space="0" w:color="auto"/>
              <w:bottom w:val="single" w:sz="6" w:space="0" w:color="auto"/>
            </w:tcBorders>
          </w:tcPr>
          <w:p w14:paraId="252D9187"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GB/T 22592</w:t>
            </w:r>
          </w:p>
        </w:tc>
      </w:tr>
      <w:tr w:rsidR="00C736FE" w14:paraId="60465FD6" w14:textId="77777777" w:rsidTr="00E84E34">
        <w:trPr>
          <w:jc w:val="center"/>
        </w:trPr>
        <w:tc>
          <w:tcPr>
            <w:tcW w:w="3510" w:type="dxa"/>
            <w:tcBorders>
              <w:top w:val="single" w:sz="6" w:space="0" w:color="auto"/>
              <w:bottom w:val="single" w:sz="6" w:space="0" w:color="auto"/>
            </w:tcBorders>
          </w:tcPr>
          <w:p w14:paraId="5DD76822"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浊度</w:t>
            </w:r>
            <w:r w:rsidRPr="006F3123">
              <w:rPr>
                <w:rFonts w:ascii="Times New Roman"/>
                <w:sz w:val="18"/>
                <w:szCs w:val="16"/>
              </w:rPr>
              <w:t>/NTU</w:t>
            </w:r>
          </w:p>
        </w:tc>
        <w:tc>
          <w:tcPr>
            <w:tcW w:w="2268" w:type="dxa"/>
            <w:tcBorders>
              <w:top w:val="single" w:sz="6" w:space="0" w:color="auto"/>
              <w:bottom w:val="single" w:sz="6" w:space="0" w:color="auto"/>
            </w:tcBorders>
          </w:tcPr>
          <w:p w14:paraId="2BC2C582"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≤30</w:t>
            </w:r>
          </w:p>
        </w:tc>
        <w:tc>
          <w:tcPr>
            <w:tcW w:w="2744" w:type="dxa"/>
            <w:tcBorders>
              <w:top w:val="single" w:sz="6" w:space="0" w:color="auto"/>
              <w:bottom w:val="single" w:sz="6" w:space="0" w:color="auto"/>
            </w:tcBorders>
          </w:tcPr>
          <w:p w14:paraId="6A1FC7F1"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GB/T 15893.1</w:t>
            </w:r>
          </w:p>
        </w:tc>
      </w:tr>
      <w:tr w:rsidR="00C736FE" w14:paraId="09D15E5B" w14:textId="77777777" w:rsidTr="00E84E34">
        <w:trPr>
          <w:jc w:val="center"/>
        </w:trPr>
        <w:tc>
          <w:tcPr>
            <w:tcW w:w="3510" w:type="dxa"/>
            <w:tcBorders>
              <w:top w:val="single" w:sz="6" w:space="0" w:color="auto"/>
              <w:bottom w:val="single" w:sz="6" w:space="0" w:color="auto"/>
            </w:tcBorders>
          </w:tcPr>
          <w:p w14:paraId="06D7752E"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钙硬度</w:t>
            </w:r>
            <w:r w:rsidRPr="006F3123">
              <w:rPr>
                <w:rFonts w:ascii="Times New Roman"/>
                <w:sz w:val="18"/>
                <w:szCs w:val="16"/>
              </w:rPr>
              <w:t>+</w:t>
            </w:r>
            <w:r w:rsidRPr="006F3123">
              <w:rPr>
                <w:rFonts w:ascii="Times New Roman"/>
                <w:sz w:val="18"/>
                <w:szCs w:val="16"/>
              </w:rPr>
              <w:t>总碱度（以</w:t>
            </w:r>
            <w:r w:rsidRPr="006F3123">
              <w:rPr>
                <w:rFonts w:ascii="Times New Roman"/>
                <w:sz w:val="18"/>
                <w:szCs w:val="16"/>
              </w:rPr>
              <w:t>CaCO</w:t>
            </w:r>
            <w:r w:rsidRPr="006F3123">
              <w:rPr>
                <w:rFonts w:ascii="Times New Roman"/>
                <w:sz w:val="18"/>
                <w:szCs w:val="16"/>
                <w:vertAlign w:val="subscript"/>
              </w:rPr>
              <w:t>3</w:t>
            </w:r>
            <w:r w:rsidRPr="006F3123">
              <w:rPr>
                <w:rFonts w:ascii="Times New Roman"/>
                <w:sz w:val="18"/>
                <w:szCs w:val="16"/>
              </w:rPr>
              <w:t>计）</w:t>
            </w:r>
            <w:r w:rsidRPr="006F3123">
              <w:rPr>
                <w:rFonts w:ascii="Times New Roman"/>
                <w:sz w:val="18"/>
                <w:szCs w:val="16"/>
              </w:rPr>
              <w:t>/</w:t>
            </w:r>
            <w:r w:rsidRPr="006F3123">
              <w:rPr>
                <w:rFonts w:ascii="Times New Roman"/>
                <w:sz w:val="18"/>
                <w:szCs w:val="16"/>
              </w:rPr>
              <w:t>（</w:t>
            </w:r>
            <w:r w:rsidRPr="006F3123">
              <w:rPr>
                <w:rFonts w:ascii="Times New Roman"/>
                <w:sz w:val="18"/>
                <w:szCs w:val="16"/>
              </w:rPr>
              <w:t>mg/L</w:t>
            </w:r>
            <w:r w:rsidRPr="006F3123">
              <w:rPr>
                <w:rFonts w:ascii="Times New Roman"/>
                <w:sz w:val="18"/>
                <w:szCs w:val="16"/>
              </w:rPr>
              <w:t>）</w:t>
            </w:r>
          </w:p>
        </w:tc>
        <w:tc>
          <w:tcPr>
            <w:tcW w:w="2268" w:type="dxa"/>
            <w:tcBorders>
              <w:top w:val="single" w:sz="6" w:space="0" w:color="auto"/>
              <w:bottom w:val="single" w:sz="6" w:space="0" w:color="auto"/>
            </w:tcBorders>
          </w:tcPr>
          <w:p w14:paraId="12B7106C"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≤1100</w:t>
            </w:r>
            <w:r w:rsidRPr="006F3123">
              <w:rPr>
                <w:rFonts w:ascii="Times New Roman"/>
                <w:sz w:val="18"/>
                <w:szCs w:val="16"/>
                <w:vertAlign w:val="superscript"/>
              </w:rPr>
              <w:t>a</w:t>
            </w:r>
          </w:p>
        </w:tc>
        <w:tc>
          <w:tcPr>
            <w:tcW w:w="2744" w:type="dxa"/>
            <w:tcBorders>
              <w:top w:val="single" w:sz="6" w:space="0" w:color="auto"/>
              <w:bottom w:val="single" w:sz="6" w:space="0" w:color="auto"/>
            </w:tcBorders>
          </w:tcPr>
          <w:p w14:paraId="13FDC73E"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GB/T 15451</w:t>
            </w:r>
            <w:r w:rsidRPr="006F3123">
              <w:rPr>
                <w:rFonts w:ascii="Times New Roman"/>
                <w:sz w:val="18"/>
                <w:szCs w:val="16"/>
              </w:rPr>
              <w:t>、</w:t>
            </w:r>
            <w:r w:rsidRPr="006F3123">
              <w:rPr>
                <w:rFonts w:ascii="Times New Roman"/>
                <w:sz w:val="18"/>
                <w:szCs w:val="16"/>
              </w:rPr>
              <w:t>GB/T 15452</w:t>
            </w:r>
          </w:p>
        </w:tc>
      </w:tr>
      <w:tr w:rsidR="00C736FE" w14:paraId="599FABDC" w14:textId="77777777" w:rsidTr="00E84E34">
        <w:trPr>
          <w:jc w:val="center"/>
        </w:trPr>
        <w:tc>
          <w:tcPr>
            <w:tcW w:w="3510" w:type="dxa"/>
            <w:tcBorders>
              <w:top w:val="single" w:sz="6" w:space="0" w:color="auto"/>
              <w:bottom w:val="single" w:sz="6" w:space="0" w:color="auto"/>
            </w:tcBorders>
          </w:tcPr>
          <w:p w14:paraId="401D91D0"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总</w:t>
            </w:r>
            <w:r w:rsidRPr="006F3123">
              <w:rPr>
                <w:rFonts w:ascii="Times New Roman"/>
                <w:sz w:val="18"/>
                <w:szCs w:val="16"/>
              </w:rPr>
              <w:t>Fe/</w:t>
            </w:r>
            <w:r w:rsidRPr="006F3123">
              <w:rPr>
                <w:rFonts w:ascii="Times New Roman"/>
                <w:sz w:val="18"/>
                <w:szCs w:val="16"/>
              </w:rPr>
              <w:t>（</w:t>
            </w:r>
            <w:r w:rsidRPr="006F3123">
              <w:rPr>
                <w:rFonts w:ascii="Times New Roman"/>
                <w:sz w:val="18"/>
                <w:szCs w:val="16"/>
              </w:rPr>
              <w:t>mg/L</w:t>
            </w:r>
            <w:r w:rsidRPr="006F3123">
              <w:rPr>
                <w:rFonts w:ascii="Times New Roman"/>
                <w:sz w:val="18"/>
                <w:szCs w:val="16"/>
              </w:rPr>
              <w:t>）</w:t>
            </w:r>
          </w:p>
        </w:tc>
        <w:tc>
          <w:tcPr>
            <w:tcW w:w="2268" w:type="dxa"/>
            <w:tcBorders>
              <w:top w:val="single" w:sz="6" w:space="0" w:color="auto"/>
              <w:bottom w:val="single" w:sz="6" w:space="0" w:color="auto"/>
            </w:tcBorders>
          </w:tcPr>
          <w:p w14:paraId="496FC0B6"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≤2.0</w:t>
            </w:r>
          </w:p>
        </w:tc>
        <w:tc>
          <w:tcPr>
            <w:tcW w:w="2744" w:type="dxa"/>
            <w:tcBorders>
              <w:top w:val="single" w:sz="6" w:space="0" w:color="auto"/>
              <w:bottom w:val="single" w:sz="6" w:space="0" w:color="auto"/>
            </w:tcBorders>
          </w:tcPr>
          <w:p w14:paraId="5F40F263"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GB/T 14427</w:t>
            </w:r>
          </w:p>
        </w:tc>
      </w:tr>
      <w:tr w:rsidR="00C736FE" w14:paraId="30AD81CF" w14:textId="77777777" w:rsidTr="00E84E34">
        <w:trPr>
          <w:trHeight w:val="327"/>
          <w:jc w:val="center"/>
        </w:trPr>
        <w:tc>
          <w:tcPr>
            <w:tcW w:w="3510" w:type="dxa"/>
            <w:tcBorders>
              <w:top w:val="single" w:sz="6" w:space="0" w:color="auto"/>
              <w:bottom w:val="single" w:sz="12" w:space="0" w:color="auto"/>
            </w:tcBorders>
          </w:tcPr>
          <w:p w14:paraId="5D910657"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Cl</w:t>
            </w:r>
            <w:r w:rsidRPr="006F3123">
              <w:rPr>
                <w:rFonts w:ascii="Times New Roman"/>
                <w:sz w:val="18"/>
                <w:szCs w:val="16"/>
                <w:vertAlign w:val="superscript"/>
              </w:rPr>
              <w:t>-</w:t>
            </w:r>
            <w:r w:rsidRPr="006F3123">
              <w:rPr>
                <w:rFonts w:ascii="Times New Roman"/>
                <w:sz w:val="18"/>
                <w:szCs w:val="16"/>
              </w:rPr>
              <w:t>/</w:t>
            </w:r>
            <w:r w:rsidRPr="006F3123">
              <w:rPr>
                <w:rFonts w:ascii="Times New Roman"/>
                <w:sz w:val="18"/>
                <w:szCs w:val="16"/>
              </w:rPr>
              <w:t>（</w:t>
            </w:r>
            <w:r w:rsidRPr="006F3123">
              <w:rPr>
                <w:rFonts w:ascii="Times New Roman"/>
                <w:sz w:val="18"/>
                <w:szCs w:val="16"/>
              </w:rPr>
              <w:t>mg/L</w:t>
            </w:r>
            <w:r w:rsidRPr="006F3123">
              <w:rPr>
                <w:rFonts w:ascii="Times New Roman"/>
                <w:sz w:val="18"/>
                <w:szCs w:val="16"/>
              </w:rPr>
              <w:t>）</w:t>
            </w:r>
          </w:p>
        </w:tc>
        <w:tc>
          <w:tcPr>
            <w:tcW w:w="2268" w:type="dxa"/>
            <w:tcBorders>
              <w:top w:val="single" w:sz="6" w:space="0" w:color="auto"/>
              <w:bottom w:val="single" w:sz="12" w:space="0" w:color="auto"/>
            </w:tcBorders>
          </w:tcPr>
          <w:p w14:paraId="1FAD1545"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≤1000</w:t>
            </w:r>
            <w:r w:rsidRPr="006F3123">
              <w:rPr>
                <w:rFonts w:ascii="Times New Roman"/>
                <w:sz w:val="18"/>
                <w:szCs w:val="16"/>
                <w:vertAlign w:val="superscript"/>
              </w:rPr>
              <w:t>b</w:t>
            </w:r>
          </w:p>
        </w:tc>
        <w:tc>
          <w:tcPr>
            <w:tcW w:w="2744" w:type="dxa"/>
            <w:tcBorders>
              <w:top w:val="single" w:sz="6" w:space="0" w:color="auto"/>
              <w:bottom w:val="single" w:sz="12" w:space="0" w:color="auto"/>
            </w:tcBorders>
          </w:tcPr>
          <w:p w14:paraId="4E15AD7D" w14:textId="77777777" w:rsidR="00C736FE" w:rsidRPr="006F3123" w:rsidRDefault="00C736FE" w:rsidP="00E84E34">
            <w:pPr>
              <w:pStyle w:val="af2"/>
              <w:ind w:firstLineChars="0" w:firstLine="0"/>
              <w:contextualSpacing/>
              <w:jc w:val="center"/>
              <w:rPr>
                <w:rFonts w:ascii="Times New Roman"/>
                <w:sz w:val="18"/>
                <w:szCs w:val="16"/>
              </w:rPr>
            </w:pPr>
            <w:r w:rsidRPr="006F3123">
              <w:rPr>
                <w:rFonts w:ascii="Times New Roman"/>
                <w:sz w:val="18"/>
                <w:szCs w:val="16"/>
              </w:rPr>
              <w:t>GB/T 15453</w:t>
            </w:r>
          </w:p>
        </w:tc>
      </w:tr>
      <w:tr w:rsidR="00C736FE" w14:paraId="034027C7" w14:textId="77777777" w:rsidTr="00E84E34">
        <w:trPr>
          <w:jc w:val="center"/>
        </w:trPr>
        <w:tc>
          <w:tcPr>
            <w:tcW w:w="8522" w:type="dxa"/>
            <w:gridSpan w:val="3"/>
            <w:tcBorders>
              <w:top w:val="single" w:sz="12" w:space="0" w:color="auto"/>
            </w:tcBorders>
          </w:tcPr>
          <w:p w14:paraId="0B599D2C" w14:textId="77777777" w:rsidR="00C736FE" w:rsidRPr="006F3123" w:rsidRDefault="00C736FE" w:rsidP="00E84E34">
            <w:pPr>
              <w:pStyle w:val="af2"/>
              <w:ind w:firstLineChars="0" w:firstLine="0"/>
              <w:contextualSpacing/>
              <w:jc w:val="left"/>
              <w:rPr>
                <w:rFonts w:ascii="Times New Roman"/>
                <w:sz w:val="18"/>
                <w:szCs w:val="16"/>
              </w:rPr>
            </w:pPr>
            <w:r w:rsidRPr="006F3123">
              <w:rPr>
                <w:rFonts w:ascii="Times New Roman"/>
                <w:sz w:val="18"/>
                <w:szCs w:val="16"/>
                <w:vertAlign w:val="superscript"/>
              </w:rPr>
              <w:t>a</w:t>
            </w:r>
            <w:r w:rsidRPr="006F3123">
              <w:rPr>
                <w:rFonts w:ascii="Times New Roman"/>
                <w:sz w:val="18"/>
                <w:szCs w:val="16"/>
              </w:rPr>
              <w:t>适用于自然浓缩运行。若在加酸系统，则钙硬度（以</w:t>
            </w:r>
            <w:r w:rsidRPr="006F3123">
              <w:rPr>
                <w:rFonts w:ascii="Times New Roman"/>
                <w:sz w:val="18"/>
                <w:szCs w:val="16"/>
              </w:rPr>
              <w:t>CaCO</w:t>
            </w:r>
            <w:r w:rsidRPr="006F3123">
              <w:rPr>
                <w:rFonts w:ascii="Times New Roman"/>
                <w:sz w:val="18"/>
                <w:szCs w:val="16"/>
                <w:vertAlign w:val="subscript"/>
              </w:rPr>
              <w:t>3</w:t>
            </w:r>
            <w:r w:rsidRPr="006F3123">
              <w:rPr>
                <w:rFonts w:ascii="Times New Roman"/>
                <w:sz w:val="18"/>
                <w:szCs w:val="16"/>
              </w:rPr>
              <w:t>计）一般不超过</w:t>
            </w:r>
            <w:r w:rsidRPr="006F3123">
              <w:rPr>
                <w:rFonts w:ascii="Times New Roman"/>
                <w:sz w:val="18"/>
                <w:szCs w:val="16"/>
              </w:rPr>
              <w:t>1800mg/L</w:t>
            </w:r>
            <w:r w:rsidRPr="006F3123">
              <w:rPr>
                <w:rFonts w:ascii="Times New Roman"/>
                <w:sz w:val="18"/>
                <w:szCs w:val="16"/>
              </w:rPr>
              <w:t>。</w:t>
            </w:r>
          </w:p>
          <w:p w14:paraId="07EF5297" w14:textId="77777777" w:rsidR="00C736FE" w:rsidRPr="006F3123" w:rsidRDefault="00C736FE" w:rsidP="00E84E34">
            <w:pPr>
              <w:pStyle w:val="af2"/>
              <w:ind w:firstLineChars="0" w:firstLine="0"/>
              <w:contextualSpacing/>
              <w:jc w:val="left"/>
              <w:rPr>
                <w:rFonts w:ascii="Times New Roman"/>
                <w:sz w:val="18"/>
                <w:szCs w:val="16"/>
              </w:rPr>
            </w:pPr>
            <w:r w:rsidRPr="006F3123">
              <w:rPr>
                <w:rFonts w:ascii="Times New Roman"/>
                <w:sz w:val="18"/>
                <w:szCs w:val="16"/>
                <w:vertAlign w:val="superscript"/>
              </w:rPr>
              <w:t>b</w:t>
            </w:r>
            <w:r w:rsidRPr="006F3123">
              <w:rPr>
                <w:rFonts w:ascii="Times New Roman"/>
                <w:sz w:val="18"/>
                <w:szCs w:val="16"/>
              </w:rPr>
              <w:t>当流速、换热器形式、检修周期、安装形式等适宜的情况下，可酌情放宽</w:t>
            </w:r>
            <w:r w:rsidRPr="006F3123">
              <w:rPr>
                <w:rFonts w:ascii="Times New Roman"/>
                <w:sz w:val="18"/>
                <w:szCs w:val="16"/>
              </w:rPr>
              <w:t>Cl</w:t>
            </w:r>
            <w:r w:rsidRPr="006F3123">
              <w:rPr>
                <w:rFonts w:ascii="Times New Roman"/>
                <w:sz w:val="18"/>
                <w:szCs w:val="16"/>
                <w:vertAlign w:val="superscript"/>
              </w:rPr>
              <w:t>-</w:t>
            </w:r>
            <w:r w:rsidRPr="006F3123">
              <w:rPr>
                <w:rFonts w:ascii="Times New Roman"/>
                <w:sz w:val="18"/>
                <w:szCs w:val="16"/>
              </w:rPr>
              <w:t>指标，一般不超</w:t>
            </w:r>
            <w:r w:rsidRPr="006F3123">
              <w:rPr>
                <w:rFonts w:ascii="Times New Roman"/>
                <w:sz w:val="18"/>
                <w:szCs w:val="16"/>
              </w:rPr>
              <w:t>5000mg/L</w:t>
            </w:r>
            <w:r w:rsidRPr="006F3123">
              <w:rPr>
                <w:rFonts w:ascii="Times New Roman"/>
                <w:sz w:val="18"/>
                <w:szCs w:val="16"/>
              </w:rPr>
              <w:t>。</w:t>
            </w:r>
          </w:p>
        </w:tc>
      </w:tr>
    </w:tbl>
    <w:p w14:paraId="13411A3D" w14:textId="77777777" w:rsidR="00C736FE" w:rsidRDefault="00C736FE" w:rsidP="00C736FE">
      <w:pPr>
        <w:pStyle w:val="a0"/>
        <w:rPr>
          <w:rFonts w:ascii="黑体" w:eastAsia="黑体" w:cs="Arial"/>
          <w:color w:val="0000FF"/>
          <w:szCs w:val="21"/>
        </w:rPr>
      </w:pPr>
    </w:p>
    <w:p w14:paraId="075EFE8C" w14:textId="77777777" w:rsidR="00875C85" w:rsidRDefault="00000000">
      <w:pPr>
        <w:pStyle w:val="ae"/>
        <w:numPr>
          <w:ilvl w:val="0"/>
          <w:numId w:val="4"/>
        </w:numPr>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lastRenderedPageBreak/>
        <w:t>试验验证分析、综述报告、技术经济论证、预期达到的经济效益、社会效益和生态效益</w:t>
      </w:r>
    </w:p>
    <w:p w14:paraId="178BE281" w14:textId="77777777" w:rsidR="00875C85" w:rsidRDefault="00000000">
      <w:pPr>
        <w:pStyle w:val="ae"/>
        <w:spacing w:before="0" w:beforeAutospacing="0" w:after="0" w:afterAutospacing="0" w:line="440" w:lineRule="exact"/>
        <w:jc w:val="both"/>
        <w:rPr>
          <w:rFonts w:ascii="黑体" w:eastAsia="黑体" w:cs="Arial" w:hint="eastAsia"/>
          <w:sz w:val="21"/>
          <w:szCs w:val="21"/>
        </w:rPr>
      </w:pPr>
      <w:r>
        <w:rPr>
          <w:rFonts w:ascii="黑体" w:eastAsia="黑体" w:cs="Arial" w:hint="eastAsia"/>
          <w:sz w:val="21"/>
          <w:szCs w:val="21"/>
        </w:rPr>
        <w:t>1、试验验证分析和综述报告</w:t>
      </w:r>
    </w:p>
    <w:p w14:paraId="522A9624" w14:textId="77777777" w:rsidR="00875C85" w:rsidRDefault="00000000">
      <w:pPr>
        <w:pStyle w:val="a0"/>
        <w:numPr>
          <w:ilvl w:val="0"/>
          <w:numId w:val="5"/>
        </w:numPr>
        <w:rPr>
          <w:rFonts w:ascii="黑体" w:eastAsia="黑体" w:hAnsi="宋体" w:cs="宋体" w:hint="eastAsia"/>
          <w:bCs/>
          <w:szCs w:val="21"/>
        </w:rPr>
      </w:pPr>
      <w:r>
        <w:rPr>
          <w:rFonts w:ascii="黑体" w:eastAsia="黑体" w:hAnsi="宋体" w:cs="宋体" w:hint="eastAsia"/>
          <w:bCs/>
          <w:szCs w:val="21"/>
        </w:rPr>
        <w:t>项目的必要性阐述</w:t>
      </w:r>
    </w:p>
    <w:p w14:paraId="384C1408" w14:textId="77777777" w:rsidR="00405969" w:rsidRPr="00425C66" w:rsidRDefault="00405969" w:rsidP="00405969">
      <w:pPr>
        <w:ind w:firstLineChars="200" w:firstLine="420"/>
        <w:rPr>
          <w:rFonts w:ascii="宋体" w:hAnsi="宋体" w:hint="eastAsia"/>
          <w:szCs w:val="21"/>
        </w:rPr>
      </w:pPr>
      <w:r w:rsidRPr="00425C66">
        <w:rPr>
          <w:rFonts w:ascii="宋体" w:hAnsi="宋体"/>
          <w:szCs w:val="21"/>
        </w:rPr>
        <w:t>水是维系生态平衡、保障民生福祉、支撑高质量发展的命脉资源。我国人均水资源量仅为世界平均水平的四分之一，且时空分布极不均，北方半数以上城市长期处于缺水甚至重度缺水。工业化与城镇化双轮驱动下，工业用水虽不足全国总量三成，</w:t>
      </w:r>
      <w:r w:rsidRPr="00425C66">
        <w:rPr>
          <w:rFonts w:ascii="宋体" w:hAnsi="宋体" w:hint="eastAsia"/>
          <w:szCs w:val="21"/>
        </w:rPr>
        <w:t>严重</w:t>
      </w:r>
      <w:r w:rsidRPr="00425C66">
        <w:rPr>
          <w:rFonts w:ascii="宋体" w:hAnsi="宋体"/>
          <w:szCs w:val="21"/>
        </w:rPr>
        <w:t>制约产能扩张与运行安全。面对日益尖锐的水资源矛盾，国家已作出系统部署：</w:t>
      </w:r>
    </w:p>
    <w:p w14:paraId="59A954F1" w14:textId="77777777" w:rsidR="00405969" w:rsidRPr="00425C66" w:rsidRDefault="00405969" w:rsidP="00405969">
      <w:pPr>
        <w:ind w:firstLineChars="200" w:firstLine="420"/>
        <w:rPr>
          <w:rFonts w:ascii="宋体" w:hAnsi="宋体" w:hint="eastAsia"/>
          <w:szCs w:val="21"/>
        </w:rPr>
      </w:pPr>
      <w:r w:rsidRPr="00425C66">
        <w:rPr>
          <w:rFonts w:ascii="宋体" w:hAnsi="宋体"/>
          <w:szCs w:val="21"/>
        </w:rPr>
        <w:t>2019年《国家节水行动方案》明确提出：以计量体系与在线监测为抓手，全面推动工业节水改造；大力推广高效冷却、洗涤、循环用水、废污水再生利用及高耗水工艺替代等先进技术，为破解水约束、实现绿色增长提供坚实支撑。</w:t>
      </w:r>
    </w:p>
    <w:p w14:paraId="502C79D1" w14:textId="77777777" w:rsidR="00405969" w:rsidRPr="00425C66" w:rsidRDefault="00405969" w:rsidP="00405969">
      <w:pPr>
        <w:ind w:firstLineChars="200" w:firstLine="420"/>
        <w:rPr>
          <w:rFonts w:ascii="宋体" w:hAnsi="宋体" w:hint="eastAsia"/>
          <w:szCs w:val="21"/>
        </w:rPr>
      </w:pPr>
      <w:r w:rsidRPr="00425C66">
        <w:rPr>
          <w:rFonts w:ascii="宋体" w:hAnsi="宋体" w:hint="eastAsia"/>
          <w:szCs w:val="21"/>
        </w:rPr>
        <w:t>《中国制造2025》提出，到2025年我国制造业主要目标中单位工业增加值用水量比2015年下降41%，全面推进钢铁、有色、化工、建材等传统制造业绿色改造，大力研发推广水循环利用、重金属污染减量化、有毒有害原料替代等绿色工艺技术装备；推进资源高效循环利用，构建绿色制造体系，实现绿色制造。</w:t>
      </w:r>
    </w:p>
    <w:p w14:paraId="554A1FB7" w14:textId="77777777" w:rsidR="00405969" w:rsidRPr="00425C66" w:rsidRDefault="00405969" w:rsidP="00405969">
      <w:pPr>
        <w:ind w:firstLineChars="200" w:firstLine="420"/>
        <w:rPr>
          <w:rFonts w:ascii="宋体" w:hAnsi="宋体" w:hint="eastAsia"/>
          <w:szCs w:val="21"/>
        </w:rPr>
      </w:pPr>
      <w:r w:rsidRPr="00425C66">
        <w:rPr>
          <w:rFonts w:ascii="宋体" w:hAnsi="宋体" w:hint="eastAsia"/>
          <w:szCs w:val="21"/>
        </w:rPr>
        <w:t>《工业水效提升行动》中指出：到</w:t>
      </w:r>
      <w:r w:rsidRPr="00425C66">
        <w:rPr>
          <w:rFonts w:ascii="宋体" w:hAnsi="宋体"/>
          <w:szCs w:val="21"/>
        </w:rPr>
        <w:t>2025</w:t>
      </w:r>
      <w:r w:rsidRPr="00425C66">
        <w:rPr>
          <w:rFonts w:ascii="宋体" w:hAnsi="宋体" w:hint="eastAsia"/>
          <w:szCs w:val="21"/>
        </w:rPr>
        <w:t>年，全国万元工业增加值用水量较</w:t>
      </w:r>
      <w:r w:rsidRPr="00425C66">
        <w:rPr>
          <w:rFonts w:ascii="宋体" w:hAnsi="宋体"/>
          <w:szCs w:val="21"/>
        </w:rPr>
        <w:t>2020</w:t>
      </w:r>
      <w:r w:rsidRPr="00425C66">
        <w:rPr>
          <w:rFonts w:ascii="宋体" w:hAnsi="宋体" w:hint="eastAsia"/>
          <w:szCs w:val="21"/>
        </w:rPr>
        <w:t>年下降</w:t>
      </w:r>
      <w:r w:rsidRPr="00425C66">
        <w:rPr>
          <w:rFonts w:ascii="宋体" w:hAnsi="宋体"/>
          <w:szCs w:val="21"/>
        </w:rPr>
        <w:t>16%</w:t>
      </w:r>
      <w:r w:rsidRPr="00425C66">
        <w:rPr>
          <w:rFonts w:ascii="宋体" w:hAnsi="宋体" w:hint="eastAsia"/>
          <w:szCs w:val="21"/>
        </w:rPr>
        <w:t>。重点用水行业水效进一步提升，纺织、食品、有色金属行业主要产品单位取水量下降</w:t>
      </w:r>
      <w:r w:rsidRPr="00425C66">
        <w:rPr>
          <w:rFonts w:ascii="宋体" w:hAnsi="宋体"/>
          <w:szCs w:val="21"/>
        </w:rPr>
        <w:t>15%</w:t>
      </w:r>
      <w:r w:rsidRPr="00425C66">
        <w:rPr>
          <w:rFonts w:ascii="宋体" w:hAnsi="宋体" w:hint="eastAsia"/>
          <w:szCs w:val="21"/>
        </w:rPr>
        <w:t>。工业废水循环利用水平进一步提高，力争全国规模以上工业用水重复利用率达到</w:t>
      </w:r>
      <w:r w:rsidRPr="00425C66">
        <w:rPr>
          <w:rFonts w:ascii="宋体" w:hAnsi="宋体"/>
          <w:szCs w:val="21"/>
        </w:rPr>
        <w:t>94%</w:t>
      </w:r>
      <w:r w:rsidRPr="00425C66">
        <w:rPr>
          <w:rFonts w:ascii="宋体" w:hAnsi="宋体" w:hint="eastAsia"/>
          <w:szCs w:val="21"/>
        </w:rPr>
        <w:t>左右。工业节水政策机制更加健全，企业节水意识普遍增强，节水型生产方式基本建立，初步形成工业用水与发展规模、产业构和空间布局等协调发展的现代化格局。</w:t>
      </w:r>
    </w:p>
    <w:p w14:paraId="17AF92B0" w14:textId="77777777" w:rsidR="00405969" w:rsidRPr="00425C66" w:rsidRDefault="00405969" w:rsidP="00405969">
      <w:pPr>
        <w:ind w:firstLineChars="200" w:firstLine="420"/>
        <w:rPr>
          <w:rFonts w:ascii="宋体" w:hAnsi="宋体" w:hint="eastAsia"/>
          <w:szCs w:val="21"/>
        </w:rPr>
      </w:pPr>
      <w:r w:rsidRPr="00425C66">
        <w:rPr>
          <w:rFonts w:ascii="宋体" w:hAnsi="宋体" w:hint="eastAsia"/>
          <w:szCs w:val="21"/>
        </w:rPr>
        <w:t>2024年3月发布的《节约用水条例》中指出国家建立健全节水标准体系，国务院有关部门依法组织制定并适时修订有关节水的国家标准、行业标准。工业企业应当加强内部用水管理，建立节水管理制度，采用分质供水、高效冷却和洗涤、循环用水、废水处理回用等先进、适用节水技术、工艺和设备，降低单位产品（产值）耗水量，提高水资源重复利用率。</w:t>
      </w:r>
    </w:p>
    <w:p w14:paraId="44D847EC" w14:textId="6D989C96" w:rsidR="00405969" w:rsidRPr="00425C66" w:rsidRDefault="00405969" w:rsidP="00405969">
      <w:pPr>
        <w:ind w:firstLineChars="200" w:firstLine="420"/>
        <w:rPr>
          <w:rFonts w:ascii="宋体" w:hAnsi="宋体" w:hint="eastAsia"/>
          <w:szCs w:val="21"/>
        </w:rPr>
      </w:pPr>
      <w:r w:rsidRPr="00425C66">
        <w:rPr>
          <w:rFonts w:ascii="宋体" w:hAnsi="宋体" w:hint="eastAsia"/>
          <w:szCs w:val="21"/>
        </w:rPr>
        <w:t>鉴于国家用水形势的紧迫，本标准的修订迫在眉睫。</w:t>
      </w:r>
      <w:r w:rsidRPr="00425C66">
        <w:rPr>
          <w:rFonts w:ascii="宋体" w:hAnsi="宋体"/>
          <w:szCs w:val="21"/>
        </w:rPr>
        <w:t>本标准的修订，将为铜加工企业提供清晰可循的节水路径，以刚性规范引导行业全面节水，切实缓解用水压力；以标杆示范带动工业水效跃升，推动用水方式由粗放向集约节约的根本转变，从而有效纾解我国水资源供需矛盾、筑牢用水安全屏障，并进一步催化铜加工产业高端化、绿色化、智能化升级，为实现碳达峰、碳中和目标注入强劲动能。</w:t>
      </w:r>
    </w:p>
    <w:p w14:paraId="33419AC2" w14:textId="77777777" w:rsidR="00875C85" w:rsidRDefault="00000000">
      <w:pPr>
        <w:pStyle w:val="a0"/>
        <w:numPr>
          <w:ilvl w:val="0"/>
          <w:numId w:val="5"/>
        </w:numPr>
        <w:rPr>
          <w:rFonts w:ascii="黑体" w:eastAsia="黑体" w:hAnsi="宋体" w:cs="宋体" w:hint="eastAsia"/>
          <w:bCs/>
          <w:szCs w:val="21"/>
        </w:rPr>
      </w:pPr>
      <w:r>
        <w:rPr>
          <w:rFonts w:ascii="黑体" w:eastAsia="黑体" w:hAnsi="宋体" w:cs="宋体" w:hint="eastAsia"/>
          <w:bCs/>
          <w:szCs w:val="21"/>
        </w:rPr>
        <w:t>项目的可行性阐述</w:t>
      </w:r>
    </w:p>
    <w:p w14:paraId="1D2B7346" w14:textId="77777777" w:rsidR="00875C85" w:rsidRDefault="00000000">
      <w:pPr>
        <w:pStyle w:val="a0"/>
        <w:ind w:firstLineChars="200" w:firstLine="420"/>
        <w:rPr>
          <w:rFonts w:ascii="宋体" w:eastAsiaTheme="minorEastAsia" w:hAnsi="宋体" w:hint="eastAsia"/>
          <w:szCs w:val="21"/>
        </w:rPr>
      </w:pPr>
      <w:r>
        <w:rPr>
          <w:rFonts w:ascii="宋体" w:eastAsiaTheme="minorEastAsia" w:hAnsi="宋体" w:hint="eastAsia"/>
          <w:szCs w:val="21"/>
        </w:rPr>
        <w:t>——企业技术储备与技术水平、产业化情况、满足用户需求情况、市场规模；</w:t>
      </w:r>
    </w:p>
    <w:p w14:paraId="25826936" w14:textId="62F13639" w:rsidR="00D409A1" w:rsidRPr="0053392A" w:rsidRDefault="00D409A1" w:rsidP="00433C64">
      <w:pPr>
        <w:ind w:firstLineChars="200" w:firstLine="420"/>
        <w:contextualSpacing/>
        <w:rPr>
          <w:rFonts w:ascii="Times New Roman" w:hAnsi="Times New Roman" w:cs="Times New Roman"/>
          <w:szCs w:val="21"/>
        </w:rPr>
      </w:pPr>
      <w:r w:rsidRPr="0053392A">
        <w:rPr>
          <w:rFonts w:ascii="Times New Roman" w:hAnsi="Times New Roman" w:cs="Times New Roman"/>
          <w:szCs w:val="21"/>
        </w:rPr>
        <w:t>宁波博威合金材料股份有限公司是国家技术创新示范企业、国家级制造业单项冠军示范企业，拥有国家认定企</w:t>
      </w:r>
      <w:r w:rsidRPr="005C39E7">
        <w:rPr>
          <w:rFonts w:ascii="Times New Roman" w:eastAsia="宋体" w:hAnsi="Times New Roman" w:cs="Times New Roman"/>
          <w:szCs w:val="21"/>
        </w:rPr>
        <w:t>业技术</w:t>
      </w:r>
      <w:r w:rsidRPr="005C39E7">
        <w:rPr>
          <w:rFonts w:ascii="宋体" w:hAnsi="宋体"/>
          <w:szCs w:val="21"/>
        </w:rPr>
        <w:t>中心、国家级博士后科研工作站、国家认可实验室、国家地方联合工程研究中心等。先后承担国家“十四五”重点研发计划项目、国家“十三五”、科技支撑计</w:t>
      </w:r>
      <w:r w:rsidRPr="005C39E7">
        <w:rPr>
          <w:rFonts w:ascii="Times New Roman" w:hAnsi="Times New Roman" w:cs="Times New Roman"/>
          <w:szCs w:val="21"/>
        </w:rPr>
        <w:t>划等项目，迄今已获得</w:t>
      </w:r>
      <w:r w:rsidRPr="005C39E7">
        <w:rPr>
          <w:rFonts w:ascii="Times New Roman" w:hAnsi="Times New Roman" w:cs="Times New Roman"/>
          <w:szCs w:val="21"/>
        </w:rPr>
        <w:t>198</w:t>
      </w:r>
      <w:r w:rsidRPr="005C39E7">
        <w:rPr>
          <w:rFonts w:ascii="Times New Roman" w:hAnsi="Times New Roman" w:cs="Times New Roman"/>
          <w:szCs w:val="21"/>
        </w:rPr>
        <w:t>项国内外发明专利，主持、参与我国国家、行业标准制修订工作</w:t>
      </w:r>
      <w:r w:rsidRPr="005C39E7">
        <w:rPr>
          <w:rFonts w:ascii="Times New Roman" w:hAnsi="Times New Roman" w:cs="Times New Roman"/>
          <w:szCs w:val="21"/>
        </w:rPr>
        <w:t>40</w:t>
      </w:r>
      <w:r w:rsidRPr="005C39E7">
        <w:rPr>
          <w:rFonts w:ascii="Times New Roman" w:hAnsi="Times New Roman" w:cs="Times New Roman"/>
          <w:szCs w:val="21"/>
        </w:rPr>
        <w:t>余项，引领我国有色合金新材料行业持续发展。博威合金致力于有色合金新材料的研发和生产</w:t>
      </w:r>
      <w:r w:rsidRPr="005C39E7">
        <w:rPr>
          <w:rFonts w:ascii="Times New Roman" w:hAnsi="Times New Roman" w:cs="Times New Roman"/>
          <w:szCs w:val="21"/>
        </w:rPr>
        <w:t>,</w:t>
      </w:r>
      <w:r w:rsidRPr="005C39E7">
        <w:rPr>
          <w:rFonts w:ascii="Times New Roman" w:hAnsi="Times New Roman" w:cs="Times New Roman"/>
          <w:szCs w:val="21"/>
        </w:rPr>
        <w:t>服务于工程机械、</w:t>
      </w:r>
      <w:r w:rsidRPr="005C39E7">
        <w:rPr>
          <w:rFonts w:ascii="宋体" w:hAnsi="宋体"/>
          <w:szCs w:val="21"/>
        </w:rPr>
        <w:t>石油勘探、海洋工程、半导体、超大规模集成电路</w:t>
      </w:r>
      <w:r w:rsidRPr="0053392A">
        <w:rPr>
          <w:rFonts w:ascii="Times New Roman" w:hAnsi="Times New Roman" w:cs="Times New Roman"/>
          <w:szCs w:val="21"/>
        </w:rPr>
        <w:t>、</w:t>
      </w:r>
      <w:r w:rsidRPr="0053392A">
        <w:rPr>
          <w:rFonts w:ascii="Times New Roman" w:hAnsi="Times New Roman" w:cs="Times New Roman"/>
          <w:szCs w:val="21"/>
        </w:rPr>
        <w:t>5G/6G</w:t>
      </w:r>
      <w:r w:rsidRPr="0053392A">
        <w:rPr>
          <w:rFonts w:ascii="Times New Roman" w:hAnsi="Times New Roman" w:cs="Times New Roman"/>
          <w:szCs w:val="21"/>
        </w:rPr>
        <w:t>通讯、航空航天、高铁、船舶、新能源汽车等</w:t>
      </w:r>
      <w:r w:rsidRPr="0053392A">
        <w:rPr>
          <w:rFonts w:ascii="Times New Roman" w:hAnsi="Times New Roman" w:cs="Times New Roman"/>
          <w:szCs w:val="21"/>
        </w:rPr>
        <w:t>30</w:t>
      </w:r>
      <w:r w:rsidRPr="0053392A">
        <w:rPr>
          <w:rFonts w:ascii="Times New Roman" w:hAnsi="Times New Roman" w:cs="Times New Roman"/>
          <w:szCs w:val="21"/>
        </w:rPr>
        <w:t>多个行业，打破了多项国外企业对高端合金领域的垄断，解决了新材</w:t>
      </w:r>
      <w:r w:rsidRPr="005C39E7">
        <w:rPr>
          <w:rFonts w:ascii="宋体" w:eastAsia="宋体" w:hAnsi="宋体" w:cs="Times New Roman"/>
          <w:szCs w:val="21"/>
        </w:rPr>
        <w:t>料“卡脖子”问</w:t>
      </w:r>
      <w:r w:rsidRPr="0053392A">
        <w:rPr>
          <w:rFonts w:ascii="Times New Roman" w:hAnsi="Times New Roman" w:cs="Times New Roman"/>
          <w:szCs w:val="21"/>
        </w:rPr>
        <w:t>题，助推我国产业升级。另外公司主持或参与起草了</w:t>
      </w:r>
      <w:r w:rsidRPr="0053392A">
        <w:rPr>
          <w:rFonts w:ascii="Times New Roman" w:hAnsi="Times New Roman" w:cs="Times New Roman"/>
          <w:szCs w:val="21"/>
        </w:rPr>
        <w:t>GB 21350-2023</w:t>
      </w:r>
      <w:r w:rsidRPr="0053392A">
        <w:rPr>
          <w:rFonts w:ascii="Times New Roman" w:hAnsi="Times New Roman" w:cs="Times New Roman"/>
          <w:szCs w:val="21"/>
        </w:rPr>
        <w:t>《铜及铜合金加工材单位产品能源消耗限额》、</w:t>
      </w:r>
      <w:r w:rsidRPr="0053392A">
        <w:rPr>
          <w:rFonts w:ascii="Times New Roman" w:hAnsi="Times New Roman" w:cs="Times New Roman"/>
          <w:szCs w:val="21"/>
        </w:rPr>
        <w:t>GB/T 27683-2023</w:t>
      </w:r>
      <w:r w:rsidRPr="0053392A">
        <w:rPr>
          <w:rFonts w:ascii="Times New Roman" w:hAnsi="Times New Roman" w:cs="Times New Roman"/>
          <w:szCs w:val="21"/>
        </w:rPr>
        <w:t>《铜及铜合金切削屑料及其回收规范》、</w:t>
      </w:r>
      <w:r w:rsidRPr="0053392A">
        <w:rPr>
          <w:rFonts w:ascii="Times New Roman" w:hAnsi="Times New Roman" w:cs="Times New Roman"/>
          <w:szCs w:val="21"/>
        </w:rPr>
        <w:t>YS/T 1542-2022</w:t>
      </w:r>
      <w:r w:rsidRPr="0053392A">
        <w:rPr>
          <w:rFonts w:ascii="Times New Roman" w:hAnsi="Times New Roman" w:cs="Times New Roman"/>
          <w:szCs w:val="21"/>
        </w:rPr>
        <w:t>《铜及铜合金棒、型、线材生产绿色工厂评价要求》等绿色、低碳类标准，积累了大量经验，为起草本标准提供了有力的技术支撑，具备了起草本国家标准的技术基础。</w:t>
      </w:r>
    </w:p>
    <w:p w14:paraId="3D972942" w14:textId="77777777" w:rsidR="00875C85" w:rsidRPr="0053392A" w:rsidRDefault="00000000">
      <w:pPr>
        <w:pStyle w:val="a0"/>
        <w:ind w:firstLineChars="200" w:firstLine="420"/>
        <w:rPr>
          <w:rFonts w:ascii="Times New Roman" w:eastAsiaTheme="minorEastAsia" w:hAnsi="Times New Roman" w:cs="Times New Roman"/>
          <w:szCs w:val="21"/>
        </w:rPr>
      </w:pPr>
      <w:r w:rsidRPr="0053392A">
        <w:rPr>
          <w:rFonts w:ascii="Times New Roman" w:eastAsiaTheme="minorEastAsia" w:hAnsi="Times New Roman" w:cs="Times New Roman"/>
          <w:szCs w:val="21"/>
        </w:rPr>
        <w:lastRenderedPageBreak/>
        <w:t>——</w:t>
      </w:r>
      <w:r w:rsidRPr="0053392A">
        <w:rPr>
          <w:rFonts w:ascii="Times New Roman" w:eastAsiaTheme="minorEastAsia" w:hAnsi="Times New Roman" w:cs="Times New Roman"/>
          <w:szCs w:val="21"/>
        </w:rPr>
        <w:t>拟要解决的主要问题，相关标准情况，存在的问题，研制标准的意义。</w:t>
      </w:r>
    </w:p>
    <w:p w14:paraId="64E12AFF" w14:textId="77777777" w:rsidR="0053392A" w:rsidRPr="0053392A" w:rsidRDefault="0053392A" w:rsidP="0053392A">
      <w:pPr>
        <w:ind w:firstLineChars="200" w:firstLine="420"/>
        <w:jc w:val="left"/>
        <w:rPr>
          <w:rFonts w:ascii="Times New Roman" w:hAnsi="Times New Roman" w:cs="Times New Roman"/>
        </w:rPr>
      </w:pPr>
      <w:r w:rsidRPr="0053392A">
        <w:rPr>
          <w:rFonts w:ascii="Times New Roman" w:hAnsi="Times New Roman" w:cs="Times New Roman"/>
        </w:rPr>
        <w:t>目前，国际上尚未出台针对铜合金熔铸冷却水排放的统一标准或规范。国内现行的</w:t>
      </w:r>
      <w:r w:rsidRPr="0053392A">
        <w:rPr>
          <w:rFonts w:ascii="Times New Roman" w:hAnsi="Times New Roman" w:cs="Times New Roman"/>
        </w:rPr>
        <w:t>GB 50050-2017</w:t>
      </w:r>
      <w:r w:rsidRPr="0053392A">
        <w:rPr>
          <w:rFonts w:ascii="Times New Roman" w:hAnsi="Times New Roman" w:cs="Times New Roman"/>
        </w:rPr>
        <w:t>《工业循环冷却水处理设计规范》仅提供了水质稳定、防垢、缓蚀等设计参数，常作为循环水系统的通用技术依据；</w:t>
      </w:r>
      <w:r w:rsidRPr="0053392A">
        <w:rPr>
          <w:rFonts w:ascii="Times New Roman" w:hAnsi="Times New Roman" w:cs="Times New Roman"/>
        </w:rPr>
        <w:t>YS/T 1803-2025</w:t>
      </w:r>
      <w:r w:rsidRPr="0053392A">
        <w:rPr>
          <w:rFonts w:ascii="Times New Roman" w:hAnsi="Times New Roman" w:cs="Times New Roman"/>
        </w:rPr>
        <w:t>《铜加工废水循环利用技术规范》则面向铜及铜合金板、带、箔、棒、线、管、型材等全流程加工企业的节水减排需求。</w:t>
      </w:r>
    </w:p>
    <w:p w14:paraId="6CE1A5F2" w14:textId="61406388" w:rsidR="00985E9D" w:rsidRPr="0053392A" w:rsidRDefault="00985E9D">
      <w:pPr>
        <w:pStyle w:val="a0"/>
        <w:ind w:firstLineChars="200" w:firstLine="420"/>
        <w:rPr>
          <w:rFonts w:ascii="Times New Roman" w:eastAsiaTheme="minorEastAsia" w:hAnsi="Times New Roman" w:cs="Times New Roman"/>
          <w:szCs w:val="21"/>
        </w:rPr>
      </w:pPr>
      <w:r w:rsidRPr="0053392A">
        <w:rPr>
          <w:rFonts w:ascii="Times New Roman" w:eastAsiaTheme="minorEastAsia" w:hAnsi="Times New Roman" w:cs="Times New Roman"/>
          <w:szCs w:val="21"/>
        </w:rPr>
        <w:t>本标准的修订，</w:t>
      </w:r>
      <w:r w:rsidR="0053392A" w:rsidRPr="0053392A">
        <w:rPr>
          <w:rFonts w:ascii="Times New Roman" w:eastAsiaTheme="minorEastAsia" w:hAnsi="Times New Roman" w:cs="Times New Roman"/>
          <w:szCs w:val="21"/>
        </w:rPr>
        <w:t>解决了铜及铜合金熔铸冷却循环水对补充水水质、系统控制、循环冷却水水质等无据可依的问题，</w:t>
      </w:r>
      <w:r w:rsidRPr="0053392A">
        <w:rPr>
          <w:rFonts w:ascii="Times New Roman" w:eastAsiaTheme="minorEastAsia" w:hAnsi="Times New Roman" w:cs="Times New Roman"/>
          <w:szCs w:val="21"/>
        </w:rPr>
        <w:t>将为铜加工企业提供清晰可循的节水路径，以刚性规范引导行业全面节水，切实缓解用水压力；以标杆示范带动工业水效跃升，推动用水方式由粗放向集约节约的根本转变，从而有效纾解我国水资源供需矛盾、筑牢用水安全屏障，并进一步催化铜加工产业高端化、绿色化、智能化升级，为实现碳达峰、碳中和目标注入强劲动能。</w:t>
      </w:r>
    </w:p>
    <w:p w14:paraId="745C401D" w14:textId="77777777" w:rsidR="00875C85" w:rsidRDefault="00000000">
      <w:pPr>
        <w:pStyle w:val="a0"/>
        <w:numPr>
          <w:ilvl w:val="0"/>
          <w:numId w:val="5"/>
        </w:numPr>
        <w:rPr>
          <w:rFonts w:ascii="黑体" w:eastAsia="黑体" w:cs="Arial"/>
          <w:szCs w:val="21"/>
        </w:rPr>
      </w:pPr>
      <w:r>
        <w:rPr>
          <w:rFonts w:ascii="黑体" w:eastAsia="黑体" w:cs="Arial" w:hint="eastAsia"/>
          <w:szCs w:val="21"/>
        </w:rPr>
        <w:t>试验验证分析</w:t>
      </w:r>
    </w:p>
    <w:p w14:paraId="7A8585F2" w14:textId="77777777" w:rsidR="00875C85" w:rsidRDefault="00000000">
      <w:pPr>
        <w:pStyle w:val="a0"/>
        <w:numPr>
          <w:ilvl w:val="0"/>
          <w:numId w:val="5"/>
        </w:numPr>
        <w:rPr>
          <w:rFonts w:ascii="黑体" w:eastAsia="黑体" w:hAnsi="宋体" w:cs="宋体" w:hint="eastAsia"/>
          <w:bCs/>
          <w:szCs w:val="21"/>
        </w:rPr>
      </w:pPr>
      <w:r>
        <w:rPr>
          <w:rFonts w:ascii="黑体" w:eastAsia="黑体" w:hAnsi="宋体" w:cs="宋体" w:hint="eastAsia"/>
          <w:bCs/>
          <w:szCs w:val="21"/>
        </w:rPr>
        <w:t>标准的先进性、创新性、标准实施后预期产生的经济效益和社会效益</w:t>
      </w:r>
    </w:p>
    <w:p w14:paraId="1514DCBD" w14:textId="77777777" w:rsidR="00875C85" w:rsidRPr="00433C64" w:rsidRDefault="00000000">
      <w:pPr>
        <w:pStyle w:val="a0"/>
        <w:ind w:firstLineChars="200" w:firstLine="422"/>
        <w:rPr>
          <w:rFonts w:ascii="宋体" w:eastAsiaTheme="minorEastAsia" w:hAnsi="宋体" w:hint="eastAsia"/>
          <w:b/>
          <w:bCs/>
          <w:szCs w:val="21"/>
        </w:rPr>
      </w:pPr>
      <w:r w:rsidRPr="00433C64">
        <w:rPr>
          <w:rFonts w:ascii="宋体" w:eastAsiaTheme="minorEastAsia" w:hAnsi="宋体" w:hint="eastAsia"/>
          <w:b/>
          <w:bCs/>
          <w:szCs w:val="21"/>
        </w:rPr>
        <w:t>4.1先进性、创新性</w:t>
      </w:r>
    </w:p>
    <w:p w14:paraId="1D82607F" w14:textId="5F509D48" w:rsidR="0097734E" w:rsidRPr="00433C64" w:rsidRDefault="00615907" w:rsidP="00EA0463">
      <w:pPr>
        <w:pStyle w:val="a0"/>
        <w:ind w:firstLineChars="200" w:firstLine="420"/>
        <w:rPr>
          <w:rFonts w:ascii="宋体" w:eastAsiaTheme="minorEastAsia" w:hAnsi="宋体" w:hint="eastAsia"/>
          <w:szCs w:val="21"/>
        </w:rPr>
      </w:pPr>
      <w:r>
        <w:rPr>
          <w:rFonts w:ascii="宋体" w:eastAsiaTheme="minorEastAsia" w:hAnsi="宋体" w:hint="eastAsia"/>
          <w:szCs w:val="21"/>
        </w:rPr>
        <w:t>本标准在原有的零排放和循环利用</w:t>
      </w:r>
      <w:r w:rsidR="0097734E" w:rsidRPr="0097734E">
        <w:rPr>
          <w:rFonts w:ascii="宋体" w:eastAsiaTheme="minorEastAsia" w:hAnsi="宋体"/>
          <w:szCs w:val="21"/>
        </w:rPr>
        <w:t>这一环保</w:t>
      </w:r>
      <w:r>
        <w:rPr>
          <w:rFonts w:ascii="宋体" w:eastAsiaTheme="minorEastAsia" w:hAnsi="宋体" w:hint="eastAsia"/>
          <w:szCs w:val="21"/>
        </w:rPr>
        <w:t>基础上，</w:t>
      </w:r>
      <w:r w:rsidR="0097734E">
        <w:rPr>
          <w:rFonts w:ascii="宋体" w:eastAsiaTheme="minorEastAsia" w:hAnsi="宋体" w:hint="eastAsia"/>
          <w:szCs w:val="21"/>
        </w:rPr>
        <w:t>创新性地将</w:t>
      </w:r>
      <w:r>
        <w:rPr>
          <w:rFonts w:ascii="宋体" w:eastAsiaTheme="minorEastAsia" w:hAnsi="宋体" w:hint="eastAsia"/>
          <w:szCs w:val="21"/>
        </w:rPr>
        <w:t>熔铸冷却水系统、补充水及循环冷却水</w:t>
      </w:r>
      <w:r w:rsidR="0097734E">
        <w:rPr>
          <w:rFonts w:ascii="宋体" w:eastAsiaTheme="minorEastAsia" w:hAnsi="宋体" w:hint="eastAsia"/>
          <w:szCs w:val="21"/>
        </w:rPr>
        <w:t>水质控制进行全链条整合，</w:t>
      </w:r>
      <w:r>
        <w:rPr>
          <w:rFonts w:ascii="宋体" w:eastAsiaTheme="minorEastAsia" w:hAnsi="宋体" w:hint="eastAsia"/>
          <w:szCs w:val="21"/>
        </w:rPr>
        <w:t>提出</w:t>
      </w:r>
      <w:r w:rsidR="0097734E">
        <w:rPr>
          <w:rFonts w:ascii="宋体" w:eastAsiaTheme="minorEastAsia" w:hAnsi="宋体" w:hint="eastAsia"/>
          <w:szCs w:val="21"/>
        </w:rPr>
        <w:t>新的协同管控的</w:t>
      </w:r>
      <w:r>
        <w:rPr>
          <w:rFonts w:ascii="宋体" w:eastAsiaTheme="minorEastAsia" w:hAnsi="宋体" w:hint="eastAsia"/>
          <w:szCs w:val="21"/>
        </w:rPr>
        <w:t>要求</w:t>
      </w:r>
      <w:r w:rsidR="0097734E">
        <w:rPr>
          <w:rFonts w:ascii="宋体" w:eastAsiaTheme="minorEastAsia" w:hAnsi="宋体" w:hint="eastAsia"/>
          <w:szCs w:val="21"/>
        </w:rPr>
        <w:t>。本标准实现了从“</w:t>
      </w:r>
      <w:r w:rsidR="00EA0463">
        <w:rPr>
          <w:rFonts w:ascii="宋体" w:eastAsiaTheme="minorEastAsia" w:hAnsi="宋体" w:hint="eastAsia"/>
          <w:szCs w:val="21"/>
        </w:rPr>
        <w:t>末端治理</w:t>
      </w:r>
      <w:r w:rsidR="0097734E">
        <w:rPr>
          <w:rFonts w:ascii="宋体" w:eastAsiaTheme="minorEastAsia" w:hAnsi="宋体" w:hint="eastAsia"/>
          <w:szCs w:val="21"/>
        </w:rPr>
        <w:t>”</w:t>
      </w:r>
      <w:r w:rsidR="00EA0463">
        <w:rPr>
          <w:rFonts w:ascii="宋体" w:eastAsiaTheme="minorEastAsia" w:hAnsi="宋体" w:hint="eastAsia"/>
          <w:szCs w:val="21"/>
        </w:rPr>
        <w:t>向“全过程优化”的跨越，</w:t>
      </w:r>
      <w:r w:rsidR="0097734E" w:rsidRPr="0097734E">
        <w:rPr>
          <w:rFonts w:ascii="宋体" w:eastAsiaTheme="minorEastAsia" w:hAnsi="宋体"/>
          <w:szCs w:val="21"/>
        </w:rPr>
        <w:t>为熔铸行业实现绿色生产与高效冷却的深度融合提供了更具科学性、引领性的技术支撑。</w:t>
      </w:r>
    </w:p>
    <w:p w14:paraId="50AF659D" w14:textId="77777777" w:rsidR="00875C85" w:rsidRPr="00433C64" w:rsidRDefault="00000000">
      <w:pPr>
        <w:pStyle w:val="a0"/>
        <w:ind w:firstLineChars="200" w:firstLine="422"/>
        <w:rPr>
          <w:rFonts w:ascii="宋体" w:eastAsiaTheme="minorEastAsia" w:hAnsi="宋体" w:hint="eastAsia"/>
          <w:b/>
          <w:bCs/>
          <w:szCs w:val="21"/>
        </w:rPr>
      </w:pPr>
      <w:r w:rsidRPr="00433C64">
        <w:rPr>
          <w:rFonts w:ascii="宋体" w:eastAsiaTheme="minorEastAsia" w:hAnsi="宋体" w:hint="eastAsia"/>
          <w:b/>
          <w:bCs/>
          <w:szCs w:val="21"/>
        </w:rPr>
        <w:t>4.2经济效益</w:t>
      </w:r>
    </w:p>
    <w:p w14:paraId="6EA4F7B4" w14:textId="05E21598" w:rsidR="002F3995" w:rsidRPr="00433C64" w:rsidRDefault="002F3995" w:rsidP="00E104AF">
      <w:pPr>
        <w:pStyle w:val="a0"/>
        <w:ind w:firstLineChars="200" w:firstLine="420"/>
        <w:rPr>
          <w:rFonts w:ascii="宋体" w:eastAsiaTheme="minorEastAsia" w:hAnsi="宋体" w:hint="eastAsia"/>
          <w:szCs w:val="21"/>
        </w:rPr>
      </w:pPr>
      <w:r w:rsidRPr="00433C64">
        <w:rPr>
          <w:rFonts w:ascii="宋体" w:eastAsiaTheme="minorEastAsia" w:hAnsi="宋体"/>
          <w:szCs w:val="21"/>
        </w:rPr>
        <w:t>本标准</w:t>
      </w:r>
      <w:r w:rsidRPr="00433C64">
        <w:rPr>
          <w:rFonts w:ascii="宋体" w:eastAsiaTheme="minorEastAsia" w:hAnsi="宋体" w:hint="eastAsia"/>
          <w:szCs w:val="21"/>
        </w:rPr>
        <w:t>将大幅提高</w:t>
      </w:r>
      <w:r w:rsidRPr="00433C64">
        <w:rPr>
          <w:rFonts w:ascii="宋体" w:eastAsiaTheme="minorEastAsia" w:hAnsi="宋体"/>
          <w:szCs w:val="21"/>
        </w:rPr>
        <w:t>铜加工企业用水管理规范化水平。通过加快节水设备更新、淘汰落后低效设施，有力推动了节水技术革新与装备升级，取得了显著的经济效益。</w:t>
      </w:r>
    </w:p>
    <w:p w14:paraId="3C8228E5" w14:textId="52CF1D54" w:rsidR="00875C85" w:rsidRPr="00433C64" w:rsidRDefault="00000000">
      <w:pPr>
        <w:pStyle w:val="a0"/>
        <w:ind w:firstLineChars="200" w:firstLine="422"/>
        <w:rPr>
          <w:rFonts w:ascii="宋体" w:eastAsiaTheme="minorEastAsia" w:hAnsi="宋体" w:hint="eastAsia"/>
          <w:b/>
          <w:bCs/>
          <w:szCs w:val="21"/>
        </w:rPr>
      </w:pPr>
      <w:r w:rsidRPr="00433C64">
        <w:rPr>
          <w:rFonts w:ascii="宋体" w:eastAsiaTheme="minorEastAsia" w:hAnsi="宋体" w:hint="eastAsia"/>
          <w:b/>
          <w:bCs/>
          <w:szCs w:val="21"/>
        </w:rPr>
        <w:t>4.3社会效益</w:t>
      </w:r>
    </w:p>
    <w:p w14:paraId="7ECCD917" w14:textId="5506E871" w:rsidR="002F3995" w:rsidRPr="00433C64" w:rsidRDefault="002F3995">
      <w:pPr>
        <w:pStyle w:val="a0"/>
        <w:ind w:firstLineChars="200" w:firstLine="420"/>
        <w:rPr>
          <w:rFonts w:ascii="宋体" w:eastAsiaTheme="minorEastAsia" w:hAnsi="宋体" w:hint="eastAsia"/>
          <w:szCs w:val="21"/>
        </w:rPr>
      </w:pPr>
      <w:r w:rsidRPr="00433C64">
        <w:rPr>
          <w:rFonts w:ascii="宋体" w:eastAsiaTheme="minorEastAsia" w:hAnsi="宋体"/>
          <w:szCs w:val="21"/>
        </w:rPr>
        <w:t>本标准通过严控废水排放、改善水环境质量，有效保护了区域生态安全；节水产业升级创造了专业技术岗位，提升了从业人员素质，强化了企业社会责任担当，形成了良好的行业示范带动效应。</w:t>
      </w:r>
    </w:p>
    <w:p w14:paraId="14F14ECF" w14:textId="11218D6B" w:rsidR="00875C85" w:rsidRPr="00433C64" w:rsidRDefault="00000000">
      <w:pPr>
        <w:pStyle w:val="a0"/>
        <w:ind w:firstLineChars="200" w:firstLine="422"/>
        <w:rPr>
          <w:rFonts w:ascii="宋体" w:eastAsiaTheme="minorEastAsia" w:hAnsi="宋体" w:hint="eastAsia"/>
          <w:b/>
          <w:bCs/>
          <w:szCs w:val="21"/>
        </w:rPr>
      </w:pPr>
      <w:r w:rsidRPr="00433C64">
        <w:rPr>
          <w:rFonts w:ascii="宋体" w:eastAsiaTheme="minorEastAsia" w:hAnsi="宋体" w:hint="eastAsia"/>
          <w:b/>
          <w:bCs/>
          <w:szCs w:val="21"/>
        </w:rPr>
        <w:t>4.4生态效益</w:t>
      </w:r>
    </w:p>
    <w:p w14:paraId="3D9CB9B1" w14:textId="7BEB7878" w:rsidR="005773E1" w:rsidRDefault="007348FF" w:rsidP="00E104AF">
      <w:pPr>
        <w:pStyle w:val="a0"/>
        <w:ind w:firstLineChars="200" w:firstLine="420"/>
        <w:rPr>
          <w:rFonts w:ascii="宋体" w:eastAsiaTheme="minorEastAsia" w:hAnsi="宋体" w:hint="eastAsia"/>
          <w:szCs w:val="21"/>
        </w:rPr>
      </w:pPr>
      <w:r w:rsidRPr="00E104AF">
        <w:rPr>
          <w:rFonts w:ascii="宋体" w:eastAsiaTheme="minorEastAsia" w:hAnsi="宋体" w:hint="eastAsia"/>
          <w:szCs w:val="21"/>
        </w:rPr>
        <w:t>本标准</w:t>
      </w:r>
      <w:r w:rsidR="005773E1" w:rsidRPr="00E104AF">
        <w:rPr>
          <w:rFonts w:ascii="宋体" w:eastAsiaTheme="minorEastAsia" w:hAnsi="宋体"/>
          <w:szCs w:val="21"/>
        </w:rPr>
        <w:t>为推动社会的全面绿色转型提供了强有力的支持，有助于保障国家的水安全，推进生态文明建设，</w:t>
      </w:r>
      <w:r w:rsidR="002F3995" w:rsidRPr="00E104AF">
        <w:rPr>
          <w:rFonts w:ascii="宋体" w:eastAsiaTheme="minorEastAsia" w:hAnsi="宋体" w:hint="eastAsia"/>
          <w:szCs w:val="21"/>
        </w:rPr>
        <w:t>具有良好的生态效益</w:t>
      </w:r>
      <w:r w:rsidR="005773E1" w:rsidRPr="00E104AF">
        <w:rPr>
          <w:rFonts w:ascii="宋体" w:eastAsiaTheme="minorEastAsia" w:hAnsi="宋体"/>
          <w:szCs w:val="21"/>
        </w:rPr>
        <w:t>。</w:t>
      </w:r>
    </w:p>
    <w:p w14:paraId="74E240B1" w14:textId="77777777" w:rsidR="00F15A5A" w:rsidRDefault="00000000" w:rsidP="00F15A5A">
      <w:pPr>
        <w:pStyle w:val="a0"/>
        <w:rPr>
          <w:rFonts w:ascii="黑体" w:eastAsia="黑体" w:hAnsi="宋体" w:cs="宋体" w:hint="eastAsia"/>
          <w:bCs/>
          <w:szCs w:val="21"/>
        </w:rPr>
      </w:pPr>
      <w:r>
        <w:rPr>
          <w:rFonts w:ascii="黑体" w:eastAsia="黑体" w:hAnsi="宋体" w:cs="宋体" w:hint="eastAsia"/>
          <w:bCs/>
          <w:szCs w:val="21"/>
        </w:rPr>
        <w:t>四、与国际标准和国外先进标准技术内容的对比</w:t>
      </w:r>
    </w:p>
    <w:p w14:paraId="073FFEBF" w14:textId="18F7C8E2" w:rsidR="00F15A5A" w:rsidRPr="00F15A5A" w:rsidRDefault="00F15A5A" w:rsidP="00F15A5A">
      <w:pPr>
        <w:pStyle w:val="a0"/>
        <w:ind w:firstLineChars="200" w:firstLine="420"/>
        <w:rPr>
          <w:rFonts w:ascii="黑体" w:eastAsia="黑体" w:hAnsi="宋体" w:cs="宋体" w:hint="eastAsia"/>
          <w:bCs/>
          <w:szCs w:val="21"/>
        </w:rPr>
      </w:pPr>
      <w:r w:rsidRPr="00F15A5A">
        <w:rPr>
          <w:rFonts w:ascii="宋体" w:eastAsiaTheme="minorEastAsia" w:hAnsi="宋体" w:hint="eastAsia"/>
          <w:szCs w:val="21"/>
        </w:rPr>
        <w:t>不涉及</w:t>
      </w:r>
      <w:r>
        <w:rPr>
          <w:rFonts w:ascii="宋体" w:eastAsiaTheme="minorEastAsia" w:hAnsi="宋体" w:hint="eastAsia"/>
          <w:szCs w:val="21"/>
        </w:rPr>
        <w:t>。</w:t>
      </w:r>
    </w:p>
    <w:p w14:paraId="384A44B5" w14:textId="77777777" w:rsidR="00875C85" w:rsidRDefault="00000000">
      <w:pPr>
        <w:numPr>
          <w:ilvl w:val="0"/>
          <w:numId w:val="6"/>
        </w:numPr>
        <w:spacing w:beforeLines="50" w:before="156" w:afterLines="50" w:after="156" w:line="440" w:lineRule="exact"/>
        <w:rPr>
          <w:rFonts w:ascii="黑体" w:eastAsia="黑体" w:hAnsi="宋体" w:cs="宋体" w:hint="eastAsia"/>
          <w:bCs/>
          <w:szCs w:val="21"/>
        </w:rPr>
      </w:pPr>
      <w:r>
        <w:rPr>
          <w:rFonts w:ascii="黑体" w:eastAsia="黑体" w:hAnsi="宋体" w:cs="宋体" w:hint="eastAsia"/>
          <w:bCs/>
          <w:szCs w:val="21"/>
        </w:rPr>
        <w:t>以国际标准为基础的起草情况以及是否合规采用国际国外标准、未采用国际标准的原因</w:t>
      </w:r>
    </w:p>
    <w:p w14:paraId="45D19A58" w14:textId="4F942084" w:rsidR="00F15A5A" w:rsidRPr="00F15A5A" w:rsidRDefault="00F15A5A" w:rsidP="00F15A5A">
      <w:pPr>
        <w:pStyle w:val="a0"/>
        <w:ind w:firstLineChars="200" w:firstLine="420"/>
        <w:rPr>
          <w:rFonts w:ascii="宋体" w:eastAsiaTheme="minorEastAsia" w:hAnsi="宋体" w:hint="eastAsia"/>
          <w:szCs w:val="21"/>
        </w:rPr>
      </w:pPr>
      <w:r w:rsidRPr="00F15A5A">
        <w:rPr>
          <w:rFonts w:ascii="宋体" w:eastAsiaTheme="minorEastAsia" w:hAnsi="宋体" w:hint="eastAsia"/>
          <w:szCs w:val="21"/>
        </w:rPr>
        <w:t>不涉及</w:t>
      </w:r>
      <w:r>
        <w:rPr>
          <w:rFonts w:ascii="宋体" w:eastAsiaTheme="minorEastAsia" w:hAnsi="宋体" w:hint="eastAsia"/>
          <w:szCs w:val="21"/>
        </w:rPr>
        <w:t>。</w:t>
      </w:r>
    </w:p>
    <w:p w14:paraId="5EDE5AA9" w14:textId="77777777" w:rsidR="00875C85" w:rsidRDefault="00000000">
      <w:pPr>
        <w:numPr>
          <w:ilvl w:val="0"/>
          <w:numId w:val="6"/>
        </w:numPr>
        <w:spacing w:beforeLines="50" w:before="156" w:afterLines="50" w:after="156" w:line="440" w:lineRule="exact"/>
        <w:rPr>
          <w:rFonts w:ascii="黑体" w:eastAsia="黑体" w:hAnsi="宋体" w:cs="宋体" w:hint="eastAsia"/>
          <w:bCs/>
          <w:szCs w:val="21"/>
        </w:rPr>
      </w:pPr>
      <w:r>
        <w:rPr>
          <w:rFonts w:ascii="黑体" w:eastAsia="黑体" w:hAnsi="宋体" w:cs="宋体" w:hint="eastAsia"/>
          <w:bCs/>
          <w:szCs w:val="21"/>
        </w:rPr>
        <w:t>与有关法律、行政法规及相关标准的关系</w:t>
      </w:r>
    </w:p>
    <w:p w14:paraId="6E528D9E" w14:textId="77777777" w:rsidR="00875C85" w:rsidRDefault="00000000">
      <w:pPr>
        <w:spacing w:line="440" w:lineRule="exact"/>
        <w:ind w:firstLineChars="200" w:firstLine="420"/>
        <w:rPr>
          <w:rFonts w:ascii="宋体" w:hAnsi="宋体" w:hint="eastAsia"/>
          <w:szCs w:val="21"/>
        </w:rPr>
      </w:pPr>
      <w:r>
        <w:rPr>
          <w:rFonts w:ascii="宋体" w:hAnsi="宋体" w:hint="eastAsia"/>
          <w:szCs w:val="21"/>
        </w:rPr>
        <w:t>本标准符合现行法律、法规的要求，并与其他同类国家标准、国家J用标准、行业标准无冲突、重叠和不协调之处。</w:t>
      </w:r>
    </w:p>
    <w:p w14:paraId="64DA2FDF" w14:textId="77777777" w:rsidR="00875C85" w:rsidRDefault="00000000">
      <w:pPr>
        <w:numPr>
          <w:ilvl w:val="0"/>
          <w:numId w:val="6"/>
        </w:numPr>
        <w:spacing w:beforeLines="50" w:before="156" w:afterLines="50" w:after="156" w:line="440" w:lineRule="exact"/>
      </w:pPr>
      <w:bookmarkStart w:id="2" w:name="_Toc32100"/>
      <w:r>
        <w:rPr>
          <w:rFonts w:ascii="黑体" w:eastAsia="黑体" w:hAnsi="宋体" w:cs="宋体" w:hint="eastAsia"/>
          <w:bCs/>
          <w:szCs w:val="21"/>
        </w:rPr>
        <w:t>重大分歧意见的处理经过和依据</w:t>
      </w:r>
    </w:p>
    <w:p w14:paraId="6F080003" w14:textId="1BF29709" w:rsidR="00875C85" w:rsidRDefault="00000000" w:rsidP="004E0A46">
      <w:pPr>
        <w:spacing w:line="440" w:lineRule="exact"/>
        <w:ind w:firstLineChars="200" w:firstLine="420"/>
      </w:pPr>
      <w:r>
        <w:rPr>
          <w:rFonts w:ascii="宋体" w:hAnsi="宋体" w:hint="eastAsia"/>
          <w:szCs w:val="21"/>
        </w:rPr>
        <w:lastRenderedPageBreak/>
        <w:t>暂无。</w:t>
      </w:r>
    </w:p>
    <w:p w14:paraId="71C50F35" w14:textId="77777777" w:rsidR="00875C85" w:rsidRDefault="00000000">
      <w:pPr>
        <w:spacing w:beforeLines="50" w:before="156" w:afterLines="50" w:after="156" w:line="440" w:lineRule="exact"/>
        <w:rPr>
          <w:rFonts w:ascii="黑体" w:eastAsia="黑体" w:hAnsi="宋体" w:cs="宋体" w:hint="eastAsia"/>
          <w:bCs/>
          <w:szCs w:val="21"/>
        </w:rPr>
      </w:pPr>
      <w:r>
        <w:rPr>
          <w:rFonts w:ascii="黑体" w:eastAsia="黑体" w:hAnsi="宋体" w:cs="宋体" w:hint="eastAsia"/>
          <w:bCs/>
          <w:szCs w:val="21"/>
        </w:rPr>
        <w:t>八、涉及专利的有关说明</w:t>
      </w:r>
    </w:p>
    <w:p w14:paraId="5D347207" w14:textId="7138ED3C" w:rsidR="00875C85" w:rsidRDefault="00000000">
      <w:pPr>
        <w:pStyle w:val="a0"/>
        <w:ind w:firstLineChars="200" w:firstLine="420"/>
        <w:rPr>
          <w:rFonts w:ascii="宋体" w:eastAsiaTheme="minorEastAsia" w:hAnsi="宋体" w:hint="eastAsia"/>
          <w:szCs w:val="21"/>
        </w:rPr>
      </w:pPr>
      <w:r>
        <w:rPr>
          <w:rFonts w:ascii="宋体" w:eastAsiaTheme="minorEastAsia" w:hAnsi="宋体" w:hint="eastAsia"/>
          <w:szCs w:val="21"/>
        </w:rPr>
        <w:t>本标准不涉及专利问题。</w:t>
      </w:r>
    </w:p>
    <w:p w14:paraId="108A9374" w14:textId="77777777" w:rsidR="00875C85" w:rsidRDefault="00000000">
      <w:pPr>
        <w:spacing w:beforeLines="50" w:before="156" w:afterLines="50" w:after="156" w:line="440" w:lineRule="exact"/>
        <w:rPr>
          <w:rFonts w:ascii="黑体" w:eastAsia="黑体" w:hAnsi="宋体" w:cs="宋体" w:hint="eastAsia"/>
          <w:bCs/>
          <w:szCs w:val="21"/>
        </w:rPr>
      </w:pPr>
      <w:bookmarkStart w:id="3" w:name="_Toc15989"/>
      <w:bookmarkEnd w:id="2"/>
      <w:r>
        <w:rPr>
          <w:rFonts w:ascii="黑体" w:eastAsia="黑体" w:hAnsi="宋体" w:cs="宋体" w:hint="eastAsia"/>
          <w:bCs/>
          <w:szCs w:val="21"/>
        </w:rPr>
        <w:t>九、实施国家标准的要求以及组织措施、技术措施、过渡期和实施日期的建议等措施建议</w:t>
      </w:r>
      <w:bookmarkEnd w:id="3"/>
    </w:p>
    <w:p w14:paraId="14C43D44" w14:textId="47301DC3" w:rsidR="004E0A46" w:rsidRDefault="004E0A46" w:rsidP="004E0A46">
      <w:pPr>
        <w:ind w:firstLine="420"/>
        <w:contextualSpacing/>
        <w:rPr>
          <w:rFonts w:ascii="Times New Roman" w:eastAsia="宋体" w:hAnsi="Times New Roman" w:cs="Times New Roman"/>
          <w:szCs w:val="21"/>
        </w:rPr>
      </w:pPr>
      <w:bookmarkStart w:id="4" w:name="_Toc15588"/>
      <w:r>
        <w:rPr>
          <w:rFonts w:ascii="Times New Roman" w:eastAsia="宋体" w:hAnsi="Times New Roman" w:cs="Times New Roman"/>
          <w:szCs w:val="21"/>
        </w:rPr>
        <w:t>本标准是</w:t>
      </w:r>
      <w:r>
        <w:rPr>
          <w:rFonts w:ascii="Times New Roman" w:hAnsi="Times New Roman" w:cs="Times New Roman" w:hint="eastAsia"/>
          <w:szCs w:val="20"/>
        </w:rPr>
        <w:t>铜加工熔铸领域零排放和循环利用</w:t>
      </w:r>
      <w:r>
        <w:rPr>
          <w:rFonts w:ascii="Times New Roman" w:eastAsia="宋体" w:hAnsi="Times New Roman" w:cs="Times New Roman"/>
          <w:szCs w:val="21"/>
        </w:rPr>
        <w:t>的通用标准，建议作为推荐性行业标准发布。</w:t>
      </w:r>
    </w:p>
    <w:p w14:paraId="3EFCC7AB" w14:textId="77777777" w:rsidR="00875C85" w:rsidRDefault="00000000">
      <w:pPr>
        <w:spacing w:line="440" w:lineRule="exact"/>
        <w:ind w:firstLineChars="200" w:firstLine="420"/>
        <w:rPr>
          <w:rFonts w:ascii="黑体" w:eastAsia="黑体" w:hAnsi="宋体" w:cs="宋体" w:hint="eastAsia"/>
          <w:bCs/>
          <w:szCs w:val="21"/>
        </w:rPr>
      </w:pPr>
      <w:r>
        <w:rPr>
          <w:rFonts w:ascii="黑体" w:eastAsia="黑体" w:hAnsi="宋体" w:cs="宋体" w:hint="eastAsia"/>
          <w:bCs/>
          <w:szCs w:val="21"/>
        </w:rPr>
        <w:t>贯彻标准的要求和措施建议</w:t>
      </w:r>
      <w:bookmarkEnd w:id="4"/>
    </w:p>
    <w:p w14:paraId="64CB4A4C" w14:textId="7ECB53E3" w:rsidR="00875C85" w:rsidRPr="00545841" w:rsidRDefault="00000000" w:rsidP="00545841">
      <w:pPr>
        <w:pStyle w:val="af2"/>
        <w:ind w:firstLine="420"/>
        <w:contextualSpacing/>
        <w:rPr>
          <w:rFonts w:ascii="Times New Roman"/>
          <w:szCs w:val="21"/>
        </w:rPr>
      </w:pPr>
      <w:r>
        <w:rPr>
          <w:rFonts w:hAnsi="宋体" w:cs="宋体" w:hint="eastAsia"/>
          <w:szCs w:val="21"/>
        </w:rPr>
        <w:t>——组织措施</w:t>
      </w:r>
      <w:r w:rsidR="00545841">
        <w:rPr>
          <w:rFonts w:hAnsi="宋体" w:cs="宋体" w:hint="eastAsia"/>
          <w:szCs w:val="21"/>
        </w:rPr>
        <w:t>：</w:t>
      </w:r>
      <w:r w:rsidR="00545841">
        <w:rPr>
          <w:rFonts w:ascii="Times New Roman" w:hint="eastAsia"/>
          <w:szCs w:val="21"/>
        </w:rPr>
        <w:t>为使标准能更好地发挥作用，提高铜及铜合金加工生产企业的熔铸冷却水零排放和循环利用水平，建议针对本标准制订切实可行的贯彻措施，做好宣传培训工作，使各相关单位充分掌握标准中所规定的内容，并加强示范推广，让标准在节能环保中得以广泛应用。同时，对标准执行情况进行跟踪调查，及时发现标准执行中的问题，不断修改完善，提升标准水平，提高标准的科学性、合理性、协调性和可操作性，以保证产品质量，满足铜加工熔铸领域的需要。</w:t>
      </w:r>
    </w:p>
    <w:p w14:paraId="30F40634" w14:textId="633CD0B0" w:rsidR="00875C85" w:rsidRDefault="00000000" w:rsidP="00545841">
      <w:pPr>
        <w:pStyle w:val="af2"/>
        <w:ind w:firstLine="420"/>
        <w:contextualSpacing/>
        <w:rPr>
          <w:rFonts w:hAnsi="宋体" w:cs="宋体" w:hint="eastAsia"/>
          <w:szCs w:val="21"/>
        </w:rPr>
      </w:pPr>
      <w:r>
        <w:rPr>
          <w:rFonts w:hAnsi="宋体" w:cs="宋体" w:hint="eastAsia"/>
          <w:szCs w:val="21"/>
        </w:rPr>
        <w:t>——技术措施</w:t>
      </w:r>
      <w:r w:rsidR="00545841">
        <w:rPr>
          <w:rFonts w:hAnsi="宋体" w:cs="宋体" w:hint="eastAsia"/>
          <w:szCs w:val="21"/>
        </w:rPr>
        <w:t>：通过专家培训、公众号发布标准解读文章等措施进行宣贯执行。对于标准使用过程中出现的问题，标委会及起草单位有义务进行必应的解释说明。</w:t>
      </w:r>
    </w:p>
    <w:p w14:paraId="7611A273" w14:textId="595E3628" w:rsidR="00875C85" w:rsidRDefault="00000000" w:rsidP="00545841">
      <w:pPr>
        <w:ind w:firstLineChars="200" w:firstLine="420"/>
        <w:contextualSpacing/>
        <w:rPr>
          <w:rFonts w:ascii="宋体" w:hAnsi="宋体" w:cs="宋体" w:hint="eastAsia"/>
          <w:szCs w:val="21"/>
        </w:rPr>
      </w:pPr>
      <w:r w:rsidRPr="00545841">
        <w:rPr>
          <w:rFonts w:ascii="Times New Roman" w:eastAsia="宋体" w:hAnsi="Times New Roman" w:cs="Times New Roman" w:hint="eastAsia"/>
          <w:kern w:val="0"/>
          <w:szCs w:val="21"/>
        </w:rPr>
        <w:t>——过度办法</w:t>
      </w:r>
      <w:r w:rsidR="00D409A1" w:rsidRPr="00545841">
        <w:rPr>
          <w:rFonts w:ascii="Times New Roman" w:eastAsia="宋体" w:hAnsi="Times New Roman" w:cs="Times New Roman" w:hint="eastAsia"/>
          <w:kern w:val="0"/>
          <w:szCs w:val="21"/>
        </w:rPr>
        <w:t>：建议本标准批准发布</w:t>
      </w:r>
      <w:r w:rsidR="00D409A1" w:rsidRPr="00545841">
        <w:rPr>
          <w:rFonts w:ascii="Times New Roman" w:eastAsia="宋体" w:hAnsi="Times New Roman" w:cs="Times New Roman" w:hint="eastAsia"/>
          <w:kern w:val="0"/>
          <w:szCs w:val="21"/>
        </w:rPr>
        <w:t>6</w:t>
      </w:r>
      <w:r w:rsidR="00D409A1" w:rsidRPr="00545841">
        <w:rPr>
          <w:rFonts w:ascii="Times New Roman" w:eastAsia="宋体" w:hAnsi="Times New Roman" w:cs="Times New Roman" w:hint="eastAsia"/>
          <w:kern w:val="0"/>
          <w:szCs w:val="21"/>
        </w:rPr>
        <w:t>个月后实施。本标准发布实施之日起，代替</w:t>
      </w:r>
      <w:r w:rsidR="00D409A1" w:rsidRPr="00545841">
        <w:rPr>
          <w:rFonts w:ascii="Times New Roman" w:eastAsia="宋体" w:hAnsi="Times New Roman" w:cs="Times New Roman" w:hint="eastAsia"/>
          <w:kern w:val="0"/>
          <w:szCs w:val="21"/>
        </w:rPr>
        <w:t>GB/T 2</w:t>
      </w:r>
      <w:r w:rsidR="00545841" w:rsidRPr="00545841">
        <w:rPr>
          <w:rFonts w:ascii="Times New Roman" w:eastAsia="宋体" w:hAnsi="Times New Roman" w:cs="Times New Roman" w:hint="eastAsia"/>
          <w:kern w:val="0"/>
          <w:szCs w:val="21"/>
        </w:rPr>
        <w:t>7681</w:t>
      </w:r>
      <w:r w:rsidR="00D409A1" w:rsidRPr="00545841">
        <w:rPr>
          <w:rFonts w:ascii="Times New Roman" w:eastAsia="宋体" w:hAnsi="Times New Roman" w:cs="Times New Roman" w:hint="eastAsia"/>
          <w:kern w:val="0"/>
          <w:szCs w:val="21"/>
        </w:rPr>
        <w:t>-201</w:t>
      </w:r>
      <w:r w:rsidR="00545841" w:rsidRPr="00545841">
        <w:rPr>
          <w:rFonts w:ascii="Times New Roman" w:eastAsia="宋体" w:hAnsi="Times New Roman" w:cs="Times New Roman" w:hint="eastAsia"/>
          <w:kern w:val="0"/>
          <w:szCs w:val="21"/>
        </w:rPr>
        <w:t>1</w:t>
      </w:r>
      <w:r w:rsidR="00D409A1" w:rsidRPr="00545841">
        <w:rPr>
          <w:rFonts w:ascii="Times New Roman" w:eastAsia="宋体" w:hAnsi="Times New Roman" w:cs="Times New Roman" w:hint="eastAsia"/>
          <w:kern w:val="0"/>
          <w:szCs w:val="21"/>
        </w:rPr>
        <w:t>《铜及铜合金熔铸冷却水零排放和循环利用规范》</w:t>
      </w:r>
      <w:r w:rsidR="00545841">
        <w:rPr>
          <w:rFonts w:hAnsi="宋体" w:cs="宋体" w:hint="eastAsia"/>
          <w:szCs w:val="21"/>
        </w:rPr>
        <w:t>。</w:t>
      </w:r>
    </w:p>
    <w:p w14:paraId="3801584C" w14:textId="77777777" w:rsidR="00875C85" w:rsidRPr="006556F2" w:rsidRDefault="00000000">
      <w:pPr>
        <w:numPr>
          <w:ilvl w:val="0"/>
          <w:numId w:val="7"/>
        </w:numPr>
        <w:spacing w:beforeLines="50" w:before="156" w:afterLines="50" w:after="156" w:line="440" w:lineRule="exact"/>
        <w:rPr>
          <w:rFonts w:ascii="黑体" w:eastAsia="黑体" w:hAnsi="宋体" w:cs="宋体"/>
          <w:bCs/>
          <w:szCs w:val="21"/>
        </w:rPr>
      </w:pPr>
      <w:bookmarkStart w:id="5" w:name="_Toc22451"/>
      <w:r>
        <w:rPr>
          <w:rFonts w:ascii="黑体" w:eastAsia="黑体" w:hAnsi="宋体" w:cs="宋体" w:hint="eastAsia"/>
          <w:bCs/>
          <w:szCs w:val="21"/>
        </w:rPr>
        <w:t>公平竞争审查</w:t>
      </w:r>
    </w:p>
    <w:p w14:paraId="7BF91EBE" w14:textId="77777777" w:rsidR="00545841" w:rsidRPr="00545841" w:rsidRDefault="00000000" w:rsidP="00545841">
      <w:pPr>
        <w:pStyle w:val="a0"/>
        <w:ind w:firstLineChars="200" w:firstLine="420"/>
        <w:rPr>
          <w:rFonts w:ascii="宋体" w:eastAsia="宋体" w:hAnsi="宋体" w:cs="宋体" w:hint="eastAsia"/>
          <w:kern w:val="0"/>
          <w:szCs w:val="21"/>
        </w:rPr>
      </w:pPr>
      <w:r w:rsidRPr="00545841">
        <w:rPr>
          <w:rFonts w:ascii="宋体" w:eastAsia="宋体" w:hAnsi="宋体" w:cs="宋体" w:hint="eastAsia"/>
          <w:kern w:val="0"/>
          <w:szCs w:val="21"/>
        </w:rPr>
        <w:t>本标准研制过程中，开展了公平竞争审查，经对照，没有发现限制或者变相限制市场准入和退出，没有限制商品要素的自由流动、不影响生产经营成本以及生产经营行为。同时填写了《公平竞争审查》。</w:t>
      </w:r>
    </w:p>
    <w:bookmarkEnd w:id="5"/>
    <w:p w14:paraId="418DEBD7" w14:textId="77777777" w:rsidR="00545841" w:rsidRDefault="00545841" w:rsidP="00545841">
      <w:pPr>
        <w:spacing w:beforeLines="50" w:before="156" w:afterLines="50" w:after="156" w:line="440" w:lineRule="exact"/>
        <w:rPr>
          <w:rFonts w:ascii="黑体" w:eastAsia="黑体" w:hAnsi="宋体" w:cs="宋体" w:hint="eastAsia"/>
          <w:bCs/>
          <w:szCs w:val="21"/>
        </w:rPr>
      </w:pPr>
      <w:r>
        <w:rPr>
          <w:rFonts w:ascii="黑体" w:eastAsia="黑体" w:hAnsi="宋体" w:cs="宋体" w:hint="eastAsia"/>
          <w:bCs/>
          <w:szCs w:val="21"/>
        </w:rPr>
        <w:t>十一、其他应当说明的事项。</w:t>
      </w:r>
    </w:p>
    <w:p w14:paraId="091F4987" w14:textId="10F729BF" w:rsidR="00875C85" w:rsidRDefault="00000000">
      <w:pPr>
        <w:spacing w:line="440" w:lineRule="exact"/>
        <w:ind w:firstLineChars="200" w:firstLine="420"/>
        <w:rPr>
          <w:rFonts w:ascii="宋体" w:hAnsi="宋体" w:cs="宋体" w:hint="eastAsia"/>
          <w:szCs w:val="21"/>
        </w:rPr>
      </w:pPr>
      <w:r>
        <w:rPr>
          <w:rFonts w:ascii="宋体" w:hAnsi="宋体" w:cs="宋体" w:hint="eastAsia"/>
          <w:szCs w:val="21"/>
        </w:rPr>
        <w:t>无。</w:t>
      </w:r>
    </w:p>
    <w:p w14:paraId="55607B84" w14:textId="55F49957" w:rsidR="00875C85" w:rsidRDefault="00000000">
      <w:pPr>
        <w:spacing w:line="440" w:lineRule="exact"/>
        <w:jc w:val="right"/>
        <w:rPr>
          <w:rFonts w:ascii="宋体" w:eastAsia="宋体" w:hAnsi="宋体" w:hint="eastAsia"/>
          <w:szCs w:val="21"/>
        </w:rPr>
      </w:pPr>
      <w:r>
        <w:rPr>
          <w:rFonts w:hint="eastAsia"/>
          <w:szCs w:val="21"/>
        </w:rPr>
        <w:t>《</w:t>
      </w:r>
      <w:r w:rsidR="00545841" w:rsidRPr="00545841">
        <w:rPr>
          <w:rFonts w:ascii="Times New Roman" w:eastAsia="宋体" w:hAnsi="Times New Roman" w:cs="Times New Roman" w:hint="eastAsia"/>
          <w:kern w:val="0"/>
          <w:szCs w:val="21"/>
        </w:rPr>
        <w:t>铜及铜合金熔铸冷却水零排放和循环利用规范</w:t>
      </w:r>
      <w:r>
        <w:rPr>
          <w:rFonts w:hint="eastAsia"/>
          <w:szCs w:val="21"/>
        </w:rPr>
        <w:t>》</w:t>
      </w:r>
      <w:r>
        <w:rPr>
          <w:rFonts w:ascii="宋体" w:eastAsia="宋体" w:hAnsi="宋体" w:hint="eastAsia"/>
          <w:szCs w:val="21"/>
        </w:rPr>
        <w:t>编制组</w:t>
      </w:r>
    </w:p>
    <w:p w14:paraId="46AA47E4" w14:textId="3F5D48D8" w:rsidR="00545841" w:rsidRPr="00433C64" w:rsidRDefault="00545841" w:rsidP="00433C64">
      <w:pPr>
        <w:contextualSpacing/>
        <w:jc w:val="right"/>
        <w:rPr>
          <w:rFonts w:ascii="宋体" w:eastAsia="宋体" w:hAnsi="宋体" w:hint="eastAsia"/>
          <w:szCs w:val="21"/>
        </w:rPr>
      </w:pPr>
      <w:r>
        <w:rPr>
          <w:rFonts w:ascii="宋体" w:eastAsia="宋体" w:hAnsi="宋体" w:hint="eastAsia"/>
          <w:szCs w:val="21"/>
        </w:rPr>
        <w:t>2026年03月</w:t>
      </w:r>
    </w:p>
    <w:p w14:paraId="5EDE8193" w14:textId="340A7A00" w:rsidR="00875C85" w:rsidRDefault="00875C85">
      <w:pPr>
        <w:spacing w:beforeLines="100" w:before="312" w:line="440" w:lineRule="exact"/>
        <w:jc w:val="right"/>
        <w:rPr>
          <w:rFonts w:ascii="宋体" w:eastAsia="宋体" w:hAnsi="宋体" w:hint="eastAsia"/>
          <w:szCs w:val="21"/>
        </w:rPr>
      </w:pPr>
    </w:p>
    <w:sectPr w:rsidR="00875C85">
      <w:pgSz w:w="11906" w:h="16838"/>
      <w:pgMar w:top="1440" w:right="1780" w:bottom="1440" w:left="17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9F0784"/>
    <w:multiLevelType w:val="singleLevel"/>
    <w:tmpl w:val="DA9F0784"/>
    <w:lvl w:ilvl="0">
      <w:start w:val="5"/>
      <w:numFmt w:val="chineseCounting"/>
      <w:suff w:val="nothing"/>
      <w:lvlText w:val="%1、"/>
      <w:lvlJc w:val="left"/>
      <w:rPr>
        <w:rFonts w:hint="eastAsia"/>
      </w:rPr>
    </w:lvl>
  </w:abstractNum>
  <w:abstractNum w:abstractNumId="1" w15:restartNumberingAfterBreak="0">
    <w:nsid w:val="F116BB8D"/>
    <w:multiLevelType w:val="singleLevel"/>
    <w:tmpl w:val="F116BB8D"/>
    <w:lvl w:ilvl="0">
      <w:start w:val="1"/>
      <w:numFmt w:val="chineseCounting"/>
      <w:suff w:val="nothing"/>
      <w:lvlText w:val="（%1）"/>
      <w:lvlJc w:val="left"/>
      <w:rPr>
        <w:rFonts w:hint="eastAsia"/>
      </w:rPr>
    </w:lvl>
  </w:abstractNum>
  <w:abstractNum w:abstractNumId="2" w15:restartNumberingAfterBreak="0">
    <w:nsid w:val="0B4D46DE"/>
    <w:multiLevelType w:val="multilevel"/>
    <w:tmpl w:val="DAFA42FC"/>
    <w:lvl w:ilvl="0">
      <w:start w:val="3"/>
      <w:numFmt w:val="decimal"/>
      <w:lvlText w:val="%1"/>
      <w:lvlJc w:val="left"/>
      <w:pPr>
        <w:ind w:left="525" w:hanging="525"/>
      </w:pPr>
      <w:rPr>
        <w:rFonts w:hint="default"/>
      </w:rPr>
    </w:lvl>
    <w:lvl w:ilvl="1">
      <w:start w:val="2"/>
      <w:numFmt w:val="decimal"/>
      <w:lvlText w:val="%1.%2"/>
      <w:lvlJc w:val="left"/>
      <w:pPr>
        <w:ind w:left="735" w:hanging="525"/>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3" w15:restartNumberingAfterBreak="0">
    <w:nsid w:val="0E2B40FB"/>
    <w:multiLevelType w:val="singleLevel"/>
    <w:tmpl w:val="0E2B40FB"/>
    <w:lvl w:ilvl="0">
      <w:start w:val="1"/>
      <w:numFmt w:val="upperLetter"/>
      <w:lvlText w:val="%1."/>
      <w:lvlJc w:val="left"/>
      <w:pPr>
        <w:tabs>
          <w:tab w:val="left" w:pos="312"/>
        </w:tabs>
      </w:pPr>
    </w:lvl>
  </w:abstractNum>
  <w:abstractNum w:abstractNumId="4" w15:restartNumberingAfterBreak="0">
    <w:nsid w:val="11D898E2"/>
    <w:multiLevelType w:val="singleLevel"/>
    <w:tmpl w:val="11D898E2"/>
    <w:lvl w:ilvl="0">
      <w:start w:val="10"/>
      <w:numFmt w:val="chineseCounting"/>
      <w:suff w:val="nothing"/>
      <w:lvlText w:val="%1、"/>
      <w:lvlJc w:val="left"/>
      <w:rPr>
        <w:rFonts w:hint="eastAsia"/>
      </w:rPr>
    </w:lvl>
  </w:abstractNum>
  <w:abstractNum w:abstractNumId="5" w15:restartNumberingAfterBreak="0">
    <w:nsid w:val="20CDE2E5"/>
    <w:multiLevelType w:val="singleLevel"/>
    <w:tmpl w:val="20CDE2E5"/>
    <w:lvl w:ilvl="0">
      <w:start w:val="1"/>
      <w:numFmt w:val="decimal"/>
      <w:lvlText w:val="%1."/>
      <w:lvlJc w:val="left"/>
      <w:pPr>
        <w:ind w:left="425" w:hanging="425"/>
      </w:pPr>
      <w:rPr>
        <w:rFonts w:hint="default"/>
      </w:rPr>
    </w:lvl>
  </w:abstractNum>
  <w:abstractNum w:abstractNumId="6" w15:restartNumberingAfterBreak="0">
    <w:nsid w:val="3F0277D1"/>
    <w:multiLevelType w:val="multilevel"/>
    <w:tmpl w:val="D2D023F6"/>
    <w:lvl w:ilvl="0">
      <w:start w:val="3"/>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4916F4FC"/>
    <w:multiLevelType w:val="singleLevel"/>
    <w:tmpl w:val="4916F4FC"/>
    <w:lvl w:ilvl="0">
      <w:start w:val="3"/>
      <w:numFmt w:val="chineseCounting"/>
      <w:suff w:val="nothing"/>
      <w:lvlText w:val="%1、"/>
      <w:lvlJc w:val="left"/>
      <w:rPr>
        <w:rFonts w:hint="eastAsia"/>
      </w:rPr>
    </w:lvl>
  </w:abstractNum>
  <w:abstractNum w:abstractNumId="8" w15:restartNumberingAfterBreak="0">
    <w:nsid w:val="6CF135D7"/>
    <w:multiLevelType w:val="multilevel"/>
    <w:tmpl w:val="6018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657C17"/>
    <w:multiLevelType w:val="singleLevel"/>
    <w:tmpl w:val="75657C17"/>
    <w:lvl w:ilvl="0">
      <w:start w:val="3"/>
      <w:numFmt w:val="decimal"/>
      <w:suff w:val="nothing"/>
      <w:lvlText w:val="%1、"/>
      <w:lvlJc w:val="left"/>
    </w:lvl>
  </w:abstractNum>
  <w:num w:numId="1" w16cid:durableId="1602182571">
    <w:abstractNumId w:val="5"/>
  </w:num>
  <w:num w:numId="2" w16cid:durableId="1456561434">
    <w:abstractNumId w:val="3"/>
  </w:num>
  <w:num w:numId="3" w16cid:durableId="467432314">
    <w:abstractNumId w:val="9"/>
  </w:num>
  <w:num w:numId="4" w16cid:durableId="140082867">
    <w:abstractNumId w:val="7"/>
  </w:num>
  <w:num w:numId="5" w16cid:durableId="926960165">
    <w:abstractNumId w:val="1"/>
  </w:num>
  <w:num w:numId="6" w16cid:durableId="819538748">
    <w:abstractNumId w:val="0"/>
  </w:num>
  <w:num w:numId="7" w16cid:durableId="1596130412">
    <w:abstractNumId w:val="4"/>
  </w:num>
  <w:num w:numId="8" w16cid:durableId="1849907206">
    <w:abstractNumId w:val="6"/>
  </w:num>
  <w:num w:numId="9" w16cid:durableId="435054778">
    <w:abstractNumId w:val="2"/>
  </w:num>
  <w:num w:numId="10" w16cid:durableId="51973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MxNGEzNDk1ZjY1ZDdlOWU3ZmFiZDlhOTM4NTZhMjEifQ=="/>
  </w:docVars>
  <w:rsids>
    <w:rsidRoot w:val="0049152D"/>
    <w:rsid w:val="00000899"/>
    <w:rsid w:val="00002C81"/>
    <w:rsid w:val="0000483E"/>
    <w:rsid w:val="0000533A"/>
    <w:rsid w:val="00005AB0"/>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1DED"/>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64F0"/>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276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3D95"/>
    <w:rsid w:val="001C5F5B"/>
    <w:rsid w:val="001C63FA"/>
    <w:rsid w:val="001C6400"/>
    <w:rsid w:val="001C64E2"/>
    <w:rsid w:val="001D1CBF"/>
    <w:rsid w:val="001D29BF"/>
    <w:rsid w:val="001D2E17"/>
    <w:rsid w:val="001D39E0"/>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5464"/>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2706"/>
    <w:rsid w:val="00233226"/>
    <w:rsid w:val="00233A1C"/>
    <w:rsid w:val="0023455B"/>
    <w:rsid w:val="00234F74"/>
    <w:rsid w:val="00234FE4"/>
    <w:rsid w:val="00235328"/>
    <w:rsid w:val="002356F0"/>
    <w:rsid w:val="00240E23"/>
    <w:rsid w:val="00241F08"/>
    <w:rsid w:val="00246A1A"/>
    <w:rsid w:val="00251FCE"/>
    <w:rsid w:val="002531B1"/>
    <w:rsid w:val="0025380C"/>
    <w:rsid w:val="002546EF"/>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31C"/>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BA0"/>
    <w:rsid w:val="002E3C9C"/>
    <w:rsid w:val="002E7402"/>
    <w:rsid w:val="002E743E"/>
    <w:rsid w:val="002F0868"/>
    <w:rsid w:val="002F0A63"/>
    <w:rsid w:val="002F18EC"/>
    <w:rsid w:val="002F3995"/>
    <w:rsid w:val="002F3E1F"/>
    <w:rsid w:val="002F3FA9"/>
    <w:rsid w:val="002F4638"/>
    <w:rsid w:val="002F47B1"/>
    <w:rsid w:val="002F56D7"/>
    <w:rsid w:val="002F6351"/>
    <w:rsid w:val="002F6E9F"/>
    <w:rsid w:val="002F7378"/>
    <w:rsid w:val="00300AFD"/>
    <w:rsid w:val="00301047"/>
    <w:rsid w:val="00302486"/>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471F"/>
    <w:rsid w:val="00405969"/>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C66"/>
    <w:rsid w:val="00425D82"/>
    <w:rsid w:val="004261BD"/>
    <w:rsid w:val="00427873"/>
    <w:rsid w:val="00430126"/>
    <w:rsid w:val="004301D5"/>
    <w:rsid w:val="004304B8"/>
    <w:rsid w:val="00432144"/>
    <w:rsid w:val="00433C6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663"/>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D4E52"/>
    <w:rsid w:val="004E0A46"/>
    <w:rsid w:val="004E166F"/>
    <w:rsid w:val="004E1E35"/>
    <w:rsid w:val="004E353D"/>
    <w:rsid w:val="004E4B54"/>
    <w:rsid w:val="004E5227"/>
    <w:rsid w:val="004E555F"/>
    <w:rsid w:val="004E6E7F"/>
    <w:rsid w:val="004E6F4B"/>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6EE4"/>
    <w:rsid w:val="005276A6"/>
    <w:rsid w:val="00531DC8"/>
    <w:rsid w:val="00532265"/>
    <w:rsid w:val="0053392A"/>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5841"/>
    <w:rsid w:val="005464CA"/>
    <w:rsid w:val="00550C8A"/>
    <w:rsid w:val="00550D1E"/>
    <w:rsid w:val="00552199"/>
    <w:rsid w:val="0055331E"/>
    <w:rsid w:val="005562D8"/>
    <w:rsid w:val="00557088"/>
    <w:rsid w:val="00561B33"/>
    <w:rsid w:val="00563071"/>
    <w:rsid w:val="005652D7"/>
    <w:rsid w:val="00573390"/>
    <w:rsid w:val="005757B3"/>
    <w:rsid w:val="005773E1"/>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5A27"/>
    <w:rsid w:val="005B6AD4"/>
    <w:rsid w:val="005B6B92"/>
    <w:rsid w:val="005B7284"/>
    <w:rsid w:val="005C0088"/>
    <w:rsid w:val="005C0357"/>
    <w:rsid w:val="005C0611"/>
    <w:rsid w:val="005C0980"/>
    <w:rsid w:val="005C0D65"/>
    <w:rsid w:val="005C0EE2"/>
    <w:rsid w:val="005C14A3"/>
    <w:rsid w:val="005C153A"/>
    <w:rsid w:val="005C1E43"/>
    <w:rsid w:val="005C39E7"/>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31E4"/>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5907"/>
    <w:rsid w:val="0061668E"/>
    <w:rsid w:val="00616F62"/>
    <w:rsid w:val="006170F3"/>
    <w:rsid w:val="0061742C"/>
    <w:rsid w:val="006179B6"/>
    <w:rsid w:val="00621FD6"/>
    <w:rsid w:val="00624E56"/>
    <w:rsid w:val="00625A71"/>
    <w:rsid w:val="00627441"/>
    <w:rsid w:val="00627E35"/>
    <w:rsid w:val="006316F9"/>
    <w:rsid w:val="006325B0"/>
    <w:rsid w:val="0063264C"/>
    <w:rsid w:val="006328AF"/>
    <w:rsid w:val="006331CE"/>
    <w:rsid w:val="00633980"/>
    <w:rsid w:val="00633EE8"/>
    <w:rsid w:val="006350C0"/>
    <w:rsid w:val="00636185"/>
    <w:rsid w:val="0063664A"/>
    <w:rsid w:val="0063792B"/>
    <w:rsid w:val="006425BC"/>
    <w:rsid w:val="00644904"/>
    <w:rsid w:val="00644D8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56F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173A"/>
    <w:rsid w:val="00684FD0"/>
    <w:rsid w:val="00686291"/>
    <w:rsid w:val="00686FA4"/>
    <w:rsid w:val="00691E65"/>
    <w:rsid w:val="00691EA1"/>
    <w:rsid w:val="00693886"/>
    <w:rsid w:val="00693D05"/>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123"/>
    <w:rsid w:val="006F3591"/>
    <w:rsid w:val="006F7B7C"/>
    <w:rsid w:val="0070002A"/>
    <w:rsid w:val="00700DAE"/>
    <w:rsid w:val="007015A1"/>
    <w:rsid w:val="0070297A"/>
    <w:rsid w:val="00704090"/>
    <w:rsid w:val="00706102"/>
    <w:rsid w:val="00711461"/>
    <w:rsid w:val="0071373D"/>
    <w:rsid w:val="00713758"/>
    <w:rsid w:val="00713AEF"/>
    <w:rsid w:val="00715907"/>
    <w:rsid w:val="00720307"/>
    <w:rsid w:val="00722D85"/>
    <w:rsid w:val="007236C0"/>
    <w:rsid w:val="00724361"/>
    <w:rsid w:val="00724564"/>
    <w:rsid w:val="007255E3"/>
    <w:rsid w:val="007265F0"/>
    <w:rsid w:val="007269E3"/>
    <w:rsid w:val="00732460"/>
    <w:rsid w:val="00733D7B"/>
    <w:rsid w:val="007348FF"/>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85F57"/>
    <w:rsid w:val="007908DE"/>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2DFF"/>
    <w:rsid w:val="008755BA"/>
    <w:rsid w:val="00875C85"/>
    <w:rsid w:val="00881208"/>
    <w:rsid w:val="00884FC6"/>
    <w:rsid w:val="0089080C"/>
    <w:rsid w:val="00890C8E"/>
    <w:rsid w:val="00895D8D"/>
    <w:rsid w:val="00896266"/>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E78"/>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7734E"/>
    <w:rsid w:val="00980B13"/>
    <w:rsid w:val="00980F6D"/>
    <w:rsid w:val="00982E2D"/>
    <w:rsid w:val="00982F94"/>
    <w:rsid w:val="00983EDA"/>
    <w:rsid w:val="00985422"/>
    <w:rsid w:val="00985E9D"/>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07677"/>
    <w:rsid w:val="00A11CA2"/>
    <w:rsid w:val="00A12756"/>
    <w:rsid w:val="00A13D77"/>
    <w:rsid w:val="00A1573B"/>
    <w:rsid w:val="00A15EFB"/>
    <w:rsid w:val="00A230A8"/>
    <w:rsid w:val="00A246A8"/>
    <w:rsid w:val="00A2660D"/>
    <w:rsid w:val="00A26E13"/>
    <w:rsid w:val="00A2730C"/>
    <w:rsid w:val="00A27CF3"/>
    <w:rsid w:val="00A300A5"/>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8D1"/>
    <w:rsid w:val="00B80F2E"/>
    <w:rsid w:val="00B829AB"/>
    <w:rsid w:val="00B82F45"/>
    <w:rsid w:val="00B83405"/>
    <w:rsid w:val="00B83F20"/>
    <w:rsid w:val="00B84E6B"/>
    <w:rsid w:val="00B86A84"/>
    <w:rsid w:val="00B87AD2"/>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C721A"/>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0E6B"/>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36FE"/>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3B1"/>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2B95"/>
    <w:rsid w:val="00CE3A9F"/>
    <w:rsid w:val="00CE3BA2"/>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09A1"/>
    <w:rsid w:val="00D42141"/>
    <w:rsid w:val="00D42448"/>
    <w:rsid w:val="00D42D11"/>
    <w:rsid w:val="00D430A0"/>
    <w:rsid w:val="00D44EEB"/>
    <w:rsid w:val="00D45141"/>
    <w:rsid w:val="00D4564B"/>
    <w:rsid w:val="00D47251"/>
    <w:rsid w:val="00D50B05"/>
    <w:rsid w:val="00D513C2"/>
    <w:rsid w:val="00D51EB8"/>
    <w:rsid w:val="00D53469"/>
    <w:rsid w:val="00D537DB"/>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04AF"/>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97B3C"/>
    <w:rsid w:val="00EA0463"/>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5A5A"/>
    <w:rsid w:val="00F16179"/>
    <w:rsid w:val="00F17F04"/>
    <w:rsid w:val="00F20246"/>
    <w:rsid w:val="00F22756"/>
    <w:rsid w:val="00F233D8"/>
    <w:rsid w:val="00F2417D"/>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53C1A4C"/>
    <w:rsid w:val="070B5632"/>
    <w:rsid w:val="0C482343"/>
    <w:rsid w:val="16D05547"/>
    <w:rsid w:val="18704CB4"/>
    <w:rsid w:val="192E28F8"/>
    <w:rsid w:val="22C80A1D"/>
    <w:rsid w:val="234A45D7"/>
    <w:rsid w:val="28E92B74"/>
    <w:rsid w:val="2AF42FD1"/>
    <w:rsid w:val="2CF17ED9"/>
    <w:rsid w:val="2D491F9E"/>
    <w:rsid w:val="2DD6396D"/>
    <w:rsid w:val="2EE3075D"/>
    <w:rsid w:val="2F20599A"/>
    <w:rsid w:val="2FE50BA9"/>
    <w:rsid w:val="317F0BCA"/>
    <w:rsid w:val="32832A04"/>
    <w:rsid w:val="391C28EE"/>
    <w:rsid w:val="3A6C3919"/>
    <w:rsid w:val="3B7A0F58"/>
    <w:rsid w:val="3C672EE2"/>
    <w:rsid w:val="48960B41"/>
    <w:rsid w:val="493733B5"/>
    <w:rsid w:val="49EC224C"/>
    <w:rsid w:val="4C4C62F7"/>
    <w:rsid w:val="4FD37F56"/>
    <w:rsid w:val="50CE10DD"/>
    <w:rsid w:val="6B3E697D"/>
    <w:rsid w:val="6E3C6504"/>
    <w:rsid w:val="6F3335BA"/>
    <w:rsid w:val="6FEE7313"/>
    <w:rsid w:val="76A76695"/>
    <w:rsid w:val="76E521D9"/>
    <w:rsid w:val="7A241826"/>
    <w:rsid w:val="7B82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20C5B"/>
  <w15:docId w15:val="{642BD8BE-B1C1-4974-9769-6A7E7FF7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rPr>
      <w:rFonts w:eastAsia="仿宋_GB2312"/>
    </w:rPr>
  </w:style>
  <w:style w:type="paragraph" w:styleId="a4">
    <w:name w:val="annotation text"/>
    <w:basedOn w:val="a"/>
    <w:link w:val="a5"/>
    <w:qFormat/>
    <w:pPr>
      <w:spacing w:line="360" w:lineRule="auto"/>
      <w:jc w:val="left"/>
    </w:pPr>
    <w:rPr>
      <w:rFonts w:ascii="宋体" w:eastAsia="宋体" w:hAnsi="宋体" w:cs="Times New Roman"/>
      <w:szCs w:val="24"/>
    </w:rPr>
  </w:style>
  <w:style w:type="paragraph" w:styleId="a6">
    <w:name w:val="Body Text Indent"/>
    <w:basedOn w:val="a"/>
    <w:link w:val="a7"/>
    <w:qFormat/>
    <w:pPr>
      <w:ind w:firstLine="420"/>
    </w:pPr>
    <w:rPr>
      <w:rFonts w:ascii="Times New Roman" w:eastAsia="宋体" w:hAnsi="Times New Roman" w:cs="Times New Roman"/>
      <w:sz w:val="24"/>
      <w:szCs w:val="24"/>
    </w:rPr>
  </w:style>
  <w:style w:type="paragraph" w:styleId="a8">
    <w:name w:val="Balloon Text"/>
    <w:basedOn w:val="a"/>
    <w:link w:val="a9"/>
    <w:uiPriority w:val="99"/>
    <w:semiHidden/>
    <w:unhideWhenUsed/>
    <w:qFormat/>
    <w:rPr>
      <w:sz w:val="18"/>
      <w:szCs w:val="18"/>
    </w:rPr>
  </w:style>
  <w:style w:type="paragraph" w:styleId="aa">
    <w:name w:val="footer"/>
    <w:basedOn w:val="a"/>
    <w:link w:val="ab"/>
    <w:unhideWhenUsed/>
    <w:qFormat/>
    <w:pPr>
      <w:tabs>
        <w:tab w:val="center" w:pos="4153"/>
        <w:tab w:val="right" w:pos="8306"/>
      </w:tabs>
      <w:snapToGrid w:val="0"/>
      <w:jc w:val="left"/>
    </w:pPr>
    <w:rPr>
      <w:sz w:val="18"/>
      <w:szCs w:val="18"/>
    </w:rPr>
  </w:style>
  <w:style w:type="paragraph" w:styleId="ac">
    <w:name w:val="header"/>
    <w:basedOn w:val="a"/>
    <w:link w:val="ad"/>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2"/>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批注框文本 字符"/>
    <w:basedOn w:val="a1"/>
    <w:link w:val="a8"/>
    <w:uiPriority w:val="99"/>
    <w:semiHidden/>
    <w:qFormat/>
    <w:rPr>
      <w:sz w:val="18"/>
      <w:szCs w:val="18"/>
    </w:rPr>
  </w:style>
  <w:style w:type="character" w:customStyle="1" w:styleId="ad">
    <w:name w:val="页眉 字符"/>
    <w:basedOn w:val="a1"/>
    <w:link w:val="ac"/>
    <w:uiPriority w:val="99"/>
    <w:semiHidden/>
    <w:qFormat/>
    <w:rPr>
      <w:sz w:val="18"/>
      <w:szCs w:val="18"/>
    </w:rPr>
  </w:style>
  <w:style w:type="character" w:customStyle="1" w:styleId="ab">
    <w:name w:val="页脚 字符"/>
    <w:basedOn w:val="a1"/>
    <w:link w:val="aa"/>
    <w:uiPriority w:val="99"/>
    <w:semiHidden/>
    <w:qFormat/>
    <w:rPr>
      <w:sz w:val="18"/>
      <w:szCs w:val="18"/>
    </w:rPr>
  </w:style>
  <w:style w:type="paragraph" w:customStyle="1" w:styleId="af0">
    <w:name w:val="章标题"/>
    <w:next w:val="a"/>
    <w:link w:val="CharChar"/>
    <w:qFormat/>
    <w:pPr>
      <w:spacing w:beforeLines="50" w:afterLines="50"/>
      <w:jc w:val="both"/>
      <w:outlineLvl w:val="1"/>
    </w:pPr>
    <w:rPr>
      <w:rFonts w:ascii="黑体" w:eastAsia="黑体"/>
      <w:sz w:val="21"/>
    </w:rPr>
  </w:style>
  <w:style w:type="character" w:customStyle="1" w:styleId="a7">
    <w:name w:val="正文文本缩进 字符"/>
    <w:basedOn w:val="a1"/>
    <w:link w:val="a6"/>
    <w:qFormat/>
    <w:rPr>
      <w:rFonts w:ascii="Times New Roman" w:eastAsia="宋体" w:hAnsi="Times New Roman" w:cs="Times New Roman"/>
      <w:sz w:val="24"/>
      <w:szCs w:val="24"/>
    </w:rPr>
  </w:style>
  <w:style w:type="character" w:customStyle="1" w:styleId="a5">
    <w:name w:val="批注文字 字符"/>
    <w:basedOn w:val="a1"/>
    <w:link w:val="a4"/>
    <w:qFormat/>
    <w:rPr>
      <w:rFonts w:ascii="宋体" w:eastAsia="宋体" w:hAnsi="宋体" w:cs="Times New Roman"/>
      <w:szCs w:val="24"/>
    </w:rPr>
  </w:style>
  <w:style w:type="paragraph" w:styleId="af1">
    <w:name w:val="List Paragraph"/>
    <w:basedOn w:val="a"/>
    <w:uiPriority w:val="34"/>
    <w:qFormat/>
    <w:pPr>
      <w:ind w:firstLineChars="200" w:firstLine="420"/>
    </w:pPr>
  </w:style>
  <w:style w:type="paragraph" w:customStyle="1" w:styleId="af2">
    <w:name w:val="段"/>
    <w:link w:val="Char"/>
    <w:qFormat/>
    <w:pPr>
      <w:autoSpaceDE w:val="0"/>
      <w:autoSpaceDN w:val="0"/>
      <w:ind w:firstLineChars="200" w:firstLine="200"/>
      <w:jc w:val="both"/>
    </w:pPr>
    <w:rPr>
      <w:rFonts w:ascii="宋体"/>
      <w:sz w:val="21"/>
      <w:szCs w:val="22"/>
    </w:rPr>
  </w:style>
  <w:style w:type="character" w:customStyle="1" w:styleId="Char">
    <w:name w:val="段 Char"/>
    <w:link w:val="af2"/>
    <w:qFormat/>
    <w:rPr>
      <w:rFonts w:ascii="宋体" w:eastAsia="宋体" w:hAnsi="Times New Roman" w:cs="Times New Roman"/>
      <w:kern w:val="0"/>
    </w:rPr>
  </w:style>
  <w:style w:type="character" w:styleId="af3">
    <w:name w:val="annotation reference"/>
    <w:basedOn w:val="a1"/>
    <w:uiPriority w:val="99"/>
    <w:semiHidden/>
    <w:unhideWhenUsed/>
    <w:rPr>
      <w:sz w:val="21"/>
      <w:szCs w:val="21"/>
    </w:rPr>
  </w:style>
  <w:style w:type="character" w:customStyle="1" w:styleId="CharChar">
    <w:name w:val="章标题 Char Char"/>
    <w:link w:val="af0"/>
    <w:qFormat/>
    <w:rsid w:val="00F15A5A"/>
    <w:rPr>
      <w:rFonts w:ascii="黑体" w:eastAsia="黑体"/>
      <w:sz w:val="21"/>
    </w:rPr>
  </w:style>
  <w:style w:type="paragraph" w:styleId="af4">
    <w:name w:val="Date"/>
    <w:basedOn w:val="a"/>
    <w:next w:val="a"/>
    <w:link w:val="af5"/>
    <w:uiPriority w:val="99"/>
    <w:semiHidden/>
    <w:unhideWhenUsed/>
    <w:rsid w:val="00A300A5"/>
    <w:pPr>
      <w:ind w:leftChars="2500" w:left="100"/>
    </w:pPr>
  </w:style>
  <w:style w:type="character" w:customStyle="1" w:styleId="af5">
    <w:name w:val="日期 字符"/>
    <w:basedOn w:val="a1"/>
    <w:link w:val="af4"/>
    <w:uiPriority w:val="99"/>
    <w:semiHidden/>
    <w:rsid w:val="00A300A5"/>
    <w:rPr>
      <w:rFonts w:asciiTheme="minorHAnsi" w:eastAsiaTheme="minorEastAsia" w:hAnsiTheme="minorHAnsi" w:cstheme="minorBidi"/>
      <w:kern w:val="2"/>
      <w:sz w:val="21"/>
      <w:szCs w:val="22"/>
    </w:rPr>
  </w:style>
  <w:style w:type="paragraph" w:styleId="af6">
    <w:name w:val="annotation subject"/>
    <w:basedOn w:val="a4"/>
    <w:next w:val="a4"/>
    <w:link w:val="af7"/>
    <w:uiPriority w:val="99"/>
    <w:semiHidden/>
    <w:unhideWhenUsed/>
    <w:rsid w:val="00051DED"/>
    <w:pPr>
      <w:spacing w:line="240" w:lineRule="auto"/>
    </w:pPr>
    <w:rPr>
      <w:rFonts w:asciiTheme="minorHAnsi" w:eastAsiaTheme="minorEastAsia" w:hAnsiTheme="minorHAnsi" w:cstheme="minorBidi"/>
      <w:b/>
      <w:bCs/>
      <w:szCs w:val="22"/>
    </w:rPr>
  </w:style>
  <w:style w:type="character" w:customStyle="1" w:styleId="af7">
    <w:name w:val="批注主题 字符"/>
    <w:basedOn w:val="a5"/>
    <w:link w:val="af6"/>
    <w:uiPriority w:val="99"/>
    <w:semiHidden/>
    <w:rsid w:val="00051DED"/>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9</Pages>
  <Words>1290</Words>
  <Characters>7358</Characters>
  <Application>Microsoft Office Word</Application>
  <DocSecurity>0</DocSecurity>
  <Lines>61</Lines>
  <Paragraphs>17</Paragraphs>
  <ScaleCrop>false</ScaleCrop>
  <Company>Sky123.Org</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B19856 许丁洋</cp:lastModifiedBy>
  <cp:revision>24</cp:revision>
  <dcterms:created xsi:type="dcterms:W3CDTF">2022-08-03T02:17:00Z</dcterms:created>
  <dcterms:modified xsi:type="dcterms:W3CDTF">2026-03-30T01:19:00Z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73794E7302A54839BDCAFCC345F79FFD</vt:lpwstr>
  </property>
  <property fmtid="{D5CDD505-2E9C-101B-9397-08002B2CF9AE}" pid="4" name="KSOTemplateDocerSaveRecord">
    <vt:lpwstr>eyJoZGlkIjoiZDc3NjdhMzRkNzc1ZjMzMjM5NTdkY2FjNzA1OWE0YWIiLCJ1c2VySWQiOiIyNTEyODEyMjEifQ==</vt:lpwstr>
  </property>
</Properties>
</file>