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32"/>
          <w:szCs w:val="32"/>
          <w:lang w:val="en-US" w:eastAsia="zh-CN"/>
        </w:rPr>
      </w:pPr>
    </w:p>
    <w:p>
      <w:pPr>
        <w:jc w:val="center"/>
        <w:rPr>
          <w:rFonts w:hint="eastAsia" w:eastAsia="黑体"/>
          <w:color w:val="auto"/>
          <w:sz w:val="44"/>
          <w:szCs w:val="44"/>
          <w:lang w:val="en-US" w:eastAsia="zh-CN"/>
        </w:rPr>
      </w:pPr>
    </w:p>
    <w:p>
      <w:pPr>
        <w:jc w:val="center"/>
        <w:rPr>
          <w:rFonts w:hint="eastAsia" w:eastAsia="黑体"/>
          <w:color w:val="auto"/>
          <w:sz w:val="44"/>
          <w:szCs w:val="44"/>
          <w:lang w:val="en-US" w:eastAsia="zh-CN"/>
        </w:rPr>
      </w:pPr>
      <w:r>
        <w:rPr>
          <w:rFonts w:hint="eastAsia" w:eastAsia="黑体"/>
          <w:color w:val="auto"/>
          <w:sz w:val="44"/>
          <w:szCs w:val="44"/>
          <w:lang w:val="en-US" w:eastAsia="zh-CN"/>
        </w:rPr>
        <w:t>行业标准《有色金属行业工业数据分类分级指南》编制说明</w:t>
      </w:r>
    </w:p>
    <w:p>
      <w:pPr>
        <w:jc w:val="center"/>
        <w:rPr>
          <w:rFonts w:hint="eastAsia" w:eastAsia="黑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lang w:eastAsia="zh-CN"/>
        </w:rPr>
      </w:pPr>
      <w:r>
        <w:rPr>
          <w:rFonts w:hint="eastAsia" w:eastAsia="黑体"/>
          <w:color w:val="auto"/>
          <w:sz w:val="32"/>
          <w:szCs w:val="32"/>
          <w:lang w:val="en-US" w:eastAsia="zh-CN"/>
        </w:rPr>
        <w:t>（预审稿）</w:t>
      </w: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eastAsia" w:eastAsia="黑体"/>
          <w:color w:val="auto"/>
          <w:sz w:val="28"/>
          <w:szCs w:val="28"/>
          <w:lang w:val="en-US" w:eastAsia="zh-CN"/>
        </w:rPr>
      </w:pPr>
    </w:p>
    <w:p>
      <w:pPr>
        <w:jc w:val="center"/>
        <w:rPr>
          <w:rFonts w:hint="default" w:eastAsia="黑体"/>
          <w:color w:val="auto"/>
          <w:sz w:val="28"/>
          <w:szCs w:val="28"/>
          <w:lang w:val="en-US" w:eastAsia="zh-CN"/>
        </w:rPr>
      </w:pPr>
      <w:r>
        <w:rPr>
          <w:rFonts w:hint="eastAsia" w:eastAsia="黑体"/>
          <w:color w:val="auto"/>
          <w:sz w:val="28"/>
          <w:szCs w:val="28"/>
          <w:lang w:val="en-US" w:eastAsia="zh-CN"/>
        </w:rPr>
        <w:t>江西铜业股份有限公司</w:t>
      </w:r>
    </w:p>
    <w:p>
      <w:pPr>
        <w:jc w:val="center"/>
        <w:rPr>
          <w:rFonts w:hint="eastAsia" w:eastAsia="黑体"/>
          <w:color w:val="auto"/>
          <w:sz w:val="28"/>
          <w:szCs w:val="28"/>
          <w:lang w:val="en-US" w:eastAsia="zh-CN"/>
        </w:rPr>
      </w:pPr>
      <w:r>
        <w:rPr>
          <w:rFonts w:hint="eastAsia" w:eastAsia="黑体"/>
          <w:color w:val="auto"/>
          <w:sz w:val="28"/>
          <w:szCs w:val="28"/>
          <w:lang w:val="en-US" w:eastAsia="zh-CN"/>
        </w:rPr>
        <w:t>2026年4月</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hint="eastAsia" w:ascii="QWRLLA+MicrosoftYaHei-Bold"/>
          <w:color w:val="000000"/>
          <w:spacing w:val="0"/>
          <w:sz w:val="44"/>
        </w:rPr>
      </w:pPr>
    </w:p>
    <w:p>
      <w:pPr>
        <w:pStyle w:val="2"/>
        <w:rPr>
          <w:rFonts w:hint="eastAsia" w:eastAsia="黑体"/>
          <w:color w:val="auto"/>
          <w:sz w:val="28"/>
          <w:szCs w:val="28"/>
        </w:rPr>
      </w:pPr>
    </w:p>
    <w:p>
      <w:pPr>
        <w:pStyle w:val="2"/>
        <w:rPr>
          <w:rFonts w:hint="eastAsia" w:eastAsia="黑体"/>
          <w:color w:val="auto"/>
          <w:sz w:val="28"/>
          <w:szCs w:val="28"/>
        </w:rPr>
        <w:sectPr>
          <w:pgSz w:w="11906" w:h="16838"/>
          <w:pgMar w:top="1440" w:right="1780" w:bottom="1440" w:left="1780" w:header="851" w:footer="992" w:gutter="0"/>
          <w:cols w:space="425" w:num="1"/>
          <w:docGrid w:type="lines" w:linePitch="312" w:charSpace="0"/>
        </w:sectPr>
      </w:pPr>
    </w:p>
    <w:p>
      <w:pPr>
        <w:pStyle w:val="40"/>
        <w:jc w:val="center"/>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rPr>
        <w:t>目</w:t>
      </w:r>
      <w:r>
        <w:rPr>
          <w:rFonts w:hint="eastAsia" w:ascii="黑体" w:hAnsi="黑体" w:eastAsia="黑体" w:cs="黑体"/>
          <w:b w:val="0"/>
          <w:bCs w:val="0"/>
          <w:color w:val="auto"/>
          <w:sz w:val="32"/>
          <w:szCs w:val="32"/>
          <w:lang w:val="en-US" w:eastAsia="zh-CN"/>
        </w:rPr>
        <w:t xml:space="preserve">  录</w:t>
      </w:r>
    </w:p>
    <w:p>
      <w:pPr>
        <w:pStyle w:val="13"/>
        <w:tabs>
          <w:tab w:val="right" w:leader="dot" w:pos="8346"/>
        </w:tabs>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"1-2" \h \u </w:instrText>
      </w:r>
      <w:r>
        <w:rPr>
          <w:rFonts w:hint="eastAsia" w:ascii="宋体" w:hAnsi="宋体" w:eastAsia="宋体" w:cs="宋体"/>
          <w:sz w:val="28"/>
          <w:szCs w:val="28"/>
          <w:lang w:val="en-US" w:eastAsia="zh-CN"/>
        </w:rPr>
        <w:fldChar w:fldCharType="separate"/>
      </w: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_Toc12105 </w:instrText>
      </w:r>
      <w:r>
        <w:rPr>
          <w:rFonts w:hint="eastAsia" w:ascii="宋体" w:hAnsi="宋体" w:eastAsia="宋体" w:cs="宋体"/>
          <w:szCs w:val="28"/>
          <w:lang w:val="en-US" w:eastAsia="zh-CN"/>
        </w:rPr>
        <w:fldChar w:fldCharType="separate"/>
      </w:r>
      <w:r>
        <w:rPr>
          <w:rFonts w:hint="eastAsia" w:ascii="黑体" w:hAnsi="黑体" w:eastAsia="黑体" w:cs="黑体"/>
          <w:bCs w:val="0"/>
          <w:szCs w:val="21"/>
        </w:rPr>
        <w:t xml:space="preserve">一、 </w:t>
      </w:r>
      <w:r>
        <w:rPr>
          <w:rFonts w:hint="eastAsia" w:ascii="黑体" w:hAnsi="宋体" w:eastAsia="黑体" w:cs="Arial"/>
          <w:bCs w:val="0"/>
          <w:szCs w:val="21"/>
        </w:rPr>
        <w:t>工作简况</w:t>
      </w:r>
      <w:r>
        <w:tab/>
      </w:r>
      <w:r>
        <w:fldChar w:fldCharType="begin"/>
      </w:r>
      <w:r>
        <w:instrText xml:space="preserve"> PAGEREF _Toc12105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_Toc4208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1.1任务来源</w:t>
      </w:r>
      <w:r>
        <w:tab/>
      </w:r>
      <w:r>
        <w:fldChar w:fldCharType="begin"/>
      </w:r>
      <w:r>
        <w:instrText xml:space="preserve"> PAGEREF _Toc4208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_Toc31676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1.2立项目的和意义</w:t>
      </w:r>
      <w:r>
        <w:tab/>
      </w:r>
      <w:r>
        <w:fldChar w:fldCharType="begin"/>
      </w:r>
      <w:r>
        <w:instrText xml:space="preserve"> PAGEREF _Toc31676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_Toc21568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1.3主要参加单位和工作成员所作的工作</w:t>
      </w:r>
      <w:r>
        <w:tab/>
      </w:r>
      <w:r>
        <w:fldChar w:fldCharType="begin"/>
      </w:r>
      <w:r>
        <w:instrText xml:space="preserve"> PAGEREF _Toc21568 \h </w:instrText>
      </w:r>
      <w:r>
        <w:fldChar w:fldCharType="separate"/>
      </w:r>
      <w:r>
        <w:t>3</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_Toc26470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1.4主要工作过程</w:t>
      </w:r>
      <w:r>
        <w:tab/>
      </w:r>
      <w:r>
        <w:fldChar w:fldCharType="begin"/>
      </w:r>
      <w:r>
        <w:instrText xml:space="preserve"> PAGEREF _Toc26470 \h </w:instrText>
      </w:r>
      <w:r>
        <w:fldChar w:fldCharType="separate"/>
      </w:r>
      <w:r>
        <w:t>7</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_Toc21522 </w:instrText>
      </w:r>
      <w:r>
        <w:rPr>
          <w:rFonts w:hint="eastAsia" w:ascii="宋体" w:hAnsi="宋体" w:eastAsia="宋体" w:cs="宋体"/>
          <w:szCs w:val="28"/>
          <w:lang w:val="en-US" w:eastAsia="zh-CN"/>
        </w:rPr>
        <w:fldChar w:fldCharType="separate"/>
      </w:r>
      <w:r>
        <w:rPr>
          <w:rFonts w:hint="eastAsia" w:ascii="黑体" w:hAnsi="黑体" w:eastAsia="黑体" w:cs="黑体"/>
          <w:bCs w:val="0"/>
          <w:szCs w:val="21"/>
          <w:lang w:val="en-US" w:eastAsia="zh-CN"/>
        </w:rPr>
        <w:t xml:space="preserve">二、 </w:t>
      </w:r>
      <w:r>
        <w:rPr>
          <w:rFonts w:hint="eastAsia" w:ascii="黑体" w:eastAsia="黑体" w:cs="Arial"/>
          <w:szCs w:val="21"/>
        </w:rPr>
        <w:t>编制原则</w:t>
      </w:r>
      <w:r>
        <w:rPr>
          <w:rFonts w:hint="eastAsia" w:ascii="黑体" w:eastAsia="黑体" w:cs="Arial"/>
          <w:szCs w:val="21"/>
          <w:lang w:eastAsia="zh-CN"/>
        </w:rPr>
        <w:t>、</w:t>
      </w:r>
      <w:r>
        <w:rPr>
          <w:rFonts w:hint="eastAsia" w:ascii="黑体" w:eastAsia="黑体" w:cs="Arial"/>
          <w:szCs w:val="21"/>
          <w:lang w:val="en-US" w:eastAsia="zh-CN"/>
        </w:rPr>
        <w:t>主要内容及其确定依据</w:t>
      </w:r>
      <w:r>
        <w:tab/>
      </w:r>
      <w:r>
        <w:fldChar w:fldCharType="begin"/>
      </w:r>
      <w:r>
        <w:instrText xml:space="preserve"> PAGEREF _Toc21522 \h </w:instrText>
      </w:r>
      <w:r>
        <w:fldChar w:fldCharType="separate"/>
      </w:r>
      <w:r>
        <w:t>8</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_Toc26409 </w:instrText>
      </w:r>
      <w:r>
        <w:rPr>
          <w:rFonts w:hint="eastAsia" w:ascii="宋体" w:hAnsi="宋体" w:eastAsia="宋体" w:cs="宋体"/>
          <w:szCs w:val="28"/>
          <w:lang w:val="en-US" w:eastAsia="zh-CN"/>
        </w:rPr>
        <w:fldChar w:fldCharType="separate"/>
      </w:r>
      <w:r>
        <w:rPr>
          <w:rFonts w:hint="eastAsia" w:hAnsi="黑体" w:cs="黑体"/>
          <w:szCs w:val="21"/>
          <w:lang w:val="en-US" w:eastAsia="zh-CN"/>
        </w:rPr>
        <w:t>2.1 编制原则</w:t>
      </w:r>
      <w:r>
        <w:tab/>
      </w:r>
      <w:r>
        <w:fldChar w:fldCharType="begin"/>
      </w:r>
      <w:r>
        <w:instrText xml:space="preserve"> PAGEREF _Toc26409 \h </w:instrText>
      </w:r>
      <w:r>
        <w:fldChar w:fldCharType="separate"/>
      </w:r>
      <w:r>
        <w:t>8</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_Toc66 </w:instrText>
      </w:r>
      <w:r>
        <w:rPr>
          <w:rFonts w:hint="eastAsia" w:ascii="宋体" w:hAnsi="宋体" w:eastAsia="宋体" w:cs="宋体"/>
          <w:szCs w:val="28"/>
          <w:lang w:val="en-US" w:eastAsia="zh-CN"/>
        </w:rPr>
        <w:fldChar w:fldCharType="separate"/>
      </w:r>
      <w:r>
        <w:rPr>
          <w:rFonts w:hint="eastAsia" w:hAnsi="黑体" w:cs="黑体"/>
          <w:szCs w:val="21"/>
          <w:lang w:val="en-US" w:eastAsia="zh-CN"/>
        </w:rPr>
        <w:t>2.2 标准主要技术内容的确定依据</w:t>
      </w:r>
      <w:r>
        <w:tab/>
      </w:r>
      <w:r>
        <w:fldChar w:fldCharType="begin"/>
      </w:r>
      <w:r>
        <w:instrText xml:space="preserve"> PAGEREF _Toc66 \h </w:instrText>
      </w:r>
      <w:r>
        <w:fldChar w:fldCharType="separate"/>
      </w:r>
      <w:r>
        <w:t>8</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_Toc25807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三、 </w:t>
      </w:r>
      <w:r>
        <w:rPr>
          <w:rFonts w:hint="eastAsia" w:ascii="黑体" w:hAnsi="宋体" w:eastAsia="黑体" w:cs="Arial"/>
          <w:kern w:val="0"/>
          <w:szCs w:val="21"/>
          <w:lang w:val="en-US" w:eastAsia="zh-CN"/>
        </w:rPr>
        <w:t>试验验证分析、综述报告、技术经济论证、预期达到的经济效益、社会效益和生态效益</w:t>
      </w:r>
      <w:r>
        <w:tab/>
      </w:r>
      <w:r>
        <w:fldChar w:fldCharType="begin"/>
      </w:r>
      <w:r>
        <w:instrText xml:space="preserve"> PAGEREF _Toc25807 \h </w:instrText>
      </w:r>
      <w:r>
        <w:fldChar w:fldCharType="separate"/>
      </w:r>
      <w:r>
        <w:t>10</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_Toc29388 </w:instrText>
      </w:r>
      <w:r>
        <w:rPr>
          <w:rFonts w:hint="eastAsia" w:ascii="宋体" w:hAnsi="宋体" w:eastAsia="宋体" w:cs="宋体"/>
          <w:szCs w:val="28"/>
          <w:lang w:val="en-US" w:eastAsia="zh-CN"/>
        </w:rPr>
        <w:fldChar w:fldCharType="separate"/>
      </w:r>
      <w:r>
        <w:rPr>
          <w:rFonts w:hint="eastAsia" w:hAnsi="黑体" w:cs="黑体"/>
          <w:szCs w:val="21"/>
          <w:lang w:val="en-US" w:eastAsia="zh-CN"/>
        </w:rPr>
        <w:t>3.</w:t>
      </w:r>
      <w:r>
        <w:rPr>
          <w:rFonts w:hint="default" w:hAnsi="黑体" w:cs="黑体"/>
          <w:szCs w:val="21"/>
          <w:lang w:val="en-US" w:eastAsia="zh-CN"/>
        </w:rPr>
        <w:t>1</w:t>
      </w:r>
      <w:r>
        <w:rPr>
          <w:rFonts w:hint="eastAsia" w:hAnsi="黑体" w:cs="黑体"/>
          <w:szCs w:val="21"/>
          <w:lang w:val="en-US" w:eastAsia="zh-CN"/>
        </w:rPr>
        <w:t xml:space="preserve"> </w:t>
      </w:r>
      <w:r>
        <w:rPr>
          <w:rFonts w:hint="default" w:hAnsi="黑体" w:cs="黑体"/>
          <w:szCs w:val="21"/>
          <w:lang w:val="en-US" w:eastAsia="zh-CN"/>
        </w:rPr>
        <w:t>试验验证分析</w:t>
      </w:r>
      <w:r>
        <w:rPr>
          <w:rFonts w:hint="eastAsia" w:hAnsi="黑体" w:cs="黑体"/>
          <w:szCs w:val="21"/>
          <w:lang w:val="en-US" w:eastAsia="zh-CN"/>
        </w:rPr>
        <w:t>、</w:t>
      </w:r>
      <w:r>
        <w:rPr>
          <w:rFonts w:hint="default" w:hAnsi="黑体" w:cs="黑体"/>
          <w:szCs w:val="21"/>
          <w:lang w:val="en-US" w:eastAsia="zh-CN"/>
        </w:rPr>
        <w:t>综述报告</w:t>
      </w:r>
      <w:r>
        <w:rPr>
          <w:rFonts w:hint="eastAsia" w:hAnsi="黑体" w:cs="黑体"/>
          <w:szCs w:val="21"/>
          <w:lang w:val="en-US" w:eastAsia="zh-CN"/>
        </w:rPr>
        <w:t>和技术经济论证</w:t>
      </w:r>
      <w:r>
        <w:tab/>
      </w:r>
      <w:r>
        <w:fldChar w:fldCharType="begin"/>
      </w:r>
      <w:r>
        <w:instrText xml:space="preserve"> PAGEREF _Toc29388 \h </w:instrText>
      </w:r>
      <w:r>
        <w:fldChar w:fldCharType="separate"/>
      </w:r>
      <w:r>
        <w:t>10</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_Toc29784 </w:instrText>
      </w:r>
      <w:r>
        <w:rPr>
          <w:rFonts w:hint="eastAsia" w:ascii="宋体" w:hAnsi="宋体" w:eastAsia="宋体" w:cs="宋体"/>
          <w:szCs w:val="28"/>
          <w:lang w:val="en-US" w:eastAsia="zh-CN"/>
        </w:rPr>
        <w:fldChar w:fldCharType="separate"/>
      </w:r>
      <w:r>
        <w:rPr>
          <w:rFonts w:hint="eastAsia" w:hAnsi="黑体" w:cs="黑体"/>
          <w:szCs w:val="21"/>
          <w:lang w:val="en-US" w:eastAsia="zh-CN"/>
        </w:rPr>
        <w:t xml:space="preserve">3.2 </w:t>
      </w:r>
      <w:r>
        <w:rPr>
          <w:rFonts w:hint="default" w:hAnsi="黑体" w:cs="黑体"/>
          <w:szCs w:val="21"/>
          <w:lang w:val="en-US" w:eastAsia="zh-CN"/>
        </w:rPr>
        <w:t>标准的先进性、创新性、标准实施后预期产生的经济效益和社会效益</w:t>
      </w:r>
      <w:r>
        <w:tab/>
      </w:r>
      <w:r>
        <w:fldChar w:fldCharType="begin"/>
      </w:r>
      <w:r>
        <w:instrText xml:space="preserve"> PAGEREF _Toc29784 \h </w:instrText>
      </w:r>
      <w:r>
        <w:fldChar w:fldCharType="separate"/>
      </w:r>
      <w:r>
        <w:t>11</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_Toc4574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四、 </w:t>
      </w:r>
      <w:r>
        <w:rPr>
          <w:rFonts w:hint="eastAsia" w:ascii="黑体" w:hAnsi="宋体" w:eastAsia="黑体" w:cs="Arial"/>
          <w:kern w:val="0"/>
          <w:szCs w:val="21"/>
          <w:lang w:val="en-US" w:eastAsia="zh-CN"/>
        </w:rPr>
        <w:t>与国际标准和国外先进标准技术内容的对比</w:t>
      </w:r>
      <w:r>
        <w:tab/>
      </w:r>
      <w:r>
        <w:fldChar w:fldCharType="begin"/>
      </w:r>
      <w:r>
        <w:instrText xml:space="preserve"> PAGEREF _Toc4574 \h </w:instrText>
      </w:r>
      <w:r>
        <w:fldChar w:fldCharType="separate"/>
      </w:r>
      <w:r>
        <w:t>11</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_Toc9402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五、 </w:t>
      </w:r>
      <w:r>
        <w:rPr>
          <w:rFonts w:hint="eastAsia" w:ascii="黑体" w:hAnsi="宋体" w:eastAsia="黑体" w:cs="Arial"/>
          <w:kern w:val="0"/>
          <w:szCs w:val="21"/>
          <w:lang w:val="en-US" w:eastAsia="zh-CN"/>
        </w:rPr>
        <w:t>以国际标准为基础的起草情况以及是否合规采用国际国外标准、未采用国际标准的原因</w:t>
      </w:r>
      <w:r>
        <w:tab/>
      </w:r>
      <w:r>
        <w:fldChar w:fldCharType="begin"/>
      </w:r>
      <w:r>
        <w:instrText xml:space="preserve"> PAGEREF _Toc9402 \h </w:instrText>
      </w:r>
      <w:r>
        <w:fldChar w:fldCharType="separate"/>
      </w:r>
      <w:r>
        <w:t>11</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_Toc29711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六、 </w:t>
      </w:r>
      <w:r>
        <w:rPr>
          <w:rFonts w:hint="eastAsia" w:ascii="黑体" w:hAnsi="宋体" w:eastAsia="黑体" w:cs="Arial"/>
          <w:kern w:val="0"/>
          <w:szCs w:val="21"/>
          <w:lang w:val="en-US" w:eastAsia="zh-CN"/>
        </w:rPr>
        <w:t>与有关法律、行政法规及相关标准的关系</w:t>
      </w:r>
      <w:r>
        <w:tab/>
      </w:r>
      <w:r>
        <w:fldChar w:fldCharType="begin"/>
      </w:r>
      <w:r>
        <w:instrText xml:space="preserve"> PAGEREF _Toc29711 \h </w:instrText>
      </w:r>
      <w:r>
        <w:fldChar w:fldCharType="separate"/>
      </w:r>
      <w:r>
        <w:t>11</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_Toc20420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七、 </w:t>
      </w:r>
      <w:r>
        <w:rPr>
          <w:rFonts w:hint="eastAsia" w:ascii="黑体" w:hAnsi="宋体" w:eastAsia="黑体" w:cs="Arial"/>
          <w:kern w:val="0"/>
          <w:szCs w:val="21"/>
          <w:lang w:val="en-US" w:eastAsia="zh-CN"/>
        </w:rPr>
        <w:t>重大分歧意见的处理经过和依据</w:t>
      </w:r>
      <w:r>
        <w:tab/>
      </w:r>
      <w:r>
        <w:fldChar w:fldCharType="begin"/>
      </w:r>
      <w:r>
        <w:instrText xml:space="preserve"> PAGEREF _Toc20420 \h </w:instrText>
      </w:r>
      <w:r>
        <w:fldChar w:fldCharType="separate"/>
      </w:r>
      <w:r>
        <w:t>11</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_Toc31546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八、 </w:t>
      </w:r>
      <w:r>
        <w:rPr>
          <w:rFonts w:hint="eastAsia" w:ascii="黑体" w:hAnsi="宋体" w:eastAsia="黑体" w:cs="Arial"/>
          <w:kern w:val="0"/>
          <w:szCs w:val="21"/>
          <w:lang w:val="en-US" w:eastAsia="zh-CN"/>
        </w:rPr>
        <w:t>涉及专利的有关说明</w:t>
      </w:r>
      <w:r>
        <w:tab/>
      </w:r>
      <w:r>
        <w:fldChar w:fldCharType="begin"/>
      </w:r>
      <w:r>
        <w:instrText xml:space="preserve"> PAGEREF _Toc31546 \h </w:instrText>
      </w:r>
      <w:r>
        <w:fldChar w:fldCharType="separate"/>
      </w:r>
      <w:r>
        <w:t>11</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_Toc10756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九、 </w:t>
      </w:r>
      <w:r>
        <w:rPr>
          <w:rFonts w:hint="eastAsia" w:ascii="黑体" w:hAnsi="宋体" w:eastAsia="黑体" w:cs="Arial"/>
          <w:kern w:val="0"/>
          <w:szCs w:val="21"/>
          <w:lang w:val="en-US" w:eastAsia="zh-CN"/>
        </w:rPr>
        <w:t>实施国家标准的要求以及组织措施、技术措施、过渡期和实施日期的建议等措施建议</w:t>
      </w:r>
      <w:r>
        <w:tab/>
      </w:r>
      <w:r>
        <w:fldChar w:fldCharType="begin"/>
      </w:r>
      <w:r>
        <w:instrText xml:space="preserve"> PAGEREF _Toc10756 \h </w:instrText>
      </w:r>
      <w:r>
        <w:fldChar w:fldCharType="separate"/>
      </w:r>
      <w:r>
        <w:t>12</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_Toc850 </w:instrText>
      </w:r>
      <w:r>
        <w:rPr>
          <w:rFonts w:hint="eastAsia" w:ascii="宋体" w:hAnsi="宋体" w:eastAsia="宋体" w:cs="宋体"/>
          <w:szCs w:val="28"/>
          <w:lang w:val="en-US" w:eastAsia="zh-CN"/>
        </w:rPr>
        <w:fldChar w:fldCharType="separate"/>
      </w:r>
      <w:r>
        <w:rPr>
          <w:rFonts w:hint="eastAsia" w:ascii="黑体" w:hAnsi="黑体" w:eastAsia="黑体" w:cs="黑体"/>
          <w:kern w:val="0"/>
          <w:szCs w:val="21"/>
          <w:lang w:val="en-US" w:eastAsia="zh-CN"/>
        </w:rPr>
        <w:t xml:space="preserve">十、 </w:t>
      </w:r>
      <w:r>
        <w:rPr>
          <w:rFonts w:hint="eastAsia" w:ascii="黑体" w:hAnsi="宋体" w:eastAsia="黑体" w:cs="Arial"/>
          <w:kern w:val="0"/>
          <w:szCs w:val="21"/>
          <w:lang w:val="en-US" w:eastAsia="zh-CN"/>
        </w:rPr>
        <w:t>其他应予说明的事项</w:t>
      </w:r>
      <w:r>
        <w:tab/>
      </w:r>
      <w:r>
        <w:fldChar w:fldCharType="begin"/>
      </w:r>
      <w:r>
        <w:instrText xml:space="preserve"> PAGEREF _Toc850 \h </w:instrText>
      </w:r>
      <w:r>
        <w:fldChar w:fldCharType="separate"/>
      </w:r>
      <w:r>
        <w:t>12</w:t>
      </w:r>
      <w:r>
        <w:fldChar w:fldCharType="end"/>
      </w:r>
      <w:r>
        <w:rPr>
          <w:rFonts w:hint="eastAsia" w:ascii="宋体" w:hAnsi="宋体" w:eastAsia="宋体" w:cs="宋体"/>
          <w:szCs w:val="28"/>
          <w:lang w:val="en-US" w:eastAsia="zh-CN"/>
        </w:rPr>
        <w:fldChar w:fldCharType="end"/>
      </w:r>
    </w:p>
    <w:p>
      <w:pPr>
        <w:pStyle w:val="6"/>
        <w:keepNext w:val="0"/>
        <w:keepLines w:val="0"/>
        <w:pageBreakBefore w:val="0"/>
        <w:widowControl w:val="0"/>
        <w:kinsoku/>
        <w:wordWrap/>
        <w:overflowPunct/>
        <w:topLinePunct w:val="0"/>
        <w:autoSpaceDE/>
        <w:autoSpaceDN/>
        <w:bidi w:val="0"/>
        <w:adjustRightInd/>
        <w:snapToGrid/>
        <w:spacing w:before="0" w:beforeLines="0" w:afterAutospacing="0" w:line="360" w:lineRule="auto"/>
        <w:textAlignment w:val="auto"/>
        <w:rPr>
          <w:rFonts w:hint="eastAsia" w:eastAsia="黑体"/>
          <w:color w:val="auto"/>
          <w:sz w:val="28"/>
          <w:szCs w:val="28"/>
        </w:rPr>
      </w:pPr>
      <w:r>
        <w:rPr>
          <w:rFonts w:hint="eastAsia" w:ascii="宋体" w:hAnsi="宋体" w:eastAsia="宋体" w:cs="宋体"/>
          <w:szCs w:val="28"/>
          <w:lang w:val="en-US" w:eastAsia="zh-CN"/>
        </w:rPr>
        <w:fldChar w:fldCharType="end"/>
      </w:r>
    </w:p>
    <w:p>
      <w:pPr>
        <w:pStyle w:val="6"/>
        <w:rPr>
          <w:rFonts w:hint="eastAsia" w:eastAsia="黑体"/>
          <w:color w:val="auto"/>
          <w:sz w:val="28"/>
          <w:szCs w:val="28"/>
        </w:rPr>
      </w:pPr>
    </w:p>
    <w:p>
      <w:pPr>
        <w:rPr>
          <w:rFonts w:hint="eastAsia"/>
        </w:rPr>
        <w:sectPr>
          <w:footerReference r:id="rId3" w:type="default"/>
          <w:pgSz w:w="11906" w:h="16838"/>
          <w:pgMar w:top="1440" w:right="1780" w:bottom="1440" w:left="1780" w:header="851" w:footer="992" w:gutter="0"/>
          <w:pgNumType w:fmt="decimal" w:start="1"/>
          <w:cols w:space="425" w:num="1"/>
          <w:docGrid w:type="lines" w:linePitch="312" w:charSpace="0"/>
        </w:sectPr>
      </w:pPr>
    </w:p>
    <w:p>
      <w:pPr>
        <w:jc w:val="center"/>
        <w:rPr>
          <w:rFonts w:hint="eastAsia" w:eastAsia="黑体"/>
          <w:color w:val="auto"/>
          <w:sz w:val="44"/>
          <w:szCs w:val="44"/>
          <w:lang w:val="en-US" w:eastAsia="zh-CN"/>
        </w:rPr>
      </w:pPr>
      <w:r>
        <w:rPr>
          <w:rFonts w:hint="eastAsia" w:eastAsia="黑体"/>
          <w:color w:val="auto"/>
          <w:sz w:val="44"/>
          <w:szCs w:val="44"/>
          <w:lang w:val="en-US" w:eastAsia="zh-CN"/>
        </w:rPr>
        <w:t>行业标准《有色金属行业工业数据分类分级指南》编制说明</w:t>
      </w:r>
    </w:p>
    <w:p>
      <w:pPr>
        <w:jc w:val="center"/>
        <w:rPr>
          <w:lang w:val="de-DE"/>
        </w:rPr>
      </w:pPr>
      <w:r>
        <w:rPr>
          <w:rFonts w:hint="eastAsia" w:eastAsia="黑体"/>
          <w:color w:val="auto"/>
          <w:sz w:val="44"/>
          <w:szCs w:val="44"/>
          <w:lang w:val="en-US" w:eastAsia="zh-CN"/>
        </w:rPr>
        <w:t>（预审稿）</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rPr>
      </w:pPr>
      <w:r>
        <w:rPr>
          <w:rFonts w:hint="eastAsia" w:ascii="黑体" w:hAnsi="宋体" w:eastAsia="黑体" w:cs="Arial"/>
          <w:b w:val="0"/>
          <w:bCs w:val="0"/>
          <w:color w:val="auto"/>
          <w:sz w:val="21"/>
          <w:szCs w:val="21"/>
        </w:rPr>
        <w:t>工作简况</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1.1任务来源</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3月26日，全国有色金属标准化技术委员会在广东韶关召开有色金属行业智能制造标准大会，经大会论证，《有色金属行业数据安全管理技术要求》修改为《有色金属行业工业数据分类分级指南》，修订后进行申报。</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12月29日，根据《工业和信息化部办公厅关于印发2025年第五批行业标准制修订和外文版项目计划的通知》（工信厅科函〔2025〕528号）文件要求，行业标准《有色金属行业工业数据分类分级指南》由全国有色金属标准化技术委员会重金属分技术委员会归口，标准计划编号：2025-1176T-YS，项目周期为12个月，计划于2026年12月完成。</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标准由江西铜业股份有限公司牵头组织编制，</w:t>
      </w:r>
      <w:r>
        <w:rPr>
          <w:rFonts w:hint="eastAsia" w:ascii="宋体" w:hAnsi="宋体" w:cs="宋体"/>
          <w:kern w:val="0"/>
          <w:highlight w:val="none"/>
        </w:rPr>
        <w:t>国家工业信息安全发展研究中心、云南铜业股份有限公司</w:t>
      </w:r>
      <w:r>
        <w:rPr>
          <w:rFonts w:hint="eastAsia" w:cs="宋体"/>
          <w:kern w:val="0"/>
          <w:highlight w:val="none"/>
          <w:lang w:val="en-US" w:eastAsia="zh-CN"/>
        </w:rPr>
        <w:t>西南铜业分公司</w:t>
      </w:r>
      <w:r>
        <w:rPr>
          <w:rFonts w:hint="eastAsia" w:ascii="宋体" w:hAnsi="宋体" w:cs="宋体"/>
          <w:kern w:val="0"/>
          <w:highlight w:val="none"/>
        </w:rPr>
        <w:t>、中铝郑州有色金属研究院有限公司、北矿智云科技（北京）有限公司、云南铝业股份有限公司、矿冶科技集团有限公司</w:t>
      </w:r>
      <w:r>
        <w:rPr>
          <w:rFonts w:hint="eastAsia" w:cs="宋体"/>
          <w:kern w:val="0"/>
          <w:highlight w:val="none"/>
          <w:lang w:eastAsia="zh-CN"/>
        </w:rPr>
        <w:t>、</w:t>
      </w:r>
      <w:r>
        <w:rPr>
          <w:rFonts w:hint="eastAsia" w:ascii="宋体" w:hAnsi="宋体" w:cs="宋体"/>
          <w:kern w:val="0"/>
          <w:highlight w:val="none"/>
        </w:rPr>
        <w:t>江西铜业股份有限公司贵溪冶炼厂、江西铜锐信息技术有限公司、金川集团股份有限公司</w:t>
      </w:r>
      <w:r>
        <w:rPr>
          <w:rFonts w:hint="eastAsia" w:cs="宋体"/>
          <w:kern w:val="0"/>
          <w:highlight w:val="none"/>
          <w:lang w:eastAsia="zh-CN"/>
        </w:rPr>
        <w:t>、</w:t>
      </w:r>
      <w:r>
        <w:rPr>
          <w:rFonts w:hint="eastAsia" w:cs="宋体"/>
          <w:kern w:val="0"/>
          <w:highlight w:val="none"/>
          <w:lang w:val="en-US" w:eastAsia="zh-CN"/>
        </w:rPr>
        <w:t>江西铜业铅锌金属有限公司</w:t>
      </w:r>
      <w:r>
        <w:rPr>
          <w:rFonts w:hint="eastAsia" w:ascii="宋体" w:hAnsi="宋体" w:cs="宋体"/>
          <w:kern w:val="0"/>
          <w:highlight w:val="none"/>
        </w:rPr>
        <w:t>、云南锡业集团（控股）有限责任公司、江苏中商碳素研究院有限公司、宝钛集团有限公司、中国恩菲工程技术有限公司、北方铜业股份有限公司、深圳市中金岭南有色金属股份有限公司、中色科技股份有限公司、宁波金田铜业（集团）股份有限公司、云南驰宏锌锗股份有限公司</w:t>
      </w:r>
      <w:r>
        <w:rPr>
          <w:rFonts w:hint="eastAsia" w:ascii="宋体" w:hAnsi="宋体" w:eastAsia="宋体" w:cs="宋体"/>
          <w:color w:val="auto"/>
          <w:kern w:val="2"/>
          <w:sz w:val="21"/>
          <w:szCs w:val="21"/>
          <w:lang w:val="en-US" w:eastAsia="zh-CN"/>
        </w:rPr>
        <w:t>等共同组成编制组，开展标准编制工作。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根据《国家智能制造标准体系建设指南（2024版）》，本标准在国家智能制造标准体系中属于“C行业应用 - CB有色金属”行业应用标准，位于“B关键技术 - BE智能赋能技术 - BEB大数据”层级。</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1.2立项目的和意义</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有色金属行业作为国民经济的重要支柱产业，其数字化转型是实现高质量发展的关键途径。随着大数据、云计算、人工智能等信息技术与有色金属行业的深度融合，数据已成为行业发展的核心生产要素，保障数据安全，关乎行业发展、国家安全大局。开展数据安全保护工作，首先需要对数据进行分类分级，识别重要数据和核心数据，然后建立相应的数据安全保护措施。因此，制定有色金属行业工业数据分类分级指南，不仅是推动《中华人民共和国数据安全法》《工业和信息化领域数据安全管理办法（试行）》等在工业领域的落地实施，更为工业企业提高数据安全治理能力、促进数据要素在产业链上下游有序流动和价值释放提供有力支撑，助力行业高质量发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1、应对有色金属数据安全威胁，保护核心数据和重要数据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有色金属行业的数据安全直接关系到国家资源战略、经济运行和社会秩序。例如，稀有金属的储备数据一旦泄露，可能影响国家资源战略安全；冶炼工艺参数的泄露则可能损害企业的核心竞争力。本标准通过识别分级要素（如业务领域、责任主体、流程环节、描述对象、数据用途等），分析数据在泄露、篡改、损毁或非法使用时可能造成的影响对象（如国家安全、经济运行、社会秩序、公共利益、组织权益、个人权益）及影响程度（特别严重危害、严重危害、一般危害），综合确定数据级别（核心数据、重要数据、一般数据）。这种精细化的分级方法能够帮助企业明确数据的重要程度，从而开展重点安全防护。</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2、有色金属行业数据管理规范的基础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目前有色金属行业缺少数据管理规范体系的相关标准，而数据分类分级是实现数据管理的基础，该标准的建立可为构建有色金属行业数据管理标准体系奠定基础。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3、促进行业内部数据共享流通</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标准通过统一数据分类分级规则，明确安全责任与共享边界，推动地质勘探、生产调度、供应链等关键数据在采矿、冶炼、加工等环节的高效互通，实现矿产储量与下游产能精准匹配，为行业构建可信数据生态、释放数据价值奠定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4、贯彻落实国家战略部署和法规要求的重要举措</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标准的制定是贯彻落实国家“制造强国”“网络强国”等战略部署的关键抓手，通过将法规要求转化为行业可操作的分类分级细则，推动数据要素安全流通与价值释放；同时，通过规范战略资源数据的全流程管控，保障国家资源安全底线，助力“一带一路”倡议中中国技术标准与数据治理模式的海外输出，为构建新发展格局提供行业实践范例，实现国家战略与产业升级的同频共振。</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1.3主要参加单位和工作成员所作的工作</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1.3.1主要参加单位情况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本标准由江西铜业股份有限公司牵头，主要参加单位包括国家工业信息安全发展研究中心、云南铜业股份有限公司西南铜业分公司、中铝郑州有色金属研究院有限公司、北矿智云科技（北京）有限公司、云南铝业股份有限公司、矿冶科技集团有限公司等。</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江西铜业股份有限公司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江西铜业股份有限公司（简称“江铜”）成立于1979年，并于1997年在香港、伦敦同时上市，成为国内首支境外上市矿业股，也是中国铜行业和江西省首家世界500强企业。2019年，江铜成功完成恒邦股份控股控股收购；由江铜作为主要股东的佳鑫国际资源投资有限公司于2025年8月28日正式在香港联交所主板、阿斯塔纳国际交易所“一带一路”板同步上市，江铜旗下上市公司增至三家。2025年，江铜实现营业收入5735亿元，利润107亿元，现位列《财富》世界500强第165位。目前，江铜在铜以及相关有色金属领域，拥有勘探、采矿、选矿、冶炼、加工为一体的全产业链，国内以江西省内为主体，环黄渤海地区、长三角地区、粤港澳大湾区、西南地区五大产业基地，实现了沿江、沿海T字型产业布局；境外形成了中亚哈萨克斯坦、非洲赞比亚、香港为“桥头堡”，南美智利、新加坡等办事处为“触角”的布局雏形，建立了覆盖全国、辐射海外的投资、金融和贸易等多元产业，旗下拥有143个成员单位。江铜产品质量优良，拥有多个“世界名牌”产品。主要涵盖阴极铜、黄金、白银、铅锌、硫酸等冶炼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展望未来，江铜将围绕“主业聚焦、创新突破、资源增储、高质发展、迈向一流”战略方针，坚持四大发展原则，全力推进十一大业务板块转型升级，加快与供应链创新链价值链的深入融合，全面构建以上市公司为主体的产业集群，坚定不移做实、做强、做优、做大实体经济，通过不断追求卓越，至2030年，基本建成具有全球核心竞争力世界一流企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江西铜锐信息技术有限公司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lang w:val="en-US" w:eastAsia="zh-CN"/>
        </w:rPr>
      </w:pPr>
      <w:r>
        <w:rPr>
          <w:rFonts w:hint="eastAsia" w:hAnsi="黑体" w:cs="黑体"/>
          <w:color w:val="auto"/>
          <w:kern w:val="2"/>
          <w:sz w:val="21"/>
          <w:szCs w:val="21"/>
          <w:lang w:val="en-US" w:eastAsia="zh-CN"/>
        </w:rPr>
        <w:t>江西铜锐信息技术有限公司是江西铜业集团下属公司。作为江铜集团推动“产业数字化、数字产业化”双使命的重要平台公司，铜锐公司立足集团实际，服务有色行业，聚焦企业数字化转型、智能化发展等关键领域，致力于打造行业前列的数字化平台服务商和高科技企业代表。自成立以来，铜锐公司紧贴有色行业工艺特征与管理需求，围绕采选、冶炼、加工、化工、物流、贸易、产融等业务场景，持续构建覆盖咨询规划、平台研发、系统集成、运维服务等在内的一体化数字化服务体系，积累了丰富的工程实践经验与技术成果。公司深入融合云计算、大数据、物联网、人工智能等新一代信息技术，打造了以“技术中台 + 数据治理 + 场景赋能”为核心的产品能力体系，具备多系统协同集成、多平台统一管理、多场景快速复制的技术优势，能够面向集团不同板块及行业外部客户，灵活支撑复杂业务需求。依托典型工业场景沉淀出的平台架构，公司持续打磨设备接入、实时采集、流程驱动、可视化分析等核心模块，推动形成标准化、可复用的技术底座，加快项目实施效率，降低重复建设成本。同时，铜锐公司高度重视数据价值释放与行业经验转化，持续构建面向运维管理、能效分析、指标预警等方向的业务组件与算法模型，不断完善自主可控的工业互联网平台体系，助力企业实现从“业务上云”到“管理用数”的转型升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国家工业信息安全发展研究中心</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default" w:hAnsi="黑体" w:cs="黑体"/>
          <w:color w:val="auto"/>
          <w:kern w:val="2"/>
          <w:sz w:val="21"/>
          <w:szCs w:val="21"/>
          <w:lang w:val="en-US" w:eastAsia="zh-CN"/>
        </w:rPr>
        <w:t>国家工业信息安全发展研究中心（工业和信息化部电子第一研究所）成立于1959年，是工业和信息化部直属事业单位，是我国工业信息安全领域重要的服务保障机构。经过60多年的发展与积淀，国家工信安全中心始终坚持以“支撑政府、服务行业”为宗旨，聚焦工业信息安全、关键软件自主可控、制造业数字化转型三个重点领域，持续提升决策支撑、安全保障、转型服务、生态促进四种核心能力，业务范围涵盖工业领域网络与数据安全、两化融合、工业互联网、软件、知识产权、大数据、人工智能、数字经济、工业经济等领域，服务对象包括国家部委、国家级行业协会、地方政府、央企集团、头部企业、产业园区、高校院所等各类主体。标准工作方面，国家工业信息安全发展研究中心牵头编写10余项国家政策文件，参与6项国家标准编制，参与编制《数据安全技术 数据分类分级规则》《数据基础设施 标识管理规范》等国家标准，牵头编制《工业领域重要数据识别指南》《工业企业数据安全防护要求》《工业领域数据安全风险评估规范》等行业标准，在15个省市305家企业组织开展工业领域数据安全管理试点工作推进《工业领域重要数据识别指南》等标准的应用验证，涉及6大类行业，推进工业领域数据安全全流程管理工作机制进一步完善。支持指导北京、山东、江苏、辽宁等29个省（区、市）和5家央企集团开展数据安全政策标准宣贯培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矿冶科技集团有限公司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云南铜业股份有限公司西南铜业分公司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金川集团股份有限公司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中铝郑州有色金属研究院有限公司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北矿智云科技（北京）有限公司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云南铝业股份有限公司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江西铜业股份有限公司贵溪冶炼厂</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江西铜业铅锌金属有限公司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云南锡业集团（控股）有限责任公司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江苏中商碳素研究院有限公司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宝钛集团有限公司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中国恩菲工程技术有限公司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北方铜业股份有限公司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深圳市中金岭南有色金属股份有限公司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中色科技股份有限公司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宁波金田铜业（集团）股份有限公司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云南驰宏锌锗股份有限公司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eastAsia" w:hAnsi="黑体" w:cs="黑体"/>
          <w:color w:val="auto"/>
          <w:kern w:val="2"/>
          <w:sz w:val="21"/>
          <w:szCs w:val="21"/>
          <w:lang w:val="en-US" w:eastAsia="zh-CN"/>
        </w:rPr>
        <w:t>（本单位在该标准项目研发方面的实力与经验简介）......</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1.3.2主要工作人员所负责的工作情况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本标准主要工作人员及工作职责见下表。</w:t>
      </w:r>
    </w:p>
    <w:tbl>
      <w:tblPr>
        <w:tblStyle w:val="1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485"/>
        <w:gridCol w:w="1329"/>
        <w:gridCol w:w="4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序号</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单位名称</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工作组成员</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1</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江西铜业股份有限公司</w:t>
            </w:r>
          </w:p>
        </w:tc>
        <w:tc>
          <w:tcPr>
            <w:tcW w:w="695" w:type="pct"/>
            <w:noWrap w:val="0"/>
            <w:vAlign w:val="center"/>
          </w:tcPr>
          <w:p>
            <w:pPr>
              <w:widowControl w:val="0"/>
              <w:autoSpaceDE/>
              <w:autoSpaceDN/>
              <w:adjustRightInd/>
              <w:snapToGrid/>
              <w:spacing w:after="0"/>
              <w:ind w:right="0" w:firstLine="0" w:firstLineChars="0"/>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赵黎明</w:t>
            </w:r>
          </w:p>
        </w:tc>
        <w:tc>
          <w:tcPr>
            <w:tcW w:w="2110" w:type="pct"/>
            <w:noWrap w:val="0"/>
            <w:vAlign w:val="center"/>
          </w:tcPr>
          <w:p>
            <w:pPr>
              <w:widowControl w:val="0"/>
              <w:autoSpaceDE/>
              <w:autoSpaceDN/>
              <w:adjustRightInd/>
              <w:snapToGrid/>
              <w:spacing w:after="0"/>
              <w:ind w:right="0" w:firstLine="0" w:firstLineChars="0"/>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负责标准编制过程质量把关、指导及协调工作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firstLine="0" w:firstLineChars="0"/>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2</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江西铜业股份有限公司贵溪冶炼厂</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徐娟华</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负责整体结构编制、资料汇总梳理及执笔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3</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江西铜锐信息技术有限公司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章奇科</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4</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国家工业信息安全发展研究中心</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王福焱</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5</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云南铜业股份有限公司西南铜业分公司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李艳燕</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6</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中铝郑州有色金属研究院有限公司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鄢锋</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7</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北矿智云科技（北京）有限公司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徐宁</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8</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云南铝业股份有限公司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和珍寿</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9</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矿冶科技集团有限公司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吕潇</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10</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金川集团股份有限公司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杨鹤年</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11</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江西铜业铅锌金属有限公司</w:t>
            </w:r>
          </w:p>
        </w:tc>
        <w:tc>
          <w:tcPr>
            <w:tcW w:w="695" w:type="pct"/>
            <w:noWrap w:val="0"/>
            <w:vAlign w:val="center"/>
          </w:tcPr>
          <w:p>
            <w:pPr>
              <w:widowControl w:val="0"/>
              <w:autoSpaceDE/>
              <w:autoSpaceDN/>
              <w:adjustRightInd/>
              <w:snapToGrid/>
              <w:spacing w:after="0"/>
              <w:ind w:right="0" w:firstLine="0" w:firstLineChars="0"/>
              <w:jc w:val="cente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徐波林</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12</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云南锡业集团（控股）有限责任公司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罗蓉丽</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13</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江苏中商碳素研究院有限公司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李春虎</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14</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宝钛集团有限公司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胡志杰</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15</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中国恩菲工程技术有限公司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楚金旺</w:t>
            </w:r>
          </w:p>
        </w:tc>
        <w:tc>
          <w:tcPr>
            <w:tcW w:w="2110"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16</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北方铜业股份有限公司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李琦</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17</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深圳市中金岭南有色金属股份有限公司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王佳恒</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18</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中色科技股份有限公司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陈春灿</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rPr>
              <w:t>19</w:t>
            </w:r>
          </w:p>
        </w:tc>
        <w:tc>
          <w:tcPr>
            <w:tcW w:w="1822"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宁波金田铜业（集团）股份有限公司</w:t>
            </w:r>
          </w:p>
        </w:tc>
        <w:tc>
          <w:tcPr>
            <w:tcW w:w="695"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郭巍</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71" w:type="pct"/>
            <w:shd w:val="clear" w:color="auto" w:fill="auto"/>
            <w:noWrap w:val="0"/>
            <w:vAlign w:val="center"/>
          </w:tcPr>
          <w:p>
            <w:pPr>
              <w:widowControl w:val="0"/>
              <w:autoSpaceDE/>
              <w:autoSpaceDN/>
              <w:adjustRightInd/>
              <w:snapToGrid/>
              <w:spacing w:after="0"/>
              <w:ind w:right="0" w:rightChars="0" w:firstLine="0" w:firstLineChars="0"/>
              <w:jc w:val="center"/>
              <w:rPr>
                <w:rFonts w:hint="default"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20</w:t>
            </w:r>
          </w:p>
        </w:tc>
        <w:tc>
          <w:tcPr>
            <w:tcW w:w="1822"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云南驰宏锌锗股份有限公司</w:t>
            </w:r>
          </w:p>
        </w:tc>
        <w:tc>
          <w:tcPr>
            <w:tcW w:w="695" w:type="pct"/>
            <w:shd w:val="clear" w:color="auto" w:fill="auto"/>
            <w:noWrap w:val="0"/>
            <w:vAlign w:val="center"/>
          </w:tcPr>
          <w:p>
            <w:pPr>
              <w:widowControl w:val="0"/>
              <w:autoSpaceDE/>
              <w:autoSpaceDN/>
              <w:adjustRightInd/>
              <w:snapToGrid/>
              <w:spacing w:after="0"/>
              <w:ind w:right="0" w:rightChars="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杨春玉</w:t>
            </w:r>
          </w:p>
        </w:tc>
        <w:tc>
          <w:tcPr>
            <w:tcW w:w="2110" w:type="pct"/>
            <w:noWrap w:val="0"/>
            <w:vAlign w:val="center"/>
          </w:tcPr>
          <w:p>
            <w:pPr>
              <w:widowControl w:val="0"/>
              <w:autoSpaceDE/>
              <w:autoSpaceDN/>
              <w:adjustRightInd/>
              <w:snapToGrid/>
              <w:spacing w:after="0"/>
              <w:ind w:right="0" w:firstLine="0" w:firstLineChars="0"/>
              <w:jc w:val="center"/>
              <w:rPr>
                <w:rFonts w:hint="eastAsia"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负责提供标准编制相关资料、技术支持</w:t>
            </w:r>
          </w:p>
        </w:tc>
      </w:tr>
    </w:tbl>
    <w:p>
      <w:pPr>
        <w:rPr>
          <w:rFonts w:hint="default"/>
          <w:lang w:val="en-US" w:eastAsia="zh-CN"/>
        </w:rPr>
      </w:pP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1.4主要工作过程</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.1预研阶段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202</w:t>
      </w:r>
      <w:r>
        <w:rPr>
          <w:rFonts w:hint="eastAsia" w:ascii="宋体" w:hAnsi="宋体" w:eastAsia="宋体" w:cs="宋体"/>
          <w:color w:val="auto"/>
          <w:kern w:val="2"/>
          <w:sz w:val="21"/>
          <w:szCs w:val="21"/>
          <w:lang w:val="en-US" w:eastAsia="zh-CN"/>
        </w:rPr>
        <w:t>5</w:t>
      </w:r>
      <w:r>
        <w:rPr>
          <w:rFonts w:hint="default" w:ascii="宋体" w:hAnsi="宋体" w:eastAsia="宋体" w:cs="宋体"/>
          <w:color w:val="auto"/>
          <w:kern w:val="2"/>
          <w:sz w:val="21"/>
          <w:szCs w:val="21"/>
          <w:lang w:val="en-US" w:eastAsia="zh-CN"/>
        </w:rPr>
        <w:t>年</w:t>
      </w:r>
      <w:r>
        <w:rPr>
          <w:rFonts w:hint="eastAsia" w:ascii="宋体" w:hAnsi="宋体" w:eastAsia="宋体" w:cs="宋体"/>
          <w:color w:val="auto"/>
          <w:kern w:val="2"/>
          <w:sz w:val="21"/>
          <w:szCs w:val="21"/>
          <w:lang w:val="en-US" w:eastAsia="zh-CN"/>
        </w:rPr>
        <w:t>2</w:t>
      </w:r>
      <w:r>
        <w:rPr>
          <w:rFonts w:hint="default" w:ascii="宋体" w:hAnsi="宋体" w:eastAsia="宋体" w:cs="宋体"/>
          <w:color w:val="auto"/>
          <w:kern w:val="2"/>
          <w:sz w:val="21"/>
          <w:szCs w:val="21"/>
          <w:lang w:val="en-US" w:eastAsia="zh-CN"/>
        </w:rPr>
        <w:t>月</w:t>
      </w:r>
      <w:r>
        <w:rPr>
          <w:rFonts w:hint="eastAsia" w:ascii="宋体" w:hAnsi="宋体" w:eastAsia="宋体" w:cs="宋体"/>
          <w:color w:val="auto"/>
          <w:kern w:val="2"/>
          <w:sz w:val="21"/>
          <w:szCs w:val="21"/>
          <w:lang w:val="en-US" w:eastAsia="zh-CN"/>
        </w:rPr>
        <w:t>，落实《原材料工业数字化转型工作方案（2024-2026年）》</w:t>
      </w:r>
      <w:r>
        <w:rPr>
          <w:rFonts w:hint="default" w:ascii="宋体" w:hAnsi="宋体" w:eastAsia="宋体" w:cs="宋体"/>
          <w:color w:val="auto"/>
          <w:kern w:val="2"/>
          <w:sz w:val="21"/>
          <w:szCs w:val="21"/>
          <w:lang w:val="en-US" w:eastAsia="zh-CN"/>
        </w:rPr>
        <w:t>《有色金属行业智能制造标准体系建设指南（2023版）》</w:t>
      </w:r>
      <w:r>
        <w:rPr>
          <w:rFonts w:hint="eastAsia" w:ascii="宋体" w:hAnsi="宋体" w:eastAsia="宋体" w:cs="宋体"/>
          <w:color w:val="auto"/>
          <w:kern w:val="2"/>
          <w:sz w:val="21"/>
          <w:szCs w:val="21"/>
          <w:lang w:val="en-US" w:eastAsia="zh-CN"/>
        </w:rPr>
        <w:t>和《标准提升引领原材料工业优化升级行动方案（2025-2027年）》</w:t>
      </w:r>
      <w:r>
        <w:rPr>
          <w:rFonts w:hint="eastAsia" w:ascii="宋体" w:hAnsi="宋体" w:eastAsia="宋体" w:cs="宋体"/>
          <w:color w:val="000000" w:themeColor="text1"/>
          <w:kern w:val="2"/>
          <w:sz w:val="21"/>
          <w:szCs w:val="21"/>
          <w:lang w:val="en-US" w:eastAsia="zh-CN"/>
          <w14:textFill>
            <w14:solidFill>
              <w14:schemeClr w14:val="tx1"/>
            </w14:solidFill>
          </w14:textFill>
        </w:rPr>
        <w:t>等政策文件</w:t>
      </w:r>
      <w:r>
        <w:rPr>
          <w:rFonts w:hint="eastAsia" w:ascii="宋体" w:hAnsi="宋体" w:eastAsia="宋体" w:cs="宋体"/>
          <w:color w:val="auto"/>
          <w:kern w:val="2"/>
          <w:sz w:val="21"/>
          <w:szCs w:val="21"/>
          <w:lang w:val="en-US" w:eastAsia="zh-CN"/>
        </w:rPr>
        <w:t>，根据国家标准化管理委员会、工业和信息化部及中国有色金属工业协会的工作部署，</w:t>
      </w:r>
      <w:r>
        <w:rPr>
          <w:rFonts w:hint="default" w:ascii="宋体" w:hAnsi="宋体" w:eastAsia="宋体" w:cs="宋体"/>
          <w:color w:val="auto"/>
          <w:kern w:val="2"/>
          <w:sz w:val="21"/>
          <w:szCs w:val="21"/>
          <w:lang w:val="en-US" w:eastAsia="zh-CN"/>
        </w:rPr>
        <w:t>江西铜业股份有限公司</w:t>
      </w:r>
      <w:r>
        <w:rPr>
          <w:rFonts w:hint="eastAsia" w:ascii="宋体" w:hAnsi="宋体" w:eastAsia="宋体" w:cs="宋体"/>
          <w:color w:val="auto"/>
          <w:kern w:val="2"/>
          <w:sz w:val="21"/>
          <w:szCs w:val="21"/>
          <w:lang w:val="en-US" w:eastAsia="zh-CN"/>
        </w:rPr>
        <w:t>依托行业优势，结合贵溪冶炼厂“工业数据安全防护建设”项目的成功实施，牵头</w:t>
      </w:r>
      <w:r>
        <w:rPr>
          <w:rFonts w:hint="default" w:ascii="宋体" w:hAnsi="宋体" w:eastAsia="宋体" w:cs="宋体"/>
          <w:color w:val="auto"/>
          <w:kern w:val="2"/>
          <w:sz w:val="21"/>
          <w:szCs w:val="21"/>
          <w:lang w:val="en-US" w:eastAsia="zh-CN"/>
        </w:rPr>
        <w:t>启动</w:t>
      </w:r>
      <w:r>
        <w:rPr>
          <w:rFonts w:hint="eastAsia" w:ascii="宋体" w:hAnsi="宋体" w:eastAsia="宋体" w:cs="宋体"/>
          <w:color w:val="auto"/>
          <w:kern w:val="2"/>
          <w:sz w:val="21"/>
          <w:szCs w:val="21"/>
          <w:lang w:val="en-US" w:eastAsia="zh-CN"/>
        </w:rPr>
        <w:t>《有色金属行业数据安全管理技术要求》</w:t>
      </w:r>
      <w:r>
        <w:rPr>
          <w:rFonts w:hint="default" w:ascii="宋体" w:hAnsi="宋体" w:eastAsia="宋体" w:cs="宋体"/>
          <w:color w:val="auto"/>
          <w:kern w:val="2"/>
          <w:sz w:val="21"/>
          <w:szCs w:val="21"/>
          <w:lang w:val="en-US" w:eastAsia="zh-CN"/>
        </w:rPr>
        <w:t>标准立项申报、草案编制工作。同时与</w:t>
      </w:r>
      <w:r>
        <w:rPr>
          <w:rFonts w:hint="eastAsia" w:ascii="宋体" w:hAnsi="宋体" w:eastAsia="宋体" w:cs="宋体"/>
          <w:color w:val="auto"/>
          <w:kern w:val="2"/>
          <w:sz w:val="21"/>
          <w:szCs w:val="21"/>
          <w:lang w:val="en-US" w:eastAsia="zh-CN"/>
        </w:rPr>
        <w:t>实施“工业数据安全防护建设”项目的</w:t>
      </w:r>
      <w:r>
        <w:rPr>
          <w:rFonts w:hint="default" w:ascii="宋体" w:hAnsi="宋体" w:eastAsia="宋体" w:cs="宋体"/>
          <w:color w:val="auto"/>
          <w:kern w:val="2"/>
          <w:sz w:val="21"/>
          <w:szCs w:val="21"/>
          <w:lang w:val="en-US" w:eastAsia="zh-CN"/>
        </w:rPr>
        <w:t>国家工业信息安全发展研究中心深入讨论了标准的技术路线与方案，并根据讨论情况，形成标准编制思路和方向。</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.2标准立项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2025年3月，全国有色金属标准化技术委员会在广东韶关召开有色金属行业智能制造标准大会，</w:t>
      </w:r>
      <w:r>
        <w:rPr>
          <w:rFonts w:hint="default" w:ascii="宋体" w:hAnsi="宋体" w:eastAsia="宋体" w:cs="宋体"/>
          <w:color w:val="auto"/>
          <w:kern w:val="2"/>
          <w:sz w:val="21"/>
          <w:szCs w:val="21"/>
          <w:lang w:val="en-US" w:eastAsia="zh-CN"/>
        </w:rPr>
        <w:t>江西铜业股份有限公司</w:t>
      </w:r>
      <w:r>
        <w:rPr>
          <w:rFonts w:hint="eastAsia" w:hAnsi="黑体" w:cs="黑体"/>
          <w:color w:val="auto"/>
          <w:kern w:val="2"/>
          <w:sz w:val="21"/>
          <w:szCs w:val="21"/>
          <w:lang w:val="en-US" w:eastAsia="zh-CN"/>
        </w:rPr>
        <w:t>作为主起草单位在会上发布了《</w:t>
      </w:r>
      <w:r>
        <w:rPr>
          <w:rFonts w:hint="eastAsia" w:ascii="宋体" w:hAnsi="宋体" w:eastAsia="宋体" w:cs="宋体"/>
          <w:color w:val="auto"/>
          <w:kern w:val="2"/>
          <w:sz w:val="21"/>
          <w:szCs w:val="21"/>
          <w:lang w:val="en-US" w:eastAsia="zh-CN"/>
        </w:rPr>
        <w:t>有色金属行业数据安全管理技术要求</w:t>
      </w:r>
      <w:r>
        <w:rPr>
          <w:rFonts w:hint="eastAsia" w:hAnsi="黑体" w:cs="黑体"/>
          <w:color w:val="auto"/>
          <w:kern w:val="2"/>
          <w:sz w:val="21"/>
          <w:szCs w:val="21"/>
          <w:lang w:val="en-US" w:eastAsia="zh-CN"/>
        </w:rPr>
        <w:t>》。</w:t>
      </w:r>
      <w:r>
        <w:rPr>
          <w:rFonts w:hint="eastAsia" w:ascii="宋体" w:hAnsi="宋体" w:eastAsia="宋体" w:cs="宋体"/>
          <w:color w:val="auto"/>
          <w:kern w:val="2"/>
          <w:sz w:val="21"/>
          <w:szCs w:val="21"/>
          <w:lang w:val="en-US" w:eastAsia="zh-CN"/>
        </w:rPr>
        <w:t>经大会论证，标准改为《有色金属行业工业数据分类分级指南》，修订后申请立项。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ascii="宋体" w:hAnsi="宋体" w:eastAsia="宋体" w:cs="宋体"/>
          <w:color w:val="auto"/>
          <w:kern w:val="2"/>
          <w:sz w:val="21"/>
          <w:szCs w:val="21"/>
          <w:lang w:val="en-US" w:eastAsia="zh-CN"/>
        </w:rPr>
        <w:t>2025年12月29日，根据《工业和信息化部办公厅关于印发2025年第五批行业标准制修订和外文版项目计划的通知》（工信厅科函〔2025〕528号）文件要求，行业标准《有色金属行业工业数据分类分级指南》通过立项，标准计划编号：2025-1176T-YS，项目周期为12个月，计划于2026年12月完成。</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.3起草阶段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2025年5月，由江铜牵头成立了《有色金属行业工业数据分类分级指南》编制组，制定相关工作计划，起草标准，形成标准草案。</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2025年7月，编制组在贵阳参加第一次工作会议，讨论标准征求意见1稿，收集与会专家意见建议进行修改完善。</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2026年1月，编制组在珠海参加第二次工作会议，讨论预审征求意见2稿，收集与会专家意见建议进行修改完善，最终形成了征求意见稿。</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1.4.4征求意见阶段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2026年1月28日，牵头单位江铜向行业内相关单位下发调查表、调研问卷及征求意见稿，广泛征集意见和建议，共16家单位反馈，收集意见建议</w:t>
      </w:r>
      <w:r>
        <w:rPr>
          <w:rFonts w:hint="eastAsia" w:ascii="宋体" w:hAnsi="宋体" w:eastAsia="宋体" w:cs="宋体"/>
          <w:color w:val="auto"/>
          <w:kern w:val="2"/>
          <w:sz w:val="21"/>
          <w:szCs w:val="21"/>
          <w:highlight w:val="none"/>
          <w:lang w:val="en-US" w:eastAsia="zh-CN"/>
        </w:rPr>
        <w:t>88</w:t>
      </w:r>
      <w:r>
        <w:rPr>
          <w:rFonts w:hint="eastAsia" w:ascii="宋体" w:hAnsi="宋体" w:eastAsia="宋体" w:cs="宋体"/>
          <w:color w:val="auto"/>
          <w:kern w:val="2"/>
          <w:sz w:val="21"/>
          <w:szCs w:val="21"/>
          <w:lang w:val="en-US" w:eastAsia="zh-CN"/>
        </w:rPr>
        <w:t>条，采纳</w:t>
      </w:r>
      <w:r>
        <w:rPr>
          <w:rFonts w:hint="eastAsia" w:ascii="宋体" w:hAnsi="宋体" w:eastAsia="宋体" w:cs="宋体"/>
          <w:color w:val="auto"/>
          <w:kern w:val="2"/>
          <w:sz w:val="21"/>
          <w:szCs w:val="21"/>
          <w:highlight w:val="none"/>
          <w:lang w:val="en-US" w:eastAsia="zh-CN"/>
        </w:rPr>
        <w:t>63</w:t>
      </w:r>
      <w:r>
        <w:rPr>
          <w:rFonts w:hint="eastAsia" w:ascii="宋体" w:hAnsi="宋体" w:eastAsia="宋体" w:cs="宋体"/>
          <w:color w:val="auto"/>
          <w:kern w:val="2"/>
          <w:sz w:val="21"/>
          <w:szCs w:val="21"/>
          <w:lang w:val="en-US" w:eastAsia="zh-CN"/>
        </w:rPr>
        <w:t>条，修改完善形成预审稿。</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1.4.5审查阶段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1.4.6报批阶段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lang w:val="en-US" w:eastAsia="zh-CN"/>
        </w:rPr>
      </w:pPr>
      <w:r>
        <w:rPr>
          <w:rFonts w:hint="eastAsia" w:ascii="黑体" w:eastAsia="黑体" w:cs="Arial"/>
          <w:color w:val="auto"/>
          <w:sz w:val="21"/>
          <w:szCs w:val="21"/>
        </w:rPr>
        <w:t>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2.1 编制原则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1、本标准按照GB/T 1.1-2020《标准化工作导则 第1部分：标准化文件的结构和起草规则》给出的规则起草。</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2、本标准立足有色金属行业实际和智能制造标准体系的要求，与其他标准共同丰富智能制造标准体系，在编制的过程中，始终遵循符合行业特色、满足市场需求、技术内容合理的原则。</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r>
        <w:rPr>
          <w:rFonts w:hint="eastAsia" w:hAnsi="黑体" w:cs="黑体"/>
          <w:color w:val="auto"/>
          <w:szCs w:val="21"/>
          <w:lang w:val="en-US" w:eastAsia="zh-CN"/>
        </w:rPr>
        <w:t>2.2 标准主要技术内容的确定依据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1、范围</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w:t>
      </w:r>
      <w:r>
        <w:rPr>
          <w:rFonts w:hint="eastAsia" w:hAnsi="黑体" w:cs="黑体"/>
          <w:color w:val="000000" w:themeColor="text1"/>
          <w:kern w:val="2"/>
          <w:sz w:val="21"/>
          <w:szCs w:val="21"/>
          <w:lang w:val="en-US" w:eastAsia="zh-CN"/>
          <w14:textFill>
            <w14:solidFill>
              <w14:schemeClr w14:val="tx1"/>
            </w14:solidFill>
          </w14:textFill>
        </w:rPr>
        <w:t>标准</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规定了有色金属行业工业数据分类分级的基本原则、数据分类规则和数据分级规则。</w:t>
      </w:r>
      <w:r>
        <w:rPr>
          <w:rFonts w:hint="eastAsia" w:ascii="宋体" w:hAnsi="宋体" w:eastAsia="宋体" w:cs="宋体"/>
          <w:color w:val="000000" w:themeColor="text1"/>
          <w:kern w:val="2"/>
          <w:sz w:val="21"/>
          <w:szCs w:val="21"/>
          <w:lang w:val="en-US" w:eastAsia="zh-CN"/>
          <w14:textFill>
            <w14:solidFill>
              <w14:schemeClr w14:val="tx1"/>
            </w14:solidFill>
          </w14:textFill>
        </w:rPr>
        <w:t>适用于有色金属行业采选、冶炼、加工企业参考本标准开展数据分类分级工作,同时为数据处理者进行数据分类分级提供参考。</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2、基本原则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除遵循GB/T 43697基本原则外，还应当遵循以下原则：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战略资源评估原则：从有色金属资源战略属性进行评估，识别对国家资源安全、产业链自主可控及国际市场话语权具有直接影响的数据，一旦泄露或滥用可能削弱国家在全球资源竞争中的优势，影响产业链关键环节的稳定性；</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安全风险影响原则：从国家安全、社会秩序、经济运行、行业发展和工业生产等角度识别工业数据的影响力，数据一旦被泄露、篡改、损毁、非法获取或非法使用，对国家、社会、经济、行业和企业造成的安全事故风险和经济损失程度；</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（3）定性定量结合原则：以定性与定量相结合的方式识别重要数据，并根据具体数据类型、数据用途、数据来源采取不同的定性或定量方法。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3、数据分类规则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（1）数据分类框架</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的数据分类框架应结合行业特点，按照业务属性进行细化分类。常见业务属性包括但不限于金属门类、流程环节、业务场景、业务对象等属性进行细化分类；如涉及法律法规有专门管理要求的数据类别，应按照有关规定和标准进行识别和分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（2）数据分类方法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数据分类应根据数据管理和使用需求，结合已有数据分类基础，灵活选择业务属性将数据细化分类。有色金属行业企业可参考以下步骤开展工业数据分类：明确数据范围、细化业务分类、选择业务属性、确定分类规则，可采取“金属门类→</w:t>
      </w:r>
      <w:r>
        <w:rPr>
          <w:rFonts w:hint="eastAsia" w:ascii="宋体" w:hAnsi="宋体" w:eastAsia="宋体" w:cs="Times New Roman"/>
          <w:spacing w:val="0"/>
          <w:lang w:val="en-US" w:eastAsia="zh-CN"/>
        </w:rPr>
        <w:t>流程</w:t>
      </w:r>
      <w:r>
        <w:rPr>
          <w:rFonts w:hint="eastAsia" w:ascii="宋体" w:hAnsi="宋体" w:cs="Times New Roman"/>
          <w:spacing w:val="0"/>
          <w:lang w:val="en-US" w:eastAsia="zh-CN"/>
        </w:rPr>
        <w:t>环节</w:t>
      </w:r>
      <w:r>
        <w:rPr>
          <w:rFonts w:hint="eastAsia" w:ascii="宋体" w:hAnsi="宋体" w:eastAsia="宋体" w:cs="宋体"/>
          <w:color w:val="000000" w:themeColor="text1"/>
          <w:kern w:val="2"/>
          <w:sz w:val="21"/>
          <w:szCs w:val="21"/>
          <w:lang w:val="en-US" w:eastAsia="zh-CN"/>
          <w14:textFill>
            <w14:solidFill>
              <w14:schemeClr w14:val="tx1"/>
            </w14:solidFill>
          </w14:textFill>
        </w:rPr>
        <w:t>→业务场景→对象集合→属性集合”方式</w:t>
      </w:r>
      <w:r>
        <w:rPr>
          <w:rFonts w:hint="eastAsia" w:ascii="宋体" w:hAnsi="宋体" w:cs="Times New Roman"/>
          <w:spacing w:val="0"/>
          <w:lang w:val="en-US" w:eastAsia="zh-CN"/>
        </w:rPr>
        <w:t>确定</w:t>
      </w:r>
      <w:r>
        <w:rPr>
          <w:rFonts w:hint="eastAsia" w:ascii="宋体" w:hAnsi="宋体" w:eastAsia="宋体" w:cs="Times New Roman"/>
          <w:spacing w:val="0"/>
          <w:lang w:val="en-US" w:eastAsia="zh-CN"/>
        </w:rPr>
        <w:t>分类规则，</w:t>
      </w:r>
      <w:r>
        <w:rPr>
          <w:rFonts w:hint="eastAsia" w:ascii="宋体" w:hAnsi="宋体" w:cs="Times New Roman"/>
          <w:spacing w:val="0"/>
          <w:lang w:val="en-US" w:eastAsia="zh-CN"/>
        </w:rPr>
        <w:t>可</w:t>
      </w:r>
      <w:r>
        <w:rPr>
          <w:rFonts w:hint="eastAsia" w:ascii="宋体" w:hAnsi="宋体" w:eastAsia="宋体" w:cs="Times New Roman"/>
          <w:spacing w:val="0"/>
          <w:lang w:val="en-US" w:eastAsia="zh-CN"/>
        </w:rPr>
        <w:t>对数据分类结果进</w:t>
      </w:r>
      <w:r>
        <w:rPr>
          <w:rFonts w:hint="eastAsia" w:ascii="宋体" w:hAnsi="宋体" w:cs="Times New Roman"/>
          <w:spacing w:val="0"/>
          <w:lang w:val="en-US" w:eastAsia="zh-CN"/>
        </w:rPr>
        <w:t>一步</w:t>
      </w:r>
      <w:r>
        <w:rPr>
          <w:rFonts w:hint="eastAsia" w:ascii="宋体" w:hAnsi="宋体" w:eastAsia="宋体" w:cs="Times New Roman"/>
          <w:spacing w:val="0"/>
          <w:lang w:val="en-US" w:eastAsia="zh-CN"/>
        </w:rPr>
        <w:t>归类，将具有相似主题的数据子类进行归</w:t>
      </w:r>
      <w:r>
        <w:rPr>
          <w:rFonts w:hint="eastAsia" w:ascii="宋体" w:hAnsi="宋体" w:cs="Times New Roman"/>
          <w:spacing w:val="0"/>
          <w:lang w:val="en-US" w:eastAsia="zh-CN"/>
        </w:rPr>
        <w:t>并</w:t>
      </w:r>
      <w:r>
        <w:rPr>
          <w:rFonts w:hint="eastAsia" w:ascii="宋体" w:hAnsi="宋体" w:eastAsia="宋体" w:cs="宋体"/>
          <w:color w:val="000000" w:themeColor="text1"/>
          <w:kern w:val="2"/>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4、数据分级规则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（1）数据分级框架</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数据在国家安全、社会秩序、经济运行、行业发展和工业生产的重要程度，以及一旦遭到泄露、篡改、损毁、或者非法获取、非法使用、非法共享造成的危害程度，将数据从高到低分为核心数据、重要数据、一般数据三个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（2）数据分级方法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数据分级是为了确保数据在全生命周期内的安全性和合规性，有色金属行业采选、冶炼、加工企业可按照“确定分级对象、重要数据识别、综合确定级别”步骤进行数据分级。</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5、重要数据识别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有色金属行业工业数据识别维度包括与国家秘密生成相关、与国家安全相关、与行业发展相关、与工业领域出口管制物项相关、与</w:t>
      </w:r>
      <w:r>
        <w:rPr>
          <w:rFonts w:hint="eastAsia" w:ascii="宋体" w:hAnsi="宋体" w:eastAsia="宋体" w:cs="Times New Roman"/>
          <w:lang w:val="en-US" w:eastAsia="zh-CN"/>
        </w:rPr>
        <w:t>行业经济效益和产业保障</w:t>
      </w:r>
      <w:r>
        <w:rPr>
          <w:rFonts w:hint="eastAsia" w:ascii="宋体" w:hAnsi="宋体" w:eastAsia="宋体" w:cs="宋体"/>
          <w:color w:val="000000" w:themeColor="text1"/>
          <w:kern w:val="2"/>
          <w:sz w:val="21"/>
          <w:szCs w:val="21"/>
          <w:lang w:val="en-US" w:eastAsia="zh-CN"/>
          <w14:textFill>
            <w14:solidFill>
              <w14:schemeClr w14:val="tx1"/>
            </w14:solidFill>
          </w14:textFill>
        </w:rPr>
        <w:t>相关、其他，按照数据与分级维度的相符性确定数据为核心数据、重要数据或一般数据。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6、综合确定级别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有色金属行业企业确定工业数据分级对象后，完成重要数据识别，进一步分析数据影响和危害程度，按照以下规则综合确定数据级别：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（1）重要数据：符合重要数据识别中任意一个识别维度的数据均属于重要数据；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（2）核心数据：</w:t>
      </w:r>
      <w:r>
        <w:rPr>
          <w:rFonts w:hint="eastAsia" w:ascii="宋体" w:hAnsi="宋体" w:eastAsia="宋体" w:cs="宋体"/>
          <w:i w:val="0"/>
          <w:iCs w:val="0"/>
          <w:caps w:val="0"/>
          <w:color w:val="060607"/>
          <w:spacing w:val="0"/>
          <w:sz w:val="21"/>
          <w:szCs w:val="21"/>
          <w:shd w:val="clear" w:fill="FFFFFF"/>
          <w:lang w:val="en-US" w:eastAsia="zh-CN"/>
        </w:rPr>
        <w:t>在重要数据范围内，对国家战略保障造成直接危害或重大风险，或易引发特别重大生产安全事故或突发环境事件，或造成直接经济损失特别巨大的重要数据识别为核心数据</w:t>
      </w:r>
      <w:r>
        <w:rPr>
          <w:rFonts w:hint="eastAsia" w:ascii="宋体" w:hAnsi="宋体" w:eastAsia="宋体" w:cs="宋体"/>
          <w:color w:val="000000" w:themeColor="text1"/>
          <w:kern w:val="2"/>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（3）一般数据：未识别为核心数据、重要数据的其他数据,确定为一般数据；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（4）如待分级数据涉及多个要素、多个影响对象或影响程度,应按照就高从严原则确定数据级别；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（5）根据数据重要程度和可能造成的危害程度的变化,应对数据级别进行动态更新。</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7、数据分类分级流程</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有色金属行业企业作为工业数据处理者在进行数据分类分级工作时，可按照数据资产梳理、重要数据识别、内部审批、重要数据目录备案四个阶段开展工作。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（1）数据资产梳理</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有色金属行业企业应组织相关数据所属部门（如研发、生产、运维部门等），全面梳理盘点数据资产，形成数据资产清单。对数据进行分类，并对公共数据、外部数据等特殊类别数据进行识别和分类。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（2）重要数据识别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有色金属行业企业应参照重要数据识别维度开展重要数据识别工作，并进一步根据影响和危害程度识别核心数据，确定核心数据、重要数据和一般数据的范围，形成重要数据（含核心数据）清单。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（3）内部审批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有色金属行业企业应对形成的重要数据清单进行内部审批，如审批通过，生成重要数据目录，如审批未通过，应重新开展重要数据识别工作。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（4）重要数据目录备案</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向行业监管部门报送重要数据目录，如重要数据目录审核通过，按要求开展重要数据保护；如重要数据目录审核未通过，应重新开展重要数据识别和报送工作。企业重要数据目录发生重大变化时，及时更新重要数据目录并进行上报。</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试验验证分析、综述报告、技术经济论证、预期达到的经济效益、社会效益和生态效益</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default" w:hAnsi="黑体" w:cs="黑体"/>
          <w:color w:val="auto"/>
          <w:szCs w:val="21"/>
          <w:lang w:val="en-US" w:eastAsia="zh-CN"/>
        </w:rPr>
      </w:pPr>
      <w:r>
        <w:rPr>
          <w:rFonts w:hint="eastAsia" w:hAnsi="黑体" w:cs="黑体"/>
          <w:color w:val="auto"/>
          <w:szCs w:val="21"/>
          <w:lang w:val="en-US" w:eastAsia="zh-CN"/>
        </w:rPr>
        <w:t>3.</w:t>
      </w:r>
      <w:r>
        <w:rPr>
          <w:rFonts w:hint="default" w:hAnsi="黑体" w:cs="黑体"/>
          <w:color w:val="auto"/>
          <w:szCs w:val="21"/>
          <w:lang w:val="en-US" w:eastAsia="zh-CN"/>
        </w:rPr>
        <w:t>1</w:t>
      </w:r>
      <w:r>
        <w:rPr>
          <w:rFonts w:hint="eastAsia" w:hAnsi="黑体" w:cs="黑体"/>
          <w:color w:val="auto"/>
          <w:szCs w:val="21"/>
          <w:lang w:val="en-US" w:eastAsia="zh-CN"/>
        </w:rPr>
        <w:t xml:space="preserve"> </w:t>
      </w:r>
      <w:r>
        <w:rPr>
          <w:rFonts w:hint="default" w:hAnsi="黑体" w:cs="黑体"/>
          <w:color w:val="auto"/>
          <w:szCs w:val="21"/>
          <w:lang w:val="en-US" w:eastAsia="zh-CN"/>
        </w:rPr>
        <w:t>试验验证分析</w:t>
      </w:r>
      <w:r>
        <w:rPr>
          <w:rFonts w:hint="eastAsia" w:hAnsi="黑体" w:cs="黑体"/>
          <w:color w:val="auto"/>
          <w:szCs w:val="21"/>
          <w:lang w:val="en-US" w:eastAsia="zh-CN"/>
        </w:rPr>
        <w:t>、</w:t>
      </w:r>
      <w:r>
        <w:rPr>
          <w:rFonts w:hint="default" w:hAnsi="黑体" w:cs="黑体"/>
          <w:color w:val="auto"/>
          <w:szCs w:val="21"/>
          <w:lang w:val="en-US" w:eastAsia="zh-CN"/>
        </w:rPr>
        <w:t>综述报告</w:t>
      </w:r>
      <w:r>
        <w:rPr>
          <w:rFonts w:hint="eastAsia" w:hAnsi="黑体" w:cs="黑体"/>
          <w:color w:val="auto"/>
          <w:szCs w:val="21"/>
          <w:lang w:val="en-US" w:eastAsia="zh-CN"/>
        </w:rPr>
        <w:t>和技术经济论证</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w:t>
      </w:r>
      <w:r>
        <w:rPr>
          <w:rFonts w:hint="default" w:ascii="宋体" w:hAnsi="宋体" w:eastAsia="宋体" w:cs="宋体"/>
          <w:color w:val="000000" w:themeColor="text1"/>
          <w:kern w:val="2"/>
          <w:sz w:val="21"/>
          <w:szCs w:val="21"/>
          <w:lang w:val="en-US" w:eastAsia="zh-CN"/>
          <w14:textFill>
            <w14:solidFill>
              <w14:schemeClr w14:val="tx1"/>
            </w14:solidFill>
          </w14:textFill>
        </w:rPr>
        <w:t>项目的必要性</w:t>
      </w:r>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2024年2月23日，工业和信息化部印发《工业领域数据安全能力提升实施方案（2024-2026年）》，明确提出“分行业分领域研究制定重要数据和核心数据识别细则，形成‘1+N’的工业领域数据分类分级规范体系，科学指导各行业落地实施”的工作要求。</w:t>
      </w:r>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工业数据安全能力提升的核心前提是做好数据分类分级、精准识别重要与核心数据，进而建立健全安全保护机制。为此，制定《有色金属行业工业数据分类分级指南》，既是落实《实施方案》的关键举措，也是推动《数据安全法》《工业和信息化领域数据安全管理办法（试行）》等法规在工业领域全面落地深化的具体实践，更为有色金属企业提升数据安全治理水平、促进数据要素在产业链上下游有序流转及价值释放提供坚实支撑。</w:t>
      </w:r>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在国家数据安全工作统筹指导下，以《数据安全法》《网络安全法》等法律法规为遵循，依据相关管理办法编制，为有色金属行业提供全面系统、科学适用的分类分级标准，旨在指导行业采选、冶炼、加工全链条企业规范开展数据分类分级工作，为企业合规数据处理、强化安全管理、高效开发利用数据筑牢基础，助力行业数字化转型，赋能制造业高质量发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w:t>
      </w:r>
      <w:r>
        <w:rPr>
          <w:rFonts w:hint="default" w:ascii="宋体" w:hAnsi="宋体" w:eastAsia="宋体" w:cs="宋体"/>
          <w:color w:val="000000" w:themeColor="text1"/>
          <w:kern w:val="2"/>
          <w:sz w:val="21"/>
          <w:szCs w:val="21"/>
          <w:lang w:val="en-US" w:eastAsia="zh-CN"/>
          <w14:textFill>
            <w14:solidFill>
              <w14:schemeClr w14:val="tx1"/>
            </w14:solidFill>
          </w14:textFill>
        </w:rPr>
        <w:t>项目的</w:t>
      </w:r>
      <w:r>
        <w:rPr>
          <w:rFonts w:hint="eastAsia" w:ascii="宋体" w:hAnsi="宋体" w:eastAsia="宋体" w:cs="宋体"/>
          <w:color w:val="000000" w:themeColor="text1"/>
          <w:kern w:val="2"/>
          <w:sz w:val="21"/>
          <w:szCs w:val="21"/>
          <w:lang w:val="en-US" w:eastAsia="zh-CN"/>
          <w14:textFill>
            <w14:solidFill>
              <w14:schemeClr w14:val="tx1"/>
            </w14:solidFill>
          </w14:textFill>
        </w:rPr>
        <w:t>可行性</w:t>
      </w:r>
    </w:p>
    <w:p>
      <w:pPr>
        <w:spacing w:after="0" w:line="360" w:lineRule="auto"/>
        <w:ind w:firstLine="420" w:firstLineChars="200"/>
        <w:jc w:val="both"/>
        <w:rPr>
          <w:rFonts w:hint="eastAsia"/>
          <w:lang w:val="en-US" w:eastAsia="zh-CN"/>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本标准从有色金属行业工业数据分类分级的基本原则、数据分类规则和数据分级规则</w:t>
      </w:r>
      <w:r>
        <w:rPr>
          <w:rFonts w:hint="eastAsia" w:hAnsi="黑体" w:cs="黑体"/>
          <w:color w:val="000000" w:themeColor="text1"/>
          <w:kern w:val="2"/>
          <w:sz w:val="21"/>
          <w:szCs w:val="21"/>
          <w:lang w:val="en-US" w:eastAsia="zh-CN" w:bidi="ar-SA"/>
          <w14:textFill>
            <w14:solidFill>
              <w14:schemeClr w14:val="tx1"/>
            </w14:solidFill>
          </w14:textFill>
        </w:rPr>
        <w:t>提供参考指南，</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面向采选、冶炼、加工等细分业务领域，在责任主体、流程环节、描述对象等方面进行分类</w:t>
      </w:r>
      <w:r>
        <w:rPr>
          <w:rFonts w:hint="eastAsia" w:hAnsi="黑体" w:cs="黑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对国家安全、社会秩序、经济运行和行业发展等方面带来的潜在影响进行数据分级</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，对于科学引导有色金属行业企业开展数据分类分级工作</w:t>
      </w:r>
      <w:r>
        <w:rPr>
          <w:rFonts w:hint="eastAsia" w:hAnsi="黑体" w:cs="黑体"/>
          <w:color w:val="000000" w:themeColor="text1"/>
          <w:kern w:val="2"/>
          <w:sz w:val="21"/>
          <w:szCs w:val="21"/>
          <w:lang w:val="en-US" w:eastAsia="zh-CN" w:bidi="ar-SA"/>
          <w14:textFill>
            <w14:solidFill>
              <w14:schemeClr w14:val="tx1"/>
            </w14:solidFill>
          </w14:textFill>
        </w:rPr>
        <w:t>，</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明确数字化转型路径具有指导性意义。</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default" w:hAnsi="黑体" w:cs="黑体"/>
          <w:color w:val="auto"/>
          <w:szCs w:val="21"/>
          <w:lang w:val="en-US" w:eastAsia="zh-CN"/>
        </w:rPr>
      </w:pPr>
      <w:r>
        <w:rPr>
          <w:rFonts w:hint="eastAsia" w:hAnsi="黑体" w:cs="黑体"/>
          <w:color w:val="auto"/>
          <w:szCs w:val="21"/>
          <w:lang w:val="en-US" w:eastAsia="zh-CN"/>
        </w:rPr>
        <w:t xml:space="preserve">3.2 </w:t>
      </w:r>
      <w:r>
        <w:rPr>
          <w:rFonts w:hint="default" w:hAnsi="黑体" w:cs="黑体"/>
          <w:color w:val="auto"/>
          <w:szCs w:val="21"/>
          <w:lang w:val="en-US" w:eastAsia="zh-CN"/>
        </w:rPr>
        <w:t>标准的先进性、创新性、标准实施后预期产生的经济效益和社会效益</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先进性、创新性</w:t>
      </w:r>
    </w:p>
    <w:p>
      <w:pPr>
        <w:spacing w:after="0" w:line="360" w:lineRule="auto"/>
        <w:ind w:firstLine="420" w:firstLineChars="200"/>
        <w:jc w:val="both"/>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作为行业首个针对性指南，衔接国家法规与智能制造战略，填补行业数据分类分级空白。创新构建“多要素识别+影响程度评估”分级逻辑，覆盖全产业链及多元数据形态，通过“政产学研用”协同模式，实现通用标准向行业专用标准的精准升级，兼顾技术适配性与战略导向性。</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2、经济效益</w:t>
      </w:r>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本标准的制定和实施能够</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打破数据孤岛，优化产业链资源配置，提升全流程运行效率</w:t>
      </w:r>
      <w:r>
        <w:rPr>
          <w:rFonts w:hint="eastAsia" w:hAnsi="黑体" w:cs="黑体"/>
          <w:color w:val="000000" w:themeColor="text1"/>
          <w:kern w:val="2"/>
          <w:sz w:val="21"/>
          <w:szCs w:val="21"/>
          <w:lang w:val="en-US" w:eastAsia="zh-CN" w:bidi="ar-SA"/>
          <w14:textFill>
            <w14:solidFill>
              <w14:schemeClr w14:val="tx1"/>
            </w14:solidFill>
          </w14:textFill>
        </w:rPr>
        <w:t>，</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降低企业试错与运维成本，助力数字化转型及生产工艺优化，压缩能耗物料消耗</w:t>
      </w:r>
      <w:r>
        <w:rPr>
          <w:rFonts w:hint="eastAsia" w:hAnsi="黑体" w:cs="黑体"/>
          <w:color w:val="000000" w:themeColor="text1"/>
          <w:kern w:val="2"/>
          <w:sz w:val="21"/>
          <w:szCs w:val="21"/>
          <w:lang w:val="en-US" w:eastAsia="zh-CN" w:bidi="ar-SA"/>
          <w14:textFill>
            <w14:solidFill>
              <w14:schemeClr w14:val="tx1"/>
            </w14:solidFill>
          </w14:textFill>
        </w:rPr>
        <w:t>。同时，</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强化核心数据保护与技术创新，提升产品附加值，增强国际市场话语权与产业竞争力。</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3、社会效益</w:t>
      </w:r>
    </w:p>
    <w:p>
      <w:pPr>
        <w:spacing w:after="0" w:line="360" w:lineRule="auto"/>
        <w:ind w:firstLine="420" w:firstLineChars="200"/>
        <w:jc w:val="both"/>
        <w:rPr>
          <w:rFonts w:hint="eastAsia"/>
          <w:lang w:val="en-US" w:eastAsia="zh-CN"/>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本标准的制定和实施能够发挥好标准在有色金属行业数字化转型的规范和引导作用，提升企业数字化转型的认识，在促进行业高质量发展等方面发挥重要社会效益。</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4、生态效益</w:t>
      </w:r>
    </w:p>
    <w:p>
      <w:pPr>
        <w:spacing w:after="0" w:line="360" w:lineRule="auto"/>
        <w:ind w:firstLine="420" w:firstLineChars="200"/>
        <w:jc w:val="both"/>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本标准的制定和实施为有色金属行业提供了统一的、</w:t>
      </w:r>
      <w:r>
        <w:rPr>
          <w:rFonts w:hint="eastAsia" w:hAnsi="黑体" w:cs="黑体"/>
          <w:color w:val="000000" w:themeColor="text1"/>
          <w:kern w:val="2"/>
          <w:sz w:val="21"/>
          <w:szCs w:val="21"/>
          <w:lang w:val="en-US" w:eastAsia="zh-CN" w:bidi="ar-SA"/>
          <w14:textFill>
            <w14:solidFill>
              <w14:schemeClr w14:val="tx1"/>
            </w14:solidFill>
          </w14:textFill>
        </w:rPr>
        <w:t>标准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化的</w:t>
      </w:r>
      <w:r>
        <w:rPr>
          <w:rFonts w:hint="eastAsia" w:hAnsi="黑体" w:cs="黑体"/>
          <w:color w:val="000000" w:themeColor="text1"/>
          <w:kern w:val="2"/>
          <w:sz w:val="21"/>
          <w:szCs w:val="21"/>
          <w:lang w:val="en-US" w:eastAsia="zh-CN" w:bidi="ar-SA"/>
          <w14:textFill>
            <w14:solidFill>
              <w14:schemeClr w14:val="tx1"/>
            </w14:solidFill>
          </w14:textFill>
        </w:rPr>
        <w:t>数据分类分级规则</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，为有色金属行业各细分领域数字化转型成熟度评估诊断提供依据，能够推动行业企业对标找差距，推动行业提质升级、降本增效、绿色安全发展。</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与国际标准和国外先进标准技术内容的对比</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未标准没有国际标准和国外先进标准技术</w:t>
      </w:r>
      <w:r>
        <w:rPr>
          <w:rFonts w:hint="eastAsia" w:hAnsi="黑体" w:cs="黑体"/>
          <w:color w:val="000000" w:themeColor="text1"/>
          <w:kern w:val="2"/>
          <w:sz w:val="21"/>
          <w:szCs w:val="21"/>
          <w:lang w:val="en-US" w:eastAsia="zh-CN" w:bidi="ar-SA"/>
          <w14:textFill>
            <w14:solidFill>
              <w14:schemeClr w14:val="tx1"/>
            </w14:solidFill>
          </w14:textFill>
        </w:rPr>
        <w:t>内容</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可以</w:t>
      </w:r>
      <w:r>
        <w:rPr>
          <w:rFonts w:hint="eastAsia" w:hAnsi="黑体" w:cs="黑体"/>
          <w:color w:val="000000" w:themeColor="text1"/>
          <w:kern w:val="2"/>
          <w:sz w:val="21"/>
          <w:szCs w:val="21"/>
          <w:lang w:val="en-US" w:eastAsia="zh-CN" w:bidi="ar-SA"/>
          <w14:textFill>
            <w14:solidFill>
              <w14:schemeClr w14:val="tx1"/>
            </w14:solidFill>
          </w14:textFill>
        </w:rPr>
        <w:t xml:space="preserve">对比 </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以国际标准为基础的起草情况以及是否合规采用国际国外标准、未采用国际标准的原因</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本标准制订过程中未查到同类国际国外标准。</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与有关法律、行政法规及相关标准的关系</w:t>
      </w:r>
    </w:p>
    <w:p>
      <w:pPr>
        <w:spacing w:after="0" w:line="360" w:lineRule="auto"/>
        <w:ind w:firstLine="420" w:firstLineChars="200"/>
        <w:rPr>
          <w:rFonts w:hint="eastAsia"/>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本标准符合现行法律、法规的要求，并与其他同类国家标准、国家J用标准、行业标准无冲突、重叠和不协调之处。</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重大分歧意见的处理经过和依据</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本标准未产生重大分歧意见。</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涉及专利的有关说明</w:t>
      </w:r>
    </w:p>
    <w:p>
      <w:pPr>
        <w:spacing w:after="0" w:line="360" w:lineRule="auto"/>
        <w:ind w:firstLine="420" w:firstLineChars="200"/>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本标准不涉及专利问题。</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实施国家标准的要求以及组织措施、技术措施、过渡期和实施日期的建议等措施建议</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根据标准化法和有关规定，本标准建议作为推荐性行业标准发布。</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本标准的内容是推荐性的，建议标准发布后即可实施，建议本标准由</w:t>
      </w:r>
      <w:r>
        <w:rPr>
          <w:rFonts w:hint="eastAsia" w:hAnsi="黑体" w:cs="黑体"/>
          <w:color w:val="000000" w:themeColor="text1"/>
          <w:kern w:val="2"/>
          <w:sz w:val="21"/>
          <w:szCs w:val="21"/>
          <w:lang w:val="en-US" w:eastAsia="zh-CN" w:bidi="ar-SA"/>
          <w14:textFill>
            <w14:solidFill>
              <w14:schemeClr w14:val="tx1"/>
            </w14:solidFill>
          </w14:textFill>
        </w:rPr>
        <w:t>各级人民政府的工业和信息化行政主管部门负责</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监督</w:t>
      </w:r>
      <w:r>
        <w:rPr>
          <w:rFonts w:hint="eastAsia" w:hAnsi="黑体" w:cs="黑体"/>
          <w:color w:val="000000" w:themeColor="text1"/>
          <w:kern w:val="2"/>
          <w:sz w:val="21"/>
          <w:szCs w:val="21"/>
          <w:lang w:val="en-US" w:eastAsia="zh-CN" w:bidi="ar-SA"/>
          <w14:textFill>
            <w14:solidFill>
              <w14:schemeClr w14:val="tx1"/>
            </w14:solidFill>
          </w14:textFill>
        </w:rPr>
        <w:t>实施</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w:t>
      </w:r>
    </w:p>
    <w:p>
      <w:pPr>
        <w:spacing w:after="0" w:line="360" w:lineRule="auto"/>
        <w:ind w:firstLine="420" w:firstLineChars="200"/>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本标准制定的内容不仅与生产企业有关，而且与评估机构、行业监督管理部门等相关，对于标准使用过程中容易出现的问题，起草单位有义务进行必要的解释。</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r>
        <w:rPr>
          <w:rFonts w:hint="eastAsia" w:ascii="黑体" w:hAnsi="宋体" w:eastAsia="黑体" w:cs="Arial"/>
          <w:color w:val="auto"/>
          <w:kern w:val="0"/>
          <w:sz w:val="21"/>
          <w:szCs w:val="21"/>
          <w:lang w:val="en-US" w:eastAsia="zh-CN"/>
        </w:rPr>
        <w:t>其他应予说明的事项</w:t>
      </w:r>
    </w:p>
    <w:p>
      <w:pPr>
        <w:spacing w:after="0" w:line="360" w:lineRule="auto"/>
        <w:ind w:firstLine="420" w:firstLineChars="200"/>
        <w:rPr>
          <w:rFonts w:hint="eastAsia" w:hAnsi="黑体" w:cs="黑体"/>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无。</w:t>
      </w:r>
    </w:p>
    <w:p>
      <w:pPr>
        <w:spacing w:line="440" w:lineRule="exact"/>
        <w:jc w:val="right"/>
        <w:rPr>
          <w:rFonts w:hint="eastAsia"/>
          <w:color w:val="auto"/>
          <w:sz w:val="21"/>
          <w:szCs w:val="21"/>
        </w:rPr>
      </w:pPr>
    </w:p>
    <w:p>
      <w:pPr>
        <w:spacing w:line="440" w:lineRule="exact"/>
        <w:jc w:val="right"/>
        <w:rPr>
          <w:rFonts w:hint="eastAsia"/>
          <w:color w:val="auto"/>
          <w:sz w:val="21"/>
          <w:szCs w:val="21"/>
        </w:rPr>
      </w:pPr>
    </w:p>
    <w:p>
      <w:pPr>
        <w:spacing w:line="440" w:lineRule="exact"/>
        <w:jc w:val="right"/>
        <w:rPr>
          <w:rFonts w:ascii="宋体" w:hAnsi="宋体" w:eastAsia="宋体"/>
          <w:color w:val="auto"/>
          <w:sz w:val="21"/>
          <w:szCs w:val="21"/>
        </w:rPr>
      </w:pPr>
      <w:r>
        <w:rPr>
          <w:rFonts w:hint="eastAsia"/>
          <w:color w:val="auto"/>
          <w:sz w:val="21"/>
          <w:szCs w:val="21"/>
        </w:rPr>
        <w:t>《</w:t>
      </w:r>
      <w:r>
        <w:rPr>
          <w:rFonts w:hint="eastAsia"/>
          <w:color w:val="auto"/>
          <w:sz w:val="21"/>
          <w:szCs w:val="21"/>
          <w:lang w:val="en-US" w:eastAsia="zh-CN"/>
        </w:rPr>
        <w:t>有色金属行业工业数据分类分级指南</w:t>
      </w:r>
      <w:r>
        <w:rPr>
          <w:rFonts w:hint="eastAsia"/>
          <w:color w:val="auto"/>
          <w:sz w:val="21"/>
          <w:szCs w:val="21"/>
        </w:rPr>
        <w:t>》</w:t>
      </w:r>
      <w:r>
        <w:rPr>
          <w:rFonts w:hint="eastAsia" w:ascii="宋体" w:hAnsi="宋体" w:eastAsia="宋体"/>
          <w:color w:val="auto"/>
          <w:sz w:val="21"/>
          <w:szCs w:val="21"/>
        </w:rPr>
        <w:t>编制组</w:t>
      </w:r>
    </w:p>
    <w:p>
      <w:pPr>
        <w:spacing w:before="312" w:beforeLines="100" w:line="440" w:lineRule="exact"/>
        <w:jc w:val="right"/>
        <w:rPr>
          <w:rFonts w:ascii="宋体" w:hAnsi="宋体" w:eastAsia="宋体"/>
          <w:color w:val="auto"/>
          <w:szCs w:val="21"/>
        </w:rPr>
      </w:pPr>
      <w:r>
        <w:rPr>
          <w:rFonts w:hint="eastAsia" w:ascii="宋体" w:hAnsi="宋体" w:eastAsia="宋体"/>
          <w:color w:val="auto"/>
          <w:sz w:val="21"/>
          <w:szCs w:val="21"/>
        </w:rPr>
        <w:t>202</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月</w:t>
      </w:r>
    </w:p>
    <w:p>
      <w:pPr>
        <w:spacing w:before="312" w:beforeLines="100" w:line="440" w:lineRule="exact"/>
        <w:jc w:val="right"/>
        <w:rPr>
          <w:rFonts w:ascii="宋体" w:hAnsi="宋体" w:eastAsia="宋体"/>
          <w:color w:val="auto"/>
          <w:szCs w:val="21"/>
        </w:rPr>
      </w:pPr>
    </w:p>
    <w:sectPr>
      <w:pgSz w:w="11906" w:h="16838"/>
      <w:pgMar w:top="1417" w:right="1134" w:bottom="113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QWRLLA+MicrosoftYaHei-Bold">
    <w:altName w:val="Segoe UI Symbol"/>
    <w:panose1 w:val="02000500000000000000"/>
    <w:charset w:val="01"/>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21D00"/>
    <w:multiLevelType w:val="singleLevel"/>
    <w:tmpl w:val="82921D00"/>
    <w:lvl w:ilvl="0" w:tentative="0">
      <w:start w:val="1"/>
      <w:numFmt w:val="decimal"/>
      <w:suff w:val="nothing"/>
      <w:lvlText w:val="%1、"/>
      <w:lvlJc w:val="left"/>
    </w:lvl>
  </w:abstractNum>
  <w:abstractNum w:abstractNumId="1">
    <w:nsid w:val="1349A11B"/>
    <w:multiLevelType w:val="singleLevel"/>
    <w:tmpl w:val="1349A11B"/>
    <w:lvl w:ilvl="0" w:tentative="0">
      <w:start w:val="1"/>
      <w:numFmt w:val="decimal"/>
      <w:suff w:val="nothing"/>
      <w:lvlText w:val="（%1）"/>
      <w:lvlJc w:val="left"/>
      <w:pPr>
        <w:tabs>
          <w:tab w:val="left" w:pos="0"/>
        </w:tabs>
      </w:pPr>
      <w:rPr>
        <w:rFonts w:hint="default"/>
      </w:rPr>
    </w:lvl>
  </w:abstractNum>
  <w:abstractNum w:abstractNumId="2">
    <w:nsid w:val="657D3FBC"/>
    <w:multiLevelType w:val="multilevel"/>
    <w:tmpl w:val="657D3FBC"/>
    <w:lvl w:ilvl="0" w:tentative="0">
      <w:start w:val="1"/>
      <w:numFmt w:val="upperLetter"/>
      <w:pStyle w:val="4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F986064"/>
    <w:multiLevelType w:val="singleLevel"/>
    <w:tmpl w:val="7F986064"/>
    <w:lvl w:ilvl="0" w:tentative="0">
      <w:start w:val="1"/>
      <w:numFmt w:val="chineseCounting"/>
      <w:suff w:val="nothing"/>
      <w:lvlText w:val="%1、"/>
      <w:lvlJc w:val="left"/>
      <w:pPr>
        <w:ind w:left="0" w:firstLine="0"/>
      </w:pPr>
      <w:rPr>
        <w:rFonts w:hint="eastAsia" w:ascii="黑体" w:hAnsi="黑体" w:eastAsia="黑体" w:cs="黑体"/>
        <w:sz w:val="21"/>
        <w:szCs w:val="21"/>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FiYzEyMGYxNjdhN2I2ODlmY2E1MmZjYThkZWYifQ=="/>
  </w:docVars>
  <w:rsids>
    <w:rsidRoot w:val="0049152D"/>
    <w:rsid w:val="00000899"/>
    <w:rsid w:val="00002C81"/>
    <w:rsid w:val="0000483E"/>
    <w:rsid w:val="000052AC"/>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3F9"/>
    <w:rsid w:val="0002350F"/>
    <w:rsid w:val="00025C36"/>
    <w:rsid w:val="00026B44"/>
    <w:rsid w:val="00026C0C"/>
    <w:rsid w:val="000312D7"/>
    <w:rsid w:val="00032958"/>
    <w:rsid w:val="00033C9E"/>
    <w:rsid w:val="00035A30"/>
    <w:rsid w:val="000362EA"/>
    <w:rsid w:val="0003648A"/>
    <w:rsid w:val="0003697D"/>
    <w:rsid w:val="000370C9"/>
    <w:rsid w:val="000376FC"/>
    <w:rsid w:val="00041459"/>
    <w:rsid w:val="000425E5"/>
    <w:rsid w:val="00043943"/>
    <w:rsid w:val="00045C0A"/>
    <w:rsid w:val="00047256"/>
    <w:rsid w:val="00047805"/>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60"/>
    <w:rsid w:val="000738A3"/>
    <w:rsid w:val="00073EA4"/>
    <w:rsid w:val="00073F45"/>
    <w:rsid w:val="00074BD0"/>
    <w:rsid w:val="00075228"/>
    <w:rsid w:val="00076905"/>
    <w:rsid w:val="00081042"/>
    <w:rsid w:val="00082E8F"/>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46"/>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41AB"/>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1AA"/>
    <w:rsid w:val="00164320"/>
    <w:rsid w:val="0016453D"/>
    <w:rsid w:val="00165B11"/>
    <w:rsid w:val="00167FF7"/>
    <w:rsid w:val="001710BE"/>
    <w:rsid w:val="00171C88"/>
    <w:rsid w:val="001728AD"/>
    <w:rsid w:val="00173330"/>
    <w:rsid w:val="00175F20"/>
    <w:rsid w:val="0017788A"/>
    <w:rsid w:val="00180B07"/>
    <w:rsid w:val="00180F34"/>
    <w:rsid w:val="00181FDF"/>
    <w:rsid w:val="00183DBE"/>
    <w:rsid w:val="00183F8C"/>
    <w:rsid w:val="00184A11"/>
    <w:rsid w:val="00185294"/>
    <w:rsid w:val="00186280"/>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5066"/>
    <w:rsid w:val="001F5E39"/>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489"/>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DE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1441"/>
    <w:rsid w:val="002931B8"/>
    <w:rsid w:val="00293432"/>
    <w:rsid w:val="00293797"/>
    <w:rsid w:val="002A119B"/>
    <w:rsid w:val="002A1596"/>
    <w:rsid w:val="002A38ED"/>
    <w:rsid w:val="002A39FC"/>
    <w:rsid w:val="002A477A"/>
    <w:rsid w:val="002A52DB"/>
    <w:rsid w:val="002A5373"/>
    <w:rsid w:val="002A61D8"/>
    <w:rsid w:val="002A7451"/>
    <w:rsid w:val="002B0BEE"/>
    <w:rsid w:val="002B1152"/>
    <w:rsid w:val="002B12B9"/>
    <w:rsid w:val="002B1C35"/>
    <w:rsid w:val="002B2BCB"/>
    <w:rsid w:val="002B3266"/>
    <w:rsid w:val="002B33F4"/>
    <w:rsid w:val="002B351D"/>
    <w:rsid w:val="002B45E4"/>
    <w:rsid w:val="002B4A70"/>
    <w:rsid w:val="002B6C88"/>
    <w:rsid w:val="002C11C3"/>
    <w:rsid w:val="002C33FD"/>
    <w:rsid w:val="002C3F54"/>
    <w:rsid w:val="002C42AC"/>
    <w:rsid w:val="002C6308"/>
    <w:rsid w:val="002C6478"/>
    <w:rsid w:val="002C7E20"/>
    <w:rsid w:val="002D16DB"/>
    <w:rsid w:val="002D29B7"/>
    <w:rsid w:val="002D6F42"/>
    <w:rsid w:val="002D75D7"/>
    <w:rsid w:val="002E0513"/>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066E1"/>
    <w:rsid w:val="00310C92"/>
    <w:rsid w:val="00311726"/>
    <w:rsid w:val="00311A03"/>
    <w:rsid w:val="00311EF2"/>
    <w:rsid w:val="00311F46"/>
    <w:rsid w:val="00311F5A"/>
    <w:rsid w:val="00321BF3"/>
    <w:rsid w:val="003222DE"/>
    <w:rsid w:val="00323A14"/>
    <w:rsid w:val="00326E25"/>
    <w:rsid w:val="00327C26"/>
    <w:rsid w:val="0033114F"/>
    <w:rsid w:val="00332590"/>
    <w:rsid w:val="0033375D"/>
    <w:rsid w:val="003341F6"/>
    <w:rsid w:val="00334FD6"/>
    <w:rsid w:val="003375AA"/>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00EF"/>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2716"/>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1FE4"/>
    <w:rsid w:val="003F49C6"/>
    <w:rsid w:val="003F555E"/>
    <w:rsid w:val="003F614E"/>
    <w:rsid w:val="003F7502"/>
    <w:rsid w:val="003F7BA1"/>
    <w:rsid w:val="004022DF"/>
    <w:rsid w:val="00403ADC"/>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2A0"/>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3F90"/>
    <w:rsid w:val="004840FC"/>
    <w:rsid w:val="00486195"/>
    <w:rsid w:val="004863ED"/>
    <w:rsid w:val="00486436"/>
    <w:rsid w:val="004869D0"/>
    <w:rsid w:val="00486D21"/>
    <w:rsid w:val="00487974"/>
    <w:rsid w:val="004900F7"/>
    <w:rsid w:val="0049152D"/>
    <w:rsid w:val="00494307"/>
    <w:rsid w:val="004943AB"/>
    <w:rsid w:val="00495C7F"/>
    <w:rsid w:val="00496CFF"/>
    <w:rsid w:val="00497207"/>
    <w:rsid w:val="004A1953"/>
    <w:rsid w:val="004A28E4"/>
    <w:rsid w:val="004A2B95"/>
    <w:rsid w:val="004A5387"/>
    <w:rsid w:val="004B0F1A"/>
    <w:rsid w:val="004B12D0"/>
    <w:rsid w:val="004B2DFA"/>
    <w:rsid w:val="004C37E3"/>
    <w:rsid w:val="004C5DDC"/>
    <w:rsid w:val="004C639B"/>
    <w:rsid w:val="004C7324"/>
    <w:rsid w:val="004D0ACA"/>
    <w:rsid w:val="004D14B7"/>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47C6B"/>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0D96"/>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65"/>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6D45"/>
    <w:rsid w:val="005B7284"/>
    <w:rsid w:val="005C0088"/>
    <w:rsid w:val="005C0357"/>
    <w:rsid w:val="005C0611"/>
    <w:rsid w:val="005C0980"/>
    <w:rsid w:val="005C0D65"/>
    <w:rsid w:val="005C0EE2"/>
    <w:rsid w:val="005C14A3"/>
    <w:rsid w:val="005C153A"/>
    <w:rsid w:val="005C1E43"/>
    <w:rsid w:val="005C40D0"/>
    <w:rsid w:val="005C566E"/>
    <w:rsid w:val="005D069C"/>
    <w:rsid w:val="005D1463"/>
    <w:rsid w:val="005D179F"/>
    <w:rsid w:val="005D1EDE"/>
    <w:rsid w:val="005D489F"/>
    <w:rsid w:val="005D6DF8"/>
    <w:rsid w:val="005E1C8C"/>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08DD"/>
    <w:rsid w:val="00605CDD"/>
    <w:rsid w:val="00605EA7"/>
    <w:rsid w:val="0060674D"/>
    <w:rsid w:val="00606A00"/>
    <w:rsid w:val="00607A0D"/>
    <w:rsid w:val="006107CF"/>
    <w:rsid w:val="0061083F"/>
    <w:rsid w:val="006110A4"/>
    <w:rsid w:val="0061333F"/>
    <w:rsid w:val="0061335C"/>
    <w:rsid w:val="00613FB1"/>
    <w:rsid w:val="006147B6"/>
    <w:rsid w:val="006155CA"/>
    <w:rsid w:val="0061668E"/>
    <w:rsid w:val="00616F62"/>
    <w:rsid w:val="006170F3"/>
    <w:rsid w:val="0061742C"/>
    <w:rsid w:val="006179B6"/>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659B"/>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CEB"/>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3E3C"/>
    <w:rsid w:val="006A5E39"/>
    <w:rsid w:val="006A615E"/>
    <w:rsid w:val="006A641C"/>
    <w:rsid w:val="006B048C"/>
    <w:rsid w:val="006B210C"/>
    <w:rsid w:val="006B2C4A"/>
    <w:rsid w:val="006B2D1C"/>
    <w:rsid w:val="006B35DA"/>
    <w:rsid w:val="006B53F6"/>
    <w:rsid w:val="006B655F"/>
    <w:rsid w:val="006B6A28"/>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02D"/>
    <w:rsid w:val="0071373D"/>
    <w:rsid w:val="00713758"/>
    <w:rsid w:val="00715907"/>
    <w:rsid w:val="00716B3E"/>
    <w:rsid w:val="00720307"/>
    <w:rsid w:val="00722D85"/>
    <w:rsid w:val="007236C0"/>
    <w:rsid w:val="00724361"/>
    <w:rsid w:val="00724564"/>
    <w:rsid w:val="007255E3"/>
    <w:rsid w:val="007265F0"/>
    <w:rsid w:val="007269E3"/>
    <w:rsid w:val="00726BCA"/>
    <w:rsid w:val="00727582"/>
    <w:rsid w:val="00727873"/>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6218"/>
    <w:rsid w:val="007771DC"/>
    <w:rsid w:val="00777F89"/>
    <w:rsid w:val="00781D10"/>
    <w:rsid w:val="007820E3"/>
    <w:rsid w:val="00782574"/>
    <w:rsid w:val="007831CE"/>
    <w:rsid w:val="0078347B"/>
    <w:rsid w:val="00784F06"/>
    <w:rsid w:val="007852BF"/>
    <w:rsid w:val="007852F1"/>
    <w:rsid w:val="00790B45"/>
    <w:rsid w:val="0079220D"/>
    <w:rsid w:val="00792719"/>
    <w:rsid w:val="00792749"/>
    <w:rsid w:val="007928CE"/>
    <w:rsid w:val="00792ADA"/>
    <w:rsid w:val="00793ECE"/>
    <w:rsid w:val="00796E22"/>
    <w:rsid w:val="0079778C"/>
    <w:rsid w:val="00797E1A"/>
    <w:rsid w:val="00797F54"/>
    <w:rsid w:val="007A301E"/>
    <w:rsid w:val="007A35C4"/>
    <w:rsid w:val="007A3CC4"/>
    <w:rsid w:val="007A4418"/>
    <w:rsid w:val="007A45F1"/>
    <w:rsid w:val="007A56FF"/>
    <w:rsid w:val="007A5B54"/>
    <w:rsid w:val="007A6E2E"/>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7F688A"/>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2BEA"/>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3838"/>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60C6"/>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37E1A"/>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390"/>
    <w:rsid w:val="00962C7C"/>
    <w:rsid w:val="00962F2C"/>
    <w:rsid w:val="0096331D"/>
    <w:rsid w:val="00963579"/>
    <w:rsid w:val="00963C26"/>
    <w:rsid w:val="00963D08"/>
    <w:rsid w:val="00963E4F"/>
    <w:rsid w:val="00965CA7"/>
    <w:rsid w:val="00966160"/>
    <w:rsid w:val="0096706B"/>
    <w:rsid w:val="009672AC"/>
    <w:rsid w:val="00967EDD"/>
    <w:rsid w:val="00970564"/>
    <w:rsid w:val="00970BC7"/>
    <w:rsid w:val="00971910"/>
    <w:rsid w:val="00972551"/>
    <w:rsid w:val="00972B8E"/>
    <w:rsid w:val="00973A55"/>
    <w:rsid w:val="009744D1"/>
    <w:rsid w:val="00974C45"/>
    <w:rsid w:val="00975A1E"/>
    <w:rsid w:val="00975C75"/>
    <w:rsid w:val="009774AE"/>
    <w:rsid w:val="00980B13"/>
    <w:rsid w:val="00980F6D"/>
    <w:rsid w:val="00981871"/>
    <w:rsid w:val="00982E2D"/>
    <w:rsid w:val="00982F94"/>
    <w:rsid w:val="00983EDA"/>
    <w:rsid w:val="00985422"/>
    <w:rsid w:val="0098571D"/>
    <w:rsid w:val="009867CF"/>
    <w:rsid w:val="00986DCF"/>
    <w:rsid w:val="00991021"/>
    <w:rsid w:val="00991D18"/>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B56DC"/>
    <w:rsid w:val="009C07B0"/>
    <w:rsid w:val="009C0E14"/>
    <w:rsid w:val="009C1DA6"/>
    <w:rsid w:val="009C32A2"/>
    <w:rsid w:val="009C3472"/>
    <w:rsid w:val="009C6B17"/>
    <w:rsid w:val="009C6BD9"/>
    <w:rsid w:val="009D1983"/>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0D48"/>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36F48"/>
    <w:rsid w:val="00B412DC"/>
    <w:rsid w:val="00B41CD9"/>
    <w:rsid w:val="00B41DD3"/>
    <w:rsid w:val="00B426B4"/>
    <w:rsid w:val="00B46CCD"/>
    <w:rsid w:val="00B5039F"/>
    <w:rsid w:val="00B51FC9"/>
    <w:rsid w:val="00B5314F"/>
    <w:rsid w:val="00B54DDA"/>
    <w:rsid w:val="00B54F3A"/>
    <w:rsid w:val="00B5537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13E9"/>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6F9F"/>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1628"/>
    <w:rsid w:val="00C52F3F"/>
    <w:rsid w:val="00C55615"/>
    <w:rsid w:val="00C57204"/>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AEF"/>
    <w:rsid w:val="00CA7EF2"/>
    <w:rsid w:val="00CA7F73"/>
    <w:rsid w:val="00CB162D"/>
    <w:rsid w:val="00CB1736"/>
    <w:rsid w:val="00CB5EF9"/>
    <w:rsid w:val="00CB77E9"/>
    <w:rsid w:val="00CB7FE6"/>
    <w:rsid w:val="00CC0327"/>
    <w:rsid w:val="00CC1E9D"/>
    <w:rsid w:val="00CC269C"/>
    <w:rsid w:val="00CC3C57"/>
    <w:rsid w:val="00CC4EE1"/>
    <w:rsid w:val="00CC6124"/>
    <w:rsid w:val="00CC671A"/>
    <w:rsid w:val="00CC72F2"/>
    <w:rsid w:val="00CC76BC"/>
    <w:rsid w:val="00CD01B1"/>
    <w:rsid w:val="00CD07D4"/>
    <w:rsid w:val="00CD12BB"/>
    <w:rsid w:val="00CD6611"/>
    <w:rsid w:val="00CD6966"/>
    <w:rsid w:val="00CE090F"/>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29E"/>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6904"/>
    <w:rsid w:val="00D97FC7"/>
    <w:rsid w:val="00DA0C6A"/>
    <w:rsid w:val="00DA0EA1"/>
    <w:rsid w:val="00DA1558"/>
    <w:rsid w:val="00DA1891"/>
    <w:rsid w:val="00DA31A6"/>
    <w:rsid w:val="00DA3763"/>
    <w:rsid w:val="00DA6543"/>
    <w:rsid w:val="00DB0A43"/>
    <w:rsid w:val="00DB2A93"/>
    <w:rsid w:val="00DB6435"/>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4C0D"/>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7D4"/>
    <w:rsid w:val="00E07C98"/>
    <w:rsid w:val="00E10B0F"/>
    <w:rsid w:val="00E11ABE"/>
    <w:rsid w:val="00E1281A"/>
    <w:rsid w:val="00E14896"/>
    <w:rsid w:val="00E1628E"/>
    <w:rsid w:val="00E208B5"/>
    <w:rsid w:val="00E20BEE"/>
    <w:rsid w:val="00E2126B"/>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792"/>
    <w:rsid w:val="00E44814"/>
    <w:rsid w:val="00E44FFF"/>
    <w:rsid w:val="00E4610E"/>
    <w:rsid w:val="00E4738F"/>
    <w:rsid w:val="00E51633"/>
    <w:rsid w:val="00E5245D"/>
    <w:rsid w:val="00E5274B"/>
    <w:rsid w:val="00E53EE6"/>
    <w:rsid w:val="00E549AA"/>
    <w:rsid w:val="00E54B99"/>
    <w:rsid w:val="00E55819"/>
    <w:rsid w:val="00E560F1"/>
    <w:rsid w:val="00E6161B"/>
    <w:rsid w:val="00E61FCC"/>
    <w:rsid w:val="00E62057"/>
    <w:rsid w:val="00E6290C"/>
    <w:rsid w:val="00E62ED4"/>
    <w:rsid w:val="00E6334B"/>
    <w:rsid w:val="00E651D0"/>
    <w:rsid w:val="00E653C7"/>
    <w:rsid w:val="00E67634"/>
    <w:rsid w:val="00E67763"/>
    <w:rsid w:val="00E701CD"/>
    <w:rsid w:val="00E728C5"/>
    <w:rsid w:val="00E72A47"/>
    <w:rsid w:val="00E731A1"/>
    <w:rsid w:val="00E777FD"/>
    <w:rsid w:val="00E81BCB"/>
    <w:rsid w:val="00E82AD6"/>
    <w:rsid w:val="00E82E2C"/>
    <w:rsid w:val="00E83CB6"/>
    <w:rsid w:val="00E8477B"/>
    <w:rsid w:val="00E84C73"/>
    <w:rsid w:val="00E852D3"/>
    <w:rsid w:val="00E86C6D"/>
    <w:rsid w:val="00E91F16"/>
    <w:rsid w:val="00E927D1"/>
    <w:rsid w:val="00E9529C"/>
    <w:rsid w:val="00EA0835"/>
    <w:rsid w:val="00EA12F8"/>
    <w:rsid w:val="00EA219D"/>
    <w:rsid w:val="00EA23AB"/>
    <w:rsid w:val="00EA2B7E"/>
    <w:rsid w:val="00EA6CBC"/>
    <w:rsid w:val="00EB0229"/>
    <w:rsid w:val="00EB0BA2"/>
    <w:rsid w:val="00EB113C"/>
    <w:rsid w:val="00EB178D"/>
    <w:rsid w:val="00EB1850"/>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C7D22"/>
    <w:rsid w:val="00ED1496"/>
    <w:rsid w:val="00ED187D"/>
    <w:rsid w:val="00ED27CB"/>
    <w:rsid w:val="00ED2997"/>
    <w:rsid w:val="00ED3B99"/>
    <w:rsid w:val="00ED5530"/>
    <w:rsid w:val="00ED67F0"/>
    <w:rsid w:val="00ED7BF8"/>
    <w:rsid w:val="00ED7DAF"/>
    <w:rsid w:val="00ED7F88"/>
    <w:rsid w:val="00EE3498"/>
    <w:rsid w:val="00EE3BB1"/>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68CE"/>
    <w:rsid w:val="00F77803"/>
    <w:rsid w:val="00F77947"/>
    <w:rsid w:val="00F8057F"/>
    <w:rsid w:val="00F805C2"/>
    <w:rsid w:val="00F80991"/>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1955"/>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1844"/>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2A01EB"/>
    <w:rsid w:val="01354276"/>
    <w:rsid w:val="016966E0"/>
    <w:rsid w:val="016E044A"/>
    <w:rsid w:val="01E01BA1"/>
    <w:rsid w:val="020A3D46"/>
    <w:rsid w:val="022C0A8A"/>
    <w:rsid w:val="03152DD6"/>
    <w:rsid w:val="034B6875"/>
    <w:rsid w:val="034D3112"/>
    <w:rsid w:val="035E5896"/>
    <w:rsid w:val="03984491"/>
    <w:rsid w:val="040C7E74"/>
    <w:rsid w:val="042F48EA"/>
    <w:rsid w:val="04D979FC"/>
    <w:rsid w:val="04EB6322"/>
    <w:rsid w:val="0515703E"/>
    <w:rsid w:val="05465378"/>
    <w:rsid w:val="056F2CF7"/>
    <w:rsid w:val="0585466D"/>
    <w:rsid w:val="06C47DA6"/>
    <w:rsid w:val="080552C4"/>
    <w:rsid w:val="082A6E29"/>
    <w:rsid w:val="09891BB3"/>
    <w:rsid w:val="09AC268D"/>
    <w:rsid w:val="09CF0D9D"/>
    <w:rsid w:val="09F81E67"/>
    <w:rsid w:val="0ADA6264"/>
    <w:rsid w:val="0AE35D83"/>
    <w:rsid w:val="0AEA04F5"/>
    <w:rsid w:val="0AF15F44"/>
    <w:rsid w:val="0BC44020"/>
    <w:rsid w:val="0C13228F"/>
    <w:rsid w:val="0C482343"/>
    <w:rsid w:val="0E2D4CFC"/>
    <w:rsid w:val="0E4B2BE5"/>
    <w:rsid w:val="0E592E65"/>
    <w:rsid w:val="0E6257ED"/>
    <w:rsid w:val="0F334BB6"/>
    <w:rsid w:val="0F796FF0"/>
    <w:rsid w:val="0F9A2F00"/>
    <w:rsid w:val="0FCA5AF5"/>
    <w:rsid w:val="0FF07438"/>
    <w:rsid w:val="10474EE9"/>
    <w:rsid w:val="105A3058"/>
    <w:rsid w:val="1078297D"/>
    <w:rsid w:val="1158397C"/>
    <w:rsid w:val="11591036"/>
    <w:rsid w:val="11597885"/>
    <w:rsid w:val="12DA5F3C"/>
    <w:rsid w:val="14D577BC"/>
    <w:rsid w:val="14F873AE"/>
    <w:rsid w:val="15090F10"/>
    <w:rsid w:val="15381F3D"/>
    <w:rsid w:val="15BA32B2"/>
    <w:rsid w:val="16C10A43"/>
    <w:rsid w:val="16D05547"/>
    <w:rsid w:val="16F10DB0"/>
    <w:rsid w:val="17D271A5"/>
    <w:rsid w:val="17E219BD"/>
    <w:rsid w:val="182B2CFB"/>
    <w:rsid w:val="183677E2"/>
    <w:rsid w:val="183A58CF"/>
    <w:rsid w:val="18704CB4"/>
    <w:rsid w:val="18A20777"/>
    <w:rsid w:val="192E28F8"/>
    <w:rsid w:val="198A0DC9"/>
    <w:rsid w:val="19ED2B8B"/>
    <w:rsid w:val="1AB132A6"/>
    <w:rsid w:val="1B137662"/>
    <w:rsid w:val="1B301885"/>
    <w:rsid w:val="1B5231B9"/>
    <w:rsid w:val="1BEF1650"/>
    <w:rsid w:val="1C2E01A0"/>
    <w:rsid w:val="1DA93A37"/>
    <w:rsid w:val="1DE87571"/>
    <w:rsid w:val="1E073DD1"/>
    <w:rsid w:val="1E442E29"/>
    <w:rsid w:val="1E6964F9"/>
    <w:rsid w:val="1F50496A"/>
    <w:rsid w:val="1F726568"/>
    <w:rsid w:val="1F7B0539"/>
    <w:rsid w:val="1FA75645"/>
    <w:rsid w:val="1FD208DA"/>
    <w:rsid w:val="207B44FF"/>
    <w:rsid w:val="2105123B"/>
    <w:rsid w:val="22C80A1D"/>
    <w:rsid w:val="22F84EEE"/>
    <w:rsid w:val="234A68AA"/>
    <w:rsid w:val="23F13E30"/>
    <w:rsid w:val="24367C48"/>
    <w:rsid w:val="247849A4"/>
    <w:rsid w:val="25201366"/>
    <w:rsid w:val="273E5B72"/>
    <w:rsid w:val="286670BE"/>
    <w:rsid w:val="28E92B74"/>
    <w:rsid w:val="290B611E"/>
    <w:rsid w:val="2A405D5A"/>
    <w:rsid w:val="2AA13E5A"/>
    <w:rsid w:val="2AAB7381"/>
    <w:rsid w:val="2B0514B0"/>
    <w:rsid w:val="2C523826"/>
    <w:rsid w:val="2CF17ED9"/>
    <w:rsid w:val="2CFC3A5A"/>
    <w:rsid w:val="2D132788"/>
    <w:rsid w:val="2D491F9E"/>
    <w:rsid w:val="2DB37BF4"/>
    <w:rsid w:val="2DD6396D"/>
    <w:rsid w:val="2E150B56"/>
    <w:rsid w:val="2E1F4936"/>
    <w:rsid w:val="2E9C0F87"/>
    <w:rsid w:val="2EDB5839"/>
    <w:rsid w:val="2F0E473E"/>
    <w:rsid w:val="2F20599A"/>
    <w:rsid w:val="2F3D5393"/>
    <w:rsid w:val="2F534F90"/>
    <w:rsid w:val="2FBE5B11"/>
    <w:rsid w:val="2FE50BA9"/>
    <w:rsid w:val="31770ADE"/>
    <w:rsid w:val="317F0BCA"/>
    <w:rsid w:val="31D15C10"/>
    <w:rsid w:val="322B443E"/>
    <w:rsid w:val="327E50EF"/>
    <w:rsid w:val="32832A04"/>
    <w:rsid w:val="32A65E1D"/>
    <w:rsid w:val="337F1A8A"/>
    <w:rsid w:val="34164C19"/>
    <w:rsid w:val="34A32605"/>
    <w:rsid w:val="350C3578"/>
    <w:rsid w:val="352275ED"/>
    <w:rsid w:val="356713FC"/>
    <w:rsid w:val="3601226B"/>
    <w:rsid w:val="36331599"/>
    <w:rsid w:val="367E28A9"/>
    <w:rsid w:val="3730221B"/>
    <w:rsid w:val="373E53F4"/>
    <w:rsid w:val="375223CF"/>
    <w:rsid w:val="37645BAC"/>
    <w:rsid w:val="380A4A95"/>
    <w:rsid w:val="386F5D34"/>
    <w:rsid w:val="38E27663"/>
    <w:rsid w:val="391C28EE"/>
    <w:rsid w:val="392E09A2"/>
    <w:rsid w:val="3A6C3919"/>
    <w:rsid w:val="3ABA41E1"/>
    <w:rsid w:val="3B7A0F58"/>
    <w:rsid w:val="3BB24E20"/>
    <w:rsid w:val="3C0241A3"/>
    <w:rsid w:val="3C672EE2"/>
    <w:rsid w:val="3D641F1A"/>
    <w:rsid w:val="3E407AAF"/>
    <w:rsid w:val="3E5073E4"/>
    <w:rsid w:val="3ED633E0"/>
    <w:rsid w:val="3EEE694E"/>
    <w:rsid w:val="402407F9"/>
    <w:rsid w:val="402853D1"/>
    <w:rsid w:val="40721A71"/>
    <w:rsid w:val="40B173DB"/>
    <w:rsid w:val="410A1179"/>
    <w:rsid w:val="413A6646"/>
    <w:rsid w:val="43111BB0"/>
    <w:rsid w:val="43552086"/>
    <w:rsid w:val="43C3257B"/>
    <w:rsid w:val="45205E79"/>
    <w:rsid w:val="45A24AB5"/>
    <w:rsid w:val="45D81A43"/>
    <w:rsid w:val="468B58CA"/>
    <w:rsid w:val="4796550F"/>
    <w:rsid w:val="47D84D6D"/>
    <w:rsid w:val="48691305"/>
    <w:rsid w:val="487A4E8B"/>
    <w:rsid w:val="48960B41"/>
    <w:rsid w:val="48E15025"/>
    <w:rsid w:val="493733B5"/>
    <w:rsid w:val="498B2BE2"/>
    <w:rsid w:val="4A1543F7"/>
    <w:rsid w:val="4AF61407"/>
    <w:rsid w:val="4B3F2B00"/>
    <w:rsid w:val="4B4F2D9B"/>
    <w:rsid w:val="4B8E3DD1"/>
    <w:rsid w:val="4C31571C"/>
    <w:rsid w:val="4C4C62F7"/>
    <w:rsid w:val="4C673E0C"/>
    <w:rsid w:val="4CF626D0"/>
    <w:rsid w:val="4E9B6644"/>
    <w:rsid w:val="4FF1342D"/>
    <w:rsid w:val="50750E8F"/>
    <w:rsid w:val="50C664D1"/>
    <w:rsid w:val="50CE10DD"/>
    <w:rsid w:val="524349D3"/>
    <w:rsid w:val="52644545"/>
    <w:rsid w:val="52A50B2F"/>
    <w:rsid w:val="52EA0300"/>
    <w:rsid w:val="532B327A"/>
    <w:rsid w:val="53383669"/>
    <w:rsid w:val="534A773C"/>
    <w:rsid w:val="543C0AB5"/>
    <w:rsid w:val="544215DC"/>
    <w:rsid w:val="54451B20"/>
    <w:rsid w:val="54591A6E"/>
    <w:rsid w:val="54E60802"/>
    <w:rsid w:val="55320861"/>
    <w:rsid w:val="55C43B63"/>
    <w:rsid w:val="5706673B"/>
    <w:rsid w:val="57204800"/>
    <w:rsid w:val="5749211B"/>
    <w:rsid w:val="577C0305"/>
    <w:rsid w:val="58832DC3"/>
    <w:rsid w:val="58872597"/>
    <w:rsid w:val="58DD7FD9"/>
    <w:rsid w:val="59163C38"/>
    <w:rsid w:val="5A8042EB"/>
    <w:rsid w:val="5A84380D"/>
    <w:rsid w:val="5AA33C99"/>
    <w:rsid w:val="5AF2665F"/>
    <w:rsid w:val="5B59036D"/>
    <w:rsid w:val="5B8B239D"/>
    <w:rsid w:val="5B935CA5"/>
    <w:rsid w:val="5BF4242F"/>
    <w:rsid w:val="5D106C09"/>
    <w:rsid w:val="5E437B09"/>
    <w:rsid w:val="5E53564E"/>
    <w:rsid w:val="5EAE7497"/>
    <w:rsid w:val="5F3C34CB"/>
    <w:rsid w:val="5F4E2319"/>
    <w:rsid w:val="603B13E0"/>
    <w:rsid w:val="60EE54CE"/>
    <w:rsid w:val="617C17FC"/>
    <w:rsid w:val="61A65EC3"/>
    <w:rsid w:val="621B53A6"/>
    <w:rsid w:val="63065151"/>
    <w:rsid w:val="6337702C"/>
    <w:rsid w:val="63B636A5"/>
    <w:rsid w:val="646B23D8"/>
    <w:rsid w:val="646D7455"/>
    <w:rsid w:val="64D678D3"/>
    <w:rsid w:val="658D7A28"/>
    <w:rsid w:val="65DF0783"/>
    <w:rsid w:val="65EF46BF"/>
    <w:rsid w:val="660541EF"/>
    <w:rsid w:val="66C1360C"/>
    <w:rsid w:val="66DF3B52"/>
    <w:rsid w:val="66ED216E"/>
    <w:rsid w:val="66F66E58"/>
    <w:rsid w:val="66F7531E"/>
    <w:rsid w:val="670C04C4"/>
    <w:rsid w:val="67D85153"/>
    <w:rsid w:val="68400296"/>
    <w:rsid w:val="696C5805"/>
    <w:rsid w:val="6AC43745"/>
    <w:rsid w:val="6B34156D"/>
    <w:rsid w:val="6B3E697D"/>
    <w:rsid w:val="6C863C24"/>
    <w:rsid w:val="6CBB55F0"/>
    <w:rsid w:val="6CE520DA"/>
    <w:rsid w:val="6D6C689E"/>
    <w:rsid w:val="6E3C6504"/>
    <w:rsid w:val="6E856042"/>
    <w:rsid w:val="6F3335BA"/>
    <w:rsid w:val="6F7A45C3"/>
    <w:rsid w:val="6FF84EDF"/>
    <w:rsid w:val="727B12D9"/>
    <w:rsid w:val="72914998"/>
    <w:rsid w:val="73075151"/>
    <w:rsid w:val="73A11255"/>
    <w:rsid w:val="73B472AE"/>
    <w:rsid w:val="74D23FB8"/>
    <w:rsid w:val="7510601B"/>
    <w:rsid w:val="75D1652A"/>
    <w:rsid w:val="764713C8"/>
    <w:rsid w:val="76A76695"/>
    <w:rsid w:val="76E521D9"/>
    <w:rsid w:val="77990D70"/>
    <w:rsid w:val="77D84F67"/>
    <w:rsid w:val="77D86F7B"/>
    <w:rsid w:val="79636867"/>
    <w:rsid w:val="7A0016B7"/>
    <w:rsid w:val="7A00219D"/>
    <w:rsid w:val="7A241826"/>
    <w:rsid w:val="7A67422A"/>
    <w:rsid w:val="7AAA62CC"/>
    <w:rsid w:val="7AC85234"/>
    <w:rsid w:val="7ADB3CF5"/>
    <w:rsid w:val="7B12308C"/>
    <w:rsid w:val="7B197A65"/>
    <w:rsid w:val="7B304B57"/>
    <w:rsid w:val="7BD90588"/>
    <w:rsid w:val="7BE11BCC"/>
    <w:rsid w:val="7BF86E4A"/>
    <w:rsid w:val="7BFE2CEC"/>
    <w:rsid w:val="7C826230"/>
    <w:rsid w:val="7CC04B01"/>
    <w:rsid w:val="7CFF4B8D"/>
    <w:rsid w:val="7D10465D"/>
    <w:rsid w:val="7DF80F37"/>
    <w:rsid w:val="7E476EFF"/>
    <w:rsid w:val="7E545869"/>
    <w:rsid w:val="7E6A3F92"/>
    <w:rsid w:val="7ECB34D7"/>
    <w:rsid w:val="7ED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4">
    <w:name w:val="heading 2"/>
    <w:basedOn w:val="1"/>
    <w:next w:val="1"/>
    <w:link w:val="36"/>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unhideWhenUsed/>
    <w:qFormat/>
    <w:uiPriority w:val="99"/>
    <w:pPr>
      <w:spacing w:after="120"/>
    </w:pPr>
    <w:rPr>
      <w:rFonts w:eastAsia="仿宋_GB2312"/>
    </w:rPr>
  </w:style>
  <w:style w:type="paragraph" w:styleId="5">
    <w:name w:val="caption"/>
    <w:basedOn w:val="1"/>
    <w:next w:val="1"/>
    <w:semiHidden/>
    <w:unhideWhenUsed/>
    <w:qFormat/>
    <w:uiPriority w:val="35"/>
    <w:rPr>
      <w:rFonts w:ascii="Arial" w:hAnsi="Arial" w:eastAsia="黑体"/>
      <w:sz w:val="20"/>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link w:val="29"/>
    <w:qFormat/>
    <w:uiPriority w:val="99"/>
    <w:pPr>
      <w:spacing w:line="360" w:lineRule="auto"/>
      <w:jc w:val="left"/>
    </w:pPr>
    <w:rPr>
      <w:rFonts w:ascii="宋体" w:hAnsi="宋体" w:eastAsia="宋体" w:cs="Times New Roman"/>
      <w:szCs w:val="24"/>
    </w:rPr>
  </w:style>
  <w:style w:type="paragraph" w:styleId="8">
    <w:name w:val="Body Text Indent"/>
    <w:basedOn w:val="1"/>
    <w:link w:val="28"/>
    <w:qFormat/>
    <w:uiPriority w:val="0"/>
    <w:pPr>
      <w:ind w:firstLine="420"/>
    </w:pPr>
    <w:rPr>
      <w:rFonts w:ascii="Times New Roman" w:hAnsi="Times New Roman" w:eastAsia="宋体" w:cs="Times New Roman"/>
      <w:sz w:val="24"/>
      <w:szCs w:val="24"/>
    </w:rPr>
  </w:style>
  <w:style w:type="paragraph" w:styleId="9">
    <w:name w:val="Date"/>
    <w:basedOn w:val="1"/>
    <w:next w:val="1"/>
    <w:link w:val="33"/>
    <w:unhideWhenUsed/>
    <w:qFormat/>
    <w:uiPriority w:val="99"/>
    <w:pPr>
      <w:ind w:left="100" w:leftChars="2500"/>
    </w:pPr>
  </w:style>
  <w:style w:type="paragraph" w:styleId="10">
    <w:name w:val="Balloon Text"/>
    <w:basedOn w:val="1"/>
    <w:link w:val="23"/>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after="100" w:afterAutospacing="1"/>
    </w:pPr>
    <w:rPr>
      <w:rFonts w:ascii="Times New Roman" w:hAnsi="Times New Roman" w:eastAsia="宋体" w:cs="Times New Roman"/>
    </w:rPr>
  </w:style>
  <w:style w:type="paragraph" w:styleId="14">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批注框文本 Char"/>
    <w:basedOn w:val="18"/>
    <w:link w:val="10"/>
    <w:qFormat/>
    <w:uiPriority w:val="99"/>
    <w:rPr>
      <w:sz w:val="18"/>
      <w:szCs w:val="18"/>
    </w:rPr>
  </w:style>
  <w:style w:type="character" w:customStyle="1" w:styleId="24">
    <w:name w:val="页眉 Char"/>
    <w:basedOn w:val="18"/>
    <w:link w:val="12"/>
    <w:qFormat/>
    <w:uiPriority w:val="99"/>
    <w:rPr>
      <w:sz w:val="18"/>
      <w:szCs w:val="18"/>
    </w:rPr>
  </w:style>
  <w:style w:type="character" w:customStyle="1" w:styleId="25">
    <w:name w:val="页脚 Char"/>
    <w:basedOn w:val="18"/>
    <w:link w:val="11"/>
    <w:qFormat/>
    <w:uiPriority w:val="99"/>
    <w:rPr>
      <w:sz w:val="18"/>
      <w:szCs w:val="18"/>
    </w:rPr>
  </w:style>
  <w:style w:type="paragraph" w:customStyle="1" w:styleId="26">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7">
    <w:name w:val="段"/>
    <w:link w:val="3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8">
    <w:name w:val="正文文本缩进 Char"/>
    <w:basedOn w:val="18"/>
    <w:link w:val="8"/>
    <w:qFormat/>
    <w:uiPriority w:val="0"/>
    <w:rPr>
      <w:rFonts w:ascii="Times New Roman" w:hAnsi="Times New Roman" w:eastAsia="宋体" w:cs="Times New Roman"/>
      <w:sz w:val="24"/>
      <w:szCs w:val="24"/>
    </w:rPr>
  </w:style>
  <w:style w:type="character" w:customStyle="1" w:styleId="29">
    <w:name w:val="批注文字 Char"/>
    <w:basedOn w:val="18"/>
    <w:link w:val="7"/>
    <w:qFormat/>
    <w:uiPriority w:val="99"/>
    <w:rPr>
      <w:rFonts w:ascii="宋体" w:hAnsi="宋体" w:eastAsia="宋体" w:cs="Times New Roman"/>
      <w:szCs w:val="24"/>
    </w:rPr>
  </w:style>
  <w:style w:type="paragraph" w:styleId="30">
    <w:name w:val="List Paragraph"/>
    <w:basedOn w:val="1"/>
    <w:qFormat/>
    <w:uiPriority w:val="34"/>
    <w:pPr>
      <w:ind w:firstLine="420" w:firstLineChars="200"/>
    </w:pPr>
  </w:style>
  <w:style w:type="character" w:customStyle="1" w:styleId="31">
    <w:name w:val="段 Char"/>
    <w:link w:val="27"/>
    <w:qFormat/>
    <w:uiPriority w:val="0"/>
    <w:rPr>
      <w:rFonts w:ascii="宋体" w:hAnsi="Times New Roman" w:eastAsia="宋体" w:cs="Times New Roman"/>
      <w:kern w:val="0"/>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日期 Char"/>
    <w:basedOn w:val="18"/>
    <w:link w:val="9"/>
    <w:qFormat/>
    <w:uiPriority w:val="99"/>
    <w:rPr>
      <w:rFonts w:asciiTheme="minorHAnsi" w:hAnsiTheme="minorHAnsi" w:eastAsiaTheme="minorEastAsia" w:cstheme="minorBidi"/>
      <w:kern w:val="2"/>
      <w:sz w:val="21"/>
      <w:szCs w:val="22"/>
    </w:rPr>
  </w:style>
  <w:style w:type="character" w:customStyle="1" w:styleId="34">
    <w:name w:val="正文文本 Char"/>
    <w:basedOn w:val="18"/>
    <w:link w:val="2"/>
    <w:qFormat/>
    <w:uiPriority w:val="99"/>
    <w:rPr>
      <w:rFonts w:eastAsia="仿宋_GB2312" w:asciiTheme="minorHAnsi" w:hAnsiTheme="minorHAnsi" w:cstheme="minorBidi"/>
      <w:kern w:val="2"/>
      <w:sz w:val="21"/>
      <w:szCs w:val="22"/>
    </w:rPr>
  </w:style>
  <w:style w:type="character" w:customStyle="1" w:styleId="35">
    <w:name w:val="标题 1 Char"/>
    <w:basedOn w:val="18"/>
    <w:link w:val="3"/>
    <w:qFormat/>
    <w:uiPriority w:val="9"/>
    <w:rPr>
      <w:rFonts w:ascii="Tahoma" w:hAnsi="Tahoma" w:eastAsia="微软雅黑"/>
      <w:b/>
      <w:bCs/>
      <w:kern w:val="44"/>
      <w:sz w:val="30"/>
      <w:szCs w:val="44"/>
    </w:rPr>
  </w:style>
  <w:style w:type="character" w:customStyle="1" w:styleId="36">
    <w:name w:val="标题 2 Char"/>
    <w:basedOn w:val="18"/>
    <w:link w:val="4"/>
    <w:qFormat/>
    <w:uiPriority w:val="9"/>
    <w:rPr>
      <w:rFonts w:ascii="Cambria" w:hAnsi="Cambria"/>
      <w:b/>
      <w:bCs/>
      <w:sz w:val="32"/>
      <w:szCs w:val="32"/>
    </w:rPr>
  </w:style>
  <w:style w:type="paragraph" w:customStyle="1" w:styleId="37">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38">
    <w:name w:val="TOC 标题1"/>
    <w:basedOn w:val="3"/>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39">
    <w:name w:val="列出段落11"/>
    <w:basedOn w:val="1"/>
    <w:qFormat/>
    <w:uiPriority w:val="0"/>
    <w:pPr>
      <w:ind w:firstLine="420" w:firstLineChars="200"/>
    </w:pPr>
    <w:rPr>
      <w:rFonts w:ascii="Times New Roman" w:hAnsi="Times New Roman" w:eastAsia="宋体" w:cs="Times New Roman"/>
      <w:szCs w:val="21"/>
    </w:rPr>
  </w:style>
  <w:style w:type="paragraph" w:customStyle="1" w:styleId="40">
    <w:name w:val="_Style 2"/>
    <w:basedOn w:val="3"/>
    <w:next w:val="1"/>
    <w:unhideWhenUsed/>
    <w:qFormat/>
    <w:uiPriority w:val="39"/>
    <w:pPr>
      <w:adjustRightInd/>
      <w:snapToGrid/>
      <w:spacing w:before="480" w:line="276" w:lineRule="auto"/>
      <w:outlineLvl w:val="9"/>
    </w:pPr>
    <w:rPr>
      <w:rFonts w:ascii="Cambria" w:hAnsi="Cambria" w:eastAsia="宋体" w:cs="Times New Roman"/>
      <w:color w:val="365F91"/>
      <w:kern w:val="0"/>
      <w:szCs w:val="28"/>
    </w:rPr>
  </w:style>
  <w:style w:type="paragraph" w:customStyle="1" w:styleId="41">
    <w:name w:val="Normal Indent1"/>
    <w:basedOn w:val="1"/>
    <w:qFormat/>
    <w:uiPriority w:val="0"/>
    <w:pPr>
      <w:spacing w:line="360" w:lineRule="auto"/>
      <w:ind w:firstLine="420"/>
    </w:pPr>
    <w:rPr>
      <w:rFonts w:ascii="宋体" w:hAnsi="Calibri"/>
      <w:sz w:val="20"/>
      <w:szCs w:val="20"/>
    </w:rPr>
  </w:style>
  <w:style w:type="paragraph" w:customStyle="1" w:styleId="4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附录标识"/>
    <w:basedOn w:val="1"/>
    <w:next w:val="27"/>
    <w:qFormat/>
    <w:uiPriority w:val="0"/>
    <w:pPr>
      <w:keepNext/>
      <w:widowControl/>
      <w:numPr>
        <w:ilvl w:val="0"/>
        <w:numId w:val="1"/>
      </w:numPr>
      <w:shd w:val="clear" w:color="FFFFFF" w:fill="FFFFFF"/>
      <w:spacing w:before="640" w:after="280"/>
      <w:jc w:val="center"/>
      <w:outlineLvl w:val="0"/>
    </w:pPr>
    <w:rPr>
      <w:rFonts w:ascii="黑体" w:eastAsia="黑体"/>
      <w:kern w:val="0"/>
      <w:szCs w:val="20"/>
    </w:rPr>
  </w:style>
  <w:style w:type="paragraph" w:customStyle="1" w:styleId="44">
    <w:name w:val="样式7"/>
    <w:basedOn w:val="45"/>
    <w:qFormat/>
    <w:uiPriority w:val="0"/>
    <w:pPr>
      <w:ind w:left="576" w:hanging="576"/>
    </w:pPr>
    <w:rPr>
      <w:rFonts w:eastAsia="黑体"/>
      <w:sz w:val="21"/>
    </w:rPr>
  </w:style>
  <w:style w:type="paragraph" w:customStyle="1" w:styleId="45">
    <w:name w:val="样式6"/>
    <w:basedOn w:val="4"/>
    <w:qFormat/>
    <w:uiPriority w:val="0"/>
    <w:pPr>
      <w:ind w:left="0" w:hanging="578" w:hangingChars="275"/>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江西铜业股份有限公司贵溪冶炼厂</Company>
  <Pages>13</Pages>
  <Words>10155</Words>
  <Characters>10487</Characters>
  <Lines>169</Lines>
  <Paragraphs>47</Paragraphs>
  <TotalTime>0</TotalTime>
  <ScaleCrop>false</ScaleCrop>
  <LinksUpToDate>false</LinksUpToDate>
  <CharactersWithSpaces>10538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2024-11-07T09:41:00Z</dcterms:created>
  <dc:creator>（数字化部）徐娟华</dc:creator>
  <cp:lastModifiedBy>徐娟华</cp:lastModifiedBy>
  <cp:lastPrinted>2024-09-29T08:10:00Z</cp:lastPrinted>
  <dcterms:modified xsi:type="dcterms:W3CDTF">2026-03-25T02:19:33Z</dcterms:modified>
  <dc:title>行业标准编制说明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A838CE021CA547B489C2B6FC9D05319F</vt:lpwstr>
  </property>
  <property fmtid="{D5CDD505-2E9C-101B-9397-08002B2CF9AE}" pid="4" name="KSOTemplateDocerSaveRecord">
    <vt:lpwstr>eyJoZGlkIjoiMjJhNDg4MTAyZGQxZmY5OGVlZWQ5M2Y2NDY4MDBlMWMiLCJ1c2VySWQiOiIxNDkzNzg0NzAzIn0=</vt:lpwstr>
  </property>
</Properties>
</file>