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643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5" name="文本框 15"/>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15"/>
                            </w:pPr>
                            <w:r>
                              <w:rPr>
                                <w:rFonts w:ascii="Times New Roman" w:hAnsi="Times New Roman" w:eastAsia="宋体" w:cs="Times New Roman"/>
                                <w:w w:val="130"/>
                                <w:szCs w:val="20"/>
                              </w:rPr>
                              <w:t>YS</w:t>
                            </w:r>
                          </w:p>
                        </w:txbxContent>
                      </wps:txbx>
                      <wps:bodyPr lIns="0" tIns="0" rIns="0" bIns="0" upright="1"/>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643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Nj0rSM8BAACdAwAADgAAAGRycy9lMm9Eb2MueG1srVPN&#10;jtMwEL4j8Q6W7zTpomUharoSVEVICJAWHsBxnMSS/zTjtukLwBtw4sKd5+pzMHaaLiyXPZBDMp4Z&#10;fzPfN5PV7WgN2ytA7V3Nl4uSM+Wkb7Xra/7l8/bZS84wCtcK452q+VEhv10/fbI6hEpd+cGbVgEj&#10;EIfVIdR8iDFURYFyUFbgwgflKNh5sCLSEfqiBXEgdGuKq7J8URw8tAG8VIjk3UxBfkaExwD6rtNS&#10;bbzcWeXihArKiEiUcNAB+Tp323VKxo9dhyoyU3NiGvObipDdpHexXomqBxEGLc8tiMe08ICTFdpR&#10;0QvURkTBdqD/gbJagkffxYX0tpiIZEWIxbJ8oM3dIILKXEhqDBfR8f/Byg/7T8B0S5twzZkTliZ+&#10;+v7t9OPX6edXRj4S6BCwory7QJlxfO1HSp79SM7Ee+zApi8xYhQneY8XedUYmSTn8+XNdVlSSFLs&#10;hnbhVda/uL8dAONb5S1LRs2BxpdVFfv3GKkTSp1TUjH0RrdbbUw+QN+8McD2gka9zU9qkq78lWZc&#10;SnY+XZvCyVMkjhOXZMWxGc/EG98eibd550j1tEGzAbPRzMYugO4H6jurkyFparmF84altfjznAvf&#10;/1X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ZOzzYAAAACgEAAA8AAAAAAAAAAQAgAAAAIgAA&#10;AGRycy9kb3ducmV2LnhtbFBLAQIUABQAAAAIAIdO4kA2PStIzwEAAJ0DAAAOAAAAAAAAAAEAIAAA&#10;ACcBAABkcnMvZTJvRG9jLnhtbFBLBQYAAAAABgAGAFkBAABoBQAAAAA=&#10;">
                <v:fill on="t" focussize="0,0"/>
                <v:stroke on="f"/>
                <v:imagedata o:title=""/>
                <o:lock v:ext="edit" aspectratio="f"/>
                <v:textbox inset="0mm,0mm,0mm,0mm">
                  <w:txbxContent>
                    <w:p>
                      <w:pPr>
                        <w:pStyle w:val="15"/>
                      </w:pPr>
                      <w:r>
                        <w:rPr>
                          <w:rFonts w:ascii="Times New Roman" w:hAnsi="Times New Roman" w:eastAsia="宋体" w:cs="Times New Roman"/>
                          <w:w w:val="130"/>
                          <w:szCs w:val="20"/>
                        </w:rPr>
                        <w:t>YS</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4148455</wp:posOffset>
                </wp:positionH>
                <wp:positionV relativeFrom="margin">
                  <wp:posOffset>8182610</wp:posOffset>
                </wp:positionV>
                <wp:extent cx="2019300" cy="312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7"/>
                            </w:pPr>
                            <w:r>
                              <w:rPr>
                                <w:rFonts w:hint="eastAsia"/>
                              </w:rPr>
                              <w:t>××××-××-××实施</w:t>
                            </w:r>
                          </w:p>
                          <w:p/>
                        </w:txbxContent>
                      </wps:txbx>
                      <wps:bodyPr lIns="0" tIns="0" rIns="0" bIns="0" upright="1"/>
                    </wps:wsp>
                  </a:graphicData>
                </a:graphic>
              </wp:anchor>
            </w:drawing>
          </mc:Choice>
          <mc:Fallback>
            <w:pict>
              <v:shape id="_x0000_s1026" o:spid="_x0000_s1026" o:spt="202" type="#_x0000_t202" style="position:absolute;left:0pt;margin-left:326.65pt;margin-top:644.3pt;height:24.6pt;width:159pt;mso-position-horizontal-relative:margin;mso-position-vertical-relative:margin;z-index:251663360;mso-width-relative:page;mso-height-relative:page;" fillcolor="#FFFFFF" filled="t" stroked="f" coordsize="21600,21600" o:gfxdata="UEsDBAoAAAAAAIdO4kAAAAAAAAAAAAAAAAAEAAAAZHJzL1BLAwQUAAAACACHTuJAG4WkSNoAAAAN&#10;AQAADwAAAGRycy9kb3ducmV2LnhtbE2PzU7DMBCE70i8g7VIXBB1fkQaQpxKtHCDQ0vVsxsvSUS8&#10;jmKnad+e5USPO/NpdqZcnW0vTjj6zpGCeBGBQKqd6ahRsP96f8xB+KDJ6N4RKrigh1V1e1PqwriZ&#10;tnjahUZwCPlCK2hDGAopfd2i1X7hBiT2vt1odeBzbKQZ9czhtpdJFGXS6o74Q6sHXLdY/+wmqyDb&#10;jNO8pfXDZv/2oT+HJjm8Xg5K3d/F0QuIgOfwD8Nffa4OFXc6uomMFz1nPKUpo2wkeZ6BYOR5GbN0&#10;ZClNlznIqpTXK6pfUEsDBBQAAAAIAIdO4kCk1bHz0AEAAJ0DAAAOAAAAZHJzL2Uyb0RvYy54bWyt&#10;U82O0zAQviPxDpbvNGkXrSBquhJURUgIkHZ5AMexE0v+09ht0heAN+DEhTvP1edg7DRddveyB3JI&#10;xjPjb+b7ZrK+GY0mBwFBOVvT5aKkRFjuWmW7mn672716Q0mIzLZMOytqehSB3mxevlgPvhIr1zvd&#10;CiAIYkM1+Jr2MfqqKALvhWFh4bywGJQODIt4hK5ogQ2IbnSxKsvrYnDQenBchIDe7RSkZ0R4DqCT&#10;UnGxdXxvhI0TKgjNIlIKvfKBbnK3Ugoev0gZRCS6psg05jcWQbtJ72KzZlUHzPeKn1tgz2nhESfD&#10;lMWiF6gti4zsQT2BMoqDC07GBXemmIhkRZDFsnykzW3PvMhcUOrgL6KH/wfLPx++AlEtbsI1JZYZ&#10;nPjp54/Trz+n398J+lCgwYcK8249ZsbxnRsxefYHdCbeowSTvsiIYBzlPV7kFWMkHJ3I8O1ViSGO&#10;savl6vUq61/c3/YQ4gfhDElGTQHHl1Vlh08hYieYOqekYsFp1e6U1vkAXfNeAzkwHPUuP6lJvPIg&#10;TduUbF26NoWTp0gcJy7JimMznok3rj0ib/3Rouppg2YDZqOZjb0H1fXYd1YnQ+LUcgvnDUtr8e85&#10;F77/q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uFpEjaAAAADQEAAA8AAAAAAAAAAQAgAAAA&#10;IgAAAGRycy9kb3ducmV2LnhtbFBLAQIUABQAAAAIAIdO4kCk1bHz0AEAAJ0DAAAOAAAAAAAAAAEA&#10;IAAAACkBAABkcnMvZTJvRG9jLnhtbFBLBQYAAAAABgAGAFkBAABrBQAAAAA=&#10;">
                <v:fill on="t" focussize="0,0"/>
                <v:stroke on="f"/>
                <v:imagedata o:title=""/>
                <o:lock v:ext="edit" aspectratio="f"/>
                <v:textbox inset="0mm,0mm,0mm,0mm">
                  <w:txbxContent>
                    <w:p>
                      <w:pPr>
                        <w:pStyle w:val="27"/>
                      </w:pPr>
                      <w:r>
                        <w:rPr>
                          <w:rFonts w:hint="eastAsia"/>
                        </w:rPr>
                        <w:t>××××-××-××实施</w:t>
                      </w:r>
                    </w:p>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8154035</wp:posOffset>
                </wp:positionV>
                <wp:extent cx="2019300" cy="312420"/>
                <wp:effectExtent l="0" t="0" r="0" b="11430"/>
                <wp:wrapNone/>
                <wp:docPr id="17" name="文本框 17"/>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5"/>
                            </w:pPr>
                            <w:r>
                              <w:rPr>
                                <w:rFonts w:hint="eastAsia"/>
                              </w:rPr>
                              <w:t>××××-××-××发布</w:t>
                            </w:r>
                          </w:p>
                          <w:p/>
                        </w:txbxContent>
                      </wps:txbx>
                      <wps:bodyPr lIns="0" tIns="0" rIns="0" bIns="0" upright="1"/>
                    </wps:wsp>
                  </a:graphicData>
                </a:graphic>
              </wp:anchor>
            </w:drawing>
          </mc:Choice>
          <mc:Fallback>
            <w:pict>
              <v:shape id="_x0000_s1026" o:spid="_x0000_s1026" o:spt="202" type="#_x0000_t202" style="position:absolute;left:0pt;margin-left:0pt;margin-top:642.05pt;height:24.6pt;width:159pt;mso-position-horizontal-relative:margin;mso-position-vertical-relative:margin;z-index:251662336;mso-width-relative:page;mso-height-relative:page;" fillcolor="#FFFFFF" filled="t" stroked="f" coordsize="21600,21600" o:gfxdata="UEsDBAoAAAAAAIdO4kAAAAAAAAAAAAAAAAAEAAAAZHJzL1BLAwQUAAAACACHTuJA4p7VAdcAAAAK&#10;AQAADwAAAGRycy9kb3ducmV2LnhtbE2PQU/DMAyF70j8h8hIXBBL26GpKk0nscENDhvTzl5r2orG&#10;qZJ03f495gS++T3r+Xvl+mIHdSYfescG0kUCirh2Tc+tgcPn22MOKkTkBgfHZOBKAdbV7U2JReNm&#10;3tF5H1slIRwKNNDFOBZah7oji2HhRmLxvpy3GGX1rW48zhJuB50lyUpb7Fk+dDjSpqP6ez9ZA6ut&#10;n+Ydbx62h9d3/Bjb7PhyPRpzf5cmz6AiXeLfMfziCzpUwnRyEzdBDQakSBQ1y59SUOIv01ykk0hL&#10;GdBVqf9XqH4AUEsDBBQAAAAIAIdO4kBiAtRB0AEAAJ0DAAAOAAAAZHJzL2Uyb0RvYy54bWytU82O&#10;0zAQviPxDpbvNGkX8RM1XQmqIiQESAsP4Dh2Ysl/GrtN+gLwBpy4cOe5+hw7dpouu3vZAzkk45nx&#10;N/N9M1lfj0aTg4CgnK3pclFSIix3rbJdTb9/2714Q0mIzLZMOytqehSBXm+eP1sPvhIr1zvdCiAI&#10;YkM1+Jr2MfqqKALvhWFh4bywGJQODIt4hK5ogQ2IbnSxKstXxeCg9eC4CAG92ylIz4jwFEAnpeJi&#10;6/jeCBsnVBCaRaQUeuUD3eRupRQ8fpEyiEh0TZFpzG8sgnaT3sVmzaoOmO8VP7fAntLCA06GKYtF&#10;L1BbFhnZg3oEZRQHF5yMC+5MMRHJiiCLZflAm5ueeZG5oNTBX0QP/w+Wfz58BaJa3ITXlFhmcOKn&#10;Xz9Pv/+e/vwg6EOBBh8qzLvxmBnHd27E5Nkf0Jl4jxJM+iIjgnGU93iRV4yRcHQiw7dXJYY4xq6W&#10;q5errH9xd9tDiB+EMyQZNQUcX1aVHT6FiJ1g6pySigWnVbtTWucDdM17DeTAcNS7/KQm8cq9NG1T&#10;snXp2hROniJxnLgkK47NeCbeuPaIvPVHi6qnDZoNmI1mNvYeVNdj31mdDIlTyy2cNyytxb/nXPju&#10;r9rc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Ke1QHXAAAACgEAAA8AAAAAAAAAAQAgAAAAIgAA&#10;AGRycy9kb3ducmV2LnhtbFBLAQIUABQAAAAIAIdO4kBiAtRB0AEAAJ0DAAAOAAAAAAAAAAEAIAAA&#10;ACYBAABkcnMvZTJvRG9jLnhtbFBLBQYAAAAABgAGAFkBAABoBQAAAAA=&#10;">
                <v:fill on="t" focussize="0,0"/>
                <v:stroke on="f"/>
                <v:imagedata o:title=""/>
                <o:lock v:ext="edit" aspectratio="f"/>
                <v:textbox inset="0mm,0mm,0mm,0mm">
                  <w:txbxContent>
                    <w:p>
                      <w:pPr>
                        <w:pStyle w:val="25"/>
                      </w:pPr>
                      <w:r>
                        <w:rPr>
                          <w:rFonts w:hint="eastAsia"/>
                        </w:rPr>
                        <w:t>××××-××-××发布</w:t>
                      </w:r>
                    </w:p>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3" name="文本框 2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pPr>
                              <w:pStyle w:val="43"/>
                            </w:pPr>
                            <w:r>
                              <w:rPr>
                                <w:rFonts w:hint="eastAsia"/>
                              </w:rPr>
                              <w:t>YS</w:t>
                            </w:r>
                            <w:r>
                              <w:t xml:space="preserve"> </w:t>
                            </w:r>
                            <w:r>
                              <w:rPr>
                                <w:rFonts w:hint="eastAsia"/>
                              </w:rPr>
                              <w:t>/T XXXX</w:t>
                            </w:r>
                            <w:r>
                              <w:t>—</w:t>
                            </w:r>
                            <w:r>
                              <w:rPr>
                                <w:rFonts w:hint="eastAsia"/>
                              </w:rPr>
                              <w:t>202X</w:t>
                            </w:r>
                          </w:p>
                          <w:p>
                            <w:pPr>
                              <w:pStyle w:val="43"/>
                            </w:pPr>
                          </w:p>
                        </w:txbxContent>
                      </wps:txbx>
                      <wps:bodyPr lIns="0" tIns="0" rIns="0" bIns="0" upright="1"/>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e3ghM8BAACdAwAADgAAAGRycy9lMm9Eb2MueG1srVPN&#10;jtMwEL4j8Q6W7zTZLFtVUdOVoCpCQoC0ywO4jpNY8p/GbpO+ALwBJy7cea4+B2Mn6bK7lz2QQzKe&#10;GX8z3zeT9e2gFTkK8NKail4tckqE4baWpq3ot/vdmxUlPjBTM2WNqOhJeHq7ef1q3btSFLazqhZA&#10;EMT4sncV7UJwZZZ53gnN/MI6YTDYWNAs4BHarAbWI7pWWZHny6y3UDuwXHiP3u0YpBMivATQNo3k&#10;Ymv5QQsTRlQQigWk5DvpPN2kbptG8PClabwIRFUUmYb0xiJo7+M726xZ2QJzneRTC+wlLTzhpJk0&#10;WPQCtWWBkQPIZ1BacrDeNmHBrc5GIkkRZHGVP9HmrmNOJC4otXcX0f3/g+Wfj1+ByLqixTUlhmmc&#10;+Pnnj/OvP+ff3wn6UKDe+RLz7hxmhuGdHXBtZr9HZ+Q9NKDjFxkRjKO8p4u8YgiEo/NmlRfLawxx&#10;jK2W+dviJsJkD7cd+PBBWE2iUVHA8SVV2fGTD2PqnBKLeatkvZNKpQO0+/cKyJHhqHfpmdAfpSkT&#10;k42N10bE6Mkix5FLtMKwHybie1ufkLf6aFD1uEGzAbOxn42DA9l22HdSJ0Hi1BLBacPiWvx7ToUf&#10;/qr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UBpPvYAAAACAEAAA8AAAAAAAAAAQAgAAAAIgAA&#10;AGRycy9kb3ducmV2LnhtbFBLAQIUABQAAAAIAIdO4kCJ7eCEzwEAAJ0DAAAOAAAAAAAAAAEAIAAA&#10;ACcBAABkcnMvZTJvRG9jLnhtbFBLBQYAAAAABgAGAFkBAABoBQAAAAA=&#10;">
                <v:fill on="t" focussize="0,0"/>
                <v:stroke on="f"/>
                <v:imagedata o:title=""/>
                <o:lock v:ext="edit" aspectratio="f"/>
                <v:textbox inset="0mm,0mm,0mm,0mm">
                  <w:txbxContent>
                    <w:p>
                      <w:pPr>
                        <w:pStyle w:val="43"/>
                      </w:pPr>
                      <w:r>
                        <w:rPr>
                          <w:rFonts w:hint="eastAsia"/>
                        </w:rPr>
                        <w:t>YS</w:t>
                      </w:r>
                      <w:r>
                        <w:t xml:space="preserve"> </w:t>
                      </w:r>
                      <w:r>
                        <w:rPr>
                          <w:rFonts w:hint="eastAsia"/>
                        </w:rPr>
                        <w:t>/T XXXX</w:t>
                      </w:r>
                      <w:r>
                        <w:t>—</w:t>
                      </w:r>
                      <w:r>
                        <w:rPr>
                          <w:rFonts w:hint="eastAsia"/>
                        </w:rPr>
                        <w:t>202X</w:t>
                      </w:r>
                    </w:p>
                    <w:p>
                      <w:pPr>
                        <w:pStyle w:val="43"/>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8" name="文本框 18"/>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16"/>
                            </w:pPr>
                            <w:r>
                              <w:rPr>
                                <w:rFonts w:hint="eastAsia" w:hAnsi="宋体" w:cs="Times New Roman"/>
                                <w:spacing w:val="0"/>
                                <w:sz w:val="52"/>
                                <w:szCs w:val="20"/>
                              </w:rPr>
                              <w:t>中华人民共和国有色金属行业标准</w:t>
                            </w:r>
                          </w:p>
                        </w:txbxContent>
                      </wps:txbx>
                      <wps:bodyPr lIns="0" tIns="0" rIns="0" bIns="0" upright="1"/>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qUzV4zgEAAJ0DAAAOAAAAZHJzL2Uyb0RvYy54bWytU82O&#10;0zAQviPxDpbvNM2uVEHVdCWoipAQIC08gOM4iSX/acZt0heAN+DEhTvP1edg7DRdWC57IIdkPDP+&#10;Zr5vJpu70Rp2VIDau4qXiyVnyknfaNdV/Mvn/YuXnGEUrhHGO1Xxk0J+t33+bDOEtbrxvTeNAkYg&#10;DtdDqHgfY1gXBcpeWYELH5SjYOvBikhH6IoGxEDo1hQ3y+WqGDw0AbxUiOTdTUF+QYSnAPq21VLt&#10;vDxY5eKECsqISJSw1wH5NnfbtkrGj22LKjJTcWIa85uKkF2nd7HdiHUHIvRaXloQT2nhEScrtKOi&#10;V6idiIIdQP8DZbUEj76NC+ltMRHJihCLcvlIm/teBJW5kNQYrqLj/4OVH46fgOmGNoHm7oSliZ+/&#10;fzv/+HX++ZWRjwQaAq4p7z5QZhxf+5GSZz+SM/EeW7DpS4wYxUne01VeNUYmybkqieMthSTFbl+V&#10;5SrrXzzcDoDxrfKWJaPiQOPLqorje4zUCaXOKakYeqObvTYmH6Cr3xhgR0Gj3ucnNUlX/kozLiU7&#10;n65N4eQpEseJS7LiWI8X4rVvTsTbvHOketqg2YDZqGfjEEB3PfWd1cmQNLXcwmXD0lr8ec6FH/6q&#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DkcF1wAAAAgBAAAPAAAAAAAAAAEAIAAAACIAAABk&#10;cnMvZG93bnJldi54bWxQSwECFAAUAAAACACHTuJAalM1eM4BAACdAwAADgAAAAAAAAABACAAAAAm&#10;AQAAZHJzL2Uyb0RvYy54bWxQSwUGAAAAAAYABgBZAQAAZgUAAAAA&#10;">
                <v:fill on="t" focussize="0,0"/>
                <v:stroke on="f"/>
                <v:imagedata o:title=""/>
                <o:lock v:ext="edit" aspectratio="f"/>
                <v:textbox inset="0mm,0mm,0mm,0mm">
                  <w:txbxContent>
                    <w:p>
                      <w:pPr>
                        <w:pStyle w:val="16"/>
                      </w:pPr>
                      <w:r>
                        <w:rPr>
                          <w:rFonts w:hint="eastAsia" w:hAnsi="宋体" w:cs="Times New Roman"/>
                          <w:spacing w:val="0"/>
                          <w:sz w:val="52"/>
                          <w:szCs w:val="20"/>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198120</wp:posOffset>
                </wp:positionV>
                <wp:extent cx="2540000" cy="396240"/>
                <wp:effectExtent l="0" t="0" r="12700" b="3810"/>
                <wp:wrapNone/>
                <wp:docPr id="22" name="文本框 22"/>
                <wp:cNvGraphicFramePr/>
                <a:graphic xmlns:a="http://schemas.openxmlformats.org/drawingml/2006/main">
                  <a:graphicData uri="http://schemas.microsoft.com/office/word/2010/wordprocessingShape">
                    <wps:wsp>
                      <wps:cNvSpPr txBox="1"/>
                      <wps:spPr>
                        <a:xfrm>
                          <a:off x="0" y="0"/>
                          <a:ext cx="2540000" cy="396240"/>
                        </a:xfrm>
                        <a:prstGeom prst="rect">
                          <a:avLst/>
                        </a:prstGeom>
                        <a:solidFill>
                          <a:srgbClr val="FFFFFF"/>
                        </a:solidFill>
                        <a:ln>
                          <a:noFill/>
                        </a:ln>
                      </wps:spPr>
                      <wps:txbx>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15.6pt;height:31.2pt;width:200pt;mso-position-horizontal-relative:margin;mso-position-vertical-relative:margin;z-index:251659264;mso-width-relative:page;mso-height-relative:page;" fillcolor="#FFFFFF" filled="t" stroked="f" coordsize="21600,21600" o:gfxdata="UEsDBAoAAAAAAIdO4kAAAAAAAAAAAAAAAAAEAAAAZHJzL1BLAwQUAAAACACHTuJApFBeN9UAAAAG&#10;AQAADwAAAGRycy9kb3ducmV2LnhtbE2PwU7DMBBE70j8g7VIXBC1k6IIQjaVaOEGh5aq521skoh4&#10;HdlO0/495gTHnRnNvK1WZzuIk/Ghd4yQLRQIw43TPbcI+8+3+0cQIRJrGhwbhIsJsKqvryoqtZt5&#10;a0672IpUwqEkhC7GsZQyNJ2xFBZuNJy8L+ctxXT6VmpPcyq3g8yVKqSlntNCR6NZd6b53k0Wodj4&#10;ad7y+m6zf32nj7HNDy+XA+LtTaaeQURzjn9h+MVP6FAnpqObWAcxIKRHIsIyy0Ek90GpJBwRnpYF&#10;yLqS//HrH1BLAwQUAAAACACHTuJAvtOIjtABAACdAwAADgAAAGRycy9lMm9Eb2MueG1srVPNjtMw&#10;EL4j8Q6W79TZsKwgaroSVEVICJAWHsBxnMSS/zR2m/QF4A04ceHOc/U5GDtNF5bLHvDBGc+Mv5nv&#10;82R9OxlNDhKCcramV6uCEmmFa5Xta/rl8+7ZS0pC5Lbl2llZ06MM9Hbz9Ml69JUs3eB0K4EgiA3V&#10;6Gs6xOgrxoIYpOFh5by0GOwcGB7xCD1rgY+IbjQri+KGjQ5aD07IENC7nYP0jAiPAXRdp4TcOrE3&#10;0sYZFaTmESmFQflAN7nbrpMifuy6ICPRNUWmMe9YBO0m7Wyz5lUP3A9KnFvgj2nhASfDlcWiF6gt&#10;j5zsQf0DZZQAF1wXV8IZNhPJiiCLq+KBNncD9zJzQamDv4ge/h+s+HD4BES1NS1LSiw3+OKn799O&#10;P36dfn4l6EOBRh8qzLvzmBmn127CsVn8AZ2J99SBSV9kRDCO8h4v8sopEoHO8sV1gYsSgbHnr27K&#10;66w/u7/tIcS30hmSjJoCPl9WlR/eh4idYOqSkooFp1W7U1rnA/TNGw3kwPGpd3mlJvHKX2napmTr&#10;0rU5nDwscZy5JCtOzXQm3rj2iLz1O4uqpwlaDFiMZjH2HlQ/YN9ZnQyJr5ZbOE9YGos/z7nw/V+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UF431QAAAAYBAAAPAAAAAAAAAAEAIAAAACIAAABk&#10;cnMvZG93bnJldi54bWxQSwECFAAUAAAACACHTuJAvtOIjtABAACdAwAADgAAAAAAAAABACAAAAAk&#10;AQAAZHJzL2Uyb0RvYy54bWxQSwUGAAAAAAYABgBZAQAAZgUAAAAA&#10;">
                <v:fill on="t" focussize="0,0"/>
                <v:stroke on="f"/>
                <v:imagedata o:title=""/>
                <o:lock v:ext="edit" aspectratio="f"/>
                <v:textbox inset="0mm,0mm,0mm,0mm">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v:textbox>
                <w10:anchorlock/>
              </v:shape>
            </w:pict>
          </mc:Fallback>
        </mc:AlternateContent>
      </w: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38735</wp:posOffset>
                </wp:positionV>
                <wp:extent cx="6121400" cy="0"/>
                <wp:effectExtent l="0" t="0" r="0" b="0"/>
                <wp:wrapTopAndBottom/>
                <wp:docPr id="19" name="直接连接符 1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3.05pt;height:0pt;width:482pt;mso-wrap-distance-bottom:0pt;mso-wrap-distance-top:0pt;z-index:251664384;mso-width-relative:page;mso-height-relative:page;" filled="f" stroked="t" coordsize="21600,21600" o:gfxdata="UEsDBAoAAAAAAIdO4kAAAAAAAAAAAAAAAAAEAAAAZHJzL1BLAwQUAAAACACHTuJAMrW7MNEAAAAG&#10;AQAADwAAAGRycy9kb3ducmV2LnhtbE2OQUvDQBCF74L/YRnBi9jdqG1tzKagUPBqLYi3aXaaBLOz&#10;IbtN2n/v6EWPH+/x3lesT75TIw2xDWwhmxlQxFVwLdcWdu+b20dQMSE77AKThTNFWJeXFwXmLkz8&#10;RuM21UpGOOZooUmpz7WOVUMe4yz0xJIdwuAxCQ61dgNOMu47fWfMQntsWR4a7Omloepre/QWpo9X&#10;XX2uboyfj7ukD+bh2fhg7fVVZp5AJTqlvzL86Is6lOK0D0d2UXXC93NpWlhkoCReLZfC+1/WZaH/&#10;65ffUEsDBBQAAAAIAIdO4kA7DpZm+AEAAOcDAAAOAAAAZHJzL2Uyb0RvYy54bWytU82O0zAQviPx&#10;DpbvNGmFlhI13cOW5YKgEvAAU8dJLPlPHrdpX4IXQOIGJ47ceRt2H4Ox0+3C7qWHzcEZe8bfzPfN&#10;eHG5N5rtZEDlbM2nk5IzaYVrlO1q/vnT9Ys5ZxjBNqCdlTU/SOSXy+fPFoOv5Mz1TjcyMAKxWA2+&#10;5n2MvioKFL00gBPnpSVn64KBSNvQFU2AgdCNLmZleVEMLjQ+OCER6XQ1OvkRMZwD6NpWCblyYmuk&#10;jSNqkBoiUcJeeeTLXG3bShE/tC3KyHTNiWnMKyUhe5PWYrmAqgvgeyWOJcA5JTzgZEBZSnqCWkEE&#10;tg3qEZRRIjh0bZwIZ4qRSFaEWEzLB9p87MHLzIWkRn8SHZ8OVrzfrQNTDU3Ca84sGOr4zddff758&#10;v/39jdabnz8YeUimwWNF0Vd2HY479OuQOO/bYNKf2LB9lvZwklbuIxN0eDGdTV+WpLq48xX3F33A&#10;+FY6w5JRc61sYg0V7N5hpGQUeheSjrVlA9U7e5XxgGawpd4TtPHEA22XL6PTqrlWWqcrGLrNlQ5s&#10;BzQH85K+eeJEwP+FpSwrwH6My65xQnoJzRvbsHjwJJClh8FTDUY2nGlJ7yhZBAhVBKXPiaTU2lIF&#10;SdZRyGRtXHOgfmx9UF1PUkxzlclD/c/1Hmc1Ddi/+4x0/z6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tbsw0QAAAAYBAAAPAAAAAAAAAAEAIAAAACIAAABkcnMvZG93bnJldi54bWxQSwECFAAU&#10;AAAACACHTuJAOw6WZvgBAADnAwAADgAAAAAAAAABACAAAAAgAQAAZHJzL2Uyb0RvYy54bWxQSwUG&#10;AAAAAAYABgBZAQAAigUAAAAA&#10;">
                <v:fill on="f" focussize="0,0"/>
                <v:stroke weight="1pt" color="#800008" joinstyle="round"/>
                <v:imagedata o:title=""/>
                <o:lock v:ext="edit" aspectratio="f"/>
                <w10:wrap type="topAndBottom"/>
              </v:line>
            </w:pict>
          </mc:Fallback>
        </mc:AlternateContent>
      </w: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jc w:val="center"/>
        <w:rPr>
          <w:rFonts w:hint="eastAsia"/>
          <w:sz w:val="28"/>
        </w:rPr>
      </w:pPr>
      <w:r>
        <w:rPr>
          <w:rFonts w:hint="eastAsia" w:eastAsia="黑体"/>
          <w:sz w:val="52"/>
        </w:rPr>
        <w:t>有色金属行业工业数据分类分级指南</w:t>
      </w:r>
      <w:r>
        <w:rPr>
          <w:rFonts w:hint="eastAsia"/>
          <w:sz w:val="28"/>
        </w:rPr>
        <w:t xml:space="preserve"> Guidelines for industial data classification and grading of non-ferrous metals industry</w:t>
      </w:r>
    </w:p>
    <w:p>
      <w:pPr>
        <w:pBdr>
          <w:top w:val="none" w:color="auto" w:sz="0" w:space="0"/>
          <w:left w:val="none" w:color="auto" w:sz="0" w:space="0"/>
          <w:bottom w:val="none" w:color="auto" w:sz="0" w:space="0"/>
          <w:right w:val="none" w:color="auto" w:sz="0" w:space="0"/>
        </w:pBdr>
        <w:spacing w:line="360" w:lineRule="auto"/>
        <w:jc w:val="center"/>
        <w:rPr>
          <w:rFonts w:hint="eastAsia"/>
          <w:sz w:val="28"/>
        </w:rPr>
      </w:pPr>
      <w:r>
        <w:rPr>
          <w:rFonts w:hint="eastAsia"/>
          <w:sz w:val="28"/>
        </w:rPr>
        <w:t>（</w:t>
      </w:r>
      <w:r>
        <w:rPr>
          <w:rFonts w:hint="eastAsia"/>
          <w:sz w:val="28"/>
          <w:lang w:val="en-US" w:eastAsia="zh-CN"/>
        </w:rPr>
        <w:t>预审</w:t>
      </w:r>
      <w:r>
        <w:rPr>
          <w:rFonts w:hint="eastAsia"/>
          <w:sz w:val="28"/>
        </w:rPr>
        <w:t>稿）</w:t>
      </w:r>
    </w:p>
    <w:p>
      <w:pPr>
        <w:pBdr>
          <w:top w:val="none" w:color="auto" w:sz="0" w:space="0"/>
          <w:left w:val="none" w:color="auto" w:sz="0" w:space="0"/>
          <w:bottom w:val="none" w:color="auto" w:sz="0" w:space="0"/>
          <w:right w:val="none" w:color="auto" w:sz="0" w:space="0"/>
        </w:pBdr>
        <w:spacing w:line="360" w:lineRule="auto"/>
        <w:jc w:val="center"/>
        <w:rPr>
          <w:sz w:val="28"/>
        </w:rPr>
      </w:pPr>
    </w:p>
    <w:p>
      <w:pPr>
        <w:pBdr>
          <w:top w:val="none" w:color="auto" w:sz="0" w:space="0"/>
          <w:left w:val="none" w:color="auto" w:sz="0" w:space="0"/>
          <w:bottom w:val="none" w:color="auto" w:sz="0" w:space="0"/>
          <w:right w:val="none" w:color="auto" w:sz="0" w:space="0"/>
        </w:pBdr>
        <w:spacing w:line="360" w:lineRule="auto"/>
        <w:jc w:val="center"/>
        <w:rPr>
          <w:sz w:val="28"/>
        </w:rPr>
      </w:pPr>
    </w:p>
    <w:p>
      <w:pPr>
        <w:pBdr>
          <w:top w:val="none" w:color="auto" w:sz="0" w:space="0"/>
          <w:left w:val="none" w:color="auto" w:sz="0" w:space="0"/>
          <w:bottom w:val="none" w:color="auto" w:sz="0" w:space="0"/>
          <w:right w:val="none" w:color="auto" w:sz="0" w:space="0"/>
        </w:pBdr>
        <w:spacing w:line="360" w:lineRule="auto"/>
        <w:jc w:val="center"/>
        <w:rPr>
          <w:sz w:val="28"/>
        </w:rPr>
      </w:pPr>
    </w:p>
    <w:p>
      <w:pPr>
        <w:pBdr>
          <w:top w:val="none" w:color="auto" w:sz="0" w:space="0"/>
          <w:left w:val="none" w:color="auto" w:sz="0" w:space="0"/>
          <w:bottom w:val="none" w:color="auto" w:sz="0" w:space="0"/>
          <w:right w:val="none" w:color="auto" w:sz="0" w:space="0"/>
        </w:pBdr>
        <w:spacing w:line="360" w:lineRule="auto"/>
        <w:rPr>
          <w:b/>
          <w:bCs/>
          <w:sz w:val="28"/>
        </w:rPr>
      </w:pPr>
    </w:p>
    <w:p>
      <w:pPr>
        <w:pBdr>
          <w:top w:val="none" w:color="auto" w:sz="0" w:space="0"/>
          <w:left w:val="none" w:color="auto" w:sz="0" w:space="0"/>
          <w:bottom w:val="none" w:color="auto" w:sz="0" w:space="0"/>
          <w:right w:val="none" w:color="auto" w:sz="0" w:space="0"/>
        </w:pBdr>
        <w:spacing w:line="360" w:lineRule="auto"/>
        <w:rPr>
          <w:b/>
          <w:bCs/>
          <w:sz w:val="28"/>
        </w:rPr>
      </w:pPr>
    </w:p>
    <w:p>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pPr>
        <w:pBdr>
          <w:top w:val="none" w:color="auto" w:sz="0" w:space="0"/>
          <w:left w:val="none" w:color="auto" w:sz="0" w:space="0"/>
          <w:bottom w:val="none" w:color="auto" w:sz="0" w:space="0"/>
          <w:right w:val="none" w:color="auto" w:sz="0" w:space="0"/>
        </w:pBdr>
        <w:spacing w:line="360" w:lineRule="auto"/>
        <w:rPr>
          <w:b/>
          <w:bCs/>
          <w:sz w:val="28"/>
          <w:u w:val="thick"/>
        </w:rPr>
      </w:pPr>
      <w:r>
        <w:rPr>
          <w:b/>
          <w:bCs/>
          <w:sz w:val="28"/>
          <w:u w:val="thick"/>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8740140</wp:posOffset>
                </wp:positionV>
                <wp:extent cx="6120130" cy="363220"/>
                <wp:effectExtent l="0" t="0" r="13970" b="17780"/>
                <wp:wrapNone/>
                <wp:docPr id="21" name="文本框 21"/>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28"/>
                            </w:pPr>
                            <w:r>
                              <w:rPr>
                                <w:rFonts w:hint="eastAsia"/>
                              </w:rPr>
                              <w:t>中华人民共和国工业和信息化部</w:t>
                            </w:r>
                            <w:r>
                              <w:rPr>
                                <w:rStyle w:val="31"/>
                                <w:rFonts w:hint="eastAsia"/>
                              </w:rPr>
                              <w:t xml:space="preserve"> 发布</w:t>
                            </w:r>
                          </w:p>
                        </w:txbxContent>
                      </wps:txbx>
                      <wps:bodyPr lIns="0" tIns="0" rIns="0" bIns="0" upright="1"/>
                    </wps:wsp>
                  </a:graphicData>
                </a:graphic>
              </wp:anchor>
            </w:drawing>
          </mc:Choice>
          <mc:Fallback>
            <w:pict>
              <v:shape id="_x0000_s1026" o:spid="_x0000_s1026" o:spt="202" type="#_x0000_t202" style="position:absolute;left:0pt;margin-left:0pt;margin-top:688.2pt;height:28.6pt;width:481.9pt;mso-position-horizontal-relative:margin;mso-position-vertical-relative:margin;z-index:251667456;mso-width-relative:page;mso-height-relative:page;" fillcolor="#FFFFFF" filled="t" stroked="f" coordsize="21600,21600" o:gfxdata="UEsDBAoAAAAAAIdO4kAAAAAAAAAAAAAAAAAEAAAAZHJzL1BLAwQUAAAACACHTuJAJ4WYWNgAAAAK&#10;AQAADwAAAGRycy9kb3ducmV2LnhtbE2PwU7DMBBE70j8g7VIXBB12lQGQpxKtHCDQ0vVsxsvSUS8&#10;jmynaf+e5QTHnRnNzitXZ9eLE4bYedIwn2UgkGpvO2o07D/f7h9BxGTImt4TarhghFV1fVWawvqJ&#10;tnjapUZwCcXCaGhTGgopY92iM3HmByT2vnxwJvEZGmmDmbjc9XKRZUo60xF/aM2A6xbr793oNKhN&#10;GKctre82+9d38zE0i8PL5aD17c08ewaR8Jz+wvA7n6dDxZuOfiQbRa+BQRKr+YNagmD/SeWMcmRp&#10;mecKZFXK/wjVD1BLAwQUAAAACACHTuJACMyPZ88BAACdAwAADgAAAGRycy9lMm9Eb2MueG1srVNN&#10;rtMwEN4jcQfLe+o2lSoUNX0SVEVICJAeHMBxnMSS/zR2m/QCcANWbNhzrp6DsdP0PR6btyCLZDwz&#10;/ma+bybbu9FocpIQlLMVXS2WlEgrXKNsV9GvXw6vXlMSIrcN187Kip5loHe7ly+2gy9l4XqnGwkE&#10;QWwoB1/RPkZfMhZELw0PC+elxWDrwPCIR+hYA3xAdKNZsVxu2OCg8eCEDAG9+ylIr4jwHEDXtkrI&#10;vRNHI22cUEFqHpFS6JUPdJe7bVsp4qe2DTISXVFkGvMbi6BdpzfbbXnZAfe9EtcW+HNaeMLJcGWx&#10;6A1qzyMnR1D/QBklwAXXxoVwhk1EsiLIYrV8os19z73MXFDq4G+ih/8HKz6ePgNRTUWLFSWWG5z4&#10;5cf3y8/fl1/fCPpQoMGHEvPuPWbG8Y0bcW1mf0Bn4j22YNIXGRGMo7znm7xyjESgc7NCjmsMCYyt&#10;N+uiyPqzh9seQnwnnSHJqCjg+LKq/PQhROwEU+eUVCw4rZqD0jofoKvfaiAnjqM+5Cc1iVf+StM2&#10;JVuXrk3h5GGJ48QlWXGsxyvx2jVn5K3fW1Q9bdBswGzUs3H0oLoe+87qZEicWm7humFpLR6fc+GH&#10;v2r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FmFjYAAAACgEAAA8AAAAAAAAAAQAgAAAAIgAA&#10;AGRycy9kb3ducmV2LnhtbFBLAQIUABQAAAAIAIdO4kAIzI9nzwEAAJ0DAAAOAAAAAAAAAAEAIAAA&#10;ACcBAABkcnMvZTJvRG9jLnhtbFBLBQYAAAAABgAGAFkBAABoBQAAAAA=&#10;">
                <v:fill on="t" focussize="0,0"/>
                <v:stroke on="f"/>
                <v:imagedata o:title=""/>
                <o:lock v:ext="edit" aspectratio="f"/>
                <v:textbox inset="0mm,0mm,0mm,0mm">
                  <w:txbxContent>
                    <w:p>
                      <w:pPr>
                        <w:pStyle w:val="28"/>
                      </w:pPr>
                      <w:r>
                        <w:rPr>
                          <w:rFonts w:hint="eastAsia"/>
                        </w:rPr>
                        <w:t>中华人民共和国工业和信息化部</w:t>
                      </w:r>
                      <w:r>
                        <w:rPr>
                          <w:rStyle w:val="31"/>
                          <w:rFonts w:hint="eastAsia"/>
                        </w:rPr>
                        <w:t xml:space="preserve"> 发布</w:t>
                      </w:r>
                    </w:p>
                  </w:txbxContent>
                </v:textbox>
                <w10:anchorlock/>
              </v:shape>
            </w:pict>
          </mc:Fallback>
        </mc:AlternateContent>
      </w:r>
    </w:p>
    <w:p>
      <w:pPr>
        <w:pBdr>
          <w:top w:val="none" w:color="auto" w:sz="0" w:space="0"/>
          <w:left w:val="none" w:color="auto" w:sz="0" w:space="0"/>
          <w:bottom w:val="none" w:color="auto" w:sz="0" w:space="0"/>
          <w:right w:val="none" w:color="auto" w:sz="0" w:space="0"/>
        </w:pBdr>
        <w:spacing w:line="360" w:lineRule="auto"/>
        <w:rPr>
          <w:kern w:val="0"/>
        </w:rPr>
      </w:pPr>
      <w: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255905</wp:posOffset>
                </wp:positionV>
                <wp:extent cx="6121400" cy="0"/>
                <wp:effectExtent l="0" t="0" r="0" b="0"/>
                <wp:wrapTopAndBottom/>
                <wp:docPr id="20" name="直接连接符 2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20.15pt;height:0pt;width:482pt;mso-wrap-distance-bottom:0pt;mso-wrap-distance-top:0pt;z-index:251665408;mso-width-relative:page;mso-height-relative:page;" filled="f" stroked="t" coordsize="21600,21600" o:gfxdata="UEsDBAoAAAAAAIdO4kAAAAAAAAAAAAAAAAAEAAAAZHJzL1BLAwQUAAAACACHTuJAyhu5JtQAAAAH&#10;AQAADwAAAGRycy9kb3ducmV2LnhtbE2Oy07DMBBF90j8gzVI7KjdgEIa4nQBqioQm7ZI3U5jEwfi&#10;cRq7D/6eQSxgeR+691Tzs+/F0Y6xC6RhOlEgLDXBdNRqeNssbgoQMSEZ7ANZDV82wry+vKiwNOFE&#10;K3tcp1bwCMUSNbiUhlLK2DjrMU7CYImz9zB6TCzHVpoRTzzue5kplUuPHfGDw8E+Ott8rg9eAz4t&#10;V2lbZC/33bN7/dgs9ktX7LW+vpqqBxDJntNfGX7wGR1qZtqFA5koeg0ZgycNd+oWBMezPGdj92vI&#10;upL/+etvUEsDBBQAAAAIAIdO4kBy7xN19AEAAOcDAAAOAAAAZHJzL2Uyb0RvYy54bWytU72OEzEQ&#10;7pF4B8s92SRCB1plc8WFo0EQCXiAie3dteQ/eZxs8hK8ABIdVJT0vA13j8HYm8txd00KtvCOPeNv&#10;5vtmvLjcW8N2KqL2ruGzyZQz5YSX2nUN//zp+sVrzjCBk2C8Uw0/KOSXy+fPFkOo1dz33kgVGYE4&#10;rIfQ8D6lUFcVil5ZwIkPypGz9dFCom3sKhlhIHRrqvl0elENPsoQvVCIdLoanfyIGM8B9G2rhVp5&#10;sbXKpRE1KgOJKGGvA/JlqbZtlUgf2hZVYqbhxDSVlZKQvclrtVxA3UUIvRbHEuCcEh5xsqAdJT1B&#10;rSAB20b9BMpqET36Nk2Et9VIpChCLGbTR9p87CGowoWkxnASHf8frHi/W0emZcPnJIkDSx2/+frr&#10;z5fvt7+/0Xrz8wcjD8k0BKwp+sqt43GHYR0z530bbf4TG7Yv0h5O0qp9YoIOL2bz2csppRB3vur+&#10;YoiY3ipvWTYabrTLrKGG3TtMlIxC70LysXFsoMmdvyp4QDPYUu8J2gbiga4rl9EbLa+1MfkKxm5z&#10;ZSLbQZ6D8mVOBPwgLGdZAfZjXHGNE9IrkG+cZOkQSCBHD4PnGqySnBlF7yhbBAh1Am3OiaTUxlEF&#10;WdZRyGxtvDxQP7Yh6q4nKWalyuyh/pd6j7OaB+zffUG6f5/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buSbUAAAABwEAAA8AAAAAAAAAAQAgAAAAIgAAAGRycy9kb3ducmV2LnhtbFBLAQIUABQA&#10;AAAIAIdO4kBy7xN19AEAAOcDAAAOAAAAAAAAAAEAIAAAACMBAABkcnMvZTJvRG9jLnhtbFBLBQYA&#10;AAAABgAGAFkBAACJBQAAAAA=&#10;">
                <v:fill on="f" focussize="0,0"/>
                <v:stroke weight="1pt" color="#000000 [3213]" joinstyle="round"/>
                <v:imagedata o:title=""/>
                <o:lock v:ext="edit" aspectratio="f"/>
                <w10:wrap type="topAndBottom"/>
              </v:line>
            </w:pict>
          </mc:Fallback>
        </mc:AlternateContent>
      </w:r>
    </w:p>
    <w:p>
      <w:pPr>
        <w:pBdr>
          <w:top w:val="none" w:color="auto" w:sz="0" w:space="0"/>
          <w:left w:val="none" w:color="auto" w:sz="0" w:space="0"/>
          <w:bottom w:val="none" w:color="auto" w:sz="0" w:space="0"/>
          <w:right w:val="none" w:color="auto" w:sz="0" w:space="0"/>
        </w:pBdr>
        <w:autoSpaceDE w:val="0"/>
        <w:autoSpaceDN w:val="0"/>
        <w:adjustRightInd w:val="0"/>
        <w:spacing w:before="1" w:line="360" w:lineRule="auto"/>
        <w:ind w:right="284" w:firstLine="3840" w:firstLineChars="1200"/>
        <w:outlineLvl w:val="0"/>
        <w:rPr>
          <w:rFonts w:ascii="黑体" w:hAnsi="黑体" w:eastAsia="黑体" w:cs="黑体"/>
          <w:kern w:val="0"/>
          <w:sz w:val="32"/>
          <w:szCs w:val="28"/>
        </w:rPr>
        <w:sectPr>
          <w:pgSz w:w="11906" w:h="16838"/>
          <w:pgMar w:top="1134" w:right="1418" w:bottom="1134" w:left="1418" w:header="567" w:footer="283" w:gutter="0"/>
          <w:pgBorders>
            <w:top w:val="none" w:sz="0" w:space="0"/>
            <w:left w:val="none" w:sz="0" w:space="0"/>
            <w:bottom w:val="none" w:sz="0" w:space="0"/>
            <w:right w:val="none" w:sz="0" w:space="0"/>
          </w:pgBorders>
          <w:pgNumType w:fmt="upperRoman" w:start="1"/>
          <w:cols w:space="720" w:num="1"/>
          <w:docGrid w:type="lines" w:linePitch="312" w:charSpace="0"/>
        </w:sect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MS Mincho" w:hAnsi="MS Mincho" w:eastAsia="MS Mincho" w:cs="MS Mincho"/>
        </w:rPr>
        <w:t>  </w:t>
      </w:r>
      <w:r>
        <w:rPr>
          <w:rFonts w:hint="eastAsia" w:ascii="黑体" w:hAnsi="黑体" w:eastAsia="黑体" w:cs="黑体"/>
          <w:sz w:val="32"/>
          <w:szCs w:val="32"/>
        </w:rPr>
        <w:t>次</w:t>
      </w:r>
    </w:p>
    <w:p>
      <w:pPr>
        <w:spacing w:line="360" w:lineRule="auto"/>
        <w:jc w:val="center"/>
        <w:rPr>
          <w:rFonts w:hint="eastAsia"/>
          <w:sz w:val="32"/>
          <w:szCs w:val="32"/>
        </w:rPr>
      </w:pPr>
    </w:p>
    <w:p>
      <w:pPr>
        <w:pStyle w:val="8"/>
        <w:tabs>
          <w:tab w:val="right" w:leader="dot" w:pos="9355"/>
          <w:tab w:val="clear" w:pos="9241"/>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_Toc19225 </w:instrText>
      </w:r>
      <w:r>
        <w:rPr>
          <w:rFonts w:hint="eastAsia" w:ascii="宋体" w:hAnsi="宋体" w:eastAsia="宋体" w:cs="宋体"/>
          <w:szCs w:val="21"/>
        </w:rPr>
        <w:fldChar w:fldCharType="separate"/>
      </w:r>
      <w:r>
        <w:rPr>
          <w:rFonts w:hint="eastAsia" w:ascii="黑体" w:hAnsi="黑体" w:eastAsia="黑体" w:cs="黑体"/>
        </w:rPr>
        <w:t>前  言</w:t>
      </w:r>
      <w:r>
        <w:tab/>
      </w:r>
      <w:r>
        <w:fldChar w:fldCharType="begin"/>
      </w:r>
      <w:r>
        <w:instrText xml:space="preserve"> PAGEREF _Toc19225 \h </w:instrText>
      </w:r>
      <w:r>
        <w:fldChar w:fldCharType="separate"/>
      </w:r>
      <w:r>
        <w:t>II</w:t>
      </w:r>
      <w:r>
        <w:fldChar w:fldCharType="end"/>
      </w:r>
      <w:r>
        <w:rPr>
          <w:rFonts w:hint="eastAsia" w:ascii="宋体" w:hAnsi="宋体" w:eastAsia="宋体" w:cs="宋体"/>
          <w:szCs w:val="21"/>
        </w:rPr>
        <w:fldChar w:fldCharType="end"/>
      </w:r>
    </w:p>
    <w:p>
      <w:pPr>
        <w:pStyle w:val="8"/>
        <w:tabs>
          <w:tab w:val="right" w:leader="dot" w:pos="9355"/>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_Toc8432 </w:instrText>
      </w:r>
      <w:r>
        <w:rPr>
          <w:rFonts w:hint="eastAsia" w:ascii="宋体" w:hAnsi="宋体" w:eastAsia="宋体" w:cs="宋体"/>
          <w:bCs/>
          <w:szCs w:val="21"/>
          <w:lang w:val="zh-CN"/>
        </w:rPr>
        <w:fldChar w:fldCharType="separate"/>
      </w:r>
      <w:r>
        <w:rPr>
          <w:rFonts w:hint="eastAsia" w:ascii="黑体" w:hAnsi="黑体" w:eastAsia="黑体" w:cs="黑体"/>
          <w:bCs w:val="0"/>
          <w:lang w:val="en-US" w:eastAsia="zh-CN"/>
        </w:rPr>
        <w:t>引</w:t>
      </w:r>
      <w:r>
        <w:rPr>
          <w:rFonts w:hint="eastAsia" w:ascii="黑体" w:hAnsi="黑体" w:eastAsia="黑体" w:cs="黑体"/>
          <w:bCs w:val="0"/>
        </w:rPr>
        <w:t>  言</w:t>
      </w:r>
      <w:r>
        <w:tab/>
      </w:r>
      <w:r>
        <w:fldChar w:fldCharType="begin"/>
      </w:r>
      <w:r>
        <w:instrText xml:space="preserve"> PAGEREF _Toc8432 \h </w:instrText>
      </w:r>
      <w:r>
        <w:fldChar w:fldCharType="separate"/>
      </w:r>
      <w:r>
        <w:t>III</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_Toc28873 </w:instrText>
      </w:r>
      <w:r>
        <w:rPr>
          <w:rFonts w:hint="eastAsia" w:ascii="宋体" w:hAnsi="宋体" w:eastAsia="宋体" w:cs="宋体"/>
          <w:bCs/>
          <w:szCs w:val="21"/>
          <w:lang w:val="zh-CN"/>
        </w:rPr>
        <w:fldChar w:fldCharType="separate"/>
      </w:r>
      <w:r>
        <w:rPr>
          <w:rFonts w:hint="eastAsia"/>
          <w:bCs/>
          <w:lang w:val="en-US" w:eastAsia="zh-CN"/>
        </w:rPr>
        <w:t xml:space="preserve">1  </w:t>
      </w:r>
      <w:r>
        <w:rPr>
          <w:rFonts w:hint="eastAsia"/>
          <w:bCs/>
        </w:rPr>
        <w:t>范围</w:t>
      </w:r>
      <w:r>
        <w:tab/>
      </w:r>
      <w:r>
        <w:fldChar w:fldCharType="begin"/>
      </w:r>
      <w:r>
        <w:instrText xml:space="preserve"> PAGEREF _Toc28873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_Toc2644 </w:instrText>
      </w:r>
      <w:r>
        <w:rPr>
          <w:rFonts w:hint="eastAsia" w:ascii="宋体" w:hAnsi="宋体" w:eastAsia="宋体" w:cs="宋体"/>
          <w:bCs/>
          <w:szCs w:val="21"/>
          <w:lang w:val="zh-CN"/>
        </w:rPr>
        <w:fldChar w:fldCharType="separate"/>
      </w:r>
      <w:r>
        <w:rPr>
          <w:rFonts w:hint="eastAsia" w:cs="Times New Roman"/>
          <w:bCs/>
          <w:lang w:val="en-US" w:eastAsia="zh-CN"/>
        </w:rPr>
        <w:t>2  规范性引用文件</w:t>
      </w:r>
      <w:r>
        <w:tab/>
      </w:r>
      <w:r>
        <w:fldChar w:fldCharType="begin"/>
      </w:r>
      <w:r>
        <w:instrText xml:space="preserve"> PAGEREF _Toc2644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_Toc27356 </w:instrText>
      </w:r>
      <w:r>
        <w:rPr>
          <w:rFonts w:hint="eastAsia" w:ascii="宋体" w:hAnsi="宋体" w:eastAsia="宋体" w:cs="宋体"/>
          <w:bCs/>
          <w:szCs w:val="21"/>
          <w:lang w:val="zh-CN"/>
        </w:rPr>
        <w:fldChar w:fldCharType="separate"/>
      </w:r>
      <w:r>
        <w:rPr>
          <w:rFonts w:hint="eastAsia" w:cs="Times New Roman"/>
          <w:bCs/>
          <w:lang w:val="en-US" w:eastAsia="zh-CN"/>
        </w:rPr>
        <w:t>3  术语和定义</w:t>
      </w:r>
      <w:r>
        <w:tab/>
      </w:r>
      <w:r>
        <w:fldChar w:fldCharType="begin"/>
      </w:r>
      <w:r>
        <w:instrText xml:space="preserve"> PAGEREF _Toc27356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_Toc10360 </w:instrText>
      </w:r>
      <w:r>
        <w:rPr>
          <w:rFonts w:hint="eastAsia" w:ascii="宋体" w:hAnsi="宋体" w:eastAsia="宋体" w:cs="宋体"/>
          <w:bCs/>
          <w:szCs w:val="21"/>
          <w:lang w:val="zh-CN"/>
        </w:rPr>
        <w:fldChar w:fldCharType="separate"/>
      </w:r>
      <w:r>
        <w:rPr>
          <w:rFonts w:hint="eastAsia" w:cs="Times New Roman"/>
          <w:bCs/>
          <w:lang w:val="en-US" w:eastAsia="zh-CN"/>
        </w:rPr>
        <w:t>4  基本原则</w:t>
      </w:r>
      <w:r>
        <w:tab/>
      </w:r>
      <w:r>
        <w:fldChar w:fldCharType="begin"/>
      </w:r>
      <w:r>
        <w:instrText xml:space="preserve"> PAGEREF _Toc10360 \h </w:instrText>
      </w:r>
      <w:r>
        <w:fldChar w:fldCharType="separate"/>
      </w:r>
      <w:r>
        <w:t>2</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_Toc24060 </w:instrText>
      </w:r>
      <w:r>
        <w:rPr>
          <w:rFonts w:hint="eastAsia" w:ascii="宋体" w:hAnsi="宋体" w:eastAsia="宋体" w:cs="宋体"/>
          <w:bCs/>
          <w:szCs w:val="21"/>
          <w:lang w:val="zh-CN"/>
        </w:rPr>
        <w:fldChar w:fldCharType="separate"/>
      </w:r>
      <w:r>
        <w:rPr>
          <w:rFonts w:hint="eastAsia" w:cs="Times New Roman"/>
          <w:bCs/>
          <w:lang w:val="en-US" w:eastAsia="zh-CN"/>
        </w:rPr>
        <w:t>5  数据分类规则</w:t>
      </w:r>
      <w:r>
        <w:tab/>
      </w:r>
      <w:r>
        <w:fldChar w:fldCharType="begin"/>
      </w:r>
      <w:r>
        <w:instrText xml:space="preserve"> PAGEREF _Toc24060 \h </w:instrText>
      </w:r>
      <w:r>
        <w:fldChar w:fldCharType="separate"/>
      </w:r>
      <w:r>
        <w:t>2</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_Toc3731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5.1 数据分类框架</w:t>
      </w:r>
      <w:r>
        <w:tab/>
      </w:r>
      <w:r>
        <w:fldChar w:fldCharType="begin"/>
      </w:r>
      <w:r>
        <w:instrText xml:space="preserve"> PAGEREF _Toc3731 \h </w:instrText>
      </w:r>
      <w:r>
        <w:fldChar w:fldCharType="separate"/>
      </w:r>
      <w:r>
        <w:t>3</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_Toc29906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5.2 数据分类方法</w:t>
      </w:r>
      <w:r>
        <w:tab/>
      </w:r>
      <w:r>
        <w:fldChar w:fldCharType="begin"/>
      </w:r>
      <w:r>
        <w:instrText xml:space="preserve"> PAGEREF _Toc29906 \h </w:instrText>
      </w:r>
      <w:r>
        <w:fldChar w:fldCharType="separate"/>
      </w:r>
      <w:r>
        <w:t>3</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_Toc22459 </w:instrText>
      </w:r>
      <w:r>
        <w:rPr>
          <w:rFonts w:hint="eastAsia" w:ascii="宋体" w:hAnsi="宋体" w:eastAsia="宋体" w:cs="宋体"/>
          <w:bCs/>
          <w:szCs w:val="21"/>
          <w:lang w:val="zh-CN"/>
        </w:rPr>
        <w:fldChar w:fldCharType="separate"/>
      </w:r>
      <w:r>
        <w:rPr>
          <w:rFonts w:hint="eastAsia" w:cs="Times New Roman"/>
          <w:bCs/>
          <w:lang w:val="en-US" w:eastAsia="zh-CN"/>
        </w:rPr>
        <w:t>6  数据分级规则</w:t>
      </w:r>
      <w:r>
        <w:tab/>
      </w:r>
      <w:r>
        <w:fldChar w:fldCharType="begin"/>
      </w:r>
      <w:r>
        <w:instrText xml:space="preserve"> PAGEREF _Toc22459 \h </w:instrText>
      </w:r>
      <w:r>
        <w:fldChar w:fldCharType="separate"/>
      </w:r>
      <w:r>
        <w:t>3</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_Toc13570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6.1 数据分级框架</w:t>
      </w:r>
      <w:r>
        <w:tab/>
      </w:r>
      <w:r>
        <w:fldChar w:fldCharType="begin"/>
      </w:r>
      <w:r>
        <w:instrText xml:space="preserve"> PAGEREF _Toc13570 \h </w:instrText>
      </w:r>
      <w:r>
        <w:fldChar w:fldCharType="separate"/>
      </w:r>
      <w:r>
        <w:t>4</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_Toc30297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6.2 数据分级方法</w:t>
      </w:r>
      <w:r>
        <w:tab/>
      </w:r>
      <w:r>
        <w:fldChar w:fldCharType="begin"/>
      </w:r>
      <w:r>
        <w:instrText xml:space="preserve"> PAGEREF _Toc30297 \h </w:instrText>
      </w:r>
      <w:r>
        <w:fldChar w:fldCharType="separate"/>
      </w:r>
      <w:r>
        <w:t>4</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_Toc9534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 重要数据识别维度</w:t>
      </w:r>
      <w:r>
        <w:tab/>
      </w:r>
      <w:r>
        <w:fldChar w:fldCharType="begin"/>
      </w:r>
      <w:r>
        <w:instrText xml:space="preserve"> PAGEREF _Toc9534 \h </w:instrText>
      </w:r>
      <w:r>
        <w:fldChar w:fldCharType="separate"/>
      </w:r>
      <w:r>
        <w:t>4</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_Toc1156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6.3.1 概述</w:t>
      </w:r>
      <w:r>
        <w:tab/>
      </w:r>
      <w:r>
        <w:fldChar w:fldCharType="begin"/>
      </w:r>
      <w:r>
        <w:instrText xml:space="preserve"> PAGEREF _Toc1156 \h </w:instrText>
      </w:r>
      <w:r>
        <w:fldChar w:fldCharType="separate"/>
      </w:r>
      <w:r>
        <w:t>4</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_Toc5318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6.3.2 与国家秘密生成相关</w:t>
      </w:r>
      <w:r>
        <w:tab/>
      </w:r>
      <w:r>
        <w:fldChar w:fldCharType="begin"/>
      </w:r>
      <w:r>
        <w:instrText xml:space="preserve"> PAGEREF _Toc5318 \h </w:instrText>
      </w:r>
      <w:r>
        <w:fldChar w:fldCharType="separate"/>
      </w:r>
      <w:r>
        <w:t>4</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_Toc17392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6.3.3 与国家安全相关</w:t>
      </w:r>
      <w:r>
        <w:tab/>
      </w:r>
      <w:r>
        <w:fldChar w:fldCharType="begin"/>
      </w:r>
      <w:r>
        <w:instrText xml:space="preserve"> PAGEREF _Toc17392 \h </w:instrText>
      </w:r>
      <w:r>
        <w:fldChar w:fldCharType="separate"/>
      </w:r>
      <w:r>
        <w:t>5</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_Toc6159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6.3.4 与行业发展相关</w:t>
      </w:r>
      <w:r>
        <w:tab/>
      </w:r>
      <w:r>
        <w:fldChar w:fldCharType="begin"/>
      </w:r>
      <w:r>
        <w:instrText xml:space="preserve"> PAGEREF _Toc6159 \h </w:instrText>
      </w:r>
      <w:r>
        <w:fldChar w:fldCharType="separate"/>
      </w:r>
      <w:r>
        <w:t>5</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_Toc12945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6.3.5 与工业领域出口管制物项相关</w:t>
      </w:r>
      <w:r>
        <w:tab/>
      </w:r>
      <w:r>
        <w:fldChar w:fldCharType="begin"/>
      </w:r>
      <w:r>
        <w:instrText xml:space="preserve"> PAGEREF _Toc12945 \h </w:instrText>
      </w:r>
      <w:r>
        <w:fldChar w:fldCharType="separate"/>
      </w:r>
      <w:r>
        <w:t>6</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_Toc11103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6.3.6 与行业经济效益和产业保障相关</w:t>
      </w:r>
      <w:r>
        <w:tab/>
      </w:r>
      <w:r>
        <w:fldChar w:fldCharType="begin"/>
      </w:r>
      <w:r>
        <w:instrText xml:space="preserve"> PAGEREF _Toc11103 \h </w:instrText>
      </w:r>
      <w:r>
        <w:fldChar w:fldCharType="separate"/>
      </w:r>
      <w:r>
        <w:t>6</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2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_Toc294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6.3.7 其他</w:t>
      </w:r>
      <w:r>
        <w:tab/>
      </w:r>
      <w:r>
        <w:fldChar w:fldCharType="begin"/>
      </w:r>
      <w:r>
        <w:instrText xml:space="preserve"> PAGEREF _Toc294 \h </w:instrText>
      </w:r>
      <w:r>
        <w:fldChar w:fldCharType="separate"/>
      </w:r>
      <w:r>
        <w:t>6</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_Toc13225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6.4 综合确定级别</w:t>
      </w:r>
      <w:r>
        <w:tab/>
      </w:r>
      <w:r>
        <w:fldChar w:fldCharType="begin"/>
      </w:r>
      <w:r>
        <w:instrText xml:space="preserve"> PAGEREF _Toc13225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_Toc25414 </w:instrText>
      </w:r>
      <w:r>
        <w:rPr>
          <w:rFonts w:hint="eastAsia" w:ascii="宋体" w:hAnsi="宋体" w:eastAsia="宋体" w:cs="宋体"/>
          <w:bCs/>
          <w:szCs w:val="21"/>
          <w:lang w:val="zh-CN"/>
        </w:rPr>
        <w:fldChar w:fldCharType="separate"/>
      </w:r>
      <w:r>
        <w:rPr>
          <w:rFonts w:hint="eastAsia" w:cs="Times New Roman"/>
          <w:bCs/>
          <w:lang w:val="en-US" w:eastAsia="zh-CN"/>
        </w:rPr>
        <w:t>7  数据分类分级流程</w:t>
      </w:r>
      <w:r>
        <w:tab/>
      </w:r>
      <w:r>
        <w:fldChar w:fldCharType="begin"/>
      </w:r>
      <w:r>
        <w:instrText xml:space="preserve"> PAGEREF _Toc25414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_Toc5871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7.1 概述</w:t>
      </w:r>
      <w:r>
        <w:tab/>
      </w:r>
      <w:r>
        <w:fldChar w:fldCharType="begin"/>
      </w:r>
      <w:r>
        <w:instrText xml:space="preserve"> PAGEREF _Toc5871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_Toc11428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7.2 数据资产梳理</w:t>
      </w:r>
      <w:r>
        <w:tab/>
      </w:r>
      <w:r>
        <w:fldChar w:fldCharType="begin"/>
      </w:r>
      <w:r>
        <w:instrText xml:space="preserve"> PAGEREF _Toc11428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_Toc12520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7.3 重要数据识别</w:t>
      </w:r>
      <w:r>
        <w:tab/>
      </w:r>
      <w:r>
        <w:fldChar w:fldCharType="begin"/>
      </w:r>
      <w:r>
        <w:instrText xml:space="preserve"> PAGEREF _Toc12520 \h </w:instrText>
      </w:r>
      <w:r>
        <w:fldChar w:fldCharType="separate"/>
      </w:r>
      <w:r>
        <w:t>8</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_Toc3491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7.4 内部审批</w:t>
      </w:r>
      <w:r>
        <w:tab/>
      </w:r>
      <w:r>
        <w:fldChar w:fldCharType="begin"/>
      </w:r>
      <w:r>
        <w:instrText xml:space="preserve"> PAGEREF _Toc3491 \h </w:instrText>
      </w:r>
      <w:r>
        <w:fldChar w:fldCharType="separate"/>
      </w:r>
      <w:r>
        <w:t>8</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_Toc19915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7.5 重要数据目录备案</w:t>
      </w:r>
      <w:r>
        <w:tab/>
      </w:r>
      <w:r>
        <w:fldChar w:fldCharType="begin"/>
      </w:r>
      <w:r>
        <w:instrText xml:space="preserve"> PAGEREF _Toc19915 \h </w:instrText>
      </w:r>
      <w:r>
        <w:fldChar w:fldCharType="separate"/>
      </w:r>
      <w:r>
        <w:t>8</w:t>
      </w:r>
      <w:r>
        <w:fldChar w:fldCharType="end"/>
      </w:r>
      <w:r>
        <w:rPr>
          <w:rFonts w:hint="eastAsia" w:ascii="宋体" w:hAnsi="宋体" w:eastAsia="宋体" w:cs="宋体"/>
          <w:bCs/>
          <w:szCs w:val="21"/>
          <w:lang w:val="zh-CN"/>
        </w:rPr>
        <w:fldChar w:fldCharType="end"/>
      </w:r>
    </w:p>
    <w:p>
      <w:pPr>
        <w:pStyle w:val="9"/>
        <w:tabs>
          <w:tab w:val="right" w:leader="dot" w:pos="9355"/>
          <w:tab w:val="clear" w:pos="1470"/>
          <w:tab w:val="clear" w:pos="9241"/>
        </w:tabs>
        <w:ind w:leftChars="100"/>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_Toc4475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7.6 动态更新机制</w:t>
      </w:r>
      <w:r>
        <w:tab/>
      </w:r>
      <w:r>
        <w:fldChar w:fldCharType="begin"/>
      </w:r>
      <w:r>
        <w:instrText xml:space="preserve"> PAGEREF _Toc4475 \h </w:instrText>
      </w:r>
      <w:r>
        <w:fldChar w:fldCharType="separate"/>
      </w:r>
      <w:r>
        <w:t>8</w:t>
      </w:r>
      <w:r>
        <w:fldChar w:fldCharType="end"/>
      </w:r>
      <w:r>
        <w:rPr>
          <w:rFonts w:hint="eastAsia" w:ascii="宋体" w:hAnsi="宋体" w:eastAsia="宋体" w:cs="宋体"/>
          <w:bCs/>
          <w:szCs w:val="21"/>
          <w:lang w:val="zh-CN"/>
        </w:rPr>
        <w:fldChar w:fldCharType="end"/>
      </w:r>
    </w:p>
    <w:p>
      <w:pPr>
        <w:pStyle w:val="8"/>
        <w:tabs>
          <w:tab w:val="right" w:leader="dot" w:pos="9355"/>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_Toc25698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A</w:t>
      </w:r>
      <w:r>
        <w:tab/>
      </w:r>
      <w:r>
        <w:fldChar w:fldCharType="begin"/>
      </w:r>
      <w:r>
        <w:instrText xml:space="preserve"> PAGEREF _Toc25698 \h </w:instrText>
      </w:r>
      <w:r>
        <w:fldChar w:fldCharType="separate"/>
      </w:r>
      <w:r>
        <w:t>9</w:t>
      </w:r>
      <w:r>
        <w:fldChar w:fldCharType="end"/>
      </w:r>
      <w:r>
        <w:rPr>
          <w:rFonts w:hint="eastAsia" w:ascii="宋体" w:hAnsi="宋体" w:eastAsia="宋体" w:cs="宋体"/>
          <w:bCs/>
          <w:szCs w:val="21"/>
          <w:lang w:val="zh-CN"/>
        </w:rPr>
        <w:fldChar w:fldCharType="end"/>
      </w:r>
    </w:p>
    <w:p>
      <w:pPr>
        <w:pStyle w:val="8"/>
        <w:tabs>
          <w:tab w:val="right" w:leader="dot" w:pos="9355"/>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_Toc21108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B</w:t>
      </w:r>
      <w:r>
        <w:tab/>
      </w:r>
      <w:r>
        <w:fldChar w:fldCharType="begin"/>
      </w:r>
      <w:r>
        <w:instrText xml:space="preserve"> PAGEREF _Toc21108 \h </w:instrText>
      </w:r>
      <w:r>
        <w:fldChar w:fldCharType="separate"/>
      </w:r>
      <w:r>
        <w:t>13</w:t>
      </w:r>
      <w:r>
        <w:fldChar w:fldCharType="end"/>
      </w:r>
      <w:r>
        <w:rPr>
          <w:rFonts w:hint="eastAsia" w:ascii="宋体" w:hAnsi="宋体" w:eastAsia="宋体" w:cs="宋体"/>
          <w:bCs/>
          <w:szCs w:val="21"/>
          <w:lang w:val="zh-CN"/>
        </w:rPr>
        <w:fldChar w:fldCharType="end"/>
      </w:r>
    </w:p>
    <w:p>
      <w:pPr>
        <w:pStyle w:val="8"/>
        <w:tabs>
          <w:tab w:val="right" w:leader="dot" w:pos="9355"/>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_Toc20956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参 考 文 献</w:t>
      </w:r>
      <w:r>
        <w:tab/>
      </w:r>
      <w:r>
        <w:fldChar w:fldCharType="begin"/>
      </w:r>
      <w:r>
        <w:instrText xml:space="preserve"> PAGEREF _Toc20956 \h </w:instrText>
      </w:r>
      <w:r>
        <w:fldChar w:fldCharType="separate"/>
      </w:r>
      <w:r>
        <w:t>22</w:t>
      </w:r>
      <w:r>
        <w:fldChar w:fldCharType="end"/>
      </w:r>
      <w:r>
        <w:rPr>
          <w:rFonts w:hint="eastAsia" w:ascii="宋体" w:hAnsi="宋体" w:eastAsia="宋体" w:cs="宋体"/>
          <w:bCs/>
          <w:szCs w:val="21"/>
          <w:lang w:val="zh-CN"/>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bCs/>
          <w:szCs w:val="21"/>
          <w:lang w:val="zh-CN"/>
        </w:rPr>
        <w:fldChar w:fldCharType="end"/>
      </w:r>
    </w:p>
    <w:p>
      <w:pPr>
        <w:pStyle w:val="28"/>
      </w:pPr>
    </w:p>
    <w:p>
      <w:pPr>
        <w:pStyle w:val="33"/>
        <w:rPr>
          <w:rFonts w:hint="eastAsia" w:ascii="黑体" w:hAnsi="黑体" w:eastAsia="黑体" w:cs="黑体"/>
        </w:rPr>
      </w:pPr>
      <w:r>
        <w:rPr>
          <w:rFonts w:hint="eastAsia" w:ascii="黑体" w:hAnsi="黑体" w:eastAsia="黑体" w:cs="黑体"/>
        </w:rPr>
        <w:t>前  言</w:t>
      </w:r>
    </w:p>
    <w:p>
      <w:pPr>
        <w:numPr>
          <w:ilvl w:val="0"/>
          <w:numId w:val="3"/>
        </w:numPr>
        <w:spacing w:line="360" w:lineRule="auto"/>
        <w:ind w:firstLine="420" w:firstLineChars="200"/>
        <w:rPr>
          <w:highlight w:val="none"/>
        </w:rPr>
      </w:pPr>
      <w:r>
        <w:rPr>
          <w:rFonts w:hint="eastAsia"/>
          <w:highlight w:val="none"/>
        </w:rPr>
        <w:t>本文件按照</w:t>
      </w:r>
      <w:r>
        <w:rPr>
          <w:highlight w:val="none"/>
        </w:rPr>
        <w:t>GB/T 1.1—20</w:t>
      </w:r>
      <w:r>
        <w:rPr>
          <w:rFonts w:hint="eastAsia"/>
          <w:highlight w:val="none"/>
        </w:rPr>
        <w:t>20《标准化工作导则  第1部分：标准化文件的结构和起草规则》的规定起草。</w:t>
      </w:r>
    </w:p>
    <w:p>
      <w:pPr>
        <w:autoSpaceDE w:val="0"/>
        <w:autoSpaceDN w:val="0"/>
        <w:adjustRightInd w:val="0"/>
        <w:spacing w:before="1" w:line="360" w:lineRule="auto"/>
        <w:ind w:right="284" w:firstLine="420" w:firstLineChars="200"/>
        <w:rPr>
          <w:rFonts w:hint="eastAsia"/>
          <w:kern w:val="0"/>
          <w:highlight w:val="none"/>
        </w:rPr>
      </w:pPr>
      <w:r>
        <w:rPr>
          <w:rFonts w:hint="eastAsia"/>
          <w:highlight w:val="none"/>
        </w:rPr>
        <w:t>请注意本文件的某些内容可能涉及专利。本文件的发布机构不承担识别专利的责任。</w:t>
      </w:r>
    </w:p>
    <w:p>
      <w:pPr>
        <w:pStyle w:val="30"/>
        <w:spacing w:line="360" w:lineRule="auto"/>
        <w:ind w:firstLine="420"/>
        <w:rPr>
          <w:rFonts w:hint="eastAsia"/>
          <w:highlight w:val="none"/>
        </w:rPr>
      </w:pPr>
      <w:r>
        <w:rPr>
          <w:rFonts w:hint="eastAsia"/>
          <w:highlight w:val="none"/>
        </w:rPr>
        <w:t>本文件由全国有色金属标准化技术委员会（SAC/TC243）提出并归口。</w:t>
      </w:r>
    </w:p>
    <w:p>
      <w:pPr>
        <w:pStyle w:val="30"/>
        <w:spacing w:line="360" w:lineRule="auto"/>
        <w:ind w:firstLine="420"/>
        <w:rPr>
          <w:rFonts w:hint="eastAsia" w:eastAsia="宋体"/>
          <w:lang w:eastAsia="zh-CN"/>
        </w:rPr>
      </w:pPr>
      <w:r>
        <w:rPr>
          <w:rFonts w:hint="eastAsia" w:ascii="宋体" w:hAnsi="宋体" w:cs="宋体"/>
          <w:kern w:val="0"/>
          <w:highlight w:val="none"/>
        </w:rPr>
        <w:t>本文件起草单位：江西铜业股份有限公司</w:t>
      </w:r>
      <w:r>
        <w:rPr>
          <w:rFonts w:hint="eastAsia" w:cs="宋体"/>
          <w:kern w:val="0"/>
          <w:highlight w:val="none"/>
          <w:lang w:val="en-US" w:eastAsia="zh-CN"/>
        </w:rPr>
        <w:t>等</w:t>
      </w:r>
      <w:r>
        <w:rPr>
          <w:rFonts w:hint="eastAsia" w:ascii="宋体" w:hAnsi="宋体" w:cs="宋体"/>
          <w:kern w:val="0"/>
          <w:highlight w:val="none"/>
        </w:rPr>
        <w:t>。</w:t>
      </w:r>
    </w:p>
    <w:p>
      <w:pPr>
        <w:ind w:firstLine="420" w:firstLineChars="200"/>
        <w:rPr>
          <w:rFonts w:hint="eastAsia" w:ascii="宋体" w:eastAsia="宋体" w:cs="宋体"/>
          <w:kern w:val="0"/>
          <w:szCs w:val="21"/>
          <w:lang w:val="en-US" w:eastAsia="zh-CN"/>
        </w:rPr>
      </w:pPr>
      <w:r>
        <w:rPr>
          <w:rFonts w:hint="eastAsia"/>
        </w:rPr>
        <w:t>本文件主要起草人：</w:t>
      </w:r>
      <w:bookmarkStart w:id="0" w:name="_GoBack"/>
      <w:bookmarkEnd w:id="0"/>
    </w:p>
    <w:p>
      <w:pPr>
        <w:ind w:firstLine="420" w:firstLineChars="200"/>
        <w:rPr>
          <w:rFonts w:hint="eastAsia" w:ascii="宋体" w:cs="宋体"/>
          <w:kern w:val="0"/>
          <w:szCs w:val="21"/>
          <w:lang w:eastAsia="zh-CN"/>
        </w:rPr>
      </w:pPr>
    </w:p>
    <w:p>
      <w:pPr>
        <w:ind w:firstLine="420" w:firstLineChars="200"/>
        <w:rPr>
          <w:rFonts w:hint="eastAsia" w:ascii="宋体" w:cs="宋体"/>
          <w:kern w:val="0"/>
          <w:szCs w:val="21"/>
          <w:lang w:eastAsia="zh-CN"/>
        </w:rPr>
      </w:pPr>
    </w:p>
    <w:p>
      <w:pPr>
        <w:rPr>
          <w:rFonts w:hint="eastAsia" w:ascii="宋体" w:cs="宋体"/>
          <w:kern w:val="0"/>
          <w:szCs w:val="21"/>
          <w:lang w:eastAsia="zh-CN"/>
        </w:rPr>
      </w:pPr>
    </w:p>
    <w:p>
      <w:pPr>
        <w:ind w:firstLine="420" w:firstLineChars="200"/>
      </w:pPr>
      <w:r>
        <w:br w:type="page"/>
      </w:r>
    </w:p>
    <w:p>
      <w:pPr>
        <w:pStyle w:val="33"/>
        <w:rPr>
          <w:rFonts w:hint="eastAsia" w:ascii="黑体" w:hAnsi="黑体" w:eastAsia="黑体" w:cs="黑体"/>
          <w:b w:val="0"/>
          <w:bCs w:val="0"/>
        </w:rPr>
      </w:pPr>
      <w:r>
        <w:rPr>
          <w:rFonts w:hint="eastAsia" w:ascii="黑体" w:hAnsi="黑体" w:eastAsia="黑体" w:cs="黑体"/>
          <w:b w:val="0"/>
          <w:bCs w:val="0"/>
          <w:lang w:val="en-US" w:eastAsia="zh-CN"/>
        </w:rPr>
        <w:t>引</w:t>
      </w:r>
      <w:r>
        <w:rPr>
          <w:rFonts w:hint="eastAsia" w:ascii="黑体" w:hAnsi="黑体" w:eastAsia="黑体" w:cs="黑体"/>
          <w:b w:val="0"/>
          <w:bCs w:val="0"/>
        </w:rPr>
        <w:t>  言</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rPr>
      </w:pPr>
      <w:r>
        <w:rPr>
          <w:rFonts w:hint="eastAsia"/>
        </w:rPr>
        <w:t>2024年2月23日，工业和信息化部印发《工业领域数据安全能力提升实施方案（2024-2026年）》（以下简称《实施方案》），明确提出“分行业分领域研究制定重要数据和核心数据识别细则，形成‘1+N’的工业领域数据分类分级规范体系，科学指导各行业落地实施”的工作要求。</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rPr>
      </w:pPr>
      <w:r>
        <w:rPr>
          <w:rFonts w:hint="eastAsia"/>
        </w:rPr>
        <w:t>工业数据安全能力提升的核心前提是做好数据分类分级、精准识别重要与核心数据，进而建立健全安全保护机制。为此，制定《有色金属行业工业数据分类分级指南》，既是落实《实施方案》的关键举措，也是推动《数据安全法》《工业和信息化领域数据安全管理办法（试行）》等法规在工业领域全面落地深化的具体实践，更为有色金属企业提升数据安全治理水平、促进数据要素在产业链上下游有序流转及价值释放提供坚实支撑。</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rPr>
      </w:pPr>
      <w:r>
        <w:rPr>
          <w:rFonts w:hint="eastAsia"/>
        </w:rPr>
        <w:t>本</w:t>
      </w:r>
      <w:r>
        <w:rPr>
          <w:rFonts w:hint="eastAsia"/>
          <w:lang w:val="en-US" w:eastAsia="zh-CN"/>
        </w:rPr>
        <w:t>文件</w:t>
      </w:r>
      <w:r>
        <w:rPr>
          <w:rFonts w:hint="eastAsia"/>
        </w:rPr>
        <w:t>在国家数据安全工作统筹指导下，以《数据安全法》《网络安全法》等法律法规为遵循，依据相关管理办法编制，为有色金属行业提供全面系统、科学适用的分类分级标准</w:t>
      </w:r>
      <w:r>
        <w:rPr>
          <w:rFonts w:hint="eastAsia"/>
          <w:lang w:eastAsia="zh-CN"/>
        </w:rPr>
        <w:t>，</w:t>
      </w:r>
      <w:r>
        <w:rPr>
          <w:rFonts w:hint="eastAsia"/>
          <w:lang w:val="en-US" w:eastAsia="zh-CN"/>
        </w:rPr>
        <w:t>旨在</w:t>
      </w:r>
      <w:r>
        <w:rPr>
          <w:rFonts w:hint="eastAsia"/>
        </w:rPr>
        <w:t>指导行业采选、冶炼、加工全链条企业规范开展数据分类分级工作，为企业合规数据处理、强化安全管理、高效开发利用数据筑牢基础，助力行业数字化转型，赋能制造业高质量发展。</w:t>
      </w:r>
    </w:p>
    <w:p>
      <w:pPr>
        <w:pStyle w:val="30"/>
        <w:bidi w:val="0"/>
      </w:pPr>
    </w:p>
    <w:p>
      <w:pPr>
        <w:pStyle w:val="30"/>
        <w:bidi w:val="0"/>
        <w:rPr>
          <w:rFonts w:hint="default"/>
          <w:lang w:val="en-US" w:eastAsia="zh-CN"/>
        </w:rPr>
      </w:pPr>
    </w:p>
    <w:p>
      <w:pPr>
        <w:pStyle w:val="32"/>
        <w:rPr>
          <w:rFonts w:hint="eastAsia"/>
        </w:rPr>
        <w:sectPr>
          <w:headerReference r:id="rId3" w:type="default"/>
          <w:footerReference r:id="rId4" w:type="default"/>
          <w:pgSz w:w="11906" w:h="16838"/>
          <w:pgMar w:top="1417" w:right="1134" w:bottom="1417" w:left="1417" w:header="1418" w:footer="1134" w:gutter="0"/>
          <w:pgBorders>
            <w:top w:val="none" w:sz="0" w:space="0"/>
            <w:left w:val="none" w:sz="0" w:space="0"/>
            <w:bottom w:val="none" w:sz="0" w:space="0"/>
            <w:right w:val="none" w:sz="0" w:space="0"/>
          </w:pgBorders>
          <w:pgNumType w:fmt="upperRoman" w:start="1"/>
          <w:cols w:space="0" w:num="1"/>
          <w:formProt w:val="0"/>
          <w:rtlGutter w:val="0"/>
          <w:docGrid w:type="lines" w:linePitch="312" w:charSpace="0"/>
        </w:sectPr>
      </w:pPr>
    </w:p>
    <w:p>
      <w:pPr>
        <w:pStyle w:val="30"/>
        <w:spacing w:line="360" w:lineRule="auto"/>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有色金属行业</w:t>
      </w:r>
      <w:r>
        <w:rPr>
          <w:rFonts w:hint="eastAsia" w:ascii="黑体" w:hAnsi="黑体" w:eastAsia="黑体" w:cs="黑体"/>
          <w:sz w:val="32"/>
          <w:szCs w:val="32"/>
          <w:lang w:val="en-US" w:eastAsia="zh-CN"/>
        </w:rPr>
        <w:t>工业</w:t>
      </w:r>
      <w:r>
        <w:rPr>
          <w:rFonts w:hint="eastAsia" w:ascii="黑体" w:hAnsi="黑体" w:eastAsia="黑体" w:cs="黑体"/>
          <w:sz w:val="32"/>
          <w:szCs w:val="32"/>
          <w:lang w:eastAsia="zh-CN"/>
        </w:rPr>
        <w:t>数据分类分级指南</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b w:val="0"/>
          <w:bCs/>
        </w:rPr>
      </w:pPr>
      <w:r>
        <w:rPr>
          <w:rFonts w:hint="eastAsia"/>
          <w:b w:val="0"/>
          <w:bCs/>
          <w:lang w:val="en-US" w:eastAsia="zh-CN"/>
        </w:rPr>
        <w:t xml:space="preserve">1  </w:t>
      </w:r>
      <w:r>
        <w:rPr>
          <w:rFonts w:hint="eastAsia"/>
          <w:b w:val="0"/>
          <w:bCs/>
        </w:rPr>
        <w:t>范围</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本文件</w:t>
      </w:r>
      <w:r>
        <w:rPr>
          <w:rFonts w:hint="eastAsia" w:ascii="宋体" w:hAnsi="Times New Roman" w:eastAsia="宋体" w:cs="Times New Roman"/>
          <w:lang w:val="en-US" w:eastAsia="zh-CN"/>
        </w:rPr>
        <w:t>规定了</w:t>
      </w:r>
      <w:r>
        <w:rPr>
          <w:rFonts w:hint="eastAsia" w:ascii="宋体" w:hAnsi="Times New Roman" w:eastAsia="宋体" w:cs="Times New Roman"/>
          <w:lang w:eastAsia="zh-CN"/>
        </w:rPr>
        <w:t>有色金属行业</w:t>
      </w:r>
      <w:r>
        <w:rPr>
          <w:rFonts w:hint="eastAsia" w:ascii="宋体" w:hAnsi="Times New Roman" w:eastAsia="宋体" w:cs="Times New Roman"/>
          <w:lang w:val="en-US" w:eastAsia="zh-CN"/>
        </w:rPr>
        <w:t>工业</w:t>
      </w:r>
      <w:r>
        <w:rPr>
          <w:rFonts w:hint="eastAsia" w:ascii="宋体" w:hAnsi="Times New Roman" w:eastAsia="宋体" w:cs="Times New Roman"/>
          <w:lang w:eastAsia="zh-CN"/>
        </w:rPr>
        <w:t>数据分类分级</w:t>
      </w:r>
      <w:r>
        <w:rPr>
          <w:rFonts w:hint="eastAsia" w:ascii="宋体" w:hAnsi="Times New Roman" w:eastAsia="宋体" w:cs="Times New Roman"/>
          <w:lang w:val="en-US" w:eastAsia="zh-CN"/>
        </w:rPr>
        <w:t>的基本原则、规则</w:t>
      </w:r>
      <w:r>
        <w:rPr>
          <w:rFonts w:hint="eastAsia" w:hAnsi="Times New Roman" w:cs="Times New Roman"/>
          <w:lang w:val="en-US" w:eastAsia="zh-CN"/>
        </w:rPr>
        <w:t>及流程，并提供了数据示例。</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本文件适用于有色金属行业采选、冶炼、加工企业参考本标准开展数据分类分级工作</w:t>
      </w:r>
      <w:r>
        <w:rPr>
          <w:rFonts w:hint="eastAsia" w:hAnsi="Times New Roman" w:cs="Times New Roman"/>
          <w:lang w:val="en-US" w:eastAsia="zh-CN"/>
        </w:rPr>
        <w:t>，</w:t>
      </w:r>
      <w:r>
        <w:rPr>
          <w:rFonts w:hint="eastAsia" w:ascii="宋体" w:hAnsi="Times New Roman" w:eastAsia="宋体" w:cs="Times New Roman"/>
          <w:lang w:val="en-US" w:eastAsia="zh-CN"/>
        </w:rPr>
        <w:t>同时为各类数据处理者开展数据安全管理、合规处理及风险防控工作提供参考依据。</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2  规范性引用文件</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rPr>
        <w:t>GB/T 36073</w:t>
      </w:r>
      <w:r>
        <w:rPr>
          <w:rFonts w:hint="eastAsia" w:ascii="宋体" w:hAnsi="Times New Roman" w:eastAsia="宋体" w:cs="Times New Roman"/>
          <w:lang w:val="en-US" w:eastAsia="zh-CN"/>
        </w:rPr>
        <w:t xml:space="preserve"> 数据管理能力成熟度评估模型</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43697</w:t>
      </w:r>
      <w:r>
        <w:rPr>
          <w:rFonts w:hint="eastAsia" w:ascii="宋体" w:hAnsi="Times New Roman" w:eastAsia="宋体" w:cs="Times New Roman"/>
          <w:lang w:val="en-US" w:eastAsia="zh-CN"/>
        </w:rPr>
        <w:t xml:space="preserve"> </w:t>
      </w:r>
      <w:r>
        <w:rPr>
          <w:rFonts w:hint="eastAsia" w:ascii="宋体" w:hAnsi="Times New Roman" w:eastAsia="宋体" w:cs="Times New Roman"/>
        </w:rPr>
        <w:t>数据安全技术 数据分类分级规则</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3  术语和定义</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36073和GB/T 43697</w:t>
      </w:r>
      <w:r>
        <w:rPr>
          <w:rFonts w:hint="eastAsia" w:ascii="宋体" w:hAnsi="Times New Roman" w:eastAsia="宋体" w:cs="Times New Roman"/>
          <w:lang w:val="en-US" w:eastAsia="zh-CN"/>
        </w:rPr>
        <w:t>界定的</w:t>
      </w:r>
      <w:r>
        <w:rPr>
          <w:rFonts w:hint="eastAsia" w:ascii="宋体" w:hAnsi="Times New Roman" w:eastAsia="宋体" w:cs="Times New Roman"/>
        </w:rPr>
        <w:t>以及下列术语和定义适用于本</w:t>
      </w:r>
      <w:r>
        <w:rPr>
          <w:rFonts w:hint="eastAsia" w:ascii="宋体" w:hAnsi="Times New Roman" w:eastAsia="宋体" w:cs="Times New Roman"/>
          <w:lang w:val="en-US" w:eastAsia="zh-CN"/>
        </w:rPr>
        <w:t>文件</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3.1</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eastAsia="黑体"/>
          <w:lang w:val="en-US" w:eastAsia="zh-CN"/>
        </w:rPr>
      </w:pPr>
      <w:r>
        <w:rPr>
          <w:rFonts w:hint="eastAsia" w:ascii="黑体" w:hAnsi="黑体" w:eastAsia="黑体" w:cs="黑体"/>
          <w:b w:val="0"/>
          <w:bCs w:val="0"/>
          <w:lang w:val="en-US" w:eastAsia="zh-CN"/>
        </w:rPr>
        <w:t>工业</w:t>
      </w:r>
      <w:r>
        <w:rPr>
          <w:rFonts w:hint="eastAsia" w:ascii="黑体" w:hAnsi="黑体" w:eastAsia="黑体" w:cs="黑体"/>
          <w:b w:val="0"/>
          <w:bCs w:val="0"/>
        </w:rPr>
        <w:t xml:space="preserve">数据 </w:t>
      </w:r>
      <w:r>
        <w:rPr>
          <w:rFonts w:hint="eastAsia" w:ascii="黑体" w:hAnsi="黑体" w:eastAsia="黑体" w:cs="黑体"/>
          <w:b w:val="0"/>
          <w:bCs w:val="0"/>
          <w:lang w:val="en-US" w:eastAsia="zh-CN"/>
        </w:rPr>
        <w:t>industrial</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有色金属行业企业在研发设计、生产制造、经营管理、特种应用等</w:t>
      </w:r>
      <w:r>
        <w:rPr>
          <w:rFonts w:hint="eastAsia" w:hAnsi="Times New Roman" w:cs="Times New Roman"/>
          <w:lang w:val="en-US" w:eastAsia="zh-CN"/>
        </w:rPr>
        <w:t>过程中</w:t>
      </w:r>
      <w:r>
        <w:rPr>
          <w:rFonts w:hint="eastAsia" w:ascii="宋体" w:hAnsi="Times New Roman" w:eastAsia="宋体" w:cs="Times New Roman"/>
          <w:lang w:val="en-US" w:eastAsia="zh-CN"/>
        </w:rPr>
        <w:t>产生或收集的数据</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3.2</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eastAsia="黑体"/>
          <w:lang w:val="en-US" w:eastAsia="zh-CN"/>
        </w:rPr>
      </w:pPr>
      <w:r>
        <w:rPr>
          <w:rFonts w:hint="eastAsia" w:ascii="黑体" w:hAnsi="黑体" w:eastAsia="黑体" w:cs="黑体"/>
          <w:b w:val="0"/>
          <w:bCs w:val="0"/>
        </w:rPr>
        <w:t xml:space="preserve">核心数据 </w:t>
      </w:r>
      <w:r>
        <w:rPr>
          <w:rFonts w:hint="eastAsia" w:ascii="黑体" w:hAnsi="黑体" w:eastAsia="黑体" w:cs="黑体"/>
          <w:b w:val="0"/>
          <w:bCs w:val="0"/>
          <w:lang w:val="en-US" w:eastAsia="zh-CN"/>
        </w:rPr>
        <w:t>c</w:t>
      </w:r>
      <w:r>
        <w:rPr>
          <w:rFonts w:hint="eastAsia" w:ascii="黑体" w:hAnsi="黑体" w:eastAsia="黑体" w:cs="黑体"/>
          <w:b w:val="0"/>
          <w:bCs w:val="0"/>
        </w:rPr>
        <w:t xml:space="preserve">ore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一旦遭到泄露、篡改、损毁或者非法获取、非法使用、非法共享，</w:t>
      </w:r>
      <w:r>
        <w:rPr>
          <w:rFonts w:hint="eastAsia" w:hAnsi="Times New Roman" w:cs="Times New Roman"/>
          <w:lang w:val="en-US" w:eastAsia="zh-CN"/>
        </w:rPr>
        <w:t>会</w:t>
      </w:r>
      <w:r>
        <w:rPr>
          <w:rFonts w:hint="eastAsia" w:ascii="宋体" w:hAnsi="Times New Roman" w:eastAsia="宋体" w:cs="Times New Roman"/>
        </w:rPr>
        <w:t>对国家战略保障造成直接危害或重大风险，或易引发特别重大生产安全事故、特别重大质量事故或突发环境事件，或造成直接经济损失特别巨大的</w:t>
      </w:r>
      <w:r>
        <w:rPr>
          <w:rFonts w:hint="eastAsia" w:hAnsi="Times New Roman" w:cs="Times New Roman"/>
          <w:lang w:val="en-US" w:eastAsia="zh-CN"/>
        </w:rPr>
        <w:t>工业数据。</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3.3</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重要数据 </w:t>
      </w:r>
      <w:r>
        <w:rPr>
          <w:rFonts w:hint="eastAsia" w:ascii="黑体" w:hAnsi="黑体" w:eastAsia="黑体" w:cs="黑体"/>
          <w:b w:val="0"/>
          <w:bCs w:val="0"/>
          <w:lang w:val="en-US" w:eastAsia="zh-CN"/>
        </w:rPr>
        <w:t>key</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一旦遭到泄露、篡改、损毁或者非法获取、非法使用、非法共享，</w:t>
      </w:r>
      <w:r>
        <w:rPr>
          <w:rFonts w:hint="eastAsia" w:hAnsi="Times New Roman" w:cs="Times New Roman"/>
          <w:lang w:val="en-US" w:eastAsia="zh-CN"/>
        </w:rPr>
        <w:t>会</w:t>
      </w:r>
      <w:r>
        <w:rPr>
          <w:rFonts w:hint="eastAsia" w:ascii="宋体" w:hAnsi="Times New Roman" w:eastAsia="宋体" w:cs="Times New Roman"/>
          <w:lang w:val="en-US" w:eastAsia="zh-CN"/>
        </w:rPr>
        <w:t>对社会秩序、经济运行</w:t>
      </w:r>
      <w:r>
        <w:rPr>
          <w:rFonts w:hint="eastAsia" w:hAnsi="Times New Roman" w:cs="Times New Roman"/>
          <w:lang w:val="en-US" w:eastAsia="zh-CN"/>
        </w:rPr>
        <w:t>、</w:t>
      </w:r>
      <w:r>
        <w:rPr>
          <w:rFonts w:hint="eastAsia" w:ascii="宋体" w:hAnsi="Times New Roman" w:eastAsia="宋体" w:cs="Times New Roman"/>
          <w:lang w:val="en-US" w:eastAsia="zh-CN"/>
        </w:rPr>
        <w:t>行业发展</w:t>
      </w:r>
      <w:r>
        <w:rPr>
          <w:rFonts w:hint="eastAsia" w:hAnsi="Times New Roman" w:cs="Times New Roman"/>
          <w:lang w:val="en-US" w:eastAsia="zh-CN"/>
        </w:rPr>
        <w:t>和工业生产</w:t>
      </w:r>
      <w:r>
        <w:rPr>
          <w:rFonts w:hint="eastAsia" w:ascii="宋体" w:hAnsi="Times New Roman" w:eastAsia="宋体" w:cs="Times New Roman"/>
        </w:rPr>
        <w:t>造成</w:t>
      </w:r>
      <w:r>
        <w:rPr>
          <w:rFonts w:hint="eastAsia" w:hAnsi="Times New Roman" w:cs="Times New Roman"/>
          <w:lang w:val="en-US" w:eastAsia="zh-CN"/>
        </w:rPr>
        <w:t>间接</w:t>
      </w:r>
      <w:r>
        <w:rPr>
          <w:rFonts w:hint="eastAsia" w:ascii="宋体" w:hAnsi="Times New Roman" w:eastAsia="宋体" w:cs="Times New Roman"/>
        </w:rPr>
        <w:t>危害</w:t>
      </w:r>
      <w:r>
        <w:rPr>
          <w:rFonts w:hint="eastAsia" w:ascii="宋体" w:hAnsi="Times New Roman" w:eastAsia="宋体" w:cs="Times New Roman"/>
          <w:lang w:val="en-US" w:eastAsia="zh-CN"/>
        </w:rPr>
        <w:t>或较</w:t>
      </w:r>
      <w:r>
        <w:rPr>
          <w:rFonts w:hint="eastAsia" w:ascii="宋体" w:hAnsi="Times New Roman" w:eastAsia="宋体" w:cs="Times New Roman"/>
        </w:rPr>
        <w:t>大风险</w:t>
      </w:r>
      <w:r>
        <w:rPr>
          <w:rFonts w:hint="eastAsia" w:hAnsi="Times New Roman" w:cs="Times New Roman"/>
          <w:lang w:val="en-US" w:eastAsia="zh-CN"/>
        </w:rPr>
        <w:t>的工业数据。</w:t>
      </w:r>
    </w:p>
    <w:p>
      <w:pPr>
        <w:pStyle w:val="30"/>
        <w:spacing w:line="360" w:lineRule="auto"/>
        <w:ind w:firstLine="420"/>
        <w:rPr>
          <w:rFonts w:hint="eastAsia" w:ascii="宋体" w:hAnsi="Times New Roman" w:eastAsia="宋体" w:cs="Times New Roma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只对企业自身而言重要的数据（如企业的内部管理相关数据）不属于重要数据。</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3.4</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一般数据 </w:t>
      </w:r>
      <w:r>
        <w:rPr>
          <w:rFonts w:hint="eastAsia" w:ascii="黑体" w:hAnsi="黑体" w:eastAsia="黑体" w:cs="黑体"/>
          <w:b w:val="0"/>
          <w:bCs w:val="0"/>
          <w:lang w:val="en-US" w:eastAsia="zh-CN"/>
        </w:rPr>
        <w:t>g</w:t>
      </w:r>
      <w:r>
        <w:rPr>
          <w:rFonts w:hint="eastAsia" w:ascii="黑体" w:hAnsi="黑体" w:eastAsia="黑体" w:cs="黑体"/>
          <w:b w:val="0"/>
          <w:bCs w:val="0"/>
        </w:rPr>
        <w:t xml:space="preserve">eneral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核心数据</w:t>
      </w:r>
      <w:r>
        <w:rPr>
          <w:rFonts w:hint="eastAsia" w:ascii="宋体" w:hAnsi="Times New Roman" w:eastAsia="宋体" w:cs="Times New Roman"/>
          <w:lang w:eastAsia="zh-CN"/>
        </w:rPr>
        <w:t>、</w:t>
      </w:r>
      <w:r>
        <w:rPr>
          <w:rFonts w:hint="eastAsia" w:ascii="宋体" w:hAnsi="Times New Roman" w:eastAsia="宋体" w:cs="Times New Roman"/>
        </w:rPr>
        <w:t>重要数据之外的其他数据。</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w:t>
      </w:r>
      <w:r>
        <w:rPr>
          <w:rFonts w:hint="eastAsia" w:hAnsi="Times New Roman" w:cs="Times New Roman"/>
          <w:lang w:val="en-US" w:eastAsia="zh-CN"/>
        </w:rPr>
        <w:t>，</w:t>
      </w:r>
      <w:r>
        <w:rPr>
          <w:rFonts w:hint="eastAsia" w:ascii="宋体" w:hAnsi="Times New Roman" w:eastAsia="宋体" w:cs="Times New Roman"/>
          <w:lang w:val="en-US" w:eastAsia="zh-CN"/>
        </w:rPr>
        <w:t>3.4</w:t>
      </w:r>
      <w:r>
        <w:rPr>
          <w:rFonts w:hint="eastAsia" w:hAnsi="Times New Roman" w:cs="Times New Roman"/>
          <w:lang w:val="en-US" w:eastAsia="zh-CN"/>
        </w:rPr>
        <w:t>，</w:t>
      </w:r>
      <w:r>
        <w:rPr>
          <w:rFonts w:hint="eastAsia" w:ascii="宋体" w:hAnsi="Times New Roman" w:eastAsia="宋体" w:cs="Times New Roman"/>
          <w:lang w:val="en-US" w:eastAsia="zh-CN"/>
        </w:rPr>
        <w:t>有修改]</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3.5</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数据处理者 </w:t>
      </w:r>
      <w:r>
        <w:rPr>
          <w:rFonts w:hint="eastAsia" w:ascii="黑体" w:hAnsi="黑体" w:eastAsia="黑体" w:cs="黑体"/>
          <w:b w:val="0"/>
          <w:bCs w:val="0"/>
          <w:lang w:val="en-US" w:eastAsia="zh-CN"/>
        </w:rPr>
        <w:t>d</w:t>
      </w:r>
      <w:r>
        <w:rPr>
          <w:rFonts w:hint="eastAsia" w:ascii="黑体" w:hAnsi="黑体" w:eastAsia="黑体" w:cs="黑体"/>
          <w:b w:val="0"/>
          <w:bCs w:val="0"/>
        </w:rPr>
        <w:t xml:space="preserve">ata </w:t>
      </w:r>
      <w:r>
        <w:rPr>
          <w:rFonts w:hint="eastAsia" w:ascii="黑体" w:hAnsi="黑体" w:eastAsia="黑体" w:cs="黑体"/>
          <w:b w:val="0"/>
          <w:bCs w:val="0"/>
          <w:lang w:val="en-US" w:eastAsia="zh-CN"/>
        </w:rPr>
        <w:t>p</w:t>
      </w:r>
      <w:r>
        <w:rPr>
          <w:rFonts w:hint="eastAsia" w:ascii="黑体" w:hAnsi="黑体" w:eastAsia="黑体" w:cs="黑体"/>
          <w:b w:val="0"/>
          <w:bCs w:val="0"/>
        </w:rPr>
        <w:t>rocessor</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在数据处理活动中自主决定数据处理目的</w:t>
      </w:r>
      <w:r>
        <w:rPr>
          <w:rFonts w:hint="eastAsia" w:ascii="宋体" w:hAnsi="Times New Roman" w:eastAsia="宋体" w:cs="Times New Roman"/>
          <w:lang w:eastAsia="zh-CN"/>
        </w:rPr>
        <w:t>、</w:t>
      </w:r>
      <w:r>
        <w:rPr>
          <w:rFonts w:hint="eastAsia" w:ascii="宋体" w:hAnsi="Times New Roman" w:eastAsia="宋体" w:cs="Times New Roman"/>
          <w:lang w:val="en-US" w:eastAsia="zh-CN"/>
        </w:rPr>
        <w:t>处理</w:t>
      </w:r>
      <w:r>
        <w:rPr>
          <w:rFonts w:hint="eastAsia" w:ascii="宋体" w:hAnsi="Times New Roman" w:eastAsia="宋体" w:cs="Times New Roman"/>
        </w:rPr>
        <w:t>方式的</w:t>
      </w:r>
      <w:r>
        <w:rPr>
          <w:rFonts w:hint="eastAsia" w:ascii="宋体" w:hAnsi="Times New Roman" w:eastAsia="宋体" w:cs="Times New Roman"/>
          <w:lang w:val="en-US" w:eastAsia="zh-CN"/>
        </w:rPr>
        <w:t>各类</w:t>
      </w:r>
      <w:r>
        <w:rPr>
          <w:rFonts w:hint="eastAsia" w:ascii="宋体" w:hAnsi="Times New Roman" w:eastAsia="宋体" w:cs="Times New Roman"/>
        </w:rPr>
        <w:t>主体。</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w:t>
      </w:r>
      <w:r>
        <w:rPr>
          <w:rFonts w:hint="eastAsia" w:hAnsi="Times New Roman" w:cs="Times New Roman"/>
          <w:lang w:val="en-US" w:eastAsia="zh-CN"/>
        </w:rPr>
        <w:t>，</w:t>
      </w:r>
      <w:r>
        <w:rPr>
          <w:rFonts w:hint="eastAsia" w:ascii="宋体" w:hAnsi="Times New Roman" w:eastAsia="宋体" w:cs="Times New Roman"/>
          <w:lang w:val="en-US" w:eastAsia="zh-CN"/>
        </w:rPr>
        <w:t>3.11</w:t>
      </w:r>
      <w:r>
        <w:rPr>
          <w:rFonts w:hint="eastAsia" w:hAnsi="Times New Roman" w:cs="Times New Roman"/>
          <w:lang w:val="en-US" w:eastAsia="zh-CN"/>
        </w:rPr>
        <w:t>，</w:t>
      </w:r>
      <w:r>
        <w:rPr>
          <w:rFonts w:hint="eastAsia" w:ascii="宋体" w:hAnsi="Times New Roman" w:eastAsia="宋体" w:cs="Times New Roman"/>
          <w:lang w:val="en-US" w:eastAsia="zh-CN"/>
        </w:rPr>
        <w:t>有修改]</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3.6</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数据安全 data security</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数据的机密性、完整性和可用性</w:t>
      </w:r>
      <w:r>
        <w:rPr>
          <w:rFonts w:hint="eastAsia" w:ascii="宋体" w:hAnsi="Times New Roman" w:eastAsia="宋体" w:cs="Times New Roman"/>
        </w:rPr>
        <w:t>。</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[来源：</w:t>
      </w:r>
      <w:r>
        <w:rPr>
          <w:rFonts w:hint="eastAsia" w:ascii="宋体" w:hAnsi="Times New Roman" w:eastAsia="宋体" w:cs="Times New Roman"/>
        </w:rPr>
        <w:t>GB/T 36073</w:t>
      </w:r>
      <w:r>
        <w:rPr>
          <w:rFonts w:hint="eastAsia" w:hAnsi="Times New Roman" w:cs="Times New Roman"/>
          <w:lang w:val="en-US" w:eastAsia="zh-CN"/>
        </w:rPr>
        <w:t>，</w:t>
      </w:r>
      <w:r>
        <w:rPr>
          <w:rFonts w:hint="eastAsia" w:ascii="宋体" w:hAnsi="Times New Roman" w:eastAsia="宋体" w:cs="Times New Roman"/>
          <w:lang w:val="en-US" w:eastAsia="zh-CN"/>
        </w:rPr>
        <w:t>3.11]</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4  基本原则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pacing w:val="0"/>
          <w:kern w:val="0"/>
          <w:sz w:val="21"/>
          <w:szCs w:val="21"/>
          <w:lang w:eastAsia="zh-CN" w:bidi="ar"/>
        </w:rPr>
      </w:pPr>
      <w:r>
        <w:rPr>
          <w:rFonts w:hint="eastAsia" w:ascii="宋体" w:hAnsi="宋体" w:eastAsia="宋体" w:cs="宋体"/>
          <w:i w:val="0"/>
          <w:iCs w:val="0"/>
          <w:caps w:val="0"/>
          <w:color w:val="060607"/>
          <w:spacing w:val="0"/>
          <w:sz w:val="21"/>
          <w:szCs w:val="21"/>
          <w:shd w:val="clear" w:fill="FFFFFF"/>
        </w:rPr>
        <w:t>有色金属行业工业数据分类分级</w:t>
      </w:r>
      <w:r>
        <w:rPr>
          <w:rFonts w:hint="eastAsia" w:ascii="宋体" w:hAnsi="宋体" w:eastAsia="宋体" w:cs="宋体"/>
          <w:i w:val="0"/>
          <w:iCs w:val="0"/>
          <w:caps w:val="0"/>
          <w:color w:val="060607"/>
          <w:spacing w:val="0"/>
          <w:sz w:val="21"/>
          <w:szCs w:val="21"/>
          <w:shd w:val="clear" w:fill="FFFFFF"/>
          <w:lang w:val="en-US" w:eastAsia="zh-CN"/>
        </w:rPr>
        <w:t>除</w:t>
      </w:r>
      <w:r>
        <w:rPr>
          <w:rFonts w:hint="eastAsia" w:ascii="宋体" w:hAnsi="宋体" w:eastAsia="宋体" w:cs="宋体"/>
          <w:color w:val="000000"/>
          <w:spacing w:val="0"/>
          <w:kern w:val="0"/>
          <w:sz w:val="21"/>
          <w:szCs w:val="21"/>
          <w:lang w:val="en-US" w:eastAsia="zh-CN" w:bidi="ar"/>
        </w:rPr>
        <w:t>遵循</w:t>
      </w:r>
      <w:r>
        <w:rPr>
          <w:rFonts w:hint="eastAsia" w:ascii="宋体" w:hAnsi="宋体" w:eastAsia="宋体" w:cs="宋体"/>
          <w:spacing w:val="0"/>
          <w:sz w:val="21"/>
        </w:rPr>
        <w:t>GB/T 43697</w:t>
      </w:r>
      <w:r>
        <w:rPr>
          <w:rFonts w:hint="eastAsia" w:ascii="宋体" w:hAnsi="宋体" w:eastAsia="宋体" w:cs="宋体"/>
          <w:i w:val="0"/>
          <w:iCs w:val="0"/>
          <w:caps w:val="0"/>
          <w:color w:val="060607"/>
          <w:spacing w:val="0"/>
          <w:sz w:val="21"/>
          <w:szCs w:val="21"/>
          <w:shd w:val="clear" w:fill="FFFFFF"/>
          <w:lang w:val="en-US" w:eastAsia="zh-CN"/>
        </w:rPr>
        <w:t>基本原则</w:t>
      </w:r>
      <w:r>
        <w:rPr>
          <w:rFonts w:hint="eastAsia" w:ascii="宋体" w:hAnsi="宋体" w:eastAsia="宋体" w:cs="宋体"/>
          <w:spacing w:val="0"/>
          <w:sz w:val="21"/>
          <w:lang w:val="en-US" w:eastAsia="zh-CN"/>
        </w:rPr>
        <w:t>外，还应当</w:t>
      </w:r>
      <w:r>
        <w:rPr>
          <w:rFonts w:hint="eastAsia" w:ascii="宋体" w:hAnsi="宋体" w:eastAsia="宋体" w:cs="宋体"/>
          <w:color w:val="000000"/>
          <w:spacing w:val="0"/>
          <w:kern w:val="0"/>
          <w:sz w:val="21"/>
          <w:szCs w:val="21"/>
          <w:lang w:val="en-US" w:eastAsia="zh-CN" w:bidi="ar"/>
        </w:rPr>
        <w:t>遵循</w:t>
      </w:r>
      <w:r>
        <w:rPr>
          <w:rFonts w:hint="eastAsia" w:ascii="宋体" w:hAnsi="宋体" w:eastAsia="宋体" w:cs="宋体"/>
          <w:spacing w:val="0"/>
          <w:sz w:val="21"/>
          <w:lang w:val="en-US" w:eastAsia="zh-CN"/>
        </w:rPr>
        <w:t>以下原则</w:t>
      </w:r>
      <w:r>
        <w:rPr>
          <w:rFonts w:hint="eastAsia" w:ascii="宋体" w:hAnsi="宋体" w:cs="宋体"/>
          <w:color w:val="000000"/>
          <w:spacing w:val="0"/>
          <w:kern w:val="0"/>
          <w:sz w:val="21"/>
          <w:szCs w:val="21"/>
          <w:lang w:eastAsia="zh-CN" w:bidi="ar"/>
        </w:rPr>
        <w:t>：</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安全风险影响原则：从国家安全、社会秩序、经济运行</w:t>
      </w:r>
      <w:r>
        <w:rPr>
          <w:rFonts w:hint="eastAsia" w:hAnsi="Times New Roman" w:cs="Times New Roman"/>
          <w:lang w:val="en-US" w:eastAsia="zh-CN"/>
        </w:rPr>
        <w:t>、</w:t>
      </w:r>
      <w:r>
        <w:rPr>
          <w:rFonts w:hint="eastAsia" w:ascii="宋体" w:hAnsi="Times New Roman" w:eastAsia="宋体" w:cs="Times New Roman"/>
          <w:lang w:val="en-US" w:eastAsia="zh-CN"/>
        </w:rPr>
        <w:t>行业发展</w:t>
      </w:r>
      <w:r>
        <w:rPr>
          <w:rFonts w:hint="eastAsia" w:hAnsi="Times New Roman" w:cs="Times New Roman"/>
          <w:lang w:val="en-US" w:eastAsia="zh-CN"/>
        </w:rPr>
        <w:t>和工业生产</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等角度识别工业数据的影响力，数据一旦遭到泄露、篡改、损毁或者非法获取、非法使用、非法共享，</w:t>
      </w:r>
      <w:r>
        <w:rPr>
          <w:rFonts w:hint="eastAsia" w:hAnsi="Times New Roman" w:cs="Times New Roman"/>
          <w:lang w:val="en-US" w:eastAsia="zh-CN"/>
        </w:rPr>
        <w:t>会</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对国家、社会、经济</w:t>
      </w:r>
      <w:r>
        <w:rPr>
          <w:rStyle w:val="12"/>
          <w:rFonts w:hint="eastAsia" w:ascii="宋体" w:hAnsi="宋体" w:cs="宋体"/>
          <w:b w:val="0"/>
          <w:bCs w:val="0"/>
          <w:i w:val="0"/>
          <w:iCs w:val="0"/>
          <w:caps w:val="0"/>
          <w:color w:val="060607"/>
          <w:spacing w:val="0"/>
          <w:kern w:val="0"/>
          <w:sz w:val="21"/>
          <w:szCs w:val="21"/>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行业</w:t>
      </w:r>
      <w:r>
        <w:rPr>
          <w:rStyle w:val="12"/>
          <w:rFonts w:hint="eastAsia" w:ascii="宋体" w:hAnsi="宋体" w:cs="宋体"/>
          <w:b w:val="0"/>
          <w:bCs w:val="0"/>
          <w:i w:val="0"/>
          <w:iCs w:val="0"/>
          <w:caps w:val="0"/>
          <w:color w:val="060607"/>
          <w:spacing w:val="0"/>
          <w:kern w:val="0"/>
          <w:sz w:val="21"/>
          <w:szCs w:val="21"/>
          <w:shd w:val="clear" w:fill="FFFFFF"/>
          <w:vertAlign w:val="baseline"/>
          <w:lang w:val="en-US" w:eastAsia="zh-CN" w:bidi="ar"/>
        </w:rPr>
        <w:t>和企业</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造成的安全事故风险和经济损失程度；</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定性定量结合原则：以定性与定量相结合的方式识别重要数据，并根据具体数据类</w:t>
      </w:r>
      <w:r>
        <w:rPr>
          <w:rStyle w:val="12"/>
          <w:rFonts w:hint="eastAsia" w:ascii="宋体" w:hAnsi="宋体" w:cs="宋体"/>
          <w:b w:val="0"/>
          <w:bCs w:val="0"/>
          <w:i w:val="0"/>
          <w:iCs w:val="0"/>
          <w:caps w:val="0"/>
          <w:color w:val="060607"/>
          <w:spacing w:val="0"/>
          <w:kern w:val="0"/>
          <w:sz w:val="21"/>
          <w:szCs w:val="21"/>
          <w:shd w:val="clear" w:fill="FFFFFF"/>
          <w:vertAlign w:val="baseline"/>
          <w:lang w:val="en-US" w:eastAsia="zh-CN" w:bidi="ar"/>
        </w:rPr>
        <w:t>别</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、数据用途、数据来源采取不同的定性</w:t>
      </w:r>
      <w:r>
        <w:rPr>
          <w:rStyle w:val="12"/>
          <w:rFonts w:hint="eastAsia" w:ascii="宋体" w:hAnsi="宋体" w:cs="宋体"/>
          <w:b w:val="0"/>
          <w:bCs w:val="0"/>
          <w:i w:val="0"/>
          <w:iCs w:val="0"/>
          <w:caps w:val="0"/>
          <w:color w:val="060607"/>
          <w:spacing w:val="0"/>
          <w:kern w:val="0"/>
          <w:sz w:val="21"/>
          <w:szCs w:val="21"/>
          <w:shd w:val="clear" w:fill="FFFFFF"/>
          <w:vertAlign w:val="baseline"/>
          <w:lang w:val="en-US" w:eastAsia="zh-CN" w:bidi="ar"/>
        </w:rPr>
        <w:t>和</w:t>
      </w:r>
      <w:r>
        <w:rPr>
          <w:rStyle w:val="12"/>
          <w:rFonts w:hint="eastAsia" w:ascii="宋体" w:hAnsi="宋体" w:eastAsia="宋体" w:cs="宋体"/>
          <w:b w:val="0"/>
          <w:bCs w:val="0"/>
          <w:i w:val="0"/>
          <w:iCs w:val="0"/>
          <w:caps w:val="0"/>
          <w:color w:val="060607"/>
          <w:spacing w:val="0"/>
          <w:kern w:val="0"/>
          <w:sz w:val="21"/>
          <w:szCs w:val="21"/>
          <w:shd w:val="clear" w:fill="FFFFFF"/>
          <w:vertAlign w:val="baseline"/>
          <w:lang w:val="en-US" w:eastAsia="zh-CN" w:bidi="ar"/>
        </w:rPr>
        <w:t>定量方法。</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5  数据分类规则</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5.1 数据分类框架</w:t>
      </w:r>
    </w:p>
    <w:p>
      <w:pPr>
        <w:pStyle w:val="30"/>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ascii="Helvetica" w:hAnsi="Helvetica" w:eastAsia="宋体" w:cs="Helvetica"/>
          <w:i w:val="0"/>
          <w:iCs w:val="0"/>
          <w:caps w:val="0"/>
          <w:color w:val="060607"/>
          <w:spacing w:val="0"/>
          <w:sz w:val="21"/>
          <w:szCs w:val="21"/>
          <w:shd w:val="clear" w:fill="FFFFFF"/>
          <w:lang w:val="en-US" w:eastAsia="zh-CN"/>
        </w:rPr>
      </w:pPr>
      <w:r>
        <w:rPr>
          <w:rFonts w:hint="eastAsia" w:ascii="宋体" w:hAnsi="宋体" w:eastAsia="宋体" w:cs="宋体"/>
          <w:i w:val="0"/>
          <w:iCs w:val="0"/>
          <w:caps w:val="0"/>
          <w:color w:val="060607"/>
          <w:spacing w:val="0"/>
          <w:sz w:val="21"/>
          <w:szCs w:val="21"/>
          <w:shd w:val="clear" w:fill="FFFFFF"/>
        </w:rPr>
        <w:t>有色金属行业的数据分类框架应结合行业特点，</w:t>
      </w:r>
      <w:r>
        <w:rPr>
          <w:rFonts w:hint="eastAsia" w:ascii="宋体" w:hAnsi="宋体" w:eastAsia="宋体" w:cs="宋体"/>
          <w:i w:val="0"/>
          <w:iCs w:val="0"/>
          <w:caps w:val="0"/>
          <w:color w:val="060607"/>
          <w:spacing w:val="0"/>
          <w:sz w:val="21"/>
          <w:szCs w:val="21"/>
          <w:shd w:val="clear" w:fill="FFFFFF"/>
          <w:lang w:val="en-US" w:eastAsia="zh-CN"/>
        </w:rPr>
        <w:t>按照不同业务</w:t>
      </w:r>
      <w:r>
        <w:rPr>
          <w:rFonts w:hint="eastAsia" w:ascii="宋体" w:hAnsi="宋体" w:eastAsia="宋体" w:cs="宋体"/>
          <w:i w:val="0"/>
          <w:iCs w:val="0"/>
          <w:caps w:val="0"/>
          <w:color w:val="060607"/>
          <w:spacing w:val="0"/>
          <w:sz w:val="21"/>
          <w:szCs w:val="21"/>
          <w:shd w:val="clear" w:fill="FFFFFF"/>
        </w:rPr>
        <w:t>属性进行细</w:t>
      </w:r>
      <w:r>
        <w:rPr>
          <w:rFonts w:hint="eastAsia" w:ascii="宋体" w:hAnsi="宋体" w:eastAsia="宋体" w:cs="宋体"/>
          <w:i w:val="0"/>
          <w:iCs w:val="0"/>
          <w:caps w:val="0"/>
          <w:color w:val="060607"/>
          <w:spacing w:val="0"/>
          <w:sz w:val="21"/>
          <w:szCs w:val="21"/>
          <w:shd w:val="clear" w:fill="FFFFFF"/>
          <w:lang w:val="en-US" w:eastAsia="zh-CN"/>
        </w:rPr>
        <w:t>化</w:t>
      </w:r>
      <w:r>
        <w:rPr>
          <w:rFonts w:hint="eastAsia" w:ascii="宋体" w:hAnsi="宋体" w:eastAsia="宋体" w:cs="宋体"/>
          <w:i w:val="0"/>
          <w:iCs w:val="0"/>
          <w:caps w:val="0"/>
          <w:color w:val="060607"/>
          <w:spacing w:val="0"/>
          <w:sz w:val="21"/>
          <w:szCs w:val="21"/>
          <w:shd w:val="clear" w:fill="FFFFFF"/>
        </w:rPr>
        <w:t>分</w:t>
      </w:r>
      <w:r>
        <w:rPr>
          <w:rFonts w:hint="eastAsia" w:ascii="宋体" w:hAnsi="宋体" w:eastAsia="宋体" w:cs="宋体"/>
          <w:i w:val="0"/>
          <w:iCs w:val="0"/>
          <w:caps w:val="0"/>
          <w:color w:val="060607"/>
          <w:spacing w:val="0"/>
          <w:sz w:val="21"/>
          <w:szCs w:val="21"/>
          <w:shd w:val="clear" w:fill="FFFFFF"/>
          <w:lang w:val="en-US" w:eastAsia="zh-CN"/>
        </w:rPr>
        <w:t>类。常见业务属性包括但不限于：</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spacing w:val="0"/>
          <w:lang w:val="en-US" w:eastAsia="zh-CN"/>
        </w:rPr>
      </w:pPr>
      <w:r>
        <w:rPr>
          <w:rFonts w:hint="eastAsia" w:cs="Times New Roman"/>
          <w:spacing w:val="0"/>
          <w:lang w:val="en-US" w:eastAsia="zh-CN"/>
        </w:rPr>
        <w:t>金属门类</w:t>
      </w:r>
      <w:r>
        <w:rPr>
          <w:rFonts w:hint="eastAsia" w:ascii="Times New Roman" w:hAnsi="Times New Roman" w:eastAsia="宋体" w:cs="Times New Roman"/>
          <w:spacing w:val="0"/>
          <w:lang w:val="en-US" w:eastAsia="zh-CN"/>
        </w:rPr>
        <w:t>：</w:t>
      </w:r>
      <w:r>
        <w:rPr>
          <w:rFonts w:hint="default" w:ascii="Times New Roman" w:hAnsi="Times New Roman" w:eastAsia="宋体" w:cs="Times New Roman"/>
          <w:spacing w:val="0"/>
          <w:lang w:val="en-US" w:eastAsia="zh-CN"/>
        </w:rPr>
        <w:t>按照</w:t>
      </w:r>
      <w:r>
        <w:rPr>
          <w:rFonts w:hint="eastAsia" w:cs="Times New Roman"/>
          <w:spacing w:val="0"/>
          <w:lang w:val="en-US" w:eastAsia="zh-CN"/>
        </w:rPr>
        <w:t>有色</w:t>
      </w:r>
      <w:r>
        <w:rPr>
          <w:rFonts w:hint="default" w:ascii="Times New Roman" w:hAnsi="Times New Roman" w:eastAsia="宋体" w:cs="Times New Roman"/>
          <w:spacing w:val="0"/>
          <w:lang w:val="en-US" w:eastAsia="zh-CN"/>
        </w:rPr>
        <w:t>金属的物理化学性质及工业应用特性进行细化分类</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84" w:leftChars="397" w:hanging="450" w:hangingChars="250"/>
        <w:textAlignment w:val="auto"/>
        <w:rPr>
          <w:rStyle w:val="12"/>
          <w:rFonts w:hint="default" w:ascii="黑体" w:hAnsi="黑体" w:eastAsia="黑体" w:cs="黑体"/>
          <w:b w:val="0"/>
          <w:bCs w:val="0"/>
          <w:i w:val="0"/>
          <w:iCs w:val="0"/>
          <w:caps w:val="0"/>
          <w:color w:val="060607"/>
          <w:spacing w:val="0"/>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注1：</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如可</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分为轻金属</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（铝、镁等）</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、重金属</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（铜、铅、锌、镍等）</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、贵金属</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（金、银等）、</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稀有金属</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（钨、钼、铌、钽、钛、锆等）</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spacing w:val="0"/>
          <w:lang w:val="en-US" w:eastAsia="zh-CN"/>
        </w:rPr>
      </w:pPr>
      <w:r>
        <w:rPr>
          <w:rFonts w:hint="default" w:ascii="Times New Roman" w:hAnsi="Times New Roman" w:eastAsia="宋体" w:cs="Times New Roman"/>
          <w:spacing w:val="0"/>
          <w:lang w:val="en-US" w:eastAsia="zh-CN"/>
        </w:rPr>
        <w:t>流程环节</w:t>
      </w:r>
      <w:r>
        <w:rPr>
          <w:rFonts w:hint="eastAsia" w:ascii="Times New Roman" w:hAnsi="Times New Roman" w:eastAsia="宋体" w:cs="Times New Roman"/>
          <w:spacing w:val="0"/>
          <w:lang w:val="en-US" w:eastAsia="zh-CN"/>
        </w:rPr>
        <w:t>：</w:t>
      </w:r>
      <w:r>
        <w:rPr>
          <w:rFonts w:hint="default" w:ascii="Times New Roman" w:hAnsi="Times New Roman" w:eastAsia="宋体" w:cs="Times New Roman"/>
          <w:spacing w:val="0"/>
          <w:lang w:val="en-US" w:eastAsia="zh-CN"/>
        </w:rPr>
        <w:t>按照</w:t>
      </w:r>
      <w:r>
        <w:rPr>
          <w:rFonts w:hint="eastAsia" w:cs="Times New Roman"/>
          <w:spacing w:val="0"/>
          <w:lang w:val="en-US" w:eastAsia="zh-CN"/>
        </w:rPr>
        <w:t>生产特点或</w:t>
      </w:r>
      <w:r>
        <w:rPr>
          <w:rFonts w:hint="default" w:ascii="Times New Roman" w:hAnsi="Times New Roman" w:eastAsia="宋体" w:cs="Times New Roman"/>
          <w:spacing w:val="0"/>
          <w:lang w:val="en-US" w:eastAsia="zh-CN"/>
        </w:rPr>
        <w:t>产业链环节进行细化分类</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84" w:leftChars="397" w:hanging="450" w:hangingChars="250"/>
        <w:textAlignment w:val="auto"/>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pPr>
      <w:r>
        <w:rPr>
          <w:rStyle w:val="12"/>
          <w:rFonts w:hint="default" w:ascii="黑体" w:hAnsi="黑体" w:eastAsia="黑体" w:cs="黑体"/>
          <w:b w:val="0"/>
          <w:bCs w:val="0"/>
          <w:i w:val="0"/>
          <w:iCs w:val="0"/>
          <w:caps w:val="0"/>
          <w:color w:val="060607"/>
          <w:spacing w:val="0"/>
          <w:kern w:val="0"/>
          <w:sz w:val="18"/>
          <w:szCs w:val="18"/>
          <w:shd w:val="clear" w:fill="FFFFFF"/>
          <w:vertAlign w:val="baseline"/>
          <w:lang w:val="en-US" w:eastAsia="zh-CN" w:bidi="ar"/>
        </w:rPr>
        <w:t>注</w:t>
      </w: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2：</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如可</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分为采选、冶炼、加工。</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color w:val="auto"/>
          <w:spacing w:val="0"/>
          <w:lang w:val="en-US" w:eastAsia="zh-CN"/>
        </w:rPr>
      </w:pPr>
      <w:r>
        <w:rPr>
          <w:rFonts w:hint="eastAsia" w:cs="Times New Roman"/>
          <w:color w:val="auto"/>
          <w:spacing w:val="0"/>
          <w:lang w:val="en-US" w:eastAsia="zh-CN"/>
        </w:rPr>
        <w:t>业务场景</w:t>
      </w:r>
      <w:r>
        <w:rPr>
          <w:rFonts w:hint="eastAsia" w:ascii="Times New Roman" w:hAnsi="Times New Roman" w:eastAsia="宋体" w:cs="Times New Roman"/>
          <w:color w:val="auto"/>
          <w:spacing w:val="0"/>
          <w:lang w:val="en-US" w:eastAsia="zh-CN"/>
        </w:rPr>
        <w:t>：</w:t>
      </w:r>
      <w:r>
        <w:rPr>
          <w:rFonts w:hint="default" w:ascii="Times New Roman" w:hAnsi="Times New Roman" w:eastAsia="宋体" w:cs="Times New Roman"/>
          <w:color w:val="auto"/>
          <w:spacing w:val="0"/>
          <w:lang w:val="en-US" w:eastAsia="zh-CN"/>
        </w:rPr>
        <w:t>按照工业需求</w:t>
      </w:r>
      <w:r>
        <w:rPr>
          <w:rFonts w:hint="eastAsia" w:cs="Times New Roman"/>
          <w:color w:val="auto"/>
          <w:spacing w:val="0"/>
          <w:lang w:val="en-US" w:eastAsia="zh-CN"/>
        </w:rPr>
        <w:t>或应用场景</w:t>
      </w:r>
      <w:r>
        <w:rPr>
          <w:rFonts w:hint="default" w:ascii="Times New Roman" w:hAnsi="Times New Roman" w:eastAsia="宋体" w:cs="Times New Roman"/>
          <w:color w:val="auto"/>
          <w:spacing w:val="0"/>
          <w:lang w:val="en-US" w:eastAsia="zh-CN"/>
        </w:rPr>
        <w:t>进行细化分类</w:t>
      </w:r>
      <w:r>
        <w:rPr>
          <w:rStyle w:val="12"/>
          <w:rFonts w:hint="eastAsia" w:ascii="Helvetica" w:hAnsi="Helvetica" w:eastAsia="Helvetica" w:cs="Helvetica"/>
          <w:b w:val="0"/>
          <w:bCs w:val="0"/>
          <w:i w:val="0"/>
          <w:iCs w:val="0"/>
          <w:caps w:val="0"/>
          <w:color w:val="auto"/>
          <w:spacing w:val="0"/>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84" w:leftChars="397" w:hanging="450" w:hangingChars="250"/>
        <w:textAlignment w:val="auto"/>
        <w:rPr>
          <w:rStyle w:val="12"/>
          <w:rFonts w:hint="default" w:ascii="黑体" w:hAnsi="黑体" w:eastAsia="黑体" w:cs="黑体"/>
          <w:b w:val="0"/>
          <w:bCs w:val="0"/>
          <w:i w:val="0"/>
          <w:iCs w:val="0"/>
          <w:caps w:val="0"/>
          <w:color w:val="auto"/>
          <w:spacing w:val="0"/>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auto"/>
          <w:spacing w:val="0"/>
          <w:kern w:val="0"/>
          <w:sz w:val="18"/>
          <w:szCs w:val="18"/>
          <w:shd w:val="clear" w:fill="FFFFFF"/>
          <w:vertAlign w:val="baseline"/>
          <w:lang w:val="en-US" w:eastAsia="zh-CN" w:bidi="ar"/>
        </w:rPr>
        <w:t>注3：</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如可</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分为研发设计、生产制造、经营管理</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、特种应用、平台运营等</w:t>
      </w:r>
      <w:r>
        <w:rPr>
          <w:rStyle w:val="12"/>
          <w:rFonts w:hint="eastAsia" w:ascii="宋体" w:hAnsi="宋体" w:eastAsia="宋体" w:cs="宋体"/>
          <w:b w:val="0"/>
          <w:bCs w:val="0"/>
          <w:i w:val="0"/>
          <w:iCs w:val="0"/>
          <w:caps w:val="0"/>
          <w:color w:val="auto"/>
          <w:spacing w:val="0"/>
          <w:kern w:val="0"/>
          <w:sz w:val="18"/>
          <w:szCs w:val="18"/>
          <w:shd w:val="clear" w:fill="FFFFFF"/>
          <w:vertAlign w:val="baseline"/>
          <w:lang w:val="en-US" w:eastAsia="zh-CN" w:bidi="ar"/>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spacing w:val="0"/>
          <w:lang w:val="en-US" w:eastAsia="zh-CN"/>
        </w:rPr>
      </w:pPr>
      <w:r>
        <w:rPr>
          <w:rFonts w:hint="eastAsia" w:cs="Times New Roman"/>
          <w:spacing w:val="0"/>
          <w:lang w:val="en-US" w:eastAsia="zh-CN"/>
        </w:rPr>
        <w:t>业务对象</w:t>
      </w:r>
      <w:r>
        <w:rPr>
          <w:rFonts w:hint="eastAsia" w:ascii="Times New Roman" w:hAnsi="Times New Roman" w:eastAsia="宋体" w:cs="Times New Roman"/>
          <w:spacing w:val="0"/>
          <w:lang w:val="en-US" w:eastAsia="zh-CN"/>
        </w:rPr>
        <w:t>：</w:t>
      </w:r>
      <w:r>
        <w:rPr>
          <w:rFonts w:hint="default" w:ascii="Times New Roman" w:hAnsi="Times New Roman" w:eastAsia="宋体" w:cs="Times New Roman"/>
          <w:spacing w:val="0"/>
          <w:lang w:val="en-US" w:eastAsia="zh-CN"/>
        </w:rPr>
        <w:t>按照数据</w:t>
      </w:r>
      <w:r>
        <w:rPr>
          <w:rFonts w:hint="eastAsia" w:cs="Times New Roman"/>
          <w:spacing w:val="0"/>
          <w:lang w:val="en-US" w:eastAsia="zh-CN"/>
        </w:rPr>
        <w:t>产生或服务</w:t>
      </w:r>
      <w:r>
        <w:rPr>
          <w:rFonts w:hint="default" w:ascii="Times New Roman" w:hAnsi="Times New Roman" w:eastAsia="宋体" w:cs="Times New Roman"/>
          <w:spacing w:val="0"/>
          <w:lang w:val="en-US" w:eastAsia="zh-CN"/>
        </w:rPr>
        <w:t>的</w:t>
      </w:r>
      <w:r>
        <w:rPr>
          <w:rFonts w:hint="eastAsia" w:cs="Times New Roman"/>
          <w:spacing w:val="0"/>
          <w:lang w:val="en-US" w:eastAsia="zh-CN"/>
        </w:rPr>
        <w:t>对象</w:t>
      </w:r>
      <w:r>
        <w:rPr>
          <w:rFonts w:hint="default" w:ascii="Times New Roman" w:hAnsi="Times New Roman" w:eastAsia="宋体" w:cs="Times New Roman"/>
          <w:spacing w:val="0"/>
          <w:lang w:val="en-US" w:eastAsia="zh-CN"/>
        </w:rPr>
        <w:t>进行细化分类</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84" w:leftChars="397" w:hanging="450" w:hangingChars="250"/>
        <w:textAlignment w:val="auto"/>
        <w:rPr>
          <w:rStyle w:val="12"/>
          <w:rFonts w:hint="default" w:ascii="宋体" w:hAnsi="宋体" w:eastAsia="宋体" w:cs="宋体"/>
          <w:b w:val="0"/>
          <w:bCs w:val="0"/>
          <w:i w:val="0"/>
          <w:iCs w:val="0"/>
          <w:caps w:val="0"/>
          <w:color w:val="FF0000"/>
          <w:spacing w:val="0"/>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注4：</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如可</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分为</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人（人员）</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机（设备）</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料（物料）、法（工艺）、环（环境）、测（检测）</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spacing w:val="0"/>
          <w:lang w:val="en-US" w:eastAsia="zh-CN"/>
        </w:rPr>
      </w:pPr>
      <w:r>
        <w:rPr>
          <w:rFonts w:hint="eastAsia" w:ascii="Times New Roman" w:hAnsi="Times New Roman" w:eastAsia="宋体" w:cs="Times New Roman"/>
          <w:spacing w:val="0"/>
          <w:lang w:val="en-US" w:eastAsia="zh-CN"/>
        </w:rPr>
        <w:t>除以上外，还可按照</w:t>
      </w:r>
      <w:r>
        <w:rPr>
          <w:rFonts w:hint="default" w:ascii="Times New Roman" w:hAnsi="Times New Roman" w:eastAsia="宋体" w:cs="Times New Roman"/>
          <w:spacing w:val="0"/>
          <w:lang w:val="en-US" w:eastAsia="zh-CN"/>
        </w:rPr>
        <w:t>数据来源</w:t>
      </w:r>
      <w:r>
        <w:rPr>
          <w:rFonts w:hint="eastAsia" w:ascii="Times New Roman" w:hAnsi="Times New Roman" w:eastAsia="宋体" w:cs="Times New Roman"/>
          <w:spacing w:val="0"/>
          <w:lang w:val="en-US" w:eastAsia="zh-CN"/>
        </w:rPr>
        <w:t>、</w:t>
      </w:r>
      <w:r>
        <w:rPr>
          <w:rFonts w:hint="eastAsia" w:cs="Times New Roman"/>
          <w:spacing w:val="0"/>
          <w:lang w:val="en-US" w:eastAsia="zh-CN"/>
        </w:rPr>
        <w:t>数据</w:t>
      </w:r>
      <w:r>
        <w:rPr>
          <w:rFonts w:hint="default" w:ascii="Times New Roman" w:hAnsi="Times New Roman" w:eastAsia="宋体" w:cs="Times New Roman"/>
          <w:spacing w:val="0"/>
          <w:lang w:val="en-US" w:eastAsia="zh-CN"/>
        </w:rPr>
        <w:t>主题</w:t>
      </w:r>
      <w:r>
        <w:rPr>
          <w:rFonts w:hint="eastAsia" w:ascii="Times New Roman" w:hAnsi="Times New Roman" w:eastAsia="宋体" w:cs="Times New Roman"/>
          <w:spacing w:val="0"/>
          <w:lang w:val="en-US" w:eastAsia="zh-CN"/>
        </w:rPr>
        <w:t>、</w:t>
      </w:r>
      <w:r>
        <w:rPr>
          <w:rFonts w:hint="default" w:ascii="Times New Roman" w:hAnsi="Times New Roman" w:eastAsia="宋体" w:cs="Times New Roman"/>
          <w:spacing w:val="0"/>
          <w:lang w:val="en-US" w:eastAsia="zh-CN"/>
        </w:rPr>
        <w:t>数据用途</w:t>
      </w:r>
      <w:r>
        <w:rPr>
          <w:rFonts w:hint="eastAsia" w:ascii="Times New Roman" w:hAnsi="Times New Roman" w:eastAsia="宋体" w:cs="Times New Roman"/>
          <w:spacing w:val="0"/>
          <w:lang w:val="en-US" w:eastAsia="zh-CN"/>
        </w:rPr>
        <w:t>、数据处理</w:t>
      </w:r>
      <w:r>
        <w:rPr>
          <w:rFonts w:hint="eastAsia" w:cs="Times New Roman"/>
          <w:spacing w:val="0"/>
          <w:lang w:val="en-US" w:eastAsia="zh-CN"/>
        </w:rPr>
        <w:t>方式</w:t>
      </w:r>
      <w:r>
        <w:rPr>
          <w:rFonts w:hint="eastAsia" w:ascii="Times New Roman" w:hAnsi="Times New Roman" w:eastAsia="宋体" w:cs="Times New Roman"/>
          <w:spacing w:val="0"/>
          <w:lang w:val="en-US" w:eastAsia="zh-CN"/>
        </w:rPr>
        <w:t>等属性</w:t>
      </w:r>
      <w:r>
        <w:rPr>
          <w:rFonts w:hint="default" w:ascii="Times New Roman" w:hAnsi="Times New Roman" w:eastAsia="宋体" w:cs="Times New Roman"/>
          <w:spacing w:val="0"/>
          <w:lang w:val="en-US" w:eastAsia="zh-CN"/>
        </w:rPr>
        <w:t>进行细化分类</w:t>
      </w:r>
      <w:r>
        <w:rPr>
          <w:rFonts w:hint="eastAsia" w:ascii="Times New Roman" w:hAnsi="Times New Roman" w:eastAsia="宋体" w:cs="Times New Roman"/>
          <w:spacing w:val="0"/>
          <w:lang w:val="en-US" w:eastAsia="zh-CN"/>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spacing w:val="0"/>
          <w:lang w:val="en-US" w:eastAsia="zh-CN"/>
        </w:rPr>
      </w:pPr>
      <w:r>
        <w:rPr>
          <w:rFonts w:hint="eastAsia" w:ascii="Times New Roman" w:hAnsi="Times New Roman" w:eastAsia="宋体" w:cs="Times New Roman"/>
          <w:spacing w:val="0"/>
          <w:lang w:val="en-US" w:eastAsia="zh-CN"/>
        </w:rPr>
        <w:t>如涉及法律法规有专门管理要求的数据类别，应按照有关规定和标准进行识别和分类。</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黑体" w:hAnsi="黑体" w:cs="黑体"/>
          <w:b w:val="0"/>
          <w:bCs w:val="0"/>
          <w:lang w:val="en-US" w:eastAsia="zh-CN"/>
        </w:rPr>
      </w:pPr>
      <w:r>
        <w:rPr>
          <w:rFonts w:hint="eastAsia" w:ascii="黑体" w:hAnsi="黑体" w:cs="黑体"/>
          <w:b w:val="0"/>
          <w:bCs w:val="0"/>
          <w:lang w:val="en-US" w:eastAsia="zh-CN"/>
        </w:rPr>
        <w:t>5.2 数据分类方法</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spacing w:val="0"/>
          <w:lang w:val="en-US" w:eastAsia="zh-CN"/>
        </w:rPr>
      </w:pPr>
      <w:r>
        <w:rPr>
          <w:rFonts w:hint="eastAsia" w:ascii="宋体" w:hAnsi="宋体" w:eastAsia="宋体" w:cs="Times New Roman"/>
          <w:spacing w:val="0"/>
          <w:lang w:val="en-US" w:eastAsia="zh-CN"/>
        </w:rPr>
        <w:t>数据分类应根据数据管理和</w:t>
      </w:r>
      <w:r>
        <w:rPr>
          <w:rFonts w:hint="eastAsia" w:cs="Times New Roman"/>
          <w:spacing w:val="0"/>
          <w:lang w:val="en-US" w:eastAsia="zh-CN"/>
        </w:rPr>
        <w:t>应</w:t>
      </w:r>
      <w:r>
        <w:rPr>
          <w:rFonts w:hint="eastAsia" w:ascii="宋体" w:hAnsi="宋体" w:eastAsia="宋体" w:cs="Times New Roman"/>
          <w:spacing w:val="0"/>
          <w:lang w:val="en-US" w:eastAsia="zh-CN"/>
        </w:rPr>
        <w:t>用需求，灵活选择业务属性</w:t>
      </w:r>
      <w:r>
        <w:rPr>
          <w:rFonts w:hint="eastAsia" w:cs="Times New Roman"/>
          <w:spacing w:val="0"/>
          <w:lang w:val="en-US" w:eastAsia="zh-CN"/>
        </w:rPr>
        <w:t>进行</w:t>
      </w:r>
      <w:r>
        <w:rPr>
          <w:rFonts w:hint="eastAsia" w:ascii="宋体" w:hAnsi="宋体" w:eastAsia="宋体" w:cs="Times New Roman"/>
          <w:spacing w:val="0"/>
          <w:lang w:val="en-US" w:eastAsia="zh-CN"/>
        </w:rPr>
        <w:t>细化。有色金属行业企业可参考以下</w:t>
      </w:r>
      <w:r>
        <w:rPr>
          <w:rFonts w:hint="eastAsia" w:cs="Times New Roman"/>
          <w:spacing w:val="0"/>
          <w:lang w:val="en-US" w:eastAsia="zh-CN"/>
        </w:rPr>
        <w:t>方法</w:t>
      </w:r>
      <w:r>
        <w:rPr>
          <w:rFonts w:hint="eastAsia" w:ascii="宋体" w:hAnsi="宋体" w:eastAsia="宋体" w:cs="Times New Roman"/>
          <w:spacing w:val="0"/>
          <w:lang w:val="en-US" w:eastAsia="zh-CN"/>
        </w:rPr>
        <w:t>开展工业数据分类</w:t>
      </w:r>
      <w:r>
        <w:rPr>
          <w:rFonts w:hint="eastAsia" w:cs="Times New Roman"/>
          <w:spacing w:val="0"/>
          <w:lang w:val="en-US" w:eastAsia="zh-CN"/>
        </w:rPr>
        <w:t>：</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spacing w:val="0"/>
          <w:lang w:val="en-US" w:eastAsia="zh-CN"/>
        </w:rPr>
      </w:pPr>
      <w:r>
        <w:rPr>
          <w:rFonts w:hint="eastAsia" w:ascii="Times New Roman" w:hAnsi="Times New Roman" w:eastAsia="宋体" w:cs="Times New Roman"/>
          <w:spacing w:val="0"/>
          <w:lang w:val="en-US" w:eastAsia="zh-CN"/>
        </w:rPr>
        <w:t>明确数据范围：企业可</w:t>
      </w:r>
      <w:r>
        <w:rPr>
          <w:rFonts w:hint="eastAsia" w:cs="Times New Roman"/>
          <w:spacing w:val="0"/>
          <w:lang w:val="en-US" w:eastAsia="zh-CN"/>
        </w:rPr>
        <w:t>依据金属门类</w:t>
      </w:r>
      <w:r>
        <w:rPr>
          <w:rFonts w:hint="eastAsia" w:ascii="Times New Roman" w:hAnsi="Times New Roman" w:eastAsia="宋体" w:cs="Times New Roman"/>
          <w:spacing w:val="0"/>
          <w:lang w:val="en-US" w:eastAsia="zh-CN"/>
        </w:rPr>
        <w:t>及在产业链所处流程环节，</w:t>
      </w:r>
      <w:r>
        <w:rPr>
          <w:rFonts w:hint="eastAsia" w:cs="Times New Roman"/>
          <w:spacing w:val="0"/>
          <w:lang w:val="en-US" w:eastAsia="zh-CN"/>
        </w:rPr>
        <w:t>界定</w:t>
      </w:r>
      <w:r>
        <w:rPr>
          <w:rFonts w:hint="eastAsia" w:ascii="Times New Roman" w:hAnsi="Times New Roman" w:eastAsia="宋体" w:cs="Times New Roman"/>
          <w:spacing w:val="0"/>
          <w:lang w:val="en-US" w:eastAsia="zh-CN"/>
        </w:rPr>
        <w:t>管理</w:t>
      </w:r>
      <w:r>
        <w:rPr>
          <w:rFonts w:hint="eastAsia" w:cs="Times New Roman"/>
          <w:spacing w:val="0"/>
          <w:lang w:val="en-US" w:eastAsia="zh-CN"/>
        </w:rPr>
        <w:t>和应用</w:t>
      </w:r>
      <w:r>
        <w:rPr>
          <w:rFonts w:hint="eastAsia" w:ascii="Times New Roman" w:hAnsi="Times New Roman" w:eastAsia="宋体" w:cs="Times New Roman"/>
          <w:spacing w:val="0"/>
          <w:lang w:val="en-US" w:eastAsia="zh-CN"/>
        </w:rPr>
        <w:t>的数据范围；</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spacing w:val="0"/>
          <w:lang w:val="en-US" w:eastAsia="zh-CN"/>
        </w:rPr>
      </w:pPr>
      <w:r>
        <w:rPr>
          <w:rFonts w:hint="eastAsia" w:ascii="Times New Roman" w:hAnsi="Times New Roman" w:eastAsia="宋体" w:cs="Times New Roman"/>
          <w:spacing w:val="0"/>
          <w:lang w:val="en-US" w:eastAsia="zh-CN"/>
        </w:rPr>
        <w:t>细化业务分类：企业可结合管理模式、业务流程、</w:t>
      </w:r>
      <w:r>
        <w:rPr>
          <w:rFonts w:hint="eastAsia" w:cs="Times New Roman"/>
          <w:spacing w:val="0"/>
          <w:lang w:val="en-US" w:eastAsia="zh-CN"/>
        </w:rPr>
        <w:t>应用场景</w:t>
      </w:r>
      <w:r>
        <w:rPr>
          <w:rFonts w:hint="eastAsia" w:ascii="Times New Roman" w:hAnsi="Times New Roman" w:eastAsia="宋体" w:cs="Times New Roman"/>
          <w:spacing w:val="0"/>
          <w:lang w:val="en-US" w:eastAsia="zh-CN"/>
        </w:rPr>
        <w:t>等</w:t>
      </w:r>
      <w:r>
        <w:rPr>
          <w:rFonts w:hint="eastAsia" w:cs="Times New Roman"/>
          <w:spacing w:val="0"/>
          <w:lang w:val="en-US" w:eastAsia="zh-CN"/>
        </w:rPr>
        <w:t>要素</w:t>
      </w:r>
      <w:r>
        <w:rPr>
          <w:rFonts w:hint="eastAsia" w:ascii="Times New Roman" w:hAnsi="Times New Roman" w:eastAsia="宋体" w:cs="Times New Roman"/>
          <w:spacing w:val="0"/>
          <w:lang w:val="en-US" w:eastAsia="zh-CN"/>
        </w:rPr>
        <w:t>细化业务条线；</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spacing w:val="0"/>
          <w:lang w:val="en-US" w:eastAsia="zh-CN"/>
        </w:rPr>
      </w:pPr>
      <w:r>
        <w:rPr>
          <w:rFonts w:hint="eastAsia" w:cs="Times New Roman"/>
          <w:spacing w:val="0"/>
          <w:lang w:val="en-US" w:eastAsia="zh-CN"/>
        </w:rPr>
        <w:t>选择</w:t>
      </w:r>
      <w:r>
        <w:rPr>
          <w:rFonts w:hint="eastAsia" w:ascii="Times New Roman" w:hAnsi="Times New Roman" w:eastAsia="宋体" w:cs="Times New Roman"/>
          <w:spacing w:val="0"/>
          <w:lang w:val="en-US" w:eastAsia="zh-CN"/>
        </w:rPr>
        <w:t>业务属性：</w:t>
      </w:r>
      <w:r>
        <w:rPr>
          <w:rFonts w:hint="eastAsia" w:cs="Times New Roman"/>
          <w:spacing w:val="0"/>
          <w:lang w:val="en-US" w:eastAsia="zh-CN"/>
        </w:rPr>
        <w:t>企业可</w:t>
      </w:r>
      <w:r>
        <w:rPr>
          <w:rFonts w:hint="eastAsia" w:ascii="Times New Roman" w:hAnsi="Times New Roman" w:eastAsia="宋体" w:cs="Times New Roman"/>
          <w:spacing w:val="0"/>
          <w:lang w:val="en-US" w:eastAsia="zh-CN"/>
        </w:rPr>
        <w:t>选取适配的业务属性，对工业数据精准细化分类；</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spacing w:val="0"/>
          <w:lang w:val="en-US" w:eastAsia="zh-CN"/>
        </w:rPr>
      </w:pPr>
      <w:r>
        <w:rPr>
          <w:rFonts w:hint="eastAsia" w:ascii="Times New Roman" w:hAnsi="Times New Roman" w:eastAsia="宋体" w:cs="Times New Roman"/>
          <w:spacing w:val="0"/>
          <w:lang w:val="en-US" w:eastAsia="zh-CN"/>
        </w:rPr>
        <w:t>确定分类规则：</w:t>
      </w:r>
      <w:r>
        <w:rPr>
          <w:rFonts w:hint="eastAsia" w:cs="Times New Roman"/>
          <w:spacing w:val="0"/>
          <w:lang w:val="en-US" w:eastAsia="zh-CN"/>
        </w:rPr>
        <w:t>参考数据分类框架，</w:t>
      </w:r>
      <w:r>
        <w:rPr>
          <w:rFonts w:hint="eastAsia" w:ascii="Times New Roman" w:hAnsi="Times New Roman" w:eastAsia="宋体" w:cs="Times New Roman"/>
          <w:spacing w:val="0"/>
          <w:lang w:val="en-US" w:eastAsia="zh-CN"/>
        </w:rPr>
        <w:t>梳理分析</w:t>
      </w:r>
      <w:r>
        <w:rPr>
          <w:rFonts w:hint="eastAsia" w:cs="Times New Roman"/>
          <w:spacing w:val="0"/>
          <w:lang w:val="en-US" w:eastAsia="zh-CN"/>
        </w:rPr>
        <w:t>数据范围和</w:t>
      </w:r>
      <w:r>
        <w:rPr>
          <w:rFonts w:hint="eastAsia" w:ascii="Times New Roman" w:hAnsi="Times New Roman" w:eastAsia="宋体" w:cs="Times New Roman"/>
          <w:spacing w:val="0"/>
          <w:lang w:val="en-US" w:eastAsia="zh-CN"/>
        </w:rPr>
        <w:t>业务</w:t>
      </w:r>
      <w:r>
        <w:rPr>
          <w:rFonts w:hint="eastAsia" w:cs="Times New Roman"/>
          <w:spacing w:val="0"/>
          <w:lang w:val="en-US" w:eastAsia="zh-CN"/>
        </w:rPr>
        <w:t>条线</w:t>
      </w:r>
      <w:r>
        <w:rPr>
          <w:rFonts w:hint="eastAsia" w:ascii="Times New Roman" w:hAnsi="Times New Roman" w:eastAsia="宋体" w:cs="Times New Roman"/>
          <w:spacing w:val="0"/>
          <w:lang w:val="en-US" w:eastAsia="zh-CN"/>
        </w:rPr>
        <w:t>，</w:t>
      </w:r>
      <w:r>
        <w:rPr>
          <w:rFonts w:hint="eastAsia" w:ascii="宋体" w:hAnsi="宋体" w:eastAsia="宋体" w:cs="Times New Roman"/>
          <w:spacing w:val="0"/>
          <w:lang w:val="en-US" w:eastAsia="zh-CN"/>
        </w:rPr>
        <w:t>可采取“金属门类（轻金属/重金属</w:t>
      </w:r>
      <w:r>
        <w:rPr>
          <w:rFonts w:hint="eastAsia" w:ascii="宋体" w:hAnsi="宋体" w:cs="Times New Roman"/>
          <w:spacing w:val="0"/>
          <w:lang w:val="en-US" w:eastAsia="zh-CN"/>
        </w:rPr>
        <w:t>/贵金属/稀有金属</w:t>
      </w:r>
      <w:r>
        <w:rPr>
          <w:rFonts w:hint="eastAsia" w:ascii="宋体" w:hAnsi="宋体" w:eastAsia="宋体" w:cs="Times New Roman"/>
          <w:spacing w:val="0"/>
          <w:lang w:val="en-US" w:eastAsia="zh-CN"/>
        </w:rPr>
        <w:t>）→流程</w:t>
      </w:r>
      <w:r>
        <w:rPr>
          <w:rFonts w:hint="eastAsia" w:ascii="宋体" w:hAnsi="宋体" w:cs="Times New Roman"/>
          <w:spacing w:val="0"/>
          <w:lang w:val="en-US" w:eastAsia="zh-CN"/>
        </w:rPr>
        <w:t>环节</w:t>
      </w:r>
      <w:r>
        <w:rPr>
          <w:rFonts w:hint="eastAsia" w:ascii="宋体" w:hAnsi="宋体" w:eastAsia="宋体" w:cs="Times New Roman"/>
          <w:spacing w:val="0"/>
          <w:lang w:val="en-US" w:eastAsia="zh-CN"/>
        </w:rPr>
        <w:t>（采选/</w:t>
      </w:r>
      <w:r>
        <w:rPr>
          <w:rFonts w:hint="eastAsia" w:ascii="宋体" w:hAnsi="宋体" w:cs="Times New Roman"/>
          <w:spacing w:val="0"/>
          <w:lang w:val="en-US" w:eastAsia="zh-CN"/>
        </w:rPr>
        <w:t>冶炼</w:t>
      </w:r>
      <w:r>
        <w:rPr>
          <w:rFonts w:hint="eastAsia" w:ascii="宋体" w:hAnsi="宋体" w:eastAsia="宋体" w:cs="Times New Roman"/>
          <w:spacing w:val="0"/>
          <w:lang w:val="en-US" w:eastAsia="zh-CN"/>
        </w:rPr>
        <w:t>/</w:t>
      </w:r>
      <w:r>
        <w:rPr>
          <w:rFonts w:hint="eastAsia" w:ascii="宋体" w:hAnsi="宋体" w:cs="Times New Roman"/>
          <w:spacing w:val="0"/>
          <w:lang w:val="en-US" w:eastAsia="zh-CN"/>
        </w:rPr>
        <w:t>加工</w:t>
      </w:r>
      <w:r>
        <w:rPr>
          <w:rFonts w:hint="eastAsia" w:ascii="宋体" w:hAnsi="宋体" w:eastAsia="宋体" w:cs="Times New Roman"/>
          <w:spacing w:val="0"/>
          <w:lang w:val="en-US" w:eastAsia="zh-CN"/>
        </w:rPr>
        <w:t>）→业务场景（研发设计/生产制造/经营管理/</w:t>
      </w:r>
      <w:r>
        <w:rPr>
          <w:rFonts w:hint="eastAsia" w:ascii="宋体" w:hAnsi="宋体" w:cs="Times New Roman"/>
          <w:spacing w:val="0"/>
          <w:lang w:val="en-US" w:eastAsia="zh-CN"/>
        </w:rPr>
        <w:t>特种应用等</w:t>
      </w:r>
      <w:r>
        <w:rPr>
          <w:rFonts w:hint="eastAsia" w:ascii="宋体" w:hAnsi="宋体" w:eastAsia="宋体" w:cs="Times New Roman"/>
          <w:spacing w:val="0"/>
          <w:lang w:val="en-US" w:eastAsia="zh-CN"/>
        </w:rPr>
        <w:t>）→对象集合（人</w:t>
      </w:r>
      <w:r>
        <w:rPr>
          <w:rFonts w:hint="eastAsia" w:ascii="宋体" w:hAnsi="宋体" w:cs="Times New Roman"/>
          <w:spacing w:val="0"/>
          <w:lang w:val="en-US" w:eastAsia="zh-CN"/>
        </w:rPr>
        <w:t>/</w:t>
      </w:r>
      <w:r>
        <w:rPr>
          <w:rFonts w:hint="eastAsia" w:ascii="宋体" w:hAnsi="宋体" w:eastAsia="宋体" w:cs="Times New Roman"/>
          <w:spacing w:val="0"/>
          <w:lang w:val="en-US" w:eastAsia="zh-CN"/>
        </w:rPr>
        <w:t>机</w:t>
      </w:r>
      <w:r>
        <w:rPr>
          <w:rFonts w:hint="eastAsia" w:ascii="宋体" w:hAnsi="宋体" w:cs="Times New Roman"/>
          <w:spacing w:val="0"/>
          <w:lang w:val="en-US" w:eastAsia="zh-CN"/>
        </w:rPr>
        <w:t>/料/</w:t>
      </w:r>
      <w:r>
        <w:rPr>
          <w:rFonts w:hint="eastAsia" w:ascii="宋体" w:hAnsi="宋体" w:eastAsia="宋体" w:cs="Times New Roman"/>
          <w:spacing w:val="0"/>
          <w:lang w:val="en-US" w:eastAsia="zh-CN"/>
        </w:rPr>
        <w:t>法</w:t>
      </w:r>
      <w:r>
        <w:rPr>
          <w:rFonts w:hint="eastAsia" w:ascii="宋体" w:hAnsi="宋体" w:cs="Times New Roman"/>
          <w:spacing w:val="0"/>
          <w:lang w:val="en-US" w:eastAsia="zh-CN"/>
        </w:rPr>
        <w:t>/</w:t>
      </w:r>
      <w:r>
        <w:rPr>
          <w:rFonts w:hint="eastAsia" w:ascii="宋体" w:hAnsi="宋体" w:eastAsia="宋体" w:cs="Times New Roman"/>
          <w:spacing w:val="0"/>
          <w:lang w:val="en-US" w:eastAsia="zh-CN"/>
        </w:rPr>
        <w:t>环</w:t>
      </w:r>
      <w:r>
        <w:rPr>
          <w:rFonts w:hint="eastAsia" w:ascii="宋体" w:hAnsi="宋体" w:cs="Times New Roman"/>
          <w:spacing w:val="0"/>
          <w:lang w:val="en-US" w:eastAsia="zh-CN"/>
        </w:rPr>
        <w:t>/</w:t>
      </w:r>
      <w:r>
        <w:rPr>
          <w:rFonts w:hint="eastAsia" w:ascii="宋体" w:hAnsi="宋体" w:eastAsia="宋体" w:cs="Times New Roman"/>
          <w:spacing w:val="0"/>
          <w:lang w:val="en-US" w:eastAsia="zh-CN"/>
        </w:rPr>
        <w:t>测）→属性集合（产能/品位/能耗等）”</w:t>
      </w:r>
      <w:r>
        <w:rPr>
          <w:rFonts w:hint="eastAsia" w:ascii="宋体" w:hAnsi="宋体" w:cs="Times New Roman"/>
          <w:spacing w:val="0"/>
          <w:lang w:val="en-US" w:eastAsia="zh-CN"/>
        </w:rPr>
        <w:t>层级</w:t>
      </w:r>
      <w:r>
        <w:rPr>
          <w:rFonts w:hint="eastAsia" w:ascii="宋体" w:hAnsi="宋体" w:eastAsia="宋体" w:cs="Times New Roman"/>
          <w:spacing w:val="0"/>
          <w:lang w:val="en-US" w:eastAsia="zh-CN"/>
        </w:rPr>
        <w:t>方式</w:t>
      </w:r>
      <w:r>
        <w:rPr>
          <w:rFonts w:hint="eastAsia" w:ascii="宋体" w:hAnsi="宋体" w:cs="Times New Roman"/>
          <w:spacing w:val="0"/>
          <w:lang w:val="en-US" w:eastAsia="zh-CN"/>
        </w:rPr>
        <w:t>制定分类</w:t>
      </w:r>
      <w:r>
        <w:rPr>
          <w:rFonts w:hint="eastAsia" w:ascii="宋体" w:hAnsi="宋体" w:eastAsia="宋体" w:cs="Times New Roman"/>
          <w:spacing w:val="0"/>
          <w:lang w:val="en-US" w:eastAsia="zh-CN"/>
        </w:rPr>
        <w:t>规则，</w:t>
      </w:r>
      <w:r>
        <w:rPr>
          <w:rFonts w:hint="eastAsia" w:ascii="宋体" w:hAnsi="宋体" w:cs="Times New Roman"/>
          <w:spacing w:val="0"/>
          <w:lang w:val="en-US" w:eastAsia="zh-CN"/>
        </w:rPr>
        <w:t>宜</w:t>
      </w:r>
      <w:r>
        <w:rPr>
          <w:rFonts w:hint="eastAsia" w:ascii="宋体" w:hAnsi="宋体" w:eastAsia="宋体" w:cs="Times New Roman"/>
          <w:spacing w:val="0"/>
          <w:lang w:val="en-US" w:eastAsia="zh-CN"/>
        </w:rPr>
        <w:t>归并主题相近数据子类，优化分类结果。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15" w:leftChars="350" w:hanging="180" w:hangingChars="100"/>
        <w:textAlignment w:val="auto"/>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注：</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以</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铜</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冶炼</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企业</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熔炼配料为例，</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数据项为“</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熔炼配料数据</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”，对应</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数据类别可标识为“</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重金属-铜</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冶炼-生产制造-工艺参数”</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；再如，铝土矿采出量数据，可标识为“轻金属-铝土矿采选-生产制造-产量数据”；钛铸锭库存数据，可标识为</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稀有金属-钛加工-经营管理-库存数据</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等</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6  数据分级规则</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黑体" w:hAnsi="黑体" w:cs="黑体"/>
          <w:b w:val="0"/>
          <w:bCs w:val="0"/>
          <w:lang w:val="en-US" w:eastAsia="zh-CN"/>
        </w:rPr>
      </w:pPr>
      <w:r>
        <w:rPr>
          <w:rFonts w:hint="eastAsia" w:ascii="黑体" w:hAnsi="黑体" w:cs="黑体"/>
          <w:b w:val="0"/>
          <w:bCs w:val="0"/>
          <w:lang w:val="en-US" w:eastAsia="zh-CN"/>
        </w:rPr>
        <w:t>6.1 数据分级框架</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根据数据在国家安全、社会秩序、经济运行</w:t>
      </w:r>
      <w:r>
        <w:rPr>
          <w:rFonts w:hint="eastAsia" w:hAnsi="Times New Roman" w:cs="Times New Roman"/>
          <w:lang w:val="en-US" w:eastAsia="zh-CN"/>
        </w:rPr>
        <w:t>、</w:t>
      </w:r>
      <w:r>
        <w:rPr>
          <w:rFonts w:hint="eastAsia" w:ascii="宋体" w:hAnsi="Times New Roman" w:eastAsia="宋体" w:cs="Times New Roman"/>
          <w:lang w:val="en-US" w:eastAsia="zh-CN"/>
        </w:rPr>
        <w:t>行业发展</w:t>
      </w:r>
      <w:r>
        <w:rPr>
          <w:rFonts w:hint="eastAsia" w:hAnsi="Times New Roman" w:cs="Times New Roman"/>
          <w:lang w:val="en-US" w:eastAsia="zh-CN"/>
        </w:rPr>
        <w:t>和工业生产中</w:t>
      </w:r>
      <w:r>
        <w:rPr>
          <w:rFonts w:hint="eastAsia" w:ascii="宋体" w:hAnsi="宋体" w:eastAsia="宋体" w:cs="Times New Roman"/>
          <w:lang w:val="en-US" w:eastAsia="zh-CN"/>
        </w:rPr>
        <w:t>的重要程度，以及一旦遭到泄露、篡改、损毁或者非法获取、非法使用、非法共享造成的危害程度，将数据从高到低分为核心数据、重要数据、一般数据三个级别。</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黑体" w:hAnsi="黑体" w:cs="黑体"/>
          <w:b w:val="0"/>
          <w:bCs w:val="0"/>
          <w:lang w:val="en-US" w:eastAsia="zh-CN"/>
        </w:rPr>
      </w:pPr>
      <w:r>
        <w:rPr>
          <w:rFonts w:hint="eastAsia" w:ascii="黑体" w:hAnsi="黑体" w:cs="黑体"/>
          <w:b w:val="0"/>
          <w:bCs w:val="0"/>
          <w:lang w:val="en-US" w:eastAsia="zh-CN"/>
        </w:rPr>
        <w:t>6.2 数据分级方法</w:t>
      </w:r>
    </w:p>
    <w:p>
      <w:pPr>
        <w:pStyle w:val="30"/>
        <w:keepNext w:val="0"/>
        <w:keepLines w:val="0"/>
        <w:pageBreakBefore w:val="0"/>
        <w:kinsoku/>
        <w:wordWrap/>
        <w:overflowPunct/>
        <w:topLinePunct w:val="0"/>
        <w:bidi w:val="0"/>
        <w:adjustRightInd/>
        <w:snapToGrid/>
        <w:spacing w:line="360" w:lineRule="auto"/>
        <w:textAlignment w:val="auto"/>
        <w:rPr>
          <w:rFonts w:hint="default"/>
          <w:spacing w:val="0"/>
          <w:lang w:val="en-US" w:eastAsia="zh-CN"/>
        </w:rPr>
      </w:pPr>
      <w:r>
        <w:rPr>
          <w:rFonts w:hint="default"/>
          <w:spacing w:val="0"/>
          <w:lang w:val="en-US" w:eastAsia="zh-CN"/>
        </w:rPr>
        <w:t>有色金属行业采选、冶炼、加工企业可参考以下</w:t>
      </w:r>
      <w:r>
        <w:rPr>
          <w:rFonts w:hint="eastAsia"/>
          <w:spacing w:val="0"/>
          <w:lang w:val="en-US" w:eastAsia="zh-CN"/>
        </w:rPr>
        <w:t>方法</w:t>
      </w:r>
      <w:r>
        <w:rPr>
          <w:rFonts w:hint="default"/>
          <w:spacing w:val="0"/>
          <w:lang w:val="en-US" w:eastAsia="zh-CN"/>
        </w:rPr>
        <w:t>进行</w:t>
      </w:r>
      <w:r>
        <w:rPr>
          <w:rFonts w:hint="eastAsia"/>
          <w:spacing w:val="0"/>
          <w:lang w:val="en-US" w:eastAsia="zh-CN"/>
        </w:rPr>
        <w:t>数据分级：</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spacing w:val="0"/>
        </w:rPr>
      </w:pPr>
      <w:r>
        <w:rPr>
          <w:rFonts w:hint="default"/>
          <w:spacing w:val="0"/>
          <w:lang w:val="en-US" w:eastAsia="zh-CN"/>
        </w:rPr>
        <w:t>确定分级对象：明确待分级的数据对象，包括但不限于数据项、数据集、衍生数据等</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94" w:leftChars="397" w:hanging="360" w:hangingChars="200"/>
        <w:textAlignment w:val="auto"/>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注：</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数据项通常表现为数据库表中的某一列字段，例如铜冶炼工艺参数中的电流密度</w:t>
      </w:r>
      <w:r>
        <w:rPr>
          <w:rStyle w:val="12"/>
          <w:rFonts w:hint="eastAsia" w:ascii="宋体" w:hAnsi="宋体" w:cs="宋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数据集是由多个数据记录组成的集合，如数据库表、数据文件或生产过程中的实时监测数据集合</w:t>
      </w:r>
      <w:r>
        <w:rPr>
          <w:rStyle w:val="12"/>
          <w:rFonts w:hint="eastAsia" w:ascii="黑体" w:hAnsi="黑体" w:eastAsia="黑体" w:cs="黑体"/>
          <w:b w:val="0"/>
          <w:bCs w:val="0"/>
          <w:i w:val="0"/>
          <w:iCs w:val="0"/>
          <w:caps w:val="0"/>
          <w:color w:val="060607"/>
          <w:spacing w:val="0"/>
          <w:kern w:val="0"/>
          <w:sz w:val="18"/>
          <w:szCs w:val="18"/>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0"/>
          <w:kern w:val="0"/>
          <w:sz w:val="18"/>
          <w:szCs w:val="18"/>
          <w:shd w:val="clear" w:fill="FFFFFF"/>
          <w:vertAlign w:val="baseline"/>
          <w:lang w:val="en-US" w:eastAsia="zh-CN" w:bidi="ar"/>
        </w:rPr>
        <w:t>衍生数据是指基于原始数据（包括数据项、数据集等）经过统计、关联、挖掘、聚合、去标识化等加工活动而产生的新数据。</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spacing w:val="0"/>
        </w:rPr>
      </w:pPr>
      <w:r>
        <w:rPr>
          <w:rFonts w:hint="eastAsia" w:ascii="宋体" w:hAnsi="宋体" w:eastAsia="宋体" w:cs="宋体"/>
          <w:spacing w:val="0"/>
          <w:lang w:val="en-US" w:eastAsia="zh-CN"/>
        </w:rPr>
        <w:t>识别</w:t>
      </w:r>
      <w:r>
        <w:rPr>
          <w:rFonts w:hint="eastAsia" w:ascii="宋体" w:hAnsi="宋体" w:cs="宋体"/>
          <w:spacing w:val="0"/>
          <w:lang w:val="en-US" w:eastAsia="zh-CN"/>
        </w:rPr>
        <w:t>重要数据</w:t>
      </w:r>
      <w:r>
        <w:rPr>
          <w:rFonts w:hint="eastAsia" w:ascii="宋体" w:hAnsi="宋体" w:eastAsia="宋体" w:cs="宋体"/>
          <w:spacing w:val="0"/>
          <w:lang w:val="en-US" w:eastAsia="zh-CN"/>
        </w:rPr>
        <w:t>：结合有色金属行业的数据特点，</w:t>
      </w:r>
      <w:r>
        <w:rPr>
          <w:rFonts w:hint="eastAsia" w:ascii="宋体" w:hAnsi="宋体" w:cs="宋体"/>
          <w:spacing w:val="0"/>
          <w:lang w:val="en-US" w:eastAsia="zh-CN"/>
        </w:rPr>
        <w:t>按照6.3进行重要数据</w:t>
      </w:r>
      <w:r>
        <w:rPr>
          <w:rFonts w:hint="eastAsia" w:ascii="宋体" w:hAnsi="宋体" w:eastAsia="宋体" w:cs="宋体"/>
          <w:spacing w:val="0"/>
          <w:lang w:val="en-US" w:eastAsia="zh-CN"/>
        </w:rPr>
        <w:t>识别，分析数据在遭到</w:t>
      </w:r>
      <w:r>
        <w:rPr>
          <w:rFonts w:hint="eastAsia" w:ascii="宋体" w:hAnsi="宋体" w:eastAsia="宋体" w:cs="Times New Roman"/>
          <w:lang w:val="en-US" w:eastAsia="zh-CN"/>
        </w:rPr>
        <w:t>泄露、篡改、损毁或者非法获取、非法使用、非法共享</w:t>
      </w:r>
      <w:r>
        <w:rPr>
          <w:rFonts w:hint="eastAsia" w:ascii="宋体" w:hAnsi="宋体" w:cs="宋体"/>
          <w:spacing w:val="0"/>
          <w:lang w:val="en-US" w:eastAsia="zh-CN"/>
        </w:rPr>
        <w:t>，</w:t>
      </w:r>
      <w:r>
        <w:rPr>
          <w:rFonts w:hint="eastAsia" w:ascii="宋体" w:hAnsi="宋体" w:eastAsia="宋体" w:cs="宋体"/>
          <w:spacing w:val="0"/>
          <w:lang w:val="en-US" w:eastAsia="zh-CN"/>
        </w:rPr>
        <w:t>可能影响的对象（如国家安全、经济运行、社会秩序、</w:t>
      </w:r>
      <w:r>
        <w:rPr>
          <w:rFonts w:hint="eastAsia" w:ascii="宋体" w:hAnsi="宋体" w:cs="宋体"/>
          <w:spacing w:val="0"/>
          <w:lang w:val="en-US" w:eastAsia="zh-CN"/>
        </w:rPr>
        <w:t>行业发展、工业生产</w:t>
      </w:r>
      <w:r>
        <w:rPr>
          <w:rFonts w:hint="eastAsia" w:ascii="宋体" w:hAnsi="宋体" w:eastAsia="宋体" w:cs="宋体"/>
          <w:spacing w:val="0"/>
          <w:lang w:val="en-US" w:eastAsia="zh-CN"/>
        </w:rPr>
        <w:t>）及影响程度（特别严重危害、严重危害、一般危害）</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spacing w:val="0"/>
        </w:rPr>
      </w:pPr>
      <w:r>
        <w:rPr>
          <w:rFonts w:hint="eastAsia" w:ascii="宋体" w:hAnsi="宋体" w:eastAsia="宋体" w:cs="宋体"/>
          <w:spacing w:val="0"/>
          <w:lang w:val="en-US" w:eastAsia="zh-CN"/>
        </w:rPr>
        <w:t>综合确定级别：综合考虑数据的分级</w:t>
      </w:r>
      <w:r>
        <w:rPr>
          <w:rFonts w:hint="eastAsia" w:ascii="宋体" w:hAnsi="宋体" w:cs="宋体"/>
          <w:spacing w:val="0"/>
          <w:lang w:val="en-US" w:eastAsia="zh-CN"/>
        </w:rPr>
        <w:t>维度</w:t>
      </w:r>
      <w:r>
        <w:rPr>
          <w:rFonts w:hint="eastAsia" w:ascii="宋体" w:hAnsi="宋体" w:eastAsia="宋体" w:cs="宋体"/>
          <w:spacing w:val="0"/>
          <w:lang w:val="en-US" w:eastAsia="zh-CN"/>
        </w:rPr>
        <w:t>和影响</w:t>
      </w:r>
      <w:r>
        <w:rPr>
          <w:rFonts w:hint="eastAsia" w:ascii="宋体" w:hAnsi="宋体" w:cs="宋体"/>
          <w:spacing w:val="0"/>
          <w:lang w:val="en-US" w:eastAsia="zh-CN"/>
        </w:rPr>
        <w:t>程度</w:t>
      </w:r>
      <w:r>
        <w:rPr>
          <w:rFonts w:hint="eastAsia" w:ascii="宋体" w:hAnsi="宋体" w:eastAsia="宋体" w:cs="宋体"/>
          <w:spacing w:val="0"/>
          <w:lang w:val="en-US" w:eastAsia="zh-CN"/>
        </w:rPr>
        <w:t>，确定数据的级别。在确定级别时，如涉及多个要素、多个影响对象或影响程度</w:t>
      </w:r>
      <w:r>
        <w:rPr>
          <w:rFonts w:hint="eastAsia" w:ascii="宋体" w:hAnsi="宋体" w:cs="宋体"/>
          <w:spacing w:val="0"/>
          <w:lang w:val="en-US" w:eastAsia="zh-CN"/>
        </w:rPr>
        <w:t>，</w:t>
      </w:r>
      <w:r>
        <w:rPr>
          <w:rFonts w:hint="eastAsia" w:ascii="宋体" w:hAnsi="宋体" w:eastAsia="宋体" w:cs="宋体"/>
          <w:spacing w:val="0"/>
          <w:lang w:val="en-US" w:eastAsia="zh-CN"/>
        </w:rPr>
        <w:t>应遵循“就高从严”的原则。</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6.3 重要数据识别维度</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r>
        <w:rPr>
          <w:rFonts w:hint="eastAsia" w:ascii="黑体" w:hAnsi="黑体" w:cs="黑体"/>
          <w:b w:val="0"/>
          <w:bCs w:val="0"/>
          <w:lang w:val="en-US" w:eastAsia="zh-CN"/>
        </w:rPr>
        <w:t>6.3.1 概述</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lang w:val="en-US" w:eastAsia="zh-CN"/>
        </w:rPr>
      </w:pPr>
      <w:r>
        <w:rPr>
          <w:rFonts w:hint="eastAsia" w:ascii="宋体" w:hAnsi="宋体" w:eastAsia="宋体" w:cs="Times New Roman"/>
          <w:lang w:val="en-US" w:eastAsia="zh-CN"/>
        </w:rPr>
        <w:t>有色金属行业工业数据识别维度包括与国家秘密生成相关、与国家安全相关、与行业发展相关、与工业领域出口管制物项相关、与行业经济效益和产业保障相关、其他，按照数据与分级维度的相符性确定数据为核心数据、重要数据或一般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6.3.2 与国家秘密生成相关</w:t>
      </w:r>
    </w:p>
    <w:p>
      <w:pPr>
        <w:pStyle w:val="30"/>
        <w:keepNext w:val="0"/>
        <w:keepLines w:val="0"/>
        <w:pageBreakBefore w:val="0"/>
        <w:kinsoku/>
        <w:wordWrap/>
        <w:overflowPunct/>
        <w:topLinePunct w:val="0"/>
        <w:bidi w:val="0"/>
        <w:adjustRightInd/>
        <w:snapToGrid/>
        <w:spacing w:line="360" w:lineRule="auto"/>
        <w:textAlignment w:val="auto"/>
        <w:rPr>
          <w:rFonts w:hint="eastAsia"/>
          <w:lang w:val="en-US" w:eastAsia="zh-CN"/>
        </w:rPr>
      </w:pPr>
      <w:r>
        <w:rPr>
          <w:rFonts w:hint="eastAsia"/>
          <w:lang w:val="en-US" w:eastAsia="zh-CN"/>
        </w:rPr>
        <w:t>有色金属行业与国家秘密相关的、或在生成国家秘密的过程中所使用分析的原始非密数据。</w:t>
      </w:r>
    </w:p>
    <w:p>
      <w:pPr>
        <w:pStyle w:val="30"/>
        <w:keepNext w:val="0"/>
        <w:keepLines w:val="0"/>
        <w:pageBreakBefore w:val="0"/>
        <w:widowControl/>
        <w:kinsoku/>
        <w:wordWrap/>
        <w:overflowPunct/>
        <w:topLinePunct w:val="0"/>
        <w:autoSpaceDE w:val="0"/>
        <w:autoSpaceDN w:val="0"/>
        <w:bidi w:val="0"/>
        <w:adjustRightInd/>
        <w:snapToGrid/>
        <w:spacing w:line="360" w:lineRule="auto"/>
        <w:ind w:left="839" w:leftChars="228" w:hanging="360" w:hangingChars="200"/>
        <w:textAlignment w:val="auto"/>
        <w:rPr>
          <w:rFonts w:hint="eastAsia"/>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与航空航天、</w:t>
      </w:r>
      <w:r>
        <w:rPr>
          <w:rFonts w:hint="eastAsia" w:cs="宋体"/>
          <w:sz w:val="18"/>
          <w:szCs w:val="18"/>
          <w:lang w:val="en-US" w:eastAsia="zh-CN"/>
        </w:rPr>
        <w:t>国防</w:t>
      </w:r>
      <w:r>
        <w:rPr>
          <w:rFonts w:hint="eastAsia" w:ascii="宋体" w:hAnsi="宋体" w:eastAsia="宋体" w:cs="宋体"/>
          <w:sz w:val="18"/>
          <w:szCs w:val="18"/>
          <w:lang w:val="en-US" w:eastAsia="zh-CN"/>
        </w:rPr>
        <w:t>军工</w:t>
      </w:r>
      <w:r>
        <w:rPr>
          <w:rFonts w:hint="eastAsia" w:cs="宋体"/>
          <w:sz w:val="18"/>
          <w:szCs w:val="18"/>
          <w:lang w:val="en-US" w:eastAsia="zh-CN"/>
        </w:rPr>
        <w:t>、</w:t>
      </w:r>
      <w:r>
        <w:rPr>
          <w:rFonts w:hint="eastAsia" w:ascii="宋体" w:hAnsi="宋体" w:eastAsia="宋体" w:cs="宋体"/>
          <w:sz w:val="18"/>
          <w:szCs w:val="18"/>
          <w:lang w:val="en-US" w:eastAsia="zh-CN"/>
        </w:rPr>
        <w:t>核工业、海洋工程</w:t>
      </w:r>
      <w:r>
        <w:rPr>
          <w:rFonts w:hint="eastAsia" w:cs="宋体"/>
          <w:sz w:val="18"/>
          <w:szCs w:val="18"/>
          <w:lang w:val="en-US" w:eastAsia="zh-CN"/>
        </w:rPr>
        <w:t>等特种领域相关的涉及国家秘密的</w:t>
      </w:r>
      <w:r>
        <w:rPr>
          <w:rFonts w:hint="eastAsia" w:ascii="宋体" w:hAnsi="宋体" w:eastAsia="宋体" w:cs="宋体"/>
          <w:sz w:val="18"/>
          <w:szCs w:val="18"/>
          <w:lang w:val="en-US" w:eastAsia="zh-CN"/>
        </w:rPr>
        <w:t>数据，适用《中华人民共和国保守国家秘密法》等法律、行政法规的规定，本文件不</w:t>
      </w:r>
      <w:r>
        <w:rPr>
          <w:rFonts w:hint="eastAsia" w:cs="宋体"/>
          <w:sz w:val="18"/>
          <w:szCs w:val="18"/>
          <w:lang w:val="en-US" w:eastAsia="zh-CN"/>
        </w:rPr>
        <w:t>涉及</w:t>
      </w:r>
      <w:r>
        <w:rPr>
          <w:rFonts w:hint="eastAsia" w:ascii="宋体" w:hAnsi="宋体" w:eastAsia="宋体" w:cs="宋体"/>
          <w:sz w:val="18"/>
          <w:szCs w:val="18"/>
          <w:lang w:val="en-US" w:eastAsia="zh-CN"/>
        </w:rPr>
        <w:t>此类</w:t>
      </w:r>
      <w:r>
        <w:rPr>
          <w:rFonts w:hint="eastAsia" w:cs="宋体"/>
          <w:sz w:val="18"/>
          <w:szCs w:val="18"/>
          <w:lang w:val="en-US" w:eastAsia="zh-CN"/>
        </w:rPr>
        <w:t>涉密</w:t>
      </w:r>
      <w:r>
        <w:rPr>
          <w:rFonts w:hint="eastAsia" w:ascii="宋体" w:hAnsi="宋体" w:eastAsia="宋体" w:cs="宋体"/>
          <w:sz w:val="18"/>
          <w:szCs w:val="18"/>
          <w:lang w:val="en-US" w:eastAsia="zh-CN"/>
        </w:rPr>
        <w:t>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6.3.3 与国家安全相关</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spacing w:val="0"/>
          <w:sz w:val="21"/>
          <w:lang w:val="en-US" w:eastAsia="zh-CN"/>
        </w:rPr>
      </w:pPr>
      <w:r>
        <w:rPr>
          <w:rFonts w:hint="eastAsia" w:cs="Times New Roman"/>
          <w:spacing w:val="0"/>
          <w:sz w:val="21"/>
          <w:lang w:val="en-US" w:eastAsia="zh-CN"/>
        </w:rPr>
        <w:t>工业</w:t>
      </w:r>
      <w:r>
        <w:rPr>
          <w:rFonts w:hint="eastAsia" w:ascii="宋体" w:hAnsi="宋体" w:eastAsia="宋体" w:cs="Times New Roman"/>
          <w:spacing w:val="0"/>
          <w:sz w:val="21"/>
          <w:lang w:val="en-US" w:eastAsia="zh-CN"/>
        </w:rPr>
        <w:t>数据</w:t>
      </w:r>
      <w:r>
        <w:rPr>
          <w:rFonts w:hint="eastAsia" w:cs="Times New Roman"/>
          <w:spacing w:val="0"/>
          <w:sz w:val="21"/>
          <w:lang w:val="en-US" w:eastAsia="zh-CN"/>
        </w:rPr>
        <w:t>一旦</w:t>
      </w:r>
      <w:r>
        <w:rPr>
          <w:rFonts w:hint="eastAsia" w:ascii="宋体" w:hAnsi="宋体" w:eastAsia="宋体" w:cs="宋体"/>
          <w:spacing w:val="0"/>
          <w:sz w:val="21"/>
          <w:lang w:val="en-US" w:eastAsia="zh-CN"/>
        </w:rPr>
        <w:t>遭到泄露、篡改、损毁或者非法获取、非法使用、非法共享</w:t>
      </w:r>
      <w:r>
        <w:rPr>
          <w:rFonts w:hint="eastAsia" w:ascii="宋体" w:hAnsi="宋体" w:eastAsia="宋体" w:cs="Times New Roman"/>
          <w:spacing w:val="0"/>
          <w:sz w:val="21"/>
          <w:lang w:val="en-US" w:eastAsia="zh-CN"/>
        </w:rPr>
        <w:t>，</w:t>
      </w:r>
      <w:r>
        <w:rPr>
          <w:rFonts w:hint="eastAsia" w:cs="Times New Roman"/>
          <w:spacing w:val="0"/>
          <w:sz w:val="21"/>
          <w:lang w:val="en-US" w:eastAsia="zh-CN"/>
        </w:rPr>
        <w:t>会</w:t>
      </w:r>
      <w:r>
        <w:rPr>
          <w:rFonts w:hint="eastAsia" w:ascii="宋体" w:hAnsi="宋体" w:eastAsia="宋体" w:cs="Times New Roman"/>
          <w:spacing w:val="0"/>
          <w:sz w:val="21"/>
          <w:lang w:val="en-US" w:eastAsia="zh-CN"/>
        </w:rPr>
        <w:t>对政治、国土、军事、经济、文化、社会、科技、生态、资源、海外利益、人工智能等国家安全相关领域造成严重影响的</w:t>
      </w:r>
      <w:r>
        <w:rPr>
          <w:rFonts w:hint="eastAsia" w:cs="Times New Roman"/>
          <w:spacing w:val="0"/>
          <w:sz w:val="21"/>
          <w:lang w:val="en-US" w:eastAsia="zh-CN"/>
        </w:rPr>
        <w:t>，</w:t>
      </w:r>
      <w:r>
        <w:rPr>
          <w:rFonts w:hint="eastAsia" w:ascii="宋体" w:hAnsi="宋体" w:eastAsia="宋体" w:cs="Times New Roman"/>
          <w:spacing w:val="0"/>
          <w:sz w:val="21"/>
          <w:lang w:val="en-US" w:eastAsia="zh-CN"/>
        </w:rPr>
        <w:t>属于重要数据，包括但不限于：</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spacing w:val="0"/>
          <w:sz w:val="21"/>
        </w:rPr>
      </w:pPr>
      <w:r>
        <w:rPr>
          <w:rFonts w:hint="eastAsia"/>
          <w:spacing w:val="0"/>
          <w:sz w:val="21"/>
          <w:lang w:val="en-US" w:eastAsia="zh-CN"/>
        </w:rPr>
        <w:t>与国家经济安全相关：经汇聚、分析后能够推算未公开的国家经济运行情况的相关行业数据，如未公开的重点有色金属企业的进出口量及流向数据</w:t>
      </w:r>
      <w:r>
        <w:rPr>
          <w:rFonts w:hint="eastAsia" w:ascii="Helvetica" w:hAnsi="Helvetica" w:eastAsia="宋体" w:cs="Helvetica"/>
          <w:i w:val="0"/>
          <w:iCs w:val="0"/>
          <w:caps w:val="0"/>
          <w:color w:val="060607"/>
          <w:spacing w:val="0"/>
          <w:sz w:val="21"/>
          <w:szCs w:val="21"/>
          <w:shd w:val="clear" w:fill="FFFFFF"/>
          <w:lang w:val="en-US"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spacing w:val="0"/>
          <w:sz w:val="21"/>
        </w:rPr>
      </w:pPr>
      <w:r>
        <w:rPr>
          <w:rFonts w:hint="eastAsia"/>
          <w:spacing w:val="0"/>
          <w:sz w:val="21"/>
          <w:lang w:val="en-US" w:eastAsia="zh-CN"/>
        </w:rPr>
        <w:t>与国家科技安全相关，包括但不限于：</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与国家安全直接相关的有色金属行业国家科技计划（含国家重大专项、重点研发计划）项目在规划和实施过程中产生的，涉及国家安全和社会发展利益的数据，国家专项范围相关可行性研究报告、建设方案、科研数据、科技成果、产品技术研发路线以及相关知识产权数据</w:t>
      </w:r>
      <w:r>
        <w:rPr>
          <w:rFonts w:hint="eastAsia"/>
          <w:spacing w:val="0"/>
          <w:sz w:val="21"/>
          <w:lang w:eastAsia="zh-CN"/>
        </w:rPr>
        <w:t>；</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eastAsia="zh-CN"/>
        </w:rPr>
        <w:t>《</w:t>
      </w:r>
      <w:r>
        <w:rPr>
          <w:rFonts w:hint="eastAsia"/>
          <w:spacing w:val="0"/>
          <w:sz w:val="21"/>
          <w:lang w:val="en-US" w:eastAsia="zh-CN"/>
        </w:rPr>
        <w:t>中国禁止出口限购出口技术目录</w:t>
      </w:r>
      <w:r>
        <w:rPr>
          <w:rFonts w:hint="eastAsia"/>
          <w:spacing w:val="0"/>
          <w:sz w:val="21"/>
          <w:lang w:eastAsia="zh-CN"/>
        </w:rPr>
        <w:t>》</w:t>
      </w:r>
      <w:r>
        <w:rPr>
          <w:rFonts w:hint="eastAsia"/>
          <w:spacing w:val="0"/>
          <w:sz w:val="21"/>
          <w:lang w:val="en-US" w:eastAsia="zh-CN"/>
        </w:rPr>
        <w:t>中涉及的我国有色金属行业特有技术数据，如特有配方、制件工艺、生产工艺、编码和加密技术、制备技术等；</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spacing w:val="0"/>
          <w:sz w:val="21"/>
        </w:rPr>
      </w:pPr>
      <w:r>
        <w:rPr>
          <w:rFonts w:hint="eastAsia" w:ascii="Times New Roman" w:hAnsi="Times New Roman" w:eastAsia="宋体" w:cs="Times New Roman"/>
          <w:spacing w:val="0"/>
          <w:sz w:val="21"/>
          <w:lang w:val="en-US" w:eastAsia="zh-CN"/>
        </w:rPr>
        <w:t>与国家</w:t>
      </w:r>
      <w:r>
        <w:rPr>
          <w:rFonts w:hint="eastAsia" w:cs="Times New Roman"/>
          <w:spacing w:val="0"/>
          <w:sz w:val="21"/>
          <w:lang w:val="en-US" w:eastAsia="zh-CN"/>
        </w:rPr>
        <w:t>战略</w:t>
      </w:r>
      <w:r>
        <w:rPr>
          <w:rFonts w:hint="eastAsia" w:ascii="Times New Roman" w:hAnsi="Times New Roman" w:eastAsia="宋体" w:cs="Times New Roman"/>
          <w:spacing w:val="0"/>
          <w:sz w:val="21"/>
          <w:lang w:val="en-US" w:eastAsia="zh-CN"/>
        </w:rPr>
        <w:t>安全相关：</w:t>
      </w:r>
      <w:r>
        <w:rPr>
          <w:rFonts w:hint="eastAsia" w:cs="Times New Roman"/>
          <w:spacing w:val="0"/>
          <w:sz w:val="21"/>
          <w:lang w:val="en-US" w:eastAsia="zh-CN"/>
        </w:rPr>
        <w:t>涉及国家战略储备、国防军工配套、国土安全相关的有色金属资源勘探、品种、储量、分布、储备设施位置及运行状态数据，或影响国家战略资源定价权的核心交易数据、全球资源布局数据及对外合作核心谈判参数等</w:t>
      </w:r>
      <w:r>
        <w:rPr>
          <w:rFonts w:hint="eastAsia" w:ascii="Times New Roman" w:hAnsi="Times New Roman" w:eastAsia="宋体" w:cs="Times New Roman"/>
          <w:spacing w:val="0"/>
          <w:sz w:val="21"/>
          <w:lang w:val="en-US"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eastAsia" w:ascii="Times New Roman" w:hAnsi="Times New Roman" w:eastAsia="宋体" w:cs="Times New Roman"/>
          <w:spacing w:val="0"/>
          <w:sz w:val="21"/>
          <w:lang w:val="en-US" w:eastAsia="zh-CN"/>
        </w:rPr>
      </w:pPr>
      <w:r>
        <w:rPr>
          <w:rFonts w:hint="eastAsia" w:ascii="Times New Roman" w:hAnsi="Times New Roman" w:eastAsia="宋体" w:cs="Times New Roman"/>
          <w:spacing w:val="0"/>
          <w:sz w:val="21"/>
          <w:lang w:val="en-US" w:eastAsia="zh-CN"/>
        </w:rPr>
        <w:t>与国家网络安全相关：能够引发重大网络和数据安全事件或生产安全事故的漏洞信息、恶意程序、事件信息、应急通信数据、网络与数据安全重大发现与重要研究成果</w:t>
      </w:r>
      <w:r>
        <w:rPr>
          <w:rFonts w:hint="eastAsia" w:cs="Times New Roman"/>
          <w:spacing w:val="0"/>
          <w:sz w:val="21"/>
          <w:lang w:val="en-US" w:eastAsia="zh-CN"/>
        </w:rPr>
        <w:t>等</w:t>
      </w:r>
      <w:r>
        <w:rPr>
          <w:rFonts w:hint="eastAsia" w:ascii="Times New Roman" w:hAnsi="Times New Roman" w:eastAsia="宋体" w:cs="Times New Roman"/>
          <w:spacing w:val="0"/>
          <w:sz w:val="21"/>
          <w:lang w:val="en-US"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eastAsia" w:ascii="Times New Roman" w:hAnsi="Times New Roman" w:eastAsia="宋体" w:cs="Times New Roman"/>
          <w:spacing w:val="0"/>
          <w:sz w:val="21"/>
          <w:lang w:val="en-US" w:eastAsia="zh-CN"/>
        </w:rPr>
        <w:t>与人工智能相关：</w:t>
      </w:r>
      <w:r>
        <w:rPr>
          <w:rFonts w:hint="eastAsia" w:cs="Times New Roman"/>
          <w:spacing w:val="0"/>
          <w:sz w:val="21"/>
          <w:lang w:val="en-US" w:eastAsia="zh-CN"/>
        </w:rPr>
        <w:t>与国家安全相关的</w:t>
      </w:r>
      <w:r>
        <w:rPr>
          <w:rFonts w:hint="eastAsia" w:ascii="Times New Roman" w:hAnsi="Times New Roman" w:eastAsia="宋体" w:cs="Times New Roman"/>
          <w:spacing w:val="0"/>
          <w:sz w:val="21"/>
          <w:lang w:val="en-US" w:eastAsia="zh-CN"/>
        </w:rPr>
        <w:t>人工智能控制程序、算法、源代码、训练模型、</w:t>
      </w:r>
      <w:r>
        <w:rPr>
          <w:rFonts w:hint="eastAsia" w:cs="Times New Roman"/>
          <w:spacing w:val="0"/>
          <w:sz w:val="21"/>
          <w:lang w:val="en-US" w:eastAsia="zh-CN"/>
        </w:rPr>
        <w:t>数据集</w:t>
      </w:r>
      <w:r>
        <w:rPr>
          <w:rFonts w:hint="eastAsia" w:ascii="Times New Roman" w:hAnsi="Times New Roman" w:eastAsia="宋体" w:cs="Times New Roman"/>
          <w:spacing w:val="0"/>
          <w:sz w:val="21"/>
          <w:lang w:val="en-US" w:eastAsia="zh-CN"/>
        </w:rPr>
        <w:t>等。</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6.3.4 与行业发展相关</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spacing w:val="0"/>
          <w:sz w:val="21"/>
          <w:lang w:val="en-US" w:eastAsia="zh-CN"/>
        </w:rPr>
      </w:pPr>
      <w:r>
        <w:rPr>
          <w:rFonts w:hint="eastAsia" w:cs="Times New Roman"/>
          <w:spacing w:val="0"/>
          <w:sz w:val="21"/>
          <w:lang w:val="en-US" w:eastAsia="zh-CN"/>
        </w:rPr>
        <w:t>工业</w:t>
      </w:r>
      <w:r>
        <w:rPr>
          <w:rFonts w:hint="eastAsia" w:ascii="宋体" w:hAnsi="宋体" w:eastAsia="宋体" w:cs="Times New Roman"/>
          <w:spacing w:val="0"/>
          <w:sz w:val="21"/>
          <w:lang w:val="en-US" w:eastAsia="zh-CN"/>
        </w:rPr>
        <w:t>数据</w:t>
      </w:r>
      <w:r>
        <w:rPr>
          <w:rFonts w:hint="eastAsia" w:cs="Times New Roman"/>
          <w:spacing w:val="0"/>
          <w:sz w:val="21"/>
          <w:lang w:val="en-US" w:eastAsia="zh-CN"/>
        </w:rPr>
        <w:t>一旦</w:t>
      </w:r>
      <w:r>
        <w:rPr>
          <w:rFonts w:hint="eastAsia" w:ascii="宋体" w:hAnsi="宋体" w:eastAsia="宋体" w:cs="宋体"/>
          <w:spacing w:val="0"/>
          <w:sz w:val="21"/>
          <w:lang w:val="en-US" w:eastAsia="zh-CN"/>
        </w:rPr>
        <w:t>遭到</w:t>
      </w:r>
      <w:r>
        <w:rPr>
          <w:rFonts w:hint="eastAsia" w:ascii="宋体" w:hAnsi="宋体" w:eastAsia="宋体" w:cs="Times New Roman"/>
          <w:spacing w:val="0"/>
          <w:sz w:val="21"/>
          <w:lang w:val="en-US" w:eastAsia="zh-CN"/>
        </w:rPr>
        <w:t>泄露、篡改、损毁或者非法获取、非法使用、非法共享，</w:t>
      </w:r>
      <w:r>
        <w:rPr>
          <w:rFonts w:hint="eastAsia" w:cs="Times New Roman"/>
          <w:spacing w:val="0"/>
          <w:sz w:val="21"/>
          <w:lang w:val="en-US" w:eastAsia="zh-CN"/>
        </w:rPr>
        <w:t>会</w:t>
      </w:r>
      <w:r>
        <w:rPr>
          <w:rFonts w:hint="eastAsia" w:ascii="宋体" w:hAnsi="宋体" w:eastAsia="宋体" w:cs="Times New Roman"/>
          <w:spacing w:val="0"/>
          <w:sz w:val="21"/>
          <w:lang w:val="en-US" w:eastAsia="zh-CN"/>
        </w:rPr>
        <w:t>对有色金属行业发展造成严重影响的</w:t>
      </w:r>
      <w:r>
        <w:rPr>
          <w:rFonts w:hint="eastAsia" w:cs="Times New Roman"/>
          <w:spacing w:val="0"/>
          <w:sz w:val="21"/>
          <w:lang w:val="en-US" w:eastAsia="zh-CN"/>
        </w:rPr>
        <w:t>，</w:t>
      </w:r>
      <w:r>
        <w:rPr>
          <w:rFonts w:hint="eastAsia" w:ascii="宋体" w:hAnsi="宋体" w:eastAsia="宋体" w:cs="Times New Roman"/>
          <w:spacing w:val="0"/>
          <w:sz w:val="21"/>
          <w:lang w:val="en-US" w:eastAsia="zh-CN"/>
        </w:rPr>
        <w:t>属于重要数据，包括但不限于：</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spacing w:val="0"/>
          <w:sz w:val="21"/>
        </w:rPr>
      </w:pPr>
      <w:r>
        <w:rPr>
          <w:rFonts w:hint="eastAsia"/>
          <w:spacing w:val="0"/>
          <w:sz w:val="21"/>
          <w:lang w:val="en-US" w:eastAsia="zh-CN"/>
        </w:rPr>
        <w:t>与行业竞争力相关：涉及行业核心竞争力或产业生态发展的关键技术、关键工艺、关键产品、重要国产化设备在研发设计、生产经营等过程中收集和产生的数据，包括</w:t>
      </w:r>
      <w:r>
        <w:rPr>
          <w:rFonts w:hint="eastAsia" w:ascii="Helvetica" w:hAnsi="Helvetica" w:cs="Helvetica"/>
          <w:i w:val="0"/>
          <w:iCs w:val="0"/>
          <w:caps w:val="0"/>
          <w:color w:val="060607"/>
          <w:spacing w:val="0"/>
          <w:sz w:val="21"/>
          <w:szCs w:val="21"/>
          <w:shd w:val="clear" w:fill="FFFFFF"/>
          <w:lang w:val="en-US" w:eastAsia="zh-CN"/>
        </w:rPr>
        <w:t>：</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在研发设计过程中，收集和产生的与行业竞争力相关的研发数据，如锂、钴等战略矿产选矿药剂配方、稀有元素分离萃取剂配比、新型合金材料配方等工艺参数，及低品位矿利用、短流程冶炼等先进工艺研发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在生产制造过程中，收集和产生的与行业竞争力相关的先进工艺参数、控制代码等，如高温合金真空熔炼工艺参数、智能生产线紧急停机逻辑控制代码等数据；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在经营管理过程中，收集和产生的与行业竞争力相关的战略规划、产能布局、专项行动方案等数据；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在运维服务过程中，收集和产生的与行业竞争力相关的重要系统数据，如账号密码、采购销售订单、库存信息等数据；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rPr>
          <w:spacing w:val="0"/>
          <w:sz w:val="21"/>
        </w:rPr>
      </w:pPr>
      <w:r>
        <w:rPr>
          <w:rFonts w:hint="eastAsia"/>
          <w:spacing w:val="0"/>
          <w:sz w:val="21"/>
          <w:lang w:val="en-US" w:eastAsia="zh-CN"/>
        </w:rPr>
        <w:t>在平台运营、技术服务过程中，收集和产生的与行业竞争力相关的的运营服务数据，如有色金属全产业链的产能利用率、上下游企业交易规模与趋势等数据。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spacing w:val="0"/>
          <w:sz w:val="21"/>
          <w:lang w:val="en-US" w:eastAsia="zh-CN"/>
        </w:rPr>
      </w:pPr>
      <w:r>
        <w:rPr>
          <w:rFonts w:hint="eastAsia" w:ascii="Times New Roman" w:hAnsi="Times New Roman" w:eastAsia="宋体" w:cs="Times New Roman"/>
          <w:spacing w:val="0"/>
          <w:sz w:val="21"/>
          <w:lang w:val="en-US" w:eastAsia="zh-CN"/>
        </w:rPr>
        <w:t>与行业生产安全管控相关：整体反映有色金属行业生产安全风险防控、事故隐患排查治理及应急处置的未公开数据；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spacing w:val="0"/>
          <w:sz w:val="21"/>
          <w:lang w:val="en-US" w:eastAsia="zh-CN"/>
        </w:rPr>
      </w:pPr>
      <w:r>
        <w:rPr>
          <w:rFonts w:hint="eastAsia" w:ascii="Times New Roman" w:hAnsi="Times New Roman" w:eastAsia="宋体" w:cs="Times New Roman"/>
          <w:spacing w:val="0"/>
          <w:sz w:val="21"/>
          <w:lang w:val="en-US" w:eastAsia="zh-CN"/>
        </w:rPr>
        <w:t>与行业供应链安全相关：涉及影响</w:t>
      </w:r>
      <w:r>
        <w:rPr>
          <w:rFonts w:hint="eastAsia" w:cs="Times New Roman"/>
          <w:spacing w:val="0"/>
          <w:sz w:val="21"/>
          <w:lang w:val="en-US" w:eastAsia="zh-CN"/>
        </w:rPr>
        <w:t>行业</w:t>
      </w:r>
      <w:r>
        <w:rPr>
          <w:rFonts w:hint="eastAsia" w:ascii="Times New Roman" w:hAnsi="Times New Roman" w:eastAsia="宋体" w:cs="Times New Roman"/>
          <w:spacing w:val="0"/>
          <w:sz w:val="21"/>
          <w:lang w:val="en-US" w:eastAsia="zh-CN"/>
        </w:rPr>
        <w:t>供应链安全的组件、软件和设备的销售、使用、运行、维护等相关数据，以及</w:t>
      </w:r>
      <w:r>
        <w:rPr>
          <w:rFonts w:hint="eastAsia" w:cs="Times New Roman"/>
          <w:spacing w:val="0"/>
          <w:sz w:val="21"/>
          <w:lang w:val="en-US" w:eastAsia="zh-CN"/>
        </w:rPr>
        <w:t>未公开的</w:t>
      </w:r>
      <w:r>
        <w:rPr>
          <w:rFonts w:hint="eastAsia" w:ascii="Times New Roman" w:hAnsi="Times New Roman" w:eastAsia="宋体" w:cs="Times New Roman"/>
          <w:spacing w:val="0"/>
          <w:sz w:val="21"/>
          <w:lang w:val="en-US" w:eastAsia="zh-CN"/>
        </w:rPr>
        <w:t>行业供需情况、价格趋势、供应商及用户分布情况等数据；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spacing w:val="0"/>
          <w:sz w:val="21"/>
          <w:lang w:val="en-US" w:eastAsia="zh-CN"/>
        </w:rPr>
      </w:pPr>
      <w:r>
        <w:rPr>
          <w:rFonts w:hint="default" w:ascii="Times New Roman" w:hAnsi="Times New Roman" w:eastAsia="宋体" w:cs="Times New Roman"/>
          <w:spacing w:val="0"/>
          <w:sz w:val="21"/>
          <w:lang w:val="en-US" w:eastAsia="zh-CN"/>
        </w:rPr>
        <w:t>与军工</w:t>
      </w:r>
      <w:r>
        <w:rPr>
          <w:rFonts w:hint="eastAsia" w:cs="Times New Roman"/>
          <w:spacing w:val="0"/>
          <w:sz w:val="21"/>
          <w:lang w:val="en-US" w:eastAsia="zh-CN"/>
        </w:rPr>
        <w:t>等特种领域</w:t>
      </w:r>
      <w:r>
        <w:rPr>
          <w:rFonts w:hint="default" w:ascii="Times New Roman" w:hAnsi="Times New Roman" w:eastAsia="宋体" w:cs="Times New Roman"/>
          <w:spacing w:val="0"/>
          <w:sz w:val="21"/>
          <w:lang w:val="en-US" w:eastAsia="zh-CN"/>
        </w:rPr>
        <w:t>相关</w:t>
      </w:r>
      <w:r>
        <w:rPr>
          <w:rFonts w:hint="eastAsia" w:cs="Times New Roman"/>
          <w:spacing w:val="0"/>
          <w:sz w:val="21"/>
          <w:lang w:val="en-US" w:eastAsia="zh-CN"/>
        </w:rPr>
        <w:t>：涉及军工</w:t>
      </w:r>
      <w:r>
        <w:rPr>
          <w:rFonts w:hint="default" w:ascii="Times New Roman" w:hAnsi="Times New Roman" w:eastAsia="宋体" w:cs="Times New Roman"/>
          <w:spacing w:val="0"/>
          <w:sz w:val="21"/>
          <w:lang w:val="en-US" w:eastAsia="zh-CN"/>
        </w:rPr>
        <w:t>配套任务</w:t>
      </w:r>
      <w:r>
        <w:rPr>
          <w:rFonts w:hint="eastAsia" w:cs="Times New Roman"/>
          <w:spacing w:val="0"/>
          <w:sz w:val="21"/>
          <w:lang w:val="en-US" w:eastAsia="zh-CN"/>
        </w:rPr>
        <w:t>（不涉密）的交付能力</w:t>
      </w:r>
      <w:r>
        <w:rPr>
          <w:rFonts w:hint="default" w:ascii="Times New Roman" w:hAnsi="Times New Roman" w:eastAsia="宋体" w:cs="Times New Roman"/>
          <w:spacing w:val="0"/>
          <w:sz w:val="21"/>
          <w:lang w:val="en-US" w:eastAsia="zh-CN"/>
        </w:rPr>
        <w:t>、材料型号规格、</w:t>
      </w:r>
      <w:r>
        <w:rPr>
          <w:rFonts w:hint="eastAsia" w:cs="Times New Roman"/>
          <w:spacing w:val="0"/>
          <w:sz w:val="21"/>
          <w:lang w:val="en-US" w:eastAsia="zh-CN"/>
        </w:rPr>
        <w:t>研发</w:t>
      </w:r>
      <w:r>
        <w:rPr>
          <w:rFonts w:hint="default" w:ascii="Times New Roman" w:hAnsi="Times New Roman" w:eastAsia="宋体" w:cs="Times New Roman"/>
          <w:spacing w:val="0"/>
          <w:sz w:val="21"/>
          <w:lang w:val="en-US" w:eastAsia="zh-CN"/>
        </w:rPr>
        <w:t>试验等数据</w:t>
      </w:r>
      <w:r>
        <w:rPr>
          <w:rFonts w:hint="eastAsia" w:cs="Times New Roman"/>
          <w:spacing w:val="0"/>
          <w:sz w:val="21"/>
          <w:lang w:val="en-US" w:eastAsia="zh-CN"/>
        </w:rPr>
        <w:t>（</w:t>
      </w:r>
      <w:r>
        <w:rPr>
          <w:rFonts w:hint="default" w:ascii="Times New Roman" w:hAnsi="Times New Roman" w:eastAsia="宋体" w:cs="Times New Roman"/>
          <w:spacing w:val="0"/>
          <w:sz w:val="21"/>
          <w:lang w:val="en-US" w:eastAsia="zh-CN"/>
        </w:rPr>
        <w:t>涉及国家秘密的，</w:t>
      </w:r>
      <w:r>
        <w:rPr>
          <w:rFonts w:hint="eastAsia" w:cs="Times New Roman"/>
          <w:spacing w:val="0"/>
          <w:sz w:val="21"/>
          <w:lang w:val="en-US" w:eastAsia="zh-CN"/>
        </w:rPr>
        <w:t>依据</w:t>
      </w:r>
      <w:r>
        <w:rPr>
          <w:rFonts w:hint="default" w:ascii="Times New Roman" w:hAnsi="Times New Roman" w:eastAsia="宋体" w:cs="Times New Roman"/>
          <w:spacing w:val="0"/>
          <w:sz w:val="21"/>
          <w:lang w:val="en-US" w:eastAsia="zh-CN"/>
        </w:rPr>
        <w:t>《中华人民共和国保守国家秘密法》等法律、行政法规</w:t>
      </w:r>
      <w:r>
        <w:rPr>
          <w:rFonts w:hint="eastAsia" w:cs="Times New Roman"/>
          <w:spacing w:val="0"/>
          <w:sz w:val="21"/>
          <w:lang w:val="en-US" w:eastAsia="zh-CN"/>
        </w:rPr>
        <w:t>进行管理）；</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spacing w:val="0"/>
          <w:sz w:val="21"/>
          <w:lang w:val="en-US" w:eastAsia="zh-CN"/>
        </w:rPr>
      </w:pPr>
      <w:r>
        <w:rPr>
          <w:rFonts w:hint="eastAsia" w:ascii="Times New Roman" w:hAnsi="Times New Roman" w:eastAsia="宋体" w:cs="Times New Roman"/>
          <w:spacing w:val="0"/>
          <w:sz w:val="21"/>
          <w:lang w:val="en-US" w:eastAsia="zh-CN"/>
        </w:rPr>
        <w:t>与行业经济运行相关：整体反映有色金属行业生产经营情况的未公开的</w:t>
      </w:r>
      <w:r>
        <w:rPr>
          <w:rFonts w:hint="eastAsia" w:cs="Times New Roman"/>
          <w:spacing w:val="0"/>
          <w:sz w:val="21"/>
          <w:lang w:val="en-US" w:eastAsia="zh-CN"/>
        </w:rPr>
        <w:t>经济</w:t>
      </w:r>
      <w:r>
        <w:rPr>
          <w:rFonts w:hint="eastAsia" w:ascii="Times New Roman" w:hAnsi="Times New Roman" w:eastAsia="宋体" w:cs="Times New Roman"/>
          <w:spacing w:val="0"/>
          <w:sz w:val="21"/>
          <w:lang w:val="en-US" w:eastAsia="zh-CN"/>
        </w:rPr>
        <w:t>分析数据；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spacing w:val="0"/>
          <w:sz w:val="21"/>
          <w:lang w:val="en-US" w:eastAsia="zh-CN"/>
        </w:rPr>
      </w:pPr>
      <w:r>
        <w:rPr>
          <w:rFonts w:hint="eastAsia" w:ascii="Times New Roman" w:hAnsi="Times New Roman" w:eastAsia="宋体" w:cs="Times New Roman"/>
          <w:spacing w:val="0"/>
          <w:sz w:val="21"/>
          <w:lang w:val="en-US" w:eastAsia="zh-CN"/>
        </w:rPr>
        <w:t>与行业绿色发展相关：整体反映有色金属行业能源资源消耗、碳排放情况</w:t>
      </w:r>
      <w:r>
        <w:rPr>
          <w:rFonts w:hint="eastAsia" w:cs="Times New Roman"/>
          <w:spacing w:val="0"/>
          <w:sz w:val="21"/>
          <w:lang w:val="en-US" w:eastAsia="zh-CN"/>
        </w:rPr>
        <w:t>等</w:t>
      </w:r>
      <w:r>
        <w:rPr>
          <w:rFonts w:hint="eastAsia" w:ascii="Times New Roman" w:hAnsi="Times New Roman" w:eastAsia="宋体" w:cs="Times New Roman"/>
          <w:spacing w:val="0"/>
          <w:sz w:val="21"/>
          <w:lang w:val="en-US" w:eastAsia="zh-CN"/>
        </w:rPr>
        <w:t>未公开</w:t>
      </w:r>
      <w:r>
        <w:rPr>
          <w:rFonts w:hint="eastAsia" w:cs="Times New Roman"/>
          <w:spacing w:val="0"/>
          <w:sz w:val="21"/>
          <w:lang w:val="en-US" w:eastAsia="zh-CN"/>
        </w:rPr>
        <w:t>的</w:t>
      </w:r>
      <w:r>
        <w:rPr>
          <w:rFonts w:hint="eastAsia" w:ascii="Times New Roman" w:hAnsi="Times New Roman" w:eastAsia="宋体" w:cs="Times New Roman"/>
          <w:spacing w:val="0"/>
          <w:sz w:val="21"/>
          <w:lang w:val="en-US" w:eastAsia="zh-CN"/>
        </w:rPr>
        <w:t>数据</w:t>
      </w:r>
      <w:r>
        <w:rPr>
          <w:rFonts w:hint="eastAsia" w:cs="Times New Roman"/>
          <w:spacing w:val="0"/>
          <w:sz w:val="21"/>
          <w:lang w:val="en-US" w:eastAsia="zh-CN"/>
        </w:rPr>
        <w:t>，以及未公开的污染源管控、污染物处理等先进工艺方法</w:t>
      </w:r>
      <w:r>
        <w:rPr>
          <w:rFonts w:hint="eastAsia" w:ascii="Times New Roman" w:hAnsi="Times New Roman" w:eastAsia="宋体" w:cs="Times New Roman"/>
          <w:spacing w:val="0"/>
          <w:sz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6.3.5 与工业领域出口管制物项相关</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有色金属行业出口管制物项涉及的核心技术、设计方案、生产工艺、制件方法、源代码等数据。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6.3.6 与行业经济效益和产业保障相关</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有色金属采选、冶炼、加工环节的原料渠道、物料储备、工厂设置、销售去向等涉及敏感领域，或可能严重影响行业经济效益、影响国家战略性矿产资源安全和产业保障的数据。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6.3.7 其他</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spacing w:val="0"/>
          <w:sz w:val="21"/>
          <w:lang w:val="en-US" w:eastAsia="zh-CN"/>
        </w:rPr>
      </w:pPr>
      <w:r>
        <w:rPr>
          <w:rFonts w:hint="eastAsia" w:ascii="宋体" w:hAnsi="宋体" w:eastAsia="宋体" w:cs="Times New Roman"/>
          <w:spacing w:val="0"/>
          <w:sz w:val="21"/>
          <w:lang w:val="en-US" w:eastAsia="zh-CN"/>
        </w:rPr>
        <w:t>其他满足下列条件之一的数据属于重要数据：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default"/>
          <w:spacing w:val="0"/>
          <w:sz w:val="21"/>
          <w:lang w:val="en-US" w:eastAsia="zh-CN"/>
        </w:rPr>
        <w:t>易引发重大生产安全事故或突发环境事件，或易造成巨大直接经济损失的数据；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eastAsia"/>
          <w:spacing w:val="0"/>
          <w:sz w:val="21"/>
          <w:lang w:val="en-US" w:eastAsia="zh-CN"/>
        </w:rPr>
        <w:t>引发的级联效应明显，影响范围涉及多个行业、区域或者行业内多个企业，或者影响持续时间长，对行业发展、技术进步和产业生态造成严重影响的数据；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default"/>
          <w:spacing w:val="0"/>
          <w:sz w:val="21"/>
          <w:lang w:val="en-US" w:eastAsia="zh-CN"/>
        </w:rPr>
        <w:t>恢复工业数据或消除负面影响需付出巨大代价</w:t>
      </w:r>
      <w:r>
        <w:rPr>
          <w:rFonts w:hint="eastAsia"/>
          <w:spacing w:val="0"/>
          <w:sz w:val="21"/>
          <w:lang w:val="en-US" w:eastAsia="zh-CN"/>
        </w:rPr>
        <w:t>的数据；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eastAsia"/>
          <w:spacing w:val="0"/>
          <w:sz w:val="21"/>
          <w:lang w:val="en-US" w:eastAsia="zh-CN"/>
        </w:rPr>
        <w:t>收集和产生的达到10万人以上量级或影响特定群体的个人信息</w:t>
      </w:r>
      <w:r>
        <w:rPr>
          <w:rFonts w:hint="eastAsia" w:ascii="Helvetica" w:hAnsi="Helvetica" w:eastAsia="宋体" w:cs="Helvetica"/>
          <w:i w:val="0"/>
          <w:iCs w:val="0"/>
          <w:caps w:val="0"/>
          <w:color w:val="060607"/>
          <w:spacing w:val="0"/>
          <w:sz w:val="21"/>
          <w:szCs w:val="21"/>
          <w:shd w:val="clear" w:fill="FFFFFF"/>
          <w:lang w:val="en-US" w:eastAsia="zh-CN"/>
        </w:rPr>
        <w:t>；</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default"/>
          <w:spacing w:val="0"/>
          <w:sz w:val="21"/>
          <w:lang w:val="en-US" w:eastAsia="zh-CN"/>
        </w:rPr>
        <w:t>经汇聚分析后可得到符合6.3.2-6.3.7任意一个识别维度的</w:t>
      </w:r>
      <w:r>
        <w:rPr>
          <w:rFonts w:hint="eastAsia"/>
          <w:spacing w:val="0"/>
          <w:sz w:val="21"/>
          <w:lang w:val="en-US" w:eastAsia="zh-CN"/>
        </w:rPr>
        <w:t>衍生</w:t>
      </w:r>
      <w:r>
        <w:rPr>
          <w:rFonts w:hint="default"/>
          <w:spacing w:val="0"/>
          <w:sz w:val="21"/>
          <w:lang w:val="en-US" w:eastAsia="zh-CN"/>
        </w:rPr>
        <w:t>数据</w:t>
      </w:r>
      <w:r>
        <w:rPr>
          <w:rFonts w:hint="eastAsia" w:ascii="Helvetica" w:hAnsi="Helvetica" w:eastAsia="宋体" w:cs="Helvetica"/>
          <w:i w:val="0"/>
          <w:iCs w:val="0"/>
          <w:caps w:val="0"/>
          <w:color w:val="060607"/>
          <w:spacing w:val="0"/>
          <w:sz w:val="21"/>
          <w:szCs w:val="21"/>
          <w:shd w:val="clear" w:fill="FFFFFF"/>
          <w:lang w:val="en-US" w:eastAsia="zh-CN"/>
        </w:rPr>
        <w:t>；</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spacing w:val="0"/>
          <w:sz w:val="21"/>
          <w:lang w:val="en-US" w:eastAsia="zh-CN"/>
        </w:rPr>
      </w:pPr>
      <w:r>
        <w:rPr>
          <w:rFonts w:hint="eastAsia"/>
          <w:spacing w:val="0"/>
          <w:sz w:val="21"/>
          <w:lang w:val="en-US" w:eastAsia="zh-CN"/>
        </w:rPr>
        <w:t>经有色金属行业监管部门评估确定的其他重要数据。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黑体" w:hAnsi="黑体" w:cs="黑体"/>
          <w:b w:val="0"/>
          <w:bCs w:val="0"/>
          <w:lang w:val="en-US" w:eastAsia="zh-CN"/>
        </w:rPr>
      </w:pPr>
      <w:r>
        <w:rPr>
          <w:rFonts w:hint="eastAsia" w:ascii="黑体" w:hAnsi="黑体" w:cs="黑体"/>
          <w:b w:val="0"/>
          <w:bCs w:val="0"/>
          <w:lang w:val="en-US" w:eastAsia="zh-CN"/>
        </w:rPr>
        <w:t>6.4 综合确定级别</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pacing w:val="0"/>
          <w:sz w:val="21"/>
          <w:szCs w:val="21"/>
          <w:lang w:val="en-US" w:eastAsia="zh-CN"/>
        </w:rPr>
      </w:pPr>
      <w:r>
        <w:rPr>
          <w:rFonts w:hint="eastAsia" w:cs="宋体"/>
          <w:spacing w:val="0"/>
          <w:sz w:val="21"/>
          <w:szCs w:val="21"/>
          <w:lang w:val="en-US" w:eastAsia="zh-CN"/>
        </w:rPr>
        <w:t>确定工业数据分级对象后，依据6.3</w:t>
      </w:r>
      <w:r>
        <w:rPr>
          <w:rFonts w:hint="eastAsia" w:ascii="宋体" w:hAnsi="宋体" w:eastAsia="宋体" w:cs="宋体"/>
          <w:spacing w:val="0"/>
          <w:sz w:val="21"/>
          <w:szCs w:val="21"/>
          <w:lang w:val="en-US" w:eastAsia="zh-CN"/>
        </w:rPr>
        <w:t>分析数据影响</w:t>
      </w:r>
      <w:r>
        <w:rPr>
          <w:rFonts w:hint="eastAsia" w:cs="宋体"/>
          <w:spacing w:val="0"/>
          <w:sz w:val="21"/>
          <w:szCs w:val="21"/>
          <w:lang w:val="en-US" w:eastAsia="zh-CN"/>
        </w:rPr>
        <w:t>对象和危害程度</w:t>
      </w:r>
      <w:r>
        <w:rPr>
          <w:rFonts w:hint="eastAsia" w:ascii="宋体" w:hAnsi="宋体" w:eastAsia="宋体" w:cs="宋体"/>
          <w:spacing w:val="0"/>
          <w:sz w:val="21"/>
          <w:szCs w:val="21"/>
          <w:lang w:val="en-US" w:eastAsia="zh-CN"/>
        </w:rPr>
        <w:t>，</w:t>
      </w:r>
      <w:r>
        <w:rPr>
          <w:rFonts w:hint="eastAsia" w:cs="宋体"/>
          <w:spacing w:val="0"/>
          <w:sz w:val="21"/>
          <w:szCs w:val="21"/>
          <w:lang w:val="en-US" w:eastAsia="zh-CN"/>
        </w:rPr>
        <w:t>完成重要数据识别，</w:t>
      </w:r>
      <w:r>
        <w:rPr>
          <w:rFonts w:hint="eastAsia" w:ascii="宋体" w:hAnsi="宋体" w:eastAsia="宋体" w:cs="宋体"/>
          <w:spacing w:val="0"/>
          <w:sz w:val="21"/>
          <w:szCs w:val="21"/>
          <w:lang w:val="en-US" w:eastAsia="zh-CN"/>
        </w:rPr>
        <w:t>综合以下规则确定数据级别：</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spacing w:val="0"/>
          <w:sz w:val="21"/>
          <w:szCs w:val="21"/>
        </w:rPr>
      </w:pPr>
      <w:r>
        <w:rPr>
          <w:rFonts w:hint="eastAsia" w:ascii="宋体" w:hAnsi="宋体" w:cs="宋体"/>
          <w:i w:val="0"/>
          <w:iCs w:val="0"/>
          <w:caps w:val="0"/>
          <w:color w:val="060607"/>
          <w:spacing w:val="0"/>
          <w:sz w:val="21"/>
          <w:szCs w:val="21"/>
          <w:shd w:val="clear" w:fill="FFFFFF"/>
          <w:lang w:val="en-US" w:eastAsia="zh-CN"/>
        </w:rPr>
        <w:t>重要数据：符合或经汇聚分析后符合6.3.2-6.3.7任意一个识别维度的数据属于重要数据</w:t>
      </w:r>
      <w:r>
        <w:rPr>
          <w:rStyle w:val="12"/>
          <w:rFonts w:hint="eastAsia" w:ascii="Helvetica" w:hAnsi="Helvetica" w:eastAsia="Helvetica" w:cs="Helvetica"/>
          <w:b w:val="0"/>
          <w:bCs w:val="0"/>
          <w:i w:val="0"/>
          <w:iCs w:val="0"/>
          <w:caps w:val="0"/>
          <w:color w:val="060607"/>
          <w:spacing w:val="0"/>
          <w:kern w:val="0"/>
          <w:sz w:val="21"/>
          <w:szCs w:val="21"/>
          <w:shd w:val="clear" w:fill="FFFFFF"/>
          <w:vertAlign w:val="baseline"/>
          <w:lang w:val="en-US" w:eastAsia="zh-CN" w:bidi="ar"/>
        </w:rPr>
        <w:t>，典型场景重要数据识别示例</w:t>
      </w:r>
      <w:r>
        <w:rPr>
          <w:rFonts w:hint="eastAsia" w:ascii="宋体" w:hAnsi="宋体" w:eastAsia="宋体" w:cs="宋体"/>
          <w:spacing w:val="0"/>
          <w:sz w:val="21"/>
          <w:szCs w:val="21"/>
          <w:lang w:val="en-US" w:eastAsia="zh-CN"/>
        </w:rPr>
        <w:t>见附录</w:t>
      </w:r>
      <w:r>
        <w:rPr>
          <w:rFonts w:hint="eastAsia" w:cs="宋体"/>
          <w:spacing w:val="0"/>
          <w:sz w:val="21"/>
          <w:szCs w:val="21"/>
          <w:lang w:val="en-US" w:eastAsia="zh-CN"/>
        </w:rPr>
        <w:t>A</w:t>
      </w:r>
      <w:r>
        <w:rPr>
          <w:rFonts w:hint="eastAsia" w:ascii="宋体" w:hAnsi="宋体" w:cs="宋体"/>
          <w:spacing w:val="0"/>
          <w:sz w:val="21"/>
          <w:szCs w:val="21"/>
          <w:lang w:val="en-US" w:eastAsia="zh-CN"/>
        </w:rPr>
        <w:t>；</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0"/>
          <w:sz w:val="21"/>
          <w:szCs w:val="21"/>
          <w:shd w:val="clear" w:fill="FFFFFF"/>
          <w:lang w:val="en-US" w:eastAsia="zh-CN"/>
        </w:rPr>
      </w:pPr>
      <w:r>
        <w:rPr>
          <w:rFonts w:hint="eastAsia" w:ascii="宋体" w:hAnsi="宋体" w:eastAsia="宋体" w:cs="宋体"/>
          <w:i w:val="0"/>
          <w:iCs w:val="0"/>
          <w:caps w:val="0"/>
          <w:color w:val="060607"/>
          <w:spacing w:val="0"/>
          <w:sz w:val="21"/>
          <w:szCs w:val="21"/>
          <w:shd w:val="clear" w:fill="FFFFFF"/>
          <w:lang w:val="en-US" w:eastAsia="zh-CN"/>
        </w:rPr>
        <w:t>核心数据：在重要数据范围内，对国家战略保障造成直接危害或重大风险，或易引发特别重大生产安全事故</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特别重大质量事故或突发环境事件，或造成直接经济损失特别巨大的重要数据识别为核心数据</w:t>
      </w:r>
      <w:r>
        <w:rPr>
          <w:rFonts w:hint="eastAsia" w:ascii="宋体" w:hAnsi="宋体" w:cs="宋体"/>
          <w:spacing w:val="0"/>
          <w:sz w:val="21"/>
          <w:szCs w:val="21"/>
          <w:lang w:val="en-US" w:eastAsia="zh-CN"/>
        </w:rPr>
        <w:t>；</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0"/>
          <w:sz w:val="21"/>
          <w:szCs w:val="21"/>
          <w:shd w:val="clear" w:fill="FFFFFF"/>
          <w:lang w:val="en-US" w:eastAsia="zh-CN"/>
        </w:rPr>
      </w:pPr>
      <w:r>
        <w:rPr>
          <w:rFonts w:hint="eastAsia" w:ascii="宋体" w:hAnsi="宋体" w:eastAsia="宋体" w:cs="宋体"/>
          <w:i w:val="0"/>
          <w:iCs w:val="0"/>
          <w:caps w:val="0"/>
          <w:color w:val="060607"/>
          <w:spacing w:val="0"/>
          <w:sz w:val="21"/>
          <w:szCs w:val="21"/>
          <w:shd w:val="clear" w:fill="FFFFFF"/>
          <w:lang w:val="en-US" w:eastAsia="zh-CN"/>
        </w:rPr>
        <w:t>一般数据：未识别为核心数据、重要数据的其他数据</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确定为一般数据；</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0"/>
          <w:sz w:val="21"/>
          <w:szCs w:val="21"/>
          <w:shd w:val="clear" w:fill="FFFFFF"/>
          <w:lang w:val="en-US" w:eastAsia="zh-CN"/>
        </w:rPr>
      </w:pPr>
      <w:r>
        <w:rPr>
          <w:rFonts w:hint="eastAsia" w:ascii="宋体" w:hAnsi="宋体" w:eastAsia="宋体" w:cs="宋体"/>
          <w:i w:val="0"/>
          <w:iCs w:val="0"/>
          <w:caps w:val="0"/>
          <w:color w:val="060607"/>
          <w:spacing w:val="0"/>
          <w:sz w:val="21"/>
          <w:szCs w:val="21"/>
          <w:shd w:val="clear" w:fill="FFFFFF"/>
          <w:lang w:val="en-US" w:eastAsia="zh-CN"/>
        </w:rPr>
        <w:t>如待分级数据涉及多个要素、多个影响对象</w:t>
      </w:r>
      <w:r>
        <w:rPr>
          <w:rFonts w:hint="eastAsia" w:ascii="宋体" w:hAnsi="宋体" w:cs="宋体"/>
          <w:i w:val="0"/>
          <w:iCs w:val="0"/>
          <w:caps w:val="0"/>
          <w:color w:val="060607"/>
          <w:spacing w:val="0"/>
          <w:sz w:val="21"/>
          <w:szCs w:val="21"/>
          <w:shd w:val="clear" w:fill="FFFFFF"/>
          <w:lang w:val="en-US" w:eastAsia="zh-CN"/>
        </w:rPr>
        <w:t>和</w:t>
      </w:r>
      <w:r>
        <w:rPr>
          <w:rFonts w:hint="eastAsia" w:cs="宋体"/>
          <w:spacing w:val="0"/>
          <w:sz w:val="21"/>
          <w:szCs w:val="21"/>
          <w:lang w:val="en-US" w:eastAsia="zh-CN"/>
        </w:rPr>
        <w:t>危害</w:t>
      </w:r>
      <w:r>
        <w:rPr>
          <w:rFonts w:hint="eastAsia" w:ascii="宋体" w:hAnsi="宋体" w:eastAsia="宋体" w:cs="宋体"/>
          <w:i w:val="0"/>
          <w:iCs w:val="0"/>
          <w:caps w:val="0"/>
          <w:color w:val="060607"/>
          <w:spacing w:val="0"/>
          <w:sz w:val="21"/>
          <w:szCs w:val="21"/>
          <w:shd w:val="clear" w:fill="FFFFFF"/>
          <w:lang w:val="en-US" w:eastAsia="zh-CN"/>
        </w:rPr>
        <w:t>程度</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应按照</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就高从严</w:t>
      </w:r>
      <w:r>
        <w:rPr>
          <w:rFonts w:hint="eastAsia" w:ascii="宋体" w:hAnsi="宋体" w:cs="宋体"/>
          <w:i w:val="0"/>
          <w:iCs w:val="0"/>
          <w:caps w:val="0"/>
          <w:color w:val="060607"/>
          <w:spacing w:val="0"/>
          <w:sz w:val="21"/>
          <w:szCs w:val="21"/>
          <w:shd w:val="clear" w:fill="FFFFFF"/>
          <w:lang w:val="en-US" w:eastAsia="zh-CN"/>
        </w:rPr>
        <w:t>”的</w:t>
      </w:r>
      <w:r>
        <w:rPr>
          <w:rFonts w:hint="eastAsia" w:ascii="宋体" w:hAnsi="宋体" w:eastAsia="宋体" w:cs="宋体"/>
          <w:i w:val="0"/>
          <w:iCs w:val="0"/>
          <w:caps w:val="0"/>
          <w:color w:val="060607"/>
          <w:spacing w:val="0"/>
          <w:sz w:val="21"/>
          <w:szCs w:val="21"/>
          <w:shd w:val="clear" w:fill="FFFFFF"/>
          <w:lang w:val="en-US" w:eastAsia="zh-CN"/>
        </w:rPr>
        <w:t>原则确定数据级别；</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0"/>
          <w:sz w:val="21"/>
          <w:szCs w:val="21"/>
          <w:shd w:val="clear" w:fill="FFFFFF"/>
          <w:lang w:val="en-US" w:eastAsia="zh-CN"/>
        </w:rPr>
      </w:pPr>
      <w:r>
        <w:rPr>
          <w:rFonts w:hint="eastAsia" w:ascii="宋体" w:hAnsi="宋体" w:eastAsia="宋体" w:cs="宋体"/>
          <w:i w:val="0"/>
          <w:iCs w:val="0"/>
          <w:caps w:val="0"/>
          <w:color w:val="060607"/>
          <w:spacing w:val="0"/>
          <w:sz w:val="21"/>
          <w:szCs w:val="21"/>
          <w:shd w:val="clear" w:fill="FFFFFF"/>
          <w:lang w:val="en-US" w:eastAsia="zh-CN"/>
        </w:rPr>
        <w:t>应建立定期复核机制，每年或重大变更后对已识别的重要数据进行再评估</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根据数据重要程度和可能造成的危害程度的变化</w:t>
      </w:r>
      <w:r>
        <w:rPr>
          <w:rFonts w:hint="eastAsia" w:ascii="宋体" w:hAnsi="宋体" w:cs="宋体"/>
          <w:i w:val="0"/>
          <w:iCs w:val="0"/>
          <w:caps w:val="0"/>
          <w:color w:val="060607"/>
          <w:spacing w:val="0"/>
          <w:sz w:val="21"/>
          <w:szCs w:val="21"/>
          <w:shd w:val="clear" w:fill="FFFFFF"/>
          <w:lang w:val="en-US" w:eastAsia="zh-CN"/>
        </w:rPr>
        <w:t>，</w:t>
      </w:r>
      <w:r>
        <w:rPr>
          <w:rFonts w:hint="eastAsia" w:ascii="宋体" w:hAnsi="宋体" w:eastAsia="宋体" w:cs="宋体"/>
          <w:i w:val="0"/>
          <w:iCs w:val="0"/>
          <w:caps w:val="0"/>
          <w:color w:val="060607"/>
          <w:spacing w:val="0"/>
          <w:sz w:val="21"/>
          <w:szCs w:val="21"/>
          <w:shd w:val="clear" w:fill="FFFFFF"/>
          <w:lang w:val="en-US" w:eastAsia="zh-CN"/>
        </w:rPr>
        <w:t>对数据级别进行动态更新。</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outlineLvl w:val="0"/>
        <w:rPr>
          <w:rFonts w:hint="eastAsia" w:cs="Times New Roman"/>
          <w:b w:val="0"/>
          <w:bCs/>
          <w:lang w:val="en-US" w:eastAsia="zh-CN"/>
        </w:rPr>
      </w:pPr>
      <w:r>
        <w:rPr>
          <w:rFonts w:hint="eastAsia" w:cs="Times New Roman"/>
          <w:b w:val="0"/>
          <w:bCs/>
          <w:lang w:val="en-US" w:eastAsia="zh-CN"/>
        </w:rPr>
        <w:t>7  数据分类分级流程</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7.1 概述</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有色金属行业企业作为工业数据处理者，可按照数据资产梳理、重要数据识别、内部审批、重要数据目录备案四个阶段开展数据分类分级工作</w:t>
      </w:r>
      <w:r>
        <w:rPr>
          <w:rFonts w:hint="eastAsia" w:cs="宋体"/>
          <w:sz w:val="21"/>
          <w:szCs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7.2 数据资产梳理</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组织相关数据</w:t>
      </w:r>
      <w:r>
        <w:rPr>
          <w:rFonts w:hint="eastAsia" w:cs="宋体"/>
          <w:sz w:val="21"/>
          <w:szCs w:val="21"/>
          <w:lang w:val="en-US" w:eastAsia="zh-CN"/>
        </w:rPr>
        <w:t>归</w:t>
      </w:r>
      <w:r>
        <w:rPr>
          <w:rFonts w:hint="eastAsia" w:ascii="宋体" w:hAnsi="宋体" w:eastAsia="宋体" w:cs="宋体"/>
          <w:sz w:val="21"/>
          <w:szCs w:val="21"/>
          <w:lang w:val="en-US" w:eastAsia="zh-CN"/>
        </w:rPr>
        <w:t>属部门（如研发、生产、运维部门等），梳理盘点数据资产，</w:t>
      </w:r>
      <w:r>
        <w:rPr>
          <w:rFonts w:hint="eastAsia" w:cs="宋体"/>
          <w:sz w:val="21"/>
          <w:szCs w:val="21"/>
          <w:lang w:val="en-US" w:eastAsia="zh-CN"/>
        </w:rPr>
        <w:t>先</w:t>
      </w:r>
      <w:r>
        <w:rPr>
          <w:rFonts w:hint="eastAsia" w:ascii="宋体" w:hAnsi="宋体" w:eastAsia="宋体" w:cs="宋体"/>
          <w:sz w:val="21"/>
          <w:szCs w:val="21"/>
          <w:lang w:val="en-US" w:eastAsia="zh-CN"/>
        </w:rPr>
        <w:t>分类</w:t>
      </w:r>
      <w:r>
        <w:rPr>
          <w:rFonts w:hint="eastAsia" w:cs="宋体"/>
          <w:sz w:val="21"/>
          <w:szCs w:val="21"/>
          <w:lang w:val="en-US" w:eastAsia="zh-CN"/>
        </w:rPr>
        <w:t>再</w:t>
      </w:r>
      <w:r>
        <w:rPr>
          <w:rFonts w:hint="eastAsia" w:ascii="宋体" w:hAnsi="宋体" w:eastAsia="宋体" w:cs="宋体"/>
          <w:sz w:val="21"/>
          <w:szCs w:val="21"/>
          <w:lang w:val="en-US" w:eastAsia="zh-CN"/>
        </w:rPr>
        <w:t>分级</w:t>
      </w:r>
      <w:r>
        <w:rPr>
          <w:rFonts w:hint="eastAsia" w:cs="宋体"/>
          <w:sz w:val="21"/>
          <w:szCs w:val="21"/>
          <w:lang w:val="en-US" w:eastAsia="zh-CN"/>
        </w:rPr>
        <w:t>，对涉及国家秘密的数据</w:t>
      </w:r>
      <w:r>
        <w:rPr>
          <w:rFonts w:hint="eastAsia" w:cs="Times New Roman"/>
          <w:spacing w:val="0"/>
          <w:sz w:val="21"/>
          <w:lang w:val="en-US" w:eastAsia="zh-CN"/>
        </w:rPr>
        <w:t>依据</w:t>
      </w:r>
      <w:r>
        <w:rPr>
          <w:rFonts w:hint="default" w:ascii="Times New Roman" w:hAnsi="Times New Roman" w:eastAsia="宋体" w:cs="Times New Roman"/>
          <w:spacing w:val="0"/>
          <w:sz w:val="21"/>
          <w:lang w:val="en-US" w:eastAsia="zh-CN"/>
        </w:rPr>
        <w:t>《中华人民共和国保守国家秘密法》等法律、行政法规</w:t>
      </w:r>
      <w:r>
        <w:rPr>
          <w:rFonts w:hint="eastAsia" w:cs="Times New Roman"/>
          <w:spacing w:val="0"/>
          <w:sz w:val="21"/>
          <w:lang w:val="en-US" w:eastAsia="zh-CN"/>
        </w:rPr>
        <w:t>进行管理</w:t>
      </w:r>
      <w:r>
        <w:rPr>
          <w:rFonts w:hint="eastAsia" w:cs="宋体"/>
          <w:sz w:val="21"/>
          <w:szCs w:val="21"/>
          <w:lang w:val="en-US" w:eastAsia="zh-CN"/>
        </w:rPr>
        <w:t>，</w:t>
      </w:r>
      <w:r>
        <w:rPr>
          <w:rFonts w:hint="eastAsia" w:ascii="宋体" w:hAnsi="宋体" w:eastAsia="宋体" w:cs="宋体"/>
          <w:sz w:val="21"/>
          <w:szCs w:val="21"/>
          <w:lang w:val="en-US" w:eastAsia="zh-CN"/>
        </w:rPr>
        <w:t>对</w:t>
      </w:r>
      <w:r>
        <w:rPr>
          <w:rFonts w:hint="eastAsia" w:cs="宋体"/>
          <w:sz w:val="21"/>
          <w:szCs w:val="21"/>
          <w:lang w:val="en-US" w:eastAsia="zh-CN"/>
        </w:rPr>
        <w:t>不涉及国家秘密的</w:t>
      </w:r>
      <w:r>
        <w:rPr>
          <w:rFonts w:hint="eastAsia" w:ascii="宋体" w:hAnsi="宋体" w:eastAsia="宋体" w:cs="宋体"/>
          <w:sz w:val="21"/>
          <w:szCs w:val="21"/>
          <w:lang w:val="en-US" w:eastAsia="zh-CN"/>
        </w:rPr>
        <w:t>数据进</w:t>
      </w:r>
      <w:r>
        <w:rPr>
          <w:rFonts w:hint="eastAsia" w:cs="宋体"/>
          <w:sz w:val="21"/>
          <w:szCs w:val="21"/>
          <w:lang w:val="en-US" w:eastAsia="zh-CN"/>
        </w:rPr>
        <w:t>一步</w:t>
      </w:r>
      <w:r>
        <w:rPr>
          <w:rFonts w:hint="eastAsia" w:ascii="宋体" w:hAnsi="宋体" w:eastAsia="宋体" w:cs="宋体"/>
          <w:sz w:val="21"/>
          <w:szCs w:val="21"/>
          <w:lang w:val="en-US" w:eastAsia="zh-CN"/>
        </w:rPr>
        <w:t>分类，形成数据资产清单</w:t>
      </w:r>
      <w:r>
        <w:rPr>
          <w:rFonts w:hint="eastAsia" w:cs="宋体"/>
          <w:sz w:val="21"/>
          <w:szCs w:val="21"/>
          <w:lang w:val="en-US" w:eastAsia="zh-CN"/>
        </w:rPr>
        <w:t>，其中对外共享</w:t>
      </w:r>
      <w:r>
        <w:rPr>
          <w:rFonts w:hint="eastAsia" w:ascii="宋体" w:hAnsi="宋体" w:eastAsia="宋体" w:cs="宋体"/>
          <w:sz w:val="21"/>
          <w:szCs w:val="21"/>
          <w:lang w:val="en-US" w:eastAsia="zh-CN"/>
        </w:rPr>
        <w:t>、</w:t>
      </w:r>
      <w:r>
        <w:rPr>
          <w:rFonts w:hint="eastAsia" w:cs="宋体"/>
          <w:sz w:val="21"/>
          <w:szCs w:val="21"/>
          <w:lang w:val="en-US" w:eastAsia="zh-CN"/>
        </w:rPr>
        <w:t>出境</w:t>
      </w:r>
      <w:r>
        <w:rPr>
          <w:rFonts w:hint="eastAsia" w:ascii="宋体" w:hAnsi="宋体" w:eastAsia="宋体" w:cs="宋体"/>
          <w:sz w:val="21"/>
          <w:szCs w:val="21"/>
          <w:lang w:val="en-US" w:eastAsia="zh-CN"/>
        </w:rPr>
        <w:t>数据等</w:t>
      </w:r>
      <w:r>
        <w:rPr>
          <w:rFonts w:hint="eastAsia" w:cs="宋体"/>
          <w:sz w:val="21"/>
          <w:szCs w:val="21"/>
          <w:lang w:val="en-US" w:eastAsia="zh-CN"/>
        </w:rPr>
        <w:t>处理情况应加以标识</w:t>
      </w:r>
      <w:r>
        <w:rPr>
          <w:rFonts w:hint="eastAsia" w:ascii="宋体" w:hAnsi="宋体" w:eastAsia="宋体" w:cs="宋体"/>
          <w:sz w:val="21"/>
          <w:szCs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7.3 重要数据识别</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cs="宋体"/>
          <w:sz w:val="21"/>
          <w:szCs w:val="21"/>
          <w:lang w:val="en-US" w:eastAsia="zh-CN"/>
        </w:rPr>
        <w:t>依据6.3对数据资产进行</w:t>
      </w:r>
      <w:r>
        <w:rPr>
          <w:rFonts w:hint="eastAsia" w:ascii="宋体" w:hAnsi="宋体" w:eastAsia="宋体" w:cs="宋体"/>
          <w:sz w:val="21"/>
          <w:szCs w:val="21"/>
          <w:lang w:val="en-US" w:eastAsia="zh-CN"/>
        </w:rPr>
        <w:t>重要数据识别，</w:t>
      </w:r>
      <w:r>
        <w:rPr>
          <w:rFonts w:hint="eastAsia" w:cs="宋体"/>
          <w:sz w:val="21"/>
          <w:szCs w:val="21"/>
          <w:lang w:val="en-US" w:eastAsia="zh-CN"/>
        </w:rPr>
        <w:t>识别</w:t>
      </w:r>
      <w:r>
        <w:rPr>
          <w:rFonts w:hint="eastAsia" w:ascii="宋体" w:hAnsi="宋体" w:eastAsia="宋体" w:cs="宋体"/>
          <w:sz w:val="21"/>
          <w:szCs w:val="21"/>
          <w:lang w:val="en-US" w:eastAsia="zh-CN"/>
        </w:rPr>
        <w:t>重要数据</w:t>
      </w:r>
      <w:r>
        <w:rPr>
          <w:rFonts w:hint="eastAsia" w:cs="宋体"/>
          <w:sz w:val="21"/>
          <w:szCs w:val="21"/>
          <w:lang w:val="en-US" w:eastAsia="zh-CN"/>
        </w:rPr>
        <w:t>后</w:t>
      </w:r>
      <w:r>
        <w:rPr>
          <w:rFonts w:hint="eastAsia" w:ascii="宋体" w:hAnsi="宋体" w:eastAsia="宋体" w:cs="宋体"/>
          <w:sz w:val="21"/>
          <w:szCs w:val="21"/>
          <w:lang w:val="en-US" w:eastAsia="zh-CN"/>
        </w:rPr>
        <w:t>，</w:t>
      </w:r>
      <w:r>
        <w:rPr>
          <w:rFonts w:hint="eastAsia" w:cs="宋体"/>
          <w:sz w:val="21"/>
          <w:szCs w:val="21"/>
          <w:lang w:val="en-US" w:eastAsia="zh-CN"/>
        </w:rPr>
        <w:t>再</w:t>
      </w:r>
      <w:r>
        <w:rPr>
          <w:rFonts w:hint="eastAsia" w:ascii="宋体" w:hAnsi="宋体" w:eastAsia="宋体" w:cs="宋体"/>
          <w:sz w:val="21"/>
          <w:szCs w:val="21"/>
          <w:lang w:val="en-US" w:eastAsia="zh-CN"/>
        </w:rPr>
        <w:t>根据影响对象和危害程度</w:t>
      </w:r>
      <w:r>
        <w:rPr>
          <w:rFonts w:hint="eastAsia" w:cs="宋体"/>
          <w:sz w:val="21"/>
          <w:szCs w:val="21"/>
          <w:lang w:val="en-US" w:eastAsia="zh-CN"/>
        </w:rPr>
        <w:t>进一步判定</w:t>
      </w:r>
      <w:r>
        <w:rPr>
          <w:rFonts w:hint="eastAsia" w:ascii="宋体" w:hAnsi="宋体" w:eastAsia="宋体" w:cs="宋体"/>
          <w:sz w:val="21"/>
          <w:szCs w:val="21"/>
          <w:lang w:val="en-US" w:eastAsia="zh-CN"/>
        </w:rPr>
        <w:t>核心数据，</w:t>
      </w:r>
      <w:r>
        <w:rPr>
          <w:rFonts w:hint="eastAsia" w:cs="宋体"/>
          <w:sz w:val="21"/>
          <w:szCs w:val="21"/>
          <w:lang w:val="en-US" w:eastAsia="zh-CN"/>
        </w:rPr>
        <w:t>最终</w:t>
      </w:r>
      <w:r>
        <w:rPr>
          <w:rFonts w:hint="eastAsia" w:ascii="宋体" w:hAnsi="宋体" w:eastAsia="宋体" w:cs="宋体"/>
          <w:sz w:val="21"/>
          <w:szCs w:val="21"/>
          <w:lang w:val="en-US" w:eastAsia="zh-CN"/>
        </w:rPr>
        <w:t>确定核心数据、重要数据和一般数据的范围，形成数据分类分级清单</w:t>
      </w:r>
      <w:r>
        <w:rPr>
          <w:rFonts w:hint="eastAsia" w:cs="宋体"/>
          <w:sz w:val="21"/>
          <w:szCs w:val="21"/>
          <w:lang w:val="en-US" w:eastAsia="zh-CN"/>
        </w:rPr>
        <w:t>。</w:t>
      </w:r>
      <w:r>
        <w:rPr>
          <w:rFonts w:hint="eastAsia" w:ascii="宋体" w:hAnsi="宋体" w:eastAsia="宋体" w:cs="宋体"/>
          <w:sz w:val="21"/>
          <w:szCs w:val="21"/>
          <w:lang w:val="en-US" w:eastAsia="zh-CN"/>
        </w:rPr>
        <w:t>示例见附录</w:t>
      </w:r>
      <w:r>
        <w:rPr>
          <w:rFonts w:hint="eastAsia" w:cs="宋体"/>
          <w:sz w:val="21"/>
          <w:szCs w:val="21"/>
          <w:lang w:val="en-US" w:eastAsia="zh-CN"/>
        </w:rPr>
        <w:t>B</w:t>
      </w:r>
      <w:r>
        <w:rPr>
          <w:rFonts w:hint="eastAsia" w:ascii="宋体" w:hAnsi="宋体" w:eastAsia="宋体" w:cs="宋体"/>
          <w:sz w:val="21"/>
          <w:szCs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7.4 内部审批</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对数据分类分级清单进行内部审批，审批通过，</w:t>
      </w:r>
      <w:r>
        <w:rPr>
          <w:rFonts w:hint="eastAsia" w:cs="宋体"/>
          <w:sz w:val="21"/>
          <w:szCs w:val="21"/>
          <w:lang w:val="en-US" w:eastAsia="zh-CN"/>
        </w:rPr>
        <w:t>形成</w:t>
      </w:r>
      <w:r>
        <w:rPr>
          <w:rFonts w:hint="eastAsia" w:ascii="宋体" w:hAnsi="宋体" w:eastAsia="宋体" w:cs="宋体"/>
          <w:sz w:val="21"/>
          <w:szCs w:val="21"/>
          <w:lang w:val="en-US" w:eastAsia="zh-CN"/>
        </w:rPr>
        <w:t>重要数据目录</w:t>
      </w:r>
      <w:r>
        <w:rPr>
          <w:rFonts w:hint="eastAsia" w:cs="宋体"/>
          <w:sz w:val="21"/>
          <w:szCs w:val="21"/>
          <w:lang w:val="en-US" w:eastAsia="zh-CN"/>
        </w:rPr>
        <w:t>；</w:t>
      </w:r>
      <w:r>
        <w:rPr>
          <w:rFonts w:hint="eastAsia" w:ascii="宋体" w:hAnsi="宋体" w:eastAsia="宋体" w:cs="宋体"/>
          <w:sz w:val="21"/>
          <w:szCs w:val="21"/>
          <w:lang w:val="en-US" w:eastAsia="zh-CN"/>
        </w:rPr>
        <w:t>审批未通过，应重新开展重要数据识别工作。</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7.5 重要数据目录备案</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向</w:t>
      </w:r>
      <w:r>
        <w:rPr>
          <w:rFonts w:hint="eastAsia" w:cs="宋体"/>
          <w:sz w:val="21"/>
          <w:szCs w:val="21"/>
          <w:lang w:val="en-US" w:eastAsia="zh-CN"/>
        </w:rPr>
        <w:t>企业属</w:t>
      </w:r>
      <w:r>
        <w:rPr>
          <w:rFonts w:hint="eastAsia" w:ascii="宋体" w:hAnsi="宋体" w:eastAsia="宋体" w:cs="宋体"/>
          <w:sz w:val="21"/>
          <w:szCs w:val="21"/>
          <w:lang w:val="en-US" w:eastAsia="zh-CN"/>
        </w:rPr>
        <w:t>地工业和信息化主管部门报送重要数据目录，如重要数据目录审核通过，按要求开展重要数据保护；审核未通过，应重新开展重要数据识别和报送工作。</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备案内容发生重大变化的，应在发生变化的三个月内完成备案信息变更</w:t>
      </w:r>
      <w:r>
        <w:rPr>
          <w:rFonts w:hint="eastAsia" w:cs="宋体"/>
          <w:sz w:val="21"/>
          <w:szCs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黑体" w:hAnsi="黑体" w:cs="黑体"/>
          <w:b w:val="0"/>
          <w:bCs w:val="0"/>
          <w:lang w:val="en-US" w:eastAsia="zh-CN"/>
        </w:rPr>
      </w:pPr>
      <w:r>
        <w:rPr>
          <w:rFonts w:hint="eastAsia" w:ascii="黑体" w:hAnsi="黑体" w:cs="黑体"/>
          <w:b w:val="0"/>
          <w:bCs w:val="0"/>
          <w:lang w:val="en-US" w:eastAsia="zh-CN"/>
        </w:rPr>
        <w:t>7.6 动态更新机制</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cs="宋体"/>
          <w:sz w:val="21"/>
          <w:szCs w:val="21"/>
          <w:lang w:val="en-US" w:eastAsia="zh-CN"/>
        </w:rPr>
        <w:t>遇到以下重大变化的，应依据流程</w:t>
      </w:r>
      <w:r>
        <w:rPr>
          <w:rFonts w:hint="eastAsia" w:ascii="宋体" w:hAnsi="宋体" w:eastAsia="宋体" w:cs="宋体"/>
          <w:sz w:val="21"/>
          <w:szCs w:val="21"/>
          <w:lang w:val="en-US" w:eastAsia="zh-CN"/>
        </w:rPr>
        <w:t>对数据分类分级</w:t>
      </w:r>
      <w:r>
        <w:rPr>
          <w:rFonts w:hint="eastAsia" w:cs="宋体"/>
          <w:sz w:val="21"/>
          <w:szCs w:val="21"/>
          <w:lang w:val="en-US" w:eastAsia="zh-CN"/>
        </w:rPr>
        <w:t>结果进行</w:t>
      </w:r>
      <w:r>
        <w:rPr>
          <w:rFonts w:hint="eastAsia" w:ascii="宋体" w:hAnsi="宋体" w:eastAsia="宋体" w:cs="宋体"/>
          <w:sz w:val="21"/>
          <w:szCs w:val="21"/>
          <w:lang w:val="en-US" w:eastAsia="zh-CN"/>
        </w:rPr>
        <w:t>动态更新</w:t>
      </w:r>
      <w:r>
        <w:rPr>
          <w:rFonts w:hint="eastAsia" w:cs="宋体"/>
          <w:sz w:val="21"/>
          <w:szCs w:val="21"/>
          <w:lang w:val="en-US" w:eastAsia="zh-CN"/>
        </w:rPr>
        <w:t>及变更备案：</w:t>
      </w:r>
    </w:p>
    <w:p>
      <w:pPr>
        <w:keepNext w:val="0"/>
        <w:keepLines w:val="0"/>
        <w:pageBreakBefore w:val="0"/>
        <w:numPr>
          <w:ilvl w:val="0"/>
          <w:numId w:val="14"/>
        </w:numPr>
        <w:kinsoku/>
        <w:wordWrap/>
        <w:overflowPunct/>
        <w:topLinePunct w:val="0"/>
        <w:bidi w:val="0"/>
        <w:adjustRightInd/>
        <w:snapToGrid/>
        <w:spacing w:line="360" w:lineRule="auto"/>
        <w:textAlignment w:val="auto"/>
        <w:rPr>
          <w:rFonts w:hint="eastAsia" w:ascii="宋体" w:hAnsi="宋体" w:cs="宋体"/>
          <w:i w:val="0"/>
          <w:iCs w:val="0"/>
          <w:caps w:val="0"/>
          <w:color w:val="060607"/>
          <w:spacing w:val="0"/>
          <w:sz w:val="21"/>
          <w:szCs w:val="21"/>
          <w:shd w:val="clear" w:fill="FFFFFF"/>
          <w:lang w:val="en-US" w:eastAsia="zh-CN"/>
        </w:rPr>
      </w:pPr>
      <w:r>
        <w:rPr>
          <w:rFonts w:hint="eastAsia" w:ascii="宋体" w:hAnsi="宋体" w:cs="宋体"/>
          <w:i w:val="0"/>
          <w:iCs w:val="0"/>
          <w:caps w:val="0"/>
          <w:color w:val="060607"/>
          <w:spacing w:val="0"/>
          <w:sz w:val="21"/>
          <w:szCs w:val="21"/>
          <w:shd w:val="clear" w:fill="FFFFFF"/>
          <w:lang w:val="en-US" w:eastAsia="zh-CN"/>
        </w:rPr>
        <w:t>数据范围重大变化：新增或删减的数据类型涉及核心数据、重要数据的；</w:t>
      </w:r>
    </w:p>
    <w:p>
      <w:pPr>
        <w:keepNext w:val="0"/>
        <w:keepLines w:val="0"/>
        <w:pageBreakBefore w:val="0"/>
        <w:numPr>
          <w:ilvl w:val="0"/>
          <w:numId w:val="14"/>
        </w:numPr>
        <w:kinsoku/>
        <w:wordWrap/>
        <w:overflowPunct/>
        <w:topLinePunct w:val="0"/>
        <w:bidi w:val="0"/>
        <w:adjustRightInd/>
        <w:snapToGrid/>
        <w:spacing w:line="360" w:lineRule="auto"/>
        <w:textAlignment w:val="auto"/>
        <w:rPr>
          <w:rFonts w:hint="eastAsia" w:ascii="宋体" w:hAnsi="宋体" w:cs="宋体"/>
          <w:i w:val="0"/>
          <w:iCs w:val="0"/>
          <w:caps w:val="0"/>
          <w:color w:val="060607"/>
          <w:spacing w:val="0"/>
          <w:sz w:val="21"/>
          <w:szCs w:val="21"/>
          <w:shd w:val="clear" w:fill="FFFFFF"/>
          <w:lang w:val="en-US" w:eastAsia="zh-CN"/>
        </w:rPr>
      </w:pPr>
      <w:r>
        <w:rPr>
          <w:rFonts w:hint="eastAsia" w:ascii="宋体" w:hAnsi="宋体" w:cs="宋体"/>
          <w:i w:val="0"/>
          <w:iCs w:val="0"/>
          <w:caps w:val="0"/>
          <w:color w:val="060607"/>
          <w:spacing w:val="0"/>
          <w:sz w:val="21"/>
          <w:szCs w:val="21"/>
          <w:shd w:val="clear" w:fill="FFFFFF"/>
          <w:lang w:val="en-US" w:eastAsia="zh-CN"/>
        </w:rPr>
        <w:t>数据量级重大变化：数据条目数量或者存储总量较原基准变化30%以上的；</w:t>
      </w:r>
    </w:p>
    <w:p>
      <w:pPr>
        <w:keepNext w:val="0"/>
        <w:keepLines w:val="0"/>
        <w:pageBreakBefore w:val="0"/>
        <w:numPr>
          <w:ilvl w:val="0"/>
          <w:numId w:val="14"/>
        </w:numPr>
        <w:kinsoku/>
        <w:wordWrap/>
        <w:overflowPunct/>
        <w:topLinePunct w:val="0"/>
        <w:bidi w:val="0"/>
        <w:adjustRightInd/>
        <w:snapToGrid/>
        <w:spacing w:line="360" w:lineRule="auto"/>
        <w:textAlignment w:val="auto"/>
        <w:rPr>
          <w:rFonts w:hint="eastAsia" w:ascii="宋体" w:hAnsi="宋体" w:cs="宋体"/>
          <w:i w:val="0"/>
          <w:iCs w:val="0"/>
          <w:caps w:val="0"/>
          <w:color w:val="060607"/>
          <w:spacing w:val="0"/>
          <w:sz w:val="21"/>
          <w:szCs w:val="21"/>
          <w:shd w:val="clear" w:fill="FFFFFF"/>
          <w:lang w:val="en-US" w:eastAsia="zh-CN"/>
        </w:rPr>
      </w:pPr>
      <w:r>
        <w:rPr>
          <w:rFonts w:hint="eastAsia" w:ascii="宋体" w:hAnsi="宋体" w:cs="宋体"/>
          <w:i w:val="0"/>
          <w:iCs w:val="0"/>
          <w:caps w:val="0"/>
          <w:color w:val="060607"/>
          <w:spacing w:val="0"/>
          <w:sz w:val="21"/>
          <w:szCs w:val="21"/>
          <w:shd w:val="clear" w:fill="FFFFFF"/>
          <w:lang w:val="en-US" w:eastAsia="zh-CN"/>
        </w:rPr>
        <w:t>数据用途重大变化：数据由内部使用转为对外共享、出境，或处理目的发生重大改变的；</w:t>
      </w:r>
    </w:p>
    <w:p>
      <w:pPr>
        <w:keepNext w:val="0"/>
        <w:keepLines w:val="0"/>
        <w:pageBreakBefore w:val="0"/>
        <w:numPr>
          <w:ilvl w:val="0"/>
          <w:numId w:val="14"/>
        </w:numPr>
        <w:kinsoku/>
        <w:wordWrap/>
        <w:overflowPunct/>
        <w:topLinePunct w:val="0"/>
        <w:bidi w:val="0"/>
        <w:adjustRightInd/>
        <w:snapToGrid/>
        <w:spacing w:line="360" w:lineRule="auto"/>
        <w:textAlignment w:val="auto"/>
        <w:rPr>
          <w:rFonts w:hint="eastAsia" w:ascii="宋体" w:hAnsi="宋体" w:cs="宋体"/>
          <w:i w:val="0"/>
          <w:iCs w:val="0"/>
          <w:caps w:val="0"/>
          <w:color w:val="060607"/>
          <w:spacing w:val="0"/>
          <w:sz w:val="21"/>
          <w:szCs w:val="21"/>
          <w:shd w:val="clear" w:fill="FFFFFF"/>
          <w:lang w:val="en-US" w:eastAsia="zh-CN"/>
        </w:rPr>
      </w:pPr>
      <w:r>
        <w:rPr>
          <w:rFonts w:hint="eastAsia" w:ascii="宋体" w:hAnsi="宋体" w:cs="宋体"/>
          <w:i w:val="0"/>
          <w:iCs w:val="0"/>
          <w:caps w:val="0"/>
          <w:color w:val="060607"/>
          <w:spacing w:val="0"/>
          <w:sz w:val="21"/>
          <w:szCs w:val="21"/>
          <w:shd w:val="clear" w:fill="FFFFFF"/>
          <w:lang w:val="en-US" w:eastAsia="zh-CN"/>
        </w:rPr>
        <w:t>影响对象重大变化：数据安全影响范围由企业扩展至行业、公共利益或国家安全的；</w:t>
      </w:r>
    </w:p>
    <w:p>
      <w:pPr>
        <w:keepNext w:val="0"/>
        <w:keepLines w:val="0"/>
        <w:pageBreakBefore w:val="0"/>
        <w:numPr>
          <w:ilvl w:val="0"/>
          <w:numId w:val="14"/>
        </w:numPr>
        <w:kinsoku/>
        <w:wordWrap/>
        <w:overflowPunct/>
        <w:topLinePunct w:val="0"/>
        <w:bidi w:val="0"/>
        <w:adjustRightInd/>
        <w:snapToGrid/>
        <w:spacing w:line="360" w:lineRule="auto"/>
        <w:textAlignment w:val="auto"/>
        <w:rPr>
          <w:rFonts w:hint="eastAsia" w:ascii="宋体" w:hAnsi="宋体" w:cs="宋体"/>
          <w:i w:val="0"/>
          <w:iCs w:val="0"/>
          <w:caps w:val="0"/>
          <w:color w:val="060607"/>
          <w:spacing w:val="0"/>
          <w:sz w:val="21"/>
          <w:szCs w:val="21"/>
          <w:shd w:val="clear" w:fill="FFFFFF"/>
          <w:lang w:val="en-US" w:eastAsia="zh-CN"/>
        </w:rPr>
      </w:pPr>
      <w:r>
        <w:rPr>
          <w:rFonts w:hint="eastAsia" w:ascii="宋体" w:hAnsi="宋体" w:eastAsia="宋体" w:cs="宋体"/>
          <w:sz w:val="21"/>
          <w:szCs w:val="21"/>
          <w:lang w:val="en-US" w:eastAsia="zh-CN"/>
        </w:rPr>
        <w:t>其他导致数据安全风险、重要程度</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发生重大变化的</w:t>
      </w:r>
      <w:r>
        <w:rPr>
          <w:rFonts w:hint="eastAsia" w:ascii="宋体" w:hAnsi="宋体" w:cs="宋体"/>
          <w:i w:val="0"/>
          <w:iCs w:val="0"/>
          <w:caps w:val="0"/>
          <w:color w:val="060607"/>
          <w:spacing w:val="0"/>
          <w:sz w:val="21"/>
          <w:szCs w:val="21"/>
          <w:shd w:val="clear" w:fill="FFFFFF"/>
          <w:lang w:val="en-US" w:eastAsia="zh-CN"/>
        </w:rPr>
        <w:t>。</w:t>
      </w: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pP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sectPr>
          <w:footerReference r:id="rId5" w:type="default"/>
          <w:pgSz w:w="11906" w:h="16838"/>
          <w:pgMar w:top="141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pPr>
    </w:p>
    <w:p>
      <w:pPr>
        <w:pStyle w:val="33"/>
        <w:keepNext/>
        <w:keepLines w:val="0"/>
        <w:pageBreakBefore/>
        <w:widowControl/>
        <w:shd w:val="clear" w:color="FFFFFF" w:fill="FFFFFF"/>
        <w:kinsoku/>
        <w:wordWrap/>
        <w:overflowPunct/>
        <w:topLinePunct w:val="0"/>
        <w:autoSpaceDE/>
        <w:autoSpaceDN/>
        <w:bidi w:val="0"/>
        <w:adjustRightInd/>
        <w:snapToGrid/>
        <w:spacing w:before="0" w:after="0" w:line="360" w:lineRule="auto"/>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附 录 </w:t>
      </w:r>
      <w:r>
        <w:rPr>
          <w:rFonts w:hint="eastAsia" w:hAnsi="黑体" w:cs="黑体"/>
          <w:b w:val="0"/>
          <w:bCs w:val="0"/>
          <w:sz w:val="21"/>
          <w:szCs w:val="21"/>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(资料性)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21"/>
          <w:szCs w:val="21"/>
          <w:lang w:val="en-US"/>
        </w:rPr>
      </w:pPr>
      <w:r>
        <w:rPr>
          <w:rFonts w:hint="eastAsia" w:ascii="黑体" w:hAnsi="黑体" w:eastAsia="黑体" w:cs="黑体"/>
          <w:color w:val="000000"/>
          <w:kern w:val="0"/>
          <w:sz w:val="21"/>
          <w:szCs w:val="21"/>
          <w:lang w:val="en-US" w:eastAsia="zh-CN" w:bidi="ar"/>
        </w:rPr>
        <w:t>有色金属行业工业重要数据识别示例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A.1 研发设计场景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数据处理者在整合全球研发资源、产品协同设计开发过程中，收集和产生的</w:t>
      </w:r>
      <w:r>
        <w:rPr>
          <w:rFonts w:hint="eastAsia" w:ascii="宋体" w:hAnsi="宋体" w:cs="宋体"/>
          <w:color w:val="000000"/>
          <w:kern w:val="0"/>
          <w:sz w:val="19"/>
          <w:szCs w:val="19"/>
          <w:lang w:val="en-US" w:eastAsia="zh-CN" w:bidi="ar"/>
        </w:rPr>
        <w:t>设计</w:t>
      </w:r>
      <w:r>
        <w:rPr>
          <w:rFonts w:hint="default" w:ascii="宋体" w:hAnsi="宋体" w:eastAsia="宋体" w:cs="宋体"/>
          <w:color w:val="000000"/>
          <w:kern w:val="0"/>
          <w:sz w:val="19"/>
          <w:szCs w:val="19"/>
          <w:lang w:val="en-US" w:eastAsia="zh-CN" w:bidi="ar"/>
        </w:rPr>
        <w:t>物料清单、研发设计文档</w:t>
      </w:r>
      <w:r>
        <w:rPr>
          <w:rFonts w:hint="eastAsia" w:ascii="宋体" w:hAnsi="宋体" w:cs="宋体"/>
          <w:color w:val="000000"/>
          <w:kern w:val="0"/>
          <w:sz w:val="19"/>
          <w:szCs w:val="19"/>
          <w:lang w:val="en-US" w:eastAsia="zh-CN" w:bidi="ar"/>
        </w:rPr>
        <w:t>等</w:t>
      </w:r>
      <w:r>
        <w:rPr>
          <w:rFonts w:hint="default" w:ascii="宋体" w:hAnsi="宋体" w:eastAsia="宋体" w:cs="宋体"/>
          <w:color w:val="000000"/>
          <w:kern w:val="0"/>
          <w:sz w:val="19"/>
          <w:szCs w:val="19"/>
          <w:lang w:val="en-US" w:eastAsia="zh-CN" w:bidi="ar"/>
        </w:rPr>
        <w:t>数据</w:t>
      </w:r>
      <w:r>
        <w:rPr>
          <w:rFonts w:hint="eastAsia" w:ascii="宋体" w:hAnsi="宋体" w:cs="宋体"/>
          <w:color w:val="000000"/>
          <w:kern w:val="0"/>
          <w:sz w:val="19"/>
          <w:szCs w:val="19"/>
          <w:lang w:val="en-US" w:eastAsia="zh-CN" w:bidi="ar"/>
        </w:rPr>
        <w:t>。有色金属行业研发设计场景重要数据识别</w:t>
      </w:r>
      <w:r>
        <w:rPr>
          <w:rFonts w:hint="eastAsia" w:ascii="宋体" w:hAnsi="宋体" w:eastAsia="宋体" w:cs="宋体"/>
          <w:color w:val="000000"/>
          <w:kern w:val="0"/>
          <w:sz w:val="19"/>
          <w:szCs w:val="19"/>
          <w:lang w:val="en-US" w:eastAsia="zh-CN" w:bidi="ar"/>
        </w:rPr>
        <w:t>示例见表</w:t>
      </w:r>
      <w:r>
        <w:rPr>
          <w:rFonts w:hint="eastAsia" w:ascii="宋体" w:hAnsi="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A.1 有色金属行业研发设计场景重要数据识别示例</w:t>
      </w:r>
    </w:p>
    <w:tbl>
      <w:tblPr>
        <w:tblStyle w:val="10"/>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40"/>
        <w:gridCol w:w="2018"/>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jc w:val="center"/>
        </w:trPr>
        <w:tc>
          <w:tcPr>
            <w:tcW w:w="67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restar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产品研发</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研发</w:t>
            </w:r>
            <w:r>
              <w:rPr>
                <w:rFonts w:hint="eastAsia" w:ascii="宋体" w:hAnsi="宋体" w:eastAsia="宋体" w:cs="宋体"/>
                <w:sz w:val="18"/>
                <w:szCs w:val="18"/>
                <w:lang w:val="en-US" w:eastAsia="zh-CN"/>
              </w:rPr>
              <w:t>设计物料清单</w:t>
            </w:r>
          </w:p>
        </w:tc>
        <w:tc>
          <w:tcPr>
            <w:tcW w:w="1655"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研发</w:t>
            </w:r>
            <w:r>
              <w:rPr>
                <w:rFonts w:hint="eastAsia" w:ascii="宋体" w:hAnsi="宋体" w:eastAsia="宋体" w:cs="宋体"/>
                <w:sz w:val="18"/>
                <w:szCs w:val="18"/>
                <w:lang w:val="en-US" w:eastAsia="zh-CN"/>
              </w:rPr>
              <w:t>设计阶段所需原料、辅料及构配件清单文件，包括物料规格、数量、层级关系等</w:t>
            </w:r>
          </w:p>
        </w:tc>
        <w:tc>
          <w:tcPr>
            <w:tcW w:w="1656" w:type="pct"/>
            <w:vMerge w:val="restar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1.被列入国家重大专项、国家重点研发计划的</w:t>
            </w:r>
            <w:r>
              <w:rPr>
                <w:rFonts w:hint="eastAsia" w:ascii="宋体" w:hAnsi="宋体" w:cs="宋体"/>
                <w:sz w:val="18"/>
                <w:szCs w:val="18"/>
                <w:lang w:val="en-US" w:eastAsia="zh-CN"/>
              </w:rPr>
              <w:t>；</w:t>
            </w:r>
          </w:p>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经汇聚、分析后能够推算</w:t>
            </w:r>
            <w:r>
              <w:rPr>
                <w:rFonts w:hint="eastAsia" w:ascii="宋体" w:hAnsi="宋体" w:cs="宋体"/>
                <w:kern w:val="2"/>
                <w:sz w:val="18"/>
                <w:szCs w:val="18"/>
                <w:lang w:val="en-US" w:eastAsia="zh-CN" w:bidi="ar-SA"/>
              </w:rPr>
              <w:t>出</w:t>
            </w:r>
            <w:r>
              <w:rPr>
                <w:rFonts w:hint="eastAsia" w:ascii="宋体" w:hAnsi="宋体" w:eastAsia="宋体" w:cs="宋体"/>
                <w:kern w:val="2"/>
                <w:sz w:val="18"/>
                <w:szCs w:val="18"/>
                <w:lang w:val="en-US" w:eastAsia="zh-CN" w:bidi="ar-SA"/>
              </w:rPr>
              <w:t>未公开的国家经济运行情况</w:t>
            </w:r>
            <w:r>
              <w:rPr>
                <w:rFonts w:hint="eastAsia" w:ascii="宋体" w:hAnsi="宋体" w:cs="宋体"/>
                <w:kern w:val="2"/>
                <w:sz w:val="18"/>
                <w:szCs w:val="18"/>
                <w:lang w:val="en-US" w:eastAsia="zh-CN" w:bidi="ar-SA"/>
              </w:rPr>
              <w:t>、行业核心竞争力或产业生态发展</w:t>
            </w:r>
            <w:r>
              <w:rPr>
                <w:rFonts w:hint="eastAsia" w:ascii="宋体" w:hAnsi="宋体" w:eastAsia="宋体" w:cs="宋体"/>
                <w:kern w:val="2"/>
                <w:sz w:val="18"/>
                <w:szCs w:val="18"/>
                <w:lang w:val="en-US" w:eastAsia="zh-CN" w:bidi="ar-SA"/>
              </w:rPr>
              <w:t>的</w:t>
            </w:r>
            <w:r>
              <w:rPr>
                <w:rFonts w:hint="eastAsia" w:ascii="宋体" w:hAnsi="宋体" w:cs="宋体"/>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continue"/>
            <w:shd w:val="clear" w:color="auto" w:fill="auto"/>
            <w:tcMar>
              <w:top w:w="180" w:type="dxa"/>
              <w:left w:w="270" w:type="dxa"/>
              <w:bottom w:w="180" w:type="dxa"/>
              <w:right w:w="270" w:type="dxa"/>
            </w:tcMar>
            <w:vAlign w:val="center"/>
          </w:tcPr>
          <w:p>
            <w:pPr>
              <w:jc w:val="center"/>
              <w:rPr>
                <w:rFonts w:hint="eastAsia" w:ascii="宋体" w:hAnsi="宋体" w:cs="宋体"/>
                <w:sz w:val="18"/>
                <w:szCs w:val="18"/>
                <w:lang w:val="en-US" w:eastAsia="zh-CN"/>
              </w:rPr>
            </w:pP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研发设计文档</w:t>
            </w:r>
          </w:p>
        </w:tc>
        <w:tc>
          <w:tcPr>
            <w:tcW w:w="1655"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研发过程中的设计图纸、模型、方案、技术文档、测试报告等</w:t>
            </w:r>
          </w:p>
        </w:tc>
        <w:tc>
          <w:tcPr>
            <w:tcW w:w="1656" w:type="pct"/>
            <w:vMerge w:val="continue"/>
            <w:shd w:val="clear" w:color="auto" w:fill="auto"/>
            <w:tcMar>
              <w:top w:w="180" w:type="dxa"/>
              <w:left w:w="270" w:type="dxa"/>
              <w:bottom w:w="180" w:type="dxa"/>
              <w:right w:w="270" w:type="dxa"/>
            </w:tcMar>
            <w:vAlign w:val="center"/>
          </w:tcPr>
          <w:p>
            <w:pPr>
              <w:jc w:val="both"/>
              <w:rPr>
                <w:rFonts w:hint="eastAsia" w:ascii="宋体" w:hAnsi="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产品测试</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仿真场景数据、测试场景数据</w:t>
            </w:r>
          </w:p>
        </w:tc>
        <w:tc>
          <w:tcPr>
            <w:tcW w:w="1655" w:type="pct"/>
            <w:shd w:val="clear" w:color="auto" w:fill="auto"/>
            <w:tcMar>
              <w:top w:w="180" w:type="dxa"/>
              <w:left w:w="270" w:type="dxa"/>
              <w:bottom w:w="180" w:type="dxa"/>
              <w:right w:w="270" w:type="dxa"/>
            </w:tcMar>
            <w:vAlign w:val="center"/>
          </w:tcPr>
          <w:p>
            <w:pPr>
              <w:jc w:val="both"/>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测试阶段收集和产生的仿真场景、测试场景数据等</w:t>
            </w:r>
          </w:p>
        </w:tc>
        <w:tc>
          <w:tcPr>
            <w:tcW w:w="1656" w:type="pct"/>
            <w:vMerge w:val="continue"/>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5"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A.2 生产制造场景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w:t>
      </w:r>
      <w:r>
        <w:rPr>
          <w:rFonts w:hint="eastAsia" w:ascii="宋体" w:hAnsi="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产品生产制造过程中，收集和产生的</w:t>
      </w:r>
      <w:r>
        <w:rPr>
          <w:rFonts w:hint="eastAsia" w:ascii="宋体" w:hAnsi="宋体" w:cs="宋体"/>
          <w:color w:val="000000"/>
          <w:kern w:val="0"/>
          <w:sz w:val="19"/>
          <w:szCs w:val="19"/>
          <w:lang w:val="en-US" w:eastAsia="zh-CN" w:bidi="ar"/>
        </w:rPr>
        <w:t>生产</w:t>
      </w:r>
      <w:r>
        <w:rPr>
          <w:rFonts w:hint="eastAsia" w:ascii="宋体" w:hAnsi="宋体" w:eastAsia="宋体" w:cs="宋体"/>
          <w:color w:val="000000"/>
          <w:kern w:val="0"/>
          <w:sz w:val="19"/>
          <w:szCs w:val="19"/>
          <w:lang w:val="en-US" w:eastAsia="zh-CN" w:bidi="ar"/>
        </w:rPr>
        <w:t>物料清单、生产控制程序源代码</w:t>
      </w:r>
      <w:r>
        <w:rPr>
          <w:rFonts w:hint="eastAsia" w:ascii="宋体" w:hAnsi="宋体" w:cs="宋体"/>
          <w:color w:val="000000"/>
          <w:kern w:val="0"/>
          <w:sz w:val="19"/>
          <w:szCs w:val="19"/>
          <w:lang w:val="en-US" w:eastAsia="zh-CN" w:bidi="ar"/>
        </w:rPr>
        <w:t>、关键工艺参数等数据。有色金属行业生产制造场景重要数据识别</w:t>
      </w:r>
      <w:r>
        <w:rPr>
          <w:rFonts w:hint="eastAsia" w:ascii="宋体" w:hAnsi="宋体" w:eastAsia="宋体" w:cs="宋体"/>
          <w:color w:val="000000"/>
          <w:kern w:val="0"/>
          <w:sz w:val="19"/>
          <w:szCs w:val="19"/>
          <w:lang w:val="en-US" w:eastAsia="zh-CN" w:bidi="ar"/>
        </w:rPr>
        <w:t>示例见表</w:t>
      </w:r>
      <w:r>
        <w:rPr>
          <w:rFonts w:hint="eastAsia" w:ascii="宋体" w:hAnsi="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A.2 有色金属行业生产制造场景重要数据识别示例</w:t>
      </w:r>
    </w:p>
    <w:tbl>
      <w:tblPr>
        <w:tblStyle w:val="10"/>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37"/>
        <w:gridCol w:w="2017"/>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2"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7"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2"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生产基础</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生产物料清单</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生产阶段执行的原料、辅料清单，包含规格、配比、消耗定额、供应来源等，直接指导生产投料</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涉及国家战略储备的；</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经汇聚、分析后可泄露核心生产产能、工艺路线的；</w:t>
            </w:r>
          </w:p>
          <w:p>
            <w:pPr>
              <w:numPr>
                <w:ilvl w:val="0"/>
                <w:numId w:val="0"/>
              </w:num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3.关联高端定制化产品（如航空航天用稀有金属材料）生产的</w:t>
            </w:r>
            <w:r>
              <w:rPr>
                <w:rFonts w:hint="eastAsia" w:ascii="宋体" w:hAnsi="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2" w:type="pct"/>
            <w:vMerge w:val="restar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工艺控制</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生产控制程序源代码</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用于冶炼设备、加工设备、智能生产线等的自动化控制程序核心代码，包含工艺参数调控逻辑、设备联动指令等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自主研发且未公开的核心控制程序，泄露后可能导致生产效率大幅下降、产品质量失控的；</w:t>
            </w:r>
          </w:p>
          <w:p>
            <w:pPr>
              <w:numPr>
                <w:ilvl w:val="0"/>
                <w:numId w:val="0"/>
              </w:numPr>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2.严重危害生产安全管控的；</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.符合《中国禁止出口限制出口技术目录》中相关技术控制要点的</w:t>
            </w:r>
            <w:r>
              <w:rPr>
                <w:rFonts w:hint="eastAsia" w:ascii="宋体" w:hAnsi="宋体" w:cs="宋体"/>
                <w:sz w:val="18"/>
                <w:szCs w:val="18"/>
                <w:lang w:val="en-US" w:eastAsia="zh-CN"/>
              </w:rPr>
              <w:t>；</w:t>
            </w:r>
          </w:p>
          <w:p>
            <w:pPr>
              <w:numPr>
                <w:ilvl w:val="0"/>
                <w:numId w:val="0"/>
              </w:numPr>
              <w:jc w:val="both"/>
              <w:rPr>
                <w:rFonts w:hint="eastAsia" w:ascii="宋体" w:hAnsi="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适配特殊工艺（如高纯稀有金属提纯、锂电铜箔精密轧制）的专属控制代码</w:t>
            </w:r>
            <w:r>
              <w:rPr>
                <w:rFonts w:hint="eastAsia" w:ascii="宋体" w:hAnsi="宋体" w:cs="宋体"/>
                <w:sz w:val="18"/>
                <w:szCs w:val="18"/>
                <w:lang w:val="en-US" w:eastAsia="zh-CN"/>
              </w:rPr>
              <w:t>；</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5.涉及航空航天、国防军工、核工业、海洋工程等特种领域配套生产的</w:t>
            </w:r>
            <w:r>
              <w:rPr>
                <w:rFonts w:hint="eastAsia" w:ascii="宋体" w:hAnsi="宋体" w:eastAsia="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2" w:type="pct"/>
            <w:vMerge w:val="continue"/>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关键工艺参数数据集</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采选、冶炼、加工环节的核心工艺参数集合，如电解槽电流密度、浮选药剂配比、轧制力控制范围等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属于行业领先工艺的核心参数，未公开且具有排他性的；</w:t>
            </w:r>
          </w:p>
          <w:p>
            <w:pPr>
              <w:numPr>
                <w:ilvl w:val="0"/>
                <w:numId w:val="0"/>
              </w:numPr>
              <w:jc w:val="both"/>
              <w:rPr>
                <w:rFonts w:hint="eastAsia" w:ascii="宋体" w:hAnsi="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经分析可推导得出生产技术秘密、产品核心性能指标的</w:t>
            </w:r>
            <w:r>
              <w:rPr>
                <w:rFonts w:hint="eastAsia" w:ascii="宋体" w:hAnsi="宋体" w:cs="宋体"/>
                <w:sz w:val="18"/>
                <w:szCs w:val="18"/>
                <w:lang w:val="en-US" w:eastAsia="zh-CN"/>
              </w:rPr>
              <w:t>；</w:t>
            </w:r>
          </w:p>
          <w:p>
            <w:pPr>
              <w:numPr>
                <w:ilvl w:val="0"/>
                <w:numId w:val="0"/>
              </w:num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3.涉及航空航天、国防军工、核工业、海洋工程等特种领域配套生产的</w:t>
            </w:r>
            <w:r>
              <w:rPr>
                <w:rFonts w:hint="eastAsia" w:ascii="宋体" w:hAnsi="宋体" w:eastAsia="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2"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A.3 经营管理场景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w:t>
      </w:r>
      <w:r>
        <w:rPr>
          <w:rFonts w:hint="eastAsia" w:ascii="宋体" w:hAnsi="宋体" w:cs="宋体"/>
          <w:color w:val="000000"/>
          <w:kern w:val="0"/>
          <w:sz w:val="19"/>
          <w:szCs w:val="19"/>
          <w:lang w:val="en-US" w:eastAsia="zh-CN" w:bidi="ar"/>
        </w:rPr>
        <w:t>在生产经营管理</w:t>
      </w:r>
      <w:r>
        <w:rPr>
          <w:rFonts w:hint="eastAsia" w:ascii="宋体" w:hAnsi="宋体" w:eastAsia="宋体" w:cs="宋体"/>
          <w:color w:val="000000"/>
          <w:kern w:val="0"/>
          <w:sz w:val="19"/>
          <w:szCs w:val="19"/>
          <w:lang w:val="en-US" w:eastAsia="zh-CN" w:bidi="ar"/>
        </w:rPr>
        <w:t>过</w:t>
      </w:r>
      <w:r>
        <w:rPr>
          <w:rFonts w:hint="eastAsia" w:ascii="宋体" w:hAnsi="宋体" w:cs="宋体"/>
          <w:color w:val="000000"/>
          <w:kern w:val="0"/>
          <w:sz w:val="19"/>
          <w:szCs w:val="19"/>
          <w:lang w:val="en-US" w:eastAsia="zh-CN" w:bidi="ar"/>
        </w:rPr>
        <w:t>程中，收集和产生的涉及采选、冶炼、加工等环节的物料储备、原料渠道、销售去向等数据。有色金属行业经营管理场景重要数据识别示例见表A.3。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A.3 有色金属行业经营管理场景重要数据识别示例</w:t>
      </w:r>
    </w:p>
    <w:tbl>
      <w:tblPr>
        <w:tblStyle w:val="10"/>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40"/>
        <w:gridCol w:w="2018"/>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物料储备</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可采矿石储量</w:t>
            </w:r>
          </w:p>
        </w:tc>
        <w:tc>
          <w:tcPr>
            <w:tcW w:w="1655" w:type="pct"/>
            <w:shd w:val="clear" w:color="auto" w:fill="auto"/>
            <w:tcMar>
              <w:top w:w="180" w:type="dxa"/>
              <w:left w:w="270" w:type="dxa"/>
              <w:bottom w:w="180" w:type="dxa"/>
              <w:right w:w="270" w:type="dxa"/>
            </w:tcMar>
            <w:vAlign w:val="center"/>
          </w:tcPr>
          <w:p>
            <w:pPr>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经济可采储量及平均金属品位</w:t>
            </w:r>
            <w:r>
              <w:rPr>
                <w:rFonts w:hint="eastAsia" w:ascii="宋体" w:hAnsi="宋体" w:cs="宋体"/>
                <w:kern w:val="2"/>
                <w:sz w:val="18"/>
                <w:szCs w:val="18"/>
                <w:lang w:val="en-US" w:eastAsia="zh-CN" w:bidi="ar-SA"/>
              </w:rPr>
              <w:t>等</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numPr>
                <w:ilvl w:val="0"/>
                <w:numId w:val="0"/>
              </w:numPr>
              <w:jc w:val="both"/>
              <w:rPr>
                <w:rFonts w:hint="eastAsia" w:ascii="宋体" w:hAnsi="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涉及敏感领域供应链信息或可能影响战略性矿产资源安全和产业</w:t>
            </w:r>
            <w:r>
              <w:rPr>
                <w:rFonts w:hint="eastAsia" w:ascii="宋体" w:hAnsi="宋体" w:cs="宋体"/>
                <w:sz w:val="18"/>
                <w:szCs w:val="18"/>
                <w:lang w:val="en-US" w:eastAsia="zh-CN"/>
              </w:rPr>
              <w:t>保障</w:t>
            </w:r>
            <w:r>
              <w:rPr>
                <w:rFonts w:hint="eastAsia" w:ascii="宋体" w:hAnsi="宋体" w:eastAsia="宋体" w:cs="宋体"/>
                <w:sz w:val="18"/>
                <w:szCs w:val="18"/>
                <w:lang w:val="en-US" w:eastAsia="zh-CN"/>
              </w:rPr>
              <w:t>的</w:t>
            </w:r>
            <w:r>
              <w:rPr>
                <w:rFonts w:hint="eastAsia" w:ascii="宋体" w:hAnsi="宋体" w:cs="宋体"/>
                <w:sz w:val="18"/>
                <w:szCs w:val="18"/>
                <w:lang w:val="en-US" w:eastAsia="zh-CN"/>
              </w:rPr>
              <w:t>；</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2.满足DZ/T 0400-2022《矿产资源储量规模划分标准》中大型储量标准的；</w:t>
            </w:r>
          </w:p>
          <w:p>
            <w:pPr>
              <w:numPr>
                <w:ilvl w:val="0"/>
                <w:numId w:val="0"/>
              </w:numPr>
              <w:jc w:val="both"/>
              <w:rPr>
                <w:rFonts w:hint="eastAsia" w:ascii="宋体" w:hAnsi="宋体" w:cs="宋体"/>
                <w:sz w:val="18"/>
                <w:szCs w:val="18"/>
                <w:lang w:val="en-US" w:eastAsia="zh-CN"/>
              </w:rPr>
            </w:pPr>
            <w:r>
              <w:rPr>
                <w:rFonts w:hint="eastAsia" w:ascii="宋体" w:hAnsi="宋体" w:cs="宋体"/>
                <w:sz w:val="18"/>
                <w:szCs w:val="18"/>
                <w:lang w:val="en-US" w:eastAsia="zh-CN"/>
              </w:rPr>
              <w:t>3.涉及锂、钴、镍、钨、锡、锑、钼、铂族、铀、钍等战略性矿产、关键金属的；</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kern w:val="2"/>
                <w:sz w:val="18"/>
                <w:szCs w:val="18"/>
                <w:lang w:val="en-US" w:eastAsia="zh-CN" w:bidi="ar-SA"/>
              </w:rPr>
              <w:t>经汇聚、分析后能够推算</w:t>
            </w:r>
            <w:r>
              <w:rPr>
                <w:rFonts w:hint="eastAsia" w:ascii="宋体" w:hAnsi="宋体" w:cs="宋体"/>
                <w:kern w:val="2"/>
                <w:sz w:val="18"/>
                <w:szCs w:val="18"/>
                <w:lang w:val="en-US" w:eastAsia="zh-CN" w:bidi="ar-SA"/>
              </w:rPr>
              <w:t>出</w:t>
            </w:r>
            <w:r>
              <w:rPr>
                <w:rFonts w:hint="eastAsia" w:ascii="宋体" w:hAnsi="宋体" w:eastAsia="宋体" w:cs="宋体"/>
                <w:kern w:val="2"/>
                <w:sz w:val="18"/>
                <w:szCs w:val="18"/>
                <w:lang w:val="en-US" w:eastAsia="zh-CN" w:bidi="ar-SA"/>
              </w:rPr>
              <w:t>未公开的国家经济运行情况</w:t>
            </w:r>
            <w:r>
              <w:rPr>
                <w:rFonts w:hint="eastAsia" w:ascii="宋体" w:hAnsi="宋体" w:cs="宋体"/>
                <w:kern w:val="2"/>
                <w:sz w:val="18"/>
                <w:szCs w:val="18"/>
                <w:lang w:val="en-US" w:eastAsia="zh-CN" w:bidi="ar-SA"/>
              </w:rPr>
              <w:t>、行业核心竞争力或产业生态发展</w:t>
            </w:r>
            <w:r>
              <w:rPr>
                <w:rFonts w:hint="eastAsia" w:ascii="宋体" w:hAnsi="宋体" w:eastAsia="宋体" w:cs="宋体"/>
                <w:kern w:val="2"/>
                <w:sz w:val="18"/>
                <w:szCs w:val="18"/>
                <w:lang w:val="en-US" w:eastAsia="zh-CN" w:bidi="ar-SA"/>
              </w:rPr>
              <w:t>的</w:t>
            </w:r>
            <w:r>
              <w:rPr>
                <w:rFonts w:hint="eastAsia" w:ascii="宋体" w:hAnsi="宋体" w:cs="宋体"/>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restar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供销</w:t>
            </w:r>
            <w:r>
              <w:rPr>
                <w:rFonts w:hint="eastAsia" w:ascii="宋体" w:hAnsi="宋体" w:eastAsia="宋体" w:cs="宋体"/>
                <w:sz w:val="18"/>
                <w:szCs w:val="18"/>
                <w:lang w:val="en-US" w:eastAsia="zh-CN"/>
              </w:rPr>
              <w:t>渠道</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核心</w:t>
            </w:r>
            <w:r>
              <w:rPr>
                <w:rFonts w:hint="eastAsia" w:ascii="宋体" w:hAnsi="宋体" w:cs="宋体"/>
                <w:sz w:val="18"/>
                <w:szCs w:val="18"/>
                <w:lang w:val="en-US" w:eastAsia="zh-CN"/>
              </w:rPr>
              <w:t>原料</w:t>
            </w:r>
            <w:r>
              <w:rPr>
                <w:rFonts w:hint="eastAsia" w:ascii="宋体" w:hAnsi="宋体" w:eastAsia="宋体" w:cs="宋体"/>
                <w:sz w:val="18"/>
                <w:szCs w:val="18"/>
                <w:lang w:val="en-US" w:eastAsia="zh-CN"/>
              </w:rPr>
              <w:t>采购信息</w:t>
            </w:r>
          </w:p>
        </w:tc>
        <w:tc>
          <w:tcPr>
            <w:tcW w:w="1655"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主要原料供应地</w:t>
            </w:r>
            <w:r>
              <w:rPr>
                <w:rFonts w:hint="eastAsia" w:ascii="宋体" w:hAnsi="宋体" w:cs="宋体"/>
                <w:sz w:val="18"/>
                <w:szCs w:val="18"/>
                <w:lang w:val="en-US" w:eastAsia="zh-CN"/>
              </w:rPr>
              <w:t>、储备规模</w:t>
            </w:r>
            <w:r>
              <w:rPr>
                <w:rFonts w:hint="eastAsia" w:ascii="宋体" w:hAnsi="宋体" w:eastAsia="宋体" w:cs="宋体"/>
                <w:sz w:val="18"/>
                <w:szCs w:val="18"/>
                <w:lang w:val="en-US" w:eastAsia="zh-CN"/>
              </w:rPr>
              <w:t>、采购量、长期协议及运输保障方案等</w:t>
            </w:r>
          </w:p>
        </w:tc>
        <w:tc>
          <w:tcPr>
            <w:tcW w:w="1656" w:type="pct"/>
            <w:vMerge w:val="restart"/>
            <w:shd w:val="clear" w:color="auto" w:fill="auto"/>
            <w:tcMar>
              <w:top w:w="180" w:type="dxa"/>
              <w:left w:w="270" w:type="dxa"/>
              <w:bottom w:w="180" w:type="dxa"/>
              <w:right w:w="270" w:type="dxa"/>
            </w:tcMar>
            <w:vAlign w:val="center"/>
          </w:tcPr>
          <w:p>
            <w:pPr>
              <w:jc w:val="both"/>
              <w:rPr>
                <w:rFonts w:hint="eastAsia" w:ascii="宋体" w:hAnsi="宋体" w:cs="宋体"/>
                <w:sz w:val="18"/>
                <w:szCs w:val="18"/>
                <w:lang w:val="en-US" w:eastAsia="zh-CN"/>
              </w:rPr>
            </w:pPr>
            <w:r>
              <w:rPr>
                <w:rFonts w:hint="eastAsia" w:ascii="宋体" w:hAnsi="宋体" w:eastAsia="宋体" w:cs="宋体"/>
                <w:sz w:val="18"/>
                <w:szCs w:val="18"/>
                <w:lang w:val="en-US" w:eastAsia="zh-CN"/>
              </w:rPr>
              <w:t>符合以下任意一项条件的：</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1.依赖进口且来源单一的，涉及稀有金属战略安全或供应链安全或可能影响原料市场定价权的；</w:t>
            </w:r>
          </w:p>
          <w:p>
            <w:pPr>
              <w:numPr>
                <w:ilvl w:val="0"/>
                <w:numId w:val="0"/>
              </w:numPr>
              <w:jc w:val="both"/>
              <w:rPr>
                <w:rFonts w:hint="eastAsia" w:ascii="宋体" w:hAnsi="宋体" w:cs="宋体"/>
                <w:sz w:val="18"/>
                <w:szCs w:val="18"/>
                <w:lang w:val="en-US" w:eastAsia="zh-CN"/>
              </w:rPr>
            </w:pPr>
            <w:r>
              <w:rPr>
                <w:rFonts w:hint="eastAsia" w:ascii="宋体" w:hAnsi="宋体" w:cs="宋体"/>
                <w:sz w:val="18"/>
                <w:szCs w:val="18"/>
                <w:lang w:val="en-US" w:eastAsia="zh-CN"/>
              </w:rPr>
              <w:t>2.涉及航空航天、国防军工、核工业、海洋工程等特种领域客户的；</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3.年度总销量≥企业年度总产量30% 或 ≥区域/行业同类产品年度销量10%的；</w:t>
            </w:r>
          </w:p>
          <w:p>
            <w:pPr>
              <w:numPr>
                <w:ilvl w:val="0"/>
                <w:numId w:val="0"/>
              </w:numPr>
              <w:jc w:val="both"/>
              <w:rPr>
                <w:rFonts w:hint="default" w:ascii="宋体" w:hAnsi="宋体" w:cs="宋体"/>
                <w:sz w:val="18"/>
                <w:szCs w:val="18"/>
                <w:lang w:val="en-US" w:eastAsia="zh-CN"/>
              </w:rPr>
            </w:pPr>
            <w:r>
              <w:rPr>
                <w:rFonts w:hint="eastAsia" w:ascii="宋体" w:hAnsi="宋体" w:cs="宋体"/>
                <w:sz w:val="18"/>
                <w:szCs w:val="18"/>
                <w:lang w:val="en-US" w:eastAsia="zh-CN"/>
              </w:rPr>
              <w:t>4.引发的级联效应明显，影响范围涉及多个行业、区域且影响持续时间长、影响程度严重的。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continue"/>
            <w:shd w:val="clear" w:color="auto" w:fill="auto"/>
            <w:tcMar>
              <w:top w:w="180" w:type="dxa"/>
              <w:left w:w="270" w:type="dxa"/>
              <w:bottom w:w="180" w:type="dxa"/>
              <w:right w:w="270" w:type="dxa"/>
            </w:tcMar>
            <w:vAlign w:val="center"/>
          </w:tcPr>
          <w:p>
            <w:pPr>
              <w:jc w:val="center"/>
              <w:rPr>
                <w:rFonts w:hint="eastAsia" w:ascii="宋体" w:hAnsi="宋体" w:cs="宋体"/>
                <w:sz w:val="18"/>
                <w:szCs w:val="18"/>
                <w:lang w:val="en-US" w:eastAsia="zh-CN"/>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产品销售去向数据</w:t>
            </w:r>
          </w:p>
        </w:tc>
        <w:tc>
          <w:tcPr>
            <w:tcW w:w="1655" w:type="pct"/>
            <w:shd w:val="clear" w:color="auto" w:fill="auto"/>
            <w:tcMar>
              <w:top w:w="180" w:type="dxa"/>
              <w:left w:w="270" w:type="dxa"/>
              <w:bottom w:w="180" w:type="dxa"/>
              <w:right w:w="270" w:type="dxa"/>
            </w:tcMar>
            <w:vAlign w:val="center"/>
          </w:tcPr>
          <w:p>
            <w:pPr>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核心产品的销售</w:t>
            </w:r>
            <w:r>
              <w:rPr>
                <w:rFonts w:hint="eastAsia" w:ascii="宋体" w:hAnsi="宋体" w:cs="宋体"/>
                <w:sz w:val="18"/>
                <w:szCs w:val="18"/>
                <w:lang w:val="en-US" w:eastAsia="zh-CN"/>
              </w:rPr>
              <w:t>客户</w:t>
            </w:r>
            <w:r>
              <w:rPr>
                <w:rFonts w:hint="eastAsia" w:ascii="宋体" w:hAnsi="宋体" w:eastAsia="宋体" w:cs="宋体"/>
                <w:sz w:val="18"/>
                <w:szCs w:val="18"/>
                <w:lang w:val="en-US" w:eastAsia="zh-CN"/>
              </w:rPr>
              <w:t>、数量、价格、交货周期、应用领域分布</w:t>
            </w:r>
            <w:r>
              <w:rPr>
                <w:rFonts w:hint="eastAsia" w:ascii="宋体" w:hAnsi="宋体" w:cs="宋体"/>
                <w:sz w:val="18"/>
                <w:szCs w:val="18"/>
                <w:lang w:val="en-US" w:eastAsia="zh-CN"/>
              </w:rPr>
              <w:t>等</w:t>
            </w:r>
          </w:p>
        </w:tc>
        <w:tc>
          <w:tcPr>
            <w:tcW w:w="1656" w:type="pct"/>
            <w:vMerge w:val="continue"/>
            <w:shd w:val="clear" w:color="auto" w:fill="auto"/>
            <w:tcMar>
              <w:top w:w="180" w:type="dxa"/>
              <w:left w:w="270" w:type="dxa"/>
              <w:bottom w:w="180" w:type="dxa"/>
              <w:right w:w="270" w:type="dxa"/>
            </w:tcMar>
            <w:vAlign w:val="center"/>
          </w:tcPr>
          <w:p>
            <w:pPr>
              <w:numPr>
                <w:ilvl w:val="0"/>
                <w:numId w:val="0"/>
              </w:numPr>
              <w:jc w:val="both"/>
              <w:rPr>
                <w:rFonts w:hint="eastAsia" w:ascii="宋体" w:hAnsi="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5"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A.4 行业特色场景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w:t>
      </w:r>
      <w:r>
        <w:rPr>
          <w:rFonts w:hint="eastAsia" w:ascii="宋体" w:hAnsi="宋体" w:cs="宋体"/>
          <w:color w:val="000000"/>
          <w:kern w:val="0"/>
          <w:sz w:val="19"/>
          <w:szCs w:val="19"/>
          <w:lang w:val="en-US" w:eastAsia="zh-CN" w:bidi="ar"/>
        </w:rPr>
        <w:t>围绕有色金属行业再生资源循环、新能源配套、稀有金属特种应用等特色场景，收集和产生的具有行业特殊性、战略重要性的数据。有色金属行业特色场景重要数据识别示例见表A.4。</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A.4 有色金属行业特色场景重要数据识别示例</w:t>
      </w:r>
    </w:p>
    <w:tbl>
      <w:tblPr>
        <w:tblStyle w:val="10"/>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39"/>
        <w:gridCol w:w="2017"/>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jc w:val="center"/>
        </w:trPr>
        <w:tc>
          <w:tcPr>
            <w:tcW w:w="67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7"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restar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再生资源循环</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废旧有色金属回收网络数据</w:t>
            </w:r>
            <w:r>
              <w:rPr>
                <w:rFonts w:hint="eastAsia" w:ascii="宋体" w:hAnsi="宋体" w:cs="宋体"/>
                <w:kern w:val="2"/>
                <w:sz w:val="18"/>
                <w:szCs w:val="18"/>
                <w:lang w:val="en-US" w:eastAsia="zh-CN" w:bidi="ar-SA"/>
              </w:rPr>
              <w:t>集</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再生资源回收站点分布、回收量、回收渠道、废旧物料来源、回收价格体系等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覆盖区域占全国再生资源回收量15%以上的回收网络数据；</w:t>
            </w:r>
          </w:p>
          <w:p>
            <w:pPr>
              <w:numPr>
                <w:ilvl w:val="0"/>
                <w:numId w:val="0"/>
              </w:numPr>
              <w:jc w:val="both"/>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kern w:val="2"/>
                <w:sz w:val="18"/>
                <w:szCs w:val="18"/>
                <w:lang w:val="en-US" w:eastAsia="zh-CN" w:bidi="ar-SA"/>
              </w:rPr>
              <w:t>涉及废旧动力电池、核工业废旧金属等特殊品类的回收数据，泄露可能影响资源循环安全的</w:t>
            </w:r>
            <w:r>
              <w:rPr>
                <w:rFonts w:hint="eastAsia" w:ascii="宋体" w:hAnsi="宋体" w:cs="宋体"/>
                <w:kern w:val="2"/>
                <w:sz w:val="18"/>
                <w:szCs w:val="18"/>
                <w:lang w:val="en-US" w:eastAsia="zh-CN" w:bidi="ar-SA"/>
              </w:rPr>
              <w:t>；</w:t>
            </w:r>
          </w:p>
          <w:p>
            <w:pPr>
              <w:numPr>
                <w:ilvl w:val="0"/>
                <w:numId w:val="0"/>
              </w:numPr>
              <w:jc w:val="both"/>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3.经汇聚、分析后能够推算出未公开的国家经济运行情况、行业核心竞争力或产业生态发展的。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continue"/>
            <w:shd w:val="clear" w:color="auto" w:fill="auto"/>
            <w:tcMar>
              <w:top w:w="180" w:type="dxa"/>
              <w:left w:w="270" w:type="dxa"/>
              <w:bottom w:w="180" w:type="dxa"/>
              <w:right w:w="270" w:type="dxa"/>
            </w:tcMar>
            <w:vAlign w:val="center"/>
          </w:tcPr>
          <w:p>
            <w:pPr>
              <w:jc w:val="both"/>
              <w:rPr>
                <w:rFonts w:hint="default" w:ascii="宋体" w:hAnsi="宋体" w:eastAsia="宋体" w:cs="宋体"/>
                <w:kern w:val="2"/>
                <w:sz w:val="18"/>
                <w:szCs w:val="18"/>
                <w:lang w:val="en-US" w:eastAsia="zh-CN" w:bidi="ar-SA"/>
              </w:rPr>
            </w:pP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再生精炼核心数据</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废旧金属分选参数、精炼工艺路线、再生金属纯度检测结果、固废资源化利用率等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再生工艺达到国际领先水平，未公开的核心数据；</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kern w:val="2"/>
                <w:sz w:val="18"/>
                <w:szCs w:val="18"/>
                <w:lang w:val="en-US" w:eastAsia="zh-CN" w:bidi="ar-SA"/>
              </w:rPr>
              <w:t>数据汇聚后可反映行业再生资源利用水平、环保技术实力</w:t>
            </w:r>
            <w:r>
              <w:rPr>
                <w:rFonts w:hint="eastAsia" w:ascii="宋体" w:hAnsi="宋体" w:cs="宋体"/>
                <w:kern w:val="2"/>
                <w:sz w:val="18"/>
                <w:szCs w:val="18"/>
                <w:lang w:val="en-US" w:eastAsia="zh-CN" w:bidi="ar-SA"/>
              </w:rPr>
              <w:t>，影响行业核心竞争力或产业生态发展的</w:t>
            </w:r>
            <w:r>
              <w:rPr>
                <w:rFonts w:hint="eastAsia" w:ascii="宋体" w:hAnsi="宋体" w:eastAsia="宋体" w:cs="宋体"/>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restar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新能源配套</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锂电/光伏用材料生产数据</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锂电铜箔/铝箔的厚度控制参数、抗拉强度检测数据、表面处理工艺；光伏铝型材的耐腐蚀性参数、强度优化数据等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用于动力电池、光伏电站核心部件生产的关键数据；</w:t>
            </w:r>
          </w:p>
          <w:p>
            <w:pPr>
              <w:numPr>
                <w:ilvl w:val="0"/>
                <w:numId w:val="0"/>
              </w:numPr>
              <w:jc w:val="both"/>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2.符合《中国禁止出口限制出口技术目录》中相关技术控制要点的。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3" w:type="pct"/>
            <w:vMerge w:val="continue"/>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储能用有色金属材料数据</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储能电池用镍、钴、锂等金属的提纯数据、合金配比数据、循环寿命测试结果等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适配大型储能电站的核心材料性能数据；</w:t>
            </w:r>
          </w:p>
          <w:p>
            <w:pPr>
              <w:numPr>
                <w:ilvl w:val="0"/>
                <w:numId w:val="0"/>
              </w:numPr>
              <w:jc w:val="both"/>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kern w:val="2"/>
                <w:sz w:val="18"/>
                <w:szCs w:val="18"/>
                <w:lang w:val="en-US" w:eastAsia="zh-CN" w:bidi="ar-SA"/>
              </w:rPr>
              <w:t>未公开的储能材料循环利用技术数据，影响行业核心竞争力或产业生态发展的。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3" w:type="pct"/>
            <w:vMerge w:val="restar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稀有金属特种应用</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稀有金属特种加工数据</w:t>
            </w:r>
          </w:p>
        </w:tc>
        <w:tc>
          <w:tcPr>
            <w:tcW w:w="1656" w:type="pct"/>
            <w:shd w:val="clear" w:color="auto" w:fill="auto"/>
            <w:tcMar>
              <w:top w:w="180" w:type="dxa"/>
              <w:left w:w="270" w:type="dxa"/>
              <w:bottom w:w="180" w:type="dxa"/>
              <w:right w:w="270" w:type="dxa"/>
            </w:tcMar>
            <w:vAlign w:val="center"/>
          </w:tcPr>
          <w:p>
            <w:pPr>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钛合金、锆合金等难熔金属的精密锻造参数、3D打印工艺数据、焊接技术文档</w:t>
            </w:r>
            <w:r>
              <w:rPr>
                <w:rFonts w:hint="eastAsia" w:ascii="宋体" w:hAnsi="宋体" w:cs="宋体"/>
                <w:kern w:val="2"/>
                <w:sz w:val="18"/>
                <w:szCs w:val="18"/>
                <w:lang w:val="en-US" w:eastAsia="zh-CN" w:bidi="ar-SA"/>
              </w:rPr>
              <w:t>；军工配套（不涉密）任务书、材料工艺规范、特种性能检测数据</w:t>
            </w:r>
            <w:r>
              <w:rPr>
                <w:rFonts w:hint="eastAsia" w:ascii="宋体" w:hAnsi="宋体" w:eastAsia="宋体" w:cs="宋体"/>
                <w:kern w:val="2"/>
                <w:sz w:val="18"/>
                <w:szCs w:val="18"/>
                <w:lang w:val="en-US" w:eastAsia="zh-CN" w:bidi="ar-SA"/>
              </w:rPr>
              <w:t>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用于航空航天、国防军工、核工业、海洋工程等特种领域的加工数据；</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sz w:val="18"/>
                <w:szCs w:val="18"/>
                <w:lang w:val="en-US" w:eastAsia="zh-CN"/>
              </w:rPr>
              <w:t>被列入国家重大专项、国家重点研发计划的</w:t>
            </w:r>
            <w:r>
              <w:rPr>
                <w:rFonts w:hint="eastAsia" w:ascii="宋体" w:hAnsi="宋体" w:eastAsia="宋体" w:cs="宋体"/>
                <w:kern w:val="2"/>
                <w:sz w:val="18"/>
                <w:szCs w:val="18"/>
                <w:lang w:val="en-US" w:eastAsia="zh-CN" w:bidi="ar-SA"/>
              </w:rPr>
              <w:t>稀有金属加工技术。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vMerge w:val="continue"/>
            <w:shd w:val="clear" w:color="auto" w:fill="auto"/>
            <w:tcMar>
              <w:top w:w="180" w:type="dxa"/>
              <w:left w:w="270" w:type="dxa"/>
              <w:bottom w:w="180" w:type="dxa"/>
              <w:right w:w="270" w:type="dxa"/>
            </w:tcMar>
            <w:vAlign w:val="center"/>
          </w:tcPr>
          <w:p>
            <w:pPr>
              <w:rPr>
                <w:rFonts w:hint="eastAsia" w:ascii="宋体" w:hAnsi="宋体" w:cs="宋体"/>
                <w:sz w:val="18"/>
                <w:szCs w:val="18"/>
                <w:lang w:val="en-US" w:eastAsia="zh-CN"/>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特种</w:t>
            </w:r>
            <w:r>
              <w:rPr>
                <w:rFonts w:hint="eastAsia" w:ascii="宋体" w:hAnsi="宋体" w:eastAsia="宋体" w:cs="宋体"/>
                <w:kern w:val="2"/>
                <w:sz w:val="18"/>
                <w:szCs w:val="18"/>
                <w:lang w:val="en-US" w:eastAsia="zh-CN" w:bidi="ar-SA"/>
              </w:rPr>
              <w:t>材料性能数据</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特种</w:t>
            </w:r>
            <w:r>
              <w:rPr>
                <w:rFonts w:hint="eastAsia" w:ascii="宋体" w:hAnsi="宋体" w:eastAsia="宋体" w:cs="宋体"/>
                <w:kern w:val="2"/>
                <w:sz w:val="18"/>
                <w:szCs w:val="18"/>
                <w:lang w:val="en-US" w:eastAsia="zh-CN" w:bidi="ar-SA"/>
              </w:rPr>
              <w:t>材料的矫顽力测试数据</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活性参数、使用寿命测试结果</w:t>
            </w:r>
            <w:r>
              <w:rPr>
                <w:rFonts w:hint="eastAsia" w:ascii="宋体" w:hAnsi="宋体" w:cs="宋体"/>
                <w:kern w:val="2"/>
                <w:sz w:val="18"/>
                <w:szCs w:val="18"/>
                <w:lang w:val="en-US" w:eastAsia="zh-CN" w:bidi="ar-SA"/>
              </w:rPr>
              <w:t>；锆合金核燃料包壳管工艺、核级认证数据、辐照试验数据</w:t>
            </w:r>
            <w:r>
              <w:rPr>
                <w:rFonts w:hint="eastAsia" w:ascii="宋体" w:hAnsi="宋体" w:eastAsia="宋体" w:cs="宋体"/>
                <w:kern w:val="2"/>
                <w:sz w:val="18"/>
                <w:szCs w:val="18"/>
                <w:lang w:val="en-US" w:eastAsia="zh-CN" w:bidi="ar-SA"/>
              </w:rPr>
              <w:t>等</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符合以下任意一项条件的：</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涉及高端电机、航天器件等核心部件的</w:t>
            </w:r>
            <w:r>
              <w:rPr>
                <w:rFonts w:hint="eastAsia" w:ascii="宋体" w:hAnsi="宋体" w:cs="宋体"/>
                <w:kern w:val="2"/>
                <w:sz w:val="18"/>
                <w:szCs w:val="18"/>
                <w:lang w:val="en-US" w:eastAsia="zh-CN" w:bidi="ar-SA"/>
              </w:rPr>
              <w:t>特种</w:t>
            </w:r>
            <w:r>
              <w:rPr>
                <w:rFonts w:hint="eastAsia" w:ascii="宋体" w:hAnsi="宋体" w:eastAsia="宋体" w:cs="宋体"/>
                <w:kern w:val="2"/>
                <w:sz w:val="18"/>
                <w:szCs w:val="18"/>
                <w:lang w:val="en-US" w:eastAsia="zh-CN" w:bidi="ar-SA"/>
              </w:rPr>
              <w:t>材料性能数据；</w:t>
            </w:r>
          </w:p>
          <w:p>
            <w:pPr>
              <w:numPr>
                <w:ilvl w:val="0"/>
                <w:numId w:val="0"/>
              </w:numPr>
              <w:jc w:val="both"/>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kern w:val="2"/>
                <w:sz w:val="18"/>
                <w:szCs w:val="18"/>
                <w:lang w:val="en-US" w:eastAsia="zh-CN" w:bidi="ar-SA"/>
              </w:rPr>
              <w:t>经分析可推导</w:t>
            </w:r>
            <w:r>
              <w:rPr>
                <w:rFonts w:hint="eastAsia" w:ascii="宋体" w:hAnsi="宋体" w:cs="宋体"/>
                <w:kern w:val="2"/>
                <w:sz w:val="18"/>
                <w:szCs w:val="18"/>
                <w:lang w:val="en-US" w:eastAsia="zh-CN" w:bidi="ar-SA"/>
              </w:rPr>
              <w:t>特种</w:t>
            </w:r>
            <w:r>
              <w:rPr>
                <w:rFonts w:hint="eastAsia" w:ascii="宋体" w:hAnsi="宋体" w:eastAsia="宋体" w:cs="宋体"/>
                <w:kern w:val="2"/>
                <w:sz w:val="18"/>
                <w:szCs w:val="18"/>
                <w:lang w:val="en-US" w:eastAsia="zh-CN" w:bidi="ar-SA"/>
              </w:rPr>
              <w:t>材料核心制备技术的。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7" w:type="pct"/>
            <w:shd w:val="clear" w:color="auto" w:fill="auto"/>
            <w:tcMar>
              <w:top w:w="180" w:type="dxa"/>
              <w:left w:w="270" w:type="dxa"/>
              <w:bottom w:w="180" w:type="dxa"/>
              <w:right w:w="270" w:type="dxa"/>
            </w:tcMar>
            <w:vAlign w:val="center"/>
          </w:tcPr>
          <w:p>
            <w:pPr>
              <w:jc w:val="both"/>
              <w:rPr>
                <w:rFonts w:hint="eastAsia" w:ascii="宋体" w:hAnsi="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pPr>
    </w:p>
    <w:p>
      <w:pPr>
        <w:keepNext w:val="0"/>
        <w:keepLines w:val="0"/>
        <w:widowControl/>
        <w:suppressLineNumbers w:val="0"/>
        <w:jc w:val="center"/>
      </w:pPr>
    </w:p>
    <w:p>
      <w:pPr>
        <w:keepNext w:val="0"/>
        <w:keepLines w:val="0"/>
        <w:widowControl/>
        <w:suppressLineNumbers w:val="0"/>
        <w:jc w:val="center"/>
        <w:sectPr>
          <w:pgSz w:w="11906" w:h="16838"/>
          <w:pgMar w:top="567" w:right="1134" w:bottom="1134" w:left="1417" w:header="1418" w:footer="1134" w:gutter="0"/>
          <w:pgBorders>
            <w:top w:val="none" w:sz="0" w:space="0"/>
            <w:left w:val="none" w:sz="0" w:space="0"/>
            <w:bottom w:val="none" w:sz="0" w:space="0"/>
            <w:right w:val="none" w:sz="0" w:space="0"/>
          </w:pgBorders>
          <w:pgNumType w:fmt="decimal"/>
          <w:cols w:space="0" w:num="1"/>
          <w:formProt w:val="0"/>
          <w:rtlGutter w:val="0"/>
          <w:docGrid w:type="lines" w:linePitch="312" w:charSpace="0"/>
        </w:sectPr>
      </w:pPr>
    </w:p>
    <w:p>
      <w:pPr>
        <w:pStyle w:val="33"/>
        <w:keepNext/>
        <w:keepLines w:val="0"/>
        <w:pageBreakBefore/>
        <w:widowControl/>
        <w:shd w:val="clear" w:color="FFFFFF" w:fill="FFFFFF"/>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附 录 </w:t>
      </w:r>
      <w:r>
        <w:rPr>
          <w:rFonts w:hint="eastAsia" w:hAnsi="黑体" w:cs="黑体"/>
          <w:b w:val="0"/>
          <w:bCs w:val="0"/>
          <w:sz w:val="21"/>
          <w:szCs w:val="21"/>
          <w:lang w:val="en-US" w:eastAsia="zh-CN"/>
        </w:rPr>
        <w:t>B</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(资料性)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有色金属行业工业数据分类分级清单示例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lang w:val="en-US"/>
        </w:rPr>
      </w:pPr>
      <w:r>
        <w:rPr>
          <w:rFonts w:hint="eastAsia" w:ascii="黑体" w:hAnsi="黑体" w:eastAsia="黑体" w:cs="黑体"/>
          <w:color w:val="000000"/>
          <w:kern w:val="0"/>
          <w:sz w:val="21"/>
          <w:szCs w:val="21"/>
          <w:lang w:val="en-US" w:eastAsia="zh-CN" w:bidi="ar"/>
        </w:rPr>
        <w:t>B.1 采选企业工业数据分类分级清单示例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采选企业工业数据具有强资源关联性、高安全风险及深产业链渗透特点，数据分类分级围绕研发、生产、运维等数据域，依据数据对资源安全、生产安全和企业竞争力的影响，划分为核心数据、重要数据和一般数据，精准覆盖矿产勘探、</w:t>
      </w:r>
      <w:r>
        <w:rPr>
          <w:rFonts w:hint="eastAsia" w:ascii="宋体" w:hAnsi="宋体" w:cs="宋体"/>
          <w:color w:val="000000"/>
          <w:kern w:val="0"/>
          <w:sz w:val="21"/>
          <w:szCs w:val="21"/>
          <w:lang w:val="en-US" w:eastAsia="zh-CN" w:bidi="ar"/>
        </w:rPr>
        <w:t>采选</w:t>
      </w:r>
      <w:r>
        <w:rPr>
          <w:rFonts w:hint="eastAsia" w:ascii="宋体" w:hAnsi="宋体" w:eastAsia="宋体" w:cs="宋体"/>
          <w:color w:val="000000"/>
          <w:kern w:val="0"/>
          <w:sz w:val="21"/>
          <w:szCs w:val="21"/>
          <w:lang w:val="en-US" w:eastAsia="zh-CN" w:bidi="ar"/>
        </w:rPr>
        <w:t>等关键数据。采选企业工业数据分类分级清单示例见表</w:t>
      </w:r>
      <w:r>
        <w:rPr>
          <w:rFonts w:hint="eastAsia" w:ascii="宋体" w:hAnsi="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黑体" w:hAnsi="黑体" w:eastAsia="黑体" w:cs="黑体"/>
          <w:color w:val="000000"/>
          <w:kern w:val="0"/>
          <w:sz w:val="21"/>
          <w:szCs w:val="21"/>
          <w:lang w:val="en-US" w:eastAsia="zh-CN" w:bidi="ar"/>
        </w:rPr>
        <w:t>表 B.1 采选企业工业数据分类分级清单示例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367"/>
        <w:gridCol w:w="127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20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矿产资源勘探数据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包含矿区地质构造图、矿产储量估算模型、钻孔岩芯分析数据、资源品位分布数据</w:t>
            </w:r>
            <w:r>
              <w:rPr>
                <w:rFonts w:hint="eastAsia" w:ascii="宋体" w:hAnsi="宋体" w:cs="宋体"/>
                <w:sz w:val="18"/>
                <w:szCs w:val="18"/>
                <w:lang w:val="en-US" w:eastAsia="zh-CN"/>
              </w:rPr>
              <w:t>、物相分析数据</w:t>
            </w:r>
            <w:r>
              <w:rPr>
                <w:rFonts w:hint="eastAsia" w:ascii="宋体" w:hAnsi="宋体" w:eastAsia="宋体" w:cs="宋体"/>
                <w:sz w:val="18"/>
                <w:szCs w:val="18"/>
                <w:lang w:val="en-US" w:eastAsia="zh-CN"/>
              </w:rPr>
              <w:t>等，是采选企业规划开采方案、评估资源价值的核心依据，直接关系企业战略布局和国家资源安全。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重要</w:t>
            </w:r>
            <w:r>
              <w:rPr>
                <w:rFonts w:hint="eastAsia" w:ascii="宋体" w:hAnsi="宋体" w:eastAsia="宋体" w:cs="宋体"/>
                <w:sz w:val="18"/>
                <w:szCs w:val="18"/>
                <w:lang w:val="en-US" w:eastAsia="zh-CN"/>
              </w:rPr>
              <w:t>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10-50GB（三维地质模型、钻孔数据等）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选矿工艺优化实验数据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涉及锂、钴等战略矿产选矿，或短流程选矿、低品位矿高效利用、尾矿资源化回收等先进工艺研发</w:t>
            </w:r>
            <w:r>
              <w:rPr>
                <w:rFonts w:hint="eastAsia" w:ascii="宋体" w:hAnsi="宋体" w:cs="宋体"/>
                <w:kern w:val="2"/>
                <w:sz w:val="18"/>
                <w:szCs w:val="18"/>
                <w:lang w:val="en-US" w:eastAsia="zh-CN" w:bidi="ar-SA"/>
              </w:rPr>
              <w:t>实验</w:t>
            </w:r>
            <w:r>
              <w:rPr>
                <w:rFonts w:hint="eastAsia" w:ascii="宋体" w:hAnsi="宋体" w:eastAsia="宋体" w:cs="宋体"/>
                <w:kern w:val="2"/>
                <w:sz w:val="18"/>
                <w:szCs w:val="18"/>
                <w:lang w:val="en-US" w:eastAsia="zh-CN" w:bidi="ar-SA"/>
              </w:rPr>
              <w:t>数据</w:t>
            </w:r>
            <w:r>
              <w:rPr>
                <w:rFonts w:hint="eastAsia" w:ascii="宋体" w:hAnsi="宋体" w:cs="宋体"/>
                <w:kern w:val="2"/>
                <w:sz w:val="18"/>
                <w:szCs w:val="18"/>
                <w:lang w:val="en-US" w:eastAsia="zh-CN" w:bidi="ar-SA"/>
              </w:rPr>
              <w:t>，是提升资源利用率、降低生产成本、实现绿色高效选矿、突破关键选矿技术瓶颈的重要基础。</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重要</w:t>
            </w:r>
            <w:r>
              <w:rPr>
                <w:rFonts w:hint="eastAsia" w:ascii="宋体" w:hAnsi="宋体" w:eastAsia="宋体" w:cs="宋体"/>
                <w:sz w:val="18"/>
                <w:szCs w:val="18"/>
                <w:lang w:val="en-US" w:eastAsia="zh-CN"/>
              </w:rPr>
              <w:t>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1-10GB（实验记录、参数对比表等）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选矿工艺优化实验数据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常规大宗矿产（如普通铜铁矿）的浮选药剂配比、磨矿细度与回收率关系、选矿流程模拟等一般性工艺优化</w:t>
            </w:r>
            <w:r>
              <w:rPr>
                <w:rFonts w:hint="eastAsia" w:ascii="宋体" w:hAnsi="宋体" w:cs="宋体"/>
                <w:sz w:val="18"/>
                <w:szCs w:val="18"/>
                <w:lang w:val="en-US" w:eastAsia="zh-CN"/>
              </w:rPr>
              <w:t>实验数据</w:t>
            </w:r>
            <w:r>
              <w:rPr>
                <w:rFonts w:hint="eastAsia" w:ascii="宋体" w:hAnsi="宋体" w:eastAsia="宋体" w:cs="宋体"/>
                <w:sz w:val="18"/>
                <w:szCs w:val="18"/>
                <w:lang w:val="en-US" w:eastAsia="zh-CN"/>
              </w:rPr>
              <w:t>，用于提升选矿效率</w:t>
            </w:r>
            <w:r>
              <w:rPr>
                <w:rFonts w:hint="eastAsia" w:ascii="宋体" w:hAnsi="宋体" w:cs="宋体"/>
                <w:sz w:val="18"/>
                <w:szCs w:val="18"/>
                <w:lang w:val="en-US" w:eastAsia="zh-CN"/>
              </w:rPr>
              <w:t>及</w:t>
            </w:r>
            <w:r>
              <w:rPr>
                <w:rFonts w:hint="eastAsia" w:ascii="宋体" w:hAnsi="宋体" w:eastAsia="宋体" w:cs="宋体"/>
                <w:sz w:val="18"/>
                <w:szCs w:val="18"/>
                <w:lang w:val="en-US" w:eastAsia="zh-CN"/>
              </w:rPr>
              <w:t>精矿品质。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1-10GB（实验记录、参数对比表等）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采矿方法开发数据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包括井下采矿方法（如充填采矿法、空场采矿法）的设计参数、稳定性模拟数据、现场试验效果记录等，关系采矿作业的安全性和资源回收率。</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5-20GB（采矿方案设计图、模拟仿真数据等）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采矿作业控制信息</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涵盖爆破参数（装药量、起爆时间）、井下开采面推进控制指令、提升机运行控制信号等，直接控制采矿作业流程，其准确性和安全性关乎生产安全与连续性。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100GB-1TB/年（实时控制指令、传感器流数据）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选矿工况状态数据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包括球磨机电流、浮选槽液位、矿浆浓度、尾矿库水位等实时监测数据，是判断选矿生产是否稳定的重要依据，可用于及时发现和处理生产异常。</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50GB-500GB/年（设备实时状态、环境监测数据）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关键工艺参数</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如选矿回收率目标值、精矿品位控制区间、采矿贫化率参数等，直接决定产品质量与资源利用率，是采选企业生产的核心指标，影响企业核心竞争力。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5-50GB/年（历史参数记录、优化阈值）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生产系统运行日志</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包括PLC系统操作日志、设备启停记录、数据采集异常报警日志等，主要用于故障追溯和系统维护，不直接涉及核心工艺和生产安全。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10-100GB/年（系统操作记录、错误日志）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设备运维记录数据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涵盖破碎机轴承更换记录、选矿设备润滑周期数据、关键部件寿命预测数据等，关系设备的可靠性和使用寿命，保障生产的连续稳定运行。</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1-5GB/年（维修记录、备件更换记录）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矿山物流调度数据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包括矿车运输路线规划、矿石从井下到选矿厂的转运记录、辅料（如炸药）配送调度数据等，反映矿山物流的效率和合理性。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500MB-2GB/年（运输路线、车次记录）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尾矿库运维数据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包含尾矿库坝体沉降位移监测数据、渗流量及水质监测数据、排洪系统运行状态记录等，直接关系尾矿库的安全，避免发生溃坝等重大安全事故。</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2-10GB/年（坝体位移监测、渗流数据等）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矿产资源储备数据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包括矿区内各类矿产的可采储量、储备分布区域、品位等级划分数据，以及短期和长期开采储备规划数据，是企业可持续生产的基础，关系国家资源安全和企业长远发展。</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5-30GB（可采储量、储备分布等）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生产物资储备数据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涵盖生产所需的关键设备备件库存数量及位置、炸药、浮选药剂等辅料的储备量及保质期数据，以及应急物资（如急救设备、防汛物资）的储备记录，保障生产的连续性和应对突发情况的能力。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1-10GB（备件库存、辅料储备等）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矿山资产台账数据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涵盖采矿权证书数字化信息、大型设备（如矿井提升机）资产原值与折旧数据、矿区土地使用范围坐标等，是企业合法运营的基础，关系企业的权益和生存发展。</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500MB-2GB（设备资产、土地权证等）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安全生产管理数据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包括井下安全检查记录、安全隐患排查与整改数据、重大危险源监控数据等，保障矿山生产安全，避免发生安全事故。</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500MB-2GB/年（安全检查记录、隐患整改数据等）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人力资源数据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包括员工基本信息、考勤记录、薪酬数据等，主要用于企业内部人力资源管理，不直接影响生产和行业竞争力。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100-500MB（员工信息、考勤记录等）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279"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1279"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环保管理数据</w:t>
            </w:r>
          </w:p>
        </w:tc>
        <w:tc>
          <w:tcPr>
            <w:tcW w:w="4367" w:type="dxa"/>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企业辖区的大气、水、噪声、土壤、固废处理等环境要素的监测结果，包括大气污染物浓度、废水排放指标、噪声分贝值、土壤重金属含量、固废产生及处置量等数据，关系企业可持续发展及周边生态环境安全。</w:t>
            </w:r>
          </w:p>
        </w:tc>
        <w:tc>
          <w:tcPr>
            <w:tcW w:w="1279"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1691"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50GB-300GB/年（实时监测数据、处置记录等）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精矿产品销售数据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包括精矿产品销售合同、客户信息、销售价格及数量记录等，关系企业的市场份额和经济效益，反映企业的市场竞争力。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1-5GB/年（销售合同、客户信息等）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原材料采购数据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如炸药、选矿药剂等原材料的采购合同、供应商信息、采购价格与渠道记录等，保障原材料的稳定供应，影响生产的连续性。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1-5GB/年（采购合同、供应商信息等）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生产经营统计数据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包括月度、季度及年度的采矿量、选矿量、主要技术经济指标统计数据</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生产成</w:t>
            </w:r>
            <w:r>
              <w:rPr>
                <w:rFonts w:hint="eastAsia" w:ascii="宋体" w:hAnsi="宋体" w:cs="宋体"/>
                <w:sz w:val="18"/>
                <w:szCs w:val="18"/>
                <w:lang w:val="en-US" w:eastAsia="zh-CN"/>
              </w:rPr>
              <w:t>本</w:t>
            </w:r>
            <w:r>
              <w:rPr>
                <w:rFonts w:hint="eastAsia" w:ascii="宋体" w:hAnsi="宋体" w:eastAsia="宋体" w:cs="宋体"/>
                <w:sz w:val="18"/>
                <w:szCs w:val="18"/>
                <w:lang w:val="en-US" w:eastAsia="zh-CN"/>
              </w:rPr>
              <w:t>核算数据等，用于企业内部经营管理和决策分析。</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500MB-2GB/年（产量统计、成本核算等）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行业政策法规数据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包括国家及地方关于采选行业的政策文件、法规解读、行业标准等，用于企业合规经营和战略调整。</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100-500MB（政策文件、法规解读等）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市场行情数据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如各类矿产资源及精矿产品的市场价格走势、市场需求预测数据等，用于企业调整生产计划和销售策略，应对市场变化。</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500MB-2GB（价格走势、市场需求等）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87" w:hRule="atLeast"/>
          <w:jc w:val="center"/>
        </w:trPr>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B.2 冶炼企业工业数据分类分级清单示例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冶炼企业工业数据具有高温高压环境下的强实时性、多环节工艺关联性及高环保安全敏感性特点，数据分类分级以研发、生产、运维等数据域为框架，按数据对冶炼工艺稳定性、产品质量、环保达标及企业核心竞争力的影响，划分为</w:t>
      </w:r>
      <w:r>
        <w:rPr>
          <w:rFonts w:hint="eastAsia" w:ascii="宋体" w:hAnsi="宋体" w:cs="宋体"/>
          <w:color w:val="000000"/>
          <w:kern w:val="0"/>
          <w:sz w:val="19"/>
          <w:szCs w:val="19"/>
          <w:lang w:val="en-US" w:eastAsia="zh-CN" w:bidi="ar"/>
        </w:rPr>
        <w:t>核心数据、重要数据</w:t>
      </w:r>
      <w:r>
        <w:rPr>
          <w:rFonts w:hint="eastAsia" w:ascii="宋体" w:hAnsi="宋体" w:eastAsia="宋体" w:cs="宋体"/>
          <w:color w:val="000000"/>
          <w:kern w:val="0"/>
          <w:sz w:val="19"/>
          <w:szCs w:val="19"/>
          <w:lang w:val="en-US" w:eastAsia="zh-CN" w:bidi="ar"/>
        </w:rPr>
        <w:t>和一般数据，涵盖熔炼参数、污染物排放监测等关键数据。冶炼企业工业数据分类分级清单示例见表</w:t>
      </w:r>
      <w:r>
        <w:rPr>
          <w:rFonts w:hint="eastAsia" w:ascii="宋体" w:hAnsi="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B.2 冶炼企业工业数据分类分级清单示例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367"/>
        <w:gridCol w:w="127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冶炼关键技术开发及工艺优化科研项目数据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国家科技计划项目相关数据，包括国家专项范围相关可行性研究报告、建设方案、科学数据、科技成果、产品技术研发路线以及相关知识产权数据，属于国家重大专项、重点研发计划等项目在规划和实施过程中产生的与国家科技安全相关高价值敏感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10-50GB（图纸文档、研究报告等）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冶炼工艺研发数据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包含新型冶炼工艺（如短流程冶炼、真空熔炼）的设计方案、关键参数（如反应温度、还原剂配比）、中试实验记录等，是企业技术突破和降本增效的核心支撑，直接决定冶炼效率与产品竞争力。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15-80GB（工艺设计图纸、实验参数等）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环保技术开发数据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包括污染物处理工艺（如烟气脱硫效率提升实验）、环保材料选型数据、超低排放技术验证报告等，关系企业环保合规性与绿色生产竞争力。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5-30GB（脱硫脱硝工艺、废水处理实验等）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冶炼关键系统组件、设备控制数据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转炉/电解槽的温度、压力、电流等实时控制指令，以及深冷制氧、湿法制砷等高危生产环节中关键系统组件、设备的控制信息，用于冶炼生产过程中生产指令操作、控制和调度工作，涉及行业内未公开的先进基础工艺、重点危险化学品生产存储/严重影响生产安全的关键控制系统及联网控制器。属于在生产制造过程中，收集和产生的与行业生产安全发展相关的先进基础工艺参数、控制信息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冶炼工况监测数据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包括冶炼炉窑的能耗数据（如吨铜能耗）、炉气成分（如一氧化碳浓度）、冷却水流量等实时监测数据，用于判断生产状态是否正常，是故障预警的关键依据。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100GB-1TB/年（设备运行状态、介质参数等）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生产系统运行日志</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包括控制系统操作记录、设备故障报警日志（非核心参数异常）、数据采集断点记录等，主要用于事后追溯，不直接影响实时生产。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50-300GB/年（操作记录、报警日志等）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关键设备运维数据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涵盖冶炼炉炉衬更换周期数据、电解槽大修工艺记录、真空泵等关键设备的振动/温度趋势分析，关系设备寿命与生产连续性，避免非计划停机。</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5-30GB/年（检修记录、备件更换记录等）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冶炼物料调度数据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包括矿石从料场到冶炼炉的配送计划、中间产品（如粗铜）转运记录、辅料（如焦炭）库存调配数据等，反映物料流转效率。</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2-10GB/年（原料配送路线、物料平衡表等）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危化品管理数据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包含冶炼硫酸、三氧化二砷、剧毒萃取剂等危化品的存储坐标、领用记录、泄漏应急处理预案数据，直接关系厂区安全与人员健康。</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1-5GB/年（存储位置、使用记录、应急处置等）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冶炼设备资产数据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涵盖熔炼炉、电解槽等核心设备的采购合同、折旧记录、技术参数），是企业生产能力的核心载体，关系固定资产管理与产能规划。</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2-10GB（设备台账、价值评估等）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安全生产管理数据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包括高温作业区安全防护记录、煤气泄漏应急演练视频数据、特种作业人员资质台账等，用于保障冶炼高风险环境下的生产安全。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2-10GB/年（隐患排查、应急演练等）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人力资源与培训数据
</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涵盖冶炼车间工人岗位资质、安全培训考核成绩、薪酬发放记录等，主要用于内部人事管理，不直接影响生产工艺。</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500MB-2GB（员工档案、培训记录等）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冶炼产品质量数据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包括产品成分检测报告、缺陷品追溯数据、客户反馈的质量异议处理记录，直接影响下游加工企业合作与品牌声誉。</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1-8GB/年（质检报告、追溯记录等）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原材料采购与供应链数据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如铜精矿、铝土矿、铅锌矿、氧化铝、阳极炭块等原材料采购价格与渠道、供应商产能数据、运输损耗率记录等，关系原材料成本控制与供应链稳定性（如突发断供风险）。</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5-30GB/年（供应商信息、采购合同等）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生产经营计划与统计数据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包括冶炼产量计划、各车间生产任务分配表、能耗、主要产品产量、主要技术经济指标统计报表等，用于经营分析。</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1-5GB/年（月度计划、产量报表等）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行业环保标准数据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如国家大气污染物排放标准、地方环保政策解读等，用于对标合规，不涉及企业核心技术。</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500MB-2GB（国标/行标文件、解读报告等）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上下游企业共享数据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如上游矿山的矿石品位预报数据、下游加工企业对高纯阴极铜的成分要求，用于调整生产计划，保障产业链协同效率。</w:t>
            </w:r>
          </w:p>
          <w:p>
            <w:pPr>
              <w:keepNext w:val="0"/>
              <w:keepLines w:val="0"/>
              <w:pageBreakBefore w:val="0"/>
              <w:widowControl w:val="0"/>
              <w:kinsoku/>
              <w:wordWrap/>
              <w:overflowPunct/>
              <w:topLinePunct w:val="0"/>
              <w:autoSpaceDE/>
              <w:autoSpaceDN/>
              <w:bidi w:val="0"/>
              <w:adjustRightInd/>
              <w:snapToGrid/>
              <w:ind w:left="361" w:leftChars="0" w:hanging="361" w:hangingChars="200"/>
              <w:jc w:val="both"/>
              <w:textAlignment w:val="auto"/>
              <w:rPr>
                <w:rFonts w:hint="default" w:ascii="宋体" w:hAnsi="宋体" w:eastAsia="宋体" w:cs="宋体"/>
                <w:sz w:val="18"/>
                <w:szCs w:val="18"/>
                <w:lang w:val="en-US" w:eastAsia="zh-CN"/>
              </w:rPr>
            </w:pPr>
            <w:r>
              <w:rPr>
                <w:rFonts w:hint="eastAsia" w:ascii="宋体" w:hAnsi="宋体" w:cs="宋体"/>
                <w:b/>
                <w:bCs/>
                <w:sz w:val="18"/>
                <w:szCs w:val="18"/>
                <w:lang w:val="en-US" w:eastAsia="zh-CN"/>
              </w:rPr>
              <w:t>注：</w:t>
            </w:r>
            <w:r>
              <w:rPr>
                <w:rFonts w:hint="eastAsia" w:ascii="宋体" w:hAnsi="宋体" w:cs="宋体"/>
                <w:b w:val="0"/>
                <w:bCs w:val="0"/>
                <w:sz w:val="18"/>
                <w:szCs w:val="18"/>
                <w:lang w:val="en-US" w:eastAsia="zh-CN"/>
              </w:rPr>
              <w:t>此处上下游不</w:t>
            </w:r>
            <w:r>
              <w:rPr>
                <w:rFonts w:hint="eastAsia" w:ascii="宋体" w:hAnsi="宋体" w:cs="宋体"/>
                <w:sz w:val="18"/>
                <w:szCs w:val="18"/>
                <w:lang w:val="en-US" w:eastAsia="zh-CN"/>
              </w:rPr>
              <w:t>涉及航空航天、国防军工、核工业、海洋工程等特种领域</w:t>
            </w:r>
            <w:r>
              <w:rPr>
                <w:rFonts w:hint="eastAsia" w:ascii="宋体" w:hAnsi="宋体" w:eastAsia="宋体" w:cs="宋体"/>
                <w:sz w:val="18"/>
                <w:szCs w:val="18"/>
                <w:lang w:val="en-US" w:eastAsia="zh-CN"/>
              </w:rPr>
              <w:t>企业</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1-5GB/年（需求预测、质量要求等）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rPr>
          <w:rFonts w:hint="eastAsia" w:ascii="黑体" w:hAnsi="黑体" w:eastAsia="黑体" w:cs="黑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B.3 加工企业工业数据分类分级清单示例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加工企业工业数据具有高精密性、多工序关联性及强客户定制化特征，数据分类分级以研发、生产、运维等数据域为基础，依据数据对加工精度、产品质量稳定性及市场竞争力的影响，划分为核心</w:t>
      </w:r>
      <w:r>
        <w:rPr>
          <w:rFonts w:hint="eastAsia" w:ascii="宋体" w:hAnsi="宋体" w:cs="宋体"/>
          <w:color w:val="000000"/>
          <w:kern w:val="0"/>
          <w:sz w:val="19"/>
          <w:szCs w:val="19"/>
          <w:lang w:val="en-US" w:eastAsia="zh-CN" w:bidi="ar"/>
        </w:rPr>
        <w:t>数据</w:t>
      </w:r>
      <w:r>
        <w:rPr>
          <w:rFonts w:hint="eastAsia" w:ascii="宋体" w:hAnsi="宋体" w:eastAsia="宋体" w:cs="宋体"/>
          <w:color w:val="000000"/>
          <w:kern w:val="0"/>
          <w:sz w:val="19"/>
          <w:szCs w:val="19"/>
          <w:lang w:val="en-US" w:eastAsia="zh-CN" w:bidi="ar"/>
        </w:rPr>
        <w:t>、重要</w:t>
      </w:r>
      <w:r>
        <w:rPr>
          <w:rFonts w:hint="eastAsia" w:ascii="宋体" w:hAnsi="宋体" w:cs="宋体"/>
          <w:color w:val="000000"/>
          <w:kern w:val="0"/>
          <w:sz w:val="19"/>
          <w:szCs w:val="19"/>
          <w:lang w:val="en-US" w:eastAsia="zh-CN" w:bidi="ar"/>
        </w:rPr>
        <w:t>数据</w:t>
      </w:r>
      <w:r>
        <w:rPr>
          <w:rFonts w:hint="eastAsia" w:ascii="宋体" w:hAnsi="宋体" w:eastAsia="宋体" w:cs="宋体"/>
          <w:color w:val="000000"/>
          <w:kern w:val="0"/>
          <w:sz w:val="19"/>
          <w:szCs w:val="19"/>
          <w:lang w:val="en-US" w:eastAsia="zh-CN" w:bidi="ar"/>
        </w:rPr>
        <w:t>和一般数据，覆盖工艺参数、质量检测等关键数据。加工企业工业数据分类分级清单示例见表</w:t>
      </w:r>
      <w:r>
        <w:rPr>
          <w:rFonts w:hint="eastAsia" w:ascii="宋体" w:hAnsi="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B.3 加工企业工业数据分类分级清单示例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090"/>
        <w:gridCol w:w="1287"/>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06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产品研发设计数据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包含各类有色金属加工产品（如铝合金型材、铜箔等）的三维模型、结构设计图纸、材料选用参数等，是产品研发的核心成果，直接影响产品性能和市场竞争力。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20-100GB（三维模型、设计图纸等）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工艺改进实验数据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涵盖轧制工艺参数调整实验、热处理工艺改进数据、表面处理效果测试记录等，用于提升产品质量和生产效率，对企业经济效益有重要影响。</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5-30GB（实验记录、参数优化数据等）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新设备开发适配数据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包括为适应新型加工工艺而开发的设备参数匹配数据、设备调试过程中的运行数据、设备与工艺适配性测试记录等。</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10-50GB（设备参数匹配、调试数据等）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关键工艺参数</w:t>
            </w:r>
          </w:p>
        </w:tc>
        <w:tc>
          <w:tcPr>
            <w:tcW w:w="2066" w:type="pct"/>
            <w:shd w:val="clear" w:color="auto" w:fill="auto"/>
            <w:tcMar>
              <w:top w:w="180" w:type="dxa"/>
              <w:left w:w="270" w:type="dxa"/>
              <w:bottom w:w="180" w:type="dxa"/>
              <w:right w:w="270" w:type="dxa"/>
            </w:tcMar>
            <w:vAlign w:val="center"/>
          </w:tcPr>
          <w:p>
            <w:pPr>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包括</w:t>
            </w:r>
            <w:r>
              <w:rPr>
                <w:rFonts w:hint="eastAsia" w:ascii="宋体" w:hAnsi="宋体" w:eastAsia="宋体" w:cs="宋体"/>
                <w:sz w:val="18"/>
                <w:szCs w:val="18"/>
                <w:lang w:val="en-US" w:eastAsia="zh-CN"/>
              </w:rPr>
              <w:t>钛合金等温锻工艺参数集、核级锆管表面光洁度控制数据</w:t>
            </w:r>
            <w:r>
              <w:rPr>
                <w:rFonts w:hint="eastAsia" w:ascii="宋体" w:hAnsi="宋体" w:cs="宋体"/>
                <w:sz w:val="18"/>
                <w:szCs w:val="18"/>
                <w:lang w:val="en-US" w:eastAsia="zh-CN"/>
              </w:rPr>
              <w:t>等</w:t>
            </w:r>
          </w:p>
        </w:tc>
        <w:tc>
          <w:tcPr>
            <w:tcW w:w="650"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核心数据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50-200GB/型号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关键质量参数</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如产品尺寸公差范围、力学性能指标（抗拉强度、延伸率）、表面粗糙度要求等，直接决定产品是否符合标准，是企业产品质量的核心体现。</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10-80GB/年（质量检测标准、历史数据等）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生产过程控制信息</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涵盖轧制速度控制指令、温度调节信号、压力控制参数等，直接控制加工生产流程，其准确性和稳定性关乎产品质量与生产安全。</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生产工况监测数据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包括加工设备运行转速、电流、温度，车间环境温湿度、粉尘浓度等实时监测数据，是判断生产是否正常的重要依据，可及时发现生产异常。</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100GB-1GB/年（设备运行状态、环境数据等）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设备维护保养数据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涵盖加工设备定期保养计划、零部件更换记录、故障维修报告等，关系设备的使用寿命和运行稳定性，保障生产连续进行。</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5-20GB/年（保养计划、维修记录等）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生产物料调度数据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包括原材料从仓库到生产线的配送路线、加工成品的转运记录、物料批次追溯数据等，反映生产物料流转效率。</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1-5GB/年（物料配送路线、批次记录等）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工具工装管理数据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包含模具尺寸参数、刀具使用寿命记录、工装夹具维护数据等，直接影响加工精度和产品质量，避免因工具问题导致生产事故。</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2-10GB/年（工具参数、使用寿命记录等）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生产设备资产数据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涵盖加工设备（如轧机、冲压机）的资产台账、购置价值、折旧记录、设备技术参数等，是企业生产资产的重要组成部分，关系企业生产能力。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1-5GB（设备台账、价值评估等）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生产安全管理数据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包括车间安全检查记录、生产安全隐患整改数据、应急演练方案及结果记录等，保障生产过程中的人员和设备安全。</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1-5GB/年（安全检查记录、应急演练数据等）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人员岗位技能数据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包括员工岗位技能证书、专业培训记录、技能考核成绩等，主要用于人员岗位调配和技能提升管理，不直接影响核心生产。</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200-800MB（技能证书、培训记录等）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产品销售订单数据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包括产品销售订单详情、客户对产品的特殊要求、交货期约定等，关系企业的市场份额和客户满意度，反映企业市场响应能力。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5-20GB/年（订单信息、客户需求等）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原材料采购供应数据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如有色金属原材料采购计划、供应商资质数据、采购价格及交货周期记录等，保障原材料稳定供应，影响生产连续性。</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5-20GB/年（采购计划、供应商信息等）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生产经营分析数据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包括月度及年度生产产量分析、产品成本核算、生产效率统计等数据，用于企业内部经营决策和管理优化。</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1-5GB/年（产量分析、成本核算等）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行业技术标准数据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包括国家及行业关于有色金属加工产品的技术标准、质量规范、环保要求等，用于指导企业生产合规产品。</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200-1000MB（标准文件、规范要求等）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市场竞争动态数据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如竞争对手的产品特点、市场价格策略、市场占有率变化等数据，用于企业制定市场竞争策略，应对市场变化。</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1-5GB（竞争对手信息、市场份额等）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7" w:hRule="atLeast"/>
          <w:jc w:val="center"/>
        </w:trPr>
        <w:tc>
          <w:tcPr>
            <w:tcW w:w="1279"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279"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4090" w:type="dxa"/>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287"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960" w:type="dxa"/>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
      <w:r>
        <w:br w:type="page"/>
      </w:r>
    </w:p>
    <w:p>
      <w:pPr>
        <w:pStyle w:val="33"/>
        <w:rPr>
          <w:rFonts w:hint="eastAsia"/>
        </w:rPr>
      </w:pPr>
      <w:r>
        <w:rPr>
          <w:rFonts w:hint="eastAsia" w:ascii="黑体" w:hAnsi="黑体" w:eastAsia="黑体" w:cs="黑体"/>
          <w:b w:val="0"/>
          <w:bCs w:val="0"/>
          <w:sz w:val="21"/>
          <w:szCs w:val="21"/>
          <w:lang w:val="en-US" w:eastAsia="zh-CN"/>
        </w:rPr>
        <w:t>参 考 文 献</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lang w:val="en-US" w:eastAsia="zh-CN"/>
        </w:rPr>
        <w:t>[1] 中华人民共和国网络安全法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[2] 中华人民共和国数据安全法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[3] 中华人民共和国个人信息保护法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[4] 网络数据安全管理条例</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 xml:space="preserve">[5] </w:t>
      </w:r>
      <w:r>
        <w:rPr>
          <w:rFonts w:hint="eastAsia" w:ascii="宋体" w:hAnsi="Times New Roman" w:eastAsia="宋体" w:cs="Times New Roman"/>
        </w:rPr>
        <w:t>工业领域重要数据识别指南</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 xml:space="preserve">[6] </w:t>
      </w:r>
      <w:r>
        <w:rPr>
          <w:rFonts w:hint="eastAsia" w:ascii="宋体" w:hAnsi="宋体" w:eastAsia="宋体" w:cs="宋体"/>
          <w:color w:val="auto"/>
          <w:kern w:val="2"/>
          <w:sz w:val="21"/>
          <w:szCs w:val="21"/>
          <w:lang w:val="en-US" w:eastAsia="zh-CN"/>
        </w:rPr>
        <w:t>工业数据分类分级指南（试行）</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[7] 工业和信息化领域数据安全管理办法（试行）</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[8] 工业领域数据安全能力提升实施方案（2024-2026年）</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p>
    <w:p>
      <w:pPr>
        <w:pStyle w:val="30"/>
        <w:bidi w:val="0"/>
        <w:jc w:val="center"/>
        <w:rPr>
          <w:rFonts w:hint="default"/>
          <w:lang w:val="en-US" w:eastAsia="zh-CN"/>
        </w:rPr>
      </w:pPr>
      <w:r>
        <w:rPr>
          <w:rFonts w:hint="eastAsia"/>
          <w:lang w:val="en-US" w:eastAsia="zh-CN"/>
        </w:rPr>
        <w:t>______________________________</w:t>
      </w:r>
    </w:p>
    <w:sectPr>
      <w:pgSz w:w="11906" w:h="16838"/>
      <w:pgMar w:top="567" w:right="1134" w:bottom="1134" w:left="1417" w:header="1418" w:footer="1134" w:gutter="0"/>
      <w:pgBorders>
        <w:top w:val="none" w:sz="0" w:space="0"/>
        <w:left w:val="none" w:sz="0" w:space="0"/>
        <w:bottom w:val="none" w:sz="0" w:space="0"/>
        <w:right w:val="none" w:sz="0" w:space="0"/>
      </w:pgBorders>
      <w:pgNumType w:fmt="decimal"/>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rPr>
      <w:t>YS/T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DFE66"/>
    <w:multiLevelType w:val="multilevel"/>
    <w:tmpl w:val="8AADFE66"/>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3C870A6"/>
    <w:multiLevelType w:val="multilevel"/>
    <w:tmpl w:val="93C870A6"/>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A3B7D1F4"/>
    <w:multiLevelType w:val="multilevel"/>
    <w:tmpl w:val="A3B7D1F4"/>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FCA8EC13"/>
    <w:multiLevelType w:val="multilevel"/>
    <w:tmpl w:val="FCA8EC13"/>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8EB0778"/>
    <w:multiLevelType w:val="multilevel"/>
    <w:tmpl w:val="08EB077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F9C7C17"/>
    <w:multiLevelType w:val="multilevel"/>
    <w:tmpl w:val="0F9C7C17"/>
    <w:lvl w:ilvl="0" w:tentative="0">
      <w:start w:val="1"/>
      <w:numFmt w:val="decimal"/>
      <w:lvlText w:val="%1"/>
      <w:lvlJc w:val="left"/>
      <w:pPr>
        <w:ind w:left="432" w:hanging="432"/>
      </w:pPr>
      <w:rPr>
        <w:rFonts w:hint="default"/>
        <w:b/>
        <w:bCs/>
      </w:rPr>
    </w:lvl>
    <w:lvl w:ilvl="1" w:tentative="0">
      <w:start w:val="1"/>
      <w:numFmt w:val="decimal"/>
      <w:pStyle w:val="2"/>
      <w:lvlText w:val="%1.%2"/>
      <w:lvlJc w:val="left"/>
      <w:pPr>
        <w:ind w:left="576" w:hanging="576"/>
      </w:pPr>
      <w:rPr>
        <w:rFonts w:hint="default" w:ascii="黑体" w:hAnsi="黑体" w:eastAsia="黑体"/>
        <w:b/>
        <w:bCs/>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ascii="黑体" w:hAnsi="黑体" w:eastAsia="黑体"/>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1F6A8368"/>
    <w:multiLevelType w:val="multilevel"/>
    <w:tmpl w:val="1F6A836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none"/>
      <w:lvlText w:val="注："/>
      <w:lvlJc w:val="left"/>
      <w:pPr>
        <w:ind w:left="1270" w:leftChars="0" w:hanging="430" w:firstLineChars="0"/>
      </w:pPr>
      <w:rPr>
        <w:rFonts w:hint="default" w:ascii="黑体" w:hAnsi="黑体" w:eastAsia="黑体" w:cs="黑体"/>
        <w:b w:val="0"/>
        <w:bC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B52EDBE"/>
    <w:multiLevelType w:val="multilevel"/>
    <w:tmpl w:val="2B52EDBE"/>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4D6E7ED1"/>
    <w:multiLevelType w:val="multilevel"/>
    <w:tmpl w:val="4D6E7ED1"/>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500CA415"/>
    <w:multiLevelType w:val="multilevel"/>
    <w:tmpl w:val="500CA415"/>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46260FA"/>
    <w:multiLevelType w:val="multilevel"/>
    <w:tmpl w:val="646260FA"/>
    <w:lvl w:ilvl="0" w:tentative="0">
      <w:start w:val="1"/>
      <w:numFmt w:val="decimal"/>
      <w:pStyle w:val="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D1C5BB0"/>
    <w:multiLevelType w:val="multilevel"/>
    <w:tmpl w:val="6D1C5BB0"/>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ACCCBAA"/>
    <w:multiLevelType w:val="multilevel"/>
    <w:tmpl w:val="7ACCCBAA"/>
    <w:lvl w:ilvl="0" w:tentative="0">
      <w:start w:val="1"/>
      <w:numFmt w:val="lowerLetter"/>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5"/>
  </w:num>
  <w:num w:numId="2">
    <w:abstractNumId w:val="10"/>
  </w:num>
  <w:num w:numId="3">
    <w:abstractNumId w:val="11"/>
  </w:num>
  <w:num w:numId="4">
    <w:abstractNumId w:val="13"/>
  </w:num>
  <w:num w:numId="5">
    <w:abstractNumId w:val="12"/>
  </w:num>
  <w:num w:numId="6">
    <w:abstractNumId w:val="1"/>
  </w:num>
  <w:num w:numId="7">
    <w:abstractNumId w:val="6"/>
  </w:num>
  <w:num w:numId="8">
    <w:abstractNumId w:val="7"/>
  </w:num>
  <w:num w:numId="9">
    <w:abstractNumId w:val="2"/>
  </w:num>
  <w:num w:numId="10">
    <w:abstractNumId w:val="9"/>
  </w:num>
  <w:num w:numId="11">
    <w:abstractNumId w:val="8"/>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ZmNhODdlMGIxMDc1Mjk0NzgyMzFlNDY4MjM2MDAifQ=="/>
  </w:docVars>
  <w:rsids>
    <w:rsidRoot w:val="39F16015"/>
    <w:rsid w:val="003C4B21"/>
    <w:rsid w:val="003D49F4"/>
    <w:rsid w:val="004D720D"/>
    <w:rsid w:val="00C63F9E"/>
    <w:rsid w:val="010C0502"/>
    <w:rsid w:val="010D654B"/>
    <w:rsid w:val="017352C6"/>
    <w:rsid w:val="01975272"/>
    <w:rsid w:val="01BF7B19"/>
    <w:rsid w:val="01DA1937"/>
    <w:rsid w:val="01DF087E"/>
    <w:rsid w:val="01E65CA9"/>
    <w:rsid w:val="01EA7217"/>
    <w:rsid w:val="01F4435B"/>
    <w:rsid w:val="02014C63"/>
    <w:rsid w:val="022A2F1B"/>
    <w:rsid w:val="02634379"/>
    <w:rsid w:val="02755A93"/>
    <w:rsid w:val="028C64FB"/>
    <w:rsid w:val="028E7122"/>
    <w:rsid w:val="029E2A92"/>
    <w:rsid w:val="02B01E28"/>
    <w:rsid w:val="02DD6DC6"/>
    <w:rsid w:val="02EB0DDA"/>
    <w:rsid w:val="02F7430E"/>
    <w:rsid w:val="030B000A"/>
    <w:rsid w:val="030D12B9"/>
    <w:rsid w:val="03161237"/>
    <w:rsid w:val="03256636"/>
    <w:rsid w:val="03713232"/>
    <w:rsid w:val="03816D4F"/>
    <w:rsid w:val="03A7370C"/>
    <w:rsid w:val="040B51EE"/>
    <w:rsid w:val="04253FDA"/>
    <w:rsid w:val="04447FB3"/>
    <w:rsid w:val="04492F15"/>
    <w:rsid w:val="04513BA5"/>
    <w:rsid w:val="0456002C"/>
    <w:rsid w:val="04787118"/>
    <w:rsid w:val="04CA68E2"/>
    <w:rsid w:val="04DB3800"/>
    <w:rsid w:val="04E318E3"/>
    <w:rsid w:val="05145458"/>
    <w:rsid w:val="052E228E"/>
    <w:rsid w:val="054576D8"/>
    <w:rsid w:val="05471393"/>
    <w:rsid w:val="05502363"/>
    <w:rsid w:val="055424CE"/>
    <w:rsid w:val="055A6407"/>
    <w:rsid w:val="055F62E0"/>
    <w:rsid w:val="057B3CD5"/>
    <w:rsid w:val="05972365"/>
    <w:rsid w:val="05B74BAA"/>
    <w:rsid w:val="05CD5A38"/>
    <w:rsid w:val="05F33875"/>
    <w:rsid w:val="064A2E72"/>
    <w:rsid w:val="065751F3"/>
    <w:rsid w:val="065910BF"/>
    <w:rsid w:val="065D535C"/>
    <w:rsid w:val="06765AA8"/>
    <w:rsid w:val="06AA4FFE"/>
    <w:rsid w:val="06B6300F"/>
    <w:rsid w:val="06B75EE8"/>
    <w:rsid w:val="06F306ED"/>
    <w:rsid w:val="072169E8"/>
    <w:rsid w:val="072858CC"/>
    <w:rsid w:val="077C7554"/>
    <w:rsid w:val="07903FF7"/>
    <w:rsid w:val="07CA2ED7"/>
    <w:rsid w:val="07F6721E"/>
    <w:rsid w:val="07FA7E23"/>
    <w:rsid w:val="081741D0"/>
    <w:rsid w:val="08444D9F"/>
    <w:rsid w:val="0853529F"/>
    <w:rsid w:val="085952CD"/>
    <w:rsid w:val="085A7C23"/>
    <w:rsid w:val="08670428"/>
    <w:rsid w:val="087538A2"/>
    <w:rsid w:val="08BB1E7B"/>
    <w:rsid w:val="08E01DA3"/>
    <w:rsid w:val="09161874"/>
    <w:rsid w:val="098531AD"/>
    <w:rsid w:val="09883B98"/>
    <w:rsid w:val="098F0FA5"/>
    <w:rsid w:val="099B5BD7"/>
    <w:rsid w:val="09B14312"/>
    <w:rsid w:val="09BF1E8A"/>
    <w:rsid w:val="09D310CA"/>
    <w:rsid w:val="0A0100FD"/>
    <w:rsid w:val="0A413560"/>
    <w:rsid w:val="0A6506AD"/>
    <w:rsid w:val="0A742AB5"/>
    <w:rsid w:val="0A920D6E"/>
    <w:rsid w:val="0ADD4F4A"/>
    <w:rsid w:val="0AE5406E"/>
    <w:rsid w:val="0AE65372"/>
    <w:rsid w:val="0BA51A18"/>
    <w:rsid w:val="0BB9314C"/>
    <w:rsid w:val="0C02670B"/>
    <w:rsid w:val="0C1237DB"/>
    <w:rsid w:val="0C420E51"/>
    <w:rsid w:val="0C89471E"/>
    <w:rsid w:val="0C9E289C"/>
    <w:rsid w:val="0CD90829"/>
    <w:rsid w:val="0CDF2E28"/>
    <w:rsid w:val="0D003464"/>
    <w:rsid w:val="0D4C342B"/>
    <w:rsid w:val="0D4C6FD9"/>
    <w:rsid w:val="0D7D62B0"/>
    <w:rsid w:val="0D9D78B8"/>
    <w:rsid w:val="0DAB6F43"/>
    <w:rsid w:val="0DAE2F9F"/>
    <w:rsid w:val="0DCF5612"/>
    <w:rsid w:val="0DFA7DB2"/>
    <w:rsid w:val="0E033F7A"/>
    <w:rsid w:val="0E246085"/>
    <w:rsid w:val="0E2F1962"/>
    <w:rsid w:val="0E324ADA"/>
    <w:rsid w:val="0E3A1CFF"/>
    <w:rsid w:val="0E46377B"/>
    <w:rsid w:val="0E62693A"/>
    <w:rsid w:val="0E960F7B"/>
    <w:rsid w:val="0EA17AC9"/>
    <w:rsid w:val="0EBA2435"/>
    <w:rsid w:val="0EDF5004"/>
    <w:rsid w:val="0EE2320B"/>
    <w:rsid w:val="0EE42D5D"/>
    <w:rsid w:val="0F20631E"/>
    <w:rsid w:val="0F262DE9"/>
    <w:rsid w:val="0F4C207B"/>
    <w:rsid w:val="0F530435"/>
    <w:rsid w:val="0F5F7EB5"/>
    <w:rsid w:val="0F642379"/>
    <w:rsid w:val="0F697787"/>
    <w:rsid w:val="0F6D575B"/>
    <w:rsid w:val="0F7E1C23"/>
    <w:rsid w:val="0F914696"/>
    <w:rsid w:val="102E0E8F"/>
    <w:rsid w:val="104E02CD"/>
    <w:rsid w:val="10677240"/>
    <w:rsid w:val="10B647F9"/>
    <w:rsid w:val="10D242CF"/>
    <w:rsid w:val="10D53811"/>
    <w:rsid w:val="111B4D7F"/>
    <w:rsid w:val="11825B20"/>
    <w:rsid w:val="11B248DD"/>
    <w:rsid w:val="11B54A9B"/>
    <w:rsid w:val="11DC1F34"/>
    <w:rsid w:val="11DF2DD0"/>
    <w:rsid w:val="11E051E0"/>
    <w:rsid w:val="11F34201"/>
    <w:rsid w:val="120C4DAA"/>
    <w:rsid w:val="12290C30"/>
    <w:rsid w:val="1235718D"/>
    <w:rsid w:val="12396910"/>
    <w:rsid w:val="123D1F30"/>
    <w:rsid w:val="12552C20"/>
    <w:rsid w:val="125606A2"/>
    <w:rsid w:val="126C2760"/>
    <w:rsid w:val="128E689D"/>
    <w:rsid w:val="12B90746"/>
    <w:rsid w:val="130A68F5"/>
    <w:rsid w:val="13122451"/>
    <w:rsid w:val="13693592"/>
    <w:rsid w:val="138E0F73"/>
    <w:rsid w:val="139530F9"/>
    <w:rsid w:val="13A7230D"/>
    <w:rsid w:val="13C4117D"/>
    <w:rsid w:val="13C92B52"/>
    <w:rsid w:val="13CF716E"/>
    <w:rsid w:val="140673BA"/>
    <w:rsid w:val="14155180"/>
    <w:rsid w:val="1429347C"/>
    <w:rsid w:val="143C0B97"/>
    <w:rsid w:val="143D2B06"/>
    <w:rsid w:val="14691EDC"/>
    <w:rsid w:val="146E3FB5"/>
    <w:rsid w:val="146F0FA4"/>
    <w:rsid w:val="1478454C"/>
    <w:rsid w:val="148771E4"/>
    <w:rsid w:val="148B0641"/>
    <w:rsid w:val="14994BCF"/>
    <w:rsid w:val="14C72A25"/>
    <w:rsid w:val="14DF394F"/>
    <w:rsid w:val="14F670A8"/>
    <w:rsid w:val="15170225"/>
    <w:rsid w:val="15200185"/>
    <w:rsid w:val="1554409C"/>
    <w:rsid w:val="158D1D41"/>
    <w:rsid w:val="15D12ED7"/>
    <w:rsid w:val="15D361A8"/>
    <w:rsid w:val="15ED751A"/>
    <w:rsid w:val="15FB3539"/>
    <w:rsid w:val="15FE79D5"/>
    <w:rsid w:val="16026F29"/>
    <w:rsid w:val="16241B5D"/>
    <w:rsid w:val="164C77AA"/>
    <w:rsid w:val="164E2118"/>
    <w:rsid w:val="16526AEE"/>
    <w:rsid w:val="16531E7D"/>
    <w:rsid w:val="165321AB"/>
    <w:rsid w:val="16761466"/>
    <w:rsid w:val="167C35DD"/>
    <w:rsid w:val="16A843D2"/>
    <w:rsid w:val="16BB13FE"/>
    <w:rsid w:val="16C005E1"/>
    <w:rsid w:val="16CF58CF"/>
    <w:rsid w:val="16DD5993"/>
    <w:rsid w:val="16E7123F"/>
    <w:rsid w:val="171C0D51"/>
    <w:rsid w:val="17231CAA"/>
    <w:rsid w:val="17761009"/>
    <w:rsid w:val="1784450F"/>
    <w:rsid w:val="17A53209"/>
    <w:rsid w:val="17C95FBA"/>
    <w:rsid w:val="17D2397F"/>
    <w:rsid w:val="18166994"/>
    <w:rsid w:val="181A03F2"/>
    <w:rsid w:val="181F1822"/>
    <w:rsid w:val="18210031"/>
    <w:rsid w:val="1822066F"/>
    <w:rsid w:val="185649B3"/>
    <w:rsid w:val="18565113"/>
    <w:rsid w:val="18702526"/>
    <w:rsid w:val="187E50BF"/>
    <w:rsid w:val="187F72BD"/>
    <w:rsid w:val="188A20AD"/>
    <w:rsid w:val="18E86CED"/>
    <w:rsid w:val="19237DCB"/>
    <w:rsid w:val="19696774"/>
    <w:rsid w:val="19A17550"/>
    <w:rsid w:val="19AE52C2"/>
    <w:rsid w:val="19B6063F"/>
    <w:rsid w:val="19C24451"/>
    <w:rsid w:val="19E40BCA"/>
    <w:rsid w:val="1A0E6C42"/>
    <w:rsid w:val="1A6C44A8"/>
    <w:rsid w:val="1A6F1FEC"/>
    <w:rsid w:val="1A7A6085"/>
    <w:rsid w:val="1A7F13E7"/>
    <w:rsid w:val="1A821E92"/>
    <w:rsid w:val="1A953AA2"/>
    <w:rsid w:val="1AB62205"/>
    <w:rsid w:val="1B00735C"/>
    <w:rsid w:val="1B0A7C6C"/>
    <w:rsid w:val="1B0E0455"/>
    <w:rsid w:val="1B15245C"/>
    <w:rsid w:val="1B7262F1"/>
    <w:rsid w:val="1B884CB7"/>
    <w:rsid w:val="1B920E49"/>
    <w:rsid w:val="1BAB527C"/>
    <w:rsid w:val="1BD318B3"/>
    <w:rsid w:val="1BF223F6"/>
    <w:rsid w:val="1C182059"/>
    <w:rsid w:val="1C3B2AED"/>
    <w:rsid w:val="1C8B0628"/>
    <w:rsid w:val="1CBB4733"/>
    <w:rsid w:val="1CBF78B4"/>
    <w:rsid w:val="1CCA43C9"/>
    <w:rsid w:val="1CCD60E9"/>
    <w:rsid w:val="1CE6391A"/>
    <w:rsid w:val="1CE63CF9"/>
    <w:rsid w:val="1CEC280D"/>
    <w:rsid w:val="1CEF453F"/>
    <w:rsid w:val="1CF06807"/>
    <w:rsid w:val="1D033941"/>
    <w:rsid w:val="1D0D78A7"/>
    <w:rsid w:val="1D381F16"/>
    <w:rsid w:val="1D3E5AE1"/>
    <w:rsid w:val="1D40788B"/>
    <w:rsid w:val="1D8E0EC0"/>
    <w:rsid w:val="1DAC5C38"/>
    <w:rsid w:val="1DCF01E8"/>
    <w:rsid w:val="1DD41F50"/>
    <w:rsid w:val="1DE01993"/>
    <w:rsid w:val="1DFC4721"/>
    <w:rsid w:val="1DFE2229"/>
    <w:rsid w:val="1E0D155D"/>
    <w:rsid w:val="1E0F6C5F"/>
    <w:rsid w:val="1E2123EB"/>
    <w:rsid w:val="1E2A528A"/>
    <w:rsid w:val="1E4D0963"/>
    <w:rsid w:val="1E5E4B58"/>
    <w:rsid w:val="1E6B2F5C"/>
    <w:rsid w:val="1E7B2C44"/>
    <w:rsid w:val="1EA0284E"/>
    <w:rsid w:val="1EA06BBB"/>
    <w:rsid w:val="1EC078F8"/>
    <w:rsid w:val="1EE737F3"/>
    <w:rsid w:val="1EEC53F8"/>
    <w:rsid w:val="1EF905BE"/>
    <w:rsid w:val="1F0957C1"/>
    <w:rsid w:val="1F251A49"/>
    <w:rsid w:val="1F330341"/>
    <w:rsid w:val="1F356A41"/>
    <w:rsid w:val="1F5155C6"/>
    <w:rsid w:val="1F607812"/>
    <w:rsid w:val="1F66378D"/>
    <w:rsid w:val="1F682713"/>
    <w:rsid w:val="1F946598"/>
    <w:rsid w:val="1FC11EA9"/>
    <w:rsid w:val="1FC2216B"/>
    <w:rsid w:val="1FC513E7"/>
    <w:rsid w:val="1FEA61C7"/>
    <w:rsid w:val="1FEC48D3"/>
    <w:rsid w:val="1FEC76AD"/>
    <w:rsid w:val="200A5B20"/>
    <w:rsid w:val="200D4526"/>
    <w:rsid w:val="200D799B"/>
    <w:rsid w:val="205729C5"/>
    <w:rsid w:val="20642787"/>
    <w:rsid w:val="206B7D6A"/>
    <w:rsid w:val="209059F9"/>
    <w:rsid w:val="20C813D6"/>
    <w:rsid w:val="20D538AC"/>
    <w:rsid w:val="20F47035"/>
    <w:rsid w:val="21346507"/>
    <w:rsid w:val="213B1715"/>
    <w:rsid w:val="21477726"/>
    <w:rsid w:val="217E3234"/>
    <w:rsid w:val="21801C1F"/>
    <w:rsid w:val="21A97250"/>
    <w:rsid w:val="21D02FC7"/>
    <w:rsid w:val="21D544E9"/>
    <w:rsid w:val="21DC7C19"/>
    <w:rsid w:val="21E819B8"/>
    <w:rsid w:val="22071169"/>
    <w:rsid w:val="220821C8"/>
    <w:rsid w:val="223363F5"/>
    <w:rsid w:val="223919ED"/>
    <w:rsid w:val="223B6B95"/>
    <w:rsid w:val="224131C1"/>
    <w:rsid w:val="228274AE"/>
    <w:rsid w:val="229049BB"/>
    <w:rsid w:val="22974956"/>
    <w:rsid w:val="22BC2D38"/>
    <w:rsid w:val="22CC3FAD"/>
    <w:rsid w:val="22D66FF2"/>
    <w:rsid w:val="22DE117B"/>
    <w:rsid w:val="22E57F9E"/>
    <w:rsid w:val="22F85279"/>
    <w:rsid w:val="230B1E6C"/>
    <w:rsid w:val="231B17A8"/>
    <w:rsid w:val="2321399F"/>
    <w:rsid w:val="233B4DCB"/>
    <w:rsid w:val="234052E2"/>
    <w:rsid w:val="234E5CCC"/>
    <w:rsid w:val="23547806"/>
    <w:rsid w:val="235A4846"/>
    <w:rsid w:val="23781B21"/>
    <w:rsid w:val="23DD6465"/>
    <w:rsid w:val="24424E18"/>
    <w:rsid w:val="247B4B68"/>
    <w:rsid w:val="24952361"/>
    <w:rsid w:val="24976644"/>
    <w:rsid w:val="24DC3E0A"/>
    <w:rsid w:val="24E013A4"/>
    <w:rsid w:val="24E84399"/>
    <w:rsid w:val="24F14CA9"/>
    <w:rsid w:val="24FD2909"/>
    <w:rsid w:val="25420DC4"/>
    <w:rsid w:val="25446CB1"/>
    <w:rsid w:val="256A59F3"/>
    <w:rsid w:val="2576388D"/>
    <w:rsid w:val="25847E20"/>
    <w:rsid w:val="259B2F43"/>
    <w:rsid w:val="25DF7E8B"/>
    <w:rsid w:val="25E05437"/>
    <w:rsid w:val="261C5A23"/>
    <w:rsid w:val="26793BE5"/>
    <w:rsid w:val="26844E74"/>
    <w:rsid w:val="268D703C"/>
    <w:rsid w:val="26935AE1"/>
    <w:rsid w:val="26946721"/>
    <w:rsid w:val="26E543C0"/>
    <w:rsid w:val="27135C28"/>
    <w:rsid w:val="27544493"/>
    <w:rsid w:val="27663A80"/>
    <w:rsid w:val="276E106B"/>
    <w:rsid w:val="27DD6975"/>
    <w:rsid w:val="27FB3942"/>
    <w:rsid w:val="27FC1E61"/>
    <w:rsid w:val="28193077"/>
    <w:rsid w:val="2839380C"/>
    <w:rsid w:val="284C5E4A"/>
    <w:rsid w:val="28520495"/>
    <w:rsid w:val="28564493"/>
    <w:rsid w:val="28726438"/>
    <w:rsid w:val="28A36CB5"/>
    <w:rsid w:val="28CB65FE"/>
    <w:rsid w:val="28F70669"/>
    <w:rsid w:val="290A232D"/>
    <w:rsid w:val="290B259E"/>
    <w:rsid w:val="29250FED"/>
    <w:rsid w:val="29A63D54"/>
    <w:rsid w:val="29B35110"/>
    <w:rsid w:val="29BE7AA7"/>
    <w:rsid w:val="29C33313"/>
    <w:rsid w:val="29C70DEF"/>
    <w:rsid w:val="2A072B1B"/>
    <w:rsid w:val="2A0D63FD"/>
    <w:rsid w:val="2A68414C"/>
    <w:rsid w:val="2A7C15B5"/>
    <w:rsid w:val="2AC670C5"/>
    <w:rsid w:val="2AD748CF"/>
    <w:rsid w:val="2AE85674"/>
    <w:rsid w:val="2AF23A05"/>
    <w:rsid w:val="2B597F39"/>
    <w:rsid w:val="2B715282"/>
    <w:rsid w:val="2BB90718"/>
    <w:rsid w:val="2BCE1BDE"/>
    <w:rsid w:val="2BD04ED8"/>
    <w:rsid w:val="2BF54442"/>
    <w:rsid w:val="2C090FCE"/>
    <w:rsid w:val="2C0C79D5"/>
    <w:rsid w:val="2C545BC7"/>
    <w:rsid w:val="2C5D3253"/>
    <w:rsid w:val="2CE91E27"/>
    <w:rsid w:val="2CEB405C"/>
    <w:rsid w:val="2D364B93"/>
    <w:rsid w:val="2D3D1A3A"/>
    <w:rsid w:val="2D3E57C8"/>
    <w:rsid w:val="2D4609D6"/>
    <w:rsid w:val="2D6E658F"/>
    <w:rsid w:val="2D900586"/>
    <w:rsid w:val="2DA21723"/>
    <w:rsid w:val="2DCF50B7"/>
    <w:rsid w:val="2DD64A42"/>
    <w:rsid w:val="2DF74F76"/>
    <w:rsid w:val="2E14281A"/>
    <w:rsid w:val="2E3063D5"/>
    <w:rsid w:val="2E597998"/>
    <w:rsid w:val="2E9E0C07"/>
    <w:rsid w:val="2EB922CE"/>
    <w:rsid w:val="2F0F5A43"/>
    <w:rsid w:val="2F352725"/>
    <w:rsid w:val="2F397228"/>
    <w:rsid w:val="2F70752B"/>
    <w:rsid w:val="2F7D000B"/>
    <w:rsid w:val="2FB36551"/>
    <w:rsid w:val="2FDA2024"/>
    <w:rsid w:val="30073ABF"/>
    <w:rsid w:val="30161F54"/>
    <w:rsid w:val="301A024A"/>
    <w:rsid w:val="301C48FC"/>
    <w:rsid w:val="30233650"/>
    <w:rsid w:val="30263F71"/>
    <w:rsid w:val="302B4F16"/>
    <w:rsid w:val="302D0419"/>
    <w:rsid w:val="30642AF1"/>
    <w:rsid w:val="306E51F2"/>
    <w:rsid w:val="30AF613B"/>
    <w:rsid w:val="30B55C11"/>
    <w:rsid w:val="30F77AE2"/>
    <w:rsid w:val="3108391A"/>
    <w:rsid w:val="312456BF"/>
    <w:rsid w:val="31937B62"/>
    <w:rsid w:val="321B5023"/>
    <w:rsid w:val="323077C6"/>
    <w:rsid w:val="324C0285"/>
    <w:rsid w:val="32807969"/>
    <w:rsid w:val="32917273"/>
    <w:rsid w:val="32E60304"/>
    <w:rsid w:val="32EF2E0A"/>
    <w:rsid w:val="32F47928"/>
    <w:rsid w:val="33111651"/>
    <w:rsid w:val="33121023"/>
    <w:rsid w:val="33134959"/>
    <w:rsid w:val="334A7032"/>
    <w:rsid w:val="339566D7"/>
    <w:rsid w:val="33964F33"/>
    <w:rsid w:val="33987FBA"/>
    <w:rsid w:val="33A9069D"/>
    <w:rsid w:val="33B63EC8"/>
    <w:rsid w:val="33C0792A"/>
    <w:rsid w:val="33C84CBD"/>
    <w:rsid w:val="33CF2B0E"/>
    <w:rsid w:val="33D246F6"/>
    <w:rsid w:val="33D9561C"/>
    <w:rsid w:val="33DC7DA6"/>
    <w:rsid w:val="33E94FE0"/>
    <w:rsid w:val="33F407FF"/>
    <w:rsid w:val="343110A0"/>
    <w:rsid w:val="344B530E"/>
    <w:rsid w:val="345614B9"/>
    <w:rsid w:val="346E5C12"/>
    <w:rsid w:val="347F4EB0"/>
    <w:rsid w:val="34836482"/>
    <w:rsid w:val="34B52A18"/>
    <w:rsid w:val="34BE410B"/>
    <w:rsid w:val="34C71F3F"/>
    <w:rsid w:val="34D80D6B"/>
    <w:rsid w:val="350D68A4"/>
    <w:rsid w:val="350F0980"/>
    <w:rsid w:val="351764EE"/>
    <w:rsid w:val="35215623"/>
    <w:rsid w:val="3530689D"/>
    <w:rsid w:val="353820E0"/>
    <w:rsid w:val="35726F83"/>
    <w:rsid w:val="35A3178F"/>
    <w:rsid w:val="35B47D0F"/>
    <w:rsid w:val="35DF02EF"/>
    <w:rsid w:val="35E33F92"/>
    <w:rsid w:val="35E46CB8"/>
    <w:rsid w:val="361E5A4A"/>
    <w:rsid w:val="369A64A4"/>
    <w:rsid w:val="36C605ED"/>
    <w:rsid w:val="36D542C3"/>
    <w:rsid w:val="36E94025"/>
    <w:rsid w:val="374643BF"/>
    <w:rsid w:val="374C4B42"/>
    <w:rsid w:val="37553E76"/>
    <w:rsid w:val="37670687"/>
    <w:rsid w:val="376C6257"/>
    <w:rsid w:val="37751A06"/>
    <w:rsid w:val="37BD1A7F"/>
    <w:rsid w:val="37C4673A"/>
    <w:rsid w:val="37E56B2E"/>
    <w:rsid w:val="37EB7B3F"/>
    <w:rsid w:val="381A4397"/>
    <w:rsid w:val="38455ACD"/>
    <w:rsid w:val="38542969"/>
    <w:rsid w:val="38712827"/>
    <w:rsid w:val="38834C85"/>
    <w:rsid w:val="38C05E29"/>
    <w:rsid w:val="38DA0B62"/>
    <w:rsid w:val="38FF5FAB"/>
    <w:rsid w:val="39251919"/>
    <w:rsid w:val="39487007"/>
    <w:rsid w:val="39B244B8"/>
    <w:rsid w:val="39C22DE4"/>
    <w:rsid w:val="39CD5D7A"/>
    <w:rsid w:val="39F0651B"/>
    <w:rsid w:val="39F16015"/>
    <w:rsid w:val="39FB0130"/>
    <w:rsid w:val="3A0A3189"/>
    <w:rsid w:val="3A0C2FBD"/>
    <w:rsid w:val="3A234F15"/>
    <w:rsid w:val="3A4606E3"/>
    <w:rsid w:val="3A572A48"/>
    <w:rsid w:val="3A7E4E86"/>
    <w:rsid w:val="3A844811"/>
    <w:rsid w:val="3A9D7939"/>
    <w:rsid w:val="3AB662C6"/>
    <w:rsid w:val="3AC60AFD"/>
    <w:rsid w:val="3ADC741E"/>
    <w:rsid w:val="3B056063"/>
    <w:rsid w:val="3B0752BB"/>
    <w:rsid w:val="3B2E1851"/>
    <w:rsid w:val="3B4007CD"/>
    <w:rsid w:val="3B553864"/>
    <w:rsid w:val="3B564B69"/>
    <w:rsid w:val="3B5725EA"/>
    <w:rsid w:val="3B5C15F8"/>
    <w:rsid w:val="3B6B5FCD"/>
    <w:rsid w:val="3B77509E"/>
    <w:rsid w:val="3B927D15"/>
    <w:rsid w:val="3B993054"/>
    <w:rsid w:val="3B9D1A5A"/>
    <w:rsid w:val="3BA02506"/>
    <w:rsid w:val="3BC02F13"/>
    <w:rsid w:val="3BDF7DBF"/>
    <w:rsid w:val="3BEB698B"/>
    <w:rsid w:val="3BED2ADE"/>
    <w:rsid w:val="3C1557B6"/>
    <w:rsid w:val="3C353CE7"/>
    <w:rsid w:val="3C5E53AF"/>
    <w:rsid w:val="3C8C7AEE"/>
    <w:rsid w:val="3C97441D"/>
    <w:rsid w:val="3C9B60FA"/>
    <w:rsid w:val="3CC03DB6"/>
    <w:rsid w:val="3CE9344A"/>
    <w:rsid w:val="3CFE3C20"/>
    <w:rsid w:val="3D007B53"/>
    <w:rsid w:val="3D38727D"/>
    <w:rsid w:val="3D5D3C39"/>
    <w:rsid w:val="3D623944"/>
    <w:rsid w:val="3D8C40DD"/>
    <w:rsid w:val="3D947997"/>
    <w:rsid w:val="3DB44648"/>
    <w:rsid w:val="3DD37A74"/>
    <w:rsid w:val="3DD40558"/>
    <w:rsid w:val="3DDF6D04"/>
    <w:rsid w:val="3E106FC2"/>
    <w:rsid w:val="3E1F757A"/>
    <w:rsid w:val="3E383B83"/>
    <w:rsid w:val="3E3F0633"/>
    <w:rsid w:val="3E4B7B72"/>
    <w:rsid w:val="3E756A36"/>
    <w:rsid w:val="3E7D754F"/>
    <w:rsid w:val="3E7F2E17"/>
    <w:rsid w:val="3EAB715E"/>
    <w:rsid w:val="3EB43064"/>
    <w:rsid w:val="3EC13ECC"/>
    <w:rsid w:val="3ECC4B13"/>
    <w:rsid w:val="3EE51CD9"/>
    <w:rsid w:val="3EFA6251"/>
    <w:rsid w:val="3F034249"/>
    <w:rsid w:val="3F1B2C95"/>
    <w:rsid w:val="3F1F72CA"/>
    <w:rsid w:val="3F30526F"/>
    <w:rsid w:val="3F495844"/>
    <w:rsid w:val="3F846E42"/>
    <w:rsid w:val="3FAA093C"/>
    <w:rsid w:val="3FB50A00"/>
    <w:rsid w:val="3FB848CA"/>
    <w:rsid w:val="3FC456AD"/>
    <w:rsid w:val="3FC90D91"/>
    <w:rsid w:val="3FCF5C3C"/>
    <w:rsid w:val="3FDF3CD8"/>
    <w:rsid w:val="3FE32840"/>
    <w:rsid w:val="3FF403FA"/>
    <w:rsid w:val="4006103B"/>
    <w:rsid w:val="403411E4"/>
    <w:rsid w:val="4034639D"/>
    <w:rsid w:val="406C796F"/>
    <w:rsid w:val="408137D6"/>
    <w:rsid w:val="40A24C37"/>
    <w:rsid w:val="40BB71EE"/>
    <w:rsid w:val="40D27DE8"/>
    <w:rsid w:val="40F07398"/>
    <w:rsid w:val="412E144D"/>
    <w:rsid w:val="4148218A"/>
    <w:rsid w:val="414C7ECC"/>
    <w:rsid w:val="41626179"/>
    <w:rsid w:val="418561EB"/>
    <w:rsid w:val="41933FD4"/>
    <w:rsid w:val="41A1392E"/>
    <w:rsid w:val="41A13939"/>
    <w:rsid w:val="41A73FD7"/>
    <w:rsid w:val="41A847FE"/>
    <w:rsid w:val="41AD7A52"/>
    <w:rsid w:val="41D167BE"/>
    <w:rsid w:val="41D47692"/>
    <w:rsid w:val="41DD5436"/>
    <w:rsid w:val="41E71F48"/>
    <w:rsid w:val="41EC49D0"/>
    <w:rsid w:val="4205365D"/>
    <w:rsid w:val="42117470"/>
    <w:rsid w:val="421310E8"/>
    <w:rsid w:val="421D24FA"/>
    <w:rsid w:val="421D2BB5"/>
    <w:rsid w:val="425C68A4"/>
    <w:rsid w:val="42BF4F03"/>
    <w:rsid w:val="42C30598"/>
    <w:rsid w:val="42FB4E6F"/>
    <w:rsid w:val="4309548A"/>
    <w:rsid w:val="432557EC"/>
    <w:rsid w:val="433A3A5A"/>
    <w:rsid w:val="436D32FA"/>
    <w:rsid w:val="43B226E8"/>
    <w:rsid w:val="43B655A2"/>
    <w:rsid w:val="43F4670C"/>
    <w:rsid w:val="43FE4A9D"/>
    <w:rsid w:val="442C0A64"/>
    <w:rsid w:val="44410A09"/>
    <w:rsid w:val="444A2D64"/>
    <w:rsid w:val="44546EE9"/>
    <w:rsid w:val="44831473"/>
    <w:rsid w:val="448A687F"/>
    <w:rsid w:val="44A51209"/>
    <w:rsid w:val="44A5514E"/>
    <w:rsid w:val="44B042CE"/>
    <w:rsid w:val="44CF12C8"/>
    <w:rsid w:val="44E53C46"/>
    <w:rsid w:val="450A0B8C"/>
    <w:rsid w:val="45115585"/>
    <w:rsid w:val="45131C52"/>
    <w:rsid w:val="454937BA"/>
    <w:rsid w:val="455C6204"/>
    <w:rsid w:val="45737BDF"/>
    <w:rsid w:val="45757B02"/>
    <w:rsid w:val="4582269B"/>
    <w:rsid w:val="45823382"/>
    <w:rsid w:val="458A7911"/>
    <w:rsid w:val="45BD6A29"/>
    <w:rsid w:val="46177DFD"/>
    <w:rsid w:val="46234A2B"/>
    <w:rsid w:val="46480997"/>
    <w:rsid w:val="464F66B7"/>
    <w:rsid w:val="468F3AD1"/>
    <w:rsid w:val="470D43A0"/>
    <w:rsid w:val="471B6F39"/>
    <w:rsid w:val="472C13D1"/>
    <w:rsid w:val="473429D4"/>
    <w:rsid w:val="4735425F"/>
    <w:rsid w:val="474657FE"/>
    <w:rsid w:val="47555600"/>
    <w:rsid w:val="477B49D4"/>
    <w:rsid w:val="47A45888"/>
    <w:rsid w:val="47C076C6"/>
    <w:rsid w:val="47C7730F"/>
    <w:rsid w:val="47D93B3C"/>
    <w:rsid w:val="47EF7803"/>
    <w:rsid w:val="48357040"/>
    <w:rsid w:val="4849586A"/>
    <w:rsid w:val="48503071"/>
    <w:rsid w:val="4851260D"/>
    <w:rsid w:val="48804281"/>
    <w:rsid w:val="488F1019"/>
    <w:rsid w:val="48A04659"/>
    <w:rsid w:val="48A74206"/>
    <w:rsid w:val="48B028BF"/>
    <w:rsid w:val="48C00F6B"/>
    <w:rsid w:val="48E51A62"/>
    <w:rsid w:val="49352AAB"/>
    <w:rsid w:val="49495EC9"/>
    <w:rsid w:val="4955555E"/>
    <w:rsid w:val="49774158"/>
    <w:rsid w:val="49984538"/>
    <w:rsid w:val="49B51131"/>
    <w:rsid w:val="49BD3C89"/>
    <w:rsid w:val="49C01457"/>
    <w:rsid w:val="49C51AD6"/>
    <w:rsid w:val="49E366AE"/>
    <w:rsid w:val="49F0795B"/>
    <w:rsid w:val="49F20EE5"/>
    <w:rsid w:val="49F30B75"/>
    <w:rsid w:val="4A0766C9"/>
    <w:rsid w:val="4A1E1CDA"/>
    <w:rsid w:val="4A2E73B2"/>
    <w:rsid w:val="4A317863"/>
    <w:rsid w:val="4A5F5EDB"/>
    <w:rsid w:val="4A625BB4"/>
    <w:rsid w:val="4A941591"/>
    <w:rsid w:val="4A9A58AC"/>
    <w:rsid w:val="4AA56185"/>
    <w:rsid w:val="4ABA2E1D"/>
    <w:rsid w:val="4B3E43C0"/>
    <w:rsid w:val="4B4F20F9"/>
    <w:rsid w:val="4B7B46F0"/>
    <w:rsid w:val="4BBD5522"/>
    <w:rsid w:val="4BC04353"/>
    <w:rsid w:val="4BC214A2"/>
    <w:rsid w:val="4BF21D7C"/>
    <w:rsid w:val="4BFE4527"/>
    <w:rsid w:val="4C053BB0"/>
    <w:rsid w:val="4C265CC6"/>
    <w:rsid w:val="4C4D523C"/>
    <w:rsid w:val="4C675DE6"/>
    <w:rsid w:val="4C8A729F"/>
    <w:rsid w:val="4CBA71E0"/>
    <w:rsid w:val="4CC103F0"/>
    <w:rsid w:val="4CD96D1A"/>
    <w:rsid w:val="4CE27C75"/>
    <w:rsid w:val="4CE64136"/>
    <w:rsid w:val="4CE82EBC"/>
    <w:rsid w:val="4D09071B"/>
    <w:rsid w:val="4D2D012D"/>
    <w:rsid w:val="4D322037"/>
    <w:rsid w:val="4D35565B"/>
    <w:rsid w:val="4D3A7CC9"/>
    <w:rsid w:val="4D453A21"/>
    <w:rsid w:val="4D5A40F4"/>
    <w:rsid w:val="4D5B106D"/>
    <w:rsid w:val="4D601FB1"/>
    <w:rsid w:val="4D7A191D"/>
    <w:rsid w:val="4DA60576"/>
    <w:rsid w:val="4DD76D6F"/>
    <w:rsid w:val="4E0D0129"/>
    <w:rsid w:val="4E226D28"/>
    <w:rsid w:val="4E331BD9"/>
    <w:rsid w:val="4E4F3AF2"/>
    <w:rsid w:val="4E5F4707"/>
    <w:rsid w:val="4E803ED7"/>
    <w:rsid w:val="4E846CE7"/>
    <w:rsid w:val="4EB12A71"/>
    <w:rsid w:val="4EDF5575"/>
    <w:rsid w:val="4EEE5172"/>
    <w:rsid w:val="4F1A33B7"/>
    <w:rsid w:val="4F1F148C"/>
    <w:rsid w:val="4F275616"/>
    <w:rsid w:val="4F3062A5"/>
    <w:rsid w:val="4F31425D"/>
    <w:rsid w:val="4F420554"/>
    <w:rsid w:val="4F696084"/>
    <w:rsid w:val="4F797BAB"/>
    <w:rsid w:val="4F975561"/>
    <w:rsid w:val="4F9C201E"/>
    <w:rsid w:val="4FB229E9"/>
    <w:rsid w:val="4FCC3EF9"/>
    <w:rsid w:val="4FEC61F9"/>
    <w:rsid w:val="4FF86042"/>
    <w:rsid w:val="4FF9667E"/>
    <w:rsid w:val="501A1A7A"/>
    <w:rsid w:val="50233325"/>
    <w:rsid w:val="502718C3"/>
    <w:rsid w:val="505179D5"/>
    <w:rsid w:val="50671B79"/>
    <w:rsid w:val="508B2913"/>
    <w:rsid w:val="509B22D6"/>
    <w:rsid w:val="50AB003F"/>
    <w:rsid w:val="50AF7D6F"/>
    <w:rsid w:val="51000A73"/>
    <w:rsid w:val="51062C1B"/>
    <w:rsid w:val="511A4EA0"/>
    <w:rsid w:val="512A02E4"/>
    <w:rsid w:val="513F39D2"/>
    <w:rsid w:val="51964985"/>
    <w:rsid w:val="51B82F1C"/>
    <w:rsid w:val="51BD0E26"/>
    <w:rsid w:val="520778F6"/>
    <w:rsid w:val="521D69FC"/>
    <w:rsid w:val="52671844"/>
    <w:rsid w:val="527B2466"/>
    <w:rsid w:val="52C23F57"/>
    <w:rsid w:val="52C51BE9"/>
    <w:rsid w:val="52CE44E6"/>
    <w:rsid w:val="52F01600"/>
    <w:rsid w:val="52F20089"/>
    <w:rsid w:val="531F686F"/>
    <w:rsid w:val="5335026B"/>
    <w:rsid w:val="533B56AA"/>
    <w:rsid w:val="5342371F"/>
    <w:rsid w:val="53463BFC"/>
    <w:rsid w:val="53614D5A"/>
    <w:rsid w:val="538C7C81"/>
    <w:rsid w:val="538F45A4"/>
    <w:rsid w:val="53A35FB7"/>
    <w:rsid w:val="53AE168A"/>
    <w:rsid w:val="541303D5"/>
    <w:rsid w:val="543737DA"/>
    <w:rsid w:val="545C1D7C"/>
    <w:rsid w:val="545F66E9"/>
    <w:rsid w:val="548079D5"/>
    <w:rsid w:val="54A34230"/>
    <w:rsid w:val="54AF0B23"/>
    <w:rsid w:val="54B773D8"/>
    <w:rsid w:val="54D6013E"/>
    <w:rsid w:val="54E04737"/>
    <w:rsid w:val="54E253E0"/>
    <w:rsid w:val="54FD1AC9"/>
    <w:rsid w:val="551538D8"/>
    <w:rsid w:val="556077FC"/>
    <w:rsid w:val="55627D22"/>
    <w:rsid w:val="557D7F01"/>
    <w:rsid w:val="558B30E5"/>
    <w:rsid w:val="55AF78A6"/>
    <w:rsid w:val="55C51FC5"/>
    <w:rsid w:val="55D046D2"/>
    <w:rsid w:val="56010E3E"/>
    <w:rsid w:val="560C01BB"/>
    <w:rsid w:val="561A0B33"/>
    <w:rsid w:val="56AC4DB0"/>
    <w:rsid w:val="56BC4265"/>
    <w:rsid w:val="56BF6FF0"/>
    <w:rsid w:val="56D26C7F"/>
    <w:rsid w:val="56E0482D"/>
    <w:rsid w:val="57720D7B"/>
    <w:rsid w:val="577F009D"/>
    <w:rsid w:val="579221F0"/>
    <w:rsid w:val="57931F59"/>
    <w:rsid w:val="57C24823"/>
    <w:rsid w:val="57C807F4"/>
    <w:rsid w:val="57DB56EB"/>
    <w:rsid w:val="587A6C75"/>
    <w:rsid w:val="58923090"/>
    <w:rsid w:val="58A13AA3"/>
    <w:rsid w:val="58CE3242"/>
    <w:rsid w:val="58E575E4"/>
    <w:rsid w:val="59353EEB"/>
    <w:rsid w:val="595E51D7"/>
    <w:rsid w:val="598E57BD"/>
    <w:rsid w:val="59C772F1"/>
    <w:rsid w:val="59E35ED0"/>
    <w:rsid w:val="59E94B19"/>
    <w:rsid w:val="59FC0431"/>
    <w:rsid w:val="5A3F7DB6"/>
    <w:rsid w:val="5A5F6E50"/>
    <w:rsid w:val="5A713DAF"/>
    <w:rsid w:val="5A9A4363"/>
    <w:rsid w:val="5AB83E23"/>
    <w:rsid w:val="5ABF3065"/>
    <w:rsid w:val="5AE00C8C"/>
    <w:rsid w:val="5B030FC4"/>
    <w:rsid w:val="5B0E2582"/>
    <w:rsid w:val="5B1369AF"/>
    <w:rsid w:val="5B424EC5"/>
    <w:rsid w:val="5B653E6E"/>
    <w:rsid w:val="5B6E15E4"/>
    <w:rsid w:val="5B81476F"/>
    <w:rsid w:val="5BA5726A"/>
    <w:rsid w:val="5BBF5B13"/>
    <w:rsid w:val="5BC94674"/>
    <w:rsid w:val="5BD71B75"/>
    <w:rsid w:val="5BE30FD5"/>
    <w:rsid w:val="5BEE2DDF"/>
    <w:rsid w:val="5BF32AEA"/>
    <w:rsid w:val="5C001C90"/>
    <w:rsid w:val="5C3166BC"/>
    <w:rsid w:val="5C401B37"/>
    <w:rsid w:val="5C4C5058"/>
    <w:rsid w:val="5C4E40FD"/>
    <w:rsid w:val="5C8C1793"/>
    <w:rsid w:val="5C9033AA"/>
    <w:rsid w:val="5CC826A5"/>
    <w:rsid w:val="5CFE0FC7"/>
    <w:rsid w:val="5D152E0F"/>
    <w:rsid w:val="5D3808CD"/>
    <w:rsid w:val="5D6B3074"/>
    <w:rsid w:val="5D826A79"/>
    <w:rsid w:val="5D83481E"/>
    <w:rsid w:val="5D8A5474"/>
    <w:rsid w:val="5D995DEF"/>
    <w:rsid w:val="5DAF64AB"/>
    <w:rsid w:val="5E495364"/>
    <w:rsid w:val="5E4B3F43"/>
    <w:rsid w:val="5E5422DB"/>
    <w:rsid w:val="5E7008FF"/>
    <w:rsid w:val="5E766F86"/>
    <w:rsid w:val="5E7B6C91"/>
    <w:rsid w:val="5E9D5E35"/>
    <w:rsid w:val="5EB2508E"/>
    <w:rsid w:val="5EB9327E"/>
    <w:rsid w:val="5EC75A8B"/>
    <w:rsid w:val="5EF17565"/>
    <w:rsid w:val="5EFB537D"/>
    <w:rsid w:val="5EFD25E1"/>
    <w:rsid w:val="5EFF27C0"/>
    <w:rsid w:val="5EFF732E"/>
    <w:rsid w:val="5F220723"/>
    <w:rsid w:val="5F2C1A7B"/>
    <w:rsid w:val="5F2D46F6"/>
    <w:rsid w:val="5F605F9A"/>
    <w:rsid w:val="5F7D55BA"/>
    <w:rsid w:val="5F8E5854"/>
    <w:rsid w:val="5F902F55"/>
    <w:rsid w:val="5F983BE5"/>
    <w:rsid w:val="5FB80565"/>
    <w:rsid w:val="600E6E0D"/>
    <w:rsid w:val="6015453B"/>
    <w:rsid w:val="60680A3A"/>
    <w:rsid w:val="606E01A6"/>
    <w:rsid w:val="607C7302"/>
    <w:rsid w:val="60815C72"/>
    <w:rsid w:val="6093549F"/>
    <w:rsid w:val="60AA14A4"/>
    <w:rsid w:val="60C03647"/>
    <w:rsid w:val="60CA19D8"/>
    <w:rsid w:val="60E42582"/>
    <w:rsid w:val="60FD1644"/>
    <w:rsid w:val="60FE69AF"/>
    <w:rsid w:val="61135DC9"/>
    <w:rsid w:val="611F660B"/>
    <w:rsid w:val="61233DE1"/>
    <w:rsid w:val="61276FB4"/>
    <w:rsid w:val="61357BDD"/>
    <w:rsid w:val="617678F3"/>
    <w:rsid w:val="61803188"/>
    <w:rsid w:val="618F1AB2"/>
    <w:rsid w:val="61AD2AC7"/>
    <w:rsid w:val="61C54741"/>
    <w:rsid w:val="61D554B4"/>
    <w:rsid w:val="620424D9"/>
    <w:rsid w:val="620C3034"/>
    <w:rsid w:val="6222328F"/>
    <w:rsid w:val="623B41B9"/>
    <w:rsid w:val="62B45C9F"/>
    <w:rsid w:val="62C236F2"/>
    <w:rsid w:val="62CC2C2D"/>
    <w:rsid w:val="62ED6869"/>
    <w:rsid w:val="62EE47AC"/>
    <w:rsid w:val="631161E2"/>
    <w:rsid w:val="63562F74"/>
    <w:rsid w:val="63D412A5"/>
    <w:rsid w:val="642B6186"/>
    <w:rsid w:val="644B199A"/>
    <w:rsid w:val="646E3B0C"/>
    <w:rsid w:val="651803A5"/>
    <w:rsid w:val="65292074"/>
    <w:rsid w:val="655B398A"/>
    <w:rsid w:val="658265DD"/>
    <w:rsid w:val="659F7039"/>
    <w:rsid w:val="65AC11C4"/>
    <w:rsid w:val="65D05019"/>
    <w:rsid w:val="65FA13F5"/>
    <w:rsid w:val="660D2DBF"/>
    <w:rsid w:val="662D6FF1"/>
    <w:rsid w:val="66437557"/>
    <w:rsid w:val="6656258F"/>
    <w:rsid w:val="66615CF5"/>
    <w:rsid w:val="668002B5"/>
    <w:rsid w:val="66C61D57"/>
    <w:rsid w:val="672940C9"/>
    <w:rsid w:val="67A05FCC"/>
    <w:rsid w:val="67E46C83"/>
    <w:rsid w:val="682643EB"/>
    <w:rsid w:val="6829511B"/>
    <w:rsid w:val="6836320A"/>
    <w:rsid w:val="68924F9A"/>
    <w:rsid w:val="68A276A3"/>
    <w:rsid w:val="68A7750E"/>
    <w:rsid w:val="68E0459C"/>
    <w:rsid w:val="69112B6D"/>
    <w:rsid w:val="691873F2"/>
    <w:rsid w:val="691C30E3"/>
    <w:rsid w:val="692B7910"/>
    <w:rsid w:val="693B5546"/>
    <w:rsid w:val="69A41DA4"/>
    <w:rsid w:val="69AE2548"/>
    <w:rsid w:val="6A384ADA"/>
    <w:rsid w:val="6A4860BB"/>
    <w:rsid w:val="6A4F12FC"/>
    <w:rsid w:val="6A571104"/>
    <w:rsid w:val="6AE7483F"/>
    <w:rsid w:val="6B23052E"/>
    <w:rsid w:val="6B3B3325"/>
    <w:rsid w:val="6B3C2484"/>
    <w:rsid w:val="6B664574"/>
    <w:rsid w:val="6BD04C6F"/>
    <w:rsid w:val="6BD44496"/>
    <w:rsid w:val="6BDA62CE"/>
    <w:rsid w:val="6BEF2A19"/>
    <w:rsid w:val="6BF90031"/>
    <w:rsid w:val="6BFD677B"/>
    <w:rsid w:val="6C0E2555"/>
    <w:rsid w:val="6C14665D"/>
    <w:rsid w:val="6C2016E9"/>
    <w:rsid w:val="6C37119B"/>
    <w:rsid w:val="6C3A4520"/>
    <w:rsid w:val="6C442A2F"/>
    <w:rsid w:val="6C4A1337"/>
    <w:rsid w:val="6C4B45B8"/>
    <w:rsid w:val="6C5C0714"/>
    <w:rsid w:val="6C645A02"/>
    <w:rsid w:val="6CC57954"/>
    <w:rsid w:val="6CDB15B9"/>
    <w:rsid w:val="6CE61263"/>
    <w:rsid w:val="6CEE155C"/>
    <w:rsid w:val="6D512242"/>
    <w:rsid w:val="6D6A4A10"/>
    <w:rsid w:val="6D7E5A8E"/>
    <w:rsid w:val="6D8E174D"/>
    <w:rsid w:val="6DAC5479"/>
    <w:rsid w:val="6DB07703"/>
    <w:rsid w:val="6DC26339"/>
    <w:rsid w:val="6DC31DCA"/>
    <w:rsid w:val="6DED797A"/>
    <w:rsid w:val="6E13678C"/>
    <w:rsid w:val="6E35795C"/>
    <w:rsid w:val="6E563714"/>
    <w:rsid w:val="6E5C4E76"/>
    <w:rsid w:val="6E7219BF"/>
    <w:rsid w:val="6E8E04A4"/>
    <w:rsid w:val="6E8E7670"/>
    <w:rsid w:val="6ED20ADF"/>
    <w:rsid w:val="6EF911B8"/>
    <w:rsid w:val="6F422098"/>
    <w:rsid w:val="6F93328A"/>
    <w:rsid w:val="6F9540A0"/>
    <w:rsid w:val="6FA21DDE"/>
    <w:rsid w:val="6FBC64DE"/>
    <w:rsid w:val="6FC41126"/>
    <w:rsid w:val="6FC778CB"/>
    <w:rsid w:val="6FEA15AC"/>
    <w:rsid w:val="703E57B3"/>
    <w:rsid w:val="70F33FDC"/>
    <w:rsid w:val="71116E10"/>
    <w:rsid w:val="714A6763"/>
    <w:rsid w:val="71716B68"/>
    <w:rsid w:val="71791D1D"/>
    <w:rsid w:val="719A5A6F"/>
    <w:rsid w:val="71AA5A25"/>
    <w:rsid w:val="71C92D3B"/>
    <w:rsid w:val="71D701A8"/>
    <w:rsid w:val="71F87130"/>
    <w:rsid w:val="71FE3596"/>
    <w:rsid w:val="72012755"/>
    <w:rsid w:val="723D0FE7"/>
    <w:rsid w:val="7242215A"/>
    <w:rsid w:val="72B35F53"/>
    <w:rsid w:val="72BF1FCE"/>
    <w:rsid w:val="72FA21B3"/>
    <w:rsid w:val="72FE5C6B"/>
    <w:rsid w:val="72FF3F0E"/>
    <w:rsid w:val="730E3151"/>
    <w:rsid w:val="73260050"/>
    <w:rsid w:val="737838B2"/>
    <w:rsid w:val="73843011"/>
    <w:rsid w:val="738D4559"/>
    <w:rsid w:val="73C372CA"/>
    <w:rsid w:val="7409471B"/>
    <w:rsid w:val="74130FF0"/>
    <w:rsid w:val="74184818"/>
    <w:rsid w:val="744C2A5A"/>
    <w:rsid w:val="74F556AA"/>
    <w:rsid w:val="751C4038"/>
    <w:rsid w:val="75244B75"/>
    <w:rsid w:val="757D46F6"/>
    <w:rsid w:val="759C11E6"/>
    <w:rsid w:val="759E4985"/>
    <w:rsid w:val="75FC27A0"/>
    <w:rsid w:val="76027B23"/>
    <w:rsid w:val="76120095"/>
    <w:rsid w:val="76175C62"/>
    <w:rsid w:val="761B0CC8"/>
    <w:rsid w:val="761E1FC2"/>
    <w:rsid w:val="76263B40"/>
    <w:rsid w:val="765C5BBE"/>
    <w:rsid w:val="76671E50"/>
    <w:rsid w:val="76985EA2"/>
    <w:rsid w:val="76A04B8A"/>
    <w:rsid w:val="76AE3D4D"/>
    <w:rsid w:val="7702492A"/>
    <w:rsid w:val="771D4F43"/>
    <w:rsid w:val="77412895"/>
    <w:rsid w:val="774C3647"/>
    <w:rsid w:val="775C1463"/>
    <w:rsid w:val="776A2977"/>
    <w:rsid w:val="77AB07A1"/>
    <w:rsid w:val="77B92649"/>
    <w:rsid w:val="77BF7E83"/>
    <w:rsid w:val="77CC4F9A"/>
    <w:rsid w:val="77E41559"/>
    <w:rsid w:val="77F50340"/>
    <w:rsid w:val="7823644F"/>
    <w:rsid w:val="78260975"/>
    <w:rsid w:val="7831493E"/>
    <w:rsid w:val="783C2CCF"/>
    <w:rsid w:val="78592911"/>
    <w:rsid w:val="7868492C"/>
    <w:rsid w:val="789D458E"/>
    <w:rsid w:val="78A413FA"/>
    <w:rsid w:val="79160434"/>
    <w:rsid w:val="79382508"/>
    <w:rsid w:val="79471B51"/>
    <w:rsid w:val="79572523"/>
    <w:rsid w:val="79637177"/>
    <w:rsid w:val="797A4987"/>
    <w:rsid w:val="798450E7"/>
    <w:rsid w:val="79A22C08"/>
    <w:rsid w:val="79B86F11"/>
    <w:rsid w:val="79BE4E3D"/>
    <w:rsid w:val="79ED56BC"/>
    <w:rsid w:val="79F77CCE"/>
    <w:rsid w:val="7A0E7050"/>
    <w:rsid w:val="7A1563A6"/>
    <w:rsid w:val="7A1C7734"/>
    <w:rsid w:val="7A4B76EC"/>
    <w:rsid w:val="7A541141"/>
    <w:rsid w:val="7A5944E4"/>
    <w:rsid w:val="7A6621B9"/>
    <w:rsid w:val="7A6E7F35"/>
    <w:rsid w:val="7A703BEB"/>
    <w:rsid w:val="7A744BC5"/>
    <w:rsid w:val="7A7A3D98"/>
    <w:rsid w:val="7A8F43AA"/>
    <w:rsid w:val="7A8F5AA2"/>
    <w:rsid w:val="7AAB75D1"/>
    <w:rsid w:val="7AC95061"/>
    <w:rsid w:val="7AE9507F"/>
    <w:rsid w:val="7AF122C4"/>
    <w:rsid w:val="7B026231"/>
    <w:rsid w:val="7B172B57"/>
    <w:rsid w:val="7BB035FB"/>
    <w:rsid w:val="7BBE37CE"/>
    <w:rsid w:val="7BC24B9B"/>
    <w:rsid w:val="7BDA2241"/>
    <w:rsid w:val="7BF001E1"/>
    <w:rsid w:val="7C081A8C"/>
    <w:rsid w:val="7C245BAD"/>
    <w:rsid w:val="7CE0785C"/>
    <w:rsid w:val="7CF505C4"/>
    <w:rsid w:val="7D08162E"/>
    <w:rsid w:val="7D0A5AA1"/>
    <w:rsid w:val="7D183E47"/>
    <w:rsid w:val="7D1E3FE0"/>
    <w:rsid w:val="7D3014EE"/>
    <w:rsid w:val="7D677C98"/>
    <w:rsid w:val="7D6A489F"/>
    <w:rsid w:val="7D70024B"/>
    <w:rsid w:val="7D7706EF"/>
    <w:rsid w:val="7D8442E1"/>
    <w:rsid w:val="7DB5691B"/>
    <w:rsid w:val="7DC67245"/>
    <w:rsid w:val="7E1E1177"/>
    <w:rsid w:val="7E294F89"/>
    <w:rsid w:val="7EA53AC7"/>
    <w:rsid w:val="7EBE547D"/>
    <w:rsid w:val="7EC860DC"/>
    <w:rsid w:val="7EDE52EF"/>
    <w:rsid w:val="7EF377C6"/>
    <w:rsid w:val="7F1C77D1"/>
    <w:rsid w:val="7F455CF9"/>
    <w:rsid w:val="7F593D4F"/>
    <w:rsid w:val="7F7571AA"/>
    <w:rsid w:val="7FBF7D06"/>
    <w:rsid w:val="7FC5602F"/>
    <w:rsid w:val="7FE5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outlineLvl w:val="1"/>
    </w:pPr>
    <w:rPr>
      <w:rFonts w:ascii="等线 Light" w:hAnsi="等线 Light" w:eastAsia="黑体"/>
      <w:bCs/>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黑体"/>
      <w:b/>
      <w:sz w:val="21"/>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right" w:leader="dot" w:pos="9241"/>
      </w:tabs>
      <w:ind w:firstLine="210" w:firstLineChars="100"/>
      <w:jc w:val="left"/>
    </w:pPr>
    <w:rPr>
      <w:rFonts w:ascii="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9">
    <w:name w:val="toc 2"/>
    <w:basedOn w:val="1"/>
    <w:next w:val="1"/>
    <w:qFormat/>
    <w:uiPriority w:val="39"/>
    <w:pPr>
      <w:tabs>
        <w:tab w:val="left" w:pos="1470"/>
        <w:tab w:val="right" w:leader="dot" w:pos="9241"/>
      </w:tabs>
    </w:pPr>
    <w:rPr>
      <w:rFonts w:ascii="宋体"/>
      <w:szCs w:val="21"/>
    </w:rPr>
  </w:style>
  <w:style w:type="character" w:styleId="12">
    <w:name w:val="Strong"/>
    <w:basedOn w:val="11"/>
    <w:qFormat/>
    <w:uiPriority w:val="0"/>
    <w:rPr>
      <w:b/>
    </w:rPr>
  </w:style>
  <w:style w:type="character" w:styleId="13">
    <w:name w:val="Hyperlink"/>
    <w:qFormat/>
    <w:uiPriority w:val="99"/>
    <w:rPr>
      <w:color w:val="0000FF"/>
      <w:spacing w:val="0"/>
      <w:w w:val="100"/>
      <w:szCs w:val="21"/>
      <w:u w:val="single"/>
    </w:rPr>
  </w:style>
  <w:style w:type="paragraph" w:customStyle="1" w:styleId="1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封面标准英文名称"/>
    <w:basedOn w:val="19"/>
    <w:qFormat/>
    <w:uiPriority w:val="0"/>
    <w:pPr>
      <w:spacing w:before="370" w:line="400" w:lineRule="exact"/>
    </w:pPr>
    <w:rPr>
      <w:rFonts w:ascii="Times New Roman"/>
      <w:sz w:val="28"/>
      <w:szCs w:val="28"/>
    </w:rPr>
  </w:style>
  <w:style w:type="paragraph" w:customStyle="1" w:styleId="21">
    <w:name w:val="封面一致性程度标识"/>
    <w:basedOn w:val="20"/>
    <w:qFormat/>
    <w:uiPriority w:val="0"/>
    <w:pPr>
      <w:spacing w:before="440"/>
    </w:pPr>
    <w:rPr>
      <w:rFonts w:ascii="宋体" w:eastAsia="宋体"/>
    </w:rPr>
  </w:style>
  <w:style w:type="paragraph" w:customStyle="1" w:styleId="22">
    <w:name w:val="封面标准文稿类别"/>
    <w:basedOn w:val="21"/>
    <w:qFormat/>
    <w:uiPriority w:val="0"/>
    <w:pPr>
      <w:spacing w:after="160" w:line="240" w:lineRule="auto"/>
    </w:pPr>
    <w:rPr>
      <w:sz w:val="24"/>
    </w:rPr>
  </w:style>
  <w:style w:type="paragraph" w:customStyle="1" w:styleId="23">
    <w:name w:val="封面标准文稿编辑信息"/>
    <w:basedOn w:val="22"/>
    <w:qFormat/>
    <w:uiPriority w:val="0"/>
    <w:pPr>
      <w:spacing w:before="180" w:line="180" w:lineRule="exact"/>
    </w:pPr>
    <w:rPr>
      <w:sz w:val="21"/>
    </w:rPr>
  </w:style>
  <w:style w:type="paragraph" w:customStyle="1" w:styleId="24">
    <w:name w:val="其他发布日期"/>
    <w:basedOn w:val="25"/>
    <w:qFormat/>
    <w:uiPriority w:val="0"/>
    <w:pPr>
      <w:framePr w:vAnchor="page" w:hAnchor="page" w:x="1419"/>
    </w:pPr>
  </w:style>
  <w:style w:type="paragraph" w:customStyle="1" w:styleId="2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6">
    <w:name w:val="其他实施日期"/>
    <w:basedOn w:val="27"/>
    <w:qFormat/>
    <w:uiPriority w:val="0"/>
  </w:style>
  <w:style w:type="paragraph" w:customStyle="1" w:styleId="27">
    <w:name w:val="实施日期"/>
    <w:basedOn w:val="25"/>
    <w:qFormat/>
    <w:uiPriority w:val="0"/>
    <w:pPr>
      <w:framePr w:vAnchor="page" w:hAnchor="page"/>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
    <w:name w:val="章标题"/>
    <w:next w:val="30"/>
    <w:qFormat/>
    <w:uiPriority w:val="0"/>
    <w:pPr>
      <w:spacing w:before="100" w:beforeLines="100" w:after="100" w:afterLines="100"/>
      <w:jc w:val="both"/>
      <w:outlineLvl w:val="1"/>
    </w:pPr>
    <w:rPr>
      <w:rFonts w:ascii="黑体" w:hAnsi="黑体" w:eastAsia="黑体" w:cs="Times New Roman"/>
      <w:b/>
      <w:sz w:val="21"/>
      <w:lang w:val="en-US" w:eastAsia="zh-CN" w:bidi="ar-SA"/>
    </w:rPr>
  </w:style>
  <w:style w:type="paragraph" w:customStyle="1" w:styleId="35">
    <w:name w:val="样式7"/>
    <w:basedOn w:val="36"/>
    <w:qFormat/>
    <w:uiPriority w:val="0"/>
    <w:pPr>
      <w:ind w:left="576" w:hanging="576"/>
    </w:pPr>
    <w:rPr>
      <w:rFonts w:eastAsia="黑体"/>
      <w:b/>
      <w:sz w:val="21"/>
    </w:rPr>
  </w:style>
  <w:style w:type="paragraph" w:customStyle="1" w:styleId="36">
    <w:name w:val="样式6"/>
    <w:basedOn w:val="2"/>
    <w:qFormat/>
    <w:uiPriority w:val="0"/>
    <w:pPr>
      <w:ind w:left="0" w:hanging="578" w:hangingChars="275"/>
    </w:pPr>
  </w:style>
  <w:style w:type="paragraph" w:customStyle="1" w:styleId="37">
    <w:name w:val="标准书眉_偶数页"/>
    <w:basedOn w:val="38"/>
    <w:next w:val="1"/>
    <w:qFormat/>
    <w:uiPriority w:val="0"/>
    <w:pPr>
      <w:tabs>
        <w:tab w:val="center" w:pos="4154"/>
        <w:tab w:val="right" w:pos="8306"/>
      </w:tabs>
      <w:jc w:val="left"/>
    </w:pPr>
    <w:rPr>
      <w:rFonts w:ascii="黑体" w:eastAsia="黑体"/>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正文表标题"/>
    <w:next w:val="3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2">
    <w:name w:val="封面正文"/>
    <w:qFormat/>
    <w:uiPriority w:val="0"/>
    <w:pPr>
      <w:jc w:val="both"/>
    </w:pPr>
    <w:rPr>
      <w:rFonts w:ascii="Times New Roman" w:hAnsi="Times New Roman" w:eastAsia="宋体" w:cs="Times New Roman"/>
      <w:lang w:val="en-US" w:eastAsia="zh-CN" w:bidi="ar-SA"/>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44">
    <w:name w:val="List Paragraph"/>
    <w:basedOn w:val="1"/>
    <w:qFormat/>
    <w:uiPriority w:val="34"/>
    <w:pPr>
      <w:ind w:firstLine="420" w:firstLineChars="200"/>
    </w:pPr>
    <w:rPr>
      <w:szCs w:val="24"/>
    </w:rPr>
  </w:style>
  <w:style w:type="paragraph" w:customStyle="1" w:styleId="4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江西铜业股份有限公司贵溪冶炼厂</Company>
  <Pages>26</Pages>
  <Words>15225</Words>
  <Characters>16274</Characters>
  <Lines>1</Lines>
  <Paragraphs>1</Paragraphs>
  <TotalTime>18</TotalTime>
  <ScaleCrop>false</ScaleCrop>
  <LinksUpToDate>false</LinksUpToDate>
  <CharactersWithSpaces>16632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2025-02-25T06:53:00Z</dcterms:created>
  <dc:creator>（数字化部）徐娟华</dc:creator>
  <cp:lastModifiedBy>徐娟华</cp:lastModifiedBy>
  <dcterms:modified xsi:type="dcterms:W3CDTF">2026-03-25T02:20:49Z</dcterms:modified>
  <dc:title>行业标准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A483A519D1604374984D2945349AE5A8</vt:lpwstr>
  </property>
  <property fmtid="{D5CDD505-2E9C-101B-9397-08002B2CF9AE}" pid="4" name="KSOTemplateDocerSaveRecord">
    <vt:lpwstr>eyJoZGlkIjoiMjJhNDg4MTAyZGQxZmY5OGVlZWQ5M2Y2NDY4MDBlMWMiLCJ1c2VySWQiOiIxNDkzNzg0NzAzIn0=</vt:lpwstr>
  </property>
</Properties>
</file>