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4D3C0">
      <w:pPr>
        <w:widowControl/>
        <w:spacing w:line="380" w:lineRule="exact"/>
        <w:rPr>
          <w:rFonts w:hint="eastAsia" w:eastAsia="黑体"/>
          <w:sz w:val="28"/>
          <w:szCs w:val="28"/>
        </w:rPr>
      </w:pPr>
    </w:p>
    <w:p w14:paraId="2F3FC4B9">
      <w:pPr>
        <w:widowControl/>
        <w:spacing w:line="380" w:lineRule="exact"/>
      </w:pPr>
      <w:r>
        <w:rPr>
          <w:rFonts w:hint="eastAsia" w:eastAsia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eastAsia="黑体"/>
          <w:sz w:val="28"/>
          <w:szCs w:val="28"/>
        </w:rPr>
        <w:t>：</w:t>
      </w:r>
    </w:p>
    <w:p w14:paraId="1C900BF2">
      <w:pPr>
        <w:spacing w:line="400" w:lineRule="exact"/>
        <w:ind w:left="-160" w:leftChars="-76" w:firstLine="159" w:firstLineChars="57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重</w:t>
      </w:r>
      <w:r>
        <w:rPr>
          <w:rFonts w:ascii="Times New Roman" w:hAnsi="Times New Roman" w:eastAsia="黑体" w:cs="Times New Roman"/>
          <w:sz w:val="28"/>
          <w:szCs w:val="28"/>
        </w:rPr>
        <w:t>金属分标委会</w:t>
      </w:r>
      <w:r>
        <w:rPr>
          <w:rFonts w:hint="eastAsia" w:ascii="Times New Roman" w:hAnsi="Times New Roman" w:eastAsia="黑体" w:cs="Times New Roman"/>
          <w:sz w:val="28"/>
          <w:szCs w:val="28"/>
        </w:rPr>
        <w:t>审定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和预审</w:t>
      </w:r>
      <w:r>
        <w:rPr>
          <w:rFonts w:ascii="Times New Roman" w:hAnsi="Times New Roman" w:eastAsia="黑体" w:cs="Times New Roman"/>
          <w:sz w:val="28"/>
          <w:szCs w:val="28"/>
        </w:rPr>
        <w:t>的标准项目</w:t>
      </w:r>
      <w:bookmarkStart w:id="0" w:name="_GoBack"/>
      <w:bookmarkEnd w:id="0"/>
    </w:p>
    <w:p w14:paraId="063C1954">
      <w:pPr>
        <w:pStyle w:val="2"/>
      </w:pPr>
    </w:p>
    <w:tbl>
      <w:tblPr>
        <w:tblStyle w:val="5"/>
        <w:tblW w:w="498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871"/>
        <w:gridCol w:w="2805"/>
        <w:gridCol w:w="6956"/>
        <w:gridCol w:w="869"/>
      </w:tblGrid>
      <w:tr w14:paraId="33EC9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64331F">
            <w:pPr>
              <w:pStyle w:val="7"/>
              <w:keepNext w:val="0"/>
              <w:keepLines w:val="0"/>
              <w:numPr>
                <w:ilvl w:val="0"/>
                <w:numId w:val="0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56C0F"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标准项目名称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47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项目计划编号</w:t>
            </w:r>
          </w:p>
        </w:tc>
        <w:tc>
          <w:tcPr>
            <w:tcW w:w="7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CCF1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起草单位及相关单位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D806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备注</w:t>
            </w:r>
          </w:p>
        </w:tc>
      </w:tr>
      <w:tr w14:paraId="27AF6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7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7ED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bidi="ar"/>
              </w:rPr>
              <w:t>第一组</w:t>
            </w:r>
          </w:p>
        </w:tc>
      </w:tr>
      <w:tr w14:paraId="54F02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C59950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55F1ED">
            <w:pPr>
              <w:pStyle w:val="8"/>
              <w:keepNext w:val="0"/>
              <w:keepLines w:val="0"/>
              <w:suppressLineNumbers w:val="0"/>
              <w:spacing w:before="57" w:beforeAutospacing="0" w:after="0" w:afterAutospacing="0" w:line="290" w:lineRule="exact"/>
              <w:ind w:left="0" w:right="106"/>
              <w:jc w:val="both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铜及铜合金术语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53193C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9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pacing w:val="-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国标委发〔2025〕43号20253709-T-610</w:t>
            </w:r>
          </w:p>
        </w:tc>
        <w:tc>
          <w:tcPr>
            <w:tcW w:w="7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9BAABD">
            <w:pPr>
              <w:pStyle w:val="8"/>
              <w:keepNext w:val="0"/>
              <w:keepLines w:val="0"/>
              <w:suppressLineNumbers w:val="0"/>
              <w:spacing w:before="55" w:beforeAutospacing="0" w:after="0" w:afterAutospacing="0" w:line="290" w:lineRule="exact"/>
              <w:ind w:left="0" w:right="103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中铝洛阳铜加工有限公司、江西铜业股份有限公司、安徽鑫科新材料股份有限公司、浙江海亮股份有限公司、宁波长振铜业有限公司、江西耐乐铜业有限公司、浙江天宁</w:t>
            </w: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-SA"/>
              </w:rPr>
              <w:t>合金材料有限公司、宁波兴敖达金属新材料有限公司、宁波金田铜业有限公司、金龙精密铜材有限公司、铜陵有色金属集团控股有限公司、芜湖楚江合金铜材有限公司、广东龙丰精密铜管有限公司、桂林漓佳金属有限公司、中铜华中铜业有限公司、河南科技大学、河南省科学院、中色正锐（山东）铜业有限公司、重庆龙煜精密铜管有限公司、沈阳有色金属加工有限公司、沈阳有色金属研究所有限公司、江西金品铜业科技有限公司、国工恒昌新材料（义乌）有限公司、宁</w:t>
            </w: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夏中色新材料有限公司、宁波兴业盛泰集团有限公司、浙江灿根智能有限公司、江西广信新材料有限公司</w:t>
            </w:r>
            <w:r>
              <w:rPr>
                <w:rFonts w:hint="eastAsia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、江西江南新材料科技股份有限公司等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EFA768">
            <w:pPr>
              <w:keepNext w:val="0"/>
              <w:keepLines w:val="0"/>
              <w:widowControl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9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2083D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DFE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bidi="ar"/>
              </w:rPr>
              <w:t>第二组</w:t>
            </w:r>
          </w:p>
        </w:tc>
      </w:tr>
      <w:tr w14:paraId="5169E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C658E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C4E30B">
            <w:pPr>
              <w:pStyle w:val="8"/>
              <w:keepNext w:val="0"/>
              <w:keepLines w:val="0"/>
              <w:suppressLineNumbers w:val="0"/>
              <w:spacing w:before="57" w:beforeAutospacing="0" w:after="0" w:afterAutospacing="0" w:line="290" w:lineRule="exact"/>
              <w:ind w:left="0" w:right="106"/>
              <w:jc w:val="both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铅精矿化学分析方法 第7部分：铜和镉含量的测定 火焰原子吸收光谱法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73FC9C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9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国标委发〔2025〕52号20255128-T-610</w:t>
            </w:r>
          </w:p>
        </w:tc>
        <w:tc>
          <w:tcPr>
            <w:tcW w:w="7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1FF079">
            <w:pPr>
              <w:pStyle w:val="8"/>
              <w:keepNext w:val="0"/>
              <w:keepLines w:val="0"/>
              <w:suppressLineNumbers w:val="0"/>
              <w:spacing w:before="55" w:beforeAutospacing="0" w:after="0" w:afterAutospacing="0" w:line="290" w:lineRule="exact"/>
              <w:ind w:left="0" w:right="103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株洲冶炼集团股份有限公司、水口山有色金属有限责任公司、北矿检测技术股份有限公司、河南豫光金铅股份有限公司、深圳市中金岭南有色金属股份有限公司、紫金矿业集团股份有限公司、长沙矿冶院检测技术有限责任公司、昆明冶金研究院有限公司、湖南有色金属研究院有限责任公司、中国检验认证集团广东有限公司黄埔分公司、济源市万洋冶炼（集团）有限公司、大冶有色设计研究院有限公司、山西北方铜业有限公司、江西铜业铅锌金属有限公司、铜陵有色金属集团控股有限公司、广东先导稀材股份有限公司、云南驰宏锌锗股份有限公司</w:t>
            </w:r>
            <w:r>
              <w:rPr>
                <w:rFonts w:hint="eastAsia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BDC6EB">
            <w:pPr>
              <w:keepNext w:val="0"/>
              <w:keepLines w:val="0"/>
              <w:widowControl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9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67E19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B78ECA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933136">
            <w:pPr>
              <w:pStyle w:val="8"/>
              <w:keepNext w:val="0"/>
              <w:keepLines w:val="0"/>
              <w:suppressLineNumbers w:val="0"/>
              <w:spacing w:before="57" w:beforeAutospacing="0" w:after="0" w:afterAutospacing="0" w:line="290" w:lineRule="exact"/>
              <w:ind w:left="0" w:right="106"/>
              <w:jc w:val="both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锌精矿化学分析方法 第5部分：铅、铜、镉、钴含量的测定 火焰原子吸收光谱法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4236E8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9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国标委发〔2025〕52号20255129-T-610</w:t>
            </w:r>
          </w:p>
        </w:tc>
        <w:tc>
          <w:tcPr>
            <w:tcW w:w="7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55B04F">
            <w:pPr>
              <w:pStyle w:val="8"/>
              <w:keepNext w:val="0"/>
              <w:keepLines w:val="0"/>
              <w:suppressLineNumbers w:val="0"/>
              <w:spacing w:before="55" w:beforeAutospacing="0" w:after="0" w:afterAutospacing="0" w:line="290" w:lineRule="exact"/>
              <w:ind w:left="0" w:right="103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葫芦岛锌业股份有限公司、深圳市中金岭南有色金属股份有限公司韶关冶炼厂、昆明冶金研究院有限公司、水口山有色金属有限责任公司、紫金矿业集团股份有限公司、山西北方铜业有限公司、河南豫光金铅股份有限公司、大冶有色设计研究院有限公司、云南华联锌铟股份有限公司、株洲冶炼集团股份有限公司、中国检验认证集团广西有限公司、湖南有色金属研究院有限责任公司、北矿检测技术股份有限公司、铜陵有色金属集团控股有限公司、国标（北京）检验认证有限公司、云南驰宏锌锗股份有限公司、中国有色桂林矿产地质研究院有限公司、长沙矿冶院检测技术有限责任公司、中国检验认证集团广东有限公司黄埔分公司、江西铜业铅锌金属有限公司</w:t>
            </w:r>
            <w:r>
              <w:rPr>
                <w:rFonts w:hint="eastAsia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47E4A6">
            <w:pPr>
              <w:keepNext w:val="0"/>
              <w:keepLines w:val="0"/>
              <w:widowControl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9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0B066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5CE40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E06B7A">
            <w:pPr>
              <w:pStyle w:val="8"/>
              <w:keepNext w:val="0"/>
              <w:keepLines w:val="0"/>
              <w:suppressLineNumbers w:val="0"/>
              <w:spacing w:before="57" w:beforeAutospacing="0" w:after="0" w:afterAutospacing="0" w:line="290" w:lineRule="exact"/>
              <w:ind w:left="0" w:right="106"/>
              <w:jc w:val="both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锌精矿化学分析方法 第15部分：汞含量的测定 原子荧光光谱法和冷原子吸收光谱法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DFEE9B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9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国标委发〔2025〕52号20255132-T-610</w:t>
            </w:r>
          </w:p>
        </w:tc>
        <w:tc>
          <w:tcPr>
            <w:tcW w:w="7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ACD914">
            <w:pPr>
              <w:pStyle w:val="8"/>
              <w:keepNext w:val="0"/>
              <w:keepLines w:val="0"/>
              <w:suppressLineNumbers w:val="0"/>
              <w:spacing w:before="55" w:beforeAutospacing="0" w:after="0" w:afterAutospacing="0" w:line="290" w:lineRule="exact"/>
              <w:ind w:left="0" w:right="103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葫芦岛锌业股份有限公司、铜陵有色金属集团控股有限公司、深圳市中金岭南有色金属股份有限公司韶关冶炼厂、江西铜业铅锌金属有限公司、昆明冶金研究院有限公司、中国有色桂林矿产地质研究院有限公司、金隆铜业有限公司、防城港市东途矿产检测有限公司、防城海关综合技术服务中心、山西北方铜业有限公司、阳新弘盛铜业有限公司、五矿铜业（湖南）有限公司、紫金矿业集团股份有限公司、北矿检测技术股份有限公司、长沙矿冶院检测技术有限责任公司、株洲冶炼集团股份有限公司</w:t>
            </w:r>
            <w:r>
              <w:rPr>
                <w:rFonts w:hint="eastAsia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AA03D1">
            <w:pPr>
              <w:keepNext w:val="0"/>
              <w:keepLines w:val="0"/>
              <w:widowControl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9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0E8F0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39E25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F235F7">
            <w:pPr>
              <w:pStyle w:val="8"/>
              <w:keepNext w:val="0"/>
              <w:keepLines w:val="0"/>
              <w:suppressLineNumbers w:val="0"/>
              <w:spacing w:before="57" w:beforeAutospacing="0" w:after="0" w:afterAutospacing="0" w:line="290" w:lineRule="exact"/>
              <w:ind w:left="0" w:right="106"/>
              <w:jc w:val="both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锑及三氧化二锑化学分析方法 第1部分：砷含量的测定 氢化物发生-原子荧光光谱法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1BDB8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9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国标委发〔2025〕52号20255133-T-610</w:t>
            </w:r>
          </w:p>
        </w:tc>
        <w:tc>
          <w:tcPr>
            <w:tcW w:w="7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CE73E6">
            <w:pPr>
              <w:pStyle w:val="8"/>
              <w:keepNext w:val="0"/>
              <w:keepLines w:val="0"/>
              <w:suppressLineNumbers w:val="0"/>
              <w:spacing w:before="55" w:beforeAutospacing="0" w:after="0" w:afterAutospacing="0" w:line="290" w:lineRule="exact"/>
              <w:ind w:left="0" w:right="103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锡矿山闪星锑业有限责任公司、湖南省安化渣滓溪矿业有限公司、深圳市中金岭南有色金属股份有限公司、湖南辰州矿业有限责任公司、长沙矿冶院检测技术有限责任公司、昆明冶金研究院有限公司、湖南有色金属研究院有限责任公司、金隆铜业有限公司、国标（北京）检验认证有限公司、山东恒邦冶炼股份有限公司、江西铜业铅锌金属有限公司、济源市万洋冶炼（集团）有限公司</w:t>
            </w:r>
            <w:r>
              <w:rPr>
                <w:rFonts w:hint="eastAsia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94B931">
            <w:pPr>
              <w:keepNext w:val="0"/>
              <w:keepLines w:val="0"/>
              <w:widowControl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9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08A3A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E900D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753204">
            <w:pPr>
              <w:pStyle w:val="8"/>
              <w:keepNext w:val="0"/>
              <w:keepLines w:val="0"/>
              <w:suppressLineNumbers w:val="0"/>
              <w:spacing w:before="57" w:beforeAutospacing="0" w:after="0" w:afterAutospacing="0" w:line="290" w:lineRule="exact"/>
              <w:ind w:left="0" w:right="106"/>
              <w:jc w:val="both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锑及三氧化二锑化学分析方法 第3部分：铅、铜、镉含量的测定 火焰原子吸收光谱法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104D3C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9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国标委发〔2025〕52号20255134-T-610</w:t>
            </w:r>
          </w:p>
        </w:tc>
        <w:tc>
          <w:tcPr>
            <w:tcW w:w="7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BA9DF2">
            <w:pPr>
              <w:pStyle w:val="8"/>
              <w:keepNext w:val="0"/>
              <w:keepLines w:val="0"/>
              <w:suppressLineNumbers w:val="0"/>
              <w:spacing w:before="55" w:beforeAutospacing="0" w:after="0" w:afterAutospacing="0" w:line="290" w:lineRule="exact"/>
              <w:ind w:left="0" w:right="103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锡矿山闪星锑业有限责任公司、湖南有色金属研究院有限责任公司、湖南辰州矿业有限责任公司、湖南省安化渣滓溪矿业有限公司、水口山有色金属有限责任公司、柳州华锡有色设计研究院有限责任公司、山东恒邦冶炼股份有限公司、北矿检测技术股份有限公司、江西铜业铅锌金属有限公司、昆明冶金研究院有限公司、金隆铜业有限公司、云南驰宏锌锗股份有限公司、大冶有色设计研究院有限公司、济源市万洋冶炼（集团）有限公司、中国检验认证集团广东有限公司黄埔分公司、上海有色金属工业技术监测中心有限公司、长沙矿冶院检测技术有限责任公司、国标（北京）检验认证有限公司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D3E9B6">
            <w:pPr>
              <w:keepNext w:val="0"/>
              <w:keepLines w:val="0"/>
              <w:widowControl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9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799E6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05DD1F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6C9430">
            <w:pPr>
              <w:pStyle w:val="8"/>
              <w:keepNext w:val="0"/>
              <w:keepLines w:val="0"/>
              <w:suppressLineNumbers w:val="0"/>
              <w:spacing w:before="57" w:beforeAutospacing="0" w:after="0" w:afterAutospacing="0" w:line="290" w:lineRule="exact"/>
              <w:ind w:left="0" w:right="106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铜精矿化学分析方法 第11部分：汞含量的测定 冷原子吸收光谱法和固体进样直接法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8376D8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9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国标委发〔2025〕52号20255140-T-610</w:t>
            </w:r>
          </w:p>
        </w:tc>
        <w:tc>
          <w:tcPr>
            <w:tcW w:w="7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65D9A">
            <w:pPr>
              <w:pStyle w:val="8"/>
              <w:keepNext w:val="0"/>
              <w:keepLines w:val="0"/>
              <w:suppressLineNumbers w:val="0"/>
              <w:spacing w:before="55" w:beforeAutospacing="0" w:after="0" w:afterAutospacing="0" w:line="290" w:lineRule="exact"/>
              <w:ind w:left="0" w:right="103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铜陵有色金属集团控股有限公司、防城海关综合技术服务中心、江西铜业股份有限公司、中国有色桂林矿产地质研究院有限公司、深圳市中金岭南有色金属股份有限公司、昆明冶金研究院有限公司、五矿铜业（湖南）有限公司、山东恒邦冶炼股份有限公司、云南铜业股份有限公司西南铜业分公司、中国检验认证集团广西有限公司、阳新弘盛铜业有限公司、山西北方铜业有限公司、中铜东南铜业有限公司、北矿检测技术股份有限公司、中国检验认证集团广东有限公司黄埔分公司、金隆铜业有限公司、葫芦岛锌业股份有限公司、山东中金岭南铜业有限责任公司</w:t>
            </w:r>
            <w:r>
              <w:rPr>
                <w:rFonts w:hint="eastAsia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CE4C5E">
            <w:pPr>
              <w:keepNext w:val="0"/>
              <w:keepLines w:val="0"/>
              <w:widowControl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9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审定</w:t>
            </w:r>
          </w:p>
        </w:tc>
      </w:tr>
      <w:tr w14:paraId="19C20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911851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55DD45">
            <w:pPr>
              <w:pStyle w:val="8"/>
              <w:keepNext w:val="0"/>
              <w:keepLines w:val="0"/>
              <w:suppressLineNumbers w:val="0"/>
              <w:spacing w:before="57" w:beforeAutospacing="0" w:after="0" w:afterAutospacing="0" w:line="290" w:lineRule="exact"/>
              <w:ind w:left="0" w:right="106"/>
              <w:jc w:val="both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锌及锌合金化学分析方法 第3部分：镉、铅和镁含量的测定 火焰原子吸收光谱法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DD6220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9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国标委发〔2025〕47号20254765-T-610</w:t>
            </w:r>
          </w:p>
        </w:tc>
        <w:tc>
          <w:tcPr>
            <w:tcW w:w="7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7E8BBF">
            <w:pPr>
              <w:pStyle w:val="8"/>
              <w:keepNext w:val="0"/>
              <w:keepLines w:val="0"/>
              <w:suppressLineNumbers w:val="0"/>
              <w:spacing w:before="55" w:beforeAutospacing="0" w:after="0" w:afterAutospacing="0" w:line="290" w:lineRule="exact"/>
              <w:ind w:left="0" w:right="103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葫芦岛锌业股份有限公司、深圳市中金岭南有色金属股份有限公司韶关冶炼厂、铜陵有色金属集团控股有限公司、北矿检测技术股份有限公司、水口山有色金属有限责任公司、云南驰宏锌锗股份有限公司、云南华联锌铟股份有限公司、河南豫光金铅股份有限公司、紫金矿业集团股份有限公司、江西铜业铅锌金属有限公司、国标（北京）检验认证有限公司、中国有色桂林矿产地质研究院有限公司、山西北方铜业有限公司、深圳双易达检测技术有限公司、大冶有色设计研究院有限公司、株洲冶炼集团股份有限公司、苏州市祥冠分析检测有限公司、中国检验认证集团广西有限公司</w:t>
            </w:r>
            <w:r>
              <w:rPr>
                <w:rFonts w:hint="eastAsia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D5FD18">
            <w:pPr>
              <w:keepNext w:val="0"/>
              <w:keepLines w:val="0"/>
              <w:widowControl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9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7F2D9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47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D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9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bidi="ar"/>
              </w:rPr>
              <w:t>第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1"/>
                <w:szCs w:val="21"/>
                <w:lang w:bidi="ar"/>
              </w:rPr>
              <w:t>组</w:t>
            </w:r>
          </w:p>
        </w:tc>
      </w:tr>
      <w:tr w14:paraId="07B80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F63CE0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B7544C">
            <w:pPr>
              <w:pStyle w:val="8"/>
              <w:keepNext w:val="0"/>
              <w:keepLines w:val="0"/>
              <w:suppressLineNumbers w:val="0"/>
              <w:spacing w:before="57" w:beforeAutospacing="0" w:after="0" w:afterAutospacing="0" w:line="290" w:lineRule="exact"/>
              <w:ind w:left="0" w:right="106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散装重有色金属浮选精矿取样、制样方法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F7F606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9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国标委发〔2025〕43号20253595-T-610</w:t>
            </w:r>
          </w:p>
        </w:tc>
        <w:tc>
          <w:tcPr>
            <w:tcW w:w="7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0D58B0">
            <w:pPr>
              <w:pStyle w:val="8"/>
              <w:keepNext w:val="0"/>
              <w:keepLines w:val="0"/>
              <w:suppressLineNumbers w:val="0"/>
              <w:spacing w:before="55" w:beforeAutospacing="0" w:after="0" w:afterAutospacing="0" w:line="290" w:lineRule="exact"/>
              <w:ind w:left="0" w:right="103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有色金属技术经济研究院有限责任公司、大冶有色金属有限责任公司、株洲冶炼集团股份有限公司、葫芦岛锌业股份有限公司、金川集团股份有限公司、铜陵有色金属集团控股有限公司、江西铜业股份有限公司、云南铜业股份有限公司、深圳市中金岭南有色金属股份有限公司、湖南水口山有色金属集团有限公司、锡矿山闪星锑业有限责任公司、山西北方铜业有限公司、中国检验认证集团广西有限公司等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08D9CD">
            <w:pPr>
              <w:keepNext w:val="0"/>
              <w:keepLines w:val="0"/>
              <w:widowControl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9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  <w:tr w14:paraId="7354D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6B9226">
            <w:pPr>
              <w:pStyle w:val="7"/>
              <w:keepNext w:val="0"/>
              <w:keepLines w:val="0"/>
              <w:numPr>
                <w:ilvl w:val="0"/>
                <w:numId w:val="1"/>
              </w:numPr>
              <w:suppressLineNumbers w:val="0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before="0" w:beforeAutospacing="0" w:after="0" w:afterAutospacing="0"/>
              <w:ind w:left="420" w:leftChars="0" w:right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202026">
            <w:pPr>
              <w:pStyle w:val="8"/>
              <w:keepNext w:val="0"/>
              <w:keepLines w:val="0"/>
              <w:suppressLineNumbers w:val="0"/>
              <w:spacing w:before="57" w:beforeAutospacing="0" w:after="0" w:afterAutospacing="0" w:line="290" w:lineRule="exact"/>
              <w:ind w:left="0" w:right="106"/>
              <w:jc w:val="both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重有色金属精矿产品中有害元素的限量规范</w:t>
            </w:r>
          </w:p>
        </w:tc>
        <w:tc>
          <w:tcPr>
            <w:tcW w:w="2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B50081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29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国标委发〔2026〕9号20260063-Q-339</w:t>
            </w:r>
          </w:p>
        </w:tc>
        <w:tc>
          <w:tcPr>
            <w:tcW w:w="7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D92D09">
            <w:pPr>
              <w:pStyle w:val="8"/>
              <w:keepNext w:val="0"/>
              <w:keepLines w:val="0"/>
              <w:suppressLineNumbers w:val="0"/>
              <w:spacing w:before="55" w:beforeAutospacing="0" w:after="0" w:afterAutospacing="0" w:line="290" w:lineRule="exact"/>
              <w:ind w:left="0" w:right="103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有色金属技术经济研究院有限责任公司、铜陵有色金属集团股份有限公司、江西铜业股份有限公司、葫芦岛锌业股份有限公司、深圳市中金岭南有色金属股份有限公司、云南铜业股份有限公司、金川集团股份有限公司、广西华锡集团股份有限公司、水口山有色金属有限责任公司、浙江华友钴业股份有限公司、锡矿山闪星锑业有限责任公司</w:t>
            </w:r>
            <w:r>
              <w:rPr>
                <w:rFonts w:hint="eastAsia" w:eastAsia="宋体" w:cs="宋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19A0FB">
            <w:pPr>
              <w:keepNext w:val="0"/>
              <w:keepLines w:val="0"/>
              <w:widowControl/>
              <w:suppressLineNumbers w:val="0"/>
              <w:shd w:val="clear"/>
              <w:autoSpaceDE w:val="0"/>
              <w:autoSpaceDN w:val="0"/>
              <w:adjustRightInd w:val="0"/>
              <w:spacing w:before="0" w:beforeAutospacing="0" w:after="0" w:afterAutospacing="0" w:line="29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预审</w:t>
            </w:r>
          </w:p>
        </w:tc>
      </w:tr>
    </w:tbl>
    <w:p w14:paraId="70CDB3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76DFC9"/>
    <w:multiLevelType w:val="multilevel"/>
    <w:tmpl w:val="0E76DFC9"/>
    <w:lvl w:ilvl="0" w:tentative="0">
      <w:start w:val="1"/>
      <w:numFmt w:val="decimal"/>
      <w:lvlText w:val="%1."/>
      <w:lvlJc w:val="left"/>
      <w:pPr>
        <w:ind w:left="630" w:hanging="420"/>
      </w:pPr>
      <w:rPr>
        <w:rFonts w:asciiTheme="minorEastAsia" w:hAnsiTheme="minorEastAsia" w:eastAsiaTheme="minorEastAsia"/>
        <w:b w:val="0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81936"/>
    <w:rsid w:val="0DF8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adjustRightInd w:val="0"/>
      <w:snapToGrid w:val="0"/>
      <w:jc w:val="left"/>
      <w:textAlignment w:val="baseline"/>
    </w:pPr>
    <w:rPr>
      <w:rFonts w:ascii="Calibri" w:hAnsi="Calibri" w:eastAsia="Times New Roman" w:cs="Times New Roman"/>
      <w:szCs w:val="24"/>
    </w:r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Normal (Web)"/>
    <w:basedOn w:val="1"/>
    <w:next w:val="3"/>
    <w:unhideWhenUsed/>
    <w:qFormat/>
    <w:uiPriority w:val="99"/>
    <w:rPr>
      <w:sz w:val="24"/>
    </w:r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2026-03-25T05:18:00Z</dcterms:created>
  <dc:creator>WPS_1747749647</dc:creator>
  <cp:lastModifiedBy>WPS_1747749647</cp:lastModifiedBy>
  <dcterms:modified xsi:type="dcterms:W3CDTF">2026-03-25T05:19:16Z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317B16E4539D406491677E594578F132_11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