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0C2A5">
      <w:pPr>
        <w:jc w:val="right"/>
        <w:rPr>
          <w:rFonts w:eastAsia="黑体"/>
          <w:b/>
          <w:color w:val="000000"/>
          <w:w w:val="150"/>
          <w:sz w:val="96"/>
          <w:szCs w:val="96"/>
        </w:rPr>
      </w:pPr>
      <w:r>
        <w:rPr>
          <w:rFonts w:eastAsia="黑体"/>
          <w:b/>
          <w:color w:val="000000"/>
          <w:w w:val="150"/>
          <w:sz w:val="96"/>
          <w:szCs w:val="96"/>
        </w:rPr>
        <w:t>YS</w:t>
      </w:r>
    </w:p>
    <w:p w14:paraId="479CC51C">
      <w:pPr>
        <w:jc w:val="distribute"/>
        <w:rPr>
          <w:rFonts w:ascii="黑体" w:hAnsi="黑体" w:eastAsia="黑体"/>
          <w:b/>
          <w:color w:val="000000"/>
          <w:sz w:val="44"/>
          <w:szCs w:val="52"/>
        </w:rPr>
      </w:pPr>
      <w:r>
        <w:rPr>
          <w:rFonts w:hint="eastAsia" w:ascii="黑体" w:hAnsi="黑体" w:eastAsia="黑体"/>
          <w:bCs/>
          <w:color w:val="000000"/>
          <w:sz w:val="52"/>
          <w:szCs w:val="52"/>
        </w:rPr>
        <w:t>中华人民共和国有色金属行业标准</w:t>
      </w:r>
    </w:p>
    <w:p w14:paraId="1B5447A2">
      <w:pPr>
        <w:jc w:val="right"/>
        <w:rPr>
          <w:rFonts w:eastAsia="黑体"/>
          <w:color w:val="000000"/>
          <w:spacing w:val="20"/>
          <w:sz w:val="28"/>
          <w:szCs w:val="28"/>
        </w:rPr>
      </w:pPr>
      <w:r>
        <w:rPr>
          <w:rFonts w:eastAsia="黑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943600" cy="0"/>
                <wp:effectExtent l="9525" t="15240" r="9525" b="13335"/>
                <wp:wrapNone/>
                <wp:docPr id="12" name="Line 14"/>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ln>
                      </wps:spPr>
                      <wps:bodyPr/>
                    </wps:wsp>
                  </a:graphicData>
                </a:graphic>
              </wp:anchor>
            </w:drawing>
          </mc:Choice>
          <mc:Fallback>
            <w:pict>
              <v:line id="Line 14" o:spid="_x0000_s1026" o:spt="20" style="position:absolute;left:0pt;margin-left:0pt;margin-top:31.2pt;height:0pt;width:468pt;z-index:251659264;mso-width-relative:page;mso-height-relative:page;" filled="f" stroked="t" coordsize="21600,21600" o:gfxdata="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PLqtdUAAAAGAQAADwAAAAAAAAABACAAAAAiAAAAZHJzL2Rvd25y&#10;ZXYueG1sUEsBAhQAFAAAAAgAh07iQF4MpJPIAQAAogMAAA4AAAAAAAAAAQAgAAAAJAEAAGRycy9l&#10;Mm9Eb2MueG1sUEsFBgAAAAAGAAYAWQEAAF4FAAAAAA==&#10;">
                <v:fill on="f" focussize="0,0"/>
                <v:stroke weight="1pt" color="#000000" joinstyle="round"/>
                <v:imagedata o:title=""/>
                <o:lock v:ext="edit" aspectratio="f"/>
              </v:line>
            </w:pict>
          </mc:Fallback>
        </mc:AlternateContent>
      </w:r>
      <w:r>
        <w:rPr>
          <w:rFonts w:eastAsia="黑体"/>
          <w:color w:val="000000"/>
          <w:spacing w:val="20"/>
          <w:sz w:val="28"/>
          <w:szCs w:val="28"/>
        </w:rPr>
        <w:t>YS/T XXXX-202X</w:t>
      </w:r>
    </w:p>
    <w:p w14:paraId="341C6EDC">
      <w:pPr>
        <w:rPr>
          <w:rFonts w:eastAsia="黑体"/>
          <w:color w:val="000000"/>
          <w:spacing w:val="20"/>
          <w:sz w:val="28"/>
          <w:szCs w:val="28"/>
        </w:rPr>
      </w:pPr>
    </w:p>
    <w:p w14:paraId="49B4DE55">
      <w:pPr>
        <w:rPr>
          <w:rFonts w:eastAsia="黑体"/>
          <w:color w:val="000000"/>
          <w:spacing w:val="20"/>
          <w:sz w:val="28"/>
          <w:szCs w:val="28"/>
        </w:rPr>
      </w:pPr>
    </w:p>
    <w:p w14:paraId="612FEB30">
      <w:pPr>
        <w:rPr>
          <w:rFonts w:eastAsia="黑体"/>
          <w:color w:val="000000"/>
          <w:spacing w:val="20"/>
          <w:sz w:val="28"/>
          <w:szCs w:val="28"/>
        </w:rPr>
      </w:pPr>
    </w:p>
    <w:p w14:paraId="189945BF">
      <w:pPr>
        <w:rPr>
          <w:rFonts w:eastAsia="黑体"/>
          <w:color w:val="000000"/>
          <w:spacing w:val="20"/>
          <w:sz w:val="28"/>
          <w:szCs w:val="28"/>
        </w:rPr>
      </w:pPr>
    </w:p>
    <w:p w14:paraId="52B769F0">
      <w:pPr>
        <w:rPr>
          <w:rFonts w:eastAsia="黑体"/>
          <w:color w:val="000000"/>
          <w:spacing w:val="20"/>
          <w:sz w:val="28"/>
          <w:szCs w:val="28"/>
        </w:rPr>
      </w:pPr>
    </w:p>
    <w:p w14:paraId="1777DA4D">
      <w:pPr>
        <w:pStyle w:val="20"/>
        <w:framePr w:w="0" w:hRule="auto" w:wrap="auto" w:vAnchor="margin" w:hAnchor="text" w:xAlign="left" w:yAlign="inline"/>
        <w:rPr>
          <w:rFonts w:hAnsi="黑体"/>
        </w:rPr>
      </w:pPr>
      <w:r>
        <w:rPr>
          <w:rFonts w:hint="eastAsia"/>
        </w:rPr>
        <w:t>硅多晶表面粉尘含量的测定 重量法</w:t>
      </w:r>
    </w:p>
    <w:p w14:paraId="14017763">
      <w:pPr>
        <w:pStyle w:val="21"/>
        <w:framePr w:w="0" w:hRule="auto" w:wrap="auto" w:vAnchor="margin" w:hAnchor="text" w:xAlign="left" w:yAlign="inline"/>
        <w:rPr>
          <w:rFonts w:ascii="黑体" w:hAnsi="黑体" w:eastAsia="黑体"/>
          <w:sz w:val="28"/>
        </w:rPr>
      </w:pPr>
      <w:r>
        <w:rPr>
          <w:rFonts w:ascii="黑体" w:hAnsi="黑体" w:eastAsia="黑体"/>
          <w:sz w:val="28"/>
        </w:rPr>
        <w:t>Determination of dust content on the surface of polycrystalline   gravimetric method</w:t>
      </w:r>
    </w:p>
    <w:p w14:paraId="027EAD5C">
      <w:pPr>
        <w:jc w:val="center"/>
        <w:rPr>
          <w:rFonts w:hint="eastAsia" w:eastAsia="黑体"/>
          <w:color w:val="000000"/>
          <w:spacing w:val="20"/>
          <w:sz w:val="24"/>
          <w:szCs w:val="24"/>
          <w:lang w:val="en-US" w:eastAsia="zh-CN"/>
        </w:rPr>
      </w:pPr>
      <w:r>
        <w:rPr>
          <w:rFonts w:hint="eastAsia" w:eastAsia="黑体"/>
          <w:color w:val="000000"/>
          <w:spacing w:val="20"/>
          <w:sz w:val="24"/>
          <w:szCs w:val="24"/>
          <w:lang w:val="en-US" w:eastAsia="zh-CN"/>
        </w:rPr>
        <w:t>（讨论稿）</w:t>
      </w:r>
    </w:p>
    <w:p w14:paraId="079E02FF">
      <w:pPr>
        <w:jc w:val="center"/>
        <w:rPr>
          <w:rFonts w:eastAsia="黑体"/>
          <w:b/>
          <w:color w:val="000000"/>
          <w:spacing w:val="20"/>
          <w:sz w:val="28"/>
          <w:szCs w:val="28"/>
        </w:rPr>
      </w:pPr>
    </w:p>
    <w:p w14:paraId="66B4AFCD">
      <w:pPr>
        <w:jc w:val="center"/>
        <w:rPr>
          <w:rFonts w:eastAsia="黑体"/>
          <w:b/>
          <w:color w:val="000000"/>
          <w:spacing w:val="20"/>
          <w:sz w:val="28"/>
          <w:szCs w:val="28"/>
        </w:rPr>
      </w:pPr>
    </w:p>
    <w:p w14:paraId="4F67D66D">
      <w:pPr>
        <w:jc w:val="center"/>
        <w:rPr>
          <w:rFonts w:eastAsia="黑体"/>
          <w:b/>
          <w:color w:val="000000"/>
          <w:spacing w:val="20"/>
          <w:sz w:val="28"/>
          <w:szCs w:val="28"/>
        </w:rPr>
      </w:pPr>
    </w:p>
    <w:p w14:paraId="260FCCEB">
      <w:pPr>
        <w:rPr>
          <w:rFonts w:eastAsia="黑体"/>
          <w:b/>
          <w:color w:val="000000"/>
          <w:spacing w:val="20"/>
          <w:sz w:val="28"/>
          <w:szCs w:val="28"/>
        </w:rPr>
      </w:pPr>
    </w:p>
    <w:p w14:paraId="4521C38B">
      <w:pPr>
        <w:rPr>
          <w:rFonts w:eastAsia="黑体"/>
          <w:b/>
          <w:color w:val="000000"/>
          <w:spacing w:val="20"/>
          <w:sz w:val="28"/>
          <w:szCs w:val="28"/>
        </w:rPr>
      </w:pPr>
    </w:p>
    <w:p w14:paraId="0647D2BB">
      <w:pPr>
        <w:rPr>
          <w:rFonts w:eastAsia="黑体"/>
          <w:color w:val="000000"/>
          <w:spacing w:val="20"/>
          <w:sz w:val="28"/>
          <w:szCs w:val="28"/>
        </w:rPr>
        <w:sectPr>
          <w:headerReference r:id="rId3" w:type="default"/>
          <w:footerReference r:id="rId4" w:type="default"/>
          <w:pgSz w:w="11906" w:h="16838"/>
          <w:pgMar w:top="1134" w:right="1134" w:bottom="1134" w:left="1418" w:header="851" w:footer="992" w:gutter="0"/>
          <w:cols w:space="720" w:num="1"/>
          <w:docGrid w:type="lines" w:linePitch="312" w:charSpace="0"/>
        </w:sectPr>
      </w:pPr>
    </w:p>
    <w:p w14:paraId="567FBB8A">
      <w:pPr>
        <w:rPr>
          <w:rFonts w:eastAsia="黑体"/>
          <w:color w:val="000000"/>
          <w:spacing w:val="20"/>
          <w:sz w:val="28"/>
          <w:szCs w:val="28"/>
        </w:rPr>
      </w:pPr>
      <w:r>
        <w:rPr>
          <w:rFonts w:eastAsia="黑体"/>
          <w:color w:val="000000"/>
          <w:spacing w:val="20"/>
          <w:sz w:val="28"/>
          <w:szCs w:val="28"/>
        </w:rPr>
        <w:t>202X-XX-XX</w:t>
      </w:r>
      <w:r>
        <w:rPr>
          <w:rFonts w:hint="eastAsia" w:eastAsia="黑体"/>
          <w:color w:val="000000"/>
          <w:spacing w:val="20"/>
          <w:sz w:val="28"/>
          <w:szCs w:val="28"/>
        </w:rPr>
        <w:t>发布</w:t>
      </w:r>
      <w:r>
        <w:rPr>
          <w:rFonts w:eastAsia="黑体"/>
          <w:color w:val="000000"/>
          <w:spacing w:val="20"/>
          <w:sz w:val="28"/>
          <w:szCs w:val="28"/>
        </w:rPr>
        <w:t xml:space="preserve">                        202X-XXXX</w:t>
      </w:r>
      <w:r>
        <w:rPr>
          <w:rFonts w:hint="eastAsia" w:eastAsia="黑体"/>
          <w:color w:val="000000"/>
          <w:spacing w:val="20"/>
          <w:sz w:val="28"/>
          <w:szCs w:val="28"/>
        </w:rPr>
        <w:t>实施</w:t>
      </w:r>
    </w:p>
    <w:p w14:paraId="2C7BFFD7">
      <w:pPr>
        <w:adjustRightInd w:val="0"/>
        <w:snapToGrid w:val="0"/>
        <w:spacing w:line="240" w:lineRule="atLeast"/>
        <w:jc w:val="center"/>
        <w:rPr>
          <w:rFonts w:eastAsia="黑体"/>
          <w:color w:val="000000"/>
          <w:kern w:val="0"/>
          <w:sz w:val="28"/>
          <w:szCs w:val="28"/>
        </w:rPr>
      </w:pPr>
      <w: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43180</wp:posOffset>
                </wp:positionV>
                <wp:extent cx="5894705" cy="635"/>
                <wp:effectExtent l="5715" t="5080" r="5080" b="13335"/>
                <wp:wrapNone/>
                <wp:docPr id="11" name="Line 15"/>
                <wp:cNvGraphicFramePr/>
                <a:graphic xmlns:a="http://schemas.openxmlformats.org/drawingml/2006/main">
                  <a:graphicData uri="http://schemas.microsoft.com/office/word/2010/wordprocessingShape">
                    <wps:wsp>
                      <wps:cNvCnPr>
                        <a:cxnSpLocks noChangeShapeType="1"/>
                      </wps:cNvCnPr>
                      <wps:spPr bwMode="auto">
                        <a:xfrm>
                          <a:off x="0" y="0"/>
                          <a:ext cx="5894705" cy="635"/>
                        </a:xfrm>
                        <a:prstGeom prst="line">
                          <a:avLst/>
                        </a:prstGeom>
                        <a:noFill/>
                        <a:ln w="3175">
                          <a:solidFill>
                            <a:srgbClr val="000000"/>
                          </a:solidFill>
                          <a:round/>
                        </a:ln>
                      </wps:spPr>
                      <wps:bodyPr/>
                    </wps:wsp>
                  </a:graphicData>
                </a:graphic>
              </wp:anchor>
            </w:drawing>
          </mc:Choice>
          <mc:Fallback>
            <w:pict>
              <v:line id="Line 15" o:spid="_x0000_s1026" o:spt="20" style="position:absolute;left:0pt;margin-left:-3.3pt;margin-top:3.4pt;height:0.05pt;width:464.15pt;z-index:251660288;mso-width-relative:page;mso-height-relative:page;" filled="f" stroked="t" coordsize="21600,21600" o:gfxdata="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&#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uW1N1gAAAAYBAAAPAAAAAAAAAAEAIAAAACIAAABk&#10;cnMvZG93bnJldi54bWxQSwECFAAUAAAACACHTuJAqofZv88BAACjAwAADgAAAAAAAAABACAAAAAl&#10;AQAAZHJzL2Uyb0RvYy54bWxQSwUGAAAAAAYABgBZAQAAZgUAAAAA&#10;">
                <v:fill on="f" focussize="0,0"/>
                <v:stroke weight="0.25pt" color="#000000" joinstyle="round"/>
                <v:imagedata o:title=""/>
                <o:lock v:ext="edit" aspectratio="f"/>
              </v:line>
            </w:pict>
          </mc:Fallback>
        </mc:AlternateContent>
      </w:r>
    </w:p>
    <w:p w14:paraId="12695962">
      <w:pPr>
        <w:tabs>
          <w:tab w:val="center" w:pos="4677"/>
          <w:tab w:val="right" w:pos="9354"/>
        </w:tabs>
        <w:adjustRightInd w:val="0"/>
        <w:snapToGrid w:val="0"/>
        <w:jc w:val="left"/>
        <w:rPr>
          <w:rFonts w:eastAsia="黑体"/>
          <w:color w:val="000000"/>
          <w:kern w:val="0"/>
          <w:sz w:val="36"/>
          <w:szCs w:val="28"/>
        </w:rPr>
        <w:sectPr>
          <w:headerReference r:id="rId5" w:type="even"/>
          <w:type w:val="continuous"/>
          <w:pgSz w:w="11906" w:h="16838"/>
          <w:pgMar w:top="1134" w:right="1134" w:bottom="1134" w:left="1418" w:header="851" w:footer="992" w:gutter="0"/>
          <w:cols w:space="720" w:num="1"/>
          <w:docGrid w:type="lines" w:linePitch="312" w:charSpace="0"/>
        </w:sectPr>
      </w:pPr>
      <w:r>
        <w:rPr>
          <w:rFonts w:eastAsia="黑体"/>
          <w:color w:val="000000"/>
          <w:spacing w:val="30"/>
          <w:kern w:val="0"/>
          <w:sz w:val="36"/>
          <w:szCs w:val="28"/>
          <w:eastAsianLayout w:id="3" w:combine="1"/>
        </w:rPr>
        <w:tab/>
      </w:r>
      <w:r>
        <w:rPr>
          <w:rFonts w:hint="eastAsia" w:eastAsia="黑体"/>
          <w:color w:val="000000"/>
          <w:spacing w:val="30"/>
          <w:kern w:val="0"/>
          <w:sz w:val="36"/>
          <w:szCs w:val="28"/>
          <w:fitText w:val="5828" w:id="-777867264"/>
          <w:eastAsianLayout w:id="4" w:combine="1"/>
        </w:rPr>
        <w:t>中华人民共和国工业和信息化</w:t>
      </w:r>
      <w:r>
        <w:rPr>
          <w:rFonts w:hint="eastAsia" w:eastAsia="黑体"/>
          <w:color w:val="000000"/>
          <w:spacing w:val="4"/>
          <w:kern w:val="0"/>
          <w:sz w:val="36"/>
          <w:szCs w:val="28"/>
          <w:fitText w:val="5828" w:id="-777867264"/>
          <w:eastAsianLayout w:id="5" w:combine="1"/>
        </w:rPr>
        <w:t>部</w:t>
      </w:r>
      <w:r>
        <w:rPr>
          <w:rFonts w:hint="eastAsia" w:eastAsia="黑体"/>
          <w:color w:val="000000"/>
          <w:kern w:val="0"/>
          <w:sz w:val="36"/>
          <w:szCs w:val="28"/>
        </w:rPr>
        <w:t xml:space="preserve">   发 布</w:t>
      </w:r>
      <w:r>
        <w:rPr>
          <w:rFonts w:eastAsia="黑体"/>
          <w:color w:val="000000"/>
          <w:kern w:val="0"/>
          <w:sz w:val="36"/>
          <w:szCs w:val="28"/>
        </w:rPr>
        <w:tab/>
      </w:r>
      <w:r>
        <w:rPr>
          <w:w w:val="150"/>
          <w:sz w:val="28"/>
        </w:rPr>
        <w:t xml:space="preserve">          </w:t>
      </w:r>
    </w:p>
    <w:p w14:paraId="1BA310CD">
      <w:pPr>
        <w:pStyle w:val="8"/>
        <w:rPr>
          <w:rFonts w:ascii="Times New Roman"/>
          <w:color w:val="000000"/>
          <w:sz w:val="31"/>
          <w:szCs w:val="31"/>
        </w:rPr>
      </w:pPr>
      <w:r>
        <w:rPr>
          <w:rFonts w:hint="eastAsia" w:ascii="Times New Roman"/>
          <w:color w:val="000000"/>
          <w:sz w:val="31"/>
          <w:szCs w:val="31"/>
        </w:rPr>
        <w:t>前</w:t>
      </w:r>
      <w:r>
        <w:rPr>
          <w:rFonts w:ascii="Times New Roman"/>
          <w:color w:val="000000"/>
          <w:sz w:val="31"/>
          <w:szCs w:val="31"/>
        </w:rPr>
        <w:t xml:space="preserve">    </w:t>
      </w:r>
      <w:r>
        <w:rPr>
          <w:rFonts w:hint="eastAsia" w:ascii="Times New Roman"/>
          <w:color w:val="000000"/>
          <w:sz w:val="31"/>
          <w:szCs w:val="31"/>
        </w:rPr>
        <w:t>言</w:t>
      </w:r>
    </w:p>
    <w:p w14:paraId="6204C9AC">
      <w:pPr>
        <w:pStyle w:val="9"/>
        <w:ind w:firstLine="447" w:firstLineChars="213"/>
        <w:rPr>
          <w:rFonts w:hAnsi="宋体" w:cs="宋体"/>
          <w:color w:val="000000"/>
          <w:szCs w:val="21"/>
        </w:rPr>
      </w:pPr>
      <w:r>
        <w:rPr>
          <w:rFonts w:hint="eastAsia" w:hAnsi="宋体"/>
          <w:color w:val="000000"/>
          <w:szCs w:val="21"/>
        </w:rPr>
        <w:t>本文件按照GB/T 1.1—20</w:t>
      </w:r>
      <w:r>
        <w:rPr>
          <w:rFonts w:hAnsi="宋体"/>
          <w:color w:val="000000"/>
          <w:szCs w:val="21"/>
        </w:rPr>
        <w:t>20</w:t>
      </w:r>
      <w:r>
        <w:rPr>
          <w:rFonts w:hint="eastAsia" w:hAnsi="宋体"/>
          <w:color w:val="000000"/>
          <w:szCs w:val="21"/>
        </w:rPr>
        <w:t xml:space="preserve">《标准化工作导则 </w:t>
      </w:r>
      <w:r>
        <w:rPr>
          <w:rFonts w:hAnsi="宋体"/>
          <w:color w:val="000000"/>
          <w:szCs w:val="21"/>
        </w:rPr>
        <w:t xml:space="preserve"> </w:t>
      </w:r>
      <w:r>
        <w:rPr>
          <w:rFonts w:hint="eastAsia" w:hAnsi="宋体"/>
          <w:color w:val="000000"/>
          <w:szCs w:val="21"/>
        </w:rPr>
        <w:t>第1部分：标准化文件的结构和起草规则》的规定起草</w:t>
      </w:r>
      <w:r>
        <w:rPr>
          <w:rFonts w:hint="eastAsia" w:hAnsi="宋体" w:cs="宋体"/>
          <w:color w:val="000000"/>
          <w:szCs w:val="21"/>
        </w:rPr>
        <w:t>。</w:t>
      </w:r>
    </w:p>
    <w:p w14:paraId="7AE31615">
      <w:pPr>
        <w:pStyle w:val="9"/>
        <w:ind w:firstLine="447" w:firstLineChars="213"/>
        <w:rPr>
          <w:rFonts w:hAnsi="宋体" w:cs="宋体"/>
          <w:color w:val="000000"/>
          <w:szCs w:val="21"/>
        </w:rPr>
      </w:pPr>
      <w:r>
        <w:rPr>
          <w:rFonts w:hint="eastAsia" w:hAnsi="宋体" w:cs="宋体"/>
          <w:color w:val="000000"/>
          <w:szCs w:val="21"/>
        </w:rPr>
        <w:t>请注意本文件的某些内容可能涉及专利。本文件的发布机构不承担识别这些专利的责任。</w:t>
      </w:r>
    </w:p>
    <w:p w14:paraId="407FD267">
      <w:pPr>
        <w:widowControl/>
        <w:autoSpaceDE w:val="0"/>
        <w:autoSpaceDN w:val="0"/>
        <w:ind w:firstLine="420" w:firstLineChars="200"/>
        <w:rPr>
          <w:rFonts w:ascii="宋体" w:hAnsi="宋体" w:cs="宋体"/>
          <w:color w:val="000000"/>
          <w:kern w:val="0"/>
          <w:szCs w:val="21"/>
        </w:rPr>
      </w:pPr>
      <w:r>
        <w:rPr>
          <w:rFonts w:hint="eastAsia" w:ascii="宋体" w:hAnsi="宋体" w:cs="宋体"/>
          <w:color w:val="000000"/>
          <w:kern w:val="0"/>
          <w:szCs w:val="21"/>
        </w:rPr>
        <w:t>本文件由全国有色金属标准化技术委员会（SAC/TC243）、全国半导体设备和材料标准化技术委员会材料分技术委员会（SAC/TC203/SC2）提出并归口。</w:t>
      </w:r>
    </w:p>
    <w:p w14:paraId="03E19BDC">
      <w:pPr>
        <w:pStyle w:val="9"/>
        <w:ind w:firstLine="420"/>
        <w:rPr>
          <w:rFonts w:hAnsi="宋体" w:cs="宋体"/>
          <w:color w:val="000000"/>
          <w:szCs w:val="21"/>
        </w:rPr>
      </w:pPr>
      <w:r>
        <w:rPr>
          <w:rFonts w:hint="eastAsia" w:hAnsi="宋体" w:cs="宋体"/>
          <w:color w:val="000000"/>
          <w:szCs w:val="21"/>
        </w:rPr>
        <w:t>本文件起草单位:陕西有色天宏瑞科硅材料有限责任公司、</w:t>
      </w:r>
      <w:r>
        <w:rPr>
          <w:rFonts w:hint="eastAsia" w:hAnsi="宋体"/>
          <w:szCs w:val="21"/>
        </w:rPr>
        <w:t>四川永祥股份有限公司、新特能源股份有限公司、四川永祥光伏科技有限公司、包头晶澳太阳能科技有限公司、青海高景太阳能科技有限公司、</w:t>
      </w:r>
      <w:r>
        <w:rPr>
          <w:rFonts w:hAnsi="宋体"/>
          <w:szCs w:val="21"/>
        </w:rPr>
        <w:t>江苏中能硅业科技发展有限公司</w:t>
      </w:r>
      <w:r>
        <w:rPr>
          <w:rFonts w:hint="eastAsia" w:hAnsi="宋体"/>
          <w:szCs w:val="21"/>
        </w:rPr>
        <w:t>、隆基绿能科技股份有限公司、四川高景太阳能科技有限公司、天合光能（青海）晶硅有限公司。</w:t>
      </w:r>
    </w:p>
    <w:p w14:paraId="640427A9">
      <w:pPr>
        <w:pStyle w:val="9"/>
        <w:ind w:firstLine="420"/>
        <w:rPr>
          <w:rFonts w:hAnsi="宋体" w:cs="宋体"/>
          <w:color w:val="000000"/>
          <w:szCs w:val="21"/>
        </w:rPr>
      </w:pPr>
      <w:r>
        <w:rPr>
          <w:rFonts w:hint="eastAsia" w:hAnsi="宋体" w:cs="宋体"/>
          <w:color w:val="000000"/>
          <w:szCs w:val="21"/>
        </w:rPr>
        <w:t xml:space="preserve">本文件主要起草人： </w:t>
      </w:r>
    </w:p>
    <w:p w14:paraId="30B9C6CC">
      <w:pPr>
        <w:pStyle w:val="9"/>
        <w:ind w:firstLine="420"/>
        <w:rPr>
          <w:rFonts w:ascii="Times New Roman" w:eastAsia="黑体"/>
          <w:color w:val="000000"/>
          <w:sz w:val="20"/>
        </w:rPr>
        <w:sectPr>
          <w:headerReference r:id="rId6" w:type="default"/>
          <w:footerReference r:id="rId7" w:type="default"/>
          <w:footerReference r:id="rId8" w:type="even"/>
          <w:pgSz w:w="11906" w:h="16838"/>
          <w:pgMar w:top="1134" w:right="1134" w:bottom="1134" w:left="1418" w:header="851" w:footer="992" w:gutter="0"/>
          <w:pgNumType w:start="1"/>
          <w:cols w:space="720" w:num="1"/>
          <w:docGrid w:type="lines" w:linePitch="312" w:charSpace="0"/>
        </w:sectPr>
      </w:pPr>
      <w:r>
        <w:rPr>
          <w:rFonts w:hint="eastAsia" w:hAnsi="宋体" w:cs="宋体"/>
          <w:color w:val="000000"/>
          <w:szCs w:val="21"/>
        </w:rPr>
        <w:t>本文件为首次发布</w:t>
      </w:r>
      <w:r>
        <w:rPr>
          <w:rFonts w:hint="eastAsia" w:ascii="Times New Roman" w:eastAsia="黑体"/>
          <w:color w:val="000000"/>
          <w:sz w:val="20"/>
        </w:rPr>
        <w:t>。</w:t>
      </w:r>
    </w:p>
    <w:p w14:paraId="3EDD15BB">
      <w:pPr>
        <w:pStyle w:val="23"/>
        <w:rPr>
          <w:rFonts w:hAnsi="黑体"/>
        </w:rPr>
      </w:pPr>
      <w:r>
        <w:rPr>
          <w:rFonts w:hint="eastAsia" w:hAnsi="黑体"/>
        </w:rPr>
        <w:t>硅多晶表面粉尘含量的测定 重量法</w:t>
      </w:r>
    </w:p>
    <w:p w14:paraId="55A833FA">
      <w:pPr>
        <w:pStyle w:val="10"/>
        <w:numPr>
          <w:ilvl w:val="0"/>
          <w:numId w:val="3"/>
        </w:numPr>
        <w:spacing w:before="312" w:beforeLines="100" w:after="312" w:afterLines="100"/>
        <w:rPr>
          <w:rFonts w:hAnsi="黑体"/>
        </w:rPr>
      </w:pPr>
      <w:r>
        <w:rPr>
          <w:rFonts w:hint="eastAsia" w:hAnsi="黑体"/>
        </w:rPr>
        <w:t>范围</w:t>
      </w:r>
    </w:p>
    <w:p w14:paraId="55E411A1">
      <w:pPr>
        <w:pStyle w:val="9"/>
        <w:ind w:firstLine="420"/>
        <w:rPr>
          <w:rFonts w:hAnsi="宋体"/>
        </w:rPr>
      </w:pPr>
      <w:r>
        <w:rPr>
          <w:rFonts w:hint="eastAsia" w:hAnsi="宋体"/>
        </w:rPr>
        <w:t>本文件规定了硅多晶表面粉尘含量的测定</w:t>
      </w:r>
      <w:r>
        <w:rPr>
          <w:rFonts w:hint="eastAsia" w:hAnsi="宋体"/>
          <w:szCs w:val="22"/>
        </w:rPr>
        <w:t>方法。</w:t>
      </w:r>
    </w:p>
    <w:p w14:paraId="19315DD5">
      <w:pPr>
        <w:pStyle w:val="9"/>
        <w:ind w:firstLine="420"/>
        <w:rPr>
          <w:rFonts w:hAnsi="宋体"/>
          <w:szCs w:val="21"/>
        </w:rPr>
      </w:pPr>
      <w:r>
        <w:rPr>
          <w:rFonts w:hint="eastAsia" w:hAnsi="宋体"/>
        </w:rPr>
        <w:t>本文件适用于以三氯氢硅法或硅烷法生长的硅多晶表面粉尘含量的测定</w:t>
      </w:r>
      <w:r>
        <w:rPr>
          <w:rFonts w:hint="eastAsia" w:hAnsi="宋体"/>
          <w:szCs w:val="21"/>
        </w:rPr>
        <w:t>。</w:t>
      </w:r>
    </w:p>
    <w:p w14:paraId="7D76B6F7">
      <w:pPr>
        <w:pStyle w:val="10"/>
        <w:numPr>
          <w:ilvl w:val="0"/>
          <w:numId w:val="3"/>
        </w:numPr>
        <w:spacing w:before="312" w:beforeLines="100" w:after="312" w:afterLines="100"/>
        <w:rPr>
          <w:rFonts w:hAnsi="黑体"/>
        </w:rPr>
      </w:pPr>
      <w:r>
        <w:rPr>
          <w:rFonts w:hint="eastAsia" w:hAnsi="黑体"/>
        </w:rPr>
        <w:t>规范性引用文件</w:t>
      </w:r>
    </w:p>
    <w:p w14:paraId="0BD8C7EC">
      <w:pPr>
        <w:pStyle w:val="9"/>
        <w:ind w:firstLine="420"/>
        <w:rPr>
          <w:rFonts w:hAnsi="宋体"/>
        </w:rPr>
      </w:pPr>
      <w:r>
        <w:rPr>
          <w:rFonts w:hint="eastAsia"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BADD38C">
      <w:pPr>
        <w:pStyle w:val="9"/>
        <w:ind w:firstLine="420"/>
      </w:pPr>
      <w:r>
        <w:t xml:space="preserve">GB/T 6682 </w:t>
      </w:r>
      <w:r>
        <w:rPr>
          <w:rFonts w:hint="eastAsia"/>
        </w:rPr>
        <w:t>分析实验室用水规格和试验方法</w:t>
      </w:r>
    </w:p>
    <w:p w14:paraId="42FE5142">
      <w:pPr>
        <w:pStyle w:val="9"/>
        <w:ind w:firstLine="420"/>
      </w:pPr>
      <w:r>
        <w:rPr>
          <w:rFonts w:hint="eastAsia"/>
        </w:rPr>
        <w:t>GB/T 8170 数据修约规则与极限数值的表示和判定</w:t>
      </w:r>
    </w:p>
    <w:p w14:paraId="4B8EB994">
      <w:pPr>
        <w:pStyle w:val="9"/>
        <w:ind w:firstLine="420"/>
      </w:pPr>
      <w:r>
        <w:rPr>
          <w:rFonts w:hint="eastAsia"/>
        </w:rPr>
        <w:t>GB/T 14264 半导体材料术语</w:t>
      </w:r>
    </w:p>
    <w:p w14:paraId="7BEB41E3">
      <w:pPr>
        <w:pStyle w:val="10"/>
        <w:numPr>
          <w:ilvl w:val="0"/>
          <w:numId w:val="3"/>
        </w:numPr>
        <w:spacing w:before="312" w:beforeLines="100" w:after="312" w:afterLines="100"/>
        <w:rPr>
          <w:rFonts w:hAnsi="黑体"/>
        </w:rPr>
      </w:pPr>
      <w:r>
        <w:rPr>
          <w:rFonts w:hint="eastAsia" w:hAnsi="黑体"/>
        </w:rPr>
        <w:t>术语和定义</w:t>
      </w:r>
    </w:p>
    <w:p w14:paraId="4EE11728">
      <w:pPr>
        <w:pStyle w:val="9"/>
        <w:ind w:firstLine="420"/>
        <w:rPr>
          <w:rFonts w:hAnsi="宋体"/>
        </w:rPr>
      </w:pPr>
      <w:r>
        <w:rPr>
          <w:rFonts w:hint="eastAsia" w:hAnsi="宋体"/>
        </w:rPr>
        <w:t>GB/T 14264界定的术语和定义适用于本文件。</w:t>
      </w:r>
    </w:p>
    <w:p w14:paraId="4D84948C">
      <w:pPr>
        <w:pStyle w:val="10"/>
        <w:numPr>
          <w:ilvl w:val="0"/>
          <w:numId w:val="3"/>
        </w:numPr>
        <w:spacing w:before="312" w:beforeLines="100" w:after="312" w:afterLines="100"/>
        <w:rPr>
          <w:rFonts w:hAnsi="黑体"/>
        </w:rPr>
      </w:pPr>
      <w:bookmarkStart w:id="0" w:name="_Toc175734029"/>
      <w:r>
        <w:rPr>
          <w:rFonts w:hint="eastAsia" w:hAnsi="黑体"/>
        </w:rPr>
        <w:t>方法原理</w:t>
      </w:r>
      <w:bookmarkEnd w:id="0"/>
    </w:p>
    <w:p w14:paraId="73883BB4">
      <w:pPr>
        <w:pStyle w:val="9"/>
        <w:ind w:firstLine="420"/>
        <w:rPr>
          <w:rFonts w:hAnsi="宋体"/>
        </w:rPr>
      </w:pPr>
      <w:r>
        <w:rPr>
          <w:rFonts w:hint="eastAsia"/>
        </w:rPr>
        <w:t>称取一定质量的硅多晶，将其放在盛有水的烧杯中持续加热或者超声条件下达到粉尘脱附，待冷却后，将冷却的水和硅多晶混合溶液经筛网过滤掉大尺寸硅多晶，并将水与硅多晶表面粉尘的混合溶液经滤膜过滤，最后恒重法测量滤膜上残留的粉尘含量，可得到表面粉尘含量。</w:t>
      </w:r>
    </w:p>
    <w:p w14:paraId="52FC13C7">
      <w:pPr>
        <w:pStyle w:val="10"/>
        <w:numPr>
          <w:ilvl w:val="0"/>
          <w:numId w:val="3"/>
        </w:numPr>
        <w:spacing w:before="312" w:beforeLines="100" w:after="312" w:afterLines="100"/>
        <w:rPr>
          <w:rFonts w:hAnsi="黑体"/>
        </w:rPr>
      </w:pPr>
      <w:r>
        <w:rPr>
          <w:rFonts w:hint="eastAsia" w:hAnsi="黑体"/>
        </w:rPr>
        <w:t>干扰因素</w:t>
      </w:r>
    </w:p>
    <w:p w14:paraId="6F24EBE3">
      <w:pPr>
        <w:pStyle w:val="11"/>
        <w:numPr>
          <w:ilvl w:val="1"/>
          <w:numId w:val="3"/>
        </w:numPr>
        <w:rPr>
          <w:rFonts w:ascii="宋体" w:hAnsi="宋体" w:eastAsia="宋体"/>
        </w:rPr>
      </w:pPr>
      <w:r>
        <w:rPr>
          <w:rFonts w:hint="eastAsia" w:ascii="宋体" w:hAnsi="宋体" w:eastAsia="宋体"/>
        </w:rPr>
        <w:t>在检测样品前应对滤膜进行恒重法处理，并保存在干燥装置中，避免因滤膜的质量发生变化可能引起的测试误差。</w:t>
      </w:r>
    </w:p>
    <w:p w14:paraId="6C2B6850">
      <w:pPr>
        <w:pStyle w:val="11"/>
        <w:numPr>
          <w:ilvl w:val="1"/>
          <w:numId w:val="3"/>
        </w:numPr>
        <w:rPr>
          <w:rFonts w:ascii="宋体" w:hAnsi="宋体" w:eastAsia="宋体"/>
        </w:rPr>
      </w:pPr>
      <w:r>
        <w:rPr>
          <w:rFonts w:hint="eastAsia" w:ascii="宋体" w:hAnsi="宋体" w:eastAsia="宋体"/>
        </w:rPr>
        <w:t>在滤膜的选取上，应采取水系纤维素滤膜。</w:t>
      </w:r>
    </w:p>
    <w:p w14:paraId="4C3BC51E">
      <w:pPr>
        <w:pStyle w:val="11"/>
        <w:numPr>
          <w:ilvl w:val="1"/>
          <w:numId w:val="3"/>
        </w:numPr>
        <w:rPr>
          <w:rFonts w:ascii="宋体" w:hAnsi="宋体" w:eastAsia="宋体"/>
        </w:rPr>
      </w:pPr>
      <w:r>
        <w:rPr>
          <w:rFonts w:hint="eastAsia" w:ascii="宋体" w:hAnsi="宋体" w:eastAsia="宋体"/>
        </w:rPr>
        <w:t>不同材质的样品容器可能影响样品表面粉尘的测试，宜选用玻璃材质、聚对苯二甲酸乙二醇酯（PET）材质或聚丙</w:t>
      </w:r>
      <w:r>
        <w:rPr>
          <w:rFonts w:ascii="宋体" w:hAnsi="宋体" w:eastAsia="宋体"/>
          <w:bCs/>
        </w:rPr>
        <w:t>烯</w:t>
      </w:r>
      <w:r>
        <w:rPr>
          <w:rFonts w:hint="eastAsia" w:ascii="宋体" w:hAnsi="宋体" w:eastAsia="宋体"/>
        </w:rPr>
        <w:t>（P</w:t>
      </w:r>
      <w:r>
        <w:rPr>
          <w:rFonts w:ascii="宋体" w:hAnsi="宋体" w:eastAsia="宋体"/>
        </w:rPr>
        <w:t>P</w:t>
      </w:r>
      <w:r>
        <w:rPr>
          <w:rFonts w:hint="eastAsia" w:ascii="宋体" w:hAnsi="宋体" w:eastAsia="宋体"/>
        </w:rPr>
        <w:t>）材质，对粉尘吸附性或者附着性较差以及耐高温的材料。</w:t>
      </w:r>
    </w:p>
    <w:p w14:paraId="08BE2F96">
      <w:pPr>
        <w:pStyle w:val="11"/>
        <w:numPr>
          <w:ilvl w:val="1"/>
          <w:numId w:val="3"/>
        </w:numPr>
        <w:rPr>
          <w:rFonts w:hint="eastAsia" w:ascii="宋体" w:hAnsi="宋体" w:eastAsia="宋体"/>
        </w:rPr>
      </w:pPr>
      <w:r>
        <w:rPr>
          <w:rFonts w:hint="eastAsia" w:ascii="宋体" w:hAnsi="宋体" w:eastAsia="宋体"/>
        </w:rPr>
        <w:t>抽滤过程中将混合水溶液小心倒置，避免溅到外面，从而可能造成测试误差。</w:t>
      </w:r>
    </w:p>
    <w:p w14:paraId="64C89333">
      <w:pPr>
        <w:pStyle w:val="11"/>
        <w:numPr>
          <w:ilvl w:val="1"/>
          <w:numId w:val="3"/>
        </w:numPr>
        <w:rPr>
          <w:rFonts w:ascii="宋体" w:hAnsi="宋体" w:eastAsia="宋体"/>
        </w:rPr>
      </w:pPr>
      <w:r>
        <w:rPr>
          <w:rFonts w:hint="eastAsia" w:ascii="宋体" w:hAnsi="宋体" w:eastAsia="宋体"/>
        </w:rPr>
        <w:t>测试样品前需要对天平进行零位调整，否则可能造成测试误差。</w:t>
      </w:r>
    </w:p>
    <w:p w14:paraId="386FEC98">
      <w:pPr>
        <w:pStyle w:val="9"/>
        <w:ind w:firstLine="0" w:firstLineChars="0"/>
        <w:rPr>
          <w:rFonts w:hint="eastAsia"/>
        </w:rPr>
      </w:pPr>
      <w:r>
        <w:rPr>
          <w:rFonts w:hint="eastAsia" w:ascii="黑体" w:hAnsi="黑体" w:eastAsia="黑体"/>
        </w:rPr>
        <w:t>5</w:t>
      </w:r>
      <w:r>
        <w:rPr>
          <w:rFonts w:ascii="黑体" w:hAnsi="黑体" w:eastAsia="黑体"/>
        </w:rPr>
        <w:t xml:space="preserve">.6 </w:t>
      </w:r>
      <w:r>
        <w:t xml:space="preserve"> </w:t>
      </w:r>
      <w:r>
        <w:rPr>
          <w:rFonts w:hint="eastAsia"/>
        </w:rPr>
        <w:t>二级水的体积必须完全覆盖测试样品，确保粉尘能完全分散在水里。</w:t>
      </w:r>
    </w:p>
    <w:p w14:paraId="6550A100">
      <w:pPr>
        <w:pStyle w:val="10"/>
        <w:numPr>
          <w:ilvl w:val="0"/>
          <w:numId w:val="3"/>
        </w:numPr>
        <w:spacing w:before="312" w:beforeLines="100" w:after="312" w:afterLines="100"/>
        <w:rPr>
          <w:rFonts w:hAnsi="黑体"/>
        </w:rPr>
      </w:pPr>
      <w:r>
        <w:rPr>
          <w:rFonts w:hint="eastAsia" w:hAnsi="黑体"/>
        </w:rPr>
        <w:t>试剂和材料</w:t>
      </w:r>
    </w:p>
    <w:p w14:paraId="20B4507A">
      <w:pPr>
        <w:pStyle w:val="11"/>
        <w:numPr>
          <w:ilvl w:val="1"/>
          <w:numId w:val="3"/>
        </w:numPr>
        <w:jc w:val="left"/>
        <w:rPr>
          <w:rFonts w:ascii="宋体" w:hAnsi="宋体" w:eastAsia="宋体"/>
          <w:color w:val="FF0000"/>
        </w:rPr>
      </w:pPr>
      <w:r>
        <w:rPr>
          <w:rFonts w:hint="eastAsia" w:ascii="宋体" w:hAnsi="宋体" w:eastAsia="宋体"/>
        </w:rPr>
        <w:t>水：应符合</w:t>
      </w:r>
      <w:r>
        <w:rPr>
          <w:rFonts w:ascii="宋体" w:hAnsi="宋体" w:eastAsia="宋体"/>
        </w:rPr>
        <w:t>GB/T 6682规定的</w:t>
      </w:r>
      <w:r>
        <w:rPr>
          <w:rFonts w:hint="eastAsia" w:ascii="宋体" w:hAnsi="宋体" w:eastAsia="宋体"/>
        </w:rPr>
        <w:t>二级水及以上等级。</w:t>
      </w:r>
    </w:p>
    <w:p w14:paraId="369A0171">
      <w:pPr>
        <w:pStyle w:val="11"/>
        <w:numPr>
          <w:ilvl w:val="1"/>
          <w:numId w:val="3"/>
        </w:numPr>
        <w:jc w:val="left"/>
        <w:rPr>
          <w:rFonts w:ascii="宋体" w:hAnsi="宋体" w:eastAsia="宋体"/>
        </w:rPr>
      </w:pPr>
      <w:r>
        <w:rPr>
          <w:rFonts w:hint="eastAsia" w:ascii="宋体" w:hAnsi="宋体" w:eastAsia="宋体"/>
        </w:rPr>
        <w:t>容器：</w:t>
      </w:r>
      <w:r>
        <w:rPr>
          <w:rFonts w:ascii="宋体" w:hAnsi="宋体" w:eastAsia="宋体"/>
        </w:rPr>
        <w:t xml:space="preserve">1000 </w:t>
      </w:r>
      <w:r>
        <w:rPr>
          <w:rFonts w:hint="eastAsia" w:ascii="宋体" w:hAnsi="宋体" w:eastAsia="宋体"/>
        </w:rPr>
        <w:t>mL玻璃材质或</w:t>
      </w:r>
      <w:r>
        <w:rPr>
          <w:rFonts w:ascii="宋体" w:hAnsi="宋体" w:eastAsia="宋体"/>
        </w:rPr>
        <w:t>PET</w:t>
      </w:r>
      <w:r>
        <w:rPr>
          <w:rFonts w:hint="eastAsia" w:ascii="宋体" w:hAnsi="宋体" w:eastAsia="宋体"/>
        </w:rPr>
        <w:t>、</w:t>
      </w:r>
      <w:r>
        <w:rPr>
          <w:rFonts w:ascii="宋体" w:hAnsi="宋体" w:eastAsia="宋体"/>
        </w:rPr>
        <w:t>PP</w:t>
      </w:r>
      <w:r>
        <w:rPr>
          <w:rFonts w:hint="eastAsia" w:ascii="宋体" w:hAnsi="宋体" w:eastAsia="宋体"/>
        </w:rPr>
        <w:t>材质。</w:t>
      </w:r>
    </w:p>
    <w:p w14:paraId="028F1E66">
      <w:pPr>
        <w:pStyle w:val="11"/>
        <w:numPr>
          <w:ilvl w:val="1"/>
          <w:numId w:val="3"/>
        </w:numPr>
        <w:jc w:val="left"/>
        <w:rPr>
          <w:rFonts w:ascii="宋体" w:hAnsi="宋体" w:eastAsia="宋体"/>
        </w:rPr>
      </w:pPr>
      <w:r>
        <w:rPr>
          <w:rFonts w:hint="eastAsia" w:ascii="宋体" w:hAnsi="宋体" w:eastAsia="宋体"/>
        </w:rPr>
        <w:t>筛网：3</w:t>
      </w:r>
      <w:r>
        <w:rPr>
          <w:rFonts w:ascii="宋体" w:hAnsi="宋体" w:eastAsia="宋体"/>
        </w:rPr>
        <w:t>25</w:t>
      </w:r>
      <w:r>
        <w:rPr>
          <w:rFonts w:hint="eastAsia" w:ascii="宋体" w:hAnsi="宋体" w:eastAsia="宋体"/>
        </w:rPr>
        <w:t>目的筛网。</w:t>
      </w:r>
      <w:r>
        <w:rPr>
          <w:rFonts w:ascii="宋体" w:hAnsi="宋体" w:eastAsia="宋体"/>
        </w:rPr>
        <w:t xml:space="preserve"> </w:t>
      </w:r>
    </w:p>
    <w:p w14:paraId="25FA91C2">
      <w:pPr>
        <w:pStyle w:val="11"/>
        <w:numPr>
          <w:ilvl w:val="1"/>
          <w:numId w:val="3"/>
        </w:numPr>
        <w:jc w:val="left"/>
        <w:rPr>
          <w:rFonts w:ascii="宋体" w:hAnsi="宋体" w:eastAsia="宋体"/>
        </w:rPr>
      </w:pPr>
      <w:r>
        <w:rPr>
          <w:rFonts w:hint="eastAsia" w:ascii="宋体" w:hAnsi="宋体" w:eastAsia="宋体"/>
        </w:rPr>
        <w:t>滤膜：用水系纤维滤膜，孔径为0</w:t>
      </w:r>
      <w:r>
        <w:rPr>
          <w:rFonts w:ascii="宋体" w:hAnsi="宋体" w:eastAsia="宋体"/>
        </w:rPr>
        <w:t xml:space="preserve">.2 </w:t>
      </w:r>
      <w:r>
        <w:rPr>
          <w:rFonts w:hint="eastAsia" w:ascii="宋体" w:hAnsi="宋体" w:eastAsia="宋体"/>
        </w:rPr>
        <w:t>μm</w:t>
      </w:r>
      <w:r>
        <w:rPr>
          <w:rFonts w:ascii="宋体" w:hAnsi="宋体" w:eastAsia="宋体"/>
        </w:rPr>
        <w:t>,</w:t>
      </w:r>
      <w:r>
        <w:rPr>
          <w:rFonts w:hint="eastAsia" w:ascii="宋体" w:hAnsi="宋体" w:eastAsia="宋体"/>
        </w:rPr>
        <w:t>其直径大小与过滤装置尺寸相匹配。</w:t>
      </w:r>
    </w:p>
    <w:p w14:paraId="64DFB402">
      <w:pPr>
        <w:pStyle w:val="10"/>
        <w:numPr>
          <w:ilvl w:val="0"/>
          <w:numId w:val="3"/>
        </w:numPr>
        <w:spacing w:before="312" w:beforeLines="100" w:after="312" w:afterLines="100"/>
        <w:rPr>
          <w:rFonts w:hAnsi="黑体"/>
        </w:rPr>
      </w:pPr>
      <w:r>
        <w:rPr>
          <w:rFonts w:hint="eastAsia" w:hAnsi="黑体"/>
        </w:rPr>
        <w:t>仪器设备</w:t>
      </w:r>
    </w:p>
    <w:p w14:paraId="55A15AF5">
      <w:pPr>
        <w:pStyle w:val="11"/>
        <w:numPr>
          <w:ilvl w:val="1"/>
          <w:numId w:val="3"/>
        </w:numPr>
        <w:jc w:val="left"/>
      </w:pPr>
      <w:r>
        <w:rPr>
          <w:rFonts w:hint="eastAsia" w:ascii="宋体" w:hAnsi="宋体" w:eastAsia="宋体"/>
        </w:rPr>
        <w:t xml:space="preserve">电子天平：感量为0.1 </w:t>
      </w:r>
      <w:r>
        <w:rPr>
          <w:rFonts w:ascii="宋体" w:hAnsi="宋体" w:eastAsia="宋体"/>
        </w:rPr>
        <w:t>m</w:t>
      </w:r>
      <w:r>
        <w:rPr>
          <w:rFonts w:hint="eastAsia" w:ascii="宋体" w:hAnsi="宋体" w:eastAsia="宋体"/>
        </w:rPr>
        <w:t>g</w:t>
      </w:r>
      <w:r>
        <w:rPr>
          <w:rFonts w:hint="eastAsia"/>
        </w:rPr>
        <w:t>。</w:t>
      </w:r>
    </w:p>
    <w:p w14:paraId="364EA9DA">
      <w:pPr>
        <w:pStyle w:val="11"/>
        <w:numPr>
          <w:ilvl w:val="1"/>
          <w:numId w:val="3"/>
        </w:numPr>
        <w:jc w:val="left"/>
        <w:rPr>
          <w:rFonts w:hAnsi="宋体"/>
        </w:rPr>
      </w:pPr>
      <w:r>
        <w:rPr>
          <w:rFonts w:hint="eastAsia" w:ascii="宋体" w:hAnsi="宋体" w:eastAsia="宋体"/>
        </w:rPr>
        <w:t>加热板：量程最大可至</w:t>
      </w:r>
      <w:r>
        <w:rPr>
          <w:rFonts w:ascii="宋体" w:hAnsi="宋体" w:eastAsia="宋体"/>
        </w:rPr>
        <w:t xml:space="preserve">200 </w:t>
      </w:r>
      <w:r>
        <w:rPr>
          <w:rFonts w:hint="eastAsia" w:ascii="宋体" w:hAnsi="宋体" w:eastAsia="宋体"/>
        </w:rPr>
        <w:t>℃</w:t>
      </w:r>
    </w:p>
    <w:p w14:paraId="4D87AB17">
      <w:pPr>
        <w:pStyle w:val="11"/>
        <w:numPr>
          <w:ilvl w:val="1"/>
          <w:numId w:val="3"/>
        </w:numPr>
        <w:jc w:val="left"/>
        <w:rPr>
          <w:rFonts w:ascii="宋体" w:hAnsi="宋体" w:eastAsia="宋体"/>
        </w:rPr>
      </w:pPr>
      <w:r>
        <w:rPr>
          <w:rFonts w:hint="eastAsia" w:ascii="宋体" w:hAnsi="宋体" w:eastAsia="宋体"/>
        </w:rPr>
        <w:t>过滤装置：砂芯漏斗或布氏漏斗</w:t>
      </w:r>
    </w:p>
    <w:p w14:paraId="0B35E06A">
      <w:pPr>
        <w:pStyle w:val="11"/>
        <w:numPr>
          <w:ilvl w:val="1"/>
          <w:numId w:val="3"/>
        </w:numPr>
        <w:jc w:val="left"/>
        <w:rPr>
          <w:rFonts w:ascii="宋体" w:hAnsi="宋体" w:eastAsia="宋体"/>
        </w:rPr>
      </w:pPr>
      <w:r>
        <w:rPr>
          <w:rFonts w:hint="eastAsia" w:ascii="宋体" w:hAnsi="宋体" w:eastAsia="宋体"/>
        </w:rPr>
        <w:t>抽滤瓶：2</w:t>
      </w:r>
      <w:r>
        <w:rPr>
          <w:rFonts w:ascii="宋体" w:hAnsi="宋体" w:eastAsia="宋体"/>
        </w:rPr>
        <w:t>.0 L</w:t>
      </w:r>
      <w:r>
        <w:rPr>
          <w:rFonts w:hint="eastAsia" w:ascii="宋体" w:hAnsi="宋体" w:eastAsia="宋体"/>
        </w:rPr>
        <w:t>的耐负压的抽滤瓶</w:t>
      </w:r>
    </w:p>
    <w:p w14:paraId="365FE9C0">
      <w:pPr>
        <w:pStyle w:val="11"/>
        <w:numPr>
          <w:ilvl w:val="1"/>
          <w:numId w:val="3"/>
        </w:numPr>
        <w:jc w:val="left"/>
        <w:rPr>
          <w:rFonts w:ascii="宋体" w:hAnsi="宋体" w:eastAsia="宋体"/>
        </w:rPr>
      </w:pPr>
      <w:r>
        <w:rPr>
          <w:rFonts w:hint="eastAsia" w:ascii="宋体" w:hAnsi="宋体" w:eastAsia="宋体"/>
        </w:rPr>
        <w:t>干燥箱：具有除湿功能的装置</w:t>
      </w:r>
    </w:p>
    <w:p w14:paraId="67C426A0">
      <w:pPr>
        <w:pStyle w:val="11"/>
        <w:numPr>
          <w:ilvl w:val="1"/>
          <w:numId w:val="3"/>
        </w:numPr>
        <w:jc w:val="left"/>
        <w:rPr>
          <w:rFonts w:ascii="宋体" w:hAnsi="宋体" w:eastAsia="宋体"/>
        </w:rPr>
      </w:pPr>
      <w:r>
        <w:rPr>
          <w:rFonts w:hint="eastAsia" w:ascii="宋体" w:hAnsi="宋体" w:eastAsia="宋体"/>
        </w:rPr>
        <w:t>真空泵：真空度不低于0</w:t>
      </w:r>
      <w:r>
        <w:rPr>
          <w:rFonts w:ascii="宋体" w:hAnsi="宋体" w:eastAsia="宋体"/>
        </w:rPr>
        <w:t>.07 M</w:t>
      </w:r>
      <w:r>
        <w:rPr>
          <w:rFonts w:hint="eastAsia" w:ascii="宋体" w:hAnsi="宋体" w:eastAsia="宋体"/>
        </w:rPr>
        <w:t>pa</w:t>
      </w:r>
    </w:p>
    <w:p w14:paraId="21F7EFC4">
      <w:pPr>
        <w:pStyle w:val="11"/>
        <w:numPr>
          <w:ilvl w:val="1"/>
          <w:numId w:val="3"/>
        </w:numPr>
        <w:jc w:val="left"/>
        <w:rPr>
          <w:rFonts w:ascii="宋体" w:hAnsi="宋体" w:eastAsia="宋体"/>
        </w:rPr>
      </w:pPr>
      <w:r>
        <w:rPr>
          <w:rFonts w:hint="eastAsia" w:ascii="宋体" w:hAnsi="宋体" w:eastAsia="宋体"/>
        </w:rPr>
        <w:t>超声清洗机：4</w:t>
      </w:r>
      <w:r>
        <w:rPr>
          <w:rFonts w:ascii="宋体" w:hAnsi="宋体" w:eastAsia="宋体"/>
        </w:rPr>
        <w:t>0KHZ</w:t>
      </w:r>
    </w:p>
    <w:p w14:paraId="2B666F70">
      <w:pPr>
        <w:pStyle w:val="11"/>
        <w:numPr>
          <w:ilvl w:val="1"/>
          <w:numId w:val="3"/>
        </w:numPr>
        <w:jc w:val="left"/>
        <w:rPr>
          <w:rFonts w:ascii="宋体" w:hAnsi="宋体" w:eastAsia="宋体"/>
        </w:rPr>
      </w:pPr>
      <w:r>
        <w:rPr>
          <w:rFonts w:hint="eastAsia" w:ascii="宋体" w:hAnsi="宋体" w:eastAsia="宋体"/>
        </w:rPr>
        <w:t>烘箱：可加热至</w:t>
      </w:r>
      <w:r>
        <w:rPr>
          <w:rFonts w:ascii="宋体" w:hAnsi="宋体" w:eastAsia="宋体"/>
        </w:rPr>
        <w:t xml:space="preserve">120 </w:t>
      </w:r>
      <w:r>
        <w:rPr>
          <w:rFonts w:hint="eastAsia" w:ascii="宋体" w:hAnsi="宋体" w:eastAsia="宋体"/>
        </w:rPr>
        <w:t>℃</w:t>
      </w:r>
    </w:p>
    <w:p w14:paraId="0B1A3D78">
      <w:pPr>
        <w:pStyle w:val="10"/>
        <w:numPr>
          <w:ilvl w:val="0"/>
          <w:numId w:val="3"/>
        </w:numPr>
        <w:spacing w:before="312" w:beforeLines="100" w:after="312" w:afterLines="100"/>
        <w:rPr>
          <w:rFonts w:hAnsi="黑体"/>
        </w:rPr>
      </w:pPr>
      <w:r>
        <w:rPr>
          <w:rFonts w:hint="eastAsia" w:hAnsi="黑体"/>
        </w:rPr>
        <w:t>试验</w:t>
      </w:r>
      <w:r>
        <w:rPr>
          <w:rFonts w:hAnsi="黑体"/>
        </w:rPr>
        <w:t>步骤</w:t>
      </w:r>
    </w:p>
    <w:p w14:paraId="55312AA2">
      <w:pPr>
        <w:pStyle w:val="11"/>
        <w:numPr>
          <w:ilvl w:val="1"/>
          <w:numId w:val="3"/>
        </w:numPr>
        <w:spacing w:before="156" w:beforeLines="50" w:after="156" w:afterLines="50"/>
        <w:jc w:val="left"/>
        <w:rPr>
          <w:rFonts w:hint="eastAsia" w:ascii="黑体" w:hAnsi="黑体" w:eastAsia="黑体" w:cs="黑体"/>
        </w:rPr>
      </w:pPr>
      <w:r>
        <w:rPr>
          <w:rFonts w:hint="eastAsia" w:ascii="黑体" w:hAnsi="黑体" w:eastAsia="黑体" w:cs="黑体"/>
        </w:rPr>
        <w:t>试料</w:t>
      </w:r>
    </w:p>
    <w:p w14:paraId="7602E829">
      <w:pPr>
        <w:pStyle w:val="11"/>
        <w:numPr>
          <w:ilvl w:val="1"/>
          <w:numId w:val="0"/>
        </w:numPr>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称取3</w:t>
      </w:r>
      <w:r>
        <w:rPr>
          <w:rFonts w:ascii="宋体" w:hAnsi="宋体" w:eastAsia="宋体"/>
        </w:rPr>
        <w:t xml:space="preserve">0.0 </w:t>
      </w:r>
      <w:r>
        <w:rPr>
          <w:rFonts w:hint="eastAsia" w:ascii="宋体" w:hAnsi="宋体" w:eastAsia="宋体"/>
        </w:rPr>
        <w:t>g试料，记录M</w:t>
      </w:r>
      <w:r>
        <w:rPr>
          <w:rFonts w:ascii="宋体" w:hAnsi="宋体" w:eastAsia="宋体"/>
        </w:rPr>
        <w:t>,</w:t>
      </w:r>
      <w:r>
        <w:rPr>
          <w:rFonts w:hint="eastAsia" w:ascii="宋体" w:hAnsi="宋体" w:eastAsia="宋体"/>
        </w:rPr>
        <w:t>精确至0</w:t>
      </w:r>
      <w:r>
        <w:rPr>
          <w:rFonts w:ascii="宋体" w:hAnsi="宋体" w:eastAsia="宋体"/>
        </w:rPr>
        <w:t xml:space="preserve">.1 </w:t>
      </w:r>
      <w:r>
        <w:rPr>
          <w:rFonts w:hint="eastAsia" w:ascii="宋体" w:hAnsi="宋体" w:eastAsia="宋体"/>
        </w:rPr>
        <w:t>mg。</w:t>
      </w:r>
    </w:p>
    <w:p w14:paraId="017FF0A7">
      <w:pPr>
        <w:pStyle w:val="11"/>
        <w:numPr>
          <w:ilvl w:val="1"/>
          <w:numId w:val="3"/>
        </w:numPr>
        <w:spacing w:before="156" w:beforeLines="50" w:after="156" w:afterLines="50"/>
        <w:jc w:val="left"/>
        <w:rPr>
          <w:rFonts w:hint="eastAsia" w:ascii="黑体" w:hAnsi="黑体" w:eastAsia="黑体" w:cs="黑体"/>
        </w:rPr>
      </w:pPr>
      <w:r>
        <w:rPr>
          <w:rFonts w:hint="eastAsia" w:ascii="黑体" w:hAnsi="黑体" w:eastAsia="黑体" w:cs="黑体"/>
        </w:rPr>
        <w:t>平行试验</w:t>
      </w:r>
    </w:p>
    <w:p w14:paraId="0893AF23">
      <w:pPr>
        <w:pStyle w:val="11"/>
        <w:numPr>
          <w:ilvl w:val="0"/>
          <w:numId w:val="0"/>
        </w:numPr>
        <w:ind w:firstLine="420" w:firstLineChars="200"/>
        <w:rPr>
          <w:rFonts w:ascii="宋体" w:hAnsi="宋体" w:eastAsia="宋体"/>
        </w:rPr>
      </w:pPr>
      <w:r>
        <w:rPr>
          <w:rFonts w:hint="eastAsia" w:ascii="宋体" w:hAnsi="宋体" w:eastAsia="宋体"/>
        </w:rPr>
        <w:t>独立地进行三次测定，取其平均值。</w:t>
      </w:r>
    </w:p>
    <w:p w14:paraId="4162917C">
      <w:pPr>
        <w:pStyle w:val="11"/>
        <w:numPr>
          <w:ilvl w:val="1"/>
          <w:numId w:val="3"/>
        </w:numPr>
        <w:spacing w:before="156" w:beforeLines="50" w:after="156" w:afterLines="50"/>
        <w:jc w:val="left"/>
        <w:rPr>
          <w:rFonts w:hint="eastAsia" w:ascii="黑体" w:hAnsi="黑体" w:eastAsia="黑体" w:cs="黑体"/>
        </w:rPr>
      </w:pPr>
      <w:r>
        <w:rPr>
          <w:rFonts w:hint="eastAsia" w:ascii="黑体" w:hAnsi="黑体" w:eastAsia="黑体" w:cs="黑体"/>
        </w:rPr>
        <w:t>仪器设备检验</w:t>
      </w:r>
    </w:p>
    <w:p w14:paraId="55D3BA43">
      <w:pPr>
        <w:pStyle w:val="9"/>
        <w:ind w:firstLine="0" w:firstLineChars="0"/>
      </w:pPr>
      <w:r>
        <w:rPr>
          <w:rFonts w:hint="eastAsia"/>
        </w:rPr>
        <w:t>8</w:t>
      </w:r>
      <w:r>
        <w:t xml:space="preserve">.3.1 </w:t>
      </w:r>
      <w:r>
        <w:rPr>
          <w:rFonts w:hint="eastAsia"/>
        </w:rPr>
        <w:t>电子天平使用前需要调水平和零点，并且利用标准砝码进行核验。</w:t>
      </w:r>
    </w:p>
    <w:p w14:paraId="50CFC15D">
      <w:pPr>
        <w:pStyle w:val="9"/>
        <w:ind w:firstLine="0" w:firstLineChars="0"/>
      </w:pPr>
      <w:r>
        <w:t xml:space="preserve">8.3.2 </w:t>
      </w:r>
      <w:r>
        <w:rPr>
          <w:rFonts w:hint="eastAsia"/>
        </w:rPr>
        <w:t>电子天平、烘箱应在检定或者校准期内。</w:t>
      </w:r>
    </w:p>
    <w:p w14:paraId="70E22C70">
      <w:pPr>
        <w:pStyle w:val="9"/>
        <w:ind w:firstLine="0" w:firstLineChars="0"/>
      </w:pPr>
      <w:r>
        <w:rPr>
          <w:rFonts w:hint="eastAsia"/>
        </w:rPr>
        <w:t>8</w:t>
      </w:r>
      <w:r>
        <w:t xml:space="preserve">.3.3 </w:t>
      </w:r>
      <w:r>
        <w:rPr>
          <w:rFonts w:hint="eastAsia"/>
        </w:rPr>
        <w:t>将抽滤系统连接好，检验气密性。</w:t>
      </w:r>
    </w:p>
    <w:p w14:paraId="420766FC">
      <w:pPr>
        <w:pStyle w:val="11"/>
        <w:numPr>
          <w:ilvl w:val="1"/>
          <w:numId w:val="3"/>
        </w:numPr>
        <w:spacing w:before="156" w:beforeLines="50" w:after="156" w:afterLines="50"/>
        <w:jc w:val="left"/>
        <w:rPr>
          <w:rFonts w:hint="eastAsia" w:ascii="黑体" w:hAnsi="黑体" w:eastAsia="黑体" w:cs="黑体"/>
        </w:rPr>
      </w:pPr>
      <w:r>
        <w:rPr>
          <w:rFonts w:hint="eastAsia" w:ascii="黑体" w:hAnsi="黑体" w:eastAsia="黑体" w:cs="黑体"/>
        </w:rPr>
        <w:t>样品测试</w:t>
      </w:r>
    </w:p>
    <w:p w14:paraId="5E37D73D">
      <w:pPr>
        <w:pStyle w:val="9"/>
        <w:ind w:firstLine="0" w:firstLineChars="0"/>
      </w:pPr>
      <w:r>
        <w:rPr>
          <w:rFonts w:hint="eastAsia"/>
        </w:rPr>
        <w:t>8</w:t>
      </w:r>
      <w:r>
        <w:t xml:space="preserve">.4.1 </w:t>
      </w:r>
      <w:r>
        <w:rPr>
          <w:rFonts w:hint="eastAsia"/>
        </w:rPr>
        <w:t>将样品置于盛有约</w:t>
      </w:r>
      <w:r>
        <w:t xml:space="preserve">150 </w:t>
      </w:r>
      <w:r>
        <w:rPr>
          <w:rFonts w:hint="eastAsia"/>
        </w:rPr>
        <w:t>mL二级水容器（</w:t>
      </w:r>
      <w:r>
        <w:t>6.2</w:t>
      </w:r>
      <w:r>
        <w:rPr>
          <w:rFonts w:hint="eastAsia"/>
        </w:rPr>
        <w:t>）中，将加热板温度设置</w:t>
      </w:r>
      <w:r>
        <w:t xml:space="preserve">150 </w:t>
      </w:r>
      <w:r>
        <w:rPr>
          <w:rFonts w:hint="eastAsia"/>
        </w:rPr>
        <w:t>℃，用6寸玻璃板或者玻璃皿盖在容器上，然后煮沸</w:t>
      </w:r>
      <w:r>
        <w:t>5</w:t>
      </w:r>
      <w:r>
        <w:rPr>
          <w:rFonts w:hint="eastAsia"/>
        </w:rPr>
        <w:t>分钟后，关掉加热板，冷却至室温，或者将含有样品的容器至于超声清洗机中超声5分钟。</w:t>
      </w:r>
    </w:p>
    <w:p w14:paraId="52461222">
      <w:pPr>
        <w:pStyle w:val="9"/>
        <w:ind w:firstLine="0" w:firstLineChars="0"/>
      </w:pPr>
      <w:r>
        <w:rPr>
          <w:rFonts w:hint="eastAsia"/>
        </w:rPr>
        <w:t>8</w:t>
      </w:r>
      <w:r>
        <w:t xml:space="preserve">.4.2 </w:t>
      </w:r>
      <w:r>
        <w:rPr>
          <w:rFonts w:hint="eastAsia"/>
        </w:rPr>
        <w:t>组装好抽滤系统，并将恒重处理的滤膜放置在漏斗上，用去离子水润湿，形成负压。</w:t>
      </w:r>
    </w:p>
    <w:p w14:paraId="39BC3363">
      <w:pPr>
        <w:pStyle w:val="9"/>
        <w:ind w:firstLine="0" w:firstLineChars="0"/>
      </w:pPr>
      <w:r>
        <w:rPr>
          <w:rFonts w:hint="eastAsia"/>
        </w:rPr>
        <w:t>8</w:t>
      </w:r>
      <w:r>
        <w:t xml:space="preserve">.4.3 </w:t>
      </w:r>
      <w:r>
        <w:rPr>
          <w:rFonts w:hint="eastAsia"/>
        </w:rPr>
        <w:t>将硅多晶混合水溶液经筛网过滤后的硅粉混合水溶液倒在漏斗中，进行抽滤。</w:t>
      </w:r>
    </w:p>
    <w:p w14:paraId="2D4CAAB9">
      <w:pPr>
        <w:pStyle w:val="9"/>
        <w:ind w:firstLine="0" w:firstLineChars="0"/>
      </w:pPr>
      <w:r>
        <w:rPr>
          <w:rFonts w:hint="eastAsia"/>
        </w:rPr>
        <w:t>8</w:t>
      </w:r>
      <w:r>
        <w:t xml:space="preserve">.4.4 </w:t>
      </w:r>
      <w:r>
        <w:rPr>
          <w:rFonts w:hint="eastAsia"/>
        </w:rPr>
        <w:t>并用二级水淋洗容器和硅多晶表面，淋洗三次。</w:t>
      </w:r>
    </w:p>
    <w:p w14:paraId="3E41F567">
      <w:pPr>
        <w:pStyle w:val="9"/>
        <w:ind w:firstLine="0" w:firstLineChars="0"/>
      </w:pPr>
      <w:r>
        <w:t xml:space="preserve">8.4.5 </w:t>
      </w:r>
      <w:r>
        <w:rPr>
          <w:rFonts w:hint="eastAsia"/>
        </w:rPr>
        <w:t>经抽滤后，粉尘沉积在滤膜表面，待漏斗中不下滴水为止，将漏斗移除，并用镊子将滤膜取下，并关闭抽滤装置。</w:t>
      </w:r>
    </w:p>
    <w:p w14:paraId="551C8F7D">
      <w:pPr>
        <w:pStyle w:val="9"/>
        <w:ind w:firstLine="0" w:firstLineChars="0"/>
      </w:pPr>
      <w:r>
        <w:rPr>
          <w:rFonts w:hint="eastAsia"/>
        </w:rPr>
        <w:t>8</w:t>
      </w:r>
      <w:r>
        <w:t xml:space="preserve">.4.6 </w:t>
      </w:r>
      <w:r>
        <w:rPr>
          <w:rFonts w:hint="eastAsia"/>
        </w:rPr>
        <w:t>烘箱打开，并设置温度为1</w:t>
      </w:r>
      <w:r>
        <w:t xml:space="preserve">05 </w:t>
      </w:r>
      <w:r>
        <w:rPr>
          <w:rFonts w:hint="eastAsia"/>
        </w:rPr>
        <w:t>℃，待温度达到设定温度后，将滤膜放置在烘箱干燥2</w:t>
      </w:r>
      <w:r>
        <w:t>0</w:t>
      </w:r>
      <w:r>
        <w:rPr>
          <w:rFonts w:hint="eastAsia"/>
        </w:rPr>
        <w:t>分钟，冷却后称量至恒重,独立平行样三次，分别记录m</w:t>
      </w:r>
      <w:r>
        <w:rPr>
          <w:vertAlign w:val="subscript"/>
        </w:rPr>
        <w:t>1</w:t>
      </w:r>
      <w:r>
        <w:rPr>
          <w:rFonts w:hint="eastAsia"/>
        </w:rPr>
        <w:t>、</w:t>
      </w:r>
      <w:r>
        <w:rPr>
          <w:vertAlign w:val="subscript"/>
        </w:rPr>
        <w:t xml:space="preserve"> </w:t>
      </w:r>
      <w:r>
        <w:rPr>
          <w:rFonts w:hint="eastAsia"/>
        </w:rPr>
        <w:t>m</w:t>
      </w:r>
      <w:r>
        <w:rPr>
          <w:vertAlign w:val="subscript"/>
        </w:rPr>
        <w:t>2</w:t>
      </w:r>
      <w:r>
        <w:rPr>
          <w:rFonts w:hint="eastAsia"/>
        </w:rPr>
        <w:t>、</w:t>
      </w:r>
      <w:r>
        <w:rPr>
          <w:vertAlign w:val="subscript"/>
        </w:rPr>
        <w:t xml:space="preserve"> </w:t>
      </w:r>
      <w:r>
        <w:rPr>
          <w:rFonts w:hint="eastAsia"/>
        </w:rPr>
        <w:t>m</w:t>
      </w:r>
      <w:r>
        <w:rPr>
          <w:vertAlign w:val="subscript"/>
        </w:rPr>
        <w:t>3</w:t>
      </w:r>
      <w:r>
        <w:rPr>
          <w:rFonts w:hint="eastAsia"/>
        </w:rPr>
        <w:t xml:space="preserve">。 </w:t>
      </w:r>
    </w:p>
    <w:p w14:paraId="646578A4">
      <w:pPr>
        <w:pStyle w:val="11"/>
        <w:numPr>
          <w:ilvl w:val="1"/>
          <w:numId w:val="3"/>
        </w:numPr>
        <w:spacing w:before="156" w:beforeLines="50" w:after="156" w:afterLines="50"/>
        <w:jc w:val="left"/>
        <w:rPr>
          <w:rFonts w:hint="eastAsia" w:ascii="黑体" w:hAnsi="黑体" w:eastAsia="黑体" w:cs="黑体"/>
        </w:rPr>
      </w:pPr>
      <w:r>
        <w:rPr>
          <w:rFonts w:hint="eastAsia" w:ascii="黑体" w:hAnsi="黑体" w:eastAsia="黑体" w:cs="黑体"/>
        </w:rPr>
        <w:t>空白试验</w:t>
      </w:r>
    </w:p>
    <w:p w14:paraId="3E4F2F30">
      <w:pPr>
        <w:pStyle w:val="9"/>
        <w:ind w:firstLine="420"/>
      </w:pPr>
      <w:r>
        <w:t>在</w:t>
      </w:r>
      <w:r>
        <w:rPr>
          <w:rFonts w:hint="eastAsia"/>
        </w:rPr>
        <w:t>样品容器</w:t>
      </w:r>
      <w:r>
        <w:t>（6.2）中加入500</w:t>
      </w:r>
      <w:r>
        <w:rPr>
          <w:rFonts w:hint="eastAsia"/>
        </w:rPr>
        <w:t xml:space="preserve"> </w:t>
      </w:r>
      <w:r>
        <w:t>mL</w:t>
      </w:r>
      <w:r>
        <w:rPr>
          <w:rFonts w:hint="eastAsia"/>
        </w:rPr>
        <w:t>水（6</w:t>
      </w:r>
      <w:r>
        <w:t>.1</w:t>
      </w:r>
      <w:r>
        <w:rPr>
          <w:rFonts w:hint="eastAsia"/>
        </w:rPr>
        <w:t>），按照（8</w:t>
      </w:r>
      <w:r>
        <w:t>.4</w:t>
      </w:r>
      <w:r>
        <w:rPr>
          <w:rFonts w:hint="eastAsia"/>
        </w:rPr>
        <w:t>）中的操作进行试验，将滤膜称量至恒重，记录m</w:t>
      </w:r>
      <w:r>
        <w:rPr>
          <w:vertAlign w:val="subscript"/>
        </w:rPr>
        <w:t>0</w:t>
      </w:r>
      <w:r>
        <w:rPr>
          <w:rFonts w:hint="eastAsia"/>
        </w:rPr>
        <w:t>。</w:t>
      </w:r>
    </w:p>
    <w:p w14:paraId="7FEC0C25">
      <w:pPr>
        <w:pStyle w:val="10"/>
        <w:keepNext w:val="0"/>
        <w:keepLines w:val="0"/>
        <w:pageBreakBefore w:val="0"/>
        <w:widowControl/>
        <w:numPr>
          <w:ilvl w:val="0"/>
          <w:numId w:val="3"/>
        </w:numPr>
        <w:kinsoku/>
        <w:wordWrap/>
        <w:overflowPunct/>
        <w:topLinePunct w:val="0"/>
        <w:autoSpaceDE/>
        <w:autoSpaceDN/>
        <w:bidi w:val="0"/>
        <w:adjustRightInd w:val="0"/>
        <w:snapToGrid w:val="0"/>
        <w:spacing w:before="312" w:beforeLines="100" w:after="312" w:afterLines="100"/>
        <w:textAlignment w:val="auto"/>
        <w:rPr>
          <w:rFonts w:hAnsi="黑体"/>
        </w:rPr>
      </w:pPr>
      <w:r>
        <w:rPr>
          <w:rFonts w:hint="eastAsia" w:hAnsi="黑体"/>
        </w:rPr>
        <w:t>试验数据处理</w:t>
      </w:r>
      <w:bookmarkStart w:id="2" w:name="_GoBack"/>
      <w:bookmarkEnd w:id="2"/>
    </w:p>
    <w:p w14:paraId="3F0DFA2E">
      <w:pPr>
        <w:pStyle w:val="11"/>
        <w:numPr>
          <w:ilvl w:val="0"/>
          <w:numId w:val="0"/>
        </w:numPr>
        <w:ind w:left="283"/>
        <w:rPr>
          <w:rFonts w:ascii="宋体" w:hAnsi="宋体" w:eastAsia="宋体"/>
        </w:rPr>
      </w:pPr>
      <w:bookmarkStart w:id="1" w:name="_Hlk42503460"/>
      <w:r>
        <w:rPr>
          <w:rFonts w:hint="eastAsia" w:ascii="Times New Roman" w:eastAsia="宋体"/>
        </w:rPr>
        <w:t>粉尘含量</w:t>
      </w:r>
      <w:r>
        <w:rPr>
          <w:rFonts w:ascii="Calibri" w:hAnsi="Calibri" w:eastAsia="宋体" w:cs="Calibri"/>
          <w:i/>
          <w:iCs/>
        </w:rPr>
        <w:t>w</w:t>
      </w:r>
      <w:r>
        <w:rPr>
          <w:rFonts w:hint="eastAsia" w:ascii="宋体" w:hAnsi="宋体"/>
        </w:rPr>
        <w:t>：</w:t>
      </w:r>
      <w:bookmarkEnd w:id="1"/>
    </w:p>
    <w:p w14:paraId="48B3CD5A">
      <w:pPr>
        <w:pStyle w:val="9"/>
        <w:keepNext w:val="0"/>
        <w:keepLines w:val="0"/>
        <w:pageBreakBefore w:val="0"/>
        <w:widowControl/>
        <w:kinsoku/>
        <w:wordWrap/>
        <w:overflowPunct/>
        <w:topLinePunct w:val="0"/>
        <w:autoSpaceDE w:val="0"/>
        <w:autoSpaceDN w:val="0"/>
        <w:bidi w:val="0"/>
        <w:adjustRightInd w:val="0"/>
        <w:snapToGrid w:val="0"/>
        <w:ind w:firstLine="480"/>
        <w:jc w:val="right"/>
        <w:textAlignment w:val="auto"/>
        <w:rPr>
          <w:rFonts w:hAnsi="宋体"/>
        </w:rPr>
      </w:pPr>
      <w:r>
        <w:rPr>
          <w:rFonts w:hint="eastAsia" w:ascii="仿宋_GB2312" w:hAnsi="仿宋_GB2312" w:eastAsia="仿宋_GB2312" w:cs="仿宋_GB2312"/>
          <w:position w:val="-10"/>
          <w:sz w:val="24"/>
        </w:rPr>
        <w:object>
          <v:shape id="_x0000_i1025" o:spt="75" type="#_x0000_t75" style="height:18pt;width:117.9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ascii="Arial" w:hAnsi="Arial" w:eastAsia="仿宋_GB2312" w:cs="Arial"/>
          <w:sz w:val="24"/>
        </w:rPr>
        <w:t>…………………………………</w:t>
      </w:r>
      <w:r>
        <w:rPr>
          <w:rFonts w:hAnsi="宋体"/>
        </w:rPr>
        <w:t>(1)</w:t>
      </w:r>
    </w:p>
    <w:p w14:paraId="40377362">
      <w:pPr>
        <w:pStyle w:val="9"/>
        <w:ind w:firstLine="480"/>
        <w:jc w:val="right"/>
        <w:rPr>
          <w:rFonts w:hAnsi="宋体"/>
        </w:rPr>
      </w:pPr>
      <w:r>
        <w:rPr>
          <w:rFonts w:hint="eastAsia" w:ascii="仿宋_GB2312" w:hAnsi="仿宋_GB2312" w:eastAsia="仿宋_GB2312" w:cs="仿宋_GB2312"/>
          <w:position w:val="-10"/>
          <w:sz w:val="24"/>
        </w:rPr>
        <w:object>
          <v:shape id="_x0000_i1026" o:spt="75" type="#_x0000_t75" style="height:18pt;width:126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ascii="Arial" w:hAnsi="Arial" w:eastAsia="仿宋_GB2312" w:cs="Arial"/>
          <w:sz w:val="24"/>
        </w:rPr>
        <w:t>…………………………………</w:t>
      </w:r>
      <w:r>
        <w:rPr>
          <w:rFonts w:hAnsi="宋体"/>
        </w:rPr>
        <w:t>(2)</w:t>
      </w:r>
    </w:p>
    <w:p w14:paraId="7CC15EF0">
      <w:pPr>
        <w:pStyle w:val="9"/>
        <w:ind w:firstLine="420"/>
        <w:rPr>
          <w:rFonts w:hAnsi="宋体"/>
        </w:rPr>
      </w:pPr>
      <w:r>
        <w:rPr>
          <w:rFonts w:hint="eastAsia" w:hAnsi="宋体"/>
        </w:rPr>
        <w:t>式中：</w:t>
      </w:r>
    </w:p>
    <w:p w14:paraId="500EEFDA">
      <w:pPr>
        <w:pStyle w:val="9"/>
        <w:ind w:firstLine="420"/>
        <w:rPr>
          <w:rFonts w:ascii="Times New Roman"/>
        </w:rPr>
      </w:pPr>
      <w:r>
        <w:rPr>
          <w:rFonts w:ascii="Calibri" w:hAnsi="Calibri" w:cs="Calibri"/>
          <w:i/>
          <w:iCs/>
        </w:rPr>
        <w:t>w</w:t>
      </w:r>
      <w:r>
        <w:rPr>
          <w:rFonts w:ascii="Times New Roman"/>
        </w:rPr>
        <w:t>——</w:t>
      </w:r>
      <w:r>
        <w:rPr>
          <w:rFonts w:hint="eastAsia" w:ascii="Times New Roman"/>
        </w:rPr>
        <w:t>粉尘含量，单位为（%）</w:t>
      </w:r>
      <w:r>
        <w:rPr>
          <w:rFonts w:ascii="Times New Roman"/>
        </w:rPr>
        <w:t>；</w:t>
      </w:r>
    </w:p>
    <w:p w14:paraId="79525C5D">
      <w:pPr>
        <w:pStyle w:val="9"/>
        <w:ind w:firstLine="420"/>
        <w:rPr>
          <w:rFonts w:ascii="Times New Roman"/>
        </w:rPr>
      </w:pPr>
      <w:r>
        <w:rPr>
          <w:rFonts w:hint="eastAsia" w:ascii="Times New Roman" w:eastAsia="黑体"/>
          <w:i/>
          <w:iCs/>
        </w:rPr>
        <w:t>m</w:t>
      </w:r>
      <w:r>
        <w:rPr>
          <w:rFonts w:ascii="Times New Roman"/>
        </w:rPr>
        <w:t>——</w:t>
      </w:r>
      <w:r>
        <w:rPr>
          <w:rFonts w:hint="eastAsia" w:ascii="Times New Roman"/>
        </w:rPr>
        <w:t>三次独立测试平均值，单位为克（g）</w:t>
      </w:r>
      <w:r>
        <w:rPr>
          <w:rFonts w:ascii="Times New Roman"/>
        </w:rPr>
        <w:t>；</w:t>
      </w:r>
    </w:p>
    <w:p w14:paraId="21B1BC55">
      <w:pPr>
        <w:pStyle w:val="9"/>
        <w:ind w:firstLine="420"/>
        <w:rPr>
          <w:rFonts w:ascii="Times New Roman"/>
        </w:rPr>
      </w:pPr>
      <w:r>
        <w:rPr>
          <w:rFonts w:ascii="Times New Roman"/>
          <w:i/>
          <w:iCs/>
        </w:rPr>
        <w:t>m</w:t>
      </w:r>
      <w:r>
        <w:rPr>
          <w:rFonts w:ascii="Times New Roman"/>
          <w:vertAlign w:val="subscript"/>
        </w:rPr>
        <w:t>1</w:t>
      </w:r>
      <w:r>
        <w:rPr>
          <w:rFonts w:hint="eastAsia" w:ascii="Times New Roman"/>
        </w:rPr>
        <w:t>、</w:t>
      </w:r>
      <w:r>
        <w:rPr>
          <w:rFonts w:ascii="Times New Roman"/>
          <w:i/>
          <w:iCs/>
        </w:rPr>
        <w:t>m</w:t>
      </w:r>
      <w:r>
        <w:rPr>
          <w:rFonts w:ascii="Times New Roman"/>
          <w:vertAlign w:val="subscript"/>
        </w:rPr>
        <w:t>2</w:t>
      </w:r>
      <w:r>
        <w:rPr>
          <w:rFonts w:ascii="Times New Roman"/>
        </w:rPr>
        <w:t xml:space="preserve"> 、</w:t>
      </w:r>
      <w:r>
        <w:rPr>
          <w:rFonts w:ascii="Times New Roman"/>
          <w:i/>
          <w:iCs/>
        </w:rPr>
        <w:t>m</w:t>
      </w:r>
      <w:r>
        <w:rPr>
          <w:rFonts w:ascii="Times New Roman"/>
          <w:vertAlign w:val="subscript"/>
        </w:rPr>
        <w:t>3</w:t>
      </w:r>
      <w:r>
        <w:rPr>
          <w:rFonts w:ascii="Times New Roman"/>
        </w:rPr>
        <w:t xml:space="preserve"> ——</w:t>
      </w:r>
      <w:r>
        <w:rPr>
          <w:rFonts w:hint="eastAsia" w:ascii="Times New Roman"/>
        </w:rPr>
        <w:t>三次独立测试的质量，单位为克（g）；</w:t>
      </w:r>
    </w:p>
    <w:p w14:paraId="181E6481">
      <w:pPr>
        <w:pStyle w:val="9"/>
        <w:ind w:firstLine="420"/>
        <w:rPr>
          <w:rFonts w:ascii="Times New Roman"/>
        </w:rPr>
      </w:pPr>
      <w:r>
        <w:rPr>
          <w:rFonts w:ascii="Times New Roman"/>
          <w:i/>
          <w:iCs/>
        </w:rPr>
        <w:t>m</w:t>
      </w:r>
      <w:r>
        <w:rPr>
          <w:rFonts w:ascii="Times New Roman"/>
          <w:vertAlign w:val="subscript"/>
        </w:rPr>
        <w:t>0</w:t>
      </w:r>
      <w:r>
        <w:rPr>
          <w:rFonts w:ascii="Times New Roman"/>
        </w:rPr>
        <w:t>——</w:t>
      </w:r>
      <w:r>
        <w:rPr>
          <w:rFonts w:hint="eastAsia" w:ascii="Times New Roman"/>
        </w:rPr>
        <w:t>空白试验称重质量，单位为克（g）</w:t>
      </w:r>
      <w:r>
        <w:rPr>
          <w:rFonts w:ascii="Times New Roman"/>
        </w:rPr>
        <w:t>；</w:t>
      </w:r>
    </w:p>
    <w:p w14:paraId="19FF7599">
      <w:pPr>
        <w:pStyle w:val="9"/>
        <w:ind w:firstLine="420"/>
        <w:rPr>
          <w:rFonts w:ascii="Times New Roman"/>
        </w:rPr>
      </w:pPr>
      <w:r>
        <w:rPr>
          <w:rFonts w:hint="eastAsia" w:ascii="Times New Roman"/>
        </w:rPr>
        <w:t>M</w:t>
      </w:r>
      <w:r>
        <w:rPr>
          <w:rFonts w:ascii="Times New Roman"/>
        </w:rPr>
        <w:t>——</w:t>
      </w:r>
      <w:r>
        <w:rPr>
          <w:rFonts w:hint="eastAsia" w:ascii="Times New Roman"/>
        </w:rPr>
        <w:t>硅多晶质量，单位为克（g）。</w:t>
      </w:r>
    </w:p>
    <w:p w14:paraId="001F985F">
      <w:pPr>
        <w:pStyle w:val="10"/>
        <w:numPr>
          <w:ilvl w:val="0"/>
          <w:numId w:val="3"/>
        </w:numPr>
        <w:spacing w:before="312" w:beforeLines="100" w:after="312" w:afterLines="100"/>
        <w:rPr>
          <w:rFonts w:hAnsi="黑体"/>
        </w:rPr>
      </w:pPr>
      <w:r>
        <w:rPr>
          <w:rFonts w:hint="eastAsia" w:hAnsi="黑体"/>
        </w:rPr>
        <w:t>精密度</w:t>
      </w:r>
    </w:p>
    <w:p w14:paraId="65228E15">
      <w:pPr>
        <w:pStyle w:val="11"/>
        <w:numPr>
          <w:ilvl w:val="1"/>
          <w:numId w:val="3"/>
        </w:numPr>
        <w:spacing w:line="360" w:lineRule="auto"/>
        <w:jc w:val="left"/>
        <w:rPr>
          <w:rFonts w:hint="eastAsia" w:ascii="黑体" w:hAnsi="黑体" w:eastAsia="黑体" w:cs="黑体"/>
        </w:rPr>
      </w:pPr>
      <w:r>
        <w:rPr>
          <w:rFonts w:hint="eastAsia" w:ascii="黑体" w:hAnsi="黑体" w:eastAsia="黑体" w:cs="黑体"/>
        </w:rPr>
        <w:t>重复性</w:t>
      </w:r>
    </w:p>
    <w:p w14:paraId="38C3C597">
      <w:pPr>
        <w:pStyle w:val="11"/>
        <w:keepNext w:val="0"/>
        <w:keepLines w:val="0"/>
        <w:pageBreakBefore w:val="0"/>
        <w:widowControl/>
        <w:numPr>
          <w:ilvl w:val="0"/>
          <w:numId w:val="0"/>
        </w:numPr>
        <w:kinsoku/>
        <w:wordWrap/>
        <w:overflowPunct/>
        <w:topLinePunct w:val="0"/>
        <w:autoSpaceDE/>
        <w:autoSpaceDN/>
        <w:bidi w:val="0"/>
        <w:adjustRightInd/>
        <w:snapToGrid/>
        <w:spacing w:line="240" w:lineRule="auto"/>
        <w:ind w:left="420" w:firstLine="420" w:firstLineChars="200"/>
        <w:textAlignment w:val="auto"/>
        <w:rPr>
          <w:rFonts w:ascii="宋体" w:hAnsi="宋体" w:eastAsia="宋体"/>
        </w:rPr>
      </w:pPr>
      <w:r>
        <w:rPr>
          <w:rFonts w:hint="eastAsia" w:ascii="宋体" w:hAnsi="宋体" w:eastAsia="宋体"/>
        </w:rPr>
        <w:t>在重复性条件下获得的三次独立测定结果的测定值，在表1给出的平均值范围内，这两个测定结果的绝对差值不超过重复性限（r），超过重复性限（r）的情况不超过5%，重复性限（r）按照表1数据采用线性内插法或外延法求得。</w:t>
      </w:r>
    </w:p>
    <w:p w14:paraId="27704EDF">
      <w:pPr>
        <w:pStyle w:val="9"/>
        <w:ind w:firstLine="420"/>
        <w:jc w:val="center"/>
      </w:pPr>
      <w:r>
        <w:rPr>
          <w:rFonts w:hint="eastAsia"/>
        </w:rPr>
        <w:t>表1 重复性限</w:t>
      </w:r>
      <w:r>
        <w:rPr>
          <w:rFonts w:hint="eastAsia"/>
          <w:b/>
          <w:sz w:val="18"/>
          <w:szCs w:val="18"/>
        </w:rPr>
        <w:t>（r）</w:t>
      </w:r>
    </w:p>
    <w:tbl>
      <w:tblPr>
        <w:tblStyle w:val="5"/>
        <w:tblW w:w="500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501"/>
        <w:gridCol w:w="4502"/>
      </w:tblGrid>
      <w:tr w14:paraId="2FB5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500" w:type="pct"/>
            <w:tcBorders>
              <w:bottom w:val="single" w:color="auto" w:sz="4" w:space="0"/>
            </w:tcBorders>
            <w:vAlign w:val="center"/>
          </w:tcPr>
          <w:p w14:paraId="1D119B04">
            <w:pPr>
              <w:pStyle w:val="29"/>
            </w:pPr>
            <w:r>
              <w:rPr>
                <w:rFonts w:hint="eastAsia"/>
              </w:rPr>
              <w:t>表面粉尘含量（</w:t>
            </w:r>
            <w:r>
              <w:t>%</w:t>
            </w:r>
            <w:r>
              <w:rPr>
                <w:rFonts w:hint="eastAsia"/>
              </w:rPr>
              <w:t>）</w:t>
            </w:r>
          </w:p>
        </w:tc>
        <w:tc>
          <w:tcPr>
            <w:tcW w:w="2500" w:type="pct"/>
            <w:tcBorders>
              <w:bottom w:val="single" w:color="auto" w:sz="4" w:space="0"/>
            </w:tcBorders>
            <w:vAlign w:val="center"/>
          </w:tcPr>
          <w:p w14:paraId="628FFAD0">
            <w:pPr>
              <w:pStyle w:val="29"/>
            </w:pPr>
            <w:r>
              <w:rPr>
                <w:rFonts w:hint="eastAsia"/>
              </w:rPr>
              <w:t>重复性限（</w:t>
            </w:r>
            <w:r>
              <w:t>%</w:t>
            </w:r>
            <w:r>
              <w:rPr>
                <w:rFonts w:hint="eastAsia"/>
              </w:rPr>
              <w:t>）</w:t>
            </w:r>
          </w:p>
        </w:tc>
      </w:tr>
      <w:tr w14:paraId="0AD1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500" w:type="pct"/>
            <w:tcBorders>
              <w:top w:val="single" w:color="auto" w:sz="4" w:space="0"/>
              <w:left w:val="single" w:color="auto" w:sz="4" w:space="0"/>
              <w:bottom w:val="single" w:color="auto" w:sz="4" w:space="0"/>
              <w:right w:val="single" w:color="auto" w:sz="4" w:space="0"/>
            </w:tcBorders>
            <w:vAlign w:val="center"/>
          </w:tcPr>
          <w:p w14:paraId="5094176A">
            <w:pPr>
              <w:jc w:val="center"/>
              <w:rPr>
                <w:rFonts w:ascii="宋体" w:hAnsi="宋体" w:cs="宋体"/>
                <w:szCs w:val="21"/>
              </w:rPr>
            </w:pPr>
            <w:r>
              <w:rPr>
                <w:rFonts w:hint="eastAsia" w:ascii="宋体" w:hAnsi="宋体" w:cs="宋体"/>
                <w:szCs w:val="21"/>
              </w:rPr>
              <w:t>0</w:t>
            </w:r>
            <w:r>
              <w:rPr>
                <w:rFonts w:ascii="宋体" w:hAnsi="宋体" w:cs="宋体"/>
                <w:szCs w:val="21"/>
              </w:rPr>
              <w:t>.015</w:t>
            </w:r>
          </w:p>
        </w:tc>
        <w:tc>
          <w:tcPr>
            <w:tcW w:w="2500" w:type="pct"/>
            <w:tcBorders>
              <w:top w:val="single" w:color="auto" w:sz="4" w:space="0"/>
              <w:left w:val="single" w:color="auto" w:sz="4" w:space="0"/>
              <w:bottom w:val="single" w:color="auto" w:sz="4" w:space="0"/>
              <w:right w:val="single" w:color="auto" w:sz="4" w:space="0"/>
            </w:tcBorders>
            <w:vAlign w:val="center"/>
          </w:tcPr>
          <w:p w14:paraId="4610D988">
            <w:pPr>
              <w:jc w:val="center"/>
              <w:rPr>
                <w:szCs w:val="21"/>
              </w:rPr>
            </w:pPr>
            <w:r>
              <w:rPr>
                <w:szCs w:val="21"/>
              </w:rPr>
              <w:t>14.8</w:t>
            </w:r>
          </w:p>
        </w:tc>
      </w:tr>
      <w:tr w14:paraId="64F38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500" w:type="pct"/>
            <w:tcBorders>
              <w:top w:val="single" w:color="auto" w:sz="4" w:space="0"/>
              <w:left w:val="single" w:color="auto" w:sz="4" w:space="0"/>
              <w:bottom w:val="single" w:color="auto" w:sz="4" w:space="0"/>
              <w:right w:val="single" w:color="auto" w:sz="4" w:space="0"/>
            </w:tcBorders>
            <w:vAlign w:val="center"/>
          </w:tcPr>
          <w:p w14:paraId="1C6F6EA6">
            <w:pPr>
              <w:jc w:val="center"/>
              <w:rPr>
                <w:rFonts w:ascii="宋体" w:hAnsi="宋体" w:cs="宋体"/>
                <w:szCs w:val="21"/>
              </w:rPr>
            </w:pPr>
            <w:r>
              <w:rPr>
                <w:rFonts w:hint="eastAsia" w:ascii="宋体" w:hAnsi="宋体" w:cs="宋体"/>
                <w:szCs w:val="21"/>
              </w:rPr>
              <w:t>0</w:t>
            </w:r>
            <w:r>
              <w:rPr>
                <w:rFonts w:ascii="宋体" w:hAnsi="宋体" w:cs="宋体"/>
                <w:szCs w:val="21"/>
              </w:rPr>
              <w:t>.035</w:t>
            </w:r>
          </w:p>
        </w:tc>
        <w:tc>
          <w:tcPr>
            <w:tcW w:w="2500" w:type="pct"/>
            <w:tcBorders>
              <w:top w:val="single" w:color="auto" w:sz="4" w:space="0"/>
              <w:left w:val="single" w:color="auto" w:sz="4" w:space="0"/>
              <w:bottom w:val="single" w:color="auto" w:sz="4" w:space="0"/>
              <w:right w:val="single" w:color="auto" w:sz="4" w:space="0"/>
            </w:tcBorders>
            <w:vAlign w:val="center"/>
          </w:tcPr>
          <w:p w14:paraId="54362C51">
            <w:pPr>
              <w:jc w:val="center"/>
              <w:rPr>
                <w:szCs w:val="21"/>
              </w:rPr>
            </w:pPr>
            <w:r>
              <w:rPr>
                <w:szCs w:val="21"/>
              </w:rPr>
              <w:t>1</w:t>
            </w:r>
            <w:r>
              <w:rPr>
                <w:rFonts w:hint="eastAsia"/>
                <w:szCs w:val="21"/>
              </w:rPr>
              <w:t>8.4</w:t>
            </w:r>
          </w:p>
        </w:tc>
      </w:tr>
      <w:tr w14:paraId="227A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500" w:type="pct"/>
            <w:tcBorders>
              <w:top w:val="single" w:color="auto" w:sz="4" w:space="0"/>
              <w:left w:val="single" w:color="auto" w:sz="4" w:space="0"/>
              <w:bottom w:val="single" w:color="auto" w:sz="4" w:space="0"/>
              <w:right w:val="single" w:color="auto" w:sz="4" w:space="0"/>
            </w:tcBorders>
            <w:vAlign w:val="center"/>
          </w:tcPr>
          <w:p w14:paraId="3E82A8C2">
            <w:pPr>
              <w:jc w:val="center"/>
              <w:rPr>
                <w:rFonts w:ascii="宋体" w:hAnsi="宋体" w:cs="宋体"/>
                <w:szCs w:val="21"/>
              </w:rPr>
            </w:pPr>
            <w:r>
              <w:rPr>
                <w:rFonts w:hint="eastAsia" w:ascii="宋体" w:hAnsi="宋体" w:cs="宋体"/>
                <w:szCs w:val="21"/>
              </w:rPr>
              <w:t>0</w:t>
            </w:r>
            <w:r>
              <w:rPr>
                <w:rFonts w:ascii="宋体" w:hAnsi="宋体" w:cs="宋体"/>
                <w:szCs w:val="21"/>
              </w:rPr>
              <w:t>.062</w:t>
            </w:r>
          </w:p>
        </w:tc>
        <w:tc>
          <w:tcPr>
            <w:tcW w:w="2500" w:type="pct"/>
            <w:tcBorders>
              <w:top w:val="single" w:color="auto" w:sz="4" w:space="0"/>
              <w:left w:val="single" w:color="auto" w:sz="4" w:space="0"/>
              <w:bottom w:val="single" w:color="auto" w:sz="4" w:space="0"/>
              <w:right w:val="single" w:color="auto" w:sz="4" w:space="0"/>
            </w:tcBorders>
            <w:vAlign w:val="center"/>
          </w:tcPr>
          <w:p w14:paraId="27460151">
            <w:pPr>
              <w:jc w:val="center"/>
              <w:rPr>
                <w:szCs w:val="21"/>
              </w:rPr>
            </w:pPr>
            <w:r>
              <w:rPr>
                <w:szCs w:val="21"/>
              </w:rPr>
              <w:t>33</w:t>
            </w:r>
            <w:r>
              <w:rPr>
                <w:rFonts w:hint="eastAsia"/>
                <w:szCs w:val="21"/>
              </w:rPr>
              <w:t>.0</w:t>
            </w:r>
          </w:p>
        </w:tc>
      </w:tr>
    </w:tbl>
    <w:p w14:paraId="494FBC4C">
      <w:pPr>
        <w:pStyle w:val="11"/>
        <w:numPr>
          <w:ilvl w:val="1"/>
          <w:numId w:val="3"/>
        </w:numPr>
        <w:spacing w:line="360" w:lineRule="auto"/>
        <w:jc w:val="left"/>
        <w:rPr>
          <w:rFonts w:hint="eastAsia" w:ascii="黑体" w:hAnsi="黑体" w:eastAsia="黑体" w:cs="黑体"/>
        </w:rPr>
      </w:pPr>
      <w:r>
        <w:rPr>
          <w:rFonts w:hint="eastAsia" w:ascii="黑体" w:hAnsi="黑体" w:eastAsia="黑体" w:cs="黑体"/>
        </w:rPr>
        <w:t>再现性</w:t>
      </w:r>
    </w:p>
    <w:p w14:paraId="656C74D6">
      <w:pPr>
        <w:pStyle w:val="11"/>
        <w:keepNext w:val="0"/>
        <w:keepLines w:val="0"/>
        <w:pageBreakBefore w:val="0"/>
        <w:widowControl/>
        <w:numPr>
          <w:ilvl w:val="0"/>
          <w:numId w:val="0"/>
        </w:numPr>
        <w:kinsoku/>
        <w:wordWrap/>
        <w:overflowPunct/>
        <w:topLinePunct w:val="0"/>
        <w:autoSpaceDE/>
        <w:autoSpaceDN/>
        <w:bidi w:val="0"/>
        <w:adjustRightInd/>
        <w:snapToGrid/>
        <w:spacing w:line="240" w:lineRule="auto"/>
        <w:ind w:left="420" w:firstLine="420" w:firstLineChars="200"/>
        <w:textAlignment w:val="auto"/>
        <w:rPr>
          <w:rFonts w:ascii="宋体" w:hAnsi="宋体" w:eastAsia="宋体"/>
        </w:rPr>
      </w:pPr>
      <w:r>
        <w:rPr>
          <w:rFonts w:hint="eastAsia" w:ascii="宋体" w:hAnsi="宋体" w:eastAsia="宋体"/>
        </w:rPr>
        <w:t>在再现性条件下获得的三次独立测试结果的测定值，在表2给出的平均值范围内，这两个测试结果的绝对差值不超过再现性限（R），超过再现性限（R）的情况不超过5%，再现性限（R）按照表2数据采用线性内插法或外延法求得。</w:t>
      </w:r>
    </w:p>
    <w:p w14:paraId="7CB05718">
      <w:pPr>
        <w:pStyle w:val="9"/>
        <w:ind w:firstLine="420"/>
        <w:jc w:val="center"/>
      </w:pPr>
      <w:r>
        <w:rPr>
          <w:rFonts w:hint="eastAsia"/>
        </w:rPr>
        <w:t>表2 再现性限</w:t>
      </w:r>
      <w:r>
        <w:rPr>
          <w:rFonts w:hint="eastAsia"/>
          <w:b/>
          <w:sz w:val="18"/>
          <w:szCs w:val="18"/>
        </w:rPr>
        <w:t>（R）</w:t>
      </w:r>
    </w:p>
    <w:tbl>
      <w:tblPr>
        <w:tblStyle w:val="5"/>
        <w:tblW w:w="501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507"/>
        <w:gridCol w:w="4511"/>
      </w:tblGrid>
      <w:tr w14:paraId="045C9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2499" w:type="pct"/>
            <w:tcBorders>
              <w:bottom w:val="single" w:color="auto" w:sz="4" w:space="0"/>
            </w:tcBorders>
            <w:vAlign w:val="center"/>
          </w:tcPr>
          <w:p w14:paraId="2643D589">
            <w:pPr>
              <w:pStyle w:val="29"/>
            </w:pPr>
            <w:r>
              <w:rPr>
                <w:rFonts w:hint="eastAsia"/>
              </w:rPr>
              <w:t>表面粉尘含量（</w:t>
            </w:r>
            <w:r>
              <w:t>%</w:t>
            </w:r>
            <w:r>
              <w:rPr>
                <w:rFonts w:hint="eastAsia"/>
              </w:rPr>
              <w:t>）</w:t>
            </w:r>
          </w:p>
        </w:tc>
        <w:tc>
          <w:tcPr>
            <w:tcW w:w="2501" w:type="pct"/>
            <w:tcBorders>
              <w:bottom w:val="single" w:color="auto" w:sz="4" w:space="0"/>
            </w:tcBorders>
            <w:vAlign w:val="center"/>
          </w:tcPr>
          <w:p w14:paraId="3C69B401">
            <w:pPr>
              <w:pStyle w:val="29"/>
            </w:pPr>
            <w:r>
              <w:rPr>
                <w:rFonts w:hint="eastAsia"/>
              </w:rPr>
              <w:t>再现性限（N</w:t>
            </w:r>
            <w:r>
              <w:t>%</w:t>
            </w:r>
            <w:r>
              <w:rPr>
                <w:rFonts w:hint="eastAsia"/>
              </w:rPr>
              <w:t>）</w:t>
            </w:r>
          </w:p>
        </w:tc>
      </w:tr>
      <w:tr w14:paraId="3019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99" w:type="pct"/>
            <w:tcBorders>
              <w:top w:val="single" w:color="auto" w:sz="4" w:space="0"/>
              <w:left w:val="single" w:color="auto" w:sz="4" w:space="0"/>
              <w:bottom w:val="single" w:color="auto" w:sz="4" w:space="0"/>
              <w:right w:val="single" w:color="auto" w:sz="4" w:space="0"/>
            </w:tcBorders>
            <w:vAlign w:val="center"/>
          </w:tcPr>
          <w:p w14:paraId="25E33D5E">
            <w:pPr>
              <w:jc w:val="center"/>
              <w:rPr>
                <w:rFonts w:ascii="宋体" w:hAnsi="宋体" w:cs="宋体"/>
                <w:szCs w:val="21"/>
              </w:rPr>
            </w:pPr>
            <w:r>
              <w:rPr>
                <w:rFonts w:hint="eastAsia" w:ascii="宋体" w:hAnsi="宋体" w:cs="宋体"/>
                <w:szCs w:val="21"/>
              </w:rPr>
              <w:t>0</w:t>
            </w:r>
            <w:r>
              <w:rPr>
                <w:rFonts w:ascii="宋体" w:hAnsi="宋体" w:cs="宋体"/>
                <w:szCs w:val="21"/>
              </w:rPr>
              <w:t>.015</w:t>
            </w:r>
          </w:p>
        </w:tc>
        <w:tc>
          <w:tcPr>
            <w:tcW w:w="2501" w:type="pct"/>
            <w:tcBorders>
              <w:top w:val="single" w:color="auto" w:sz="4" w:space="0"/>
              <w:left w:val="single" w:color="auto" w:sz="4" w:space="0"/>
              <w:bottom w:val="single" w:color="auto" w:sz="4" w:space="0"/>
              <w:right w:val="single" w:color="auto" w:sz="4" w:space="0"/>
            </w:tcBorders>
            <w:vAlign w:val="center"/>
          </w:tcPr>
          <w:p w14:paraId="0FE7A87D">
            <w:pPr>
              <w:jc w:val="center"/>
              <w:rPr>
                <w:szCs w:val="21"/>
              </w:rPr>
            </w:pPr>
            <w:r>
              <w:rPr>
                <w:szCs w:val="21"/>
              </w:rPr>
              <w:t>15</w:t>
            </w:r>
            <w:r>
              <w:rPr>
                <w:rFonts w:hint="eastAsia"/>
                <w:szCs w:val="21"/>
              </w:rPr>
              <w:t>.9</w:t>
            </w:r>
          </w:p>
        </w:tc>
      </w:tr>
      <w:tr w14:paraId="01916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99" w:type="pct"/>
            <w:tcBorders>
              <w:top w:val="single" w:color="auto" w:sz="4" w:space="0"/>
              <w:left w:val="single" w:color="auto" w:sz="4" w:space="0"/>
              <w:bottom w:val="single" w:color="auto" w:sz="4" w:space="0"/>
              <w:right w:val="single" w:color="auto" w:sz="4" w:space="0"/>
            </w:tcBorders>
            <w:vAlign w:val="center"/>
          </w:tcPr>
          <w:p w14:paraId="0CF75924">
            <w:pPr>
              <w:jc w:val="center"/>
              <w:rPr>
                <w:rFonts w:ascii="宋体" w:hAnsi="宋体" w:cs="宋体"/>
                <w:szCs w:val="21"/>
              </w:rPr>
            </w:pPr>
            <w:r>
              <w:rPr>
                <w:rFonts w:hint="eastAsia" w:ascii="宋体" w:hAnsi="宋体" w:cs="宋体"/>
                <w:szCs w:val="21"/>
              </w:rPr>
              <w:t>0</w:t>
            </w:r>
            <w:r>
              <w:rPr>
                <w:rFonts w:ascii="宋体" w:hAnsi="宋体" w:cs="宋体"/>
                <w:szCs w:val="21"/>
              </w:rPr>
              <w:t>.035</w:t>
            </w:r>
          </w:p>
        </w:tc>
        <w:tc>
          <w:tcPr>
            <w:tcW w:w="2501" w:type="pct"/>
            <w:tcBorders>
              <w:top w:val="single" w:color="auto" w:sz="4" w:space="0"/>
              <w:left w:val="single" w:color="auto" w:sz="4" w:space="0"/>
              <w:bottom w:val="single" w:color="auto" w:sz="4" w:space="0"/>
              <w:right w:val="single" w:color="auto" w:sz="4" w:space="0"/>
            </w:tcBorders>
            <w:vAlign w:val="center"/>
          </w:tcPr>
          <w:p w14:paraId="656D48C5">
            <w:pPr>
              <w:jc w:val="center"/>
              <w:rPr>
                <w:szCs w:val="21"/>
              </w:rPr>
            </w:pPr>
            <w:r>
              <w:rPr>
                <w:szCs w:val="21"/>
              </w:rPr>
              <w:t>19.</w:t>
            </w:r>
            <w:r>
              <w:rPr>
                <w:rFonts w:hint="eastAsia"/>
                <w:szCs w:val="21"/>
              </w:rPr>
              <w:t>7</w:t>
            </w:r>
          </w:p>
        </w:tc>
      </w:tr>
      <w:tr w14:paraId="6EB1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99" w:type="pct"/>
            <w:tcBorders>
              <w:top w:val="single" w:color="auto" w:sz="4" w:space="0"/>
              <w:left w:val="single" w:color="auto" w:sz="4" w:space="0"/>
              <w:bottom w:val="single" w:color="auto" w:sz="4" w:space="0"/>
              <w:right w:val="single" w:color="auto" w:sz="4" w:space="0"/>
            </w:tcBorders>
            <w:vAlign w:val="center"/>
          </w:tcPr>
          <w:p w14:paraId="41938C96">
            <w:pPr>
              <w:jc w:val="center"/>
              <w:rPr>
                <w:rFonts w:ascii="宋体" w:hAnsi="宋体" w:cs="宋体"/>
                <w:szCs w:val="21"/>
              </w:rPr>
            </w:pPr>
            <w:r>
              <w:rPr>
                <w:rFonts w:hint="eastAsia" w:ascii="宋体" w:hAnsi="宋体" w:cs="宋体"/>
                <w:szCs w:val="21"/>
              </w:rPr>
              <w:t>0</w:t>
            </w:r>
            <w:r>
              <w:rPr>
                <w:rFonts w:ascii="宋体" w:hAnsi="宋体" w:cs="宋体"/>
                <w:szCs w:val="21"/>
              </w:rPr>
              <w:t>.062</w:t>
            </w:r>
          </w:p>
        </w:tc>
        <w:tc>
          <w:tcPr>
            <w:tcW w:w="2501" w:type="pct"/>
            <w:tcBorders>
              <w:top w:val="single" w:color="auto" w:sz="4" w:space="0"/>
              <w:left w:val="single" w:color="auto" w:sz="4" w:space="0"/>
              <w:bottom w:val="single" w:color="auto" w:sz="4" w:space="0"/>
              <w:right w:val="single" w:color="auto" w:sz="4" w:space="0"/>
            </w:tcBorders>
            <w:vAlign w:val="center"/>
          </w:tcPr>
          <w:p w14:paraId="2C7AE20C">
            <w:pPr>
              <w:jc w:val="center"/>
              <w:rPr>
                <w:szCs w:val="21"/>
              </w:rPr>
            </w:pPr>
            <w:r>
              <w:rPr>
                <w:szCs w:val="21"/>
              </w:rPr>
              <w:t>34</w:t>
            </w:r>
            <w:r>
              <w:rPr>
                <w:rFonts w:hint="eastAsia"/>
                <w:szCs w:val="21"/>
              </w:rPr>
              <w:t>.2</w:t>
            </w:r>
          </w:p>
        </w:tc>
      </w:tr>
    </w:tbl>
    <w:p w14:paraId="4052375A">
      <w:pPr>
        <w:pStyle w:val="10"/>
        <w:numPr>
          <w:ilvl w:val="0"/>
          <w:numId w:val="3"/>
        </w:numPr>
        <w:spacing w:before="312" w:beforeLines="100" w:after="312" w:afterLines="100"/>
        <w:rPr>
          <w:rFonts w:hAnsi="黑体"/>
        </w:rPr>
      </w:pPr>
      <w:r>
        <w:rPr>
          <w:rFonts w:hint="eastAsia" w:hAnsi="黑体"/>
        </w:rPr>
        <w:t>试验报告</w:t>
      </w:r>
    </w:p>
    <w:p w14:paraId="2B31CF00">
      <w:pPr>
        <w:pStyle w:val="9"/>
        <w:ind w:firstLine="420"/>
        <w:rPr>
          <w:rFonts w:hAnsi="宋体"/>
        </w:rPr>
      </w:pPr>
      <w:r>
        <w:rPr>
          <w:rFonts w:hint="eastAsia" w:hAnsi="宋体"/>
        </w:rPr>
        <w:t>试验报告应至少包括以下内容：</w:t>
      </w:r>
    </w:p>
    <w:p w14:paraId="669210C0">
      <w:pPr>
        <w:pStyle w:val="25"/>
        <w:numPr>
          <w:ilvl w:val="0"/>
          <w:numId w:val="4"/>
        </w:numPr>
        <w:rPr>
          <w:rFonts w:hAnsi="宋体"/>
        </w:rPr>
      </w:pPr>
      <w:r>
        <w:rPr>
          <w:rFonts w:hint="eastAsia" w:hAnsi="宋体"/>
        </w:rPr>
        <w:t>样品名称；</w:t>
      </w:r>
    </w:p>
    <w:p w14:paraId="305C352A">
      <w:pPr>
        <w:pStyle w:val="25"/>
        <w:numPr>
          <w:ilvl w:val="0"/>
          <w:numId w:val="4"/>
        </w:numPr>
        <w:rPr>
          <w:rFonts w:hAnsi="宋体"/>
        </w:rPr>
      </w:pPr>
      <w:r>
        <w:rPr>
          <w:rFonts w:hint="eastAsia" w:hAnsi="宋体"/>
        </w:rPr>
        <w:t>测试环境；</w:t>
      </w:r>
    </w:p>
    <w:p w14:paraId="20D33852">
      <w:pPr>
        <w:pStyle w:val="25"/>
        <w:numPr>
          <w:ilvl w:val="0"/>
          <w:numId w:val="4"/>
        </w:numPr>
        <w:rPr>
          <w:rFonts w:hAnsi="宋体"/>
        </w:rPr>
      </w:pPr>
      <w:r>
        <w:rPr>
          <w:rFonts w:hint="eastAsia" w:hAnsi="宋体"/>
        </w:rPr>
        <w:t>仪器型号；</w:t>
      </w:r>
    </w:p>
    <w:p w14:paraId="779BDA76">
      <w:pPr>
        <w:pStyle w:val="25"/>
        <w:numPr>
          <w:ilvl w:val="0"/>
          <w:numId w:val="4"/>
        </w:numPr>
        <w:rPr>
          <w:rFonts w:hAnsi="宋体"/>
        </w:rPr>
      </w:pPr>
      <w:r>
        <w:rPr>
          <w:rFonts w:hint="eastAsia" w:hAnsi="宋体"/>
        </w:rPr>
        <w:t>测试结果；</w:t>
      </w:r>
    </w:p>
    <w:p w14:paraId="038DDA8E">
      <w:pPr>
        <w:pStyle w:val="25"/>
        <w:numPr>
          <w:ilvl w:val="0"/>
          <w:numId w:val="4"/>
        </w:numPr>
        <w:rPr>
          <w:rFonts w:hAnsi="宋体"/>
        </w:rPr>
      </w:pPr>
      <w:r>
        <w:rPr>
          <w:rFonts w:hint="eastAsia" w:hAnsi="宋体"/>
        </w:rPr>
        <w:t>本文件编号；</w:t>
      </w:r>
    </w:p>
    <w:p w14:paraId="46D50974">
      <w:pPr>
        <w:pStyle w:val="25"/>
        <w:numPr>
          <w:ilvl w:val="0"/>
          <w:numId w:val="4"/>
        </w:numPr>
        <w:rPr>
          <w:rFonts w:hAnsi="宋体"/>
        </w:rPr>
      </w:pPr>
      <w:r>
        <w:rPr>
          <w:rFonts w:hint="eastAsia" w:hAnsi="宋体"/>
        </w:rPr>
        <w:t>操作者、测试日期、测试单位；</w:t>
      </w:r>
    </w:p>
    <w:p w14:paraId="7A343FBE">
      <w:pPr>
        <w:pStyle w:val="25"/>
        <w:numPr>
          <w:ilvl w:val="0"/>
          <w:numId w:val="4"/>
        </w:numPr>
        <w:rPr>
          <w:rFonts w:hAnsi="宋体"/>
        </w:rPr>
      </w:pPr>
      <w:r>
        <w:rPr>
          <w:rFonts w:hint="eastAsia" w:hAnsi="宋体"/>
        </w:rPr>
        <w:t>其他。</w:t>
      </w:r>
    </w:p>
    <w:p w14:paraId="71A4D890">
      <w:pPr>
        <w:rPr>
          <w:rFonts w:eastAsia="黑体"/>
          <w:color w:val="000000"/>
          <w:spacing w:val="2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1786890</wp:posOffset>
                </wp:positionH>
                <wp:positionV relativeFrom="paragraph">
                  <wp:posOffset>890270</wp:posOffset>
                </wp:positionV>
                <wp:extent cx="1765935" cy="0"/>
                <wp:effectExtent l="0" t="6350" r="0" b="6350"/>
                <wp:wrapNone/>
                <wp:docPr id="1" name="直接连接符 1"/>
                <wp:cNvGraphicFramePr/>
                <a:graphic xmlns:a="http://schemas.openxmlformats.org/drawingml/2006/main">
                  <a:graphicData uri="http://schemas.microsoft.com/office/word/2010/wordprocessingShape">
                    <wps:wsp>
                      <wps:cNvCnPr/>
                      <wps:spPr>
                        <a:xfrm>
                          <a:off x="2929890" y="4185920"/>
                          <a:ext cx="176593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0.7pt;margin-top:70.1pt;height:0pt;width:139.05pt;z-index:251661312;mso-width-relative:page;mso-height-relative:page;" filled="f" stroked="t" coordsize="21600,21600" o:gfxdata="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NZk8rZAAAACwEAAA8AAAAAAAAAAQAgAAAAIgAAAGRycy9kb3ducmV2LnhtbFBLAQIU&#10;ABQAAAAIAIdO4kCmNg+X8gEAAL4DAAAOAAAAAAAAAAEAIAAAACgBAABkcnMvZTJvRG9jLnhtbFBL&#10;BQYAAAAABgAGAFkBAACMBQAAAAA=&#10;">
                <v:fill on="f" focussize="0,0"/>
                <v:stroke weight="1pt" color="#000000 [3213]" miterlimit="8" joinstyle="miter"/>
                <v:imagedata o:title=""/>
                <o:lock v:ext="edit" aspectratio="f"/>
              </v:line>
            </w:pict>
          </mc:Fallback>
        </mc:AlternateContent>
      </w:r>
    </w:p>
    <w:sectPr>
      <w:pgSz w:w="11906" w:h="16838"/>
      <w:pgMar w:top="1134"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6F67">
    <w:pPr>
      <w:pStyle w:val="3"/>
      <w:ind w:right="180"/>
      <w:jc w:val="right"/>
    </w:pPr>
  </w:p>
  <w:p w14:paraId="7714610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9574653"/>
    </w:sdtPr>
    <w:sdtContent>
      <w:p w14:paraId="440C29D4">
        <w:pPr>
          <w:pStyle w:val="3"/>
          <w:jc w:val="right"/>
        </w:pPr>
        <w:r>
          <w:fldChar w:fldCharType="begin"/>
        </w:r>
        <w:r>
          <w:instrText xml:space="preserve">PAGE   \* MERGEFORMAT</w:instrText>
        </w:r>
        <w:r>
          <w:fldChar w:fldCharType="separate"/>
        </w:r>
        <w:r>
          <w:rPr>
            <w:lang w:val="zh-CN"/>
          </w:rPr>
          <w:t>1</w:t>
        </w:r>
        <w:r>
          <w:fldChar w:fldCharType="end"/>
        </w:r>
      </w:p>
    </w:sdtContent>
  </w:sdt>
  <w:p w14:paraId="0EDCF81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68A3">
    <w:pPr>
      <w:pStyle w:val="3"/>
    </w:pPr>
    <w:sdt>
      <w:sdtPr>
        <w:id w:val="925542193"/>
      </w:sdtPr>
      <w:sdtContent>
        <w:r>
          <w:fldChar w:fldCharType="begin"/>
        </w:r>
        <w:r>
          <w:instrText xml:space="preserve">PAGE   \* MERGEFORMAT</w:instrText>
        </w:r>
        <w:r>
          <w:fldChar w:fldCharType="separate"/>
        </w:r>
        <w:r>
          <w:rPr>
            <w:lang w:val="zh-CN"/>
          </w:rPr>
          <w:t>2</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E823E">
    <w:pPr>
      <w:pStyle w:val="4"/>
      <w:pBdr>
        <w:bottom w:val="none" w:color="auto" w:sz="0" w:space="0"/>
      </w:pBdr>
      <w:ind w:right="210"/>
      <w:jc w:val="left"/>
      <w:rPr>
        <w:rFonts w:ascii="黑体" w:hAnsi="黑体" w:eastAsia="黑体"/>
        <w:bCs/>
        <w:sz w:val="21"/>
        <w:szCs w:val="21"/>
      </w:rPr>
    </w:pPr>
    <w:r>
      <w:rPr>
        <w:rFonts w:ascii="黑体" w:hAnsi="黑体" w:eastAsia="黑体"/>
        <w:bCs/>
        <w:sz w:val="21"/>
        <w:szCs w:val="21"/>
      </w:rPr>
      <w:t xml:space="preserve">ICS </w:t>
    </w:r>
    <w:r>
      <w:rPr>
        <w:rFonts w:hint="eastAsia" w:ascii="黑体" w:hAnsi="黑体" w:eastAsia="黑体"/>
        <w:bCs/>
        <w:sz w:val="21"/>
        <w:szCs w:val="21"/>
      </w:rPr>
      <w:t>77.040</w:t>
    </w:r>
  </w:p>
  <w:p w14:paraId="34E1AED5">
    <w:pPr>
      <w:pStyle w:val="4"/>
      <w:pBdr>
        <w:bottom w:val="none" w:color="auto" w:sz="0" w:space="0"/>
      </w:pBdr>
      <w:ind w:right="210"/>
      <w:jc w:val="left"/>
      <w:rPr>
        <w:rFonts w:ascii="黑体" w:hAnsi="黑体" w:eastAsia="黑体"/>
        <w:bCs/>
        <w:sz w:val="21"/>
        <w:szCs w:val="21"/>
      </w:rPr>
    </w:pPr>
    <w:r>
      <w:rPr>
        <w:rFonts w:ascii="黑体" w:hAnsi="黑体" w:eastAsia="黑体"/>
        <w:bCs/>
        <w:sz w:val="21"/>
        <w:szCs w:val="21"/>
      </w:rPr>
      <w:t xml:space="preserve">CCS H </w:t>
    </w:r>
    <w:r>
      <w:rPr>
        <w:rFonts w:hint="eastAsia" w:ascii="黑体" w:hAnsi="黑体" w:eastAsia="黑体"/>
        <w:bCs/>
        <w:sz w:val="21"/>
        <w:szCs w:val="21"/>
      </w:rPr>
      <w:t>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06AE">
    <w:pPr>
      <w:pStyle w:val="4"/>
      <w:pBdr>
        <w:bottom w:val="none" w:color="auto" w:sz="0" w:space="0"/>
      </w:pBdr>
      <w:wordWrap w:val="0"/>
      <w:jc w:val="right"/>
      <w:rPr>
        <w:rFonts w:ascii="黑体" w:eastAsia="黑体"/>
        <w:iCs/>
        <w:sz w:val="21"/>
        <w:szCs w:val="21"/>
      </w:rPr>
    </w:pPr>
    <w:r>
      <w:rPr>
        <w:rFonts w:ascii="黑体" w:eastAsia="黑体"/>
        <w:iCs/>
        <w:sz w:val="21"/>
        <w:szCs w:val="21"/>
      </w:rPr>
      <w:t>YS</w:t>
    </w:r>
    <w:r>
      <w:rPr>
        <w:rFonts w:hint="eastAsia" w:ascii="黑体" w:eastAsia="黑体"/>
        <w:iCs/>
        <w:sz w:val="21"/>
        <w:szCs w:val="21"/>
      </w:rPr>
      <w:t>/T XXXX-202</w:t>
    </w:r>
    <w:r>
      <w:rPr>
        <w:rFonts w:ascii="黑体" w:eastAsia="黑体"/>
        <w:iCs/>
        <w:sz w:val="21"/>
        <w:szCs w:val="2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8924">
    <w:pPr>
      <w:pStyle w:val="4"/>
      <w:pBdr>
        <w:bottom w:val="none" w:color="auto" w:sz="0" w:space="0"/>
      </w:pBdr>
      <w:wordWrap w:val="0"/>
      <w:jc w:val="right"/>
      <w:rPr>
        <w:rFonts w:ascii="黑体" w:eastAsia="黑体"/>
        <w:iCs/>
        <w:sz w:val="21"/>
        <w:szCs w:val="21"/>
      </w:rPr>
    </w:pPr>
    <w:r>
      <w:rPr>
        <w:rFonts w:ascii="黑体" w:eastAsia="黑体"/>
        <w:iCs/>
        <w:sz w:val="21"/>
        <w:szCs w:val="21"/>
      </w:rPr>
      <w:t>YS</w:t>
    </w:r>
    <w:r>
      <w:rPr>
        <w:rFonts w:hint="eastAsia" w:ascii="黑体" w:eastAsia="黑体"/>
        <w:iCs/>
        <w:sz w:val="21"/>
        <w:szCs w:val="21"/>
      </w:rPr>
      <w:t>/T XXXX-202</w:t>
    </w:r>
    <w:r>
      <w:rPr>
        <w:rFonts w:ascii="黑体" w:eastAsia="黑体"/>
        <w:iCs/>
        <w:sz w:val="21"/>
        <w:szCs w:val="21"/>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lowerLetter"/>
      <w:lvlText w:val="%3)"/>
      <w:lvlJc w:val="left"/>
      <w:pPr>
        <w:ind w:left="709" w:firstLine="0"/>
      </w:pPr>
      <w:rPr>
        <w:rFonts w:hint="eastAsia"/>
        <w:b w:val="0"/>
        <w:i w:val="0"/>
        <w:sz w:val="21"/>
      </w:rPr>
    </w:lvl>
    <w:lvl w:ilvl="3" w:tentative="0">
      <w:start w:val="1"/>
      <w:numFmt w:val="decimal"/>
      <w:suff w:val="nothing"/>
      <w:lvlText w:val="%1.%2.%3.%4　"/>
      <w:lvlJc w:val="left"/>
      <w:pPr>
        <w:ind w:left="142"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5A954498"/>
    <w:multiLevelType w:val="multilevel"/>
    <w:tmpl w:val="5A954498"/>
    <w:lvl w:ilvl="0" w:tentative="0">
      <w:start w:val="1"/>
      <w:numFmt w:val="lowerLetter"/>
      <w:pStyle w:val="2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
      <w:lvlText w:val="%2)"/>
      <w:lvlJc w:val="left"/>
      <w:pPr>
        <w:tabs>
          <w:tab w:val="left" w:pos="1260"/>
        </w:tabs>
        <w:ind w:left="1259" w:hanging="419"/>
      </w:pPr>
      <w:rPr>
        <w:rFonts w:hint="eastAsia"/>
      </w:rPr>
    </w:lvl>
    <w:lvl w:ilvl="2" w:tentative="0">
      <w:start w:val="1"/>
      <w:numFmt w:val="decimal"/>
      <w:pStyle w:val="2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CEA2025"/>
    <w:multiLevelType w:val="multilevel"/>
    <w:tmpl w:val="6CEA2025"/>
    <w:lvl w:ilvl="0" w:tentative="0">
      <w:start w:val="1"/>
      <w:numFmt w:val="none"/>
      <w:pStyle w:val="8"/>
      <w:suff w:val="nothing"/>
      <w:lvlText w:val="%1"/>
      <w:lvlJc w:val="left"/>
      <w:pPr>
        <w:ind w:left="0" w:firstLine="0"/>
      </w:pPr>
      <w:rPr>
        <w:rFonts w:hint="default" w:ascii="Times New Roman" w:hAnsi="Times New Roman" w:cs="Times New Roman"/>
        <w:b/>
        <w:i w:val="0"/>
        <w:sz w:val="21"/>
      </w:rPr>
    </w:lvl>
    <w:lvl w:ilvl="1" w:tentative="0">
      <w:start w:val="1"/>
      <w:numFmt w:val="decimal"/>
      <w:pStyle w:val="10"/>
      <w:suff w:val="nothing"/>
      <w:lvlText w:val="%1%2　"/>
      <w:lvlJc w:val="left"/>
      <w:pPr>
        <w:ind w:left="142" w:firstLine="0"/>
      </w:pPr>
      <w:rPr>
        <w:rFonts w:hint="eastAsia" w:ascii="黑体" w:hAnsi="Times New Roman" w:eastAsia="黑体"/>
        <w:b w:val="0"/>
        <w:i w:val="0"/>
        <w:sz w:val="21"/>
      </w:rPr>
    </w:lvl>
    <w:lvl w:ilvl="2" w:tentative="0">
      <w:start w:val="1"/>
      <w:numFmt w:val="decimal"/>
      <w:pStyle w:val="11"/>
      <w:suff w:val="nothing"/>
      <w:lvlText w:val="%1%2.%3　"/>
      <w:lvlJc w:val="left"/>
      <w:pPr>
        <w:ind w:left="0" w:firstLine="0"/>
      </w:pPr>
      <w:rPr>
        <w:rFonts w:hint="eastAsia" w:ascii="黑体" w:hAnsi="Times New Roman" w:eastAsia="黑体"/>
        <w:b w:val="0"/>
        <w:i w:val="0"/>
        <w:sz w:val="21"/>
      </w:rPr>
    </w:lvl>
    <w:lvl w:ilvl="3" w:tentative="0">
      <w:start w:val="1"/>
      <w:numFmt w:val="decimal"/>
      <w:pStyle w:val="12"/>
      <w:suff w:val="nothing"/>
      <w:lvlText w:val="%1%2.%3.%4　"/>
      <w:lvlJc w:val="left"/>
      <w:pPr>
        <w:ind w:left="0" w:firstLine="0"/>
      </w:pPr>
      <w:rPr>
        <w:rFonts w:hint="eastAsia" w:ascii="黑体" w:hAnsi="Times New Roman" w:eastAsia="黑体"/>
        <w:b w:val="0"/>
        <w:i w:val="0"/>
        <w:sz w:val="21"/>
      </w:rPr>
    </w:lvl>
    <w:lvl w:ilvl="4" w:tentative="0">
      <w:start w:val="1"/>
      <w:numFmt w:val="decimal"/>
      <w:pStyle w:val="13"/>
      <w:suff w:val="nothing"/>
      <w:lvlText w:val="%1%2.%3.%4.%5　"/>
      <w:lvlJc w:val="left"/>
      <w:pPr>
        <w:ind w:left="0" w:firstLine="0"/>
      </w:pPr>
      <w:rPr>
        <w:rFonts w:hint="eastAsia" w:ascii="黑体" w:hAnsi="Times New Roman" w:eastAsia="黑体"/>
        <w:b w:val="0"/>
        <w:i w:val="0"/>
        <w:sz w:val="21"/>
      </w:rPr>
    </w:lvl>
    <w:lvl w:ilvl="5" w:tentative="0">
      <w:start w:val="1"/>
      <w:numFmt w:val="decimal"/>
      <w:pStyle w:val="14"/>
      <w:suff w:val="nothing"/>
      <w:lvlText w:val="%1%2.%3.%4.%5.%6　"/>
      <w:lvlJc w:val="left"/>
      <w:pPr>
        <w:ind w:left="0" w:firstLine="0"/>
      </w:pPr>
      <w:rPr>
        <w:rFonts w:hint="eastAsia" w:ascii="黑体" w:hAnsi="Times New Roman" w:eastAsia="黑体"/>
        <w:b w:val="0"/>
        <w:i w:val="0"/>
        <w:sz w:val="21"/>
      </w:rPr>
    </w:lvl>
    <w:lvl w:ilvl="6" w:tentative="0">
      <w:start w:val="1"/>
      <w:numFmt w:val="decimal"/>
      <w:pStyle w:val="1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NDk3ZWFkNmRhNWE5ODMzNzE5OTQxMTA3M2NjZDkifQ=="/>
  </w:docVars>
  <w:rsids>
    <w:rsidRoot w:val="0096277F"/>
    <w:rsid w:val="0000270D"/>
    <w:rsid w:val="00005EC8"/>
    <w:rsid w:val="00006E1F"/>
    <w:rsid w:val="00015186"/>
    <w:rsid w:val="00030DE8"/>
    <w:rsid w:val="00033AE7"/>
    <w:rsid w:val="00045FAF"/>
    <w:rsid w:val="00072FCB"/>
    <w:rsid w:val="00091C8A"/>
    <w:rsid w:val="000C4F72"/>
    <w:rsid w:val="000C5FD5"/>
    <w:rsid w:val="000D7199"/>
    <w:rsid w:val="000E4749"/>
    <w:rsid w:val="000F2662"/>
    <w:rsid w:val="00112200"/>
    <w:rsid w:val="00115944"/>
    <w:rsid w:val="00116B98"/>
    <w:rsid w:val="00127276"/>
    <w:rsid w:val="00127D95"/>
    <w:rsid w:val="00140B60"/>
    <w:rsid w:val="00146CC9"/>
    <w:rsid w:val="00152F13"/>
    <w:rsid w:val="00153BDA"/>
    <w:rsid w:val="00155866"/>
    <w:rsid w:val="0016078F"/>
    <w:rsid w:val="0017309B"/>
    <w:rsid w:val="001730A6"/>
    <w:rsid w:val="001802ED"/>
    <w:rsid w:val="00191593"/>
    <w:rsid w:val="00197981"/>
    <w:rsid w:val="001A22A2"/>
    <w:rsid w:val="001A3DB6"/>
    <w:rsid w:val="001A48A7"/>
    <w:rsid w:val="001C076A"/>
    <w:rsid w:val="001C29FB"/>
    <w:rsid w:val="001C2D14"/>
    <w:rsid w:val="001C6ECD"/>
    <w:rsid w:val="001D4CF1"/>
    <w:rsid w:val="001E2F3B"/>
    <w:rsid w:val="00206E01"/>
    <w:rsid w:val="00211D7D"/>
    <w:rsid w:val="00217C8F"/>
    <w:rsid w:val="00227EC9"/>
    <w:rsid w:val="00230F38"/>
    <w:rsid w:val="002401C6"/>
    <w:rsid w:val="002536F7"/>
    <w:rsid w:val="0025600D"/>
    <w:rsid w:val="0026119F"/>
    <w:rsid w:val="002619D8"/>
    <w:rsid w:val="00262EFD"/>
    <w:rsid w:val="00267BEB"/>
    <w:rsid w:val="0027143D"/>
    <w:rsid w:val="00275AA3"/>
    <w:rsid w:val="002765C6"/>
    <w:rsid w:val="002774A0"/>
    <w:rsid w:val="002A4A24"/>
    <w:rsid w:val="002B5CB6"/>
    <w:rsid w:val="002C334A"/>
    <w:rsid w:val="002C59AE"/>
    <w:rsid w:val="002D2C13"/>
    <w:rsid w:val="002F0C56"/>
    <w:rsid w:val="002F7EB1"/>
    <w:rsid w:val="003107A3"/>
    <w:rsid w:val="00336184"/>
    <w:rsid w:val="00337B25"/>
    <w:rsid w:val="00342FBA"/>
    <w:rsid w:val="00356AC6"/>
    <w:rsid w:val="003615E4"/>
    <w:rsid w:val="00363D00"/>
    <w:rsid w:val="003678A2"/>
    <w:rsid w:val="0039619B"/>
    <w:rsid w:val="003A5268"/>
    <w:rsid w:val="003C413A"/>
    <w:rsid w:val="003D706A"/>
    <w:rsid w:val="003E433D"/>
    <w:rsid w:val="003E5AE7"/>
    <w:rsid w:val="003E5F1C"/>
    <w:rsid w:val="003E6C4B"/>
    <w:rsid w:val="003F018C"/>
    <w:rsid w:val="003F6353"/>
    <w:rsid w:val="00402658"/>
    <w:rsid w:val="0040753C"/>
    <w:rsid w:val="00420697"/>
    <w:rsid w:val="00433579"/>
    <w:rsid w:val="00454087"/>
    <w:rsid w:val="004677E2"/>
    <w:rsid w:val="00491F53"/>
    <w:rsid w:val="004A03AB"/>
    <w:rsid w:val="004B0010"/>
    <w:rsid w:val="004C1622"/>
    <w:rsid w:val="004C45B8"/>
    <w:rsid w:val="004D3860"/>
    <w:rsid w:val="004E62B9"/>
    <w:rsid w:val="00510302"/>
    <w:rsid w:val="00524CAA"/>
    <w:rsid w:val="0052712A"/>
    <w:rsid w:val="005339F5"/>
    <w:rsid w:val="005418C0"/>
    <w:rsid w:val="00544D1D"/>
    <w:rsid w:val="00547F15"/>
    <w:rsid w:val="0055110C"/>
    <w:rsid w:val="00552AF3"/>
    <w:rsid w:val="00561F06"/>
    <w:rsid w:val="00562696"/>
    <w:rsid w:val="00570542"/>
    <w:rsid w:val="00572D36"/>
    <w:rsid w:val="00574810"/>
    <w:rsid w:val="005772E2"/>
    <w:rsid w:val="00577FD8"/>
    <w:rsid w:val="005811E7"/>
    <w:rsid w:val="0058438D"/>
    <w:rsid w:val="005955E8"/>
    <w:rsid w:val="00595E50"/>
    <w:rsid w:val="005A114F"/>
    <w:rsid w:val="005A4E30"/>
    <w:rsid w:val="005A6FAC"/>
    <w:rsid w:val="005C37F3"/>
    <w:rsid w:val="005C552A"/>
    <w:rsid w:val="005E5E94"/>
    <w:rsid w:val="005F6C3C"/>
    <w:rsid w:val="006024C6"/>
    <w:rsid w:val="00605C47"/>
    <w:rsid w:val="006078E2"/>
    <w:rsid w:val="006203BC"/>
    <w:rsid w:val="00625D90"/>
    <w:rsid w:val="00627788"/>
    <w:rsid w:val="00627BB2"/>
    <w:rsid w:val="0064507A"/>
    <w:rsid w:val="00686708"/>
    <w:rsid w:val="0068718B"/>
    <w:rsid w:val="00687F6D"/>
    <w:rsid w:val="00694DEB"/>
    <w:rsid w:val="00696D33"/>
    <w:rsid w:val="006A49A3"/>
    <w:rsid w:val="006A6C20"/>
    <w:rsid w:val="006B1030"/>
    <w:rsid w:val="006B4C62"/>
    <w:rsid w:val="006F2AB6"/>
    <w:rsid w:val="006F3113"/>
    <w:rsid w:val="0071660B"/>
    <w:rsid w:val="00717452"/>
    <w:rsid w:val="007227D9"/>
    <w:rsid w:val="007254D9"/>
    <w:rsid w:val="00726BE0"/>
    <w:rsid w:val="00727A77"/>
    <w:rsid w:val="00744102"/>
    <w:rsid w:val="00744FF8"/>
    <w:rsid w:val="00746117"/>
    <w:rsid w:val="00750ECF"/>
    <w:rsid w:val="00771A60"/>
    <w:rsid w:val="00772527"/>
    <w:rsid w:val="00773666"/>
    <w:rsid w:val="00775BAC"/>
    <w:rsid w:val="00775F0B"/>
    <w:rsid w:val="007824C8"/>
    <w:rsid w:val="00784C5D"/>
    <w:rsid w:val="0079405C"/>
    <w:rsid w:val="007A3177"/>
    <w:rsid w:val="007B4902"/>
    <w:rsid w:val="007C13A9"/>
    <w:rsid w:val="007C1D21"/>
    <w:rsid w:val="007C7F58"/>
    <w:rsid w:val="007E6AAC"/>
    <w:rsid w:val="00825334"/>
    <w:rsid w:val="0082603F"/>
    <w:rsid w:val="00833B4A"/>
    <w:rsid w:val="008358C7"/>
    <w:rsid w:val="00840A5A"/>
    <w:rsid w:val="008412DC"/>
    <w:rsid w:val="0087157E"/>
    <w:rsid w:val="008715B8"/>
    <w:rsid w:val="0087389A"/>
    <w:rsid w:val="00876CDE"/>
    <w:rsid w:val="00884011"/>
    <w:rsid w:val="008959ED"/>
    <w:rsid w:val="008C431A"/>
    <w:rsid w:val="008F027B"/>
    <w:rsid w:val="008F65B1"/>
    <w:rsid w:val="008F7037"/>
    <w:rsid w:val="008F7095"/>
    <w:rsid w:val="00901518"/>
    <w:rsid w:val="0090155F"/>
    <w:rsid w:val="00911692"/>
    <w:rsid w:val="00920AA5"/>
    <w:rsid w:val="00940DFC"/>
    <w:rsid w:val="00941CE1"/>
    <w:rsid w:val="009620C0"/>
    <w:rsid w:val="0096277F"/>
    <w:rsid w:val="009666EA"/>
    <w:rsid w:val="00970844"/>
    <w:rsid w:val="00977E93"/>
    <w:rsid w:val="00982D8E"/>
    <w:rsid w:val="009A1E76"/>
    <w:rsid w:val="009B1F01"/>
    <w:rsid w:val="009C1E24"/>
    <w:rsid w:val="009C3F2D"/>
    <w:rsid w:val="009C545A"/>
    <w:rsid w:val="009D54C6"/>
    <w:rsid w:val="009E6751"/>
    <w:rsid w:val="009F5B53"/>
    <w:rsid w:val="00A26674"/>
    <w:rsid w:val="00A32A41"/>
    <w:rsid w:val="00A3430E"/>
    <w:rsid w:val="00A44171"/>
    <w:rsid w:val="00A44F6B"/>
    <w:rsid w:val="00A569F2"/>
    <w:rsid w:val="00A63501"/>
    <w:rsid w:val="00A64930"/>
    <w:rsid w:val="00A8097E"/>
    <w:rsid w:val="00A81663"/>
    <w:rsid w:val="00A8456B"/>
    <w:rsid w:val="00A93435"/>
    <w:rsid w:val="00A95B1C"/>
    <w:rsid w:val="00AA5C5E"/>
    <w:rsid w:val="00AA5D31"/>
    <w:rsid w:val="00AA60A8"/>
    <w:rsid w:val="00AB1FDC"/>
    <w:rsid w:val="00AB6B83"/>
    <w:rsid w:val="00AB731E"/>
    <w:rsid w:val="00AC05B1"/>
    <w:rsid w:val="00AD73CB"/>
    <w:rsid w:val="00B01204"/>
    <w:rsid w:val="00B06977"/>
    <w:rsid w:val="00B12CEA"/>
    <w:rsid w:val="00B40B5A"/>
    <w:rsid w:val="00B4202B"/>
    <w:rsid w:val="00B52FD1"/>
    <w:rsid w:val="00B5782E"/>
    <w:rsid w:val="00B61472"/>
    <w:rsid w:val="00B61C26"/>
    <w:rsid w:val="00B622A6"/>
    <w:rsid w:val="00B65C21"/>
    <w:rsid w:val="00B708FA"/>
    <w:rsid w:val="00B717B2"/>
    <w:rsid w:val="00B81DC3"/>
    <w:rsid w:val="00B84541"/>
    <w:rsid w:val="00BB2CFE"/>
    <w:rsid w:val="00BB6A4A"/>
    <w:rsid w:val="00BC06F8"/>
    <w:rsid w:val="00BC6CD3"/>
    <w:rsid w:val="00BE5BEF"/>
    <w:rsid w:val="00BF7ED6"/>
    <w:rsid w:val="00C071BD"/>
    <w:rsid w:val="00C101EC"/>
    <w:rsid w:val="00C26A0C"/>
    <w:rsid w:val="00C329E8"/>
    <w:rsid w:val="00C51C7D"/>
    <w:rsid w:val="00C52CBE"/>
    <w:rsid w:val="00C6382D"/>
    <w:rsid w:val="00C66362"/>
    <w:rsid w:val="00C7353C"/>
    <w:rsid w:val="00C81C77"/>
    <w:rsid w:val="00C863D4"/>
    <w:rsid w:val="00C864AF"/>
    <w:rsid w:val="00C86FC4"/>
    <w:rsid w:val="00C97554"/>
    <w:rsid w:val="00CA1A42"/>
    <w:rsid w:val="00CA25EE"/>
    <w:rsid w:val="00CA41CD"/>
    <w:rsid w:val="00CA44DA"/>
    <w:rsid w:val="00CC0AF3"/>
    <w:rsid w:val="00CC33DF"/>
    <w:rsid w:val="00CD013F"/>
    <w:rsid w:val="00CD5375"/>
    <w:rsid w:val="00CD574F"/>
    <w:rsid w:val="00CD6350"/>
    <w:rsid w:val="00CE5FB1"/>
    <w:rsid w:val="00CF5899"/>
    <w:rsid w:val="00D10913"/>
    <w:rsid w:val="00D25673"/>
    <w:rsid w:val="00D32B3A"/>
    <w:rsid w:val="00D5124C"/>
    <w:rsid w:val="00D64562"/>
    <w:rsid w:val="00D74517"/>
    <w:rsid w:val="00D76D1E"/>
    <w:rsid w:val="00D851BF"/>
    <w:rsid w:val="00D858F0"/>
    <w:rsid w:val="00D9536A"/>
    <w:rsid w:val="00DA2CB2"/>
    <w:rsid w:val="00DA6C6E"/>
    <w:rsid w:val="00DC24AF"/>
    <w:rsid w:val="00DE6A4E"/>
    <w:rsid w:val="00DF2E2B"/>
    <w:rsid w:val="00E00863"/>
    <w:rsid w:val="00E04B69"/>
    <w:rsid w:val="00E06316"/>
    <w:rsid w:val="00E13F30"/>
    <w:rsid w:val="00E15992"/>
    <w:rsid w:val="00E26297"/>
    <w:rsid w:val="00E27EB1"/>
    <w:rsid w:val="00E3239F"/>
    <w:rsid w:val="00E340EB"/>
    <w:rsid w:val="00E34184"/>
    <w:rsid w:val="00E36087"/>
    <w:rsid w:val="00E37DA4"/>
    <w:rsid w:val="00E406AF"/>
    <w:rsid w:val="00E47316"/>
    <w:rsid w:val="00E537DD"/>
    <w:rsid w:val="00E7194F"/>
    <w:rsid w:val="00E7618F"/>
    <w:rsid w:val="00E775C7"/>
    <w:rsid w:val="00E81E28"/>
    <w:rsid w:val="00E84BCA"/>
    <w:rsid w:val="00E97EC9"/>
    <w:rsid w:val="00EA7FE5"/>
    <w:rsid w:val="00ED5ECF"/>
    <w:rsid w:val="00EE29E1"/>
    <w:rsid w:val="00EF1657"/>
    <w:rsid w:val="00F028CC"/>
    <w:rsid w:val="00F11E61"/>
    <w:rsid w:val="00F12E41"/>
    <w:rsid w:val="00F17995"/>
    <w:rsid w:val="00F243C8"/>
    <w:rsid w:val="00F250A9"/>
    <w:rsid w:val="00F26CEF"/>
    <w:rsid w:val="00F2709D"/>
    <w:rsid w:val="00F35B45"/>
    <w:rsid w:val="00F76326"/>
    <w:rsid w:val="00F86644"/>
    <w:rsid w:val="00FA2FDA"/>
    <w:rsid w:val="00FB4A2B"/>
    <w:rsid w:val="00FD1646"/>
    <w:rsid w:val="00FD511F"/>
    <w:rsid w:val="00FE5271"/>
    <w:rsid w:val="00FE5839"/>
    <w:rsid w:val="00FF6CBB"/>
    <w:rsid w:val="20C96CC5"/>
    <w:rsid w:val="2416412E"/>
    <w:rsid w:val="2AB53E00"/>
    <w:rsid w:val="33855762"/>
    <w:rsid w:val="38D82EB5"/>
    <w:rsid w:val="6A9F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9"/>
    <w:semiHidden/>
    <w:unhideWhenUsed/>
    <w:qFormat/>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前言、引言标题"/>
    <w:next w:val="1"/>
    <w:qFormat/>
    <w:uiPriority w:val="0"/>
    <w:pPr>
      <w:numPr>
        <w:ilvl w:val="0"/>
        <w:numId w:val="1"/>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9">
    <w:name w:val="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章标题"/>
    <w:next w:val="9"/>
    <w:link w:val="27"/>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1">
    <w:name w:val="一级条标题"/>
    <w:basedOn w:val="10"/>
    <w:next w:val="9"/>
    <w:link w:val="28"/>
    <w:qFormat/>
    <w:uiPriority w:val="0"/>
    <w:pPr>
      <w:numPr>
        <w:ilvl w:val="2"/>
      </w:numPr>
      <w:spacing w:beforeLines="0" w:afterLines="0"/>
      <w:outlineLvl w:val="2"/>
    </w:pPr>
  </w:style>
  <w:style w:type="paragraph" w:customStyle="1" w:styleId="12">
    <w:name w:val="二级条标题"/>
    <w:basedOn w:val="11"/>
    <w:next w:val="9"/>
    <w:qFormat/>
    <w:uiPriority w:val="0"/>
    <w:pPr>
      <w:numPr>
        <w:ilvl w:val="3"/>
      </w:numPr>
      <w:outlineLvl w:val="3"/>
    </w:pPr>
  </w:style>
  <w:style w:type="paragraph" w:customStyle="1" w:styleId="13">
    <w:name w:val="三级条标题"/>
    <w:basedOn w:val="12"/>
    <w:next w:val="9"/>
    <w:qFormat/>
    <w:uiPriority w:val="0"/>
    <w:pPr>
      <w:numPr>
        <w:ilvl w:val="4"/>
      </w:numPr>
      <w:tabs>
        <w:tab w:val="left" w:pos="360"/>
      </w:tabs>
      <w:outlineLvl w:val="4"/>
    </w:pPr>
  </w:style>
  <w:style w:type="paragraph" w:customStyle="1" w:styleId="14">
    <w:name w:val="四级条标题"/>
    <w:basedOn w:val="13"/>
    <w:next w:val="9"/>
    <w:qFormat/>
    <w:uiPriority w:val="0"/>
    <w:pPr>
      <w:numPr>
        <w:ilvl w:val="5"/>
      </w:numPr>
      <w:outlineLvl w:val="5"/>
    </w:pPr>
  </w:style>
  <w:style w:type="paragraph" w:customStyle="1" w:styleId="15">
    <w:name w:val="五级条标题"/>
    <w:basedOn w:val="14"/>
    <w:next w:val="9"/>
    <w:qFormat/>
    <w:uiPriority w:val="0"/>
    <w:pPr>
      <w:numPr>
        <w:ilvl w:val="6"/>
      </w:numPr>
      <w:outlineLvl w:val="6"/>
    </w:pPr>
  </w:style>
  <w:style w:type="character" w:customStyle="1" w:styleId="16">
    <w:name w:val="src"/>
    <w:qFormat/>
    <w:uiPriority w:val="0"/>
  </w:style>
  <w:style w:type="character" w:customStyle="1" w:styleId="17">
    <w:name w:val="页眉 字符"/>
    <w:basedOn w:val="7"/>
    <w:link w:val="4"/>
    <w:qFormat/>
    <w:uiPriority w:val="0"/>
    <w:rPr>
      <w:rFonts w:ascii="Times New Roman" w:hAnsi="Times New Roman" w:eastAsia="宋体" w:cs="Times New Roman"/>
      <w:sz w:val="18"/>
      <w:szCs w:val="18"/>
    </w:rPr>
  </w:style>
  <w:style w:type="character" w:customStyle="1" w:styleId="18">
    <w:name w:val="页脚 字符"/>
    <w:basedOn w:val="7"/>
    <w:link w:val="3"/>
    <w:qFormat/>
    <w:uiPriority w:val="99"/>
    <w:rPr>
      <w:rFonts w:ascii="Times New Roman" w:hAnsi="Times New Roman" w:eastAsia="宋体" w:cs="Times New Roman"/>
      <w:sz w:val="18"/>
      <w:szCs w:val="18"/>
    </w:rPr>
  </w:style>
  <w:style w:type="character" w:customStyle="1" w:styleId="19">
    <w:name w:val="批注框文本 字符"/>
    <w:basedOn w:val="7"/>
    <w:link w:val="2"/>
    <w:semiHidden/>
    <w:qFormat/>
    <w:uiPriority w:val="99"/>
    <w:rPr>
      <w:rFonts w:ascii="Times New Roman" w:hAnsi="Times New Roman" w:eastAsia="宋体" w:cs="Times New Roman"/>
      <w:kern w:val="2"/>
      <w:sz w:val="18"/>
      <w:szCs w:val="18"/>
    </w:rPr>
  </w:style>
  <w:style w:type="paragraph" w:customStyle="1" w:styleId="2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1">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kern w:val="0"/>
      <w:sz w:val="24"/>
      <w:szCs w:val="28"/>
    </w:rPr>
  </w:style>
  <w:style w:type="character" w:customStyle="1" w:styleId="22">
    <w:name w:val="段 Char"/>
    <w:link w:val="9"/>
    <w:qFormat/>
    <w:uiPriority w:val="0"/>
    <w:rPr>
      <w:rFonts w:ascii="宋体" w:hAnsi="Times New Roman" w:eastAsia="宋体" w:cs="Times New Roman"/>
      <w:sz w:val="21"/>
    </w:rPr>
  </w:style>
  <w:style w:type="paragraph" w:customStyle="1" w:styleId="23">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25">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6">
    <w:name w:val="编号列项（三级）"/>
    <w:qFormat/>
    <w:uiPriority w:val="0"/>
    <w:pPr>
      <w:numPr>
        <w:ilvl w:val="2"/>
        <w:numId w:val="2"/>
      </w:numPr>
    </w:pPr>
    <w:rPr>
      <w:rFonts w:ascii="宋体" w:hAnsi="Times New Roman" w:eastAsia="宋体" w:cs="Times New Roman"/>
      <w:sz w:val="21"/>
      <w:lang w:val="en-US" w:eastAsia="zh-CN" w:bidi="ar-SA"/>
    </w:rPr>
  </w:style>
  <w:style w:type="character" w:customStyle="1" w:styleId="27">
    <w:name w:val="章标题 Char"/>
    <w:link w:val="10"/>
    <w:qFormat/>
    <w:uiPriority w:val="0"/>
    <w:rPr>
      <w:rFonts w:ascii="黑体" w:hAnsi="Times New Roman" w:eastAsia="黑体" w:cs="Times New Roman"/>
      <w:sz w:val="21"/>
    </w:rPr>
  </w:style>
  <w:style w:type="character" w:customStyle="1" w:styleId="28">
    <w:name w:val="一级条标题 Char"/>
    <w:link w:val="11"/>
    <w:qFormat/>
    <w:uiPriority w:val="0"/>
    <w:rPr>
      <w:rFonts w:ascii="黑体" w:hAnsi="Times New Roman" w:eastAsia="黑体" w:cs="Times New Roman"/>
      <w:sz w:val="21"/>
    </w:rPr>
  </w:style>
  <w:style w:type="paragraph" w:customStyle="1" w:styleId="29">
    <w:name w:val="Table Paragraph"/>
    <w:basedOn w:val="1"/>
    <w:autoRedefine/>
    <w:qFormat/>
    <w:uiPriority w:val="1"/>
    <w:pPr>
      <w:autoSpaceDE w:val="0"/>
      <w:autoSpaceDN w:val="0"/>
      <w:jc w:val="center"/>
    </w:pPr>
    <w:rPr>
      <w:rFonts w:ascii="宋体" w:hAnsi="宋体" w:cs="宋体"/>
      <w:b/>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88AF4-7940-4738-8773-83603809293A}">
  <ds:schemaRefs/>
</ds:datastoreItem>
</file>

<file path=docProps/app.xml><?xml version="1.0" encoding="utf-8"?>
<Properties xmlns="http://schemas.openxmlformats.org/officeDocument/2006/extended-properties" xmlns:vt="http://schemas.openxmlformats.org/officeDocument/2006/docPropsVTypes">
  <Template>Normal</Template>
  <Pages>6</Pages>
  <Words>2068</Words>
  <Characters>2408</Characters>
  <Lines>19</Lines>
  <Paragraphs>5</Paragraphs>
  <TotalTime>3</TotalTime>
  <ScaleCrop>false</ScaleCrop>
  <LinksUpToDate>false</LinksUpToDate>
  <CharactersWithSpaces>2515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2020-07-20T03:51:00Z</dcterms:created>
  <dc:creator>李朋飞</dc:creator>
  <cp:lastModifiedBy>素素</cp:lastModifiedBy>
  <dcterms:modified xsi:type="dcterms:W3CDTF">2026-03-24T05:35:09Z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53667C2494084AD2AC140F6CB33C662A_12</vt:lpwstr>
  </property>
  <property fmtid="{D5CDD505-2E9C-101B-9397-08002B2CF9AE}" pid="4" name="KSOTemplateDocerSaveRecord">
    <vt:lpwstr>eyJoZGlkIjoiNWYxNDk3ZWFkNmRhNWE5ODMzNzE5OTQxMTA3M2NjZDkiLCJ1c2VySWQiOiIxMDM2MTA2MTA3In0=</vt:lpwstr>
  </property>
</Properties>
</file>