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70852C">
      <w:pPr>
        <w:pStyle w:val="4"/>
        <w:spacing w:before="15"/>
        <w:ind w:left="170"/>
        <w:jc w:val="both"/>
        <w:rPr>
          <w:rFonts w:ascii="黑体" w:hAnsi="黑体" w:eastAsia="黑体" w:cs="黑体"/>
          <w:lang w:eastAsia="zh-CN"/>
        </w:rPr>
      </w:pPr>
      <w:bookmarkStart w:id="0" w:name="_Hlk162858192"/>
      <w:r>
        <w:drawing>
          <wp:anchor distT="0" distB="0" distL="114300" distR="114300" simplePos="0" relativeHeight="251660288" behindDoc="0" locked="0" layoutInCell="1" allowOverlap="1">
            <wp:simplePos x="0" y="0"/>
            <wp:positionH relativeFrom="page">
              <wp:posOffset>5005070</wp:posOffset>
            </wp:positionH>
            <wp:positionV relativeFrom="paragraph">
              <wp:posOffset>137160</wp:posOffset>
            </wp:positionV>
            <wp:extent cx="1447800" cy="732790"/>
            <wp:effectExtent l="0" t="0" r="0" b="0"/>
            <wp:wrapNone/>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47800" cy="732790"/>
                    </a:xfrm>
                    <a:prstGeom prst="rect">
                      <a:avLst/>
                    </a:prstGeom>
                    <a:noFill/>
                    <a:ln>
                      <a:noFill/>
                    </a:ln>
                  </pic:spPr>
                </pic:pic>
              </a:graphicData>
            </a:graphic>
          </wp:anchor>
        </w:drawing>
      </w:r>
      <w:r>
        <w:rPr>
          <w:rFonts w:ascii="Times New Roman"/>
          <w:position w:val="2"/>
          <w:lang w:eastAsia="zh-CN"/>
        </w:rPr>
        <w:t xml:space="preserve">ICS  </w:t>
      </w:r>
      <w:r>
        <w:rPr>
          <w:rFonts w:ascii="Times New Roman"/>
          <w:spacing w:val="24"/>
          <w:position w:val="2"/>
          <w:lang w:eastAsia="zh-CN"/>
        </w:rPr>
        <w:t xml:space="preserve"> </w:t>
      </w:r>
      <w:r>
        <w:rPr>
          <w:rFonts w:ascii="黑体"/>
          <w:lang w:eastAsia="zh-CN"/>
        </w:rPr>
        <w:t>77.040</w:t>
      </w:r>
    </w:p>
    <w:p w14:paraId="5946BD49">
      <w:pPr>
        <w:pStyle w:val="4"/>
        <w:spacing w:before="37"/>
        <w:ind w:left="170"/>
        <w:jc w:val="both"/>
        <w:rPr>
          <w:rFonts w:ascii="黑体" w:hAnsi="黑体" w:eastAsia="黑体" w:cs="黑体"/>
          <w:lang w:eastAsia="zh-CN"/>
        </w:rPr>
      </w:pPr>
      <w:r>
        <w:rPr>
          <w:rFonts w:ascii="Times New Roman"/>
          <w:position w:val="2"/>
          <w:lang w:eastAsia="zh-CN"/>
        </w:rPr>
        <w:t xml:space="preserve">CCS  </w:t>
      </w:r>
      <w:r>
        <w:rPr>
          <w:rFonts w:ascii="黑体"/>
          <w:lang w:eastAsia="zh-CN"/>
        </w:rPr>
        <w:t>H</w:t>
      </w:r>
      <w:r>
        <w:rPr>
          <w:rFonts w:ascii="黑体"/>
          <w:spacing w:val="5"/>
          <w:lang w:eastAsia="zh-CN"/>
        </w:rPr>
        <w:t xml:space="preserve"> </w:t>
      </w:r>
      <w:r>
        <w:rPr>
          <w:rFonts w:ascii="黑体"/>
          <w:lang w:eastAsia="zh-CN"/>
        </w:rPr>
        <w:t>17</w:t>
      </w:r>
    </w:p>
    <w:p w14:paraId="4967891D">
      <w:pPr>
        <w:jc w:val="both"/>
        <w:rPr>
          <w:rFonts w:ascii="黑体" w:hAnsi="黑体" w:eastAsia="黑体" w:cs="黑体"/>
          <w:sz w:val="20"/>
          <w:szCs w:val="20"/>
          <w:lang w:eastAsia="zh-CN"/>
        </w:rPr>
      </w:pPr>
    </w:p>
    <w:p w14:paraId="04BFC50E">
      <w:pPr>
        <w:jc w:val="both"/>
        <w:rPr>
          <w:rFonts w:ascii="黑体" w:hAnsi="黑体" w:eastAsia="黑体" w:cs="黑体"/>
          <w:sz w:val="20"/>
          <w:szCs w:val="20"/>
          <w:lang w:eastAsia="zh-CN"/>
        </w:rPr>
      </w:pPr>
    </w:p>
    <w:p w14:paraId="77E7B85C">
      <w:pPr>
        <w:jc w:val="both"/>
        <w:rPr>
          <w:rFonts w:ascii="黑体" w:hAnsi="黑体" w:eastAsia="黑体" w:cs="黑体"/>
          <w:sz w:val="20"/>
          <w:szCs w:val="20"/>
          <w:lang w:eastAsia="zh-CN"/>
        </w:rPr>
      </w:pPr>
    </w:p>
    <w:p w14:paraId="4AEF71C9">
      <w:pPr>
        <w:spacing w:before="12"/>
        <w:jc w:val="both"/>
        <w:rPr>
          <w:rFonts w:ascii="黑体" w:hAnsi="黑体" w:eastAsia="黑体" w:cs="黑体"/>
          <w:sz w:val="25"/>
          <w:szCs w:val="25"/>
          <w:lang w:eastAsia="zh-CN"/>
        </w:rPr>
      </w:pPr>
    </w:p>
    <w:p w14:paraId="4F206573">
      <w:pPr>
        <w:spacing w:line="621" w:lineRule="exact"/>
        <w:ind w:left="103"/>
        <w:jc w:val="both"/>
        <w:rPr>
          <w:rFonts w:ascii="宋体" w:hAnsi="宋体" w:eastAsia="宋体" w:cs="宋体"/>
          <w:sz w:val="52"/>
          <w:szCs w:val="52"/>
          <w:lang w:eastAsia="zh-CN"/>
        </w:rPr>
      </w:pPr>
      <w:r>
        <w:rPr>
          <w:rFonts w:ascii="宋体" w:hAnsi="宋体" w:eastAsia="宋体" w:cs="宋体"/>
          <w:b/>
          <w:bCs/>
          <w:w w:val="150"/>
          <w:sz w:val="52"/>
          <w:szCs w:val="52"/>
          <w:lang w:eastAsia="zh-CN"/>
        </w:rPr>
        <w:t>中</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华</w:t>
      </w:r>
      <w:r>
        <w:rPr>
          <w:rFonts w:ascii="宋体" w:hAnsi="宋体" w:eastAsia="宋体" w:cs="宋体"/>
          <w:b/>
          <w:bCs/>
          <w:spacing w:val="-291"/>
          <w:w w:val="150"/>
          <w:sz w:val="52"/>
          <w:szCs w:val="52"/>
          <w:lang w:eastAsia="zh-CN"/>
        </w:rPr>
        <w:t xml:space="preserve"> </w:t>
      </w:r>
      <w:r>
        <w:rPr>
          <w:rFonts w:ascii="宋体" w:hAnsi="宋体" w:eastAsia="宋体" w:cs="宋体"/>
          <w:b/>
          <w:bCs/>
          <w:w w:val="150"/>
          <w:sz w:val="52"/>
          <w:szCs w:val="52"/>
          <w:lang w:eastAsia="zh-CN"/>
        </w:rPr>
        <w:t>人</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民</w:t>
      </w:r>
      <w:r>
        <w:rPr>
          <w:rFonts w:ascii="宋体" w:hAnsi="宋体" w:eastAsia="宋体" w:cs="宋体"/>
          <w:b/>
          <w:bCs/>
          <w:spacing w:val="-291"/>
          <w:w w:val="150"/>
          <w:sz w:val="52"/>
          <w:szCs w:val="52"/>
          <w:lang w:eastAsia="zh-CN"/>
        </w:rPr>
        <w:t xml:space="preserve"> </w:t>
      </w:r>
      <w:r>
        <w:rPr>
          <w:rFonts w:ascii="宋体" w:hAnsi="宋体" w:eastAsia="宋体" w:cs="宋体"/>
          <w:b/>
          <w:bCs/>
          <w:w w:val="150"/>
          <w:sz w:val="52"/>
          <w:szCs w:val="52"/>
          <w:lang w:eastAsia="zh-CN"/>
        </w:rPr>
        <w:t>共</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和</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国</w:t>
      </w:r>
      <w:r>
        <w:rPr>
          <w:rFonts w:ascii="宋体" w:hAnsi="宋体" w:eastAsia="宋体" w:cs="宋体"/>
          <w:b/>
          <w:bCs/>
          <w:spacing w:val="-291"/>
          <w:w w:val="150"/>
          <w:sz w:val="52"/>
          <w:szCs w:val="52"/>
          <w:lang w:eastAsia="zh-CN"/>
        </w:rPr>
        <w:t xml:space="preserve"> </w:t>
      </w:r>
      <w:r>
        <w:rPr>
          <w:rFonts w:ascii="宋体" w:hAnsi="宋体" w:eastAsia="宋体" w:cs="宋体"/>
          <w:b/>
          <w:bCs/>
          <w:w w:val="150"/>
          <w:sz w:val="52"/>
          <w:szCs w:val="52"/>
          <w:lang w:eastAsia="zh-CN"/>
        </w:rPr>
        <w:t>国</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家</w:t>
      </w:r>
      <w:r>
        <w:rPr>
          <w:rFonts w:ascii="宋体" w:hAnsi="宋体" w:eastAsia="宋体" w:cs="宋体"/>
          <w:b/>
          <w:bCs/>
          <w:spacing w:val="-293"/>
          <w:w w:val="150"/>
          <w:sz w:val="52"/>
          <w:szCs w:val="52"/>
          <w:lang w:eastAsia="zh-CN"/>
        </w:rPr>
        <w:t xml:space="preserve"> </w:t>
      </w:r>
      <w:r>
        <w:rPr>
          <w:rFonts w:ascii="宋体" w:hAnsi="宋体" w:eastAsia="宋体" w:cs="宋体"/>
          <w:b/>
          <w:bCs/>
          <w:w w:val="150"/>
          <w:sz w:val="52"/>
          <w:szCs w:val="52"/>
          <w:lang w:eastAsia="zh-CN"/>
        </w:rPr>
        <w:t>标</w:t>
      </w:r>
      <w:r>
        <w:rPr>
          <w:rFonts w:ascii="宋体" w:hAnsi="宋体" w:eastAsia="宋体" w:cs="宋体"/>
          <w:b/>
          <w:bCs/>
          <w:spacing w:val="-291"/>
          <w:w w:val="150"/>
          <w:sz w:val="52"/>
          <w:szCs w:val="52"/>
          <w:lang w:eastAsia="zh-CN"/>
        </w:rPr>
        <w:t xml:space="preserve"> </w:t>
      </w:r>
      <w:r>
        <w:rPr>
          <w:rFonts w:ascii="宋体" w:hAnsi="宋体" w:eastAsia="宋体" w:cs="宋体"/>
          <w:b/>
          <w:bCs/>
          <w:w w:val="150"/>
          <w:sz w:val="52"/>
          <w:szCs w:val="52"/>
          <w:lang w:eastAsia="zh-CN"/>
        </w:rPr>
        <w:t>准</w:t>
      </w:r>
    </w:p>
    <w:p w14:paraId="5EA75403">
      <w:pPr>
        <w:pStyle w:val="3"/>
        <w:spacing w:before="315"/>
        <w:ind w:right="471"/>
        <w:jc w:val="both"/>
        <w:rPr>
          <w:rFonts w:ascii="黑体" w:hAnsi="黑体" w:eastAsia="黑体" w:cs="黑体"/>
        </w:rPr>
      </w:pPr>
      <w:r>
        <w:rPr>
          <w:rFonts w:ascii="黑体" w:hAnsi="黑体" w:eastAsia="黑体" w:cs="黑体"/>
        </w:rPr>
        <w:t>GB/T</w:t>
      </w:r>
      <w:r>
        <w:rPr>
          <w:rFonts w:ascii="黑体" w:hAnsi="黑体" w:eastAsia="黑体" w:cs="黑体"/>
          <w:spacing w:val="-6"/>
        </w:rPr>
        <w:t xml:space="preserve"> </w:t>
      </w:r>
      <w:r>
        <w:rPr>
          <w:rFonts w:ascii="黑体" w:hAnsi="黑体" w:eastAsia="黑体" w:cs="黑体"/>
        </w:rPr>
        <w:t>XXXXX—XXXX</w:t>
      </w:r>
    </w:p>
    <w:p w14:paraId="6E5DE397">
      <w:pPr>
        <w:jc w:val="both"/>
        <w:rPr>
          <w:rFonts w:ascii="黑体" w:hAnsi="黑体" w:eastAsia="黑体" w:cs="黑体"/>
          <w:sz w:val="20"/>
          <w:szCs w:val="20"/>
        </w:rPr>
      </w:pPr>
    </w:p>
    <w:p w14:paraId="420505AB">
      <w:pPr>
        <w:spacing w:before="11"/>
        <w:jc w:val="both"/>
        <w:rPr>
          <w:rFonts w:ascii="黑体" w:hAnsi="黑体" w:eastAsia="黑体" w:cs="黑体"/>
          <w:sz w:val="19"/>
          <w:szCs w:val="19"/>
        </w:rPr>
      </w:pPr>
    </w:p>
    <w:p w14:paraId="65D80FE9">
      <w:pPr>
        <w:tabs>
          <w:tab w:val="left" w:pos="9925"/>
        </w:tabs>
        <w:spacing w:before="14"/>
        <w:ind w:left="218"/>
        <w:jc w:val="both"/>
        <w:rPr>
          <w:rFonts w:ascii="Times New Roman" w:hAnsi="Times New Roman" w:eastAsia="Times New Roman" w:cs="Times New Roman"/>
          <w:sz w:val="28"/>
          <w:szCs w:val="28"/>
          <w:lang w:eastAsia="zh-CN"/>
        </w:rPr>
      </w:pPr>
      <w:r>
        <w:rPr>
          <w:rFonts w:ascii="宋体"/>
          <w:strike/>
          <w:sz w:val="28"/>
          <w:lang w:eastAsia="zh-CN"/>
        </w:rPr>
        <w:t>`</w:t>
      </w:r>
      <w:r>
        <w:rPr>
          <w:rFonts w:ascii="Times New Roman"/>
          <w:strike/>
          <w:sz w:val="28"/>
          <w:lang w:eastAsia="zh-CN"/>
        </w:rPr>
        <w:t xml:space="preserve"> </w:t>
      </w:r>
      <w:r>
        <w:rPr>
          <w:rFonts w:ascii="Times New Roman"/>
          <w:strike/>
          <w:sz w:val="28"/>
          <w:lang w:eastAsia="zh-CN"/>
        </w:rPr>
        <w:tab/>
      </w:r>
    </w:p>
    <w:p w14:paraId="4608539C">
      <w:pPr>
        <w:jc w:val="both"/>
        <w:rPr>
          <w:rFonts w:ascii="Times New Roman" w:hAnsi="Times New Roman" w:eastAsia="Times New Roman" w:cs="Times New Roman"/>
          <w:sz w:val="20"/>
          <w:szCs w:val="20"/>
          <w:lang w:eastAsia="zh-CN"/>
        </w:rPr>
      </w:pPr>
    </w:p>
    <w:p w14:paraId="0752B3E3">
      <w:pPr>
        <w:jc w:val="both"/>
        <w:rPr>
          <w:rFonts w:ascii="Times New Roman" w:hAnsi="Times New Roman" w:eastAsia="Times New Roman" w:cs="Times New Roman"/>
          <w:sz w:val="20"/>
          <w:szCs w:val="20"/>
          <w:lang w:eastAsia="zh-CN"/>
        </w:rPr>
      </w:pPr>
    </w:p>
    <w:p w14:paraId="4CB3BF27">
      <w:pPr>
        <w:jc w:val="both"/>
        <w:rPr>
          <w:rFonts w:ascii="Times New Roman" w:hAnsi="Times New Roman" w:eastAsia="Times New Roman" w:cs="Times New Roman"/>
          <w:sz w:val="20"/>
          <w:szCs w:val="20"/>
          <w:lang w:eastAsia="zh-CN"/>
        </w:rPr>
      </w:pPr>
    </w:p>
    <w:p w14:paraId="4BB8BFFB">
      <w:pPr>
        <w:jc w:val="both"/>
        <w:rPr>
          <w:rFonts w:ascii="Times New Roman" w:hAnsi="Times New Roman" w:eastAsia="Times New Roman" w:cs="Times New Roman"/>
          <w:sz w:val="20"/>
          <w:szCs w:val="20"/>
          <w:lang w:eastAsia="zh-CN"/>
        </w:rPr>
      </w:pPr>
    </w:p>
    <w:p w14:paraId="0D2B611E">
      <w:pPr>
        <w:jc w:val="both"/>
        <w:rPr>
          <w:rFonts w:ascii="Times New Roman" w:hAnsi="Times New Roman" w:eastAsia="Times New Roman" w:cs="Times New Roman"/>
          <w:sz w:val="20"/>
          <w:szCs w:val="20"/>
          <w:lang w:eastAsia="zh-CN"/>
        </w:rPr>
      </w:pPr>
    </w:p>
    <w:p w14:paraId="11519C56">
      <w:pPr>
        <w:jc w:val="both"/>
        <w:rPr>
          <w:rFonts w:ascii="Times New Roman" w:hAnsi="Times New Roman" w:eastAsia="Times New Roman" w:cs="Times New Roman"/>
          <w:sz w:val="20"/>
          <w:szCs w:val="20"/>
          <w:lang w:eastAsia="zh-CN"/>
        </w:rPr>
      </w:pPr>
    </w:p>
    <w:p w14:paraId="3BE07756">
      <w:pPr>
        <w:jc w:val="both"/>
        <w:rPr>
          <w:rFonts w:ascii="Times New Roman" w:hAnsi="Times New Roman" w:eastAsia="Times New Roman" w:cs="Times New Roman"/>
          <w:sz w:val="20"/>
          <w:szCs w:val="20"/>
          <w:lang w:eastAsia="zh-CN"/>
        </w:rPr>
      </w:pPr>
    </w:p>
    <w:p w14:paraId="6DC5521F">
      <w:pPr>
        <w:jc w:val="both"/>
        <w:rPr>
          <w:rFonts w:ascii="Times New Roman" w:hAnsi="Times New Roman" w:eastAsia="Times New Roman" w:cs="Times New Roman"/>
          <w:sz w:val="20"/>
          <w:szCs w:val="20"/>
          <w:lang w:eastAsia="zh-CN"/>
        </w:rPr>
      </w:pPr>
    </w:p>
    <w:p w14:paraId="3C2B4127">
      <w:pPr>
        <w:spacing w:before="69" w:line="247" w:lineRule="auto"/>
        <w:ind w:left="556" w:right="525"/>
        <w:jc w:val="both"/>
        <w:rPr>
          <w:rFonts w:ascii="黑体" w:hAnsi="黑体" w:eastAsia="黑体" w:cs="黑体"/>
          <w:sz w:val="52"/>
          <w:szCs w:val="52"/>
          <w:lang w:eastAsia="zh-CN"/>
        </w:rPr>
      </w:pPr>
      <w:r>
        <w:rPr>
          <w:rFonts w:hint="eastAsia" w:ascii="黑体" w:hAnsi="黑体" w:eastAsia="黑体" w:cs="黑体"/>
          <w:spacing w:val="-2"/>
          <w:sz w:val="52"/>
          <w:szCs w:val="52"/>
          <w:lang w:eastAsia="zh-CN"/>
        </w:rPr>
        <w:t>Ⅲ族氮化物半导体晶圆表面缺陷的测试</w:t>
      </w:r>
      <w:r>
        <w:rPr>
          <w:rFonts w:hint="eastAsia" w:ascii="黑体" w:hAnsi="黑体" w:eastAsia="黑体" w:cs="黑体"/>
          <w:spacing w:val="-2"/>
          <w:sz w:val="52"/>
          <w:szCs w:val="52"/>
          <w:lang w:val="en-US" w:eastAsia="zh-CN"/>
        </w:rPr>
        <w:t>-</w:t>
      </w:r>
      <w:r>
        <w:rPr>
          <w:rFonts w:hint="eastAsia" w:ascii="黑体" w:hAnsi="黑体" w:eastAsia="黑体" w:cs="黑体"/>
          <w:spacing w:val="-2"/>
          <w:sz w:val="52"/>
          <w:szCs w:val="52"/>
          <w:lang w:eastAsia="zh-CN"/>
        </w:rPr>
        <w:t>激光扫描法</w:t>
      </w:r>
    </w:p>
    <w:p w14:paraId="4A63BFD0">
      <w:pPr>
        <w:pStyle w:val="3"/>
        <w:spacing w:before="449" w:line="268" w:lineRule="auto"/>
        <w:ind w:left="556" w:right="529"/>
        <w:jc w:val="both"/>
        <w:rPr>
          <w:rFonts w:eastAsiaTheme="minorEastAsia"/>
          <w:lang w:eastAsia="zh-CN"/>
        </w:rPr>
      </w:pPr>
      <w:r>
        <w:rPr>
          <w:rFonts w:hint="eastAsia" w:eastAsiaTheme="minorEastAsia"/>
          <w:lang w:eastAsia="zh-CN"/>
        </w:rPr>
        <w:t>Test method of surface defect of III. Group nitrides semiconductor wafer — laser scanning method</w:t>
      </w:r>
    </w:p>
    <w:p w14:paraId="262FC01B">
      <w:pPr>
        <w:jc w:val="both"/>
        <w:rPr>
          <w:rFonts w:ascii="Times New Roman" w:hAnsi="Times New Roman" w:eastAsia="Times New Roman" w:cs="Times New Roman"/>
          <w:sz w:val="28"/>
          <w:szCs w:val="28"/>
        </w:rPr>
      </w:pPr>
    </w:p>
    <w:p w14:paraId="0F16FAD2">
      <w:pPr>
        <w:jc w:val="both"/>
        <w:rPr>
          <w:rFonts w:ascii="Times New Roman" w:hAnsi="Times New Roman" w:eastAsia="Times New Roman" w:cs="Times New Roman"/>
          <w:sz w:val="28"/>
          <w:szCs w:val="28"/>
        </w:rPr>
      </w:pPr>
    </w:p>
    <w:p w14:paraId="7B94241C">
      <w:pPr>
        <w:jc w:val="both"/>
        <w:rPr>
          <w:rFonts w:ascii="Times New Roman" w:hAnsi="Times New Roman" w:eastAsia="Times New Roman" w:cs="Times New Roman"/>
          <w:sz w:val="28"/>
          <w:szCs w:val="28"/>
        </w:rPr>
      </w:pPr>
    </w:p>
    <w:p w14:paraId="038B38AC">
      <w:pPr>
        <w:jc w:val="both"/>
        <w:rPr>
          <w:rFonts w:ascii="Times New Roman" w:hAnsi="Times New Roman" w:eastAsia="Times New Roman" w:cs="Times New Roman"/>
          <w:sz w:val="28"/>
          <w:szCs w:val="28"/>
        </w:rPr>
      </w:pPr>
    </w:p>
    <w:p w14:paraId="0671AA07">
      <w:pPr>
        <w:spacing w:before="3"/>
        <w:jc w:val="both"/>
        <w:rPr>
          <w:rFonts w:ascii="Times New Roman" w:hAnsi="Times New Roman" w:eastAsia="Times New Roman" w:cs="Times New Roman"/>
        </w:rPr>
      </w:pPr>
    </w:p>
    <w:p w14:paraId="456F2A91">
      <w:pPr>
        <w:jc w:val="center"/>
        <w:rPr>
          <w:rFonts w:ascii="宋体" w:hAnsi="宋体" w:eastAsia="宋体" w:cs="宋体"/>
          <w:sz w:val="24"/>
          <w:szCs w:val="24"/>
          <w:lang w:eastAsia="zh-CN"/>
        </w:rPr>
      </w:pPr>
      <w:r>
        <w:rPr>
          <w:rFonts w:hint="eastAsia" w:ascii="宋体" w:hAnsi="宋体" w:eastAsia="宋体" w:cs="宋体"/>
          <w:sz w:val="24"/>
          <w:szCs w:val="24"/>
          <w:lang w:val="en-US" w:eastAsia="zh-CN"/>
        </w:rPr>
        <w:t>讨论稿</w:t>
      </w:r>
    </w:p>
    <w:p w14:paraId="4D0DAAB6">
      <w:pPr>
        <w:jc w:val="both"/>
        <w:rPr>
          <w:rFonts w:ascii="宋体" w:hAnsi="宋体" w:eastAsia="宋体" w:cs="宋体"/>
          <w:sz w:val="24"/>
          <w:szCs w:val="24"/>
          <w:lang w:eastAsia="zh-CN"/>
        </w:rPr>
      </w:pPr>
    </w:p>
    <w:p w14:paraId="2052FC34">
      <w:pPr>
        <w:jc w:val="both"/>
        <w:rPr>
          <w:rFonts w:ascii="宋体" w:hAnsi="宋体" w:eastAsia="宋体" w:cs="宋体"/>
          <w:sz w:val="24"/>
          <w:szCs w:val="24"/>
          <w:lang w:eastAsia="zh-CN"/>
        </w:rPr>
      </w:pPr>
    </w:p>
    <w:p w14:paraId="22C90287">
      <w:pPr>
        <w:spacing w:before="6"/>
        <w:jc w:val="both"/>
        <w:rPr>
          <w:rFonts w:ascii="宋体" w:hAnsi="宋体" w:eastAsia="宋体" w:cs="宋体"/>
          <w:sz w:val="17"/>
          <w:szCs w:val="17"/>
          <w:lang w:eastAsia="zh-CN"/>
        </w:rPr>
      </w:pPr>
    </w:p>
    <w:p w14:paraId="3F36D7D9">
      <w:pPr>
        <w:ind w:left="553" w:right="529" w:firstLine="2319" w:firstLineChars="1100"/>
        <w:jc w:val="both"/>
        <w:rPr>
          <w:rFonts w:ascii="宋体" w:hAnsi="宋体" w:eastAsia="宋体" w:cs="宋体"/>
          <w:sz w:val="21"/>
          <w:szCs w:val="21"/>
          <w:lang w:eastAsia="zh-CN"/>
        </w:rPr>
      </w:pPr>
      <w:r>
        <w:rPr>
          <w:rFonts w:ascii="宋体" w:hAnsi="宋体" w:eastAsia="宋体" w:cs="宋体"/>
          <w:b/>
          <w:bCs/>
          <w:sz w:val="21"/>
          <w:szCs w:val="21"/>
          <w:lang w:eastAsia="zh-CN"/>
        </w:rPr>
        <w:t>在提交反馈意见时，请将您知道的相关专利连同支持性文件一并附上。</w:t>
      </w:r>
    </w:p>
    <w:p w14:paraId="3D22B8D1">
      <w:pPr>
        <w:jc w:val="both"/>
        <w:rPr>
          <w:rFonts w:ascii="宋体" w:hAnsi="宋体" w:eastAsia="宋体" w:cs="宋体"/>
          <w:b/>
          <w:bCs/>
          <w:sz w:val="20"/>
          <w:szCs w:val="20"/>
          <w:lang w:eastAsia="zh-CN"/>
        </w:rPr>
      </w:pPr>
    </w:p>
    <w:p w14:paraId="29DCA95F">
      <w:pPr>
        <w:jc w:val="both"/>
        <w:rPr>
          <w:rFonts w:ascii="宋体" w:hAnsi="宋体" w:eastAsia="宋体" w:cs="宋体"/>
          <w:b/>
          <w:bCs/>
          <w:sz w:val="20"/>
          <w:szCs w:val="20"/>
          <w:lang w:eastAsia="zh-CN"/>
        </w:rPr>
      </w:pPr>
    </w:p>
    <w:p w14:paraId="412E3176">
      <w:pPr>
        <w:jc w:val="both"/>
        <w:rPr>
          <w:rFonts w:ascii="宋体" w:hAnsi="宋体" w:eastAsia="宋体" w:cs="宋体"/>
          <w:b/>
          <w:bCs/>
          <w:sz w:val="20"/>
          <w:szCs w:val="20"/>
          <w:lang w:eastAsia="zh-CN"/>
        </w:rPr>
      </w:pPr>
    </w:p>
    <w:p w14:paraId="5C05019F">
      <w:pPr>
        <w:jc w:val="both"/>
        <w:rPr>
          <w:rFonts w:ascii="宋体" w:hAnsi="宋体" w:eastAsia="宋体" w:cs="宋体"/>
          <w:b/>
          <w:bCs/>
          <w:sz w:val="20"/>
          <w:szCs w:val="20"/>
          <w:lang w:eastAsia="zh-CN"/>
        </w:rPr>
      </w:pPr>
    </w:p>
    <w:p w14:paraId="4CD8ABA1">
      <w:pPr>
        <w:jc w:val="both"/>
        <w:rPr>
          <w:rFonts w:ascii="宋体" w:hAnsi="宋体" w:eastAsia="宋体" w:cs="宋体"/>
          <w:b/>
          <w:bCs/>
          <w:sz w:val="20"/>
          <w:szCs w:val="20"/>
          <w:lang w:eastAsia="zh-CN"/>
        </w:rPr>
      </w:pPr>
    </w:p>
    <w:p w14:paraId="36D2EAA0">
      <w:pPr>
        <w:jc w:val="both"/>
        <w:rPr>
          <w:rFonts w:ascii="宋体" w:hAnsi="宋体" w:eastAsia="宋体" w:cs="宋体"/>
          <w:b/>
          <w:bCs/>
          <w:sz w:val="20"/>
          <w:szCs w:val="20"/>
          <w:lang w:eastAsia="zh-CN"/>
        </w:rPr>
      </w:pPr>
    </w:p>
    <w:p w14:paraId="47C566D6">
      <w:pPr>
        <w:spacing w:before="7"/>
        <w:jc w:val="both"/>
        <w:rPr>
          <w:rFonts w:ascii="宋体" w:hAnsi="宋体" w:eastAsia="宋体" w:cs="宋体"/>
          <w:b/>
          <w:bCs/>
          <w:sz w:val="25"/>
          <w:szCs w:val="25"/>
          <w:lang w:eastAsia="zh-CN"/>
        </w:rPr>
      </w:pPr>
    </w:p>
    <w:p w14:paraId="575E4BA8">
      <w:pPr>
        <w:pStyle w:val="3"/>
        <w:tabs>
          <w:tab w:val="left" w:pos="7414"/>
        </w:tabs>
        <w:ind w:left="55"/>
        <w:jc w:val="both"/>
        <w:rPr>
          <w:rFonts w:ascii="黑体" w:hAnsi="黑体" w:eastAsia="黑体" w:cs="黑体"/>
          <w:lang w:eastAsia="zh-CN"/>
        </w:rPr>
      </w:pPr>
      <w:r>
        <w:rPr>
          <w:rFonts w:ascii="黑体" w:hAnsi="黑体" w:eastAsia="黑体" w:cs="黑体"/>
          <w:lang w:eastAsia="zh-CN"/>
        </w:rPr>
        <w:t>XXXX</w:t>
      </w:r>
      <w:r>
        <w:rPr>
          <w:rFonts w:ascii="黑体" w:hAnsi="黑体" w:eastAsia="黑体" w:cs="黑体"/>
          <w:spacing w:val="-69"/>
          <w:lang w:eastAsia="zh-CN"/>
        </w:rPr>
        <w:t xml:space="preserve"> </w:t>
      </w:r>
      <w:r>
        <w:rPr>
          <w:rFonts w:ascii="黑体" w:hAnsi="黑体" w:eastAsia="黑体" w:cs="黑体"/>
          <w:lang w:eastAsia="zh-CN"/>
        </w:rPr>
        <w:t>-</w:t>
      </w:r>
      <w:r>
        <w:rPr>
          <w:rFonts w:ascii="黑体" w:hAnsi="黑体" w:eastAsia="黑体" w:cs="黑体"/>
          <w:spacing w:val="-71"/>
          <w:lang w:eastAsia="zh-CN"/>
        </w:rPr>
        <w:t xml:space="preserve"> </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w:t>
      </w:r>
      <w:r>
        <w:rPr>
          <w:rFonts w:ascii="黑体" w:hAnsi="黑体" w:eastAsia="黑体" w:cs="黑体"/>
          <w:spacing w:val="-69"/>
          <w:lang w:eastAsia="zh-CN"/>
        </w:rPr>
        <w:t xml:space="preserve"> </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发布</w:t>
      </w:r>
      <w:r>
        <w:rPr>
          <w:rFonts w:ascii="黑体" w:hAnsi="黑体" w:eastAsia="黑体" w:cs="黑体"/>
          <w:lang w:eastAsia="zh-CN"/>
        </w:rPr>
        <w:tab/>
      </w:r>
      <w:r>
        <w:rPr>
          <w:rFonts w:ascii="黑体" w:hAnsi="黑体" w:eastAsia="黑体" w:cs="黑体"/>
          <w:lang w:eastAsia="zh-CN"/>
        </w:rPr>
        <w:t>XXXX</w:t>
      </w:r>
      <w:r>
        <w:rPr>
          <w:rFonts w:ascii="黑体" w:hAnsi="黑体" w:eastAsia="黑体" w:cs="黑体"/>
          <w:spacing w:val="-71"/>
          <w:lang w:eastAsia="zh-CN"/>
        </w:rPr>
        <w:t xml:space="preserve"> </w:t>
      </w:r>
      <w:r>
        <w:rPr>
          <w:rFonts w:ascii="黑体" w:hAnsi="黑体" w:eastAsia="黑体" w:cs="黑体"/>
          <w:lang w:eastAsia="zh-CN"/>
        </w:rPr>
        <w:t>-</w:t>
      </w:r>
      <w:r>
        <w:rPr>
          <w:rFonts w:ascii="黑体" w:hAnsi="黑体" w:eastAsia="黑体" w:cs="黑体"/>
          <w:spacing w:val="-69"/>
          <w:lang w:eastAsia="zh-CN"/>
        </w:rPr>
        <w:t xml:space="preserve"> </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w:t>
      </w:r>
      <w:r>
        <w:rPr>
          <w:rFonts w:ascii="黑体" w:hAnsi="黑体" w:eastAsia="黑体" w:cs="黑体"/>
          <w:spacing w:val="-71"/>
          <w:lang w:eastAsia="zh-CN"/>
        </w:rPr>
        <w:t xml:space="preserve"> </w:t>
      </w:r>
      <w:r>
        <w:rPr>
          <w:rFonts w:ascii="黑体" w:hAnsi="黑体" w:eastAsia="黑体" w:cs="黑体"/>
          <w:lang w:eastAsia="zh-CN"/>
        </w:rPr>
        <w:t>XX</w:t>
      </w:r>
      <w:r>
        <w:rPr>
          <w:rFonts w:ascii="黑体" w:hAnsi="黑体" w:eastAsia="黑体" w:cs="黑体"/>
          <w:spacing w:val="-71"/>
          <w:lang w:eastAsia="zh-CN"/>
        </w:rPr>
        <w:t xml:space="preserve"> </w:t>
      </w:r>
      <w:r>
        <w:rPr>
          <w:rFonts w:ascii="黑体" w:hAnsi="黑体" w:eastAsia="黑体" w:cs="黑体"/>
          <w:lang w:eastAsia="zh-CN"/>
        </w:rPr>
        <w:t>实施</w:t>
      </w:r>
    </w:p>
    <w:p w14:paraId="592ACE62">
      <w:pPr>
        <w:spacing w:before="1"/>
        <w:jc w:val="both"/>
        <w:rPr>
          <w:rFonts w:ascii="黑体" w:hAnsi="黑体" w:eastAsia="黑体" w:cs="黑体"/>
          <w:sz w:val="5"/>
          <w:szCs w:val="5"/>
          <w:lang w:eastAsia="zh-CN"/>
        </w:rPr>
      </w:pPr>
    </w:p>
    <w:p w14:paraId="1EE454A0">
      <w:pPr>
        <w:spacing w:line="20" w:lineRule="exact"/>
        <w:ind w:left="209"/>
        <w:jc w:val="both"/>
        <w:rPr>
          <w:rFonts w:ascii="黑体" w:hAnsi="黑体" w:eastAsia="黑体" w:cs="黑体"/>
          <w:sz w:val="2"/>
          <w:szCs w:val="2"/>
        </w:rPr>
      </w:pPr>
      <w:r>
        <w:rPr>
          <w:rFonts w:ascii="黑体" w:hAnsi="黑体" w:eastAsia="黑体" w:cs="黑体"/>
          <w:sz w:val="2"/>
          <w:szCs w:val="2"/>
        </w:rPr>
        <mc:AlternateContent>
          <mc:Choice Requires="wpg">
            <w:drawing>
              <wp:inline distT="0" distB="0" distL="0" distR="0">
                <wp:extent cx="6129655" cy="9525"/>
                <wp:effectExtent l="8890" t="7620" r="5080" b="1905"/>
                <wp:docPr id="270588950" name="Group 83"/>
                <wp:cNvGraphicFramePr/>
                <a:graphic xmlns:a="http://schemas.openxmlformats.org/drawingml/2006/main">
                  <a:graphicData uri="http://schemas.microsoft.com/office/word/2010/wordprocessingGroup">
                    <wpg:wgp>
                      <wpg:cNvGrpSpPr/>
                      <wpg:grpSpPr>
                        <a:xfrm>
                          <a:off x="0" y="0"/>
                          <a:ext cx="6129655" cy="9525"/>
                          <a:chOff x="0" y="0"/>
                          <a:chExt cx="9653" cy="15"/>
                        </a:xfrm>
                      </wpg:grpSpPr>
                      <wpg:grpSp>
                        <wpg:cNvPr id="1122069612" name="Group 84"/>
                        <wpg:cNvGrpSpPr/>
                        <wpg:grpSpPr>
                          <a:xfrm>
                            <a:off x="8" y="8"/>
                            <a:ext cx="9638" cy="2"/>
                            <a:chOff x="8" y="8"/>
                            <a:chExt cx="9638" cy="2"/>
                          </a:xfrm>
                        </wpg:grpSpPr>
                        <wps:wsp>
                          <wps:cNvPr id="199901282" name="Freeform 85"/>
                          <wps:cNvSpPr/>
                          <wps:spPr bwMode="auto">
                            <a:xfrm>
                              <a:off x="8" y="8"/>
                              <a:ext cx="9638" cy="2"/>
                            </a:xfrm>
                            <a:custGeom>
                              <a:avLst/>
                              <a:gdLst>
                                <a:gd name="T0" fmla="+- 0 8 8"/>
                                <a:gd name="T1" fmla="*/ T0 w 9638"/>
                                <a:gd name="T2" fmla="+- 0 9646 8"/>
                                <a:gd name="T3" fmla="*/ T2 w 9638"/>
                              </a:gdLst>
                              <a:ahLst/>
                              <a:cxnLst>
                                <a:cxn ang="0">
                                  <a:pos x="T1" y="0"/>
                                </a:cxn>
                                <a:cxn ang="0">
                                  <a:pos x="T3" y="0"/>
                                </a:cxn>
                              </a:cxnLst>
                              <a:rect l="0" t="0" r="r" b="b"/>
                              <a:pathLst>
                                <a:path w="9638">
                                  <a:moveTo>
                                    <a:pt x="0" y="0"/>
                                  </a:moveTo>
                                  <a:lnTo>
                                    <a:pt x="9638" y="0"/>
                                  </a:lnTo>
                                </a:path>
                              </a:pathLst>
                            </a:custGeom>
                            <a:noFill/>
                            <a:ln w="9525">
                              <a:solidFill>
                                <a:srgbClr val="000000"/>
                              </a:solidFill>
                              <a:round/>
                            </a:ln>
                          </wps:spPr>
                          <wps:bodyPr rot="0" vert="horz" wrap="square" lIns="91440" tIns="45720" rIns="91440" bIns="45720" anchor="t" anchorCtr="0" upright="1">
                            <a:noAutofit/>
                          </wps:bodyPr>
                        </wps:wsp>
                      </wpg:grpSp>
                    </wpg:wgp>
                  </a:graphicData>
                </a:graphic>
              </wp:inline>
            </w:drawing>
          </mc:Choice>
          <mc:Fallback>
            <w:pict>
              <v:group id="Group 83" o:spid="_x0000_s1026" o:spt="203" style="height:0.75pt;width:482.65pt;" coordsize="9653,15" o:gfxdata="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yajiNQAAAADAQAADwAAAAAAAAABACAA&#10;AAAiAAAAZHJzL2Rvd25yZXYueG1sUEsBAhQAFAAAAAgAh07iQPsFyFIuAwAAFAgAAA4AAAAAAAAA&#10;AQAgAAAAIwEAAGRycy9lMm9Eb2MueG1sUEsFBgAAAAAGAAYAWQEAAMMGAAAAAA==&#10;">
                <o:lock v:ext="edit" aspectratio="f"/>
                <v:group id="Group 84" o:spid="_x0000_s1026" o:spt="203" style="position:absolute;left:8;top:8;height:2;width:9638;" coordorigin="8,8" coordsize="9638,2" o:gfxdata="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02MdBwgAAAOMAAAAPAAAAAAAAAAEAIAAAACIAAABkcnMvZG93bnJl&#10;di54bWxQSwECFAAUAAAACACHTuJAMy8FnjsAAAA5AAAAFQAAAAAAAAABACAAAAARAQAAZHJzL2dy&#10;b3Vwc2hhcGV4bWwueG1sUEsFBgAAAAAGAAYAYAEAAM4DAAAAAA==&#10;">
                  <o:lock v:ext="edit" aspectratio="f"/>
                  <v:shape id="Freeform 85" o:spid="_x0000_s1026" o:spt="100" style="position:absolute;left:8;top:8;height:2;width:9638;" filled="f" stroked="t" coordsize="9638,1" o:gfxdata="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Ye&#10;PX/CAAAA4gAAAA8AAAAAAAAAAQAgAAAAIgAAAGRycy9kb3ducmV2LnhtbFBLAQIUABQAAAAIAIdO&#10;4kAzLwWeOwAAADkAAAAQAAAAAAAAAAEAIAAAABEBAABkcnMvc2hhcGV4bWwueG1sUEsFBgAAAAAG&#10;AAYAWwEAALsDAAAAAA==&#10;" path="m0,0l9638,0e">
                    <v:path o:connectlocs="0,0;9638,0" o:connectangles="0,0"/>
                    <v:fill on="f" focussize="0,0"/>
                    <v:stroke color="#000000" joinstyle="round"/>
                    <v:imagedata o:title=""/>
                    <o:lock v:ext="edit" aspectratio="f"/>
                  </v:shape>
                </v:group>
                <w10:wrap type="none"/>
                <w10:anchorlock/>
              </v:group>
            </w:pict>
          </mc:Fallback>
        </mc:AlternateContent>
      </w:r>
    </w:p>
    <w:p w14:paraId="0170663A">
      <w:pPr>
        <w:spacing w:before="9"/>
        <w:jc w:val="both"/>
        <w:rPr>
          <w:rFonts w:ascii="黑体" w:hAnsi="黑体" w:eastAsia="黑体" w:cs="黑体"/>
          <w:sz w:val="21"/>
          <w:szCs w:val="21"/>
        </w:rPr>
      </w:pPr>
    </w:p>
    <w:p w14:paraId="393F48EB">
      <w:pPr>
        <w:spacing w:line="844" w:lineRule="exact"/>
        <w:ind w:left="2755"/>
        <w:jc w:val="both"/>
        <w:rPr>
          <w:rFonts w:ascii="黑体" w:hAnsi="黑体" w:eastAsia="黑体" w:cs="黑体"/>
          <w:sz w:val="20"/>
          <w:szCs w:val="20"/>
        </w:rPr>
      </w:pPr>
      <w:r>
        <w:rPr>
          <w:rFonts w:ascii="黑体" w:hAnsi="黑体" w:eastAsia="黑体" w:cs="黑体"/>
          <w:position w:val="-16"/>
          <w:sz w:val="20"/>
          <w:szCs w:val="20"/>
        </w:rPr>
        <w:drawing>
          <wp:inline distT="0" distB="0" distL="0" distR="0">
            <wp:extent cx="2821940" cy="53594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0" cstate="print"/>
                    <a:stretch>
                      <a:fillRect/>
                    </a:stretch>
                  </pic:blipFill>
                  <pic:spPr>
                    <a:xfrm>
                      <a:off x="0" y="0"/>
                      <a:ext cx="2822097" cy="536543"/>
                    </a:xfrm>
                    <a:prstGeom prst="rect">
                      <a:avLst/>
                    </a:prstGeom>
                  </pic:spPr>
                </pic:pic>
              </a:graphicData>
            </a:graphic>
          </wp:inline>
        </w:drawing>
      </w:r>
    </w:p>
    <w:bookmarkEnd w:id="0"/>
    <w:p w14:paraId="68A97C44">
      <w:pPr>
        <w:spacing w:line="844" w:lineRule="exact"/>
        <w:jc w:val="both"/>
        <w:rPr>
          <w:rFonts w:ascii="黑体" w:hAnsi="黑体" w:eastAsia="黑体" w:cs="黑体"/>
          <w:sz w:val="20"/>
          <w:szCs w:val="20"/>
        </w:rPr>
        <w:sectPr>
          <w:footerReference r:id="rId3" w:type="default"/>
          <w:type w:val="continuous"/>
          <w:pgSz w:w="11910" w:h="16840"/>
          <w:pgMar w:top="500" w:right="660" w:bottom="280" w:left="1200" w:header="0" w:footer="0" w:gutter="0"/>
          <w:cols w:space="720" w:num="1"/>
          <w:docGrid w:linePitch="299" w:charSpace="0"/>
        </w:sectPr>
      </w:pPr>
    </w:p>
    <w:p w14:paraId="0A1B8EFB">
      <w:pPr>
        <w:pStyle w:val="2"/>
        <w:tabs>
          <w:tab w:val="left" w:pos="1380"/>
        </w:tabs>
        <w:ind w:firstLine="0"/>
        <w:jc w:val="center"/>
        <w:rPr>
          <w:lang w:eastAsia="zh-CN"/>
        </w:rPr>
      </w:pPr>
      <w:bookmarkStart w:id="1" w:name="前言"/>
      <w:bookmarkEnd w:id="1"/>
      <w:r>
        <w:rPr>
          <w:w w:val="95"/>
          <w:lang w:eastAsia="zh-CN"/>
        </w:rPr>
        <w:t>前</w:t>
      </w:r>
      <w:r>
        <w:rPr>
          <w:w w:val="95"/>
          <w:lang w:eastAsia="zh-CN"/>
        </w:rPr>
        <w:tab/>
      </w:r>
      <w:r>
        <w:rPr>
          <w:lang w:eastAsia="zh-CN"/>
        </w:rPr>
        <w:t>言</w:t>
      </w:r>
    </w:p>
    <w:p w14:paraId="5D8CBE4E">
      <w:pPr>
        <w:spacing w:before="3"/>
        <w:jc w:val="both"/>
        <w:rPr>
          <w:rFonts w:ascii="黑体" w:hAnsi="黑体" w:eastAsia="黑体" w:cs="黑体"/>
          <w:sz w:val="46"/>
          <w:szCs w:val="46"/>
          <w:lang w:eastAsia="zh-CN"/>
        </w:rPr>
      </w:pPr>
    </w:p>
    <w:p w14:paraId="2E0E728E">
      <w:pPr>
        <w:pStyle w:val="4"/>
        <w:tabs>
          <w:tab w:val="left" w:pos="4951"/>
        </w:tabs>
        <w:spacing w:line="273" w:lineRule="auto"/>
        <w:ind w:left="118" w:right="115" w:firstLine="420"/>
        <w:jc w:val="both"/>
        <w:rPr>
          <w:lang w:eastAsia="zh-CN"/>
        </w:rPr>
      </w:pPr>
      <w:r>
        <w:rPr>
          <w:lang w:eastAsia="zh-CN"/>
        </w:rPr>
        <w:t>本文件按照GB/T</w:t>
      </w:r>
      <w:r>
        <w:rPr>
          <w:spacing w:val="-6"/>
          <w:lang w:eastAsia="zh-CN"/>
        </w:rPr>
        <w:t xml:space="preserve"> </w:t>
      </w:r>
      <w:r>
        <w:rPr>
          <w:lang w:eastAsia="zh-CN"/>
        </w:rPr>
        <w:t>1.1—2020《标准化工作导则</w:t>
      </w:r>
      <w:r>
        <w:rPr>
          <w:lang w:eastAsia="zh-CN"/>
        </w:rPr>
        <w:tab/>
      </w:r>
      <w:r>
        <w:rPr>
          <w:lang w:eastAsia="zh-CN"/>
        </w:rPr>
        <w:t>第1部分：标准化文件的结构和起草规则》的规定</w:t>
      </w:r>
      <w:r>
        <w:rPr>
          <w:w w:val="99"/>
          <w:lang w:eastAsia="zh-CN"/>
        </w:rPr>
        <w:t xml:space="preserve"> </w:t>
      </w:r>
      <w:r>
        <w:rPr>
          <w:lang w:eastAsia="zh-CN"/>
        </w:rPr>
        <w:t>起草。</w:t>
      </w:r>
    </w:p>
    <w:p w14:paraId="50022E56">
      <w:pPr>
        <w:pStyle w:val="4"/>
        <w:spacing w:before="7" w:line="273" w:lineRule="auto"/>
        <w:ind w:left="538" w:right="115"/>
        <w:jc w:val="both"/>
        <w:rPr>
          <w:w w:val="99"/>
          <w:lang w:eastAsia="zh-CN"/>
        </w:rPr>
      </w:pPr>
      <w:r>
        <w:rPr>
          <w:lang w:eastAsia="zh-CN"/>
        </w:rPr>
        <w:t>请注意本文件的某些内容可能涉及专利。本文件的发布机构不承担识别专利的责任。</w:t>
      </w:r>
    </w:p>
    <w:p w14:paraId="0777D194">
      <w:pPr>
        <w:pStyle w:val="4"/>
        <w:spacing w:before="7" w:line="273" w:lineRule="auto"/>
        <w:ind w:left="538" w:right="115"/>
        <w:jc w:val="both"/>
        <w:rPr>
          <w:lang w:eastAsia="zh-CN"/>
        </w:rPr>
      </w:pPr>
      <w:r>
        <w:rPr>
          <w:lang w:eastAsia="zh-CN"/>
        </w:rPr>
        <w:t>本文件由全国半导体设备和材料标准化技术委员会（SAC/TC203）与全国半导体设备和材料标准化</w:t>
      </w:r>
    </w:p>
    <w:p w14:paraId="37723A9B">
      <w:pPr>
        <w:pStyle w:val="4"/>
        <w:spacing w:before="7" w:line="273" w:lineRule="auto"/>
        <w:ind w:left="538" w:right="115" w:hanging="420"/>
        <w:jc w:val="both"/>
        <w:rPr>
          <w:w w:val="99"/>
          <w:lang w:eastAsia="zh-CN"/>
        </w:rPr>
      </w:pPr>
      <w:r>
        <w:rPr>
          <w:lang w:eastAsia="zh-CN"/>
        </w:rPr>
        <w:t>技术委员会材料分技术委员会（SAC/TC203/SC2）共同提出并归口。</w:t>
      </w:r>
      <w:r>
        <w:rPr>
          <w:w w:val="99"/>
          <w:lang w:eastAsia="zh-CN"/>
        </w:rPr>
        <w:t xml:space="preserve"> </w:t>
      </w:r>
    </w:p>
    <w:p w14:paraId="52F4D857">
      <w:pPr>
        <w:pStyle w:val="4"/>
        <w:spacing w:before="7" w:line="274" w:lineRule="auto"/>
        <w:ind w:left="113" w:right="113" w:firstLine="390" w:firstLineChars="200"/>
        <w:jc w:val="both"/>
        <w:rPr>
          <w:w w:val="95"/>
          <w:lang w:eastAsia="zh-CN"/>
        </w:rPr>
      </w:pPr>
      <w:r>
        <w:rPr>
          <w:spacing w:val="-2"/>
          <w:w w:val="95"/>
          <w:lang w:eastAsia="zh-CN"/>
        </w:rPr>
        <w:t>本文件起草单位：</w:t>
      </w:r>
      <w:r>
        <w:rPr>
          <w:rFonts w:hint="eastAsia"/>
          <w:lang w:eastAsia="zh-CN"/>
        </w:rPr>
        <w:t>江苏第三代半导体研究院</w:t>
      </w:r>
      <w:r>
        <w:rPr>
          <w:rFonts w:hint="eastAsia"/>
          <w:lang w:val="en-US" w:eastAsia="zh-CN"/>
        </w:rPr>
        <w:t>等</w:t>
      </w:r>
      <w:r>
        <w:rPr>
          <w:rFonts w:hint="eastAsia"/>
          <w:w w:val="95"/>
          <w:lang w:eastAsia="zh-CN"/>
        </w:rPr>
        <w:t>。</w:t>
      </w:r>
    </w:p>
    <w:p w14:paraId="374E914A">
      <w:pPr>
        <w:pStyle w:val="4"/>
        <w:spacing w:before="7" w:line="274" w:lineRule="auto"/>
        <w:ind w:right="3357" w:firstLine="420" w:firstLineChars="200"/>
        <w:jc w:val="both"/>
        <w:rPr>
          <w:rFonts w:hint="eastAsia" w:eastAsia="宋体"/>
          <w:lang w:eastAsia="zh-CN"/>
        </w:rPr>
      </w:pPr>
      <w:r>
        <w:t>本文件主要起草人</w:t>
      </w:r>
      <w:r>
        <w:rPr>
          <w:rFonts w:hint="eastAsia"/>
          <w:lang w:eastAsia="zh-CN"/>
        </w:rPr>
        <w:t>：</w:t>
      </w:r>
    </w:p>
    <w:p w14:paraId="47A05404">
      <w:pPr>
        <w:jc w:val="both"/>
        <w:rPr>
          <w:rFonts w:ascii="宋体" w:hAnsi="宋体" w:eastAsia="宋体" w:cs="宋体"/>
          <w:sz w:val="20"/>
          <w:szCs w:val="20"/>
        </w:rPr>
      </w:pPr>
    </w:p>
    <w:p w14:paraId="5E62C33A">
      <w:pPr>
        <w:jc w:val="both"/>
        <w:rPr>
          <w:rFonts w:ascii="宋体" w:hAnsi="宋体" w:eastAsia="宋体" w:cs="宋体"/>
          <w:sz w:val="20"/>
          <w:szCs w:val="20"/>
        </w:rPr>
      </w:pPr>
    </w:p>
    <w:p w14:paraId="1E1C5216">
      <w:pPr>
        <w:jc w:val="both"/>
        <w:rPr>
          <w:rFonts w:ascii="宋体" w:hAnsi="宋体" w:eastAsia="宋体" w:cs="宋体"/>
          <w:sz w:val="20"/>
          <w:szCs w:val="20"/>
        </w:rPr>
      </w:pPr>
    </w:p>
    <w:p w14:paraId="507E1EA4">
      <w:pPr>
        <w:jc w:val="both"/>
        <w:rPr>
          <w:rFonts w:ascii="宋体" w:hAnsi="宋体" w:eastAsia="宋体" w:cs="宋体"/>
          <w:sz w:val="20"/>
          <w:szCs w:val="20"/>
        </w:rPr>
      </w:pPr>
    </w:p>
    <w:p w14:paraId="11B18EE8">
      <w:pPr>
        <w:jc w:val="both"/>
        <w:rPr>
          <w:rFonts w:ascii="宋体" w:hAnsi="宋体" w:eastAsia="宋体" w:cs="宋体"/>
          <w:sz w:val="20"/>
          <w:szCs w:val="20"/>
        </w:rPr>
      </w:pPr>
    </w:p>
    <w:p w14:paraId="556EE691">
      <w:pPr>
        <w:jc w:val="both"/>
        <w:rPr>
          <w:rFonts w:ascii="宋体" w:hAnsi="宋体" w:eastAsia="宋体" w:cs="宋体"/>
          <w:sz w:val="20"/>
          <w:szCs w:val="20"/>
        </w:rPr>
      </w:pPr>
    </w:p>
    <w:p w14:paraId="21CCFD2D">
      <w:pPr>
        <w:jc w:val="both"/>
        <w:rPr>
          <w:rFonts w:ascii="宋体" w:hAnsi="宋体" w:eastAsia="宋体" w:cs="宋体"/>
          <w:sz w:val="20"/>
          <w:szCs w:val="20"/>
        </w:rPr>
      </w:pPr>
    </w:p>
    <w:p w14:paraId="4B58E1C1">
      <w:pPr>
        <w:jc w:val="both"/>
        <w:rPr>
          <w:rFonts w:ascii="宋体" w:hAnsi="宋体" w:eastAsia="宋体" w:cs="宋体"/>
          <w:sz w:val="20"/>
          <w:szCs w:val="20"/>
        </w:rPr>
      </w:pPr>
    </w:p>
    <w:p w14:paraId="6DBFA401">
      <w:pPr>
        <w:jc w:val="both"/>
        <w:rPr>
          <w:rFonts w:ascii="宋体" w:hAnsi="宋体" w:eastAsia="宋体" w:cs="宋体"/>
          <w:sz w:val="20"/>
          <w:szCs w:val="20"/>
        </w:rPr>
      </w:pPr>
    </w:p>
    <w:p w14:paraId="079558CB">
      <w:pPr>
        <w:jc w:val="both"/>
        <w:rPr>
          <w:rFonts w:ascii="宋体" w:hAnsi="宋体" w:eastAsia="宋体" w:cs="宋体"/>
          <w:sz w:val="20"/>
          <w:szCs w:val="20"/>
        </w:rPr>
      </w:pPr>
    </w:p>
    <w:p w14:paraId="72D1AE8D">
      <w:pPr>
        <w:jc w:val="both"/>
        <w:rPr>
          <w:rFonts w:ascii="宋体" w:hAnsi="宋体" w:eastAsia="宋体" w:cs="宋体"/>
          <w:sz w:val="20"/>
          <w:szCs w:val="20"/>
        </w:rPr>
      </w:pPr>
    </w:p>
    <w:p w14:paraId="19BA36DC">
      <w:pPr>
        <w:jc w:val="both"/>
        <w:rPr>
          <w:rFonts w:ascii="宋体" w:hAnsi="宋体" w:eastAsia="宋体" w:cs="宋体"/>
          <w:sz w:val="20"/>
          <w:szCs w:val="20"/>
        </w:rPr>
      </w:pPr>
    </w:p>
    <w:p w14:paraId="2B6EF156">
      <w:pPr>
        <w:jc w:val="both"/>
        <w:rPr>
          <w:rFonts w:ascii="宋体" w:hAnsi="宋体" w:eastAsia="宋体" w:cs="宋体"/>
          <w:sz w:val="20"/>
          <w:szCs w:val="20"/>
        </w:rPr>
      </w:pPr>
    </w:p>
    <w:p w14:paraId="1B33FB16">
      <w:pPr>
        <w:jc w:val="both"/>
        <w:rPr>
          <w:rFonts w:ascii="宋体" w:hAnsi="宋体" w:eastAsia="宋体" w:cs="宋体"/>
          <w:sz w:val="20"/>
          <w:szCs w:val="20"/>
        </w:rPr>
      </w:pPr>
    </w:p>
    <w:p w14:paraId="486227D5">
      <w:pPr>
        <w:jc w:val="both"/>
        <w:rPr>
          <w:rFonts w:ascii="宋体" w:hAnsi="宋体" w:eastAsia="宋体" w:cs="宋体"/>
          <w:sz w:val="20"/>
          <w:szCs w:val="20"/>
        </w:rPr>
      </w:pPr>
    </w:p>
    <w:p w14:paraId="7817D9F3">
      <w:pPr>
        <w:jc w:val="both"/>
        <w:rPr>
          <w:rFonts w:ascii="宋体" w:hAnsi="宋体" w:eastAsia="宋体" w:cs="宋体"/>
          <w:sz w:val="20"/>
          <w:szCs w:val="20"/>
        </w:rPr>
      </w:pPr>
    </w:p>
    <w:p w14:paraId="78627A9B">
      <w:pPr>
        <w:jc w:val="both"/>
        <w:rPr>
          <w:rFonts w:ascii="宋体" w:hAnsi="宋体" w:eastAsia="宋体" w:cs="宋体"/>
          <w:sz w:val="20"/>
          <w:szCs w:val="20"/>
        </w:rPr>
      </w:pPr>
    </w:p>
    <w:p w14:paraId="0794B0E2">
      <w:pPr>
        <w:jc w:val="both"/>
        <w:rPr>
          <w:rFonts w:ascii="宋体" w:hAnsi="宋体" w:eastAsia="宋体" w:cs="宋体"/>
          <w:sz w:val="20"/>
          <w:szCs w:val="20"/>
        </w:rPr>
      </w:pPr>
    </w:p>
    <w:p w14:paraId="05D5F57F">
      <w:pPr>
        <w:jc w:val="both"/>
        <w:rPr>
          <w:rFonts w:ascii="宋体" w:hAnsi="宋体" w:eastAsia="宋体" w:cs="宋体"/>
          <w:sz w:val="20"/>
          <w:szCs w:val="20"/>
        </w:rPr>
      </w:pPr>
    </w:p>
    <w:p w14:paraId="733D932B">
      <w:pPr>
        <w:jc w:val="both"/>
        <w:rPr>
          <w:rFonts w:ascii="宋体" w:hAnsi="宋体" w:eastAsia="宋体" w:cs="宋体"/>
          <w:sz w:val="20"/>
          <w:szCs w:val="20"/>
        </w:rPr>
      </w:pPr>
    </w:p>
    <w:p w14:paraId="7A17B42C">
      <w:pPr>
        <w:jc w:val="both"/>
        <w:rPr>
          <w:rFonts w:ascii="宋体" w:hAnsi="宋体" w:eastAsia="宋体" w:cs="宋体"/>
          <w:sz w:val="20"/>
          <w:szCs w:val="20"/>
        </w:rPr>
      </w:pPr>
    </w:p>
    <w:p w14:paraId="44C0030B">
      <w:pPr>
        <w:jc w:val="both"/>
        <w:rPr>
          <w:rFonts w:ascii="宋体" w:hAnsi="宋体" w:eastAsia="宋体" w:cs="宋体"/>
          <w:sz w:val="20"/>
          <w:szCs w:val="20"/>
        </w:rPr>
      </w:pPr>
    </w:p>
    <w:p w14:paraId="71379E9D">
      <w:pPr>
        <w:jc w:val="both"/>
        <w:rPr>
          <w:rFonts w:ascii="宋体" w:hAnsi="宋体" w:eastAsia="宋体" w:cs="宋体"/>
          <w:sz w:val="20"/>
          <w:szCs w:val="20"/>
        </w:rPr>
      </w:pPr>
    </w:p>
    <w:p w14:paraId="1D7B2554">
      <w:pPr>
        <w:jc w:val="both"/>
        <w:rPr>
          <w:rFonts w:ascii="宋体" w:hAnsi="宋体" w:eastAsia="宋体" w:cs="宋体"/>
          <w:sz w:val="20"/>
          <w:szCs w:val="20"/>
        </w:rPr>
      </w:pPr>
    </w:p>
    <w:p w14:paraId="5ED9BFEC">
      <w:pPr>
        <w:jc w:val="both"/>
        <w:rPr>
          <w:rFonts w:ascii="宋体" w:hAnsi="宋体" w:eastAsia="宋体" w:cs="宋体"/>
          <w:sz w:val="20"/>
          <w:szCs w:val="20"/>
        </w:rPr>
      </w:pPr>
    </w:p>
    <w:p w14:paraId="6CE2F92A">
      <w:pPr>
        <w:jc w:val="both"/>
        <w:rPr>
          <w:rFonts w:ascii="宋体" w:hAnsi="宋体" w:eastAsia="宋体" w:cs="宋体"/>
          <w:sz w:val="20"/>
          <w:szCs w:val="20"/>
        </w:rPr>
      </w:pPr>
    </w:p>
    <w:p w14:paraId="3AE78091">
      <w:pPr>
        <w:jc w:val="both"/>
        <w:rPr>
          <w:rFonts w:ascii="宋体" w:hAnsi="宋体" w:eastAsia="宋体" w:cs="宋体"/>
          <w:sz w:val="20"/>
          <w:szCs w:val="20"/>
        </w:rPr>
      </w:pPr>
    </w:p>
    <w:p w14:paraId="67B5EC2D">
      <w:pPr>
        <w:jc w:val="both"/>
        <w:rPr>
          <w:rFonts w:ascii="宋体" w:hAnsi="宋体" w:eastAsia="宋体" w:cs="宋体"/>
          <w:sz w:val="20"/>
          <w:szCs w:val="20"/>
        </w:rPr>
      </w:pPr>
    </w:p>
    <w:p w14:paraId="68C01805">
      <w:pPr>
        <w:jc w:val="both"/>
        <w:rPr>
          <w:rFonts w:ascii="宋体" w:hAnsi="宋体" w:eastAsia="宋体" w:cs="宋体"/>
          <w:sz w:val="20"/>
          <w:szCs w:val="20"/>
        </w:rPr>
      </w:pPr>
    </w:p>
    <w:p w14:paraId="032049C5">
      <w:pPr>
        <w:jc w:val="both"/>
        <w:rPr>
          <w:rFonts w:ascii="宋体" w:hAnsi="宋体" w:eastAsia="宋体" w:cs="宋体"/>
          <w:sz w:val="20"/>
          <w:szCs w:val="20"/>
        </w:rPr>
      </w:pPr>
    </w:p>
    <w:p w14:paraId="2593E00D">
      <w:pPr>
        <w:jc w:val="both"/>
        <w:rPr>
          <w:rFonts w:ascii="宋体" w:hAnsi="宋体" w:eastAsia="宋体" w:cs="宋体"/>
          <w:sz w:val="20"/>
          <w:szCs w:val="20"/>
        </w:rPr>
      </w:pPr>
    </w:p>
    <w:p w14:paraId="5039B3C9">
      <w:pPr>
        <w:jc w:val="both"/>
        <w:rPr>
          <w:rFonts w:ascii="宋体" w:hAnsi="宋体" w:eastAsia="宋体" w:cs="宋体"/>
          <w:sz w:val="20"/>
          <w:szCs w:val="20"/>
        </w:rPr>
      </w:pPr>
    </w:p>
    <w:p w14:paraId="21FE91C6">
      <w:pPr>
        <w:jc w:val="both"/>
        <w:rPr>
          <w:rFonts w:ascii="宋体" w:hAnsi="宋体" w:eastAsia="宋体" w:cs="宋体"/>
          <w:sz w:val="20"/>
          <w:szCs w:val="20"/>
        </w:rPr>
      </w:pPr>
    </w:p>
    <w:p w14:paraId="1B5D4435">
      <w:pPr>
        <w:jc w:val="both"/>
        <w:rPr>
          <w:rFonts w:ascii="宋体" w:hAnsi="宋体" w:eastAsia="宋体" w:cs="宋体"/>
          <w:sz w:val="20"/>
          <w:szCs w:val="20"/>
        </w:rPr>
      </w:pPr>
    </w:p>
    <w:p w14:paraId="4E278E0F">
      <w:pPr>
        <w:jc w:val="both"/>
        <w:rPr>
          <w:rFonts w:ascii="宋体" w:hAnsi="宋体" w:eastAsia="宋体" w:cs="宋体"/>
          <w:sz w:val="20"/>
          <w:szCs w:val="20"/>
        </w:rPr>
      </w:pPr>
    </w:p>
    <w:p w14:paraId="5C0ED7E2">
      <w:pPr>
        <w:spacing w:before="44"/>
        <w:ind w:right="339"/>
        <w:jc w:val="both"/>
        <w:rPr>
          <w:rFonts w:ascii="宋体" w:hAnsi="宋体" w:eastAsia="宋体" w:cs="宋体"/>
          <w:sz w:val="18"/>
          <w:szCs w:val="18"/>
          <w:lang w:eastAsia="zh-CN"/>
        </w:rPr>
        <w:sectPr>
          <w:headerReference r:id="rId4" w:type="default"/>
          <w:footerReference r:id="rId5" w:type="default"/>
          <w:footerReference r:id="rId6" w:type="even"/>
          <w:type w:val="evenPage"/>
          <w:pgSz w:w="11910" w:h="16840"/>
          <w:pgMar w:top="1640" w:right="920" w:bottom="1340" w:left="1300" w:header="1449" w:footer="1141" w:gutter="0"/>
          <w:pgNumType w:start="5"/>
          <w:cols w:space="720" w:num="1"/>
          <w:docGrid w:linePitch="299" w:charSpace="0"/>
        </w:sectPr>
      </w:pPr>
    </w:p>
    <w:p w14:paraId="40583905">
      <w:pPr>
        <w:spacing w:before="44"/>
        <w:ind w:right="339"/>
        <w:jc w:val="both"/>
        <w:rPr>
          <w:rFonts w:ascii="宋体" w:hAnsi="宋体" w:eastAsia="宋体" w:cs="宋体"/>
          <w:sz w:val="18"/>
          <w:szCs w:val="18"/>
          <w:lang w:eastAsia="zh-CN"/>
        </w:rPr>
      </w:pPr>
    </w:p>
    <w:p w14:paraId="0915E5FC">
      <w:pPr>
        <w:jc w:val="both"/>
        <w:rPr>
          <w:rFonts w:ascii="Times New Roman" w:hAnsi="Times New Roman" w:eastAsia="Times New Roman" w:cs="Times New Roman"/>
          <w:sz w:val="20"/>
          <w:szCs w:val="20"/>
          <w:lang w:eastAsia="zh-CN"/>
        </w:rPr>
      </w:pPr>
    </w:p>
    <w:p w14:paraId="2AFEA06E">
      <w:pPr>
        <w:jc w:val="both"/>
        <w:rPr>
          <w:rFonts w:ascii="Times New Roman" w:hAnsi="Times New Roman" w:eastAsia="Times New Roman" w:cs="Times New Roman"/>
          <w:sz w:val="20"/>
          <w:szCs w:val="20"/>
          <w:lang w:eastAsia="zh-CN"/>
        </w:rPr>
      </w:pPr>
    </w:p>
    <w:p w14:paraId="2E6CB53B">
      <w:pPr>
        <w:jc w:val="both"/>
        <w:rPr>
          <w:rFonts w:ascii="Times New Roman" w:hAnsi="Times New Roman" w:eastAsia="Times New Roman" w:cs="Times New Roman"/>
          <w:sz w:val="20"/>
          <w:szCs w:val="20"/>
          <w:lang w:eastAsia="zh-CN"/>
        </w:rPr>
      </w:pPr>
    </w:p>
    <w:p w14:paraId="61A9AA66">
      <w:pPr>
        <w:jc w:val="both"/>
        <w:rPr>
          <w:rFonts w:ascii="Times New Roman" w:hAnsi="Times New Roman" w:eastAsia="Times New Roman" w:cs="Times New Roman"/>
          <w:sz w:val="20"/>
          <w:szCs w:val="20"/>
          <w:lang w:eastAsia="zh-CN"/>
        </w:rPr>
      </w:pPr>
    </w:p>
    <w:p w14:paraId="26B7B193">
      <w:pPr>
        <w:pStyle w:val="2"/>
        <w:spacing w:before="182" w:line="404" w:lineRule="exact"/>
        <w:ind w:left="420" w:hanging="420"/>
        <w:jc w:val="center"/>
        <w:rPr>
          <w:rFonts w:ascii="Times New Roman" w:hAnsi="Times New Roman" w:cs="Times New Roman"/>
          <w:lang w:eastAsia="zh-CN"/>
        </w:rPr>
      </w:pPr>
      <w:r>
        <w:rPr>
          <w:rFonts w:hint="eastAsia" w:ascii="Times New Roman" w:hAnsi="Times New Roman" w:cs="Times New Roman"/>
          <w:lang w:eastAsia="zh-CN"/>
        </w:rPr>
        <w:t>Ⅲ族氮化物半导体晶圆表面缺陷的测试 — 激光扫描法</w:t>
      </w:r>
    </w:p>
    <w:p w14:paraId="1D227C09">
      <w:pPr>
        <w:pStyle w:val="2"/>
        <w:spacing w:before="182" w:line="404" w:lineRule="exact"/>
        <w:ind w:right="1072" w:hanging="421"/>
        <w:jc w:val="both"/>
        <w:rPr>
          <w:rFonts w:ascii="Times New Roman" w:hAnsi="Times New Roman" w:cs="Times New Roman"/>
          <w:sz w:val="20"/>
          <w:szCs w:val="20"/>
          <w:lang w:eastAsia="zh-CN"/>
        </w:rPr>
      </w:pPr>
    </w:p>
    <w:p w14:paraId="26F7C971">
      <w:pPr>
        <w:spacing w:before="3"/>
        <w:jc w:val="both"/>
        <w:rPr>
          <w:rFonts w:ascii="黑体" w:hAnsi="黑体" w:eastAsia="黑体" w:cs="黑体"/>
          <w:sz w:val="28"/>
          <w:szCs w:val="28"/>
          <w:lang w:eastAsia="zh-CN"/>
        </w:rPr>
      </w:pPr>
    </w:p>
    <w:p w14:paraId="01336671">
      <w:pPr>
        <w:pStyle w:val="4"/>
        <w:tabs>
          <w:tab w:val="left" w:pos="432"/>
        </w:tabs>
        <w:spacing w:before="34"/>
        <w:ind w:left="538" w:right="1072" w:hanging="420"/>
        <w:jc w:val="both"/>
        <w:rPr>
          <w:rFonts w:ascii="黑体" w:hAnsi="黑体" w:eastAsia="黑体" w:cs="黑体"/>
          <w:lang w:eastAsia="zh-CN"/>
        </w:rPr>
      </w:pPr>
      <w:r>
        <w:rPr>
          <w:rFonts w:ascii="黑体" w:hAnsi="黑体" w:eastAsia="黑体" w:cs="黑体"/>
          <w:w w:val="95"/>
          <w:lang w:eastAsia="zh-CN"/>
        </w:rPr>
        <w:t>1</w:t>
      </w:r>
      <w:r>
        <w:rPr>
          <w:rFonts w:ascii="黑体" w:hAnsi="黑体" w:eastAsia="黑体" w:cs="黑体"/>
          <w:w w:val="95"/>
          <w:lang w:eastAsia="zh-CN"/>
        </w:rPr>
        <w:tab/>
      </w:r>
      <w:bookmarkStart w:id="2" w:name="1_范围"/>
      <w:bookmarkEnd w:id="2"/>
      <w:r>
        <w:rPr>
          <w:rFonts w:ascii="黑体" w:hAnsi="黑体" w:eastAsia="黑体" w:cs="黑体"/>
          <w:lang w:eastAsia="zh-CN"/>
        </w:rPr>
        <w:t>范围</w:t>
      </w:r>
    </w:p>
    <w:p w14:paraId="3A071C14">
      <w:pPr>
        <w:spacing w:before="9"/>
        <w:jc w:val="both"/>
        <w:rPr>
          <w:rFonts w:ascii="黑体" w:hAnsi="黑体" w:eastAsia="黑体" w:cs="黑体"/>
          <w:sz w:val="26"/>
          <w:szCs w:val="26"/>
          <w:lang w:eastAsia="zh-CN"/>
        </w:rPr>
      </w:pPr>
    </w:p>
    <w:p w14:paraId="7398057E">
      <w:pPr>
        <w:spacing w:before="13"/>
        <w:ind w:firstLine="420" w:firstLineChars="200"/>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本标准规定了Ⅲ族氮化物半导体晶圆表面缺陷的无损光学测量方法。</w:t>
      </w:r>
    </w:p>
    <w:p w14:paraId="51112E56">
      <w:pPr>
        <w:spacing w:before="13"/>
        <w:ind w:firstLine="420" w:firstLineChars="200"/>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本</w:t>
      </w:r>
      <w:r>
        <w:rPr>
          <w:rFonts w:hint="eastAsia" w:ascii="Times New Roman" w:hAnsi="Times New Roman" w:cs="Times New Roman"/>
          <w:sz w:val="21"/>
          <w:szCs w:val="21"/>
          <w:lang w:val="en-US" w:eastAsia="zh-CN"/>
        </w:rPr>
        <w:t>标准</w:t>
      </w:r>
      <w:r>
        <w:rPr>
          <w:rFonts w:hint="eastAsia" w:ascii="Times New Roman" w:hAnsi="Times New Roman" w:cs="Times New Roman"/>
          <w:sz w:val="21"/>
          <w:szCs w:val="21"/>
          <w:lang w:eastAsia="zh-CN"/>
        </w:rPr>
        <w:t>适用于2英寸及以上的氮化镓单晶衬底及其同质外延片和异质外延片、氮化铝外延片等。</w:t>
      </w:r>
    </w:p>
    <w:p w14:paraId="4F9D227A">
      <w:pPr>
        <w:spacing w:before="13"/>
        <w:jc w:val="both"/>
        <w:rPr>
          <w:rFonts w:hint="eastAsia" w:ascii="Times New Roman" w:hAnsi="Times New Roman" w:cs="Times New Roman"/>
          <w:sz w:val="21"/>
          <w:szCs w:val="21"/>
          <w:lang w:eastAsia="zh-CN"/>
        </w:rPr>
      </w:pPr>
    </w:p>
    <w:p w14:paraId="4C291F64">
      <w:pPr>
        <w:pStyle w:val="4"/>
        <w:tabs>
          <w:tab w:val="left" w:pos="432"/>
        </w:tabs>
        <w:ind w:left="118" w:right="1072"/>
        <w:jc w:val="both"/>
        <w:rPr>
          <w:rFonts w:ascii="黑体" w:hAnsi="黑体" w:eastAsia="黑体" w:cs="黑体"/>
          <w:lang w:eastAsia="zh-CN"/>
        </w:rPr>
      </w:pPr>
      <w:r>
        <w:rPr>
          <w:rFonts w:ascii="黑体" w:hAnsi="黑体" w:eastAsia="黑体" w:cs="黑体"/>
          <w:w w:val="95"/>
          <w:lang w:eastAsia="zh-CN"/>
        </w:rPr>
        <w:t>2</w:t>
      </w:r>
      <w:r>
        <w:rPr>
          <w:rFonts w:ascii="黑体" w:hAnsi="黑体" w:eastAsia="黑体" w:cs="黑体"/>
          <w:w w:val="95"/>
          <w:lang w:eastAsia="zh-CN"/>
        </w:rPr>
        <w:tab/>
      </w:r>
      <w:bookmarkStart w:id="3" w:name="2_规范性引用文件"/>
      <w:bookmarkEnd w:id="3"/>
      <w:r>
        <w:rPr>
          <w:rFonts w:ascii="黑体" w:hAnsi="黑体" w:eastAsia="黑体" w:cs="黑体"/>
          <w:lang w:eastAsia="zh-CN"/>
        </w:rPr>
        <w:t>规范性引用文件</w:t>
      </w:r>
    </w:p>
    <w:p w14:paraId="51E99CD4">
      <w:pPr>
        <w:spacing w:before="9"/>
        <w:jc w:val="both"/>
        <w:rPr>
          <w:rFonts w:ascii="黑体" w:hAnsi="黑体" w:eastAsia="黑体" w:cs="黑体"/>
          <w:sz w:val="26"/>
          <w:szCs w:val="26"/>
          <w:lang w:eastAsia="zh-CN"/>
        </w:rPr>
      </w:pPr>
    </w:p>
    <w:p w14:paraId="1DCB3BA8">
      <w:pPr>
        <w:ind w:firstLine="420" w:firstLineChars="200"/>
        <w:jc w:val="both"/>
        <w:rPr>
          <w:rFonts w:hint="eastAsia"/>
          <w:spacing w:val="-5"/>
          <w:lang w:eastAsia="zh-CN"/>
        </w:rPr>
      </w:pPr>
      <w:r>
        <w:rPr>
          <w:rFonts w:hint="eastAsia"/>
          <w:spacing w:val="-5"/>
          <w:lang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53A30D0A">
      <w:pPr>
        <w:ind w:firstLine="420" w:firstLineChars="200"/>
        <w:jc w:val="both"/>
        <w:rPr>
          <w:rFonts w:hint="eastAsia"/>
          <w:spacing w:val="-5"/>
          <w:lang w:eastAsia="zh-CN"/>
        </w:rPr>
      </w:pPr>
      <w:r>
        <w:rPr>
          <w:rFonts w:hint="eastAsia"/>
          <w:spacing w:val="-5"/>
          <w:lang w:eastAsia="zh-CN"/>
        </w:rPr>
        <w:t>GB/T 14264 半导体材料术语</w:t>
      </w:r>
    </w:p>
    <w:p w14:paraId="002EF3E7">
      <w:pPr>
        <w:ind w:firstLine="420" w:firstLineChars="200"/>
        <w:jc w:val="both"/>
        <w:rPr>
          <w:rFonts w:hint="eastAsia"/>
          <w:spacing w:val="-5"/>
          <w:lang w:eastAsia="zh-CN"/>
        </w:rPr>
      </w:pPr>
      <w:r>
        <w:rPr>
          <w:rFonts w:hint="eastAsia"/>
          <w:spacing w:val="-5"/>
          <w:lang w:eastAsia="zh-CN"/>
        </w:rPr>
        <w:t>GBT_37053-2018 氮化镓外延片及衬底片通用规范</w:t>
      </w:r>
    </w:p>
    <w:p w14:paraId="026475BC">
      <w:pPr>
        <w:ind w:firstLine="420" w:firstLineChars="200"/>
        <w:jc w:val="both"/>
        <w:rPr>
          <w:rFonts w:ascii="Times New Roman" w:hAnsi="Times New Roman" w:eastAsia="宋体" w:cs="Times New Roman"/>
          <w:color w:val="000000"/>
          <w:kern w:val="2"/>
          <w:sz w:val="21"/>
          <w:szCs w:val="21"/>
          <w:lang w:eastAsia="zh-CN"/>
        </w:rPr>
      </w:pPr>
      <w:r>
        <w:rPr>
          <w:rFonts w:hint="eastAsia"/>
          <w:spacing w:val="-5"/>
          <w:lang w:eastAsia="zh-CN"/>
        </w:rPr>
        <w:t>GB/T 19921-2005 硅抛光片表面颗粒测试方法</w:t>
      </w:r>
    </w:p>
    <w:p w14:paraId="033EBB8C">
      <w:pPr>
        <w:spacing w:before="9"/>
        <w:jc w:val="both"/>
        <w:rPr>
          <w:rFonts w:ascii="宋体" w:hAnsi="宋体" w:eastAsia="宋体" w:cs="宋体"/>
          <w:sz w:val="26"/>
          <w:szCs w:val="26"/>
          <w:lang w:eastAsia="zh-CN"/>
        </w:rPr>
      </w:pPr>
    </w:p>
    <w:p w14:paraId="0CB4AB6C">
      <w:pPr>
        <w:pStyle w:val="4"/>
        <w:tabs>
          <w:tab w:val="left" w:pos="432"/>
        </w:tabs>
        <w:ind w:left="118" w:right="1072"/>
        <w:jc w:val="both"/>
        <w:rPr>
          <w:rFonts w:ascii="黑体" w:hAnsi="黑体" w:eastAsia="黑体" w:cs="黑体"/>
          <w:lang w:eastAsia="zh-CN"/>
        </w:rPr>
      </w:pPr>
      <w:r>
        <w:rPr>
          <w:rFonts w:ascii="黑体" w:hAnsi="黑体" w:eastAsia="黑体" w:cs="黑体"/>
          <w:w w:val="95"/>
          <w:lang w:eastAsia="zh-CN"/>
        </w:rPr>
        <w:t>3</w:t>
      </w:r>
      <w:r>
        <w:rPr>
          <w:rFonts w:ascii="黑体" w:hAnsi="黑体" w:eastAsia="黑体" w:cs="黑体"/>
          <w:w w:val="95"/>
          <w:lang w:eastAsia="zh-CN"/>
        </w:rPr>
        <w:tab/>
      </w:r>
      <w:bookmarkStart w:id="4" w:name="3_术语和定义"/>
      <w:bookmarkEnd w:id="4"/>
      <w:r>
        <w:rPr>
          <w:rFonts w:ascii="黑体" w:hAnsi="黑体" w:eastAsia="黑体" w:cs="黑体"/>
          <w:lang w:eastAsia="zh-CN"/>
        </w:rPr>
        <w:t>术语和定义</w:t>
      </w:r>
    </w:p>
    <w:p w14:paraId="005798E0">
      <w:pPr>
        <w:spacing w:before="9"/>
        <w:jc w:val="both"/>
        <w:rPr>
          <w:rFonts w:ascii="黑体" w:hAnsi="黑体" w:eastAsia="黑体" w:cs="黑体"/>
          <w:sz w:val="26"/>
          <w:szCs w:val="26"/>
          <w:lang w:eastAsia="zh-CN"/>
        </w:rPr>
      </w:pPr>
    </w:p>
    <w:p w14:paraId="135EBC38">
      <w:pPr>
        <w:spacing w:line="360" w:lineRule="auto"/>
        <w:ind w:firstLine="420" w:firstLineChars="200"/>
        <w:jc w:val="both"/>
        <w:rPr>
          <w:sz w:val="21"/>
          <w:szCs w:val="21"/>
          <w:lang w:eastAsia="zh-CN"/>
        </w:rPr>
      </w:pPr>
      <w:r>
        <w:rPr>
          <w:rFonts w:hint="eastAsia" w:ascii="Times New Roman" w:hAnsi="Times New Roman" w:eastAsia="宋体" w:cs="Times New Roman"/>
          <w:kern w:val="2"/>
          <w:sz w:val="21"/>
          <w:szCs w:val="21"/>
          <w:lang w:eastAsia="zh-CN"/>
        </w:rPr>
        <w:t xml:space="preserve"> GB/T 14264、GB</w:t>
      </w:r>
      <w:r>
        <w:rPr>
          <w:rFonts w:hint="eastAsia"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eastAsia="zh-CN"/>
        </w:rPr>
        <w:t>T_37053-2018、GB/T 19921-2005界定的以及下列术语和定义适用于本文件</w:t>
      </w:r>
      <w:r>
        <w:rPr>
          <w:sz w:val="21"/>
          <w:szCs w:val="21"/>
          <w:lang w:eastAsia="zh-CN"/>
        </w:rPr>
        <w:t>。</w:t>
      </w:r>
    </w:p>
    <w:p w14:paraId="317D8702">
      <w:pPr>
        <w:spacing w:line="360" w:lineRule="auto"/>
        <w:ind w:firstLine="420" w:firstLineChars="200"/>
        <w:jc w:val="both"/>
        <w:rPr>
          <w:rFonts w:hint="eastAsia"/>
          <w:sz w:val="21"/>
          <w:szCs w:val="21"/>
          <w:lang w:eastAsia="zh-CN"/>
        </w:rPr>
      </w:pPr>
      <w:r>
        <w:rPr>
          <w:rFonts w:hint="eastAsia"/>
          <w:sz w:val="21"/>
          <w:szCs w:val="21"/>
          <w:lang w:eastAsia="zh-CN"/>
        </w:rPr>
        <w:t xml:space="preserve">3.1 </w:t>
      </w:r>
    </w:p>
    <w:p w14:paraId="6D9FA35C">
      <w:pPr>
        <w:spacing w:line="360" w:lineRule="auto"/>
        <w:ind w:firstLine="420" w:firstLineChars="200"/>
        <w:jc w:val="both"/>
        <w:rPr>
          <w:rFonts w:hint="eastAsia"/>
          <w:sz w:val="21"/>
          <w:szCs w:val="21"/>
          <w:lang w:eastAsia="zh-CN"/>
        </w:rPr>
      </w:pPr>
      <w:r>
        <w:rPr>
          <w:rFonts w:hint="eastAsia"/>
          <w:sz w:val="21"/>
          <w:szCs w:val="21"/>
          <w:lang w:val="en-US" w:eastAsia="zh-CN"/>
        </w:rPr>
        <w:t>氮化镓单晶衬底</w:t>
      </w:r>
      <w:r>
        <w:rPr>
          <w:rFonts w:hint="eastAsia"/>
          <w:sz w:val="21"/>
          <w:szCs w:val="21"/>
          <w:lang w:eastAsia="zh-CN"/>
        </w:rPr>
        <w:t xml:space="preserve"> </w:t>
      </w:r>
      <w:r>
        <w:rPr>
          <w:rFonts w:hint="eastAsia"/>
          <w:sz w:val="21"/>
          <w:szCs w:val="21"/>
          <w:lang w:val="en-US" w:eastAsia="zh-CN"/>
        </w:rPr>
        <w:t xml:space="preserve">GaN </w:t>
      </w:r>
      <w:r>
        <w:rPr>
          <w:rFonts w:hint="eastAsia"/>
          <w:sz w:val="21"/>
          <w:szCs w:val="21"/>
          <w:lang w:eastAsia="zh-CN"/>
        </w:rPr>
        <w:t>single crystal substrate</w:t>
      </w:r>
    </w:p>
    <w:p w14:paraId="20C19A81">
      <w:pPr>
        <w:spacing w:line="360" w:lineRule="auto"/>
        <w:ind w:firstLine="420" w:firstLineChars="200"/>
        <w:jc w:val="both"/>
        <w:rPr>
          <w:rFonts w:hint="eastAsia"/>
          <w:sz w:val="21"/>
          <w:szCs w:val="21"/>
          <w:lang w:eastAsia="zh-CN"/>
        </w:rPr>
      </w:pPr>
      <w:r>
        <w:rPr>
          <w:rFonts w:hint="eastAsia"/>
          <w:sz w:val="21"/>
          <w:szCs w:val="21"/>
          <w:lang w:val="en-US" w:eastAsia="zh-CN"/>
        </w:rPr>
        <w:t>半导体工艺中的基底，具有晶面和适当电学、光学和机械特性的用于外延沉积、扩散、离子注入等后续工艺操作的氮化镓单晶基片</w:t>
      </w:r>
      <w:r>
        <w:rPr>
          <w:rFonts w:hint="eastAsia"/>
          <w:sz w:val="21"/>
          <w:szCs w:val="21"/>
          <w:lang w:eastAsia="zh-CN"/>
        </w:rPr>
        <w:t>。</w:t>
      </w:r>
    </w:p>
    <w:p w14:paraId="20A48C6E">
      <w:pPr>
        <w:spacing w:line="360" w:lineRule="auto"/>
        <w:ind w:firstLine="420" w:firstLineChars="200"/>
        <w:jc w:val="both"/>
        <w:rPr>
          <w:rFonts w:hint="eastAsia"/>
          <w:sz w:val="21"/>
          <w:szCs w:val="21"/>
          <w:lang w:eastAsia="zh-CN"/>
        </w:rPr>
      </w:pPr>
      <w:r>
        <w:rPr>
          <w:rFonts w:hint="eastAsia"/>
          <w:sz w:val="21"/>
          <w:szCs w:val="21"/>
          <w:lang w:eastAsia="zh-CN"/>
        </w:rPr>
        <w:t>3.</w:t>
      </w:r>
      <w:r>
        <w:rPr>
          <w:rFonts w:hint="eastAsia"/>
          <w:sz w:val="21"/>
          <w:szCs w:val="21"/>
          <w:lang w:val="en-US" w:eastAsia="zh-CN"/>
        </w:rPr>
        <w:t>2</w:t>
      </w:r>
      <w:r>
        <w:rPr>
          <w:rFonts w:hint="eastAsia"/>
          <w:sz w:val="21"/>
          <w:szCs w:val="21"/>
          <w:lang w:eastAsia="zh-CN"/>
        </w:rPr>
        <w:t xml:space="preserve"> </w:t>
      </w:r>
    </w:p>
    <w:p w14:paraId="34C986C2">
      <w:pPr>
        <w:spacing w:line="360" w:lineRule="auto"/>
        <w:ind w:firstLine="420" w:firstLineChars="200"/>
        <w:jc w:val="both"/>
        <w:rPr>
          <w:rFonts w:hint="default"/>
          <w:sz w:val="21"/>
          <w:szCs w:val="21"/>
          <w:lang w:val="en-US" w:eastAsia="zh-CN"/>
        </w:rPr>
      </w:pPr>
      <w:r>
        <w:rPr>
          <w:rFonts w:hint="eastAsia"/>
          <w:sz w:val="21"/>
          <w:szCs w:val="21"/>
          <w:lang w:val="en-US" w:eastAsia="zh-CN"/>
        </w:rPr>
        <w:t>氮化镓同质外延片</w:t>
      </w:r>
      <w:r>
        <w:rPr>
          <w:rFonts w:hint="eastAsia"/>
          <w:sz w:val="21"/>
          <w:szCs w:val="21"/>
          <w:lang w:eastAsia="zh-CN"/>
        </w:rPr>
        <w:t xml:space="preserve"> </w:t>
      </w:r>
      <w:r>
        <w:rPr>
          <w:rFonts w:hint="eastAsia"/>
          <w:sz w:val="21"/>
          <w:szCs w:val="21"/>
          <w:lang w:val="en-US" w:eastAsia="zh-CN"/>
        </w:rPr>
        <w:t>Homogeneous epitaxial wafer for GaN</w:t>
      </w:r>
    </w:p>
    <w:p w14:paraId="2A2FBB11">
      <w:pPr>
        <w:spacing w:line="360" w:lineRule="auto"/>
        <w:ind w:firstLine="420" w:firstLineChars="200"/>
        <w:jc w:val="both"/>
        <w:rPr>
          <w:rFonts w:hint="eastAsia"/>
          <w:sz w:val="21"/>
          <w:szCs w:val="21"/>
          <w:lang w:eastAsia="zh-CN"/>
        </w:rPr>
      </w:pPr>
      <w:r>
        <w:rPr>
          <w:rFonts w:hint="eastAsia"/>
          <w:sz w:val="21"/>
          <w:szCs w:val="21"/>
          <w:lang w:val="en-US" w:eastAsia="zh-CN"/>
        </w:rPr>
        <w:t>用气相、液相、分子束等方法在氮化镓单晶衬底上生长的氮化镓单晶薄层的晶片</w:t>
      </w:r>
      <w:r>
        <w:rPr>
          <w:rFonts w:hint="eastAsia"/>
          <w:sz w:val="21"/>
          <w:szCs w:val="21"/>
          <w:lang w:eastAsia="zh-CN"/>
        </w:rPr>
        <w:t>。</w:t>
      </w:r>
    </w:p>
    <w:p w14:paraId="073BD6BC">
      <w:pPr>
        <w:spacing w:line="360" w:lineRule="auto"/>
        <w:ind w:firstLine="420" w:firstLineChars="200"/>
        <w:jc w:val="both"/>
        <w:rPr>
          <w:rFonts w:hint="eastAsia"/>
          <w:sz w:val="21"/>
          <w:szCs w:val="21"/>
          <w:lang w:val="en-US" w:eastAsia="zh-CN"/>
        </w:rPr>
      </w:pPr>
      <w:r>
        <w:rPr>
          <w:rFonts w:hint="eastAsia"/>
          <w:sz w:val="21"/>
          <w:szCs w:val="21"/>
          <w:lang w:val="en-US" w:eastAsia="zh-CN"/>
        </w:rPr>
        <w:t>3.3</w:t>
      </w:r>
    </w:p>
    <w:p w14:paraId="4C12BBAE">
      <w:pPr>
        <w:spacing w:line="360" w:lineRule="auto"/>
        <w:ind w:firstLine="420" w:firstLineChars="200"/>
        <w:jc w:val="both"/>
        <w:rPr>
          <w:rFonts w:hint="default"/>
          <w:sz w:val="21"/>
          <w:szCs w:val="21"/>
          <w:lang w:val="en-US" w:eastAsia="zh-CN"/>
        </w:rPr>
      </w:pPr>
      <w:r>
        <w:rPr>
          <w:rFonts w:hint="eastAsia"/>
          <w:sz w:val="21"/>
          <w:szCs w:val="21"/>
          <w:lang w:val="en-US" w:eastAsia="zh-CN"/>
        </w:rPr>
        <w:t>氮化镓异质外延片</w:t>
      </w:r>
      <w:r>
        <w:rPr>
          <w:rFonts w:hint="eastAsia"/>
          <w:sz w:val="21"/>
          <w:szCs w:val="21"/>
          <w:lang w:eastAsia="zh-CN"/>
        </w:rPr>
        <w:t xml:space="preserve"> </w:t>
      </w:r>
      <w:r>
        <w:rPr>
          <w:rFonts w:hint="eastAsia"/>
          <w:sz w:val="21"/>
          <w:szCs w:val="21"/>
          <w:lang w:val="en-US" w:eastAsia="zh-CN"/>
        </w:rPr>
        <w:t>Heteroepitaxial wafer for GaN</w:t>
      </w:r>
    </w:p>
    <w:p w14:paraId="78FDCD53">
      <w:pPr>
        <w:spacing w:line="360" w:lineRule="auto"/>
        <w:ind w:firstLine="420" w:firstLineChars="200"/>
        <w:jc w:val="both"/>
        <w:rPr>
          <w:rFonts w:hint="eastAsia"/>
          <w:sz w:val="21"/>
          <w:szCs w:val="21"/>
          <w:lang w:val="en-US" w:eastAsia="zh-CN"/>
        </w:rPr>
      </w:pPr>
      <w:r>
        <w:rPr>
          <w:rFonts w:hint="eastAsia"/>
          <w:sz w:val="21"/>
          <w:szCs w:val="21"/>
          <w:lang w:val="en-US" w:eastAsia="zh-CN"/>
        </w:rPr>
        <w:t>用气相、液相、分子束等方法在非氮化镓单晶衬底上生长的氮化镓单晶薄层的晶片</w:t>
      </w:r>
    </w:p>
    <w:p w14:paraId="02F4A1A4">
      <w:pPr>
        <w:spacing w:line="360" w:lineRule="auto"/>
        <w:ind w:firstLine="420" w:firstLineChars="200"/>
        <w:jc w:val="both"/>
        <w:rPr>
          <w:rFonts w:hint="eastAsia"/>
          <w:sz w:val="21"/>
          <w:szCs w:val="21"/>
          <w:lang w:val="en-US" w:eastAsia="zh-CN"/>
        </w:rPr>
      </w:pPr>
      <w:r>
        <w:rPr>
          <w:rFonts w:hint="eastAsia"/>
          <w:sz w:val="21"/>
          <w:szCs w:val="21"/>
          <w:lang w:val="en-US" w:eastAsia="zh-CN"/>
        </w:rPr>
        <w:t>3.4</w:t>
      </w:r>
    </w:p>
    <w:p w14:paraId="659A1E96">
      <w:pPr>
        <w:spacing w:line="360" w:lineRule="auto"/>
        <w:ind w:firstLine="420" w:firstLineChars="200"/>
        <w:jc w:val="both"/>
        <w:rPr>
          <w:rFonts w:hint="default"/>
          <w:sz w:val="21"/>
          <w:szCs w:val="21"/>
          <w:lang w:val="en-US" w:eastAsia="zh-CN"/>
        </w:rPr>
      </w:pPr>
      <w:r>
        <w:rPr>
          <w:rFonts w:hint="eastAsia"/>
          <w:sz w:val="21"/>
          <w:szCs w:val="21"/>
          <w:lang w:val="en-US" w:eastAsia="zh-CN"/>
        </w:rPr>
        <w:t>氮化铝外延片 Epitaxial wafer for AlN</w:t>
      </w:r>
    </w:p>
    <w:p w14:paraId="0DC74BE0">
      <w:pPr>
        <w:spacing w:line="360" w:lineRule="auto"/>
        <w:ind w:firstLine="420" w:firstLineChars="200"/>
        <w:jc w:val="both"/>
        <w:rPr>
          <w:rFonts w:hint="default"/>
          <w:sz w:val="21"/>
          <w:szCs w:val="21"/>
          <w:lang w:val="en-US" w:eastAsia="zh-CN"/>
        </w:rPr>
      </w:pPr>
      <w:r>
        <w:rPr>
          <w:rFonts w:hint="eastAsia"/>
          <w:sz w:val="21"/>
          <w:szCs w:val="21"/>
          <w:lang w:val="en-US" w:eastAsia="zh-CN"/>
        </w:rPr>
        <w:t>用气相、液相、分子束等方法在基底上生长的氮化铝单晶薄层的晶片</w:t>
      </w:r>
    </w:p>
    <w:p w14:paraId="40F9245E">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5</w:t>
      </w:r>
    </w:p>
    <w:p w14:paraId="23D8D8F2">
      <w:pPr>
        <w:spacing w:line="360" w:lineRule="auto"/>
        <w:ind w:firstLine="420" w:firstLineChars="200"/>
        <w:jc w:val="both"/>
        <w:rPr>
          <w:rFonts w:hint="eastAsia"/>
          <w:sz w:val="21"/>
          <w:szCs w:val="21"/>
          <w:lang w:eastAsia="zh-CN"/>
        </w:rPr>
      </w:pPr>
      <w:r>
        <w:rPr>
          <w:rFonts w:hint="eastAsia"/>
          <w:sz w:val="21"/>
          <w:szCs w:val="21"/>
          <w:lang w:eastAsia="zh-CN"/>
        </w:rPr>
        <w:t>光学检测 optical inspection</w:t>
      </w:r>
    </w:p>
    <w:p w14:paraId="1CEAD220">
      <w:pPr>
        <w:spacing w:line="360" w:lineRule="auto"/>
        <w:ind w:firstLine="420" w:firstLineChars="200"/>
        <w:jc w:val="both"/>
        <w:rPr>
          <w:rFonts w:hint="eastAsia"/>
          <w:sz w:val="21"/>
          <w:szCs w:val="21"/>
          <w:lang w:eastAsia="zh-CN"/>
        </w:rPr>
      </w:pPr>
      <w:r>
        <w:rPr>
          <w:rFonts w:hint="eastAsia"/>
          <w:sz w:val="21"/>
          <w:szCs w:val="21"/>
          <w:lang w:eastAsia="zh-CN"/>
        </w:rPr>
        <w:t>在光电传感器中利用光学成像对晶片进行形态检测，在非接触测试方法下扫描晶片表面以获得缺陷的特征，例如缺陷的大小和形状。</w:t>
      </w:r>
    </w:p>
    <w:p w14:paraId="6B567173">
      <w:pPr>
        <w:spacing w:line="360" w:lineRule="auto"/>
        <w:ind w:firstLine="420" w:firstLineChars="200"/>
        <w:jc w:val="both"/>
        <w:rPr>
          <w:rFonts w:hint="eastAsia"/>
          <w:sz w:val="21"/>
          <w:szCs w:val="21"/>
          <w:lang w:eastAsia="zh-CN"/>
        </w:rPr>
      </w:pPr>
      <w:r>
        <w:rPr>
          <w:rFonts w:hint="eastAsia"/>
          <w:sz w:val="21"/>
          <w:szCs w:val="21"/>
          <w:lang w:eastAsia="zh-CN"/>
        </w:rPr>
        <w:t>3.</w:t>
      </w:r>
      <w:r>
        <w:rPr>
          <w:rFonts w:hint="eastAsia"/>
          <w:sz w:val="21"/>
          <w:szCs w:val="21"/>
          <w:lang w:val="en-US" w:eastAsia="zh-CN"/>
        </w:rPr>
        <w:t>6</w:t>
      </w:r>
      <w:r>
        <w:rPr>
          <w:rFonts w:hint="eastAsia"/>
          <w:sz w:val="21"/>
          <w:szCs w:val="21"/>
          <w:lang w:eastAsia="zh-CN"/>
        </w:rPr>
        <w:t xml:space="preserve"> </w:t>
      </w:r>
    </w:p>
    <w:p w14:paraId="3F4C17CB">
      <w:pPr>
        <w:spacing w:line="360" w:lineRule="auto"/>
        <w:ind w:firstLine="420" w:firstLineChars="200"/>
        <w:jc w:val="both"/>
        <w:rPr>
          <w:rFonts w:hint="eastAsia"/>
          <w:sz w:val="21"/>
          <w:szCs w:val="21"/>
          <w:lang w:eastAsia="zh-CN"/>
        </w:rPr>
      </w:pPr>
      <w:r>
        <w:rPr>
          <w:rFonts w:hint="eastAsia"/>
          <w:sz w:val="21"/>
          <w:szCs w:val="21"/>
          <w:lang w:eastAsia="zh-CN"/>
        </w:rPr>
        <w:t>光学成像 optical imaging</w:t>
      </w:r>
    </w:p>
    <w:p w14:paraId="5A5E4ACC">
      <w:pPr>
        <w:spacing w:line="360" w:lineRule="auto"/>
        <w:ind w:firstLine="420" w:firstLineChars="200"/>
        <w:jc w:val="both"/>
        <w:rPr>
          <w:rFonts w:hint="eastAsia"/>
          <w:sz w:val="21"/>
          <w:szCs w:val="21"/>
          <w:lang w:eastAsia="zh-CN"/>
        </w:rPr>
      </w:pPr>
      <w:r>
        <w:rPr>
          <w:rFonts w:hint="eastAsia"/>
          <w:sz w:val="21"/>
          <w:szCs w:val="21"/>
          <w:lang w:eastAsia="zh-CN"/>
        </w:rPr>
        <w:t>利用光源照明、光学部件、光电传感器和计算机系统捕捉、处理和分析缺陷图像的技术。</w:t>
      </w:r>
    </w:p>
    <w:p w14:paraId="6A7FFCD7">
      <w:pPr>
        <w:spacing w:line="360" w:lineRule="auto"/>
        <w:ind w:firstLine="420" w:firstLineChars="200"/>
        <w:jc w:val="both"/>
        <w:rPr>
          <w:rFonts w:hint="eastAsia"/>
          <w:sz w:val="21"/>
          <w:szCs w:val="21"/>
          <w:lang w:eastAsia="zh-CN"/>
        </w:rPr>
      </w:pPr>
      <w:r>
        <w:rPr>
          <w:rFonts w:hint="eastAsia"/>
          <w:sz w:val="21"/>
          <w:szCs w:val="21"/>
          <w:lang w:eastAsia="zh-CN"/>
        </w:rPr>
        <w:t>3.</w:t>
      </w:r>
      <w:r>
        <w:rPr>
          <w:rFonts w:hint="eastAsia"/>
          <w:sz w:val="21"/>
          <w:szCs w:val="21"/>
          <w:lang w:val="en-US" w:eastAsia="zh-CN"/>
        </w:rPr>
        <w:t>7</w:t>
      </w:r>
      <w:r>
        <w:rPr>
          <w:rFonts w:hint="eastAsia"/>
          <w:sz w:val="21"/>
          <w:szCs w:val="21"/>
          <w:lang w:eastAsia="zh-CN"/>
        </w:rPr>
        <w:t xml:space="preserve"> </w:t>
      </w:r>
    </w:p>
    <w:p w14:paraId="25FDAE0F">
      <w:pPr>
        <w:spacing w:line="360" w:lineRule="auto"/>
        <w:ind w:firstLine="420" w:firstLineChars="200"/>
        <w:jc w:val="both"/>
        <w:rPr>
          <w:rFonts w:hint="eastAsia"/>
          <w:sz w:val="21"/>
          <w:szCs w:val="21"/>
          <w:lang w:eastAsia="zh-CN"/>
        </w:rPr>
      </w:pPr>
      <w:r>
        <w:rPr>
          <w:rFonts w:hint="eastAsia"/>
          <w:sz w:val="21"/>
          <w:szCs w:val="21"/>
          <w:lang w:eastAsia="zh-CN"/>
        </w:rPr>
        <w:t>反射光 reflected light</w:t>
      </w:r>
    </w:p>
    <w:p w14:paraId="4EFE3697">
      <w:pPr>
        <w:spacing w:line="360" w:lineRule="auto"/>
        <w:ind w:firstLine="420" w:firstLineChars="200"/>
        <w:jc w:val="both"/>
        <w:rPr>
          <w:rFonts w:hint="eastAsia"/>
          <w:sz w:val="21"/>
          <w:szCs w:val="21"/>
          <w:lang w:eastAsia="zh-CN"/>
        </w:rPr>
      </w:pPr>
      <w:r>
        <w:rPr>
          <w:rFonts w:hint="eastAsia"/>
          <w:sz w:val="21"/>
          <w:szCs w:val="21"/>
          <w:lang w:eastAsia="zh-CN"/>
        </w:rPr>
        <w:t>入射光线照射到晶片表面后反射出来的光线。</w:t>
      </w:r>
    </w:p>
    <w:p w14:paraId="3EBB3E42">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8</w:t>
      </w:r>
    </w:p>
    <w:p w14:paraId="56582EF4">
      <w:pPr>
        <w:spacing w:line="360" w:lineRule="auto"/>
        <w:ind w:firstLine="420" w:firstLineChars="200"/>
        <w:jc w:val="both"/>
        <w:rPr>
          <w:rFonts w:hint="eastAsia"/>
          <w:sz w:val="21"/>
          <w:szCs w:val="21"/>
          <w:lang w:eastAsia="zh-CN"/>
        </w:rPr>
      </w:pPr>
      <w:r>
        <w:rPr>
          <w:rFonts w:hint="eastAsia"/>
          <w:sz w:val="21"/>
          <w:szCs w:val="21"/>
          <w:lang w:eastAsia="zh-CN"/>
        </w:rPr>
        <w:t>散射光 diffused light</w:t>
      </w:r>
    </w:p>
    <w:p w14:paraId="58C95A1D">
      <w:pPr>
        <w:spacing w:line="360" w:lineRule="auto"/>
        <w:ind w:firstLine="420" w:firstLineChars="200"/>
        <w:jc w:val="both"/>
        <w:rPr>
          <w:rFonts w:hint="eastAsia"/>
          <w:sz w:val="21"/>
          <w:szCs w:val="21"/>
          <w:lang w:eastAsia="zh-CN"/>
        </w:rPr>
      </w:pPr>
      <w:r>
        <w:rPr>
          <w:rFonts w:hint="eastAsia"/>
          <w:sz w:val="21"/>
          <w:szCs w:val="21"/>
          <w:lang w:eastAsia="zh-CN"/>
        </w:rPr>
        <w:t>入射光线照射到晶片表面后散射出来的光线。</w:t>
      </w:r>
    </w:p>
    <w:p w14:paraId="0BE2F964">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9</w:t>
      </w:r>
    </w:p>
    <w:p w14:paraId="0CA3A481">
      <w:pPr>
        <w:spacing w:line="360" w:lineRule="auto"/>
        <w:ind w:firstLine="420" w:firstLineChars="200"/>
        <w:jc w:val="both"/>
        <w:rPr>
          <w:rFonts w:hint="eastAsia"/>
          <w:sz w:val="21"/>
          <w:szCs w:val="21"/>
          <w:lang w:eastAsia="zh-CN"/>
        </w:rPr>
      </w:pPr>
      <w:r>
        <w:rPr>
          <w:rFonts w:hint="eastAsia"/>
          <w:sz w:val="21"/>
          <w:szCs w:val="21"/>
          <w:lang w:eastAsia="zh-CN"/>
        </w:rPr>
        <w:t>明场检测 bright-field observation</w:t>
      </w:r>
    </w:p>
    <w:p w14:paraId="00591376">
      <w:pPr>
        <w:spacing w:line="360" w:lineRule="auto"/>
        <w:ind w:firstLine="420" w:firstLineChars="200"/>
        <w:jc w:val="both"/>
        <w:rPr>
          <w:rFonts w:hint="eastAsia"/>
          <w:sz w:val="21"/>
          <w:szCs w:val="21"/>
          <w:lang w:eastAsia="zh-CN"/>
        </w:rPr>
      </w:pPr>
      <w:r>
        <w:rPr>
          <w:rFonts w:hint="eastAsia"/>
          <w:sz w:val="21"/>
          <w:szCs w:val="21"/>
          <w:lang w:eastAsia="zh-CN"/>
        </w:rPr>
        <w:t>光电传感器检测晶圆的反射光获得明场成像，并通过计算机系统识别并捕捉晶圆表面的缺陷。</w:t>
      </w:r>
    </w:p>
    <w:p w14:paraId="115CC394">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10</w:t>
      </w:r>
    </w:p>
    <w:p w14:paraId="756FA809">
      <w:pPr>
        <w:spacing w:line="360" w:lineRule="auto"/>
        <w:ind w:firstLine="420" w:firstLineChars="200"/>
        <w:jc w:val="both"/>
        <w:rPr>
          <w:rFonts w:hint="eastAsia"/>
          <w:sz w:val="21"/>
          <w:szCs w:val="21"/>
          <w:lang w:eastAsia="zh-CN"/>
        </w:rPr>
      </w:pPr>
      <w:r>
        <w:rPr>
          <w:rFonts w:hint="eastAsia"/>
          <w:sz w:val="21"/>
          <w:szCs w:val="21"/>
          <w:lang w:eastAsia="zh-CN"/>
        </w:rPr>
        <w:t>暗场检测 dark-field observation</w:t>
      </w:r>
    </w:p>
    <w:p w14:paraId="570AAAA7">
      <w:pPr>
        <w:spacing w:line="360" w:lineRule="auto"/>
        <w:ind w:firstLine="420" w:firstLineChars="200"/>
        <w:jc w:val="both"/>
        <w:rPr>
          <w:rFonts w:hint="eastAsia"/>
          <w:sz w:val="21"/>
          <w:szCs w:val="21"/>
          <w:lang w:eastAsia="zh-CN"/>
        </w:rPr>
      </w:pPr>
      <w:r>
        <w:rPr>
          <w:rFonts w:hint="eastAsia"/>
          <w:sz w:val="21"/>
          <w:szCs w:val="21"/>
          <w:lang w:eastAsia="zh-CN"/>
        </w:rPr>
        <w:t>光电传感器检测晶圆的散射光获得暗场成像，并通过计算机系统识别并捕捉晶圆表面的缺陷。</w:t>
      </w:r>
    </w:p>
    <w:p w14:paraId="19856561">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11</w:t>
      </w:r>
    </w:p>
    <w:p w14:paraId="685D7914">
      <w:pPr>
        <w:spacing w:line="360" w:lineRule="auto"/>
        <w:ind w:firstLine="420" w:firstLineChars="200"/>
        <w:jc w:val="both"/>
        <w:rPr>
          <w:rFonts w:hint="eastAsia"/>
          <w:sz w:val="21"/>
          <w:szCs w:val="21"/>
          <w:lang w:eastAsia="zh-CN"/>
        </w:rPr>
      </w:pPr>
      <w:r>
        <w:rPr>
          <w:rFonts w:hint="eastAsia"/>
          <w:sz w:val="21"/>
          <w:szCs w:val="21"/>
          <w:lang w:eastAsia="zh-CN"/>
        </w:rPr>
        <w:t>相位检测 phase observation</w:t>
      </w:r>
    </w:p>
    <w:p w14:paraId="5F40B3E9">
      <w:pPr>
        <w:spacing w:line="360" w:lineRule="auto"/>
        <w:ind w:firstLine="420" w:firstLineChars="200"/>
        <w:jc w:val="both"/>
        <w:rPr>
          <w:rFonts w:hint="eastAsia"/>
          <w:sz w:val="21"/>
          <w:szCs w:val="21"/>
          <w:lang w:eastAsia="zh-CN"/>
        </w:rPr>
      </w:pPr>
      <w:r>
        <w:rPr>
          <w:rFonts w:hint="eastAsia"/>
          <w:sz w:val="21"/>
          <w:szCs w:val="21"/>
          <w:lang w:eastAsia="zh-CN"/>
        </w:rPr>
        <w:t>通过在晶圆表面同一位置反射的</w:t>
      </w:r>
      <w:r>
        <w:rPr>
          <w:rFonts w:hint="eastAsia"/>
          <w:sz w:val="21"/>
          <w:szCs w:val="21"/>
          <w:lang w:val="en-US" w:eastAsia="zh-CN"/>
        </w:rPr>
        <w:t>两</w:t>
      </w:r>
      <w:r>
        <w:rPr>
          <w:rFonts w:hint="eastAsia"/>
          <w:sz w:val="21"/>
          <w:szCs w:val="21"/>
          <w:lang w:eastAsia="zh-CN"/>
        </w:rPr>
        <w:t>束正交偏振光，利用光路路径差异产生不同对比度的成像，并通过计算机系统识别并捕捉晶圆表面的缺陷。</w:t>
      </w:r>
    </w:p>
    <w:p w14:paraId="1AE069C6">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12</w:t>
      </w:r>
    </w:p>
    <w:p w14:paraId="2F281FCD">
      <w:pPr>
        <w:spacing w:line="360" w:lineRule="auto"/>
        <w:ind w:firstLine="420" w:firstLineChars="200"/>
        <w:jc w:val="both"/>
        <w:rPr>
          <w:rFonts w:hint="eastAsia"/>
          <w:sz w:val="21"/>
          <w:szCs w:val="21"/>
          <w:lang w:eastAsia="zh-CN"/>
        </w:rPr>
      </w:pPr>
      <w:r>
        <w:rPr>
          <w:rFonts w:hint="eastAsia"/>
          <w:sz w:val="21"/>
          <w:szCs w:val="21"/>
          <w:lang w:eastAsia="zh-CN"/>
        </w:rPr>
        <w:t>偏振光检测 polarized light observation</w:t>
      </w:r>
    </w:p>
    <w:p w14:paraId="7F0EEE61">
      <w:pPr>
        <w:spacing w:line="360" w:lineRule="auto"/>
        <w:ind w:firstLine="420" w:firstLineChars="200"/>
        <w:jc w:val="both"/>
        <w:rPr>
          <w:rFonts w:hint="eastAsia"/>
          <w:sz w:val="21"/>
          <w:szCs w:val="21"/>
          <w:lang w:eastAsia="zh-CN"/>
        </w:rPr>
      </w:pPr>
      <w:r>
        <w:rPr>
          <w:rFonts w:hint="eastAsia"/>
          <w:sz w:val="21"/>
          <w:szCs w:val="21"/>
          <w:lang w:eastAsia="zh-CN"/>
        </w:rPr>
        <w:t>利用偏振光照射到晶片表面产生的不同偏振状态的反射偏振光，从而获得成像，并通过计算机系统识别并捕捉晶圆表面的缺陷。</w:t>
      </w:r>
    </w:p>
    <w:p w14:paraId="71246483">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13</w:t>
      </w:r>
    </w:p>
    <w:p w14:paraId="527BD1A7">
      <w:pPr>
        <w:spacing w:line="360" w:lineRule="auto"/>
        <w:ind w:firstLine="420" w:firstLineChars="200"/>
        <w:jc w:val="both"/>
        <w:rPr>
          <w:rFonts w:hint="eastAsia"/>
          <w:sz w:val="21"/>
          <w:szCs w:val="21"/>
          <w:lang w:eastAsia="zh-CN"/>
        </w:rPr>
      </w:pPr>
      <w:r>
        <w:rPr>
          <w:rFonts w:hint="eastAsia"/>
          <w:sz w:val="21"/>
          <w:szCs w:val="21"/>
          <w:lang w:eastAsia="zh-CN"/>
        </w:rPr>
        <w:t>光致发光 photoluminescence; PL</w:t>
      </w:r>
    </w:p>
    <w:p w14:paraId="26CF27B0">
      <w:pPr>
        <w:spacing w:line="360" w:lineRule="auto"/>
        <w:ind w:firstLine="420" w:firstLineChars="200"/>
        <w:jc w:val="both"/>
        <w:rPr>
          <w:rFonts w:hint="eastAsia"/>
          <w:sz w:val="21"/>
          <w:szCs w:val="21"/>
          <w:lang w:eastAsia="zh-CN"/>
        </w:rPr>
      </w:pPr>
      <w:r>
        <w:rPr>
          <w:rFonts w:hint="eastAsia"/>
          <w:sz w:val="21"/>
          <w:szCs w:val="21"/>
          <w:lang w:eastAsia="zh-CN"/>
        </w:rPr>
        <w:t>材料通过吸收光子将低能级电子激发至高能级，随后高能级电子跃迁至低能级，同时这部分能量以光子的形式向外发射的现象。</w:t>
      </w:r>
    </w:p>
    <w:p w14:paraId="606FD5C3">
      <w:pPr>
        <w:spacing w:line="360" w:lineRule="auto"/>
        <w:ind w:firstLine="420" w:firstLineChars="200"/>
        <w:jc w:val="both"/>
        <w:rPr>
          <w:rFonts w:hint="default"/>
          <w:sz w:val="21"/>
          <w:szCs w:val="21"/>
          <w:lang w:val="en-US" w:eastAsia="zh-CN"/>
        </w:rPr>
      </w:pPr>
      <w:r>
        <w:rPr>
          <w:rFonts w:hint="eastAsia"/>
          <w:sz w:val="21"/>
          <w:szCs w:val="21"/>
          <w:lang w:eastAsia="zh-CN"/>
        </w:rPr>
        <w:t>3.1</w:t>
      </w:r>
      <w:r>
        <w:rPr>
          <w:rFonts w:hint="eastAsia"/>
          <w:sz w:val="21"/>
          <w:szCs w:val="21"/>
          <w:lang w:val="en-US" w:eastAsia="zh-CN"/>
        </w:rPr>
        <w:t>4</w:t>
      </w:r>
    </w:p>
    <w:p w14:paraId="753AC3E8">
      <w:pPr>
        <w:spacing w:line="360" w:lineRule="auto"/>
        <w:ind w:firstLine="420" w:firstLineChars="200"/>
        <w:jc w:val="both"/>
        <w:rPr>
          <w:rFonts w:hint="eastAsia"/>
          <w:sz w:val="21"/>
          <w:szCs w:val="21"/>
          <w:lang w:eastAsia="zh-CN"/>
        </w:rPr>
      </w:pPr>
      <w:r>
        <w:rPr>
          <w:rFonts w:hint="eastAsia"/>
          <w:sz w:val="21"/>
          <w:szCs w:val="21"/>
          <w:lang w:eastAsia="zh-CN"/>
        </w:rPr>
        <w:t>光致发光成像 photoluminescence imaging; PL imaging</w:t>
      </w:r>
    </w:p>
    <w:p w14:paraId="2A152078">
      <w:pPr>
        <w:spacing w:line="360" w:lineRule="auto"/>
        <w:ind w:firstLine="420" w:firstLineChars="200"/>
        <w:jc w:val="both"/>
        <w:rPr>
          <w:rFonts w:hint="eastAsia"/>
          <w:sz w:val="21"/>
          <w:szCs w:val="21"/>
          <w:lang w:eastAsia="zh-CN"/>
        </w:rPr>
      </w:pPr>
      <w:r>
        <w:rPr>
          <w:rFonts w:hint="eastAsia"/>
          <w:sz w:val="21"/>
          <w:szCs w:val="21"/>
          <w:lang w:eastAsia="zh-CN"/>
        </w:rPr>
        <w:t>对材料产生的光致荧光进行光学聚焦、光学滤波，从而实现荧光成像。</w:t>
      </w:r>
    </w:p>
    <w:p w14:paraId="6285588D">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15</w:t>
      </w:r>
    </w:p>
    <w:p w14:paraId="0DA4C2F0">
      <w:pPr>
        <w:spacing w:line="360" w:lineRule="auto"/>
        <w:ind w:firstLine="420" w:firstLineChars="200"/>
        <w:jc w:val="both"/>
        <w:rPr>
          <w:rFonts w:hint="eastAsia"/>
          <w:sz w:val="21"/>
          <w:szCs w:val="21"/>
          <w:lang w:eastAsia="zh-CN"/>
        </w:rPr>
      </w:pPr>
      <w:r>
        <w:rPr>
          <w:rFonts w:hint="eastAsia"/>
          <w:sz w:val="21"/>
          <w:szCs w:val="21"/>
          <w:lang w:eastAsia="zh-CN"/>
        </w:rPr>
        <w:t>参考晶片 reference wafer</w:t>
      </w:r>
    </w:p>
    <w:p w14:paraId="4F5C6034">
      <w:pPr>
        <w:spacing w:line="360" w:lineRule="auto"/>
        <w:ind w:firstLine="420" w:firstLineChars="200"/>
        <w:jc w:val="both"/>
        <w:rPr>
          <w:rFonts w:hint="eastAsia"/>
          <w:sz w:val="21"/>
          <w:szCs w:val="21"/>
          <w:lang w:eastAsia="zh-CN"/>
        </w:rPr>
      </w:pPr>
      <w:r>
        <w:rPr>
          <w:rFonts w:hint="eastAsia"/>
          <w:sz w:val="21"/>
          <w:szCs w:val="21"/>
          <w:lang w:eastAsia="zh-CN"/>
        </w:rPr>
        <w:t>已通过评估的用于缺陷光学检测过程的再现性和重复性的晶片。</w:t>
      </w:r>
    </w:p>
    <w:p w14:paraId="044E4025">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16</w:t>
      </w:r>
    </w:p>
    <w:p w14:paraId="4DCBADD6">
      <w:pPr>
        <w:spacing w:line="360" w:lineRule="auto"/>
        <w:ind w:firstLine="420" w:firstLineChars="200"/>
        <w:jc w:val="both"/>
        <w:rPr>
          <w:rFonts w:hint="eastAsia"/>
          <w:sz w:val="21"/>
          <w:szCs w:val="21"/>
          <w:lang w:eastAsia="zh-CN"/>
        </w:rPr>
      </w:pPr>
      <w:r>
        <w:rPr>
          <w:rFonts w:hint="eastAsia"/>
          <w:sz w:val="21"/>
          <w:szCs w:val="21"/>
          <w:lang w:eastAsia="zh-CN"/>
        </w:rPr>
        <w:t>测试晶片 test wafer</w:t>
      </w:r>
    </w:p>
    <w:p w14:paraId="43C9C259">
      <w:pPr>
        <w:spacing w:line="360" w:lineRule="auto"/>
        <w:ind w:firstLine="420" w:firstLineChars="200"/>
        <w:jc w:val="both"/>
        <w:rPr>
          <w:rFonts w:hint="eastAsia"/>
          <w:sz w:val="21"/>
          <w:szCs w:val="21"/>
          <w:lang w:eastAsia="zh-CN"/>
        </w:rPr>
      </w:pPr>
      <w:r>
        <w:rPr>
          <w:rFonts w:hint="eastAsia"/>
          <w:sz w:val="21"/>
          <w:szCs w:val="21"/>
          <w:lang w:eastAsia="zh-CN"/>
        </w:rPr>
        <w:t>用于评估</w:t>
      </w:r>
      <w:r>
        <w:rPr>
          <w:rFonts w:hint="eastAsia"/>
          <w:sz w:val="21"/>
          <w:szCs w:val="21"/>
          <w:lang w:val="en-US" w:eastAsia="zh-CN"/>
        </w:rPr>
        <w:t>表面</w:t>
      </w:r>
      <w:r>
        <w:rPr>
          <w:rFonts w:hint="eastAsia"/>
          <w:sz w:val="21"/>
          <w:szCs w:val="21"/>
          <w:lang w:eastAsia="zh-CN"/>
        </w:rPr>
        <w:t>缺陷的</w:t>
      </w:r>
      <w:r>
        <w:rPr>
          <w:rFonts w:hint="eastAsia"/>
          <w:sz w:val="21"/>
          <w:szCs w:val="21"/>
          <w:lang w:val="en-US" w:eastAsia="zh-CN"/>
        </w:rPr>
        <w:t>氮化镓晶圆</w:t>
      </w:r>
      <w:r>
        <w:rPr>
          <w:rFonts w:hint="eastAsia"/>
          <w:sz w:val="21"/>
          <w:szCs w:val="21"/>
          <w:lang w:eastAsia="zh-CN"/>
        </w:rPr>
        <w:t>。</w:t>
      </w:r>
    </w:p>
    <w:p w14:paraId="3A84A671">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17</w:t>
      </w:r>
    </w:p>
    <w:p w14:paraId="0DD339F0">
      <w:pPr>
        <w:spacing w:line="360" w:lineRule="auto"/>
        <w:ind w:firstLine="420" w:firstLineChars="200"/>
        <w:jc w:val="both"/>
        <w:rPr>
          <w:rFonts w:hint="eastAsia"/>
          <w:sz w:val="21"/>
          <w:szCs w:val="21"/>
          <w:lang w:eastAsia="zh-CN"/>
        </w:rPr>
      </w:pPr>
      <w:r>
        <w:rPr>
          <w:rFonts w:hint="eastAsia"/>
          <w:sz w:val="21"/>
          <w:szCs w:val="21"/>
          <w:lang w:eastAsia="zh-CN"/>
        </w:rPr>
        <w:t>表面缺陷 surface defect</w:t>
      </w:r>
    </w:p>
    <w:p w14:paraId="275E9387">
      <w:pPr>
        <w:spacing w:line="360" w:lineRule="auto"/>
        <w:ind w:firstLine="420" w:firstLineChars="200"/>
        <w:jc w:val="both"/>
        <w:rPr>
          <w:rFonts w:hint="eastAsia"/>
          <w:sz w:val="21"/>
          <w:szCs w:val="21"/>
          <w:lang w:eastAsia="zh-CN"/>
        </w:rPr>
      </w:pPr>
      <w:r>
        <w:rPr>
          <w:rFonts w:hint="eastAsia"/>
          <w:sz w:val="21"/>
          <w:szCs w:val="21"/>
          <w:lang w:val="en-US" w:eastAsia="zh-CN"/>
        </w:rPr>
        <w:t>晶圆</w:t>
      </w:r>
      <w:r>
        <w:rPr>
          <w:rFonts w:hint="eastAsia"/>
          <w:sz w:val="21"/>
          <w:szCs w:val="21"/>
          <w:lang w:eastAsia="zh-CN"/>
        </w:rPr>
        <w:t>表面是不完美部分或外来污染、颗粒。</w:t>
      </w:r>
    </w:p>
    <w:p w14:paraId="5EDE4285">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18</w:t>
      </w:r>
    </w:p>
    <w:p w14:paraId="21346CCB">
      <w:pPr>
        <w:spacing w:line="360" w:lineRule="auto"/>
        <w:ind w:firstLine="420" w:firstLineChars="200"/>
        <w:jc w:val="both"/>
        <w:rPr>
          <w:rFonts w:hint="eastAsia"/>
          <w:sz w:val="21"/>
          <w:szCs w:val="21"/>
          <w:lang w:eastAsia="zh-CN"/>
        </w:rPr>
      </w:pPr>
      <w:r>
        <w:rPr>
          <w:rFonts w:hint="eastAsia"/>
          <w:sz w:val="21"/>
          <w:szCs w:val="21"/>
          <w:lang w:eastAsia="zh-CN"/>
        </w:rPr>
        <w:t>沾污 stain</w:t>
      </w:r>
    </w:p>
    <w:p w14:paraId="067A1C06">
      <w:pPr>
        <w:spacing w:line="360" w:lineRule="auto"/>
        <w:ind w:firstLine="420" w:firstLineChars="200"/>
        <w:jc w:val="both"/>
        <w:rPr>
          <w:rFonts w:hint="eastAsia"/>
          <w:sz w:val="21"/>
          <w:szCs w:val="21"/>
          <w:lang w:eastAsia="zh-CN"/>
        </w:rPr>
      </w:pPr>
      <w:r>
        <w:rPr>
          <w:rFonts w:hint="eastAsia"/>
          <w:sz w:val="21"/>
          <w:szCs w:val="21"/>
          <w:lang w:eastAsia="zh-CN"/>
        </w:rPr>
        <w:t>晶圆表面附着的较大面积形状不规则的薄层状污染物，表面沾污包括水迹、污迹、溶剂残留、密集微粒等，见图6所示。</w:t>
      </w:r>
    </w:p>
    <w:p w14:paraId="29E66278">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19</w:t>
      </w:r>
    </w:p>
    <w:p w14:paraId="01F69DE2">
      <w:pPr>
        <w:spacing w:line="360" w:lineRule="auto"/>
        <w:ind w:firstLine="420" w:firstLineChars="200"/>
        <w:jc w:val="both"/>
        <w:rPr>
          <w:rFonts w:hint="eastAsia"/>
          <w:sz w:val="21"/>
          <w:szCs w:val="21"/>
          <w:lang w:eastAsia="zh-CN"/>
        </w:rPr>
      </w:pPr>
      <w:r>
        <w:rPr>
          <w:rFonts w:hint="eastAsia"/>
          <w:sz w:val="21"/>
          <w:szCs w:val="21"/>
          <w:lang w:eastAsia="zh-CN"/>
        </w:rPr>
        <w:t>划痕 scratch</w:t>
      </w:r>
    </w:p>
    <w:p w14:paraId="2BCC4F42">
      <w:pPr>
        <w:spacing w:line="360" w:lineRule="auto"/>
        <w:ind w:firstLine="420" w:firstLineChars="200"/>
        <w:jc w:val="both"/>
        <w:rPr>
          <w:rFonts w:hint="eastAsia"/>
          <w:sz w:val="21"/>
          <w:szCs w:val="21"/>
          <w:lang w:eastAsia="zh-CN"/>
        </w:rPr>
      </w:pPr>
      <w:r>
        <w:rPr>
          <w:rFonts w:hint="eastAsia"/>
          <w:sz w:val="21"/>
          <w:szCs w:val="21"/>
          <w:lang w:val="en-US" w:eastAsia="zh-CN"/>
        </w:rPr>
        <w:t>晶圆</w:t>
      </w:r>
      <w:r>
        <w:rPr>
          <w:rFonts w:hint="eastAsia"/>
          <w:sz w:val="21"/>
          <w:szCs w:val="21"/>
          <w:lang w:eastAsia="zh-CN"/>
        </w:rPr>
        <w:t>表面上的一种宏观无规则较浅的细沟槽，其长宽比大于5 : 1，如图6、</w:t>
      </w:r>
      <w:r>
        <w:rPr>
          <w:rFonts w:hint="eastAsia"/>
          <w:sz w:val="21"/>
          <w:szCs w:val="21"/>
          <w:lang w:val="en-US" w:eastAsia="zh-CN"/>
        </w:rPr>
        <w:t>图8</w:t>
      </w:r>
      <w:r>
        <w:rPr>
          <w:rFonts w:hint="eastAsia"/>
          <w:sz w:val="21"/>
          <w:szCs w:val="21"/>
          <w:lang w:eastAsia="zh-CN"/>
        </w:rPr>
        <w:t>所示。</w:t>
      </w:r>
    </w:p>
    <w:p w14:paraId="58FE8078">
      <w:pPr>
        <w:spacing w:line="360" w:lineRule="auto"/>
        <w:ind w:firstLine="420" w:firstLineChars="200"/>
        <w:jc w:val="both"/>
        <w:rPr>
          <w:rFonts w:hint="eastAsia"/>
          <w:sz w:val="21"/>
          <w:szCs w:val="21"/>
          <w:lang w:val="en-US" w:eastAsia="zh-CN"/>
        </w:rPr>
      </w:pPr>
      <w:r>
        <w:rPr>
          <w:rFonts w:hint="eastAsia"/>
          <w:sz w:val="21"/>
          <w:szCs w:val="21"/>
          <w:lang w:val="en-US" w:eastAsia="zh-CN"/>
        </w:rPr>
        <w:t>3.20</w:t>
      </w:r>
    </w:p>
    <w:p w14:paraId="6512B551">
      <w:pPr>
        <w:spacing w:line="360" w:lineRule="auto"/>
        <w:ind w:firstLine="420" w:firstLineChars="200"/>
        <w:jc w:val="both"/>
        <w:rPr>
          <w:rFonts w:hint="default"/>
          <w:sz w:val="21"/>
          <w:szCs w:val="21"/>
          <w:lang w:val="en-US" w:eastAsia="zh-CN"/>
        </w:rPr>
      </w:pPr>
      <w:r>
        <w:rPr>
          <w:rFonts w:hint="eastAsia"/>
          <w:sz w:val="21"/>
          <w:szCs w:val="21"/>
          <w:lang w:eastAsia="zh-CN"/>
        </w:rPr>
        <w:t>划痕</w:t>
      </w:r>
      <w:r>
        <w:rPr>
          <w:rFonts w:hint="eastAsia"/>
          <w:sz w:val="21"/>
          <w:szCs w:val="21"/>
          <w:lang w:val="en-US" w:eastAsia="zh-CN"/>
        </w:rPr>
        <w:t>残留</w:t>
      </w:r>
      <w:r>
        <w:rPr>
          <w:rFonts w:hint="eastAsia"/>
          <w:sz w:val="21"/>
          <w:szCs w:val="21"/>
          <w:lang w:eastAsia="zh-CN"/>
        </w:rPr>
        <w:t xml:space="preserve"> scratch</w:t>
      </w:r>
      <w:r>
        <w:rPr>
          <w:rFonts w:hint="eastAsia"/>
          <w:sz w:val="21"/>
          <w:szCs w:val="21"/>
          <w:lang w:val="en-US" w:eastAsia="zh-CN"/>
        </w:rPr>
        <w:t xml:space="preserve"> residue</w:t>
      </w:r>
    </w:p>
    <w:p w14:paraId="40E3E1AB">
      <w:pPr>
        <w:spacing w:line="360" w:lineRule="auto"/>
        <w:ind w:firstLine="420" w:firstLineChars="200"/>
        <w:jc w:val="both"/>
        <w:rPr>
          <w:rFonts w:hint="default"/>
          <w:sz w:val="21"/>
          <w:szCs w:val="21"/>
          <w:lang w:val="en-US" w:eastAsia="zh-CN"/>
        </w:rPr>
      </w:pPr>
      <w:r>
        <w:rPr>
          <w:rFonts w:hint="eastAsia"/>
          <w:sz w:val="21"/>
          <w:szCs w:val="21"/>
          <w:lang w:val="en-US" w:eastAsia="zh-CN"/>
        </w:rPr>
        <w:t>衬底表面的划痕，在外延一层单晶薄膜后</w:t>
      </w:r>
      <w:r>
        <w:rPr>
          <w:rFonts w:hint="eastAsia"/>
          <w:sz w:val="21"/>
          <w:szCs w:val="21"/>
          <w:lang w:eastAsia="zh-CN"/>
        </w:rPr>
        <w:t>，</w:t>
      </w:r>
      <w:r>
        <w:rPr>
          <w:rFonts w:hint="eastAsia"/>
          <w:sz w:val="21"/>
          <w:szCs w:val="21"/>
          <w:lang w:val="en-US" w:eastAsia="zh-CN"/>
        </w:rPr>
        <w:t>表面残留下来的细沟槽</w:t>
      </w:r>
      <w:r>
        <w:rPr>
          <w:rFonts w:hint="eastAsia"/>
          <w:sz w:val="21"/>
          <w:szCs w:val="21"/>
          <w:lang w:eastAsia="zh-CN"/>
        </w:rPr>
        <w:t>，如图</w:t>
      </w:r>
      <w:r>
        <w:rPr>
          <w:rFonts w:hint="eastAsia"/>
          <w:sz w:val="21"/>
          <w:szCs w:val="21"/>
          <w:lang w:val="en-US" w:eastAsia="zh-CN"/>
        </w:rPr>
        <w:t>7</w:t>
      </w:r>
      <w:r>
        <w:rPr>
          <w:rFonts w:hint="eastAsia"/>
          <w:sz w:val="21"/>
          <w:szCs w:val="21"/>
          <w:lang w:eastAsia="zh-CN"/>
        </w:rPr>
        <w:t>所示。</w:t>
      </w:r>
    </w:p>
    <w:p w14:paraId="384C744C">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21</w:t>
      </w:r>
    </w:p>
    <w:p w14:paraId="15815CCC">
      <w:pPr>
        <w:spacing w:line="360" w:lineRule="auto"/>
        <w:ind w:firstLine="420" w:firstLineChars="200"/>
        <w:jc w:val="both"/>
        <w:rPr>
          <w:rFonts w:hint="eastAsia"/>
          <w:sz w:val="21"/>
          <w:szCs w:val="21"/>
          <w:lang w:eastAsia="zh-CN"/>
        </w:rPr>
      </w:pPr>
      <w:r>
        <w:rPr>
          <w:rFonts w:hint="eastAsia"/>
          <w:sz w:val="21"/>
          <w:szCs w:val="21"/>
          <w:lang w:eastAsia="zh-CN"/>
        </w:rPr>
        <w:t>凹坑 pit</w:t>
      </w:r>
    </w:p>
    <w:p w14:paraId="7014F58A">
      <w:pPr>
        <w:spacing w:line="360" w:lineRule="auto"/>
        <w:ind w:firstLine="420" w:firstLineChars="200"/>
        <w:jc w:val="both"/>
        <w:rPr>
          <w:rFonts w:hint="eastAsia"/>
          <w:sz w:val="21"/>
          <w:szCs w:val="21"/>
          <w:lang w:eastAsia="zh-CN"/>
        </w:rPr>
      </w:pPr>
      <w:r>
        <w:rPr>
          <w:rFonts w:hint="eastAsia"/>
          <w:sz w:val="21"/>
          <w:szCs w:val="21"/>
          <w:lang w:val="en-US" w:eastAsia="zh-CN"/>
        </w:rPr>
        <w:t>晶圆</w:t>
      </w:r>
      <w:r>
        <w:rPr>
          <w:rFonts w:hint="eastAsia"/>
          <w:sz w:val="21"/>
          <w:szCs w:val="21"/>
          <w:lang w:eastAsia="zh-CN"/>
        </w:rPr>
        <w:t>表面较深的凹陷，</w:t>
      </w:r>
      <w:r>
        <w:rPr>
          <w:rFonts w:hint="eastAsia"/>
          <w:sz w:val="21"/>
          <w:szCs w:val="21"/>
          <w:lang w:val="en-US" w:eastAsia="zh-CN"/>
        </w:rPr>
        <w:t>凹陷</w:t>
      </w:r>
      <w:r>
        <w:rPr>
          <w:rFonts w:hint="eastAsia"/>
          <w:sz w:val="21"/>
          <w:szCs w:val="21"/>
          <w:lang w:eastAsia="zh-CN"/>
        </w:rPr>
        <w:t>形状为</w:t>
      </w:r>
      <w:r>
        <w:rPr>
          <w:rFonts w:hint="eastAsia"/>
          <w:sz w:val="21"/>
          <w:szCs w:val="21"/>
          <w:lang w:val="en-US" w:eastAsia="zh-CN"/>
        </w:rPr>
        <w:t>棱锥或圆锥状</w:t>
      </w:r>
      <w:r>
        <w:rPr>
          <w:rFonts w:hint="eastAsia"/>
          <w:sz w:val="21"/>
          <w:szCs w:val="21"/>
          <w:lang w:eastAsia="zh-CN"/>
        </w:rPr>
        <w:t>，如图6所示。</w:t>
      </w:r>
    </w:p>
    <w:p w14:paraId="681F2F74">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22</w:t>
      </w:r>
    </w:p>
    <w:p w14:paraId="1686A100">
      <w:pPr>
        <w:spacing w:line="360" w:lineRule="auto"/>
        <w:ind w:firstLine="420" w:firstLineChars="200"/>
        <w:jc w:val="both"/>
        <w:rPr>
          <w:rFonts w:hint="default"/>
          <w:sz w:val="21"/>
          <w:szCs w:val="21"/>
          <w:lang w:val="en-US" w:eastAsia="zh-CN"/>
        </w:rPr>
      </w:pPr>
      <w:r>
        <w:rPr>
          <w:rFonts w:hint="eastAsia"/>
          <w:sz w:val="21"/>
          <w:szCs w:val="21"/>
          <w:lang w:val="en-US" w:eastAsia="zh-CN"/>
        </w:rPr>
        <w:t>晕</w:t>
      </w:r>
      <w:r>
        <w:rPr>
          <w:rFonts w:hint="eastAsia"/>
          <w:sz w:val="21"/>
          <w:szCs w:val="21"/>
          <w:lang w:eastAsia="zh-CN"/>
        </w:rPr>
        <w:t xml:space="preserve"> </w:t>
      </w:r>
      <w:r>
        <w:rPr>
          <w:rFonts w:hint="eastAsia"/>
          <w:sz w:val="21"/>
          <w:szCs w:val="21"/>
          <w:lang w:val="en-US" w:eastAsia="zh-CN"/>
        </w:rPr>
        <w:t>halo</w:t>
      </w:r>
    </w:p>
    <w:p w14:paraId="280803F7">
      <w:pPr>
        <w:spacing w:line="360" w:lineRule="auto"/>
        <w:ind w:firstLine="420" w:firstLineChars="200"/>
        <w:jc w:val="both"/>
        <w:rPr>
          <w:rFonts w:hint="eastAsia"/>
          <w:sz w:val="21"/>
          <w:szCs w:val="21"/>
          <w:lang w:eastAsia="zh-CN"/>
        </w:rPr>
      </w:pPr>
      <w:r>
        <w:rPr>
          <w:rFonts w:hint="eastAsia"/>
          <w:sz w:val="21"/>
          <w:szCs w:val="21"/>
          <w:lang w:val="en-US" w:eastAsia="zh-CN"/>
        </w:rPr>
        <w:t>氮化镓单晶衬底</w:t>
      </w:r>
      <w:r>
        <w:rPr>
          <w:rFonts w:hint="eastAsia"/>
          <w:sz w:val="21"/>
          <w:szCs w:val="21"/>
          <w:lang w:eastAsia="zh-CN"/>
        </w:rPr>
        <w:t>表面较浅的凹陷，凹陷形状为台柱形，开口形状为正多边形或类圆形，且该缺陷的近紫外荧光较强，近紫外荧光成像为高亮的圆形或环形，见图6所示。</w:t>
      </w:r>
    </w:p>
    <w:p w14:paraId="64C3F3A3">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23</w:t>
      </w:r>
    </w:p>
    <w:p w14:paraId="22A68C22">
      <w:pPr>
        <w:spacing w:line="360" w:lineRule="auto"/>
        <w:ind w:firstLine="420" w:firstLineChars="200"/>
        <w:jc w:val="both"/>
        <w:rPr>
          <w:rFonts w:hint="default"/>
          <w:sz w:val="21"/>
          <w:szCs w:val="21"/>
          <w:lang w:val="en-US" w:eastAsia="zh-CN"/>
        </w:rPr>
      </w:pPr>
      <w:r>
        <w:rPr>
          <w:rFonts w:hint="eastAsia"/>
          <w:sz w:val="21"/>
          <w:szCs w:val="21"/>
          <w:lang w:val="en-US" w:eastAsia="zh-CN"/>
        </w:rPr>
        <w:t>外延缺陷</w:t>
      </w:r>
      <w:r>
        <w:rPr>
          <w:rFonts w:hint="eastAsia"/>
          <w:sz w:val="21"/>
          <w:szCs w:val="21"/>
          <w:lang w:eastAsia="zh-CN"/>
        </w:rPr>
        <w:t xml:space="preserve"> </w:t>
      </w:r>
      <w:r>
        <w:rPr>
          <w:rFonts w:hint="eastAsia"/>
          <w:sz w:val="21"/>
          <w:szCs w:val="21"/>
          <w:lang w:val="en-US" w:eastAsia="zh-CN"/>
        </w:rPr>
        <w:t>epitaxial defects</w:t>
      </w:r>
    </w:p>
    <w:p w14:paraId="3BBC4267">
      <w:pPr>
        <w:spacing w:line="360" w:lineRule="auto"/>
        <w:ind w:firstLine="420" w:firstLineChars="200"/>
        <w:jc w:val="both"/>
        <w:rPr>
          <w:rFonts w:hint="eastAsia"/>
          <w:sz w:val="21"/>
          <w:szCs w:val="21"/>
          <w:lang w:eastAsia="zh-CN"/>
        </w:rPr>
      </w:pPr>
      <w:r>
        <w:rPr>
          <w:rFonts w:hint="eastAsia"/>
          <w:sz w:val="21"/>
          <w:szCs w:val="21"/>
          <w:lang w:eastAsia="zh-CN"/>
        </w:rPr>
        <w:t>氮化</w:t>
      </w:r>
      <w:r>
        <w:rPr>
          <w:rFonts w:hint="eastAsia"/>
          <w:sz w:val="21"/>
          <w:szCs w:val="21"/>
          <w:lang w:val="en-US" w:eastAsia="zh-CN"/>
        </w:rPr>
        <w:t>镓或氮化铝外延片</w:t>
      </w:r>
      <w:r>
        <w:rPr>
          <w:rFonts w:hint="eastAsia"/>
          <w:sz w:val="21"/>
          <w:szCs w:val="21"/>
          <w:lang w:eastAsia="zh-CN"/>
        </w:rPr>
        <w:t>表面</w:t>
      </w:r>
      <w:r>
        <w:rPr>
          <w:rFonts w:hint="eastAsia"/>
          <w:sz w:val="21"/>
          <w:szCs w:val="21"/>
          <w:lang w:val="en-US" w:eastAsia="zh-CN"/>
        </w:rPr>
        <w:t>外延层的三维缺陷，该缺陷区域氮化镓或氮化铝生长较慢或未生长</w:t>
      </w:r>
      <w:r>
        <w:rPr>
          <w:rFonts w:hint="eastAsia"/>
          <w:sz w:val="21"/>
          <w:szCs w:val="21"/>
          <w:lang w:eastAsia="zh-CN"/>
        </w:rPr>
        <w:t>，见图</w:t>
      </w:r>
      <w:r>
        <w:rPr>
          <w:rFonts w:hint="eastAsia"/>
          <w:sz w:val="21"/>
          <w:szCs w:val="21"/>
          <w:lang w:val="en-US" w:eastAsia="zh-CN"/>
        </w:rPr>
        <w:t>7、图8、图9</w:t>
      </w:r>
      <w:r>
        <w:rPr>
          <w:rFonts w:hint="eastAsia"/>
          <w:sz w:val="21"/>
          <w:szCs w:val="21"/>
          <w:lang w:eastAsia="zh-CN"/>
        </w:rPr>
        <w:t>所示</w:t>
      </w:r>
    </w:p>
    <w:p w14:paraId="26E377C5">
      <w:pPr>
        <w:spacing w:line="360" w:lineRule="auto"/>
        <w:ind w:firstLine="420" w:firstLineChars="200"/>
        <w:jc w:val="both"/>
        <w:rPr>
          <w:rFonts w:hint="default"/>
          <w:sz w:val="21"/>
          <w:szCs w:val="21"/>
          <w:lang w:val="en-US" w:eastAsia="zh-CN"/>
        </w:rPr>
      </w:pPr>
      <w:r>
        <w:rPr>
          <w:rFonts w:hint="eastAsia"/>
          <w:sz w:val="21"/>
          <w:szCs w:val="21"/>
          <w:lang w:eastAsia="zh-CN"/>
        </w:rPr>
        <w:t>3.</w:t>
      </w:r>
      <w:r>
        <w:rPr>
          <w:rFonts w:hint="eastAsia"/>
          <w:sz w:val="21"/>
          <w:szCs w:val="21"/>
          <w:lang w:val="en-US" w:eastAsia="zh-CN"/>
        </w:rPr>
        <w:t>24</w:t>
      </w:r>
    </w:p>
    <w:p w14:paraId="6616DA99">
      <w:pPr>
        <w:spacing w:line="360" w:lineRule="auto"/>
        <w:ind w:firstLine="420" w:firstLineChars="200"/>
        <w:jc w:val="both"/>
        <w:rPr>
          <w:rFonts w:hint="eastAsia"/>
          <w:sz w:val="21"/>
          <w:szCs w:val="21"/>
          <w:lang w:eastAsia="zh-CN"/>
        </w:rPr>
      </w:pPr>
      <w:r>
        <w:rPr>
          <w:rFonts w:hint="eastAsia"/>
          <w:sz w:val="21"/>
          <w:szCs w:val="21"/>
          <w:lang w:eastAsia="zh-CN"/>
        </w:rPr>
        <w:t>表面颗粒 surface particle</w:t>
      </w:r>
    </w:p>
    <w:p w14:paraId="1AD3C0CA">
      <w:pPr>
        <w:spacing w:line="360" w:lineRule="auto"/>
        <w:ind w:firstLine="420" w:firstLineChars="200"/>
        <w:jc w:val="both"/>
        <w:rPr>
          <w:rFonts w:hint="eastAsia"/>
          <w:sz w:val="21"/>
          <w:szCs w:val="21"/>
          <w:lang w:eastAsia="zh-CN"/>
        </w:rPr>
      </w:pPr>
      <w:r>
        <w:rPr>
          <w:rFonts w:hint="eastAsia"/>
          <w:sz w:val="21"/>
          <w:szCs w:val="21"/>
          <w:lang w:eastAsia="zh-CN"/>
        </w:rPr>
        <w:t>氮化镓衬底</w:t>
      </w:r>
      <w:r>
        <w:rPr>
          <w:rFonts w:hint="eastAsia"/>
          <w:sz w:val="21"/>
          <w:szCs w:val="21"/>
          <w:lang w:val="en-US" w:eastAsia="zh-CN"/>
        </w:rPr>
        <w:t>及外延片</w:t>
      </w:r>
      <w:r>
        <w:rPr>
          <w:rFonts w:hint="eastAsia"/>
          <w:sz w:val="21"/>
          <w:szCs w:val="21"/>
          <w:lang w:eastAsia="zh-CN"/>
        </w:rPr>
        <w:t>表面附着的外来颗粒，多为不规则形状，晶圆表面缺陷检测</w:t>
      </w:r>
      <w:r>
        <w:rPr>
          <w:rFonts w:hint="eastAsia"/>
          <w:sz w:val="21"/>
          <w:szCs w:val="21"/>
          <w:lang w:val="en-US" w:eastAsia="zh-CN"/>
        </w:rPr>
        <w:t>系统</w:t>
      </w:r>
      <w:r>
        <w:rPr>
          <w:rFonts w:hint="eastAsia"/>
          <w:sz w:val="21"/>
          <w:szCs w:val="21"/>
          <w:lang w:eastAsia="zh-CN"/>
        </w:rPr>
        <w:t>中的散射光对其非常敏感，见图6、</w:t>
      </w:r>
      <w:r>
        <w:rPr>
          <w:rFonts w:hint="eastAsia"/>
          <w:sz w:val="21"/>
          <w:szCs w:val="21"/>
          <w:lang w:val="en-US" w:eastAsia="zh-CN"/>
        </w:rPr>
        <w:t>图7、图8、图9</w:t>
      </w:r>
      <w:r>
        <w:rPr>
          <w:rFonts w:hint="eastAsia"/>
          <w:sz w:val="21"/>
          <w:szCs w:val="21"/>
          <w:lang w:eastAsia="zh-CN"/>
        </w:rPr>
        <w:t>所示。</w:t>
      </w:r>
    </w:p>
    <w:p w14:paraId="40C5DC70">
      <w:pPr>
        <w:spacing w:before="9"/>
        <w:jc w:val="both"/>
        <w:rPr>
          <w:rFonts w:ascii="宋体" w:hAnsi="宋体" w:eastAsia="宋体" w:cs="宋体"/>
          <w:sz w:val="26"/>
          <w:szCs w:val="26"/>
          <w:lang w:eastAsia="zh-CN"/>
        </w:rPr>
      </w:pPr>
    </w:p>
    <w:p w14:paraId="7575722B">
      <w:pPr>
        <w:pStyle w:val="4"/>
        <w:tabs>
          <w:tab w:val="left" w:pos="432"/>
        </w:tabs>
        <w:ind w:left="118" w:right="1072"/>
        <w:jc w:val="both"/>
        <w:rPr>
          <w:rFonts w:ascii="黑体" w:hAnsi="黑体" w:eastAsia="黑体" w:cs="黑体"/>
          <w:lang w:eastAsia="zh-CN"/>
        </w:rPr>
      </w:pPr>
      <w:bookmarkStart w:id="5" w:name="4_原理"/>
      <w:bookmarkEnd w:id="5"/>
      <w:r>
        <w:rPr>
          <w:rFonts w:hint="eastAsia" w:ascii="黑体" w:hAnsi="黑体" w:eastAsia="黑体" w:cs="黑体"/>
          <w:lang w:eastAsia="zh-CN"/>
        </w:rPr>
        <w:t>4.测试原理</w:t>
      </w:r>
    </w:p>
    <w:p w14:paraId="273602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sz w:val="21"/>
          <w:szCs w:val="21"/>
          <w:lang w:eastAsia="zh-CN"/>
        </w:rPr>
      </w:pPr>
      <w:r>
        <w:rPr>
          <w:rFonts w:hint="eastAsia"/>
          <w:sz w:val="21"/>
          <w:szCs w:val="21"/>
          <w:lang w:val="en-US" w:eastAsia="zh-CN"/>
        </w:rPr>
        <w:t>Ⅲ族氮化物晶圆</w:t>
      </w:r>
      <w:r>
        <w:rPr>
          <w:rFonts w:hint="eastAsia"/>
          <w:sz w:val="21"/>
          <w:szCs w:val="21"/>
          <w:lang w:eastAsia="zh-CN"/>
        </w:rPr>
        <w:t>的表面缺陷采用激光扫描的方式来测量，其测试原理如图1所示。一束入射激光打在晶圆表面，在晶圆表面不同位置的反射光、散射光、偏振相位、光致发光的变化可以反映出晶圆表面状态的变化，进一步可以获得晶圆表面缺陷的类型和分布状况。测试设备一般配置2个波长的激光，分别实现</w:t>
      </w:r>
      <w:r>
        <w:rPr>
          <w:rFonts w:hint="eastAsia" w:ascii="宋体" w:hAnsi="宋体" w:eastAsia="宋体" w:cs="宋体"/>
          <w:highlight w:val="none"/>
          <w:lang w:val="en-US" w:eastAsia="zh-CN"/>
        </w:rPr>
        <w:t>Ⅲ族</w:t>
      </w:r>
      <w:r>
        <w:rPr>
          <w:rFonts w:hint="eastAsia" w:eastAsia="宋体"/>
          <w:highlight w:val="none"/>
          <w:lang w:val="en-US" w:eastAsia="zh-CN"/>
        </w:rPr>
        <w:t>氮化物晶圆</w:t>
      </w:r>
      <w:r>
        <w:rPr>
          <w:rFonts w:hint="eastAsia"/>
          <w:sz w:val="21"/>
          <w:szCs w:val="21"/>
          <w:lang w:eastAsia="zh-CN"/>
        </w:rPr>
        <w:t>表面晶体缺陷和非晶体缺陷的测试，根据测试需要可选择不同输出功率的激光在不同稳定性的样品表面进行扫描测试，以确保对样品实现无损检测。</w:t>
      </w:r>
    </w:p>
    <w:p w14:paraId="5F8AD233">
      <w:pPr>
        <w:jc w:val="center"/>
        <w:rPr>
          <w:rFonts w:hint="eastAsia"/>
          <w:sz w:val="21"/>
          <w:szCs w:val="21"/>
          <w:lang w:eastAsia="zh-CN"/>
        </w:rPr>
      </w:pPr>
      <w:r>
        <w:drawing>
          <wp:inline distT="0" distB="0" distL="0" distR="0">
            <wp:extent cx="4212590" cy="1888490"/>
            <wp:effectExtent l="0" t="0" r="8890" b="1270"/>
            <wp:docPr id="1027" name="图片 9"/>
            <wp:cNvGraphicFramePr/>
            <a:graphic xmlns:a="http://schemas.openxmlformats.org/drawingml/2006/main">
              <a:graphicData uri="http://schemas.openxmlformats.org/drawingml/2006/picture">
                <pic:pic xmlns:pic="http://schemas.openxmlformats.org/drawingml/2006/picture">
                  <pic:nvPicPr>
                    <pic:cNvPr id="1027" name="图片 9"/>
                    <pic:cNvPicPr/>
                  </pic:nvPicPr>
                  <pic:blipFill>
                    <a:blip r:embed="rId11" cstate="print"/>
                    <a:srcRect/>
                    <a:stretch>
                      <a:fillRect/>
                    </a:stretch>
                  </pic:blipFill>
                  <pic:spPr>
                    <a:xfrm>
                      <a:off x="0" y="0"/>
                      <a:ext cx="4212590" cy="1888490"/>
                    </a:xfrm>
                    <a:prstGeom prst="rect">
                      <a:avLst/>
                    </a:prstGeom>
                    <a:ln>
                      <a:noFill/>
                    </a:ln>
                  </pic:spPr>
                </pic:pic>
              </a:graphicData>
            </a:graphic>
          </wp:inline>
        </w:drawing>
      </w:r>
    </w:p>
    <w:p w14:paraId="5293E5FB">
      <w:pPr>
        <w:jc w:val="center"/>
        <w:rPr>
          <w:rFonts w:hint="eastAsia"/>
          <w:sz w:val="21"/>
          <w:szCs w:val="21"/>
          <w:lang w:eastAsia="zh-CN"/>
        </w:rPr>
      </w:pPr>
      <w:r>
        <w:rPr>
          <w:rFonts w:hint="eastAsia"/>
          <w:sz w:val="21"/>
          <w:szCs w:val="21"/>
          <w:lang w:eastAsia="zh-CN"/>
        </w:rPr>
        <w:t>图1 晶圆表面缺陷测试光路示意图</w:t>
      </w:r>
    </w:p>
    <w:p w14:paraId="2BB62772">
      <w:pPr>
        <w:jc w:val="center"/>
        <w:rPr>
          <w:rFonts w:hint="eastAsia"/>
          <w:sz w:val="21"/>
          <w:szCs w:val="21"/>
          <w:lang w:eastAsia="zh-CN"/>
        </w:rPr>
      </w:pPr>
    </w:p>
    <w:p w14:paraId="670C79F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sz w:val="21"/>
          <w:szCs w:val="21"/>
          <w:lang w:eastAsia="zh-CN"/>
        </w:rPr>
      </w:pPr>
      <w:r>
        <w:rPr>
          <w:rFonts w:hint="eastAsia"/>
          <w:sz w:val="21"/>
          <w:szCs w:val="21"/>
          <w:lang w:eastAsia="zh-CN"/>
        </w:rPr>
        <w:t>在实际测试过程中，采用明场（通过对反射光进行检测）、暗场（通过对散射光进行检测）扫描成像的方式测试晶圆表面的颗粒物和划痕，图2为明场和暗场的测试示意图。</w:t>
      </w:r>
    </w:p>
    <w:p w14:paraId="402212E3">
      <w:pPr>
        <w:jc w:val="center"/>
        <w:rPr>
          <w:rFonts w:hint="eastAsia"/>
          <w:sz w:val="21"/>
          <w:szCs w:val="21"/>
          <w:lang w:eastAsia="zh-CN"/>
        </w:rPr>
      </w:pPr>
      <w:r>
        <w:drawing>
          <wp:inline distT="0" distB="0" distL="0" distR="0">
            <wp:extent cx="3004820" cy="1504950"/>
            <wp:effectExtent l="0" t="0" r="12700" b="3810"/>
            <wp:docPr id="2" name="图片 6"/>
            <wp:cNvGraphicFramePr/>
            <a:graphic xmlns:a="http://schemas.openxmlformats.org/drawingml/2006/main">
              <a:graphicData uri="http://schemas.openxmlformats.org/drawingml/2006/picture">
                <pic:pic xmlns:pic="http://schemas.openxmlformats.org/drawingml/2006/picture">
                  <pic:nvPicPr>
                    <pic:cNvPr id="2" name="图片 6"/>
                    <pic:cNvPicPr/>
                  </pic:nvPicPr>
                  <pic:blipFill>
                    <a:blip r:embed="rId12" cstate="print"/>
                    <a:srcRect/>
                    <a:stretch>
                      <a:fillRect/>
                    </a:stretch>
                  </pic:blipFill>
                  <pic:spPr>
                    <a:xfrm>
                      <a:off x="0" y="0"/>
                      <a:ext cx="3004820" cy="1504950"/>
                    </a:xfrm>
                    <a:prstGeom prst="rect">
                      <a:avLst/>
                    </a:prstGeom>
                    <a:ln>
                      <a:noFill/>
                    </a:ln>
                  </pic:spPr>
                </pic:pic>
              </a:graphicData>
            </a:graphic>
          </wp:inline>
        </w:drawing>
      </w:r>
    </w:p>
    <w:p w14:paraId="1CA9B220">
      <w:pPr>
        <w:jc w:val="center"/>
        <w:rPr>
          <w:rFonts w:hint="eastAsia"/>
          <w:sz w:val="21"/>
          <w:szCs w:val="21"/>
          <w:lang w:eastAsia="zh-CN"/>
        </w:rPr>
      </w:pPr>
      <w:r>
        <w:rPr>
          <w:rFonts w:hint="eastAsia"/>
          <w:sz w:val="21"/>
          <w:szCs w:val="21"/>
          <w:lang w:eastAsia="zh-CN"/>
        </w:rPr>
        <w:t>图2 晶圆表面颗粒和划痕测试意图</w:t>
      </w:r>
    </w:p>
    <w:p w14:paraId="1B349E36">
      <w:pPr>
        <w:jc w:val="center"/>
        <w:rPr>
          <w:rFonts w:hint="eastAsia"/>
          <w:sz w:val="21"/>
          <w:szCs w:val="21"/>
          <w:lang w:eastAsia="zh-CN"/>
        </w:rPr>
      </w:pPr>
    </w:p>
    <w:p w14:paraId="1ABDB60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sz w:val="21"/>
          <w:szCs w:val="21"/>
          <w:lang w:eastAsia="zh-CN"/>
        </w:rPr>
      </w:pPr>
      <w:r>
        <w:rPr>
          <w:rFonts w:hint="eastAsia"/>
          <w:sz w:val="21"/>
          <w:szCs w:val="21"/>
          <w:lang w:eastAsia="zh-CN"/>
        </w:rPr>
        <w:t>图3是对晶圆表面凹坑、凸起的测试原理图，该模式采用了SP2 Detector四象限探测器（Quad PSD），该探测器拥有4个</w:t>
      </w:r>
      <w:r>
        <w:rPr>
          <w:rFonts w:hint="eastAsia"/>
          <w:sz w:val="21"/>
          <w:szCs w:val="21"/>
          <w:lang w:val="en-US" w:eastAsia="zh-CN"/>
        </w:rPr>
        <w:t>传感器</w:t>
      </w:r>
      <w:r>
        <w:rPr>
          <w:rFonts w:hint="eastAsia"/>
          <w:sz w:val="21"/>
          <w:szCs w:val="21"/>
          <w:lang w:eastAsia="zh-CN"/>
        </w:rPr>
        <w:t>模块，可以感知反射光斑偏离探测器中心的情况，判断经过晶圆不同表面状态的反射光角度，从而探测晶圆表面的凹坑和凸起等表面缺陷。</w:t>
      </w:r>
    </w:p>
    <w:p w14:paraId="3EE6F888">
      <w:pPr>
        <w:jc w:val="center"/>
        <w:rPr>
          <w:rFonts w:hint="eastAsia"/>
          <w:sz w:val="21"/>
          <w:szCs w:val="21"/>
          <w:lang w:eastAsia="zh-CN"/>
        </w:rPr>
      </w:pPr>
      <w:r>
        <w:drawing>
          <wp:inline distT="0" distB="0" distL="0" distR="0">
            <wp:extent cx="3208020" cy="2745740"/>
            <wp:effectExtent l="0" t="0" r="7620" b="12700"/>
            <wp:docPr id="1029" name="图片 10"/>
            <wp:cNvGraphicFramePr/>
            <a:graphic xmlns:a="http://schemas.openxmlformats.org/drawingml/2006/main">
              <a:graphicData uri="http://schemas.openxmlformats.org/drawingml/2006/picture">
                <pic:pic xmlns:pic="http://schemas.openxmlformats.org/drawingml/2006/picture">
                  <pic:nvPicPr>
                    <pic:cNvPr id="1029" name="图片 10"/>
                    <pic:cNvPicPr/>
                  </pic:nvPicPr>
                  <pic:blipFill>
                    <a:blip r:embed="rId13" cstate="print"/>
                    <a:srcRect/>
                    <a:stretch>
                      <a:fillRect/>
                    </a:stretch>
                  </pic:blipFill>
                  <pic:spPr>
                    <a:xfrm>
                      <a:off x="0" y="0"/>
                      <a:ext cx="3208020" cy="2745740"/>
                    </a:xfrm>
                    <a:prstGeom prst="rect">
                      <a:avLst/>
                    </a:prstGeom>
                    <a:ln>
                      <a:noFill/>
                    </a:ln>
                  </pic:spPr>
                </pic:pic>
              </a:graphicData>
            </a:graphic>
          </wp:inline>
        </w:drawing>
      </w:r>
    </w:p>
    <w:p w14:paraId="031730DB">
      <w:pPr>
        <w:jc w:val="center"/>
        <w:rPr>
          <w:rFonts w:hint="eastAsia"/>
          <w:sz w:val="21"/>
          <w:szCs w:val="21"/>
          <w:lang w:eastAsia="zh-CN"/>
        </w:rPr>
      </w:pPr>
      <w:r>
        <w:rPr>
          <w:rFonts w:hint="eastAsia"/>
          <w:sz w:val="21"/>
          <w:szCs w:val="21"/>
          <w:lang w:eastAsia="zh-CN"/>
        </w:rPr>
        <w:t>图3 晶圆表面凹坑、凸起测试示意图</w:t>
      </w:r>
    </w:p>
    <w:p w14:paraId="5ED12D45">
      <w:pPr>
        <w:jc w:val="center"/>
        <w:rPr>
          <w:rFonts w:hint="eastAsia"/>
          <w:sz w:val="21"/>
          <w:szCs w:val="21"/>
          <w:lang w:eastAsia="zh-CN"/>
        </w:rPr>
      </w:pPr>
    </w:p>
    <w:p w14:paraId="57E48C8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sz w:val="21"/>
          <w:szCs w:val="21"/>
          <w:lang w:eastAsia="zh-CN"/>
        </w:rPr>
      </w:pPr>
      <w:r>
        <w:rPr>
          <w:rFonts w:hint="eastAsia"/>
          <w:sz w:val="21"/>
          <w:szCs w:val="21"/>
          <w:lang w:eastAsia="zh-CN"/>
        </w:rPr>
        <w:t>图4是对晶圆表面沾污的测试原理图，该模式采用了Q偏振激光光源和2个探测器。Q偏振光在经过有薄层沾污的晶圆表面时，会产生Q偏振光中的S、P正交偏振光会分别在沾污表面和晶圆表面反射，经过分光镜和偏振镜分别由2个探测器探测，由于2束光存在一定的相位差（沾污厚度导致），反映在2个探测器上表现为两束光的亮度差，从而检测出晶圆表面的沾污。</w:t>
      </w:r>
    </w:p>
    <w:p w14:paraId="1DA79EB9">
      <w:pPr>
        <w:jc w:val="center"/>
        <w:rPr>
          <w:rFonts w:hint="eastAsia"/>
          <w:sz w:val="21"/>
          <w:szCs w:val="21"/>
          <w:lang w:eastAsia="zh-CN"/>
        </w:rPr>
      </w:pPr>
      <w:r>
        <w:drawing>
          <wp:inline distT="0" distB="0" distL="0" distR="0">
            <wp:extent cx="3177540" cy="2276475"/>
            <wp:effectExtent l="0" t="0" r="7620" b="9525"/>
            <wp:docPr id="1030" name="图片 11"/>
            <wp:cNvGraphicFramePr/>
            <a:graphic xmlns:a="http://schemas.openxmlformats.org/drawingml/2006/main">
              <a:graphicData uri="http://schemas.openxmlformats.org/drawingml/2006/picture">
                <pic:pic xmlns:pic="http://schemas.openxmlformats.org/drawingml/2006/picture">
                  <pic:nvPicPr>
                    <pic:cNvPr id="1030" name="图片 11"/>
                    <pic:cNvPicPr/>
                  </pic:nvPicPr>
                  <pic:blipFill>
                    <a:blip r:embed="rId14" cstate="print"/>
                    <a:srcRect/>
                    <a:stretch>
                      <a:fillRect/>
                    </a:stretch>
                  </pic:blipFill>
                  <pic:spPr>
                    <a:xfrm>
                      <a:off x="0" y="0"/>
                      <a:ext cx="3177540" cy="2276475"/>
                    </a:xfrm>
                    <a:prstGeom prst="rect">
                      <a:avLst/>
                    </a:prstGeom>
                    <a:ln>
                      <a:noFill/>
                    </a:ln>
                  </pic:spPr>
                </pic:pic>
              </a:graphicData>
            </a:graphic>
          </wp:inline>
        </w:drawing>
      </w:r>
    </w:p>
    <w:p w14:paraId="69A08862">
      <w:pPr>
        <w:jc w:val="center"/>
        <w:rPr>
          <w:rFonts w:hint="eastAsia"/>
          <w:sz w:val="21"/>
          <w:szCs w:val="21"/>
          <w:lang w:eastAsia="zh-CN"/>
        </w:rPr>
      </w:pPr>
      <w:r>
        <w:rPr>
          <w:rFonts w:hint="eastAsia"/>
          <w:sz w:val="21"/>
          <w:szCs w:val="21"/>
          <w:lang w:eastAsia="zh-CN"/>
        </w:rPr>
        <w:t>图4 晶圆表面沾污测试示意图</w:t>
      </w:r>
    </w:p>
    <w:p w14:paraId="117EADC4">
      <w:pPr>
        <w:jc w:val="center"/>
        <w:rPr>
          <w:rFonts w:hint="eastAsia"/>
          <w:sz w:val="21"/>
          <w:szCs w:val="21"/>
          <w:lang w:eastAsia="zh-CN"/>
        </w:rPr>
      </w:pPr>
    </w:p>
    <w:p w14:paraId="097AC60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sz w:val="21"/>
          <w:szCs w:val="21"/>
          <w:lang w:eastAsia="zh-CN"/>
        </w:rPr>
      </w:pPr>
      <w:r>
        <w:rPr>
          <w:rFonts w:hint="eastAsia"/>
          <w:sz w:val="21"/>
          <w:szCs w:val="21"/>
          <w:lang w:eastAsia="zh-CN"/>
        </w:rPr>
        <w:t>图5是晶圆表面光致发光成像的原理示意图，该模式采用了355nm激光光源。根据</w:t>
      </w:r>
      <w:r>
        <w:rPr>
          <w:rFonts w:hint="eastAsia"/>
          <w:sz w:val="21"/>
          <w:szCs w:val="21"/>
          <w:lang w:val="en-US" w:eastAsia="zh-CN"/>
        </w:rPr>
        <w:t>氮化镓</w:t>
      </w:r>
      <w:r>
        <w:rPr>
          <w:rFonts w:hint="eastAsia"/>
          <w:sz w:val="21"/>
          <w:szCs w:val="21"/>
          <w:lang w:eastAsia="zh-CN"/>
        </w:rPr>
        <w:t>的能带带隙为3.4 eV，355 nm激光可以激发</w:t>
      </w:r>
      <w:r>
        <w:rPr>
          <w:rFonts w:hint="eastAsia"/>
          <w:sz w:val="21"/>
          <w:szCs w:val="21"/>
          <w:lang w:val="en-US" w:eastAsia="zh-CN"/>
        </w:rPr>
        <w:t>氮化镓</w:t>
      </w:r>
      <w:r>
        <w:rPr>
          <w:rFonts w:hint="eastAsia"/>
          <w:sz w:val="21"/>
          <w:szCs w:val="21"/>
          <w:lang w:eastAsia="zh-CN"/>
        </w:rPr>
        <w:t>，并在365 nm左右有带边发光，如果</w:t>
      </w:r>
      <w:r>
        <w:rPr>
          <w:rFonts w:hint="eastAsia"/>
          <w:sz w:val="21"/>
          <w:szCs w:val="21"/>
          <w:lang w:val="en-US" w:eastAsia="zh-CN"/>
        </w:rPr>
        <w:t>氮化镓</w:t>
      </w:r>
      <w:r>
        <w:rPr>
          <w:rFonts w:hint="eastAsia"/>
          <w:sz w:val="21"/>
          <w:szCs w:val="21"/>
          <w:lang w:eastAsia="zh-CN"/>
        </w:rPr>
        <w:t>衬底表面有凹坑等晶体缺陷或掺杂不均的现象，在该光致发光测试模式下均会出现相应的信号特征。</w:t>
      </w:r>
    </w:p>
    <w:p w14:paraId="009F3AF5">
      <w:pPr>
        <w:jc w:val="center"/>
        <w:rPr>
          <w:rFonts w:hint="eastAsia"/>
          <w:sz w:val="21"/>
          <w:szCs w:val="21"/>
          <w:lang w:eastAsia="zh-CN"/>
        </w:rPr>
      </w:pPr>
      <w:r>
        <w:drawing>
          <wp:inline distT="0" distB="0" distL="0" distR="0">
            <wp:extent cx="3376930" cy="3734435"/>
            <wp:effectExtent l="0" t="0" r="6350" b="14605"/>
            <wp:docPr id="1031" name="图片 14"/>
            <wp:cNvGraphicFramePr/>
            <a:graphic xmlns:a="http://schemas.openxmlformats.org/drawingml/2006/main">
              <a:graphicData uri="http://schemas.openxmlformats.org/drawingml/2006/picture">
                <pic:pic xmlns:pic="http://schemas.openxmlformats.org/drawingml/2006/picture">
                  <pic:nvPicPr>
                    <pic:cNvPr id="1031" name="图片 14"/>
                    <pic:cNvPicPr/>
                  </pic:nvPicPr>
                  <pic:blipFill>
                    <a:blip r:embed="rId15" cstate="print"/>
                    <a:srcRect/>
                    <a:stretch>
                      <a:fillRect/>
                    </a:stretch>
                  </pic:blipFill>
                  <pic:spPr>
                    <a:xfrm>
                      <a:off x="0" y="0"/>
                      <a:ext cx="3377564" cy="3734435"/>
                    </a:xfrm>
                    <a:prstGeom prst="rect">
                      <a:avLst/>
                    </a:prstGeom>
                    <a:ln>
                      <a:noFill/>
                    </a:ln>
                  </pic:spPr>
                </pic:pic>
              </a:graphicData>
            </a:graphic>
          </wp:inline>
        </w:drawing>
      </w:r>
    </w:p>
    <w:p w14:paraId="3A90EF23">
      <w:pPr>
        <w:jc w:val="center"/>
        <w:rPr>
          <w:rFonts w:ascii="Times New Roman" w:hAnsi="Times New Roman" w:eastAsia="宋体" w:cs="Times New Roman"/>
          <w:kern w:val="2"/>
          <w:sz w:val="21"/>
          <w:szCs w:val="21"/>
          <w:lang w:eastAsia="zh-CN"/>
        </w:rPr>
      </w:pPr>
      <w:r>
        <w:rPr>
          <w:rFonts w:hint="eastAsia"/>
          <w:sz w:val="21"/>
          <w:szCs w:val="21"/>
          <w:lang w:eastAsia="zh-CN"/>
        </w:rPr>
        <w:t>图5 晶圆表面光致发光成像原理示意图</w:t>
      </w:r>
    </w:p>
    <w:p w14:paraId="18359BC7">
      <w:pPr>
        <w:jc w:val="center"/>
        <w:rPr>
          <w:rFonts w:ascii="Times New Roman" w:hAnsi="Times New Roman" w:eastAsia="宋体" w:cs="Times New Roman"/>
          <w:kern w:val="2"/>
          <w:sz w:val="21"/>
          <w:szCs w:val="21"/>
          <w:lang w:eastAsia="zh-CN"/>
        </w:rPr>
      </w:pPr>
    </w:p>
    <w:p w14:paraId="54C27B88">
      <w:pPr>
        <w:pStyle w:val="4"/>
        <w:tabs>
          <w:tab w:val="left" w:pos="432"/>
        </w:tabs>
        <w:ind w:right="1072"/>
        <w:jc w:val="both"/>
        <w:rPr>
          <w:rFonts w:ascii="黑体" w:hAnsi="黑体" w:eastAsia="黑体" w:cs="宋体"/>
          <w:b/>
          <w:bCs/>
          <w:lang w:eastAsia="zh-CN"/>
        </w:rPr>
      </w:pPr>
    </w:p>
    <w:p w14:paraId="1615A5A7">
      <w:pPr>
        <w:spacing w:before="9"/>
        <w:jc w:val="both"/>
        <w:rPr>
          <w:rFonts w:hint="eastAsia" w:ascii="黑体" w:hAnsi="黑体" w:eastAsia="黑体" w:cs="黑体"/>
          <w:b w:val="0"/>
          <w:bCs w:val="0"/>
          <w:sz w:val="21"/>
          <w:szCs w:val="21"/>
          <w:lang w:eastAsia="zh-CN"/>
        </w:rPr>
      </w:pPr>
      <w:r>
        <w:rPr>
          <w:rFonts w:hint="eastAsia" w:ascii="黑体" w:hAnsi="黑体" w:eastAsia="黑体" w:cs="黑体"/>
          <w:b w:val="0"/>
          <w:bCs w:val="0"/>
          <w:sz w:val="21"/>
          <w:szCs w:val="21"/>
          <w:lang w:eastAsia="zh-CN"/>
        </w:rPr>
        <w:t>5干扰因素</w:t>
      </w:r>
    </w:p>
    <w:p w14:paraId="01252A07">
      <w:pPr>
        <w:keepNext w:val="0"/>
        <w:keepLines w:val="0"/>
        <w:pageBreakBefore w:val="0"/>
        <w:widowControl w:val="0"/>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5.1在测量范围内，颗粒尺寸与激光散射信号强度、散射光成像大小并非完全线性关系。颗粒尺寸越大，散射信号越趋于饱和；颗粒尺寸小于或接近1个像素点时，散射光成像尺寸无法真实反映其真实尺寸。</w:t>
      </w:r>
    </w:p>
    <w:p w14:paraId="420D1A85">
      <w:pPr>
        <w:keepNext w:val="0"/>
        <w:keepLines w:val="0"/>
        <w:pageBreakBefore w:val="0"/>
        <w:widowControl w:val="0"/>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5.2在晶圆扫描测试过程中，设备样品台、光路的移动会导致颗粒信号发生波动，在信号特征值在阈值附近的缺陷可能会出现在本次测试中被识别、下次测试中未被识别的现象，从而产生颗粒的测试误差。</w:t>
      </w:r>
    </w:p>
    <w:p w14:paraId="41D831EC">
      <w:pPr>
        <w:keepNext w:val="0"/>
        <w:keepLines w:val="0"/>
        <w:pageBreakBefore w:val="0"/>
        <w:widowControl w:val="0"/>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5.3当很多缺陷聚集在一起发生重叠时，由于信号叠加，会给识别和计数带来一定误差。比如，表面颗粒可能附着于特定缺陷之上，影响计数。</w:t>
      </w:r>
    </w:p>
    <w:p w14:paraId="78586EF1">
      <w:pPr>
        <w:keepNext w:val="0"/>
        <w:keepLines w:val="0"/>
        <w:pageBreakBefore w:val="0"/>
        <w:widowControl w:val="0"/>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5.4边缘去除：设备数据采集时采用无去边扫描，可以检查到晶片边缘处理状况、有无裂纹等。在缺陷统计时，可以根据需要去除边缘 1-3 毫米（2/4/6 英寸），以忽略边缘信号和边缘高缺陷区的干扰。</w:t>
      </w:r>
    </w:p>
    <w:p w14:paraId="3755B6B2">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宋体" w:hAnsi="宋体" w:eastAsia="宋体" w:cs="宋体"/>
          <w:sz w:val="21"/>
          <w:szCs w:val="21"/>
          <w:lang w:eastAsia="zh-CN"/>
        </w:rPr>
      </w:pPr>
    </w:p>
    <w:p w14:paraId="160F2256">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6.测试环境</w:t>
      </w:r>
    </w:p>
    <w:p w14:paraId="7DB47C6D">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除另有规定外，应在下列条件下进行检验：</w:t>
      </w:r>
    </w:p>
    <w:p w14:paraId="1DACA76A">
      <w:pPr>
        <w:keepNext w:val="0"/>
        <w:keepLines w:val="0"/>
        <w:pageBreakBefore w:val="0"/>
        <w:widowControl w:val="0"/>
        <w:numPr>
          <w:ilvl w:val="0"/>
          <w:numId w:val="1"/>
        </w:numPr>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洁净度100级及以上；</w:t>
      </w:r>
    </w:p>
    <w:p w14:paraId="2AB95B95">
      <w:pPr>
        <w:keepNext w:val="0"/>
        <w:keepLines w:val="0"/>
        <w:pageBreakBefore w:val="0"/>
        <w:widowControl w:val="0"/>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b)温度：22±3 ℃, 相对湿度：40%±5% RH。</w:t>
      </w:r>
    </w:p>
    <w:p w14:paraId="3EAB30B5">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宋体" w:hAnsi="宋体" w:eastAsia="宋体" w:cs="宋体"/>
          <w:sz w:val="21"/>
          <w:szCs w:val="21"/>
          <w:lang w:eastAsia="zh-CN"/>
        </w:rPr>
      </w:pPr>
    </w:p>
    <w:p w14:paraId="60045268">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7.测试仪器</w:t>
      </w:r>
    </w:p>
    <w:p w14:paraId="21EC0119">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激光扫描法的检测系统</w:t>
      </w:r>
      <w:r>
        <w:rPr>
          <w:rFonts w:hint="eastAsia" w:ascii="宋体" w:hAnsi="宋体" w:eastAsia="宋体" w:cs="宋体"/>
          <w:sz w:val="21"/>
          <w:szCs w:val="21"/>
          <w:lang w:eastAsia="zh-CN"/>
        </w:rPr>
        <w:t>应满足以下内容：</w:t>
      </w:r>
    </w:p>
    <w:p w14:paraId="2BB20062">
      <w:pPr>
        <w:keepNext w:val="0"/>
        <w:keepLines w:val="0"/>
        <w:pageBreakBefore w:val="0"/>
        <w:widowControl w:val="0"/>
        <w:numPr>
          <w:ilvl w:val="0"/>
          <w:numId w:val="2"/>
        </w:numPr>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检测系统一般由晶片吸附装载系统、激光扫描及信号收集系统、数据分析、处理、传输系统、操作系统和机械系统等部分组成。</w:t>
      </w:r>
    </w:p>
    <w:p w14:paraId="045E1D9A">
      <w:pPr>
        <w:keepNext w:val="0"/>
        <w:keepLines w:val="0"/>
        <w:pageBreakBefore w:val="0"/>
        <w:widowControl w:val="0"/>
        <w:numPr>
          <w:ilvl w:val="0"/>
          <w:numId w:val="2"/>
        </w:numPr>
        <w:kinsoku/>
        <w:wordWrap/>
        <w:overflowPunct/>
        <w:topLinePunct w:val="0"/>
        <w:autoSpaceDE/>
        <w:autoSpaceDN/>
        <w:bidi w:val="0"/>
        <w:adjustRightInd/>
        <w:snapToGrid/>
        <w:spacing w:before="9" w:line="360" w:lineRule="auto"/>
        <w:ind w:left="0" w:leftChars="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检测系统通常选用波长(</w:t>
      </w:r>
      <w:r>
        <w:rPr>
          <w:rFonts w:hint="eastAsia" w:ascii="宋体" w:hAnsi="宋体" w:eastAsia="宋体" w:cs="宋体"/>
          <w:sz w:val="21"/>
          <w:szCs w:val="21"/>
          <w:lang w:val="en-US" w:eastAsia="zh-CN"/>
        </w:rPr>
        <w:t>200</w:t>
      </w:r>
      <w:r>
        <w:rPr>
          <w:rFonts w:hint="eastAsia" w:ascii="宋体" w:hAnsi="宋体" w:eastAsia="宋体" w:cs="宋体"/>
          <w:sz w:val="21"/>
          <w:szCs w:val="21"/>
          <w:lang w:eastAsia="zh-CN"/>
        </w:rPr>
        <w:t>-700) nm的激光器，最常用的是 355 nm或405 nm的激光器。</w:t>
      </w:r>
    </w:p>
    <w:p w14:paraId="64A02D6A">
      <w:pPr>
        <w:keepNext w:val="0"/>
        <w:keepLines w:val="0"/>
        <w:pageBreakBefore w:val="0"/>
        <w:widowControl w:val="0"/>
        <w:numPr>
          <w:ilvl w:val="0"/>
          <w:numId w:val="2"/>
        </w:numPr>
        <w:kinsoku/>
        <w:wordWrap/>
        <w:overflowPunct/>
        <w:topLinePunct w:val="0"/>
        <w:autoSpaceDE/>
        <w:autoSpaceDN/>
        <w:bidi w:val="0"/>
        <w:adjustRightInd/>
        <w:snapToGrid/>
        <w:spacing w:before="9" w:line="360" w:lineRule="auto"/>
        <w:ind w:left="0" w:leftChars="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检测系统应具备激光散射、反射信号和光致荧光的收集能力。</w:t>
      </w:r>
    </w:p>
    <w:p w14:paraId="0C826C90">
      <w:pPr>
        <w:keepNext w:val="0"/>
        <w:keepLines w:val="0"/>
        <w:pageBreakBefore w:val="0"/>
        <w:widowControl w:val="0"/>
        <w:numPr>
          <w:ilvl w:val="0"/>
          <w:numId w:val="2"/>
        </w:numPr>
        <w:kinsoku/>
        <w:wordWrap/>
        <w:overflowPunct/>
        <w:topLinePunct w:val="0"/>
        <w:autoSpaceDE/>
        <w:autoSpaceDN/>
        <w:bidi w:val="0"/>
        <w:adjustRightInd/>
        <w:snapToGrid/>
        <w:spacing w:before="9" w:line="360" w:lineRule="auto"/>
        <w:ind w:left="0" w:leftChars="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陷检测系统应具备软件处理能力，定义分类规则并输出整个晶片的缺陷分布图和数目。</w:t>
      </w:r>
    </w:p>
    <w:p w14:paraId="0A362556">
      <w:pPr>
        <w:keepNext w:val="0"/>
        <w:keepLines w:val="0"/>
        <w:pageBreakBefore w:val="0"/>
        <w:widowControl w:val="0"/>
        <w:numPr>
          <w:ilvl w:val="0"/>
          <w:numId w:val="2"/>
        </w:numPr>
        <w:kinsoku/>
        <w:wordWrap/>
        <w:overflowPunct/>
        <w:topLinePunct w:val="0"/>
        <w:autoSpaceDE/>
        <w:autoSpaceDN/>
        <w:bidi w:val="0"/>
        <w:adjustRightInd/>
        <w:snapToGrid/>
        <w:spacing w:before="9" w:line="360" w:lineRule="auto"/>
        <w:ind w:left="0" w:leftChars="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检测系统可装载晶圆尺寸范围为直径</w:t>
      </w:r>
      <w:r>
        <w:rPr>
          <w:rFonts w:hint="eastAsia" w:ascii="宋体" w:hAnsi="宋体" w:eastAsia="宋体" w:cs="宋体"/>
          <w:sz w:val="21"/>
          <w:szCs w:val="21"/>
          <w:lang w:val="en-US" w:eastAsia="zh-CN"/>
        </w:rPr>
        <w:t>在</w:t>
      </w:r>
      <w:r>
        <w:rPr>
          <w:rFonts w:hint="eastAsia" w:ascii="宋体" w:hAnsi="宋体" w:eastAsia="宋体" w:cs="宋体"/>
          <w:sz w:val="21"/>
          <w:szCs w:val="21"/>
          <w:lang w:eastAsia="zh-CN"/>
        </w:rPr>
        <w:t>50mm</w:t>
      </w:r>
      <w:r>
        <w:rPr>
          <w:rFonts w:hint="eastAsia" w:ascii="宋体" w:hAnsi="宋体" w:eastAsia="宋体" w:cs="宋体"/>
          <w:sz w:val="21"/>
          <w:szCs w:val="21"/>
          <w:lang w:val="en-US" w:eastAsia="zh-CN"/>
        </w:rPr>
        <w:t>及以上</w:t>
      </w:r>
      <w:r>
        <w:rPr>
          <w:rFonts w:hint="eastAsia" w:ascii="宋体" w:hAnsi="宋体" w:eastAsia="宋体" w:cs="宋体"/>
          <w:sz w:val="21"/>
          <w:szCs w:val="21"/>
          <w:lang w:eastAsia="zh-CN"/>
        </w:rPr>
        <w:t>、测试厚度范围为300-1500μm。</w:t>
      </w:r>
    </w:p>
    <w:p w14:paraId="52E81E42">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宋体" w:hAnsi="宋体" w:eastAsia="宋体" w:cs="宋体"/>
          <w:sz w:val="21"/>
          <w:szCs w:val="21"/>
          <w:lang w:eastAsia="zh-CN"/>
        </w:rPr>
      </w:pPr>
    </w:p>
    <w:p w14:paraId="142842D8">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8.样品</w:t>
      </w:r>
    </w:p>
    <w:p w14:paraId="7DBFE690">
      <w:pPr>
        <w:keepNext w:val="0"/>
        <w:keepLines w:val="0"/>
        <w:pageBreakBefore w:val="0"/>
        <w:widowControl w:val="0"/>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测试晶圆应为氮化镓</w:t>
      </w:r>
      <w:r>
        <w:rPr>
          <w:rFonts w:hint="eastAsia" w:ascii="宋体" w:hAnsi="宋体" w:eastAsia="宋体" w:cs="宋体"/>
          <w:sz w:val="21"/>
          <w:szCs w:val="21"/>
          <w:lang w:val="en-US" w:eastAsia="zh-CN"/>
        </w:rPr>
        <w:t>单晶</w:t>
      </w:r>
      <w:r>
        <w:rPr>
          <w:rFonts w:hint="eastAsia" w:ascii="宋体" w:hAnsi="宋体" w:eastAsia="宋体" w:cs="宋体"/>
          <w:sz w:val="21"/>
          <w:szCs w:val="21"/>
          <w:lang w:eastAsia="zh-CN"/>
        </w:rPr>
        <w:t>衬底、</w:t>
      </w:r>
      <w:r>
        <w:rPr>
          <w:rFonts w:hint="eastAsia" w:ascii="宋体" w:hAnsi="宋体" w:eastAsia="宋体" w:cs="宋体"/>
          <w:sz w:val="21"/>
          <w:szCs w:val="21"/>
          <w:lang w:val="en-US" w:eastAsia="zh-CN"/>
        </w:rPr>
        <w:t>氮化镓同质外延片、氮化镓异质外延片、氮化铝外延片等晶圆</w:t>
      </w:r>
      <w:r>
        <w:rPr>
          <w:rFonts w:hint="eastAsia" w:ascii="宋体" w:hAnsi="宋体" w:eastAsia="宋体" w:cs="宋体"/>
          <w:sz w:val="21"/>
          <w:szCs w:val="21"/>
          <w:lang w:eastAsia="zh-CN"/>
        </w:rPr>
        <w:t>，Ⅲ族氮化物晶圆尺寸在2英寸</w:t>
      </w:r>
      <w:r>
        <w:rPr>
          <w:rFonts w:hint="eastAsia" w:ascii="宋体" w:hAnsi="宋体" w:eastAsia="宋体" w:cs="宋体"/>
          <w:sz w:val="21"/>
          <w:szCs w:val="21"/>
          <w:lang w:val="en-US" w:eastAsia="zh-CN"/>
        </w:rPr>
        <w:t>及以上</w:t>
      </w:r>
      <w:r>
        <w:rPr>
          <w:rFonts w:hint="eastAsia" w:ascii="宋体" w:hAnsi="宋体" w:eastAsia="宋体" w:cs="宋体"/>
          <w:sz w:val="21"/>
          <w:szCs w:val="21"/>
          <w:lang w:eastAsia="zh-CN"/>
        </w:rPr>
        <w:t>，厚度应在300-1500 μm范围内。</w:t>
      </w:r>
    </w:p>
    <w:p w14:paraId="2601D563">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黑体" w:hAnsi="黑体" w:eastAsia="黑体" w:cs="黑体"/>
          <w:sz w:val="21"/>
          <w:szCs w:val="21"/>
          <w:lang w:eastAsia="zh-CN"/>
        </w:rPr>
      </w:pPr>
    </w:p>
    <w:p w14:paraId="25CAD674">
      <w:pPr>
        <w:keepNext w:val="0"/>
        <w:keepLines w:val="0"/>
        <w:pageBreakBefore w:val="0"/>
        <w:widowControl w:val="0"/>
        <w:kinsoku/>
        <w:wordWrap/>
        <w:overflowPunct/>
        <w:topLinePunct w:val="0"/>
        <w:autoSpaceDE/>
        <w:autoSpaceDN/>
        <w:bidi w:val="0"/>
        <w:adjustRightInd/>
        <w:snapToGrid/>
        <w:spacing w:before="9" w:line="360" w:lineRule="auto"/>
        <w:jc w:val="both"/>
        <w:textAlignment w:val="auto"/>
        <w:rPr>
          <w:rFonts w:hint="eastAsia" w:ascii="黑体" w:hAnsi="黑体" w:eastAsia="黑体" w:cs="黑体"/>
          <w:sz w:val="21"/>
          <w:szCs w:val="21"/>
          <w:lang w:eastAsia="zh-CN"/>
        </w:rPr>
      </w:pPr>
      <w:r>
        <w:rPr>
          <w:rFonts w:hint="eastAsia" w:ascii="黑体" w:hAnsi="黑体" w:eastAsia="黑体" w:cs="黑体"/>
          <w:sz w:val="21"/>
          <w:szCs w:val="21"/>
          <w:lang w:eastAsia="zh-CN"/>
        </w:rPr>
        <w:t>9.试验步骤</w:t>
      </w:r>
    </w:p>
    <w:p w14:paraId="72230B5B">
      <w:pPr>
        <w:keepNext w:val="0"/>
        <w:keepLines w:val="0"/>
        <w:pageBreakBefore w:val="0"/>
        <w:widowControl w:val="0"/>
        <w:kinsoku/>
        <w:wordWrap/>
        <w:overflowPunct/>
        <w:topLinePunct w:val="0"/>
        <w:autoSpaceDE/>
        <w:autoSpaceDN/>
        <w:bidi w:val="0"/>
        <w:adjustRightInd/>
        <w:snapToGrid/>
        <w:spacing w:before="9"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a)仪器校准，用标定好的晶片对仪器进行校准。</w:t>
      </w:r>
    </w:p>
    <w:p w14:paraId="09648B32">
      <w:pPr>
        <w:keepNext w:val="0"/>
        <w:keepLines w:val="0"/>
        <w:pageBreakBefore w:val="0"/>
        <w:widowControl w:val="0"/>
        <w:numPr>
          <w:ilvl w:val="0"/>
          <w:numId w:val="1"/>
        </w:numPr>
        <w:kinsoku/>
        <w:wordWrap/>
        <w:overflowPunct/>
        <w:topLinePunct w:val="0"/>
        <w:autoSpaceDE/>
        <w:autoSpaceDN/>
        <w:bidi w:val="0"/>
        <w:adjustRightInd/>
        <w:snapToGrid/>
        <w:spacing w:before="9" w:line="360" w:lineRule="auto"/>
        <w:ind w:left="0" w:leftChars="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选择合适的样品台（2</w:t>
      </w:r>
      <w:r>
        <w:rPr>
          <w:rFonts w:hint="eastAsia" w:ascii="宋体" w:hAnsi="宋体" w:eastAsia="宋体" w:cs="宋体"/>
          <w:sz w:val="21"/>
          <w:szCs w:val="21"/>
          <w:lang w:val="en-US" w:eastAsia="zh-CN"/>
        </w:rPr>
        <w:t>英寸</w:t>
      </w:r>
      <w:r>
        <w:rPr>
          <w:rFonts w:hint="eastAsia" w:ascii="宋体" w:hAnsi="宋体" w:eastAsia="宋体" w:cs="宋体"/>
          <w:sz w:val="21"/>
          <w:szCs w:val="21"/>
          <w:lang w:eastAsia="zh-CN"/>
        </w:rPr>
        <w:t>、4</w:t>
      </w:r>
      <w:r>
        <w:rPr>
          <w:rFonts w:hint="eastAsia" w:ascii="宋体" w:hAnsi="宋体" w:eastAsia="宋体" w:cs="宋体"/>
          <w:sz w:val="21"/>
          <w:szCs w:val="21"/>
          <w:lang w:val="en-US" w:eastAsia="zh-CN"/>
        </w:rPr>
        <w:t>英寸、</w:t>
      </w:r>
      <w:r>
        <w:rPr>
          <w:rFonts w:hint="eastAsia" w:ascii="宋体" w:hAnsi="宋体" w:eastAsia="宋体" w:cs="宋体"/>
          <w:sz w:val="21"/>
          <w:szCs w:val="21"/>
          <w:lang w:eastAsia="zh-CN"/>
        </w:rPr>
        <w:t>6</w:t>
      </w:r>
      <w:r>
        <w:rPr>
          <w:rFonts w:hint="eastAsia" w:ascii="宋体" w:hAnsi="宋体" w:eastAsia="宋体" w:cs="宋体"/>
          <w:sz w:val="21"/>
          <w:szCs w:val="21"/>
          <w:lang w:val="en-US" w:eastAsia="zh-CN"/>
        </w:rPr>
        <w:t>英寸、</w:t>
      </w:r>
      <w:r>
        <w:rPr>
          <w:rFonts w:hint="eastAsia" w:ascii="宋体" w:hAnsi="宋体" w:eastAsia="宋体" w:cs="宋体"/>
          <w:sz w:val="21"/>
          <w:szCs w:val="21"/>
          <w:lang w:eastAsia="zh-CN"/>
        </w:rPr>
        <w:t>8</w:t>
      </w:r>
      <w:r>
        <w:rPr>
          <w:rFonts w:hint="eastAsia" w:ascii="宋体" w:hAnsi="宋体" w:eastAsia="宋体" w:cs="宋体"/>
          <w:sz w:val="21"/>
          <w:szCs w:val="21"/>
          <w:lang w:val="en-US" w:eastAsia="zh-CN"/>
        </w:rPr>
        <w:t>英寸等</w:t>
      </w:r>
      <w:r>
        <w:rPr>
          <w:rFonts w:hint="eastAsia" w:ascii="宋体" w:hAnsi="宋体" w:eastAsia="宋体" w:cs="宋体"/>
          <w:sz w:val="21"/>
          <w:szCs w:val="21"/>
          <w:lang w:eastAsia="zh-CN"/>
        </w:rPr>
        <w:t>），将晶圆放在载台上，正面朝上，完成放样；</w:t>
      </w:r>
    </w:p>
    <w:p w14:paraId="0DB29175">
      <w:pPr>
        <w:keepNext w:val="0"/>
        <w:keepLines w:val="0"/>
        <w:pageBreakBefore w:val="0"/>
        <w:widowControl w:val="0"/>
        <w:numPr>
          <w:ilvl w:val="0"/>
          <w:numId w:val="1"/>
        </w:numPr>
        <w:kinsoku/>
        <w:wordWrap/>
        <w:overflowPunct/>
        <w:topLinePunct w:val="0"/>
        <w:autoSpaceDE/>
        <w:autoSpaceDN/>
        <w:bidi w:val="0"/>
        <w:adjustRightInd/>
        <w:snapToGrid/>
        <w:spacing w:before="9" w:line="360" w:lineRule="auto"/>
        <w:ind w:left="0" w:leftChars="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设定或选择相应的晶圆表面缺陷测试程序（recipe），开始测试；</w:t>
      </w:r>
    </w:p>
    <w:p w14:paraId="21B2C948">
      <w:pPr>
        <w:keepNext w:val="0"/>
        <w:keepLines w:val="0"/>
        <w:pageBreakBefore w:val="0"/>
        <w:widowControl w:val="0"/>
        <w:numPr>
          <w:ilvl w:val="0"/>
          <w:numId w:val="1"/>
        </w:numPr>
        <w:kinsoku/>
        <w:wordWrap/>
        <w:overflowPunct/>
        <w:topLinePunct w:val="0"/>
        <w:autoSpaceDE/>
        <w:autoSpaceDN/>
        <w:bidi w:val="0"/>
        <w:adjustRightInd/>
        <w:snapToGrid/>
        <w:spacing w:before="9" w:line="360" w:lineRule="auto"/>
        <w:ind w:left="0" w:leftChars="0"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输出测试结果；</w:t>
      </w:r>
    </w:p>
    <w:p w14:paraId="72539599">
      <w:pPr>
        <w:keepNext w:val="0"/>
        <w:keepLines w:val="0"/>
        <w:pageBreakBefore w:val="0"/>
        <w:widowControl w:val="0"/>
        <w:kinsoku/>
        <w:wordWrap/>
        <w:overflowPunct/>
        <w:topLinePunct w:val="0"/>
        <w:autoSpaceDE/>
        <w:autoSpaceDN/>
        <w:bidi w:val="0"/>
        <w:adjustRightInd/>
        <w:snapToGrid/>
        <w:spacing w:before="9" w:line="360" w:lineRule="auto"/>
        <w:ind w:firstLine="420" w:firstLineChars="200"/>
        <w:jc w:val="both"/>
        <w:textAlignment w:val="auto"/>
        <w:rPr>
          <w:rFonts w:ascii="宋体" w:hAnsi="宋体" w:eastAsia="宋体" w:cs="宋体"/>
          <w:sz w:val="21"/>
          <w:szCs w:val="21"/>
          <w:lang w:eastAsia="zh-CN"/>
        </w:rPr>
      </w:pPr>
      <w:r>
        <w:rPr>
          <w:rFonts w:hint="eastAsia" w:ascii="宋体" w:hAnsi="宋体" w:eastAsia="宋体" w:cs="宋体"/>
          <w:sz w:val="21"/>
          <w:szCs w:val="21"/>
          <w:lang w:eastAsia="zh-CN"/>
        </w:rPr>
        <w:t>e)取出晶圆，完成测试。</w:t>
      </w:r>
    </w:p>
    <w:p w14:paraId="51742B28">
      <w:pPr>
        <w:pStyle w:val="4"/>
        <w:keepNext w:val="0"/>
        <w:keepLines w:val="0"/>
        <w:pageBreakBefore w:val="0"/>
        <w:widowControl w:val="0"/>
        <w:tabs>
          <w:tab w:val="left" w:pos="432"/>
        </w:tabs>
        <w:kinsoku/>
        <w:wordWrap/>
        <w:overflowPunct/>
        <w:topLinePunct w:val="0"/>
        <w:autoSpaceDE/>
        <w:autoSpaceDN/>
        <w:bidi w:val="0"/>
        <w:adjustRightInd/>
        <w:snapToGrid/>
        <w:spacing w:line="360" w:lineRule="auto"/>
        <w:ind w:right="1072"/>
        <w:jc w:val="both"/>
        <w:textAlignment w:val="auto"/>
        <w:rPr>
          <w:rFonts w:hint="eastAsia" w:ascii="黑体" w:hAnsi="黑体" w:eastAsia="黑体" w:cs="黑体"/>
          <w:w w:val="95"/>
          <w:lang w:eastAsia="zh-CN"/>
        </w:rPr>
      </w:pPr>
    </w:p>
    <w:p w14:paraId="0BF09920">
      <w:pPr>
        <w:pStyle w:val="4"/>
        <w:tabs>
          <w:tab w:val="left" w:pos="432"/>
        </w:tabs>
        <w:ind w:right="1072"/>
        <w:jc w:val="both"/>
        <w:rPr>
          <w:rFonts w:hint="eastAsia" w:ascii="黑体" w:hAnsi="黑体" w:eastAsia="黑体" w:cs="黑体"/>
          <w:w w:val="95"/>
          <w:lang w:eastAsia="zh-CN"/>
        </w:rPr>
      </w:pPr>
    </w:p>
    <w:p w14:paraId="42F4C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kern w:val="2"/>
          <w:sz w:val="21"/>
          <w:szCs w:val="21"/>
          <w:lang w:eastAsia="zh-CN"/>
        </w:rPr>
      </w:pPr>
      <w:r>
        <w:rPr>
          <w:rFonts w:hint="eastAsia" w:ascii="黑体" w:hAnsi="黑体" w:eastAsia="黑体" w:cs="黑体"/>
          <w:kern w:val="2"/>
          <w:sz w:val="21"/>
          <w:szCs w:val="21"/>
          <w:lang w:eastAsia="zh-CN"/>
        </w:rPr>
        <w:t>10</w:t>
      </w:r>
      <w:r>
        <w:rPr>
          <w:rFonts w:hint="eastAsia" w:ascii="黑体" w:hAnsi="黑体" w:eastAsia="黑体" w:cs="黑体"/>
          <w:kern w:val="2"/>
          <w:sz w:val="21"/>
          <w:szCs w:val="21"/>
          <w:lang w:val="en-US" w:eastAsia="zh-CN"/>
        </w:rPr>
        <w:t xml:space="preserve"> </w:t>
      </w:r>
      <w:r>
        <w:rPr>
          <w:rFonts w:hint="eastAsia" w:ascii="黑体" w:hAnsi="黑体" w:eastAsia="黑体" w:cs="黑体"/>
          <w:kern w:val="2"/>
          <w:sz w:val="21"/>
          <w:szCs w:val="21"/>
          <w:lang w:eastAsia="zh-CN"/>
        </w:rPr>
        <w:t>试验结果判据</w:t>
      </w:r>
    </w:p>
    <w:p w14:paraId="05CF93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测试项目包括：缺陷总数、缺陷类型及其数量和分布、各类缺陷的特征图像。</w:t>
      </w:r>
    </w:p>
    <w:p w14:paraId="324E5F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氮化镓衬底</w:t>
      </w:r>
      <w:r>
        <w:rPr>
          <w:rFonts w:hint="eastAsia" w:ascii="Times New Roman" w:hAnsi="Times New Roman" w:eastAsia="宋体" w:cs="Times New Roman"/>
          <w:kern w:val="2"/>
          <w:sz w:val="21"/>
          <w:szCs w:val="21"/>
          <w:lang w:val="en-US" w:eastAsia="zh-CN"/>
        </w:rPr>
        <w:t>几外延片</w:t>
      </w:r>
      <w:r>
        <w:rPr>
          <w:rFonts w:hint="eastAsia" w:ascii="Times New Roman" w:hAnsi="Times New Roman" w:eastAsia="宋体" w:cs="Times New Roman"/>
          <w:kern w:val="2"/>
          <w:sz w:val="21"/>
          <w:szCs w:val="21"/>
          <w:lang w:eastAsia="zh-CN"/>
        </w:rPr>
        <w:t>的表面缺陷</w:t>
      </w:r>
      <w:r>
        <w:rPr>
          <w:rFonts w:hint="eastAsia" w:ascii="Times New Roman" w:hAnsi="Times New Roman" w:eastAsia="宋体" w:cs="Times New Roman"/>
          <w:kern w:val="2"/>
          <w:sz w:val="21"/>
          <w:szCs w:val="21"/>
          <w:lang w:val="en-US" w:eastAsia="zh-CN"/>
        </w:rPr>
        <w:t>图谱如下</w:t>
      </w:r>
      <w:r>
        <w:rPr>
          <w:rFonts w:hint="eastAsia" w:ascii="Times New Roman" w:hAnsi="Times New Roman" w:eastAsia="宋体" w:cs="Times New Roman"/>
          <w:kern w:val="2"/>
          <w:sz w:val="21"/>
          <w:szCs w:val="21"/>
          <w:lang w:eastAsia="zh-CN"/>
        </w:rPr>
        <w:t>：</w:t>
      </w:r>
    </w:p>
    <w:p w14:paraId="79FFE6BD">
      <w:pPr>
        <w:jc w:val="center"/>
        <w:rPr>
          <w:rFonts w:hint="eastAsia" w:ascii="Times New Roman" w:hAnsi="Times New Roman" w:eastAsia="宋体" w:cs="Times New Roman"/>
          <w:kern w:val="2"/>
          <w:sz w:val="21"/>
          <w:szCs w:val="21"/>
          <w:lang w:eastAsia="zh-CN"/>
        </w:rPr>
      </w:pPr>
      <w:r>
        <w:drawing>
          <wp:inline distT="0" distB="0" distL="114300" distR="114300">
            <wp:extent cx="4860290" cy="6992620"/>
            <wp:effectExtent l="0" t="0" r="698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4860290" cy="6992620"/>
                    </a:xfrm>
                    <a:prstGeom prst="rect">
                      <a:avLst/>
                    </a:prstGeom>
                    <a:noFill/>
                    <a:ln>
                      <a:noFill/>
                    </a:ln>
                  </pic:spPr>
                </pic:pic>
              </a:graphicData>
            </a:graphic>
          </wp:inline>
        </w:drawing>
      </w:r>
    </w:p>
    <w:p w14:paraId="3C0083D8">
      <w:pPr>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eastAsia="zh-CN"/>
        </w:rPr>
        <w:t>图6 氮化镓衬底表面缺陷</w:t>
      </w:r>
      <w:r>
        <w:rPr>
          <w:rFonts w:hint="eastAsia" w:ascii="Times New Roman" w:hAnsi="Times New Roman" w:eastAsia="宋体" w:cs="Times New Roman"/>
          <w:kern w:val="2"/>
          <w:sz w:val="21"/>
          <w:szCs w:val="21"/>
          <w:lang w:val="en-US" w:eastAsia="zh-CN"/>
        </w:rPr>
        <w:t>图谱</w:t>
      </w:r>
    </w:p>
    <w:p w14:paraId="74626F71">
      <w:pPr>
        <w:jc w:val="both"/>
        <w:rPr>
          <w:rFonts w:ascii="Times New Roman" w:hAnsi="Times New Roman" w:eastAsia="宋体" w:cs="Times New Roman"/>
          <w:kern w:val="2"/>
          <w:sz w:val="21"/>
          <w:szCs w:val="21"/>
          <w:lang w:eastAsia="zh-CN"/>
        </w:rPr>
      </w:pPr>
    </w:p>
    <w:p w14:paraId="3AB9A6B9">
      <w:pPr>
        <w:jc w:val="center"/>
      </w:pPr>
      <w:r>
        <w:drawing>
          <wp:inline distT="0" distB="0" distL="114300" distR="114300">
            <wp:extent cx="4860290" cy="5742940"/>
            <wp:effectExtent l="0" t="0" r="127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4860290" cy="5742940"/>
                    </a:xfrm>
                    <a:prstGeom prst="rect">
                      <a:avLst/>
                    </a:prstGeom>
                    <a:noFill/>
                    <a:ln>
                      <a:noFill/>
                    </a:ln>
                  </pic:spPr>
                </pic:pic>
              </a:graphicData>
            </a:graphic>
          </wp:inline>
        </w:drawing>
      </w:r>
    </w:p>
    <w:p w14:paraId="700FAB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eastAsia="zh-CN"/>
        </w:rPr>
        <w:t>图</w:t>
      </w:r>
      <w:r>
        <w:rPr>
          <w:rFonts w:hint="eastAsia" w:ascii="Times New Roman" w:hAnsi="Times New Roman" w:eastAsia="宋体" w:cs="Times New Roman"/>
          <w:kern w:val="2"/>
          <w:sz w:val="21"/>
          <w:szCs w:val="21"/>
          <w:lang w:val="en-US" w:eastAsia="zh-CN"/>
        </w:rPr>
        <w:t>7</w:t>
      </w:r>
      <w:r>
        <w:rPr>
          <w:rFonts w:hint="eastAsia" w:ascii="Times New Roman" w:hAnsi="Times New Roman" w:eastAsia="宋体" w:cs="Times New Roman"/>
          <w:kern w:val="2"/>
          <w:sz w:val="21"/>
          <w:szCs w:val="21"/>
          <w:lang w:eastAsia="zh-CN"/>
        </w:rPr>
        <w:t xml:space="preserve"> 氮化镓</w:t>
      </w:r>
      <w:r>
        <w:rPr>
          <w:rFonts w:hint="eastAsia" w:ascii="Times New Roman" w:hAnsi="Times New Roman" w:eastAsia="宋体" w:cs="Times New Roman"/>
          <w:kern w:val="2"/>
          <w:sz w:val="21"/>
          <w:szCs w:val="21"/>
          <w:lang w:val="en-US" w:eastAsia="zh-CN"/>
        </w:rPr>
        <w:t>同质外延片</w:t>
      </w:r>
      <w:r>
        <w:rPr>
          <w:rFonts w:hint="eastAsia" w:ascii="Times New Roman" w:hAnsi="Times New Roman" w:eastAsia="宋体" w:cs="Times New Roman"/>
          <w:kern w:val="2"/>
          <w:sz w:val="21"/>
          <w:szCs w:val="21"/>
          <w:lang w:eastAsia="zh-CN"/>
        </w:rPr>
        <w:t>表面缺陷</w:t>
      </w:r>
      <w:r>
        <w:rPr>
          <w:rFonts w:hint="eastAsia" w:ascii="Times New Roman" w:hAnsi="Times New Roman" w:eastAsia="宋体" w:cs="Times New Roman"/>
          <w:kern w:val="2"/>
          <w:sz w:val="21"/>
          <w:szCs w:val="21"/>
          <w:lang w:val="en-US" w:eastAsia="zh-CN"/>
        </w:rPr>
        <w:t>图谱</w:t>
      </w:r>
    </w:p>
    <w:p w14:paraId="7FCB2F70">
      <w:pPr>
        <w:jc w:val="center"/>
      </w:pPr>
      <w:r>
        <w:drawing>
          <wp:inline distT="0" distB="0" distL="114300" distR="114300">
            <wp:extent cx="4860290" cy="4251960"/>
            <wp:effectExtent l="0" t="0" r="127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4860290" cy="4251960"/>
                    </a:xfrm>
                    <a:prstGeom prst="rect">
                      <a:avLst/>
                    </a:prstGeom>
                    <a:noFill/>
                    <a:ln>
                      <a:noFill/>
                    </a:ln>
                  </pic:spPr>
                </pic:pic>
              </a:graphicData>
            </a:graphic>
          </wp:inline>
        </w:drawing>
      </w:r>
    </w:p>
    <w:p w14:paraId="5FA4EB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lang w:val="en-US" w:eastAsia="zh-CN"/>
        </w:rPr>
      </w:pPr>
      <w:r>
        <w:rPr>
          <w:rFonts w:hint="eastAsia"/>
          <w:lang w:val="en-US" w:eastAsia="zh-CN"/>
        </w:rPr>
        <w:t>图8</w:t>
      </w:r>
      <w:r>
        <w:rPr>
          <w:rFonts w:hint="eastAsia" w:ascii="Times New Roman" w:hAnsi="Times New Roman" w:eastAsia="宋体" w:cs="Times New Roman"/>
          <w:kern w:val="2"/>
          <w:sz w:val="21"/>
          <w:szCs w:val="21"/>
          <w:lang w:eastAsia="zh-CN"/>
        </w:rPr>
        <w:t>氮化镓</w:t>
      </w:r>
      <w:r>
        <w:rPr>
          <w:rFonts w:hint="eastAsia" w:ascii="Times New Roman" w:hAnsi="Times New Roman" w:eastAsia="宋体" w:cs="Times New Roman"/>
          <w:kern w:val="2"/>
          <w:sz w:val="21"/>
          <w:szCs w:val="21"/>
          <w:lang w:val="en-US" w:eastAsia="zh-CN"/>
        </w:rPr>
        <w:t>异质外延片</w:t>
      </w:r>
      <w:r>
        <w:rPr>
          <w:rFonts w:hint="eastAsia" w:ascii="Times New Roman" w:hAnsi="Times New Roman" w:eastAsia="宋体" w:cs="Times New Roman"/>
          <w:kern w:val="2"/>
          <w:sz w:val="21"/>
          <w:szCs w:val="21"/>
          <w:lang w:eastAsia="zh-CN"/>
        </w:rPr>
        <w:t>表面缺陷</w:t>
      </w:r>
      <w:r>
        <w:rPr>
          <w:rFonts w:hint="eastAsia" w:ascii="Times New Roman" w:hAnsi="Times New Roman" w:eastAsia="宋体" w:cs="Times New Roman"/>
          <w:kern w:val="2"/>
          <w:sz w:val="21"/>
          <w:szCs w:val="21"/>
          <w:lang w:val="en-US" w:eastAsia="zh-CN"/>
        </w:rPr>
        <w:t>图谱</w:t>
      </w:r>
    </w:p>
    <w:p w14:paraId="04F959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1"/>
          <w:lang w:val="en-US" w:eastAsia="zh-CN"/>
        </w:rPr>
      </w:pPr>
      <w:r>
        <w:drawing>
          <wp:inline distT="0" distB="0" distL="114300" distR="114300">
            <wp:extent cx="4860290" cy="2933065"/>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4860290" cy="2933065"/>
                    </a:xfrm>
                    <a:prstGeom prst="rect">
                      <a:avLst/>
                    </a:prstGeom>
                    <a:noFill/>
                    <a:ln>
                      <a:noFill/>
                    </a:ln>
                  </pic:spPr>
                </pic:pic>
              </a:graphicData>
            </a:graphic>
          </wp:inline>
        </w:drawing>
      </w:r>
    </w:p>
    <w:p w14:paraId="72F6E363">
      <w:pPr>
        <w:jc w:val="center"/>
      </w:pPr>
      <w:r>
        <w:rPr>
          <w:rFonts w:hint="eastAsia"/>
          <w:lang w:val="en-US" w:eastAsia="zh-CN"/>
        </w:rPr>
        <w:t>图9</w:t>
      </w:r>
      <w:r>
        <w:rPr>
          <w:rFonts w:hint="eastAsia" w:ascii="Times New Roman" w:hAnsi="Times New Roman" w:eastAsia="宋体" w:cs="Times New Roman"/>
          <w:kern w:val="2"/>
          <w:sz w:val="21"/>
          <w:szCs w:val="21"/>
          <w:lang w:eastAsia="zh-CN"/>
        </w:rPr>
        <w:t>氮化</w:t>
      </w:r>
      <w:r>
        <w:rPr>
          <w:rFonts w:hint="eastAsia" w:ascii="Times New Roman" w:hAnsi="Times New Roman" w:eastAsia="宋体" w:cs="Times New Roman"/>
          <w:kern w:val="2"/>
          <w:sz w:val="21"/>
          <w:szCs w:val="21"/>
          <w:lang w:val="en-US" w:eastAsia="zh-CN"/>
        </w:rPr>
        <w:t>铝外延片</w:t>
      </w:r>
      <w:r>
        <w:rPr>
          <w:rFonts w:hint="eastAsia" w:ascii="Times New Roman" w:hAnsi="Times New Roman" w:eastAsia="宋体" w:cs="Times New Roman"/>
          <w:kern w:val="2"/>
          <w:sz w:val="21"/>
          <w:szCs w:val="21"/>
          <w:lang w:eastAsia="zh-CN"/>
        </w:rPr>
        <w:t>表面缺陷</w:t>
      </w:r>
      <w:r>
        <w:rPr>
          <w:rFonts w:hint="eastAsia" w:ascii="Times New Roman" w:hAnsi="Times New Roman" w:eastAsia="宋体" w:cs="Times New Roman"/>
          <w:kern w:val="2"/>
          <w:sz w:val="21"/>
          <w:szCs w:val="21"/>
          <w:lang w:val="en-US" w:eastAsia="zh-CN"/>
        </w:rPr>
        <w:t>图谱</w:t>
      </w:r>
    </w:p>
    <w:p w14:paraId="0EED25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kern w:val="2"/>
          <w:sz w:val="21"/>
          <w:szCs w:val="21"/>
          <w:lang w:eastAsia="zh-CN"/>
        </w:rPr>
      </w:pPr>
      <w:r>
        <w:rPr>
          <w:rFonts w:hint="eastAsia" w:ascii="黑体" w:hAnsi="黑体" w:eastAsia="黑体" w:cs="黑体"/>
          <w:kern w:val="2"/>
          <w:sz w:val="21"/>
          <w:szCs w:val="21"/>
          <w:lang w:eastAsia="zh-CN"/>
        </w:rPr>
        <w:t>11.精密度</w:t>
      </w:r>
    </w:p>
    <w:p w14:paraId="22D2A41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用直径为 150mm的标准片重复测试30次，单个实验室测试的相对偏差不大于5%，详见附件A。</w:t>
      </w:r>
    </w:p>
    <w:p w14:paraId="13066E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kern w:val="2"/>
          <w:sz w:val="21"/>
          <w:szCs w:val="21"/>
          <w:lang w:eastAsia="zh-CN"/>
        </w:rPr>
      </w:pPr>
    </w:p>
    <w:p w14:paraId="46A465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kern w:val="2"/>
          <w:sz w:val="21"/>
          <w:szCs w:val="21"/>
          <w:lang w:eastAsia="zh-CN"/>
        </w:rPr>
      </w:pPr>
      <w:r>
        <w:rPr>
          <w:rFonts w:hint="eastAsia" w:ascii="黑体" w:hAnsi="黑体" w:eastAsia="黑体" w:cs="黑体"/>
          <w:kern w:val="2"/>
          <w:sz w:val="21"/>
          <w:szCs w:val="21"/>
          <w:lang w:eastAsia="zh-CN"/>
        </w:rPr>
        <w:t>12.质量保证和控制</w:t>
      </w:r>
    </w:p>
    <w:p w14:paraId="5DA967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 xml:space="preserve"> </w:t>
      </w:r>
      <w:r>
        <w:rPr>
          <w:rFonts w:hint="eastAsia" w:ascii="Times New Roman" w:hAnsi="Times New Roman" w:eastAsia="宋体" w:cs="Times New Roman"/>
          <w:kern w:val="2"/>
          <w:sz w:val="21"/>
          <w:szCs w:val="21"/>
          <w:lang w:val="en-US" w:eastAsia="zh-CN"/>
        </w:rPr>
        <w:t xml:space="preserve">       </w:t>
      </w:r>
      <w:r>
        <w:rPr>
          <w:rFonts w:hint="eastAsia" w:ascii="Times New Roman" w:hAnsi="Times New Roman" w:eastAsia="宋体" w:cs="Times New Roman"/>
          <w:kern w:val="2"/>
          <w:sz w:val="21"/>
          <w:szCs w:val="21"/>
          <w:lang w:eastAsia="zh-CN"/>
        </w:rPr>
        <w:t>应用对比的样品在每次测试前校核该方法的重复性、有效性,当测试结果重复性、有效性比较差,偏离原测试结果时,应查找原因,纠正错误,再重新进行校核。</w:t>
      </w:r>
    </w:p>
    <w:p w14:paraId="53C401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kern w:val="2"/>
          <w:sz w:val="21"/>
          <w:szCs w:val="21"/>
          <w:lang w:eastAsia="zh-CN"/>
        </w:rPr>
      </w:pPr>
    </w:p>
    <w:p w14:paraId="278B5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kern w:val="2"/>
          <w:sz w:val="21"/>
          <w:szCs w:val="21"/>
          <w:lang w:eastAsia="zh-CN"/>
        </w:rPr>
      </w:pPr>
      <w:r>
        <w:rPr>
          <w:rFonts w:hint="eastAsia" w:ascii="黑体" w:hAnsi="黑体" w:eastAsia="黑体" w:cs="黑体"/>
          <w:kern w:val="2"/>
          <w:sz w:val="21"/>
          <w:szCs w:val="21"/>
          <w:lang w:eastAsia="zh-CN"/>
        </w:rPr>
        <w:t>13.试验报告</w:t>
      </w:r>
    </w:p>
    <w:p w14:paraId="0C499E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试验报告应至少包括下列内容：</w:t>
      </w:r>
    </w:p>
    <w:p w14:paraId="416FD17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a) 样品的来源、规格及型号；</w:t>
      </w:r>
    </w:p>
    <w:p w14:paraId="3A32020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b) 所用的测试系统编号及选用参数；</w:t>
      </w:r>
    </w:p>
    <w:p w14:paraId="586E3F1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c) 测试时间；</w:t>
      </w:r>
    </w:p>
    <w:p w14:paraId="1D93467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d) 被测样品测试缺陷总数量、缺陷密度、分布图；</w:t>
      </w:r>
    </w:p>
    <w:p w14:paraId="0EFB0D9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e) 被测样品测试缺陷类别，分布区域；</w:t>
      </w:r>
    </w:p>
    <w:p w14:paraId="53153C7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f) 本标准编号；</w:t>
      </w:r>
    </w:p>
    <w:p w14:paraId="1B1AD4E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g) 测试单位及检测操作人员签字；</w:t>
      </w:r>
    </w:p>
    <w:p w14:paraId="2808B6A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h) 其他</w:t>
      </w:r>
    </w:p>
    <w:p w14:paraId="0E1FB69B">
      <w:pPr>
        <w:spacing w:line="183" w:lineRule="exact"/>
        <w:jc w:val="both"/>
        <w:rPr>
          <w:rFonts w:ascii="宋体" w:hAnsi="宋体" w:eastAsia="宋体" w:cs="宋体"/>
          <w:sz w:val="18"/>
          <w:szCs w:val="18"/>
          <w:lang w:eastAsia="zh-CN"/>
        </w:rPr>
      </w:pPr>
    </w:p>
    <w:p w14:paraId="031755CC">
      <w:pPr>
        <w:spacing w:line="183" w:lineRule="exact"/>
        <w:jc w:val="both"/>
        <w:rPr>
          <w:rFonts w:ascii="宋体" w:hAnsi="宋体" w:eastAsia="宋体" w:cs="宋体"/>
          <w:sz w:val="18"/>
          <w:szCs w:val="18"/>
          <w:lang w:eastAsia="zh-CN"/>
        </w:rPr>
      </w:pPr>
    </w:p>
    <w:p w14:paraId="35D7A680">
      <w:pPr>
        <w:spacing w:line="183" w:lineRule="exact"/>
        <w:jc w:val="both"/>
        <w:rPr>
          <w:rFonts w:ascii="宋体" w:hAnsi="宋体" w:eastAsia="宋体" w:cs="宋体"/>
          <w:sz w:val="18"/>
          <w:szCs w:val="18"/>
          <w:lang w:eastAsia="zh-CN"/>
        </w:rPr>
      </w:pPr>
    </w:p>
    <w:p w14:paraId="3DEDB507">
      <w:pPr>
        <w:spacing w:line="183" w:lineRule="exact"/>
        <w:jc w:val="both"/>
        <w:rPr>
          <w:rFonts w:ascii="宋体" w:hAnsi="宋体" w:eastAsia="宋体" w:cs="宋体"/>
          <w:sz w:val="18"/>
          <w:szCs w:val="18"/>
          <w:lang w:eastAsia="zh-CN"/>
        </w:rPr>
      </w:pPr>
    </w:p>
    <w:p w14:paraId="44EEEDAA">
      <w:pPr>
        <w:spacing w:line="183" w:lineRule="exact"/>
        <w:jc w:val="both"/>
        <w:rPr>
          <w:rFonts w:ascii="宋体" w:hAnsi="宋体" w:eastAsia="宋体" w:cs="宋体"/>
          <w:sz w:val="18"/>
          <w:szCs w:val="18"/>
          <w:lang w:eastAsia="zh-CN"/>
        </w:rPr>
      </w:pPr>
      <w:bookmarkStart w:id="6" w:name="_GoBack"/>
      <w:bookmarkEnd w:id="6"/>
      <w:r>
        <w:rPr>
          <w:sz w:val="18"/>
        </w:rPr>
        <mc:AlternateContent>
          <mc:Choice Requires="wps">
            <w:drawing>
              <wp:anchor distT="0" distB="0" distL="114300" distR="114300" simplePos="0" relativeHeight="251661312" behindDoc="0" locked="0" layoutInCell="1" allowOverlap="1">
                <wp:simplePos x="0" y="0"/>
                <wp:positionH relativeFrom="column">
                  <wp:posOffset>1843405</wp:posOffset>
                </wp:positionH>
                <wp:positionV relativeFrom="paragraph">
                  <wp:posOffset>260350</wp:posOffset>
                </wp:positionV>
                <wp:extent cx="2242185" cy="0"/>
                <wp:effectExtent l="0" t="12700" r="5715" b="15875"/>
                <wp:wrapNone/>
                <wp:docPr id="3" name="直接连接符 3"/>
                <wp:cNvGraphicFramePr/>
                <a:graphic xmlns:a="http://schemas.openxmlformats.org/drawingml/2006/main">
                  <a:graphicData uri="http://schemas.microsoft.com/office/word/2010/wordprocessingShape">
                    <wps:wsp>
                      <wps:cNvCnPr/>
                      <wps:spPr>
                        <a:xfrm>
                          <a:off x="2668905" y="5109210"/>
                          <a:ext cx="224218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5.15pt;margin-top:20.5pt;height:0pt;width:176.55pt;z-index:251661312;mso-width-relative:page;mso-height-relative:page;" filled="f" stroked="t" coordsize="21600,21600" o:gfxdata="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dJpprXAAAA&#10;CQEAAA8AAAAAAAAAAQAgAAAAIgAAAGRycy9kb3ducmV2LnhtbFBLAQIUABQAAAAIAIdO4kCIxh67&#10;5QEAAKcDAAAOAAAAAAAAAAEAIAAAACYBAABkcnMvZTJvRG9jLnhtbFBLBQYAAAAABgAGAFkBAAB9&#10;BQAAAAA=&#10;">
                <v:fill on="f" focussize="0,0"/>
                <v:stroke weight="2pt" color="#000000 [3213]" joinstyle="round"/>
                <v:imagedata o:title=""/>
                <o:lock v:ext="edit" aspectratio="f"/>
              </v:line>
            </w:pict>
          </mc:Fallback>
        </mc:AlternateContent>
      </w:r>
    </w:p>
    <w:sectPr>
      <w:footerReference r:id="rId7" w:type="default"/>
      <w:pgSz w:w="11910" w:h="16840"/>
      <w:pgMar w:top="1640" w:right="920" w:bottom="1340" w:left="1300" w:header="1449" w:footer="1141" w:gutter="0"/>
      <w:pgNumType w:start="1"/>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9EE69">
    <w:pPr>
      <w:pStyle w:val="6"/>
      <w:ind w:right="9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CF650">
    <w:pPr>
      <w:pStyle w:val="6"/>
      <w:ind w:right="18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594814"/>
      <w:docPartObj>
        <w:docPartGallery w:val="autotext"/>
      </w:docPartObj>
    </w:sdtPr>
    <w:sdtContent>
      <w:p w14:paraId="62714886">
        <w:pPr>
          <w:pStyle w:val="6"/>
        </w:pPr>
        <w:r>
          <w:fldChar w:fldCharType="begin"/>
        </w:r>
        <w:r>
          <w:instrText xml:space="preserve">PAGE   \* MERGEFORMAT</w:instrText>
        </w:r>
        <w:r>
          <w:fldChar w:fldCharType="separate"/>
        </w:r>
        <w:r>
          <w:rPr>
            <w:lang w:val="zh-CN" w:eastAsia="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2608213"/>
      <w:docPartObj>
        <w:docPartGallery w:val="autotext"/>
      </w:docPartObj>
    </w:sdtPr>
    <w:sdtContent>
      <w:p w14:paraId="5141B4A7">
        <w:pPr>
          <w:pStyle w:val="6"/>
          <w:jc w:val="right"/>
        </w:pPr>
        <w:r>
          <w:fldChar w:fldCharType="begin"/>
        </w:r>
        <w:r>
          <w:instrText xml:space="preserve">PAGE   \* MERGEFORMAT</w:instrText>
        </w:r>
        <w:r>
          <w:fldChar w:fldCharType="separate"/>
        </w:r>
        <w:r>
          <w:rPr>
            <w:lang w:val="zh-CN" w:eastAsia="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48111">
    <w:pPr>
      <w:spacing w:line="14" w:lineRule="auto"/>
      <w:rPr>
        <w:sz w:val="20"/>
        <w:szCs w:val="20"/>
      </w:rPr>
    </w:pPr>
    <w:r>
      <mc:AlternateContent>
        <mc:Choice Requires="wps">
          <w:drawing>
            <wp:anchor distT="0" distB="0" distL="114300" distR="114300" simplePos="0" relativeHeight="251661312" behindDoc="1" locked="0" layoutInCell="1" allowOverlap="1">
              <wp:simplePos x="0" y="0"/>
              <wp:positionH relativeFrom="page">
                <wp:posOffset>5760085</wp:posOffset>
              </wp:positionH>
              <wp:positionV relativeFrom="page">
                <wp:posOffset>907415</wp:posOffset>
              </wp:positionV>
              <wp:extent cx="1093470" cy="158115"/>
              <wp:effectExtent l="0" t="2540" r="4445" b="1270"/>
              <wp:wrapNone/>
              <wp:docPr id="10006508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93470" cy="158115"/>
                      </a:xfrm>
                      <a:prstGeom prst="rect">
                        <a:avLst/>
                      </a:prstGeom>
                      <a:noFill/>
                      <a:ln>
                        <a:noFill/>
                      </a:ln>
                    </wps:spPr>
                    <wps:txbx>
                      <w:txbxContent>
                        <w:p w14:paraId="19C72C9D">
                          <w:pPr>
                            <w:pStyle w:val="4"/>
                            <w:spacing w:line="229" w:lineRule="exact"/>
                            <w:ind w:left="20"/>
                            <w:rPr>
                              <w:rFonts w:ascii="黑体" w:hAnsi="黑体" w:eastAsia="黑体" w:cs="黑体"/>
                            </w:rPr>
                          </w:pPr>
                          <w:r>
                            <w:rPr>
                              <w:rFonts w:ascii="黑体" w:hAnsi="黑体" w:eastAsia="黑体" w:cs="黑体"/>
                              <w:spacing w:val="1"/>
                              <w:w w:val="99"/>
                            </w:rPr>
                            <w:t>GB/</w:t>
                          </w:r>
                          <w:r>
                            <w:rPr>
                              <w:rFonts w:ascii="黑体" w:hAnsi="黑体" w:eastAsia="黑体" w:cs="黑体"/>
                              <w:w w:val="99"/>
                            </w:rPr>
                            <w:t>T</w:t>
                          </w:r>
                          <w:r>
                            <w:rPr>
                              <w:rFonts w:ascii="黑体" w:hAnsi="黑体" w:eastAsia="黑体" w:cs="黑体"/>
                              <w:spacing w:val="-1"/>
                            </w:rPr>
                            <w:t xml:space="preserve"> </w:t>
                          </w:r>
                          <w:r>
                            <w:rPr>
                              <w:rFonts w:ascii="黑体" w:hAnsi="黑体" w:eastAsia="黑体" w:cs="黑体"/>
                              <w:spacing w:val="1"/>
                              <w:w w:val="99"/>
                            </w:rPr>
                            <w:t>XXX</w:t>
                          </w:r>
                          <w:r>
                            <w:rPr>
                              <w:rFonts w:ascii="黑体" w:hAnsi="黑体" w:eastAsia="黑体" w:cs="黑体"/>
                              <w:spacing w:val="-2"/>
                              <w:w w:val="99"/>
                            </w:rPr>
                            <w:t>X</w:t>
                          </w:r>
                          <w:r>
                            <w:rPr>
                              <w:rFonts w:ascii="黑体" w:hAnsi="黑体" w:eastAsia="黑体" w:cs="黑体"/>
                              <w:spacing w:val="1"/>
                              <w:w w:val="99"/>
                            </w:rPr>
                            <w:t>X</w:t>
                          </w:r>
                          <w:r>
                            <w:rPr>
                              <w:spacing w:val="-1"/>
                              <w:w w:val="99"/>
                            </w:rPr>
                            <w:t>—</w:t>
                          </w:r>
                          <w:r>
                            <w:rPr>
                              <w:rFonts w:ascii="黑体" w:hAnsi="黑体" w:eastAsia="黑体" w:cs="黑体"/>
                              <w:spacing w:val="1"/>
                              <w:w w:val="99"/>
                            </w:rPr>
                            <w:t>XXX</w:t>
                          </w:r>
                          <w:r>
                            <w:rPr>
                              <w:rFonts w:ascii="黑体" w:hAnsi="黑体" w:eastAsia="黑体" w:cs="黑体"/>
                              <w:w w:val="99"/>
                            </w:rPr>
                            <w:t>X</w:t>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453.55pt;margin-top:71.45pt;height:12.45pt;width:86.1pt;mso-position-horizontal-relative:page;mso-position-vertical-relative:page;z-index:-251655168;mso-width-relative:page;mso-height-relative:page;" filled="f" stroked="f" coordsize="21600,21600" o:gfxdata="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&#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8+LqLaAAAADAEAAA8AAAAAAAAAAQAgAAAAIgAAAGRy&#10;cy9kb3ducmV2LnhtbFBLAQIUABQAAAAIAIdO4kAuwaqTAwIAAA0EAAAOAAAAAAAAAAEAIAAAACkB&#10;AABkcnMvZTJvRG9jLnhtbFBLBQYAAAAABgAGAFkBAACeBQAAAAA=&#10;">
              <v:fill on="f" focussize="0,0"/>
              <v:stroke on="f"/>
              <v:imagedata o:title=""/>
              <o:lock v:ext="edit" aspectratio="f"/>
              <v:textbox inset="0mm,0mm,0mm,0mm">
                <w:txbxContent>
                  <w:p w14:paraId="19C72C9D">
                    <w:pPr>
                      <w:pStyle w:val="4"/>
                      <w:spacing w:line="229" w:lineRule="exact"/>
                      <w:ind w:left="20"/>
                      <w:rPr>
                        <w:rFonts w:ascii="黑体" w:hAnsi="黑体" w:eastAsia="黑体" w:cs="黑体"/>
                      </w:rPr>
                    </w:pPr>
                    <w:r>
                      <w:rPr>
                        <w:rFonts w:ascii="黑体" w:hAnsi="黑体" w:eastAsia="黑体" w:cs="黑体"/>
                        <w:spacing w:val="1"/>
                        <w:w w:val="99"/>
                      </w:rPr>
                      <w:t>GB/</w:t>
                    </w:r>
                    <w:r>
                      <w:rPr>
                        <w:rFonts w:ascii="黑体" w:hAnsi="黑体" w:eastAsia="黑体" w:cs="黑体"/>
                        <w:w w:val="99"/>
                      </w:rPr>
                      <w:t>T</w:t>
                    </w:r>
                    <w:r>
                      <w:rPr>
                        <w:rFonts w:ascii="黑体" w:hAnsi="黑体" w:eastAsia="黑体" w:cs="黑体"/>
                        <w:spacing w:val="-1"/>
                      </w:rPr>
                      <w:t xml:space="preserve"> </w:t>
                    </w:r>
                    <w:r>
                      <w:rPr>
                        <w:rFonts w:ascii="黑体" w:hAnsi="黑体" w:eastAsia="黑体" w:cs="黑体"/>
                        <w:spacing w:val="1"/>
                        <w:w w:val="99"/>
                      </w:rPr>
                      <w:t>XXX</w:t>
                    </w:r>
                    <w:r>
                      <w:rPr>
                        <w:rFonts w:ascii="黑体" w:hAnsi="黑体" w:eastAsia="黑体" w:cs="黑体"/>
                        <w:spacing w:val="-2"/>
                        <w:w w:val="99"/>
                      </w:rPr>
                      <w:t>X</w:t>
                    </w:r>
                    <w:r>
                      <w:rPr>
                        <w:rFonts w:ascii="黑体" w:hAnsi="黑体" w:eastAsia="黑体" w:cs="黑体"/>
                        <w:spacing w:val="1"/>
                        <w:w w:val="99"/>
                      </w:rPr>
                      <w:t>X</w:t>
                    </w:r>
                    <w:r>
                      <w:rPr>
                        <w:spacing w:val="-1"/>
                        <w:w w:val="99"/>
                      </w:rPr>
                      <w:t>—</w:t>
                    </w:r>
                    <w:r>
                      <w:rPr>
                        <w:rFonts w:ascii="黑体" w:hAnsi="黑体" w:eastAsia="黑体" w:cs="黑体"/>
                        <w:spacing w:val="1"/>
                        <w:w w:val="99"/>
                      </w:rPr>
                      <w:t>XXX</w:t>
                    </w:r>
                    <w:r>
                      <w:rPr>
                        <w:rFonts w:ascii="黑体" w:hAnsi="黑体" w:eastAsia="黑体" w:cs="黑体"/>
                        <w:w w:val="99"/>
                      </w:rPr>
                      <w:t>X</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27278C"/>
    <w:multiLevelType w:val="singleLevel"/>
    <w:tmpl w:val="2C27278C"/>
    <w:lvl w:ilvl="0" w:tentative="0">
      <w:start w:val="1"/>
      <w:numFmt w:val="lowerLetter"/>
      <w:lvlText w:val="%1)"/>
      <w:lvlJc w:val="left"/>
      <w:pPr>
        <w:tabs>
          <w:tab w:val="left" w:pos="312"/>
        </w:tabs>
      </w:pPr>
    </w:lvl>
  </w:abstractNum>
  <w:abstractNum w:abstractNumId="1">
    <w:nsid w:val="5D15E57A"/>
    <w:multiLevelType w:val="singleLevel"/>
    <w:tmpl w:val="5D15E57A"/>
    <w:lvl w:ilvl="0" w:tentative="0">
      <w:start w:val="1"/>
      <w:numFmt w:val="lowerLetter"/>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720"/>
  <w:evenAndOddHeaders w:val="1"/>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kZjRjMDU3YzNkMmNiOTY4MzhhNTM4YmE1ZWE0ZDcifQ=="/>
  </w:docVars>
  <w:rsids>
    <w:rsidRoot w:val="00F24035"/>
    <w:rsid w:val="00051D5A"/>
    <w:rsid w:val="000551EA"/>
    <w:rsid w:val="0006095F"/>
    <w:rsid w:val="000B7BB2"/>
    <w:rsid w:val="00260589"/>
    <w:rsid w:val="00342AD8"/>
    <w:rsid w:val="00725B6D"/>
    <w:rsid w:val="00833F44"/>
    <w:rsid w:val="008B57AB"/>
    <w:rsid w:val="008C6C37"/>
    <w:rsid w:val="008D45F4"/>
    <w:rsid w:val="009F0F8C"/>
    <w:rsid w:val="00BF3F16"/>
    <w:rsid w:val="00D207C9"/>
    <w:rsid w:val="00DD1133"/>
    <w:rsid w:val="00F24035"/>
    <w:rsid w:val="00FC3439"/>
    <w:rsid w:val="01E86B41"/>
    <w:rsid w:val="068B7715"/>
    <w:rsid w:val="07844B53"/>
    <w:rsid w:val="07D57AFD"/>
    <w:rsid w:val="0BC74C08"/>
    <w:rsid w:val="0C3031F1"/>
    <w:rsid w:val="0CD639F1"/>
    <w:rsid w:val="1D1966A7"/>
    <w:rsid w:val="1F602AD3"/>
    <w:rsid w:val="28CE778B"/>
    <w:rsid w:val="29B54501"/>
    <w:rsid w:val="2D60160D"/>
    <w:rsid w:val="33680D19"/>
    <w:rsid w:val="43A60C4A"/>
    <w:rsid w:val="4FF20C0D"/>
    <w:rsid w:val="5299416C"/>
    <w:rsid w:val="574A61A9"/>
    <w:rsid w:val="5E4A0432"/>
    <w:rsid w:val="648F1869"/>
    <w:rsid w:val="64DB2719"/>
    <w:rsid w:val="6A876FCF"/>
    <w:rsid w:val="6E8B3B4F"/>
    <w:rsid w:val="713F1288"/>
    <w:rsid w:val="725D3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1"/>
    <w:qFormat/>
    <w:uiPriority w:val="9"/>
    <w:pPr>
      <w:spacing w:before="116"/>
      <w:ind w:left="421" w:hanging="1440"/>
      <w:outlineLvl w:val="0"/>
    </w:pPr>
    <w:rPr>
      <w:rFonts w:ascii="黑体" w:hAnsi="黑体" w:eastAsia="黑体"/>
      <w:sz w:val="32"/>
      <w:szCs w:val="32"/>
    </w:rPr>
  </w:style>
  <w:style w:type="paragraph" w:styleId="3">
    <w:name w:val="heading 2"/>
    <w:basedOn w:val="1"/>
    <w:unhideWhenUsed/>
    <w:qFormat/>
    <w:uiPriority w:val="9"/>
    <w:pPr>
      <w:outlineLvl w:val="1"/>
    </w:pPr>
    <w:rPr>
      <w:rFonts w:ascii="Times New Roman" w:hAnsi="Times New Roman" w:eastAsia="Times New Roman"/>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112"/>
    </w:pPr>
    <w:rPr>
      <w:rFonts w:ascii="宋体" w:hAnsi="宋体" w:eastAsia="宋体"/>
      <w:sz w:val="21"/>
      <w:szCs w:val="21"/>
    </w:rPr>
  </w:style>
  <w:style w:type="paragraph" w:styleId="5">
    <w:name w:val="Date"/>
    <w:basedOn w:val="1"/>
    <w:next w:val="1"/>
    <w:link w:val="17"/>
    <w:semiHidden/>
    <w:unhideWhenUsed/>
    <w:qFormat/>
    <w:uiPriority w:val="99"/>
    <w:pPr>
      <w:ind w:left="100" w:leftChars="2500"/>
    </w:pPr>
  </w:style>
  <w:style w:type="paragraph" w:styleId="6">
    <w:name w:val="footer"/>
    <w:basedOn w:val="1"/>
    <w:link w:val="16"/>
    <w:unhideWhenUsed/>
    <w:qFormat/>
    <w:uiPriority w:val="99"/>
    <w:pPr>
      <w:tabs>
        <w:tab w:val="center" w:pos="4153"/>
        <w:tab w:val="right" w:pos="8306"/>
      </w:tabs>
      <w:snapToGrid w:val="0"/>
    </w:pPr>
    <w:rPr>
      <w:sz w:val="18"/>
      <w:szCs w:val="18"/>
    </w:rPr>
  </w:style>
  <w:style w:type="paragraph" w:styleId="7">
    <w:name w:val="header"/>
    <w:basedOn w:val="1"/>
    <w:link w:val="15"/>
    <w:unhideWhenUsed/>
    <w:qFormat/>
    <w:uiPriority w:val="99"/>
    <w:pP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style>
  <w:style w:type="paragraph" w:customStyle="1" w:styleId="14">
    <w:name w:val="Table Paragraph"/>
    <w:basedOn w:val="1"/>
    <w:qFormat/>
    <w:uiPriority w:val="1"/>
  </w:style>
  <w:style w:type="character" w:customStyle="1" w:styleId="15">
    <w:name w:val="页眉 字符"/>
    <w:basedOn w:val="10"/>
    <w:link w:val="7"/>
    <w:qFormat/>
    <w:uiPriority w:val="99"/>
    <w:rPr>
      <w:sz w:val="18"/>
      <w:szCs w:val="18"/>
    </w:rPr>
  </w:style>
  <w:style w:type="character" w:customStyle="1" w:styleId="16">
    <w:name w:val="页脚 字符"/>
    <w:basedOn w:val="10"/>
    <w:link w:val="6"/>
    <w:qFormat/>
    <w:uiPriority w:val="99"/>
    <w:rPr>
      <w:sz w:val="18"/>
      <w:szCs w:val="18"/>
    </w:rPr>
  </w:style>
  <w:style w:type="character" w:customStyle="1" w:styleId="17">
    <w:name w:val="日期 字符"/>
    <w:basedOn w:val="10"/>
    <w:link w:val="5"/>
    <w:semiHidden/>
    <w:qFormat/>
    <w:uiPriority w:val="99"/>
  </w:style>
  <w:style w:type="table" w:customStyle="1" w:styleId="18">
    <w:name w:val="网格型1"/>
    <w:basedOn w:val="8"/>
    <w:qFormat/>
    <w:uiPriority w:val="39"/>
    <w:pPr>
      <w:widowControl/>
    </w:pPr>
    <w:rPr>
      <w:kern w:val="2"/>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网格型2"/>
    <w:basedOn w:val="8"/>
    <w:qFormat/>
    <w:uiPriority w:val="39"/>
    <w:pPr>
      <w:widowControl/>
    </w:pPr>
    <w:rPr>
      <w:kern w:val="2"/>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2860</Words>
  <Characters>3498</Characters>
  <Lines>41</Lines>
  <Paragraphs>11</Paragraphs>
  <TotalTime>16</TotalTime>
  <ScaleCrop>false</ScaleCrop>
  <LinksUpToDate>false</LinksUpToDate>
  <CharactersWithSpaces>3635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2024-04-01T01:30:00Z</dcterms:created>
  <dc:creator>Liu Wei</dc:creator>
  <cp:lastModifiedBy>素素</cp:lastModifiedBy>
  <dcterms:modified xsi:type="dcterms:W3CDTF">2026-03-24T05:39:43Z</dcterms:modified>
  <dc:title>国家标准</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2024-03-15T00:00:00Z</vt:filetime>
  </property>
  <property fmtid="{D5CDD505-2E9C-101B-9397-08002B2CF9AE}" pid="3" name="Creator">
    <vt:lpwstr>WPS 文字</vt:lpwstr>
  </property>
  <property fmtid="{D5CDD505-2E9C-101B-9397-08002B2CF9AE}" pid="4" name="LastSaved">
    <vt:filetime>2024-04-01T00:00:00Z</vt:filetime>
  </property>
  <property fmtid="{D5CDD505-2E9C-101B-9397-08002B2CF9AE}" pid="5" name="KSOProductBuildVer">
    <vt:lpwstr>2052-12.1.0.25225</vt:lpwstr>
  </property>
  <property fmtid="{D5CDD505-2E9C-101B-9397-08002B2CF9AE}" pid="6" name="ICV">
    <vt:lpwstr>92FE2A082F074A83A4811F3B4FD73C50_12</vt:lpwstr>
  </property>
  <property fmtid="{D5CDD505-2E9C-101B-9397-08002B2CF9AE}" pid="7" name="KSOTemplateDocerSaveRecord">
    <vt:lpwstr>eyJoZGlkIjoiNWYxNDk3ZWFkNmRhNWE5ODMzNzE5OTQxMTA3M2NjZDkiLCJ1c2VySWQiOiIxMDM2MTA2MTA3In0=</vt:lpwstr>
  </property>
</Properties>
</file>