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AE0A3">
      <w:pPr>
        <w:spacing w:after="120" w:line="360" w:lineRule="auto"/>
        <w:ind w:left="0" w:leftChars="0" w:firstLine="480" w:firstLineChars="200"/>
        <w:jc w:val="both"/>
        <w:rPr>
          <w:rFonts w:hint="eastAsia" w:ascii="宋体" w:hAnsi="宋体" w:eastAsia="宋体" w:cs="宋体"/>
          <w:b w:val="0"/>
          <w:i w:val="0"/>
          <w:strike w:val="0"/>
          <w:color w:val="auto"/>
          <w:sz w:val="24"/>
          <w:szCs w:val="36"/>
          <w:u w:val="none"/>
        </w:rPr>
      </w:pPr>
      <w:bookmarkStart w:id="15" w:name="_GoBack"/>
      <w:bookmarkEnd w:id="15"/>
    </w:p>
    <w:p w14:paraId="2476F7C1">
      <w:pPr>
        <w:pStyle w:val="3"/>
        <w:bidi w:val="0"/>
        <w:jc w:val="center"/>
        <w:rPr>
          <w:rFonts w:hint="eastAsia"/>
        </w:rPr>
      </w:pPr>
      <w:r>
        <w:rPr>
          <w:rFonts w:hint="eastAsia"/>
        </w:rPr>
        <w:t>国家标准</w:t>
      </w:r>
      <w:r>
        <w:rPr>
          <w:rFonts w:hint="eastAsia"/>
          <w:lang w:val="en-US" w:eastAsia="zh-CN"/>
        </w:rPr>
        <w:t>外文版</w:t>
      </w:r>
    </w:p>
    <w:p w14:paraId="0AFDE25D">
      <w:pPr>
        <w:pStyle w:val="3"/>
        <w:bidi w:val="0"/>
        <w:spacing w:line="240" w:lineRule="auto"/>
        <w:rPr>
          <w:rFonts w:hint="eastAsia"/>
          <w:lang w:val="en-US" w:eastAsia="zh-CN"/>
        </w:rPr>
      </w:pPr>
      <w:r>
        <w:rPr>
          <w:rFonts w:hint="eastAsia"/>
          <w:lang w:val="en-US" w:eastAsia="zh-CN"/>
        </w:rPr>
        <w:t>《镍合金化学分析方法 第11部分：硅、锰、磷、铬、镍、铜、钼、钴、铁、铝、钒、钛、钨和铌含量的测定 X射线荧光光谱法(常规法）》</w:t>
      </w:r>
    </w:p>
    <w:p w14:paraId="295966CF">
      <w:pPr>
        <w:pStyle w:val="3"/>
        <w:bidi w:val="0"/>
        <w:jc w:val="center"/>
        <w:rPr>
          <w:rFonts w:hint="eastAsia"/>
          <w:lang w:val="en-US" w:eastAsia="zh-CN"/>
        </w:rPr>
      </w:pPr>
    </w:p>
    <w:p w14:paraId="618D68BA">
      <w:pPr>
        <w:pStyle w:val="3"/>
        <w:bidi w:val="0"/>
        <w:spacing w:line="240" w:lineRule="auto"/>
        <w:jc w:val="center"/>
        <w:rPr>
          <w:rFonts w:hint="eastAsia"/>
          <w:lang w:val="en-US" w:eastAsia="zh-CN"/>
        </w:rPr>
      </w:pPr>
      <w:r>
        <w:rPr>
          <w:rFonts w:hint="eastAsia"/>
          <w:lang w:val="en-US" w:eastAsia="zh-CN"/>
        </w:rPr>
        <w:t>翻译说明</w:t>
      </w:r>
    </w:p>
    <w:p w14:paraId="2ADF4B5A">
      <w:pPr>
        <w:pStyle w:val="3"/>
        <w:bidi w:val="0"/>
        <w:spacing w:line="240" w:lineRule="auto"/>
        <w:jc w:val="center"/>
        <w:rPr>
          <w:rFonts w:hint="eastAsia"/>
          <w:lang w:val="en-US" w:eastAsia="zh-CN"/>
        </w:rPr>
      </w:pPr>
      <w:r>
        <w:rPr>
          <w:rFonts w:hint="eastAsia"/>
          <w:lang w:val="en-US" w:eastAsia="zh-CN"/>
        </w:rPr>
        <w:t>（报批稿）</w:t>
      </w:r>
    </w:p>
    <w:p w14:paraId="34CC70D2">
      <w:pPr>
        <w:rPr>
          <w:rFonts w:hint="eastAsia"/>
          <w:lang w:val="en-US" w:eastAsia="zh-CN"/>
        </w:rPr>
      </w:pPr>
    </w:p>
    <w:p w14:paraId="1D530B3A">
      <w:pPr>
        <w:pStyle w:val="2"/>
        <w:rPr>
          <w:rFonts w:hint="eastAsia"/>
          <w:lang w:val="en-US" w:eastAsia="zh-CN"/>
        </w:rPr>
      </w:pPr>
    </w:p>
    <w:p w14:paraId="4A09948E">
      <w:pPr>
        <w:spacing w:line="240" w:lineRule="auto"/>
        <w:jc w:val="center"/>
        <w:rPr>
          <w:rFonts w:hint="eastAsia" w:ascii="Times New Roman" w:hAnsi="Times New Roman" w:eastAsia="Arial Unicode MS" w:cs="Arial Unicode MS"/>
          <w:b/>
          <w:kern w:val="2"/>
          <w:sz w:val="36"/>
          <w:szCs w:val="36"/>
          <w:lang w:val="en-US" w:eastAsia="zh-CN" w:bidi="ar-SA"/>
        </w:rPr>
      </w:pPr>
      <w:r>
        <w:rPr>
          <w:rFonts w:hint="eastAsia" w:ascii="Times New Roman" w:hAnsi="Times New Roman" w:eastAsia="Arial Unicode MS" w:cs="Arial Unicode MS"/>
          <w:b/>
          <w:kern w:val="2"/>
          <w:sz w:val="36"/>
          <w:szCs w:val="36"/>
          <w:lang w:val="en-US" w:eastAsia="zh-CN" w:bidi="ar-SA"/>
        </w:rPr>
        <w:t>起草单位： 酒泉钢铁（集团）有限责任公司</w:t>
      </w:r>
    </w:p>
    <w:p w14:paraId="45500898">
      <w:pPr>
        <w:widowControl w:val="0"/>
        <w:spacing w:line="240" w:lineRule="auto"/>
        <w:ind w:left="0" w:leftChars="0" w:firstLine="3155" w:firstLineChars="876"/>
        <w:jc w:val="center"/>
        <w:rPr>
          <w:rFonts w:hint="default" w:ascii="Times New Roman" w:hAnsi="Times New Roman" w:eastAsia="Arial Unicode MS" w:cs="Arial Unicode MS"/>
          <w:b/>
          <w:kern w:val="2"/>
          <w:sz w:val="36"/>
          <w:szCs w:val="36"/>
          <w:lang w:val="en-US" w:eastAsia="zh-CN" w:bidi="ar-SA"/>
        </w:rPr>
      </w:pPr>
      <w:r>
        <w:rPr>
          <w:rFonts w:hint="eastAsia" w:ascii="Times New Roman" w:hAnsi="Times New Roman" w:eastAsia="Arial Unicode MS" w:cs="Arial Unicode MS"/>
          <w:b/>
          <w:kern w:val="2"/>
          <w:sz w:val="36"/>
          <w:szCs w:val="36"/>
          <w:lang w:val="en-US" w:eastAsia="zh-CN" w:bidi="ar-SA"/>
        </w:rPr>
        <w:t>上海有色金属工业技术监测中心有限公司</w:t>
      </w:r>
    </w:p>
    <w:p w14:paraId="70774558">
      <w:pPr>
        <w:widowControl w:val="0"/>
        <w:ind w:leftChars="0"/>
        <w:jc w:val="center"/>
        <w:rPr>
          <w:rFonts w:hint="eastAsia" w:ascii="Times New Roman" w:hAnsi="Times New Roman" w:eastAsia="Arial Unicode MS" w:cs="Arial Unicode MS"/>
          <w:b/>
          <w:kern w:val="2"/>
          <w:sz w:val="36"/>
          <w:szCs w:val="36"/>
          <w:lang w:val="en-US" w:eastAsia="zh-CN" w:bidi="ar-SA"/>
        </w:rPr>
      </w:pPr>
    </w:p>
    <w:p w14:paraId="2A17381F">
      <w:pPr>
        <w:widowControl w:val="0"/>
        <w:ind w:leftChars="0"/>
        <w:jc w:val="center"/>
        <w:rPr>
          <w:rFonts w:hint="eastAsia" w:ascii="Times New Roman" w:hAnsi="Times New Roman" w:eastAsia="Arial Unicode MS" w:cs="Arial Unicode MS"/>
          <w:b/>
          <w:kern w:val="2"/>
          <w:sz w:val="36"/>
          <w:szCs w:val="36"/>
          <w:lang w:val="en-US" w:eastAsia="zh-CN" w:bidi="ar-SA"/>
        </w:rPr>
      </w:pPr>
    </w:p>
    <w:p w14:paraId="201DE44D">
      <w:pPr>
        <w:widowControl w:val="0"/>
        <w:ind w:leftChars="0"/>
        <w:jc w:val="center"/>
        <w:rPr>
          <w:rFonts w:hint="eastAsia" w:ascii="Times New Roman" w:hAnsi="Times New Roman" w:eastAsia="Arial Unicode MS" w:cs="Arial Unicode MS"/>
          <w:b/>
          <w:kern w:val="2"/>
          <w:sz w:val="36"/>
          <w:szCs w:val="36"/>
          <w:lang w:val="en-US" w:eastAsia="zh-CN" w:bidi="ar-SA"/>
        </w:rPr>
      </w:pPr>
      <w:r>
        <w:rPr>
          <w:rFonts w:hint="eastAsia" w:ascii="Times New Roman" w:hAnsi="Times New Roman" w:eastAsia="Arial Unicode MS" w:cs="Arial Unicode MS"/>
          <w:b/>
          <w:kern w:val="2"/>
          <w:sz w:val="36"/>
          <w:szCs w:val="36"/>
          <w:lang w:val="en-US" w:eastAsia="zh-CN" w:bidi="ar-SA"/>
        </w:rPr>
        <w:t>2026年2月</w:t>
      </w:r>
    </w:p>
    <w:sdt>
      <w:sdtPr>
        <w:rPr>
          <w:rFonts w:hint="eastAsia" w:ascii="宋体" w:hAnsi="宋体" w:eastAsia="宋体" w:cs="宋体"/>
          <w:b w:val="0"/>
          <w:i w:val="0"/>
          <w:strike w:val="0"/>
          <w:color w:val="auto"/>
          <w:sz w:val="24"/>
          <w:szCs w:val="36"/>
          <w:u w:val="none"/>
          <w:lang w:val="en-US" w:eastAsia="zh-CN"/>
        </w:rPr>
        <w:id w:val="147478245"/>
        <w15:color w:val="DBDBDB"/>
        <w:docPartObj>
          <w:docPartGallery w:val="Table of Contents"/>
          <w:docPartUnique/>
        </w:docPartObj>
      </w:sdtPr>
      <w:sdtEndPr>
        <w:rPr>
          <w:rFonts w:hint="eastAsia" w:ascii="宋体" w:hAnsi="宋体" w:eastAsia="宋体" w:cs="宋体"/>
          <w:b w:val="0"/>
          <w:i w:val="0"/>
          <w:strike w:val="0"/>
          <w:color w:val="auto"/>
          <w:sz w:val="24"/>
          <w:szCs w:val="36"/>
          <w:u w:val="none"/>
          <w:lang w:val="en-US" w:eastAsia="zh-CN"/>
        </w:rPr>
      </w:sdtEndPr>
      <w:sdtContent>
        <w:p w14:paraId="223D682D">
          <w:pPr>
            <w:widowControl w:val="0"/>
            <w:spacing w:after="120" w:line="360" w:lineRule="auto"/>
            <w:ind w:left="0" w:leftChars="0" w:firstLine="480" w:firstLineChars="200"/>
            <w:jc w:val="both"/>
            <w:rPr>
              <w:rFonts w:hint="eastAsia" w:ascii="宋体" w:hAnsi="宋体" w:eastAsia="宋体" w:cs="宋体"/>
              <w:b w:val="0"/>
              <w:i w:val="0"/>
              <w:strike w:val="0"/>
              <w:color w:val="auto"/>
              <w:sz w:val="24"/>
              <w:szCs w:val="36"/>
              <w:u w:val="none"/>
              <w:lang w:val="en-US" w:eastAsia="zh-CN"/>
            </w:rPr>
          </w:pPr>
        </w:p>
        <w:p w14:paraId="293908F0">
          <w:pPr>
            <w:widowControl w:val="0"/>
            <w:jc w:val="center"/>
            <w:rPr>
              <w:rFonts w:hint="eastAsia" w:ascii="黑体" w:hAnsi="黑体" w:eastAsia="黑体" w:cs="黑体"/>
              <w:b w:val="0"/>
              <w:i w:val="0"/>
              <w:strike w:val="0"/>
              <w:color w:val="auto"/>
              <w:sz w:val="36"/>
              <w:szCs w:val="36"/>
              <w:u w:val="none"/>
              <w:lang w:val="en-US" w:eastAsia="zh-CN"/>
            </w:rPr>
          </w:pPr>
          <w:r>
            <w:rPr>
              <w:rFonts w:hint="eastAsia" w:ascii="黑体" w:hAnsi="黑体" w:eastAsia="黑体" w:cs="黑体"/>
              <w:b w:val="0"/>
              <w:i w:val="0"/>
              <w:strike w:val="0"/>
              <w:color w:val="auto"/>
              <w:sz w:val="36"/>
              <w:szCs w:val="36"/>
              <w:u w:val="none"/>
              <w:lang w:val="en-US" w:eastAsia="zh-CN"/>
            </w:rPr>
            <w:t>目 录</w:t>
          </w:r>
        </w:p>
        <w:p w14:paraId="7D92D7C5">
          <w:pPr>
            <w:pStyle w:val="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_Toc15906 </w:instrText>
          </w:r>
          <w:r>
            <w:rPr>
              <w:rFonts w:hint="eastAsia" w:ascii="宋体" w:hAnsi="宋体" w:eastAsia="宋体" w:cs="宋体"/>
              <w:sz w:val="24"/>
              <w:szCs w:val="24"/>
            </w:rPr>
            <w:fldChar w:fldCharType="separate"/>
          </w:r>
          <w:r>
            <w:rPr>
              <w:rFonts w:hint="eastAsia" w:ascii="宋体" w:hAnsi="宋体" w:eastAsia="宋体" w:cs="宋体"/>
              <w:i w:val="0"/>
              <w:spacing w:val="0"/>
              <w:sz w:val="24"/>
              <w:szCs w:val="24"/>
            </w:rPr>
            <w:t>一、工作简况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_Toc15906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30BB52">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_Toc247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1.1 任务来源与计划要求</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_Toc247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2</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37AC2054">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_Toc23000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1.2 标准编写的目的和意义</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_Toc23000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2</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1429909C">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_Toc22027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1.3 标准编制工作</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_Toc22027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3</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2A66C2B3">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_Toc19486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二、标准效益分析</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_Toc19486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5</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3E83B8C9">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_Toc27724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三、标准水平评定和分析</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_Toc27724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5</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14859AF6">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_Toc32062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四、与有关的现行法律、法规和强制性国家标准的关系</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_Toc32062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5</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67EA7A7D">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_Toc19427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五、重大分歧意见的处理经过和依据</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_Toc19427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01DA7083">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_Toc6583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六、标准作为强制性标准或推荐性标准的建议</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_Toc6583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7D89D1E8">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_Toc2148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七、贯彻标准的要求和措施建议</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_Toc2148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432A64EC">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_Toc25492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1. 标准宣贯与培训</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_Toc25492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3EF41635">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_Toc3405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2. 协同能力验证</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_Toc3405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50F6E5C2">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_Toc2934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3. 标准实施监督</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_Toc2934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12A0BEE2">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_Toc22384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八、废止现行有关标准的建议</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_Toc22384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539E42EA">
          <w:pPr>
            <w:widowControl w:val="0"/>
            <w:tabs>
              <w:tab w:val="right" w:leader="dot" w:pos="9740"/>
            </w:tabs>
            <w:spacing w:line="360" w:lineRule="auto"/>
            <w:jc w:val="both"/>
            <w:rPr>
              <w:rFonts w:hint="eastAsia" w:ascii="宋体" w:hAnsi="宋体" w:eastAsia="宋体" w:cs="宋体"/>
              <w:sz w:val="24"/>
              <w:szCs w:val="24"/>
            </w:rPr>
          </w:pP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HYPERLINK \l _Toc14033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九、其他应予说明的事项</w:t>
          </w:r>
          <w:r>
            <w:rPr>
              <w:rFonts w:hint="eastAsia" w:ascii="宋体" w:hAnsi="宋体" w:eastAsia="宋体" w:cs="宋体"/>
              <w:i w:val="0"/>
              <w:spacing w:val="0"/>
              <w:sz w:val="24"/>
              <w:szCs w:val="24"/>
            </w:rPr>
            <w:tab/>
          </w:r>
          <w:r>
            <w:rPr>
              <w:rFonts w:hint="eastAsia" w:ascii="宋体" w:hAnsi="宋体" w:eastAsia="宋体" w:cs="宋体"/>
              <w:i w:val="0"/>
              <w:spacing w:val="0"/>
              <w:sz w:val="24"/>
              <w:szCs w:val="24"/>
            </w:rPr>
            <w:fldChar w:fldCharType="begin"/>
          </w:r>
          <w:r>
            <w:rPr>
              <w:rFonts w:hint="eastAsia" w:ascii="宋体" w:hAnsi="宋体" w:eastAsia="宋体" w:cs="宋体"/>
              <w:i w:val="0"/>
              <w:spacing w:val="0"/>
              <w:sz w:val="24"/>
              <w:szCs w:val="24"/>
            </w:rPr>
            <w:instrText xml:space="preserve"> PAGEREF _Toc14033 \h </w:instrText>
          </w:r>
          <w:r>
            <w:rPr>
              <w:rFonts w:hint="eastAsia" w:ascii="宋体" w:hAnsi="宋体" w:eastAsia="宋体" w:cs="宋体"/>
              <w:i w:val="0"/>
              <w:spacing w:val="0"/>
              <w:sz w:val="24"/>
              <w:szCs w:val="24"/>
            </w:rPr>
            <w:fldChar w:fldCharType="separate"/>
          </w:r>
          <w:r>
            <w:rPr>
              <w:rFonts w:hint="eastAsia" w:ascii="宋体" w:hAnsi="宋体" w:eastAsia="宋体" w:cs="宋体"/>
              <w:i w:val="0"/>
              <w:spacing w:val="0"/>
              <w:sz w:val="24"/>
              <w:szCs w:val="24"/>
            </w:rPr>
            <w:t>6</w:t>
          </w:r>
          <w:r>
            <w:rPr>
              <w:rFonts w:hint="eastAsia" w:ascii="宋体" w:hAnsi="宋体" w:eastAsia="宋体" w:cs="宋体"/>
              <w:i w:val="0"/>
              <w:spacing w:val="0"/>
              <w:sz w:val="24"/>
              <w:szCs w:val="24"/>
            </w:rPr>
            <w:fldChar w:fldCharType="end"/>
          </w:r>
          <w:r>
            <w:rPr>
              <w:rFonts w:hint="eastAsia" w:ascii="宋体" w:hAnsi="宋体" w:eastAsia="宋体" w:cs="宋体"/>
              <w:i w:val="0"/>
              <w:spacing w:val="0"/>
              <w:sz w:val="24"/>
              <w:szCs w:val="24"/>
            </w:rPr>
            <w:fldChar w:fldCharType="end"/>
          </w:r>
        </w:p>
        <w:p w14:paraId="759BCE40">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r>
            <w:rPr>
              <w:rFonts w:hint="eastAsia" w:ascii="宋体" w:hAnsi="宋体" w:eastAsia="宋体" w:cs="宋体"/>
              <w:b w:val="0"/>
              <w:i w:val="0"/>
              <w:strike w:val="0"/>
              <w:color w:val="auto"/>
              <w:sz w:val="24"/>
              <w:szCs w:val="24"/>
              <w:u w:val="none"/>
            </w:rPr>
            <w:fldChar w:fldCharType="end"/>
          </w:r>
        </w:p>
        <w:p w14:paraId="4C422FDB">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684DA3C6">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55499F1E">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70E4D942">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40542111">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2FC491BE">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52DC0EFD">
          <w:pPr>
            <w:spacing w:after="120" w:line="360" w:lineRule="auto"/>
            <w:ind w:left="0" w:leftChars="0" w:firstLine="480" w:firstLineChars="200"/>
            <w:jc w:val="both"/>
            <w:rPr>
              <w:rFonts w:hint="eastAsia" w:ascii="宋体" w:hAnsi="宋体" w:eastAsia="宋体" w:cs="宋体"/>
              <w:b w:val="0"/>
              <w:i w:val="0"/>
              <w:strike w:val="0"/>
              <w:color w:val="auto"/>
              <w:sz w:val="24"/>
              <w:szCs w:val="24"/>
              <w:u w:val="none"/>
            </w:rPr>
          </w:pPr>
        </w:p>
        <w:p w14:paraId="4862AC7A">
          <w:pPr>
            <w:spacing w:after="120" w:line="360" w:lineRule="auto"/>
            <w:ind w:left="0" w:leftChars="0" w:firstLine="480" w:firstLineChars="200"/>
            <w:jc w:val="both"/>
            <w:rPr>
              <w:rFonts w:hint="eastAsia" w:ascii="宋体" w:hAnsi="宋体" w:eastAsia="宋体" w:cs="宋体"/>
              <w:b w:val="0"/>
              <w:i w:val="0"/>
              <w:strike w:val="0"/>
              <w:color w:val="auto"/>
              <w:sz w:val="24"/>
              <w:u w:val="none"/>
            </w:rPr>
          </w:pPr>
        </w:p>
      </w:sdtContent>
    </w:sdt>
    <w:p w14:paraId="69723829">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0" w:name="_Toc15906"/>
      <w:r>
        <w:rPr>
          <w:rFonts w:hint="eastAsia" w:ascii="宋体" w:hAnsi="宋体" w:eastAsia="宋体" w:cs="宋体"/>
          <w:b/>
          <w:i w:val="0"/>
          <w:strike w:val="0"/>
          <w:color w:val="auto"/>
          <w:spacing w:val="0"/>
          <w:sz w:val="28"/>
          <w:szCs w:val="28"/>
          <w:u w:val="none"/>
        </w:rPr>
        <w:t>一、工作简况</w:t>
      </w:r>
      <w:bookmarkEnd w:id="0"/>
    </w:p>
    <w:p w14:paraId="7A303D08">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 w:name="_Toc247"/>
      <w:r>
        <w:rPr>
          <w:rFonts w:hint="eastAsia" w:ascii="宋体" w:hAnsi="宋体" w:eastAsia="宋体" w:cs="宋体"/>
          <w:b/>
          <w:i w:val="0"/>
          <w:strike w:val="0"/>
          <w:color w:val="auto"/>
          <w:spacing w:val="0"/>
          <w:sz w:val="28"/>
          <w:szCs w:val="28"/>
          <w:u w:val="none"/>
        </w:rPr>
        <w:t>1.1 任务来源与计划要求</w:t>
      </w:r>
      <w:bookmarkEnd w:id="1"/>
    </w:p>
    <w:p w14:paraId="12E32471">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根据国家标准化管理委员会关于下达国标委发〔2024〕32号文《国家标准化管理委员会关于下达2024年第五批推荐性国家标准计划及相关标准外文版计划的通知》，由酒泉钢铁集团有限责任公司牵头起草国家标准制定项目《镍合金化学分析方法 第11部分：硅、锰、磷、铬、镍、铜、钼、钴、铁、铝、钒、钛、钨和铌含量的测定 X射线荧光光谱法（常规法）》（项目计划编号：20242393-T-610），并同步制定标准英文版（国家标准外文版计划号：W20244517）。项目周期18个月，计划完成时间为2026年1月。</w:t>
      </w:r>
    </w:p>
    <w:p w14:paraId="4454A53A">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2" w:name="_Toc23000"/>
      <w:r>
        <w:rPr>
          <w:rFonts w:hint="eastAsia" w:ascii="宋体" w:hAnsi="宋体" w:eastAsia="宋体" w:cs="宋体"/>
          <w:b/>
          <w:i w:val="0"/>
          <w:strike w:val="0"/>
          <w:color w:val="auto"/>
          <w:spacing w:val="0"/>
          <w:sz w:val="28"/>
          <w:szCs w:val="28"/>
          <w:u w:val="none"/>
        </w:rPr>
        <w:t>1.2 标准编写的目的和意义</w:t>
      </w:r>
      <w:bookmarkEnd w:id="2"/>
    </w:p>
    <w:p w14:paraId="05C50D15">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1.2.1 推动镍合金高质量发展，保障产业供应链安全</w:t>
      </w:r>
    </w:p>
    <w:p w14:paraId="0A1A509B">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镍合金是国家工业发展重要战略金属原料之一，具备优良的耐高温、耐腐蚀、强度高、塑性和韧性好等诸多优异特性。广泛应用于航空航天、核电、新能源、船舶、石化、电子、医疗等领域，尤其是在高端装备制造业占有特殊重要的地位。</w:t>
      </w:r>
    </w:p>
    <w:p w14:paraId="79FFAB5A">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镍合金材料成分分析的精确性、时效性对材料性能及质量安全影响至关重要。传统湿法化学分析存在操作繁琐、效率较低等问题，难以满足现代规模化、技术密集型工业对准确快速检测和质量控制的需求。建立先进检测技术标准体系，满足镍合金“高精尖”材料研发和工艺质量提升需求，为推进我国高科技材料迭代升级与高端装备制造业提供有力支撑。</w:t>
      </w:r>
    </w:p>
    <w:p w14:paraId="44FDB803">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1.2.2 推进镍合金检测技术与国际标准接轨</w:t>
      </w:r>
    </w:p>
    <w:p w14:paraId="1FCEB577">
      <w:pPr>
        <w:widowControl w:val="0"/>
        <w:spacing w:after="120" w:line="360" w:lineRule="auto"/>
        <w:ind w:left="0" w:leftChars="0" w:firstLine="600" w:firstLineChars="0"/>
        <w:jc w:val="both"/>
        <w:rPr>
          <w:rFonts w:hint="eastAsia" w:ascii="宋体" w:hAnsi="宋体" w:eastAsia="宋体" w:cs="宋体"/>
          <w:b w:val="0"/>
          <w:i w:val="0"/>
          <w:strike w:val="0"/>
          <w:color w:val="auto"/>
          <w:kern w:val="2"/>
          <w:sz w:val="24"/>
          <w:szCs w:val="24"/>
          <w:u w:val="none"/>
          <w:lang w:val="en-US" w:eastAsia="zh-CN" w:bidi="ar-SA"/>
        </w:rPr>
      </w:pPr>
      <w:r>
        <w:rPr>
          <w:rFonts w:hint="eastAsia" w:ascii="宋体" w:hAnsi="宋体" w:eastAsia="宋体" w:cs="宋体"/>
          <w:b w:val="0"/>
          <w:i w:val="0"/>
          <w:strike w:val="0"/>
          <w:color w:val="auto"/>
          <w:kern w:val="2"/>
          <w:sz w:val="24"/>
          <w:szCs w:val="24"/>
          <w:u w:val="none"/>
          <w:lang w:val="en-US" w:eastAsia="zh-CN" w:bidi="ar-SA"/>
        </w:rPr>
        <w:t>我国正在积极推进镍合金化学分析方法ISO系列标准转化、采标工作，国际标准ISO 7530系列（镍合金火焰原子吸收光谱法）和ISO 22033（电感耦合等离子体质谱法）已发布多年，但国内缺乏技术先进的X射线荧光光谱（XRF）分析标准。通过X射线荧光光谱（XRF）分析镍合金先进方法标准研究，填补镍合金分析领域的标准技术空白，为我国镍合金产业高质量发展和国际贸易数据互认提供技术标准支撑，增强我国镍合金高端产业的国际市场竞争力和影响力，助力有色工业发展升级和国内高端制造业发展具有重要意义。</w:t>
      </w:r>
    </w:p>
    <w:p w14:paraId="67B5C58B">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p>
    <w:p w14:paraId="389563A7">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1.2.3 符合国家标准化政策导向</w:t>
      </w:r>
    </w:p>
    <w:p w14:paraId="0B269329">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国家标准化发展纲要》六、提升标准化对外开放水平中“（二十三）强化贸易便利化标准支撑”中明确指出：“要推出中国标准多语种版本，加快大宗贸易商品、对外承包工程等中国标准外文版编译。研究制定服务贸易标准，完善数字金融、国际贸易单一窗口等标准。促进内外贸质量标准、检验检疫、认证认可等相衔接，推进同线同标同质。”</w:t>
      </w:r>
    </w:p>
    <w:p w14:paraId="4A9CD3B6">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2023年国家标准立项指南》三、申报要求“（五）鼓励国家标准制修订项目同步申报、同步推进制修订外文版”中指出，“现行标准中，涉及国际贸易且未采用国际标准的强制性国家标准原则上“应译尽译”，涉及国际贸易、产能和装备合作领域以及全球经济治理相关新兴领域的推荐性国家标准鼓励制定外文版。”</w:t>
      </w:r>
    </w:p>
    <w:p w14:paraId="558F8C2D">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中华人民共和国国民经济和社会发展第十四个五年（2021－2025年）规划和2035年远景目标纲要》第四十一章“推动共建“一带一路”高质量发展”中提出：“推进战略、规划、机制对接，加强政策、规则、标准联通。创新对接方式，推进已签文件落实见效，推动与更多国家商签投资保护协定、避免双重征税协定等，加强海关、税收、监管等合作，推动实施更高水平的通关一体化。”</w:t>
      </w:r>
    </w:p>
    <w:p w14:paraId="28381537">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3" w:name="_Toc22027"/>
      <w:r>
        <w:rPr>
          <w:rFonts w:hint="eastAsia" w:ascii="宋体" w:hAnsi="宋体" w:eastAsia="宋体" w:cs="宋体"/>
          <w:b/>
          <w:i w:val="0"/>
          <w:strike w:val="0"/>
          <w:color w:val="auto"/>
          <w:spacing w:val="0"/>
          <w:sz w:val="28"/>
          <w:szCs w:val="28"/>
          <w:u w:val="none"/>
        </w:rPr>
        <w:t>1.3 标准编制工作</w:t>
      </w:r>
      <w:bookmarkEnd w:id="3"/>
    </w:p>
    <w:p w14:paraId="46006F49">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1.3.1 编制原则和依据</w:t>
      </w:r>
    </w:p>
    <w:p w14:paraId="7B6DB62A">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本标准编制应根据我国国情，要以满足市场需求为指导，以产品生产、使用、贸易企业的需求为基础，符合海关进口和固体废物管理政策要求，有利于原料的国内外贸易，以利于保护我国资源综合利用和生态环境保护，减少“一带一路”沿线国家间的贸易壁垒。</w:t>
      </w:r>
    </w:p>
    <w:p w14:paraId="474D381B">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本标准的制定工作应遵循“坚持忠实原文、准确规范”的原则，本着中外文版内容一致性、表述准确性的原则，按照GB/T 20000.10和GB/T 20000.11给出的规则编写。</w:t>
      </w:r>
    </w:p>
    <w:p w14:paraId="0F80CD0E">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1.3.2 主要参加单位和工作成员及其所做工作</w:t>
      </w:r>
    </w:p>
    <w:p w14:paraId="3F9A2945">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 主要参加单位情况</w:t>
      </w:r>
    </w:p>
    <w:p w14:paraId="40961C32">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标准编制过程中，标准编制单位酒泉钢铁（集团）有限责任公司、上海有色金属工业技术监测中心有限公司积极响应国家标准外文版工作计划，积极开展外文版标准研制工作。根据实际情况编写标准文本和标准编制说明，同时将外文版标准在行业内广泛征求意见，并对收集的意见进行汇总处理，带领翻译编制组完成标准的翻译工作。国标(北京)检验认证有限公司、广州腐蚀科学与技术创新研究院对外文版征求意见稿I进行一校；有色金属技术经济研究院有限责任公司对外文版征求意见稿Ⅱ进行二校，最终形成外文版送审稿。</w:t>
      </w:r>
    </w:p>
    <w:p w14:paraId="37EC47DC">
      <w:pPr>
        <w:pageBreakBefore w:val="0"/>
        <w:wordWrap/>
        <w:spacing w:before="160" w:after="0"/>
        <w:ind w:left="0" w:leftChars="0" w:right="0" w:rightChars="0"/>
        <w:jc w:val="left"/>
        <w:textAlignment w:val="auto"/>
        <w:outlineLvl w:val="3"/>
        <w:rPr>
          <w:rFonts w:hint="eastAsia" w:ascii="宋体" w:hAnsi="宋体" w:eastAsia="宋体" w:cs="宋体"/>
          <w:b/>
          <w:i w:val="0"/>
          <w:strike w:val="0"/>
          <w:color w:val="auto"/>
          <w:spacing w:val="0"/>
          <w:sz w:val="28"/>
          <w:szCs w:val="28"/>
          <w:u w:val="none"/>
        </w:rPr>
      </w:pPr>
      <w:r>
        <w:rPr>
          <w:rFonts w:hint="eastAsia" w:ascii="宋体" w:hAnsi="宋体" w:eastAsia="宋体" w:cs="宋体"/>
          <w:b/>
          <w:i w:val="0"/>
          <w:strike w:val="0"/>
          <w:color w:val="auto"/>
          <w:spacing w:val="0"/>
          <w:sz w:val="28"/>
          <w:szCs w:val="28"/>
          <w:u w:val="none"/>
        </w:rPr>
        <w:t>2. 主要工作成员所负责的工作情况</w:t>
      </w:r>
    </w:p>
    <w:p w14:paraId="4D32128B">
      <w:pPr>
        <w:pStyle w:val="8"/>
        <w:numPr>
          <w:ilvl w:val="0"/>
          <w:numId w:val="1"/>
        </w:numPr>
        <w:spacing w:line="360" w:lineRule="auto"/>
        <w:ind w:firstLineChars="0"/>
        <w:jc w:val="center"/>
        <w:rPr>
          <w:rFonts w:hint="eastAsia" w:ascii="宋体" w:hAnsi="宋体" w:eastAsia="宋体" w:cs="宋体"/>
          <w:szCs w:val="21"/>
        </w:rPr>
      </w:pPr>
      <w:r>
        <w:rPr>
          <w:rFonts w:hint="eastAsia" w:ascii="宋体" w:hAnsi="宋体" w:eastAsia="宋体" w:cs="宋体"/>
          <w:szCs w:val="21"/>
        </w:rPr>
        <w:t>主要起草人及工作职责</w:t>
      </w:r>
    </w:p>
    <w:tbl>
      <w:tblPr>
        <w:tblStyle w:val="6"/>
        <w:tblW w:w="9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3"/>
        <w:gridCol w:w="6085"/>
        <w:gridCol w:w="1612"/>
      </w:tblGrid>
      <w:tr w14:paraId="580A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253" w:type="dxa"/>
            <w:tcBorders>
              <w:top w:val="single" w:color="auto" w:sz="12" w:space="0"/>
              <w:left w:val="nil"/>
              <w:bottom w:val="single" w:color="auto" w:sz="4" w:space="0"/>
              <w:right w:val="nil"/>
            </w:tcBorders>
            <w:vAlign w:val="center"/>
          </w:tcPr>
          <w:p w14:paraId="64995C08">
            <w:pPr>
              <w:snapToGrid w:val="0"/>
              <w:spacing w:line="36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翻译及校稿人</w:t>
            </w:r>
          </w:p>
        </w:tc>
        <w:tc>
          <w:tcPr>
            <w:tcW w:w="6085" w:type="dxa"/>
            <w:tcBorders>
              <w:top w:val="single" w:color="auto" w:sz="12" w:space="0"/>
              <w:left w:val="nil"/>
              <w:bottom w:val="single" w:color="auto" w:sz="4" w:space="0"/>
              <w:right w:val="nil"/>
            </w:tcBorders>
            <w:vAlign w:val="center"/>
          </w:tcPr>
          <w:p w14:paraId="4E8B98FE">
            <w:pPr>
              <w:snapToGrid w:val="0"/>
              <w:spacing w:line="36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翻译单位</w:t>
            </w:r>
          </w:p>
        </w:tc>
        <w:tc>
          <w:tcPr>
            <w:tcW w:w="1612" w:type="dxa"/>
            <w:tcBorders>
              <w:top w:val="single" w:color="auto" w:sz="12" w:space="0"/>
              <w:left w:val="nil"/>
              <w:bottom w:val="single" w:color="auto" w:sz="4" w:space="0"/>
              <w:right w:val="nil"/>
            </w:tcBorders>
            <w:vAlign w:val="center"/>
          </w:tcPr>
          <w:p w14:paraId="16DE5637">
            <w:pPr>
              <w:snapToGrid w:val="0"/>
              <w:spacing w:line="36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工作职责</w:t>
            </w:r>
          </w:p>
        </w:tc>
      </w:tr>
      <w:tr w14:paraId="369AB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53" w:type="dxa"/>
            <w:tcBorders>
              <w:top w:val="single" w:color="auto" w:sz="4" w:space="0"/>
              <w:left w:val="nil"/>
              <w:bottom w:val="nil"/>
              <w:right w:val="nil"/>
            </w:tcBorders>
            <w:shd w:val="clear" w:color="auto" w:fill="auto"/>
            <w:vAlign w:val="center"/>
          </w:tcPr>
          <w:p w14:paraId="19920D55">
            <w:pPr>
              <w:pageBreakBefore w:val="0"/>
              <w:wordWrap/>
              <w:snapToGrid w:val="0"/>
              <w:spacing w:before="0" w:after="0"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王化明</w:t>
            </w:r>
          </w:p>
        </w:tc>
        <w:tc>
          <w:tcPr>
            <w:tcW w:w="6085" w:type="dxa"/>
            <w:tcBorders>
              <w:top w:val="single" w:color="auto" w:sz="4" w:space="0"/>
              <w:left w:val="nil"/>
              <w:bottom w:val="nil"/>
              <w:right w:val="nil"/>
            </w:tcBorders>
            <w:shd w:val="clear" w:color="auto" w:fill="auto"/>
            <w:vAlign w:val="center"/>
          </w:tcPr>
          <w:p w14:paraId="46C308E3">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上海有色金属工业技术监测中心有限公司</w:t>
            </w:r>
          </w:p>
        </w:tc>
        <w:tc>
          <w:tcPr>
            <w:tcW w:w="1612" w:type="dxa"/>
            <w:tcBorders>
              <w:top w:val="single" w:color="auto" w:sz="4" w:space="0"/>
              <w:left w:val="nil"/>
              <w:bottom w:val="nil"/>
              <w:right w:val="nil"/>
            </w:tcBorders>
            <w:shd w:val="clear" w:color="auto" w:fill="auto"/>
            <w:vAlign w:val="center"/>
          </w:tcPr>
          <w:p w14:paraId="0443E168">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草案翻译</w:t>
            </w:r>
          </w:p>
        </w:tc>
      </w:tr>
      <w:tr w14:paraId="4DB1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53" w:type="dxa"/>
            <w:tcBorders>
              <w:top w:val="nil"/>
              <w:left w:val="nil"/>
              <w:bottom w:val="nil"/>
              <w:right w:val="nil"/>
            </w:tcBorders>
            <w:shd w:val="clear" w:color="auto" w:fill="auto"/>
            <w:vAlign w:val="center"/>
          </w:tcPr>
          <w:p w14:paraId="0A0692C8">
            <w:pPr>
              <w:pageBreakBefore w:val="0"/>
              <w:wordWrap/>
              <w:snapToGrid w:val="0"/>
              <w:spacing w:before="0" w:after="0" w:line="360" w:lineRule="auto"/>
              <w:ind w:left="0" w:leftChars="0" w:right="0" w:rightChars="0" w:firstLine="0" w:firstLineChars="0"/>
              <w:jc w:val="center"/>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康开斌</w:t>
            </w:r>
          </w:p>
        </w:tc>
        <w:tc>
          <w:tcPr>
            <w:tcW w:w="6085" w:type="dxa"/>
            <w:tcBorders>
              <w:top w:val="nil"/>
              <w:left w:val="nil"/>
              <w:bottom w:val="nil"/>
              <w:right w:val="nil"/>
            </w:tcBorders>
            <w:shd w:val="clear" w:color="auto" w:fill="auto"/>
            <w:vAlign w:val="center"/>
          </w:tcPr>
          <w:p w14:paraId="68C8C01D">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酒泉钢铁（集团）有限责任公司</w:t>
            </w:r>
          </w:p>
        </w:tc>
        <w:tc>
          <w:tcPr>
            <w:tcW w:w="1612" w:type="dxa"/>
            <w:tcBorders>
              <w:top w:val="nil"/>
              <w:left w:val="nil"/>
              <w:bottom w:val="nil"/>
              <w:right w:val="nil"/>
            </w:tcBorders>
            <w:shd w:val="clear" w:color="auto" w:fill="auto"/>
            <w:vAlign w:val="center"/>
          </w:tcPr>
          <w:p w14:paraId="79EA7E36">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草案翻译</w:t>
            </w:r>
          </w:p>
        </w:tc>
      </w:tr>
      <w:tr w14:paraId="2D398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53" w:type="dxa"/>
            <w:tcBorders>
              <w:top w:val="nil"/>
              <w:left w:val="nil"/>
              <w:bottom w:val="nil"/>
              <w:right w:val="nil"/>
            </w:tcBorders>
            <w:shd w:val="clear" w:color="auto" w:fill="auto"/>
            <w:vAlign w:val="center"/>
          </w:tcPr>
          <w:p w14:paraId="6229B9D8">
            <w:pPr>
              <w:pageBreakBefore w:val="0"/>
              <w:wordWrap/>
              <w:snapToGrid w:val="0"/>
              <w:spacing w:before="0" w:after="0" w:line="360" w:lineRule="auto"/>
              <w:ind w:left="0" w:leftChars="0" w:right="0" w:rightChars="0" w:firstLine="0" w:firstLineChars="0"/>
              <w:jc w:val="center"/>
              <w:textAlignment w:val="auto"/>
              <w:rPr>
                <w:rFonts w:hint="eastAsia" w:ascii="宋体" w:hAnsi="宋体" w:eastAsia="宋体" w:cs="宋体"/>
                <w:b w:val="0"/>
                <w:i w:val="0"/>
                <w:spacing w:val="0"/>
                <w:sz w:val="21"/>
                <w:szCs w:val="21"/>
              </w:rPr>
            </w:pPr>
            <w:r>
              <w:rPr>
                <w:rFonts w:hint="eastAsia" w:ascii="宋体" w:hAnsi="宋体" w:eastAsia="宋体" w:cs="宋体"/>
                <w:sz w:val="21"/>
                <w:szCs w:val="21"/>
                <w:lang w:val="en-US" w:eastAsia="zh-CN"/>
              </w:rPr>
              <w:t>胡芳菲</w:t>
            </w:r>
          </w:p>
        </w:tc>
        <w:tc>
          <w:tcPr>
            <w:tcW w:w="6085" w:type="dxa"/>
            <w:tcBorders>
              <w:top w:val="nil"/>
              <w:left w:val="nil"/>
              <w:bottom w:val="nil"/>
              <w:right w:val="nil"/>
            </w:tcBorders>
            <w:shd w:val="clear" w:color="auto" w:fill="auto"/>
            <w:vAlign w:val="center"/>
          </w:tcPr>
          <w:p w14:paraId="3C9AAE06">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b w:val="0"/>
                <w:i w:val="0"/>
                <w:spacing w:val="0"/>
                <w:sz w:val="21"/>
                <w:szCs w:val="21"/>
              </w:rPr>
            </w:pPr>
            <w:r>
              <w:rPr>
                <w:rFonts w:hint="eastAsia" w:ascii="宋体" w:hAnsi="宋体" w:eastAsia="宋体" w:cs="宋体"/>
                <w:color w:val="000000"/>
                <w:kern w:val="0"/>
                <w:sz w:val="21"/>
                <w:szCs w:val="21"/>
                <w:shd w:val="clear" w:color="auto" w:fill="FFFFFF"/>
                <w:lang w:val="en-US" w:eastAsia="zh-CN"/>
              </w:rPr>
              <w:t>国标(北京)检验认证有限公司</w:t>
            </w:r>
          </w:p>
        </w:tc>
        <w:tc>
          <w:tcPr>
            <w:tcW w:w="1612" w:type="dxa"/>
            <w:tcBorders>
              <w:top w:val="nil"/>
              <w:left w:val="nil"/>
              <w:bottom w:val="nil"/>
              <w:right w:val="nil"/>
            </w:tcBorders>
            <w:shd w:val="clear" w:color="auto" w:fill="auto"/>
            <w:vAlign w:val="center"/>
          </w:tcPr>
          <w:p w14:paraId="793F9DAE">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一校</w:t>
            </w:r>
          </w:p>
        </w:tc>
      </w:tr>
      <w:tr w14:paraId="4B34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53" w:type="dxa"/>
            <w:tcBorders>
              <w:top w:val="nil"/>
              <w:left w:val="nil"/>
              <w:bottom w:val="nil"/>
              <w:right w:val="nil"/>
            </w:tcBorders>
            <w:shd w:val="clear" w:color="auto" w:fill="auto"/>
            <w:vAlign w:val="center"/>
          </w:tcPr>
          <w:p w14:paraId="12884F5A">
            <w:pPr>
              <w:pageBreakBefore w:val="0"/>
              <w:wordWrap/>
              <w:snapToGrid w:val="0"/>
              <w:spacing w:before="0" w:after="0"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val="0"/>
                <w:i w:val="0"/>
                <w:spacing w:val="0"/>
                <w:sz w:val="21"/>
                <w:szCs w:val="21"/>
              </w:rPr>
              <w:t>朱卫华</w:t>
            </w:r>
          </w:p>
        </w:tc>
        <w:tc>
          <w:tcPr>
            <w:tcW w:w="6085" w:type="dxa"/>
            <w:tcBorders>
              <w:top w:val="nil"/>
              <w:left w:val="nil"/>
              <w:bottom w:val="nil"/>
              <w:right w:val="nil"/>
            </w:tcBorders>
            <w:shd w:val="clear" w:color="auto" w:fill="auto"/>
            <w:vAlign w:val="center"/>
          </w:tcPr>
          <w:p w14:paraId="77977A24">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广州腐蚀科学与技术创新研究院</w:t>
            </w:r>
          </w:p>
        </w:tc>
        <w:tc>
          <w:tcPr>
            <w:tcW w:w="1612" w:type="dxa"/>
            <w:tcBorders>
              <w:top w:val="nil"/>
              <w:left w:val="nil"/>
              <w:bottom w:val="nil"/>
              <w:right w:val="nil"/>
            </w:tcBorders>
            <w:shd w:val="clear" w:color="auto" w:fill="auto"/>
            <w:vAlign w:val="center"/>
          </w:tcPr>
          <w:p w14:paraId="50ACF99F">
            <w:pPr>
              <w:pageBreakBefore w:val="0"/>
              <w:wordWrap/>
              <w:snapToGrid w:val="0"/>
              <w:spacing w:before="0" w:after="0" w:line="360" w:lineRule="auto"/>
              <w:ind w:left="0" w:leftChars="0" w:right="0" w:rightChars="0" w:firstLine="0" w:firstLineChars="0"/>
              <w:jc w:val="left"/>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一校</w:t>
            </w:r>
          </w:p>
        </w:tc>
      </w:tr>
      <w:tr w14:paraId="7E4F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53" w:type="dxa"/>
            <w:tcBorders>
              <w:top w:val="nil"/>
              <w:left w:val="nil"/>
              <w:bottom w:val="single" w:color="auto" w:sz="12" w:space="0"/>
              <w:right w:val="nil"/>
            </w:tcBorders>
            <w:vAlign w:val="center"/>
          </w:tcPr>
          <w:p w14:paraId="4A52BF5C">
            <w:pPr>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吴帅锦</w:t>
            </w:r>
          </w:p>
        </w:tc>
        <w:tc>
          <w:tcPr>
            <w:tcW w:w="6085" w:type="dxa"/>
            <w:tcBorders>
              <w:top w:val="nil"/>
              <w:left w:val="nil"/>
              <w:bottom w:val="single" w:color="auto" w:sz="12" w:space="0"/>
              <w:right w:val="nil"/>
            </w:tcBorders>
            <w:vAlign w:val="center"/>
          </w:tcPr>
          <w:p w14:paraId="7387881E">
            <w:pPr>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有色金属技术经济研究院有限责任公司</w:t>
            </w:r>
          </w:p>
        </w:tc>
        <w:tc>
          <w:tcPr>
            <w:tcW w:w="1612" w:type="dxa"/>
            <w:tcBorders>
              <w:top w:val="nil"/>
              <w:left w:val="nil"/>
              <w:bottom w:val="single" w:color="auto" w:sz="12" w:space="0"/>
              <w:right w:val="nil"/>
            </w:tcBorders>
            <w:vAlign w:val="center"/>
          </w:tcPr>
          <w:p w14:paraId="5DE215CB">
            <w:pPr>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二校</w:t>
            </w:r>
          </w:p>
        </w:tc>
      </w:tr>
    </w:tbl>
    <w:p w14:paraId="5C4CEAD2">
      <w:pPr>
        <w:widowControl w:val="0"/>
        <w:spacing w:before="0" w:beforeLines="150" w:beforeAutospacing="0"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1.3.3 标准编制工作过程</w:t>
      </w:r>
    </w:p>
    <w:p w14:paraId="7B3D490C">
      <w:pPr>
        <w:widowControl w:val="0"/>
        <w:numPr>
          <w:ilvl w:val="0"/>
          <w:numId w:val="2"/>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任务落实及安排</w:t>
      </w:r>
    </w:p>
    <w:p w14:paraId="34F09629">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2024年9月，酒泉钢铁（集团）有限责任公司接到《镍合金化学分析方法 第11部分：硅、锰、磷、铬、镍、铜、钼、钴、铁、铝、钒、钛、钨和铌含量的测定 X射线荧光光谱法(常规法）》外文版项目计划任务后，由专兼职标准化人员成立了翻译工作组，确认了各成员的工作任务和职责，制定了工作计划和进度安排，以确保按阶段完成该外文版标准的制定任务。</w:t>
      </w:r>
    </w:p>
    <w:p w14:paraId="24FA6955">
      <w:pPr>
        <w:widowControl w:val="0"/>
        <w:numPr>
          <w:ilvl w:val="0"/>
          <w:numId w:val="3"/>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征求意见阶段</w:t>
      </w:r>
    </w:p>
    <w:p w14:paraId="599B9228">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2025年11月—12月，酒泉钢铁（集团）有限责任公司、上海有色金属工业技术监测中心有限公司依据GB/T 20000.10和GB/T 20000.11开展标准翻译工作，并进行公司内部校对，形成了外文版征求意见稿I。</w:t>
      </w:r>
    </w:p>
    <w:p w14:paraId="71F47BFE">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2026年1月1日—1月30日，酒泉钢铁（集团）有限责任公司、上海有色金属工业技术监测中心有限公司将《镍合金化学分析方法 第11部分：硅、锰、磷、铬、镍、铜、钼、钴、铁、铝、钒、钛、钨和铌含量的测定 X射线荧光光谱法(常规法）》外文版征求意见稿I发送国标(北京)检验认证有限公司、广州腐蚀科学与技术创新研究院进行第一次和第二次校对，校稿人进行了认真的校对与修改，并提交了反馈意见。</w:t>
      </w:r>
    </w:p>
    <w:p w14:paraId="7E6F14BA">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2026年2月1日—2月21日，有色金属技术经济研究院有限责任公司根据二校单位反馈的意见修改形成了外文版送审稿。</w:t>
      </w:r>
    </w:p>
    <w:p w14:paraId="346B669E">
      <w:pPr>
        <w:widowControl w:val="0"/>
        <w:numPr>
          <w:ilvl w:val="0"/>
          <w:numId w:val="4"/>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审查阶段</w:t>
      </w:r>
    </w:p>
    <w:p w14:paraId="57637CA7">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A) 技术专家审查</w:t>
      </w:r>
    </w:p>
    <w:p w14:paraId="12BD300F">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2024年4月26日，全国有色金属标准化技术委员会主持在湖南省长沙市召开本英文版的标准审定会议。审定会议的专家中，阮桂色、陈雄飞作为语言领域专家，其他代表作为专业领域专家出席。会议对英文版标准报批稿进行了讨论和审定，并对英文标准提出了一些修改意见。经国家标准翻译编制组修改后形成《送审稿》及《送审稿编制说明》。</w:t>
      </w:r>
    </w:p>
    <w:p w14:paraId="168AF733">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B) 委员审查</w:t>
      </w:r>
    </w:p>
    <w:p w14:paraId="4FBD2905">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2024年</w:t>
      </w:r>
      <w:r>
        <w:rPr>
          <w:rFonts w:hint="eastAsia" w:ascii="宋体" w:hAnsi="宋体" w:eastAsia="宋体" w:cs="宋体"/>
          <w:b w:val="0"/>
          <w:i w:val="0"/>
          <w:strike w:val="0"/>
          <w:color w:val="FF0000"/>
          <w:kern w:val="2"/>
          <w:sz w:val="24"/>
          <w:szCs w:val="24"/>
          <w:u w:val="none"/>
          <w:lang w:val="en-US" w:eastAsia="zh-CN" w:bidi="ar-SA"/>
        </w:rPr>
        <w:t>X月XX日</w:t>
      </w:r>
      <w:r>
        <w:rPr>
          <w:rFonts w:hint="eastAsia" w:ascii="宋体" w:hAnsi="宋体" w:eastAsia="宋体" w:cs="宋体"/>
          <w:b w:val="0"/>
          <w:i w:val="0"/>
          <w:strike w:val="0"/>
          <w:color w:val="auto"/>
          <w:kern w:val="2"/>
          <w:sz w:val="24"/>
          <w:szCs w:val="24"/>
          <w:u w:val="none"/>
          <w:lang w:val="en-US" w:eastAsia="zh-CN" w:bidi="ar-SA"/>
        </w:rPr>
        <w:t>，全国有色金属标准化技术委员会在</w:t>
      </w:r>
      <w:r>
        <w:rPr>
          <w:rFonts w:hint="eastAsia" w:ascii="宋体" w:hAnsi="宋体" w:eastAsia="宋体" w:cs="宋体"/>
          <w:b w:val="0"/>
          <w:i w:val="0"/>
          <w:strike w:val="0"/>
          <w:color w:val="FF0000"/>
          <w:kern w:val="2"/>
          <w:sz w:val="24"/>
          <w:szCs w:val="24"/>
          <w:u w:val="none"/>
          <w:lang w:val="en-US" w:eastAsia="zh-CN" w:bidi="ar-SA"/>
        </w:rPr>
        <w:t>XX</w:t>
      </w:r>
      <w:r>
        <w:rPr>
          <w:rFonts w:hint="eastAsia" w:ascii="宋体" w:hAnsi="宋体" w:eastAsia="宋体" w:cs="宋体"/>
          <w:b w:val="0"/>
          <w:i w:val="0"/>
          <w:strike w:val="0"/>
          <w:color w:val="FF0000"/>
          <w:kern w:val="2"/>
          <w:sz w:val="24"/>
          <w:szCs w:val="24"/>
          <w:u w:val="single"/>
          <w:lang w:val="en-US" w:eastAsia="zh-CN" w:bidi="ar-SA"/>
        </w:rPr>
        <w:t>省XX市</w:t>
      </w:r>
      <w:r>
        <w:rPr>
          <w:rFonts w:hint="eastAsia" w:ascii="宋体" w:hAnsi="宋体" w:eastAsia="宋体" w:cs="宋体"/>
          <w:b w:val="0"/>
          <w:i w:val="0"/>
          <w:strike w:val="0"/>
          <w:color w:val="auto"/>
          <w:kern w:val="2"/>
          <w:sz w:val="24"/>
          <w:szCs w:val="24"/>
          <w:u w:val="none"/>
          <w:lang w:val="en-US" w:eastAsia="zh-CN" w:bidi="ar-SA"/>
        </w:rPr>
        <w:t>召开了全体委员会议。全国有色金属标准化技术委员会重金属分技术委员会（SAC/TC243/SC2）全体委员共计</w:t>
      </w:r>
      <w:r>
        <w:rPr>
          <w:rFonts w:hint="eastAsia" w:ascii="宋体" w:hAnsi="宋体" w:eastAsia="宋体" w:cs="宋体"/>
          <w:b w:val="0"/>
          <w:i w:val="0"/>
          <w:strike w:val="0"/>
          <w:color w:val="FF0000"/>
          <w:kern w:val="2"/>
          <w:sz w:val="24"/>
          <w:szCs w:val="24"/>
          <w:u w:val="none"/>
          <w:lang w:val="en-US" w:eastAsia="zh-CN" w:bidi="ar-SA"/>
        </w:rPr>
        <w:t>XX</w:t>
      </w:r>
      <w:r>
        <w:rPr>
          <w:rFonts w:hint="eastAsia" w:ascii="宋体" w:hAnsi="宋体" w:eastAsia="宋体" w:cs="宋体"/>
          <w:b w:val="0"/>
          <w:i w:val="0"/>
          <w:strike w:val="0"/>
          <w:color w:val="auto"/>
          <w:kern w:val="2"/>
          <w:sz w:val="24"/>
          <w:szCs w:val="24"/>
          <w:u w:val="none"/>
          <w:lang w:val="en-US" w:eastAsia="zh-CN" w:bidi="ar-SA"/>
        </w:rPr>
        <w:t>名，实际参与投票工作</w:t>
      </w:r>
      <w:r>
        <w:rPr>
          <w:rFonts w:hint="eastAsia" w:ascii="宋体" w:hAnsi="宋体" w:eastAsia="宋体" w:cs="宋体"/>
          <w:b w:val="0"/>
          <w:i w:val="0"/>
          <w:strike w:val="0"/>
          <w:color w:val="FF0000"/>
          <w:kern w:val="2"/>
          <w:sz w:val="24"/>
          <w:szCs w:val="24"/>
          <w:u w:val="none"/>
          <w:lang w:val="en-US" w:eastAsia="zh-CN" w:bidi="ar-SA"/>
        </w:rPr>
        <w:t>XX</w:t>
      </w:r>
      <w:r>
        <w:rPr>
          <w:rFonts w:hint="eastAsia" w:ascii="宋体" w:hAnsi="宋体" w:eastAsia="宋体" w:cs="宋体"/>
          <w:b w:val="0"/>
          <w:i w:val="0"/>
          <w:strike w:val="0"/>
          <w:color w:val="auto"/>
          <w:kern w:val="2"/>
          <w:sz w:val="24"/>
          <w:szCs w:val="24"/>
          <w:u w:val="none"/>
          <w:lang w:val="en-US" w:eastAsia="zh-CN" w:bidi="ar-SA"/>
        </w:rPr>
        <w:t>名。会议经过认真地讨论，对本标准制修订程序、征求意见的过程以及技术内容的确定等多方面进行了仔细审查。与会委员全体投票通过，同意该标准《送审稿》及《送审稿编制说明》通过审查，无修改意见，表决通过率为100%。</w:t>
      </w:r>
    </w:p>
    <w:p w14:paraId="05E0E9E9">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2024年</w:t>
      </w:r>
      <w:r>
        <w:rPr>
          <w:rFonts w:hint="eastAsia" w:ascii="宋体" w:hAnsi="宋体" w:eastAsia="宋体" w:cs="宋体"/>
          <w:b w:val="0"/>
          <w:i w:val="0"/>
          <w:strike w:val="0"/>
          <w:color w:val="FF0000"/>
          <w:kern w:val="2"/>
          <w:sz w:val="24"/>
          <w:szCs w:val="24"/>
          <w:u w:val="none"/>
          <w:lang w:val="en-US" w:eastAsia="zh-CN" w:bidi="ar-SA"/>
        </w:rPr>
        <w:t>X月X日—X日</w:t>
      </w:r>
      <w:r>
        <w:rPr>
          <w:rFonts w:hint="eastAsia" w:ascii="宋体" w:hAnsi="宋体" w:eastAsia="宋体" w:cs="宋体"/>
          <w:b w:val="0"/>
          <w:i w:val="0"/>
          <w:strike w:val="0"/>
          <w:color w:val="auto"/>
          <w:kern w:val="2"/>
          <w:sz w:val="24"/>
          <w:szCs w:val="24"/>
          <w:u w:val="none"/>
          <w:lang w:val="en-US" w:eastAsia="zh-CN" w:bidi="ar-SA"/>
        </w:rPr>
        <w:t>期间，国标委系统内B类报批投票，全体</w:t>
      </w:r>
      <w:r>
        <w:rPr>
          <w:rFonts w:hint="eastAsia" w:ascii="宋体" w:hAnsi="宋体" w:eastAsia="宋体" w:cs="宋体"/>
          <w:b w:val="0"/>
          <w:i w:val="0"/>
          <w:strike w:val="0"/>
          <w:color w:val="FF0000"/>
          <w:kern w:val="2"/>
          <w:sz w:val="24"/>
          <w:szCs w:val="24"/>
          <w:u w:val="none"/>
          <w:lang w:val="en-US" w:eastAsia="zh-CN" w:bidi="ar-SA"/>
        </w:rPr>
        <w:t>XX</w:t>
      </w:r>
      <w:r>
        <w:rPr>
          <w:rFonts w:hint="eastAsia" w:ascii="宋体" w:hAnsi="宋体" w:eastAsia="宋体" w:cs="宋体"/>
          <w:b w:val="0"/>
          <w:i w:val="0"/>
          <w:strike w:val="0"/>
          <w:color w:val="auto"/>
          <w:kern w:val="2"/>
          <w:sz w:val="24"/>
          <w:szCs w:val="24"/>
          <w:u w:val="none"/>
          <w:lang w:val="en-US" w:eastAsia="zh-CN" w:bidi="ar-SA"/>
        </w:rPr>
        <w:t>名委员中</w:t>
      </w:r>
      <w:r>
        <w:rPr>
          <w:rFonts w:hint="eastAsia" w:ascii="宋体" w:hAnsi="宋体" w:eastAsia="宋体" w:cs="宋体"/>
          <w:b w:val="0"/>
          <w:i w:val="0"/>
          <w:strike w:val="0"/>
          <w:color w:val="FF0000"/>
          <w:kern w:val="2"/>
          <w:sz w:val="24"/>
          <w:szCs w:val="24"/>
          <w:u w:val="none"/>
          <w:lang w:val="en-US" w:eastAsia="zh-CN" w:bidi="ar-SA"/>
        </w:rPr>
        <w:t>XX</w:t>
      </w:r>
      <w:r>
        <w:rPr>
          <w:rFonts w:hint="eastAsia" w:ascii="宋体" w:hAnsi="宋体" w:eastAsia="宋体" w:cs="宋体"/>
          <w:b w:val="0"/>
          <w:i w:val="0"/>
          <w:strike w:val="0"/>
          <w:color w:val="auto"/>
          <w:kern w:val="2"/>
          <w:sz w:val="24"/>
          <w:szCs w:val="24"/>
          <w:u w:val="none"/>
          <w:lang w:val="en-US" w:eastAsia="zh-CN" w:bidi="ar-SA"/>
        </w:rPr>
        <w:t>名委员投票一致赞成本项目报批，投票率为100%。</w:t>
      </w:r>
    </w:p>
    <w:p w14:paraId="21739CF0">
      <w:pPr>
        <w:widowControl w:val="0"/>
        <w:numPr>
          <w:ilvl w:val="0"/>
          <w:numId w:val="5"/>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r>
        <w:rPr>
          <w:rFonts w:hint="eastAsia" w:ascii="宋体" w:hAnsi="宋体" w:eastAsia="宋体" w:cs="宋体"/>
          <w:b/>
          <w:i w:val="0"/>
          <w:strike w:val="0"/>
          <w:color w:val="auto"/>
          <w:spacing w:val="0"/>
          <w:sz w:val="28"/>
          <w:szCs w:val="28"/>
          <w:u w:val="none"/>
        </w:rPr>
        <w:t>报批阶段</w:t>
      </w:r>
    </w:p>
    <w:p w14:paraId="0A3515AE">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2026年3月底，翻译编制组根据审查会议提出的修改意见对标准进行了进一步的修改整理，形成本标准的报批稿，报全国有色金属标准化技术委员会秘书处。</w:t>
      </w:r>
    </w:p>
    <w:p w14:paraId="7FCBD1B3">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4" w:name="_Toc19486"/>
      <w:r>
        <w:rPr>
          <w:rFonts w:hint="eastAsia" w:ascii="宋体" w:hAnsi="宋体" w:eastAsia="宋体" w:cs="宋体"/>
          <w:b/>
          <w:i w:val="0"/>
          <w:strike w:val="0"/>
          <w:color w:val="auto"/>
          <w:spacing w:val="0"/>
          <w:sz w:val="28"/>
          <w:szCs w:val="28"/>
          <w:u w:val="none"/>
        </w:rPr>
        <w:t>二、标准效益分析</w:t>
      </w:r>
      <w:bookmarkEnd w:id="4"/>
    </w:p>
    <w:p w14:paraId="6A923D7A">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中国标准外文版工作在促进“一带一路”沿线国家的共同发展方面扮演着举足轻重的作用。按照推进“一带一路”建设工作领导小组办公室印发的《标准联通共建“一带一路”行动计划（2018—2020年）》，指出要不断增加“一带一路”沿线重要国家标准、重要学协会标准。推动“国家间标准互换互认行动”和“中国标准外文版翻译行动”。</w:t>
      </w:r>
    </w:p>
    <w:p w14:paraId="3875B1D0">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根据国家标准化委员会发布的《全国标准化发展纲要》要求，要提升标准化对外开放水平，提高我国标准与国际标准的一致性程度，推进中外标准互认。</w:t>
      </w:r>
    </w:p>
    <w:p w14:paraId="6AE8BDA2">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因此，推出国家标准《镍合金化学分析方法 第11部分：硅、锰、磷、铬、镍、铜、钼、钴、铁、铝、钒、钛、钨和铌含量的测定 X射线荧光光谱法(常规法）》外文版，在推动国内外镍合金快速检验中具有重要的意义；同时，也有助于中国标准“走出去”，逐步让世界人民了解并使用中国标准，进一步提升中国标准的国际地位。</w:t>
      </w:r>
    </w:p>
    <w:p w14:paraId="24DAC08D">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5" w:name="_Toc27724"/>
      <w:r>
        <w:rPr>
          <w:rFonts w:hint="eastAsia" w:ascii="宋体" w:hAnsi="宋体" w:eastAsia="宋体" w:cs="宋体"/>
          <w:b/>
          <w:i w:val="0"/>
          <w:strike w:val="0"/>
          <w:color w:val="auto"/>
          <w:spacing w:val="0"/>
          <w:sz w:val="28"/>
          <w:szCs w:val="28"/>
          <w:u w:val="none"/>
        </w:rPr>
        <w:t>三、标准水平评定和分析</w:t>
      </w:r>
      <w:bookmarkEnd w:id="5"/>
    </w:p>
    <w:p w14:paraId="4F074CF6">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本标准编写符合GB/T1.1-2020《标准化工作导则 第1部分：标准化文件的结构和起草规则》的要求，技术先进、合理。</w:t>
      </w:r>
    </w:p>
    <w:p w14:paraId="686DF24A">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本标准是在GB/T 42513.11-202X报批稿的基础上，对其进行翻译形成的英文版本。参考国外标准ISO中的名词定义以及国外文献，对文本中的名词和句子进行翻译。</w:t>
      </w:r>
    </w:p>
    <w:p w14:paraId="0349664C">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6" w:name="_Toc32062"/>
      <w:r>
        <w:rPr>
          <w:rFonts w:hint="eastAsia" w:ascii="宋体" w:hAnsi="宋体" w:eastAsia="宋体" w:cs="宋体"/>
          <w:b/>
          <w:i w:val="0"/>
          <w:strike w:val="0"/>
          <w:color w:val="auto"/>
          <w:spacing w:val="0"/>
          <w:sz w:val="28"/>
          <w:szCs w:val="28"/>
          <w:u w:val="none"/>
        </w:rPr>
        <w:t>四、与有关的现行</w:t>
      </w:r>
      <w:r>
        <w:rPr>
          <w:rFonts w:hint="eastAsia" w:ascii="宋体" w:hAnsi="宋体" w:eastAsia="宋体" w:cs="宋体"/>
          <w:b/>
          <w:i w:val="0"/>
          <w:strike w:val="0"/>
          <w:color w:val="auto"/>
          <w:spacing w:val="0"/>
          <w:sz w:val="28"/>
          <w:szCs w:val="28"/>
          <w:u w:val="none"/>
          <w:lang w:eastAsia="zh-CN"/>
        </w:rPr>
        <w:t>法律法规</w:t>
      </w:r>
      <w:r>
        <w:rPr>
          <w:rFonts w:hint="eastAsia" w:ascii="宋体" w:hAnsi="宋体" w:eastAsia="宋体" w:cs="宋体"/>
          <w:b/>
          <w:i w:val="0"/>
          <w:strike w:val="0"/>
          <w:color w:val="auto"/>
          <w:spacing w:val="0"/>
          <w:sz w:val="28"/>
          <w:szCs w:val="28"/>
          <w:u w:val="none"/>
        </w:rPr>
        <w:t>和强制性国家标准的关系</w:t>
      </w:r>
      <w:bookmarkEnd w:id="6"/>
    </w:p>
    <w:p w14:paraId="6DB5E2F6">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本标准符合我国现行的方针、政策、法律和法规的规定，领域内没有强制性国家标准。本标准属于GB/T 42513 镍合金化学分析系列方法标准的第11部分，引用了国内有关现行有效的标准。</w:t>
      </w:r>
    </w:p>
    <w:p w14:paraId="1FD9BC23">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7" w:name="_Toc19427"/>
      <w:r>
        <w:rPr>
          <w:rFonts w:hint="eastAsia" w:ascii="宋体" w:hAnsi="宋体" w:eastAsia="宋体" w:cs="宋体"/>
          <w:b/>
          <w:i w:val="0"/>
          <w:strike w:val="0"/>
          <w:color w:val="auto"/>
          <w:spacing w:val="0"/>
          <w:sz w:val="28"/>
          <w:szCs w:val="28"/>
          <w:u w:val="none"/>
        </w:rPr>
        <w:t>五、重大分歧意见的处理经过和依据</w:t>
      </w:r>
      <w:bookmarkEnd w:id="7"/>
    </w:p>
    <w:p w14:paraId="289DE65D">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无重大分歧意见。</w:t>
      </w:r>
    </w:p>
    <w:p w14:paraId="1F6BB176">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8" w:name="_Toc6583"/>
      <w:r>
        <w:rPr>
          <w:rFonts w:hint="eastAsia" w:ascii="宋体" w:hAnsi="宋体" w:eastAsia="宋体" w:cs="宋体"/>
          <w:b/>
          <w:i w:val="0"/>
          <w:strike w:val="0"/>
          <w:color w:val="auto"/>
          <w:spacing w:val="0"/>
          <w:sz w:val="28"/>
          <w:szCs w:val="28"/>
          <w:u w:val="none"/>
        </w:rPr>
        <w:t>六、标准作为强制性标准或推荐性标准的建议</w:t>
      </w:r>
      <w:bookmarkEnd w:id="8"/>
    </w:p>
    <w:p w14:paraId="71EB466B">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建议作为推荐性国家标准。</w:t>
      </w:r>
    </w:p>
    <w:p w14:paraId="741EA385">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9" w:name="_Toc2148"/>
      <w:r>
        <w:rPr>
          <w:rFonts w:hint="eastAsia" w:ascii="宋体" w:hAnsi="宋体" w:eastAsia="宋体" w:cs="宋体"/>
          <w:b/>
          <w:i w:val="0"/>
          <w:strike w:val="0"/>
          <w:color w:val="auto"/>
          <w:spacing w:val="0"/>
          <w:sz w:val="28"/>
          <w:szCs w:val="28"/>
          <w:u w:val="none"/>
        </w:rPr>
        <w:t>七、贯彻标准的要求和措施建议</w:t>
      </w:r>
      <w:bookmarkEnd w:id="9"/>
    </w:p>
    <w:p w14:paraId="153D967B">
      <w:pPr>
        <w:widowControl w:val="0"/>
        <w:numPr>
          <w:ilvl w:val="0"/>
          <w:numId w:val="6"/>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0" w:name="_Toc25492"/>
      <w:r>
        <w:rPr>
          <w:rFonts w:hint="eastAsia" w:ascii="宋体" w:hAnsi="宋体" w:eastAsia="宋体" w:cs="宋体"/>
          <w:b/>
          <w:i w:val="0"/>
          <w:strike w:val="0"/>
          <w:color w:val="auto"/>
          <w:spacing w:val="0"/>
          <w:sz w:val="28"/>
          <w:szCs w:val="28"/>
          <w:u w:val="none"/>
        </w:rPr>
        <w:t>标准宣贯与培训</w:t>
      </w:r>
      <w:bookmarkEnd w:id="10"/>
    </w:p>
    <w:p w14:paraId="5E02C23F">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由全国有色金属标准化技术委员会牵头，组织相关起草单位开展线上线下宣贯会，覆盖生产企业、检测机构和科研院所。编制《操作指南》及培训教材，重点培训样品制备、仪器校准和基体校正方法。</w:t>
      </w:r>
    </w:p>
    <w:p w14:paraId="64112DCC">
      <w:pPr>
        <w:widowControl w:val="0"/>
        <w:numPr>
          <w:ilvl w:val="0"/>
          <w:numId w:val="6"/>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1" w:name="_Toc3405"/>
      <w:r>
        <w:rPr>
          <w:rFonts w:hint="eastAsia" w:ascii="宋体" w:hAnsi="宋体" w:eastAsia="宋体" w:cs="宋体"/>
          <w:b/>
          <w:i w:val="0"/>
          <w:strike w:val="0"/>
          <w:color w:val="auto"/>
          <w:spacing w:val="0"/>
          <w:sz w:val="28"/>
          <w:szCs w:val="28"/>
          <w:u w:val="none"/>
        </w:rPr>
        <w:t>协同能力验证</w:t>
      </w:r>
      <w:bookmarkEnd w:id="11"/>
    </w:p>
    <w:p w14:paraId="36EF0BF0">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依托参与单位（如上海监测、钢研纳克）建立区域检测服务中心，提供方法验证和技术支持。</w:t>
      </w:r>
    </w:p>
    <w:p w14:paraId="125A3810">
      <w:pPr>
        <w:widowControl w:val="0"/>
        <w:numPr>
          <w:ilvl w:val="0"/>
          <w:numId w:val="6"/>
        </w:numPr>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2" w:name="_Toc2934"/>
      <w:r>
        <w:rPr>
          <w:rFonts w:hint="eastAsia" w:ascii="宋体" w:hAnsi="宋体" w:eastAsia="宋体" w:cs="宋体"/>
          <w:b/>
          <w:i w:val="0"/>
          <w:strike w:val="0"/>
          <w:color w:val="auto"/>
          <w:spacing w:val="0"/>
          <w:sz w:val="28"/>
          <w:szCs w:val="28"/>
          <w:u w:val="none"/>
        </w:rPr>
        <w:t>标准实施监督</w:t>
      </w:r>
      <w:bookmarkEnd w:id="12"/>
    </w:p>
    <w:p w14:paraId="1684EE6F">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委托第三方机构（如国标检验认证）定期抽查实验室合规性，确保仪器配置（如A级波长色散XRF仪）和操作流程符合标准。</w:t>
      </w:r>
    </w:p>
    <w:p w14:paraId="6134724D">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3" w:name="_Toc22384"/>
      <w:r>
        <w:rPr>
          <w:rFonts w:hint="eastAsia" w:ascii="宋体" w:hAnsi="宋体" w:eastAsia="宋体" w:cs="宋体"/>
          <w:b/>
          <w:i w:val="0"/>
          <w:strike w:val="0"/>
          <w:color w:val="auto"/>
          <w:spacing w:val="0"/>
          <w:sz w:val="28"/>
          <w:szCs w:val="28"/>
          <w:u w:val="none"/>
        </w:rPr>
        <w:t>八、废止现行有关标准的建议</w:t>
      </w:r>
      <w:bookmarkEnd w:id="13"/>
    </w:p>
    <w:p w14:paraId="4DE0F329">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无。</w:t>
      </w:r>
    </w:p>
    <w:p w14:paraId="5DDB0DBE">
      <w:pPr>
        <w:widowControl w:val="0"/>
        <w:spacing w:after="120" w:line="360" w:lineRule="auto"/>
        <w:ind w:left="0" w:leftChars="0" w:firstLine="682" w:firstLineChars="0"/>
        <w:jc w:val="both"/>
        <w:rPr>
          <w:rFonts w:hint="eastAsia" w:ascii="宋体" w:hAnsi="宋体" w:eastAsia="宋体" w:cs="宋体"/>
          <w:b/>
          <w:i w:val="0"/>
          <w:strike w:val="0"/>
          <w:color w:val="auto"/>
          <w:sz w:val="24"/>
          <w:szCs w:val="36"/>
          <w:u w:val="none"/>
        </w:rPr>
      </w:pPr>
      <w:bookmarkStart w:id="14" w:name="_Toc14033"/>
      <w:r>
        <w:rPr>
          <w:rFonts w:hint="eastAsia" w:ascii="宋体" w:hAnsi="宋体" w:eastAsia="宋体" w:cs="宋体"/>
          <w:b/>
          <w:i w:val="0"/>
          <w:strike w:val="0"/>
          <w:color w:val="auto"/>
          <w:spacing w:val="0"/>
          <w:sz w:val="28"/>
          <w:szCs w:val="28"/>
          <w:u w:val="none"/>
        </w:rPr>
        <w:t>九、其他应予说明的事项</w:t>
      </w:r>
      <w:bookmarkEnd w:id="14"/>
    </w:p>
    <w:p w14:paraId="756CA7B2">
      <w:pPr>
        <w:widowControl w:val="0"/>
        <w:spacing w:after="120" w:line="360" w:lineRule="auto"/>
        <w:ind w:left="0" w:leftChars="0" w:firstLine="600" w:firstLineChars="0"/>
        <w:jc w:val="both"/>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无。</w:t>
      </w:r>
    </w:p>
    <w:p w14:paraId="0E88005C">
      <w:pPr>
        <w:pageBreakBefore w:val="0"/>
        <w:wordWrap/>
        <w:spacing w:before="160" w:after="0"/>
        <w:ind w:left="0" w:right="0"/>
        <w:jc w:val="right"/>
        <w:textAlignment w:val="auto"/>
        <w:rPr>
          <w:rFonts w:hint="eastAsia" w:ascii="宋体" w:hAnsi="宋体" w:eastAsia="宋体" w:cs="宋体"/>
          <w:b w:val="0"/>
          <w:i w:val="0"/>
          <w:strike w:val="0"/>
          <w:color w:val="auto"/>
          <w:kern w:val="2"/>
          <w:sz w:val="24"/>
          <w:szCs w:val="24"/>
          <w:u w:val="none"/>
          <w:lang w:val="en-US" w:eastAsia="zh-CN" w:bidi="ar-SA"/>
        </w:rPr>
      </w:pPr>
    </w:p>
    <w:p w14:paraId="0A46BC2B">
      <w:pPr>
        <w:pageBreakBefore w:val="0"/>
        <w:wordWrap/>
        <w:spacing w:before="160" w:after="0"/>
        <w:ind w:left="0" w:right="0"/>
        <w:jc w:val="right"/>
        <w:textAlignment w:val="auto"/>
        <w:rPr>
          <w:rFonts w:hint="eastAsia" w:ascii="宋体" w:hAnsi="宋体" w:eastAsia="宋体" w:cs="宋体"/>
          <w:b w:val="0"/>
          <w:i w:val="0"/>
          <w:strike w:val="0"/>
          <w:color w:val="auto"/>
          <w:sz w:val="24"/>
          <w:szCs w:val="36"/>
          <w:u w:val="none"/>
          <w:lang w:val="en-US" w:eastAsia="zh-CN"/>
        </w:rPr>
      </w:pPr>
      <w:r>
        <w:rPr>
          <w:rFonts w:hint="eastAsia" w:ascii="宋体" w:hAnsi="宋体" w:eastAsia="宋体" w:cs="宋体"/>
          <w:b w:val="0"/>
          <w:i w:val="0"/>
          <w:strike w:val="0"/>
          <w:color w:val="auto"/>
          <w:kern w:val="2"/>
          <w:sz w:val="24"/>
          <w:szCs w:val="24"/>
          <w:u w:val="none"/>
          <w:lang w:val="en-US" w:eastAsia="zh-CN" w:bidi="ar-SA"/>
        </w:rPr>
        <w:t>编制组2026年2月</w:t>
      </w:r>
    </w:p>
    <w:sectPr>
      <w:pgSz w:w="1190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
    <w:nsid w:val="BF205925"/>
    <w:multiLevelType w:val="multilevel"/>
    <w:tmpl w:val="BF205925"/>
    <w:lvl w:ilvl="0" w:tentative="0">
      <w:start w:val="4"/>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CF092B84"/>
    <w:multiLevelType w:val="multilevel"/>
    <w:tmpl w:val="CF092B84"/>
    <w:lvl w:ilvl="0" w:tentative="0">
      <w:start w:val="2"/>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4">
    <w:nsid w:val="59ADCABA"/>
    <w:multiLevelType w:val="multilevel"/>
    <w:tmpl w:val="59ADCABA"/>
    <w:lvl w:ilvl="0" w:tentative="0">
      <w:start w:val="3"/>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5">
    <w:nsid w:val="62C86562"/>
    <w:multiLevelType w:val="multilevel"/>
    <w:tmpl w:val="62C86562"/>
    <w:lvl w:ilvl="0" w:tentative="0">
      <w:start w:val="1"/>
      <w:numFmt w:val="decimal"/>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compat>
    <w:ulTrailSpace/>
    <w:useFELayout/>
    <w:compatSetting w:name="compatibilityMode" w:uri="http://schemas.microsoft.com/office/word" w:val="15"/>
  </w:compat>
  <w:rsids>
    <w:rsidRoot w:val="00000000"/>
    <w:rsid w:val="07035F04"/>
    <w:rsid w:val="0E7019A5"/>
    <w:rsid w:val="12C80001"/>
    <w:rsid w:val="1A17021F"/>
    <w:rsid w:val="225B1701"/>
    <w:rsid w:val="2601765A"/>
    <w:rsid w:val="2F396F71"/>
    <w:rsid w:val="30395C43"/>
    <w:rsid w:val="358A4672"/>
    <w:rsid w:val="423532F8"/>
    <w:rsid w:val="43CC730B"/>
    <w:rsid w:val="44AD7F9B"/>
    <w:rsid w:val="46C929D7"/>
    <w:rsid w:val="4807498C"/>
    <w:rsid w:val="4FAE1D52"/>
    <w:rsid w:val="57362D58"/>
    <w:rsid w:val="5E456113"/>
    <w:rsid w:val="63277815"/>
    <w:rsid w:val="63BC5CDE"/>
    <w:rsid w:val="652D1CE0"/>
    <w:rsid w:val="68EB3277"/>
    <w:rsid w:val="74861898"/>
    <w:rsid w:val="765B0477"/>
    <w:rsid w:val="76726D86"/>
    <w:rsid w:val="76C03F95"/>
    <w:rsid w:val="7BD83B2F"/>
    <w:rsid w:val="7F283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段"/>
    <w:autoRedefine/>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f8cc012b-b4db-48ad-a739-08d0b7647eb5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66E2ACC9</paraID>
      <start>49</start>
      <end>50</end>
      <status>ignored</status>
      <modifiedWord/>
      <trackRevisions>false</trackRevisions>
    </reviewItem>
    <reviewItem>
      <errorID>9771649b-e6f2-496e-8bc8-2c88573fb9ee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17D8D2D</paraID>
      <start>56</start>
      <end>57</end>
      <status>ignored</status>
      <modifiedWord/>
      <trackRevisions>false</trackRevisions>
    </reviewItem>
    <reviewItem>
      <errorID>9987219a-2eaf-469a-9e64-3b8e323f9a6d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2A32DAA0</paraID>
      <start>76</start>
      <end>77</end>
      <status>ignored</status>
      <modifiedWord/>
      <trackRevisions>false</trackRevisions>
    </reviewItem>
    <reviewItem>
      <errorID>cedd0ce0-619e-4014-8f9d-e5298cf57a26</errorID>
      <errorWord>烦琐</errorWord>
      <group>L1_Word</group>
      <groupName>字词问题</groupName>
      <ability>L2_Typo</ability>
      <abilityName>字词错误</abilityName>
      <candidateList>
        <item>繁琐</item>
      </candidateList>
      <explain>存在发音相同字词的误用。</explain>
      <paraID>5DF79F4E</paraID>
      <start>46</start>
      <end>48</end>
      <status>modified</status>
      <modifiedWord>繁琐</modifiedWord>
      <trackRevisions>false</trackRevisions>
    </reviewItem>
  </reviewItems>
  <config/>
</contractReview>
</file>

<file path=customXml/itemProps1.xml><?xml version="1.0" encoding="utf-8"?>
<ds:datastoreItem xmlns:ds="http://schemas.openxmlformats.org/officeDocument/2006/customXml" ds:itemID="{4be9c913-fa42-4cbe-9c19-12f124bb6e11}">
  <ds:schemaRefs/>
</ds:datastoreItem>
</file>

<file path=docProps/app.xml><?xml version="1.0" encoding="utf-8"?>
<Properties xmlns="http://schemas.openxmlformats.org/officeDocument/2006/extended-properties" xmlns:vt="http://schemas.openxmlformats.org/officeDocument/2006/docPropsVTypes">
  <Pages>8</Pages>
  <Words>4011</Words>
  <Characters>4264</Characters>
  <TotalTime>5</TotalTime>
  <ScaleCrop>false</ScaleCrop>
  <LinksUpToDate>false</LinksUpToDate>
  <CharactersWithSpaces>4350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2026-02-06T04:37:00Z</dcterms:created>
  <dc:creator>Apache POI</dc:creator>
  <cp:lastModifiedBy>ss</cp:lastModifiedBy>
  <dcterms:modified xsi:type="dcterms:W3CDTF">2026-03-18T14:47:05Z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mEUu7Wz/uN49XINggcdF8kwV8mx1su1cVTO35nDruHs=","ProduceID":"doc_sgs:f325a431-1c39-40b2-9614-b9c25421eb3e","ReservedCode2":"mEUu7Wz/uN49XINggcdF8kwV8mx1su1cVTO35nDruHs=","PropagateID":"doc_sgs:f325a431-1c39-40b2-9614-b9c25421eb3e","ContentProducer":"001191440101MA9Y9T4H7A00000"}</vt:lpwstr>
  </property>
  <property fmtid="{D5CDD505-2E9C-101B-9397-08002B2CF9AE}" pid="3" name="KSOTemplateDocerSaveRecord">
    <vt:lpwstr>eyJoZGlkIjoiYTczYjVlNjE5M2UyMmU3NGNlYmQyZTAzN2VjMDU2N2YiLCJ1c2VySWQiOiIxNTc2MjY4MzUwIn0=</vt:lpwstr>
  </property>
  <property fmtid="{D5CDD505-2E9C-101B-9397-08002B2CF9AE}" pid="4" name="KSOProductBuildVer">
    <vt:lpwstr>2052-12.1.0.25225</vt:lpwstr>
  </property>
  <property fmtid="{D5CDD505-2E9C-101B-9397-08002B2CF9AE}" pid="5" name="ICV">
    <vt:lpwstr>923ECAFF52974AA8AE907FC1B7363D3E_13</vt:lpwstr>
  </property>
</Properties>
</file>