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BBF29">
      <w:pPr>
        <w:pStyle w:val="74"/>
        <w:rPr>
          <w:rFonts w:eastAsia="宋体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567" w:right="851" w:bottom="1361" w:left="1418" w:header="624" w:footer="0" w:gutter="0"/>
          <w:pgNumType w:start="1"/>
          <w:cols w:space="720" w:num="1"/>
          <w:titlePg/>
          <w:docGrid w:type="lines" w:linePitch="312" w:charSpace="0"/>
        </w:sectPr>
      </w:pPr>
      <w:bookmarkStart w:id="0" w:name="SectionMark0"/>
      <w:r>
        <w:rPr>
          <w:rFonts w:eastAsia="宋体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400685</wp:posOffset>
            </wp:positionV>
            <wp:extent cx="1895475" cy="660400"/>
            <wp:effectExtent l="0" t="0" r="0" b="0"/>
            <wp:wrapNone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8824595</wp:posOffset>
                </wp:positionV>
                <wp:extent cx="6121400" cy="0"/>
                <wp:effectExtent l="0" t="0" r="0" b="0"/>
                <wp:wrapNone/>
                <wp:docPr id="8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0.5pt;margin-top:694.85pt;height:0pt;width:482pt;z-index:251666432;mso-width-relative:page;mso-height-relative:page;" filled="f" stroked="t" coordsize="21600,21600" o:gfxdata="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452fB2AAAAAwBAAAP&#10;AAAAAAAAAAEAIAAAACIAAABkcnMvZG93bnJldi54bWxQSwECFAAUAAAACACHTuJA7g+7IN8BAADR&#10;AwAADgAAAAAAAAABACAAAAAn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2738120</wp:posOffset>
                </wp:positionV>
                <wp:extent cx="6121400" cy="0"/>
                <wp:effectExtent l="0" t="0" r="0" b="0"/>
                <wp:wrapNone/>
                <wp:docPr id="7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>
                              <a:alpha val="85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5.45pt;margin-top:215.6pt;height:0pt;width:482pt;z-index:251674624;mso-width-relative:page;mso-height-relative:page;" filled="f" stroked="t" coordsize="21600,21600" o:gfxdata="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tO&#10;ptrWAAAACwEAAA8AAAAAAAAAAQAgAAAAIgAAAGRycy9kb3ducmV2LnhtbFBLAQIUABQAAAAIAIdO&#10;4kDADI/U7AEAAPEDAAAOAAAAAAAAAAEAIAAAACUBAABkcnMvZTJvRG9jLnhtbFBLBQYAAAAABgAG&#10;AFkBAACDBQAAAAA=&#10;">
                <v:fill on="f" focussize="0,0"/>
                <v:stroke color="#000000" opacity="55705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>
                <wp:simplePos x="0" y="0"/>
                <wp:positionH relativeFrom="margin">
                  <wp:posOffset>6350</wp:posOffset>
                </wp:positionH>
                <wp:positionV relativeFrom="margin">
                  <wp:posOffset>2383155</wp:posOffset>
                </wp:positionV>
                <wp:extent cx="6172200" cy="619125"/>
                <wp:effectExtent l="0" t="0" r="0" b="9525"/>
                <wp:wrapNone/>
                <wp:docPr id="2" name="fm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D25C81">
                            <w:pPr>
                              <w:pStyle w:val="86"/>
                              <w:spacing w:before="0"/>
                              <w:jc w:val="both"/>
                              <w:rPr>
                                <w:rFonts w:hint="default" w:ascii="黑体" w:hAnsi="黑体" w:eastAsia="黑体"/>
                                <w:color w:val="000000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黑体" w:hAnsi="黑体" w:eastAsia="黑体"/>
                                <w:bCs/>
                                <w:color w:val="000000"/>
                                <w:szCs w:val="28"/>
                              </w:rPr>
                              <w:t>J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</w:rPr>
                              <w:t>JF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  <w:lang w:val="en-US" w:eastAsia="zh-CN"/>
                              </w:rPr>
                              <w:t>Z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</w:rPr>
                              <w:t>（有色金属）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  <w:lang w:val="en-US" w:eastAsia="zh-CN"/>
                              </w:rPr>
                              <w:t>002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  <w:lang w:val="en-US" w:eastAsia="zh-CN"/>
                              </w:rPr>
                              <w:t>2025</w:t>
                            </w:r>
                          </w:p>
                          <w:p w14:paraId="1F5EBCA2">
                            <w:pPr>
                              <w:pStyle w:val="86"/>
                              <w:jc w:val="both"/>
                              <w:rPr>
                                <w:rFonts w:ascii="黑体" w:eastAsia="黑体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3" o:spid="_x0000_s1026" o:spt="202" type="#_x0000_t202" style="position:absolute;left:0pt;margin-left:0.5pt;margin-top:187.65pt;height:48.75pt;width:486pt;mso-position-horizontal-relative:margin;mso-position-vertical-relative:margin;z-index:251673600;mso-width-relative:page;mso-height-relative:page;" fillcolor="#FFFFFF" filled="t" stroked="f" coordsize="21600,21600" o:gfxdata="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W5WnLYAAAACQEAAA8AAAAAAAAAAQAgAAAAIgAAAGRycy9kb3du&#10;cmV2LnhtbFBLAQIUABQAAAAIAIdO4kA4bDnuxgEAAKY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1D25C81">
                      <w:pPr>
                        <w:pStyle w:val="86"/>
                        <w:spacing w:before="0"/>
                        <w:jc w:val="both"/>
                        <w:rPr>
                          <w:rFonts w:hint="default" w:ascii="黑体" w:hAnsi="黑体" w:eastAsia="黑体"/>
                          <w:color w:val="000000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ascii="黑体" w:hAnsi="黑体" w:eastAsia="黑体"/>
                          <w:bCs/>
                          <w:color w:val="000000"/>
                          <w:szCs w:val="28"/>
                        </w:rPr>
                        <w:t>J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</w:rPr>
                        <w:t>JF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  <w:lang w:val="en-US" w:eastAsia="zh-CN"/>
                        </w:rPr>
                        <w:t>Z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</w:rPr>
                        <w:t>（有色金属）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  <w:lang w:val="en-US" w:eastAsia="zh-CN"/>
                        </w:rPr>
                        <w:t>002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</w:rPr>
                        <w:t>—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  <w:lang w:val="en-US" w:eastAsia="zh-CN"/>
                        </w:rPr>
                        <w:t>2025</w:t>
                      </w:r>
                    </w:p>
                    <w:p w14:paraId="1F5EBCA2">
                      <w:pPr>
                        <w:pStyle w:val="86"/>
                        <w:jc w:val="both"/>
                        <w:rPr>
                          <w:rFonts w:ascii="黑体" w:eastAsia="黑体"/>
                          <w:b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margin">
                  <wp:posOffset>-102870</wp:posOffset>
                </wp:positionH>
                <wp:positionV relativeFrom="margin">
                  <wp:posOffset>1192530</wp:posOffset>
                </wp:positionV>
                <wp:extent cx="6217920" cy="1119505"/>
                <wp:effectExtent l="0" t="0" r="11430" b="4445"/>
                <wp:wrapNone/>
                <wp:docPr id="1" name="fm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33EA46">
                            <w:pPr>
                              <w:pStyle w:val="77"/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pacing w:val="23"/>
                                <w:w w:val="120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pacing w:val="23"/>
                                <w:w w:val="120"/>
                                <w:szCs w:val="52"/>
                              </w:rPr>
                              <w:t>中华人民共和国工业和信息化部</w:t>
                            </w:r>
                          </w:p>
                          <w:p w14:paraId="32BAB851">
                            <w:pPr>
                              <w:pStyle w:val="77"/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snapToGrid w:val="0"/>
                                <w:spacing w:val="26"/>
                                <w:kern w:val="36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pacing w:val="23"/>
                                <w:w w:val="120"/>
                                <w:szCs w:val="52"/>
                              </w:rPr>
                              <w:t>有色金属计量技术规范</w:t>
                            </w:r>
                          </w:p>
                          <w:p w14:paraId="5A27D6F9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2" o:spid="_x0000_s1026" o:spt="202" type="#_x0000_t202" style="position:absolute;left:0pt;margin-left:-8.1pt;margin-top:93.9pt;height:88.15pt;width:489.6pt;mso-position-horizontal-relative:margin;mso-position-vertical-relative:margin;z-index:251672576;mso-width-relative:page;mso-height-relative:page;" fillcolor="#FFFFFF" filled="t" stroked="f" coordsize="21600,21600" o:gfxdata="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o/5OdkAAAALAQAADwAAAAAAAAABACAAAAAiAAAAZHJzL2Rv&#10;d25yZXYueG1sUEsBAhQAFAAAAAgAh07iQMgl/2DHAQAApw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033EA46">
                      <w:pPr>
                        <w:pStyle w:val="77"/>
                        <w:rPr>
                          <w:rFonts w:hint="eastAsia" w:ascii="方正小标宋_GBK" w:hAnsi="方正小标宋_GBK" w:eastAsia="方正小标宋_GBK" w:cs="方正小标宋_GBK"/>
                          <w:bCs/>
                          <w:spacing w:val="23"/>
                          <w:w w:val="120"/>
                          <w:szCs w:val="52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pacing w:val="23"/>
                          <w:w w:val="120"/>
                          <w:szCs w:val="52"/>
                        </w:rPr>
                        <w:t>中华人民共和国工业和信息化部</w:t>
                      </w:r>
                    </w:p>
                    <w:p w14:paraId="32BAB851">
                      <w:pPr>
                        <w:pStyle w:val="77"/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snapToGrid w:val="0"/>
                          <w:spacing w:val="26"/>
                          <w:kern w:val="36"/>
                          <w:szCs w:val="52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pacing w:val="23"/>
                          <w:w w:val="120"/>
                          <w:szCs w:val="52"/>
                        </w:rPr>
                        <w:t>有色金属计量技术规范</w:t>
                      </w:r>
                    </w:p>
                    <w:p w14:paraId="5A27D6F9"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6350</wp:posOffset>
                </wp:positionH>
                <wp:positionV relativeFrom="margin">
                  <wp:posOffset>9026525</wp:posOffset>
                </wp:positionV>
                <wp:extent cx="6120130" cy="363220"/>
                <wp:effectExtent l="0" t="0" r="0" b="0"/>
                <wp:wrapNone/>
                <wp:docPr id="6" name="fm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893EEB">
                            <w:pPr>
                              <w:pStyle w:val="69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zCs w:val="36"/>
                              </w:rPr>
                              <w:t>中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zCs w:val="36"/>
                                <w:lang w:val="en-US" w:eastAsia="zh-CN"/>
                              </w:rPr>
                              <w:t>华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zCs w:val="36"/>
                              </w:rPr>
                              <w:t>人民共和国工业和信息化部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黑体" w:cs="黑体"/>
                                <w:bCs/>
                                <w:spacing w:val="60"/>
                                <w:sz w:val="28"/>
                                <w:szCs w:val="28"/>
                              </w:rPr>
                              <w:t>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7" o:spid="_x0000_s1026" o:spt="202" type="#_x0000_t202" style="position:absolute;left:0pt;margin-left:0.5pt;margin-top:710.75pt;height:28.6pt;width:481.9pt;mso-position-horizontal-relative:margin;mso-position-vertical-relative:margin;z-index:251664384;mso-width-relative:page;mso-height-relative:page;" fillcolor="#FFFFFF" filled="t" stroked="f" coordsize="21600,21600" o:gfxdata="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G5jtkAAAALAQAADwAAAAAAAAABACAAAAAiAAAAZHJzL2Rv&#10;d25yZXYueG1sUEsBAhQAFAAAAAgAh07iQDipxFzHAQAApg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8893EEB">
                      <w:pPr>
                        <w:pStyle w:val="69"/>
                        <w:rPr>
                          <w:b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zCs w:val="36"/>
                        </w:rPr>
                        <w:t>中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zCs w:val="36"/>
                          <w:lang w:val="en-US" w:eastAsia="zh-CN"/>
                        </w:rPr>
                        <w:t>华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zCs w:val="36"/>
                        </w:rPr>
                        <w:t>人民共和国工业和信息化部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hAnsi="黑体" w:cs="黑体"/>
                          <w:bCs/>
                          <w:spacing w:val="60"/>
                          <w:sz w:val="28"/>
                          <w:szCs w:val="28"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3823970</wp:posOffset>
                </wp:positionH>
                <wp:positionV relativeFrom="margin">
                  <wp:posOffset>8455025</wp:posOffset>
                </wp:positionV>
                <wp:extent cx="2019300" cy="312420"/>
                <wp:effectExtent l="0" t="0" r="0" b="0"/>
                <wp:wrapNone/>
                <wp:docPr id="5" name="fm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C03C69">
                            <w:pPr>
                              <w:pStyle w:val="91"/>
                              <w:rPr>
                                <w:rFonts w:hint="eastAsia" w:ascii="黑体" w:hAnsi="宋体"/>
                                <w:bCs/>
                              </w:rPr>
                            </w:pPr>
                            <w:r>
                              <w:rPr>
                                <w:rFonts w:hint="eastAsia" w:ascii="黑体"/>
                                <w:bCs/>
                              </w:rPr>
                              <w:t>202X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-XX实施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6" o:spid="_x0000_s1026" o:spt="202" type="#_x0000_t202" style="position:absolute;left:0pt;margin-left:301.1pt;margin-top:665.75pt;height:24.6pt;width:159pt;mso-position-horizontal-relative:margin;mso-position-vertical-relative:margin;z-index:251663360;mso-width-relative:page;mso-height-relative:page;" fillcolor="#FFFFFF" filled="t" stroked="f" coordsize="21600,21600" o:gfxdata="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ABWE32QAAAA0BAAAPAAAAAAAAAAEAIAAAACIAAABkcnMv&#10;ZG93bnJldi54bWxQSwECFAAUAAAACACHTuJApkpDxskBAACmAwAADgAAAAAAAAABACAAAAAo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AC03C69">
                      <w:pPr>
                        <w:pStyle w:val="91"/>
                        <w:rPr>
                          <w:rFonts w:hint="eastAsia" w:ascii="黑体" w:hAnsi="宋体"/>
                          <w:bCs/>
                        </w:rPr>
                      </w:pPr>
                      <w:r>
                        <w:rPr>
                          <w:rFonts w:hint="eastAsia" w:ascii="黑体"/>
                          <w:bCs/>
                        </w:rPr>
                        <w:t>202X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-XX实施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227330</wp:posOffset>
                </wp:positionH>
                <wp:positionV relativeFrom="margin">
                  <wp:posOffset>8470265</wp:posOffset>
                </wp:positionV>
                <wp:extent cx="2019300" cy="312420"/>
                <wp:effectExtent l="0" t="0" r="0" b="0"/>
                <wp:wrapNone/>
                <wp:docPr id="4" name="fm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E72706">
                            <w:pPr>
                              <w:pStyle w:val="90"/>
                              <w:rPr>
                                <w:rFonts w:hint="eastAsia" w:ascii="黑体" w:hAnsi="宋体"/>
                                <w:bCs/>
                              </w:rPr>
                            </w:pPr>
                            <w:r>
                              <w:rPr>
                                <w:rFonts w:hint="eastAsia" w:ascii="黑体"/>
                                <w:bCs/>
                              </w:rPr>
                              <w:t>202X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5" o:spid="_x0000_s1026" o:spt="202" type="#_x0000_t202" style="position:absolute;left:0pt;margin-left:17.9pt;margin-top:666.95pt;height:24.6pt;width:159pt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VkHnF2QAAAAwBAAAPAAAAAAAAAAEAIAAAACIAAABkcnMv&#10;ZG93bnJldi54bWxQSwECFAAUAAAACACHTuJAKxW4TMkBAACmAwAADgAAAAAAAAABACAAAAAo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3E72706">
                      <w:pPr>
                        <w:pStyle w:val="90"/>
                        <w:rPr>
                          <w:rFonts w:hint="eastAsia" w:ascii="黑体" w:hAnsi="宋体"/>
                          <w:bCs/>
                        </w:rPr>
                      </w:pPr>
                      <w:r>
                        <w:rPr>
                          <w:rFonts w:hint="eastAsia" w:ascii="黑体"/>
                          <w:bCs/>
                        </w:rPr>
                        <w:t>202X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3767455</wp:posOffset>
                </wp:positionV>
                <wp:extent cx="5969000" cy="4377690"/>
                <wp:effectExtent l="0" t="0" r="0" b="0"/>
                <wp:wrapNone/>
                <wp:docPr id="3" name="fm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437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5BD342">
                            <w:pPr>
                              <w:pStyle w:val="73"/>
                              <w:rPr>
                                <w:szCs w:val="52"/>
                              </w:rPr>
                            </w:pPr>
                            <w:bookmarkStart w:id="298" w:name="OLE_LINK1"/>
                            <w:r>
                              <w:rPr>
                                <w:rFonts w:hint="eastAsia"/>
                                <w:szCs w:val="52"/>
                              </w:rPr>
                              <w:t>液体流量计在线校准规范</w:t>
                            </w:r>
                            <w:bookmarkEnd w:id="298"/>
                          </w:p>
                          <w:p w14:paraId="78F43B32">
                            <w:pPr>
                              <w:pStyle w:val="73"/>
                              <w:spacing w:line="220" w:lineRule="exact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63291F2">
                            <w:pPr>
                              <w:pStyle w:val="86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</w:pPr>
                            <w:bookmarkStart w:id="299" w:name="_Toc32585"/>
                            <w:bookmarkStart w:id="300" w:name="_Toc15844"/>
                            <w:bookmarkStart w:id="301" w:name="_Toc1542"/>
                            <w:bookmarkStart w:id="302" w:name="OLE_LINK2"/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  <w:t>Online Calibration Specification for</w:t>
                            </w:r>
                            <w:bookmarkEnd w:id="299"/>
                            <w:bookmarkEnd w:id="300"/>
                            <w:bookmarkEnd w:id="301"/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  <w:t xml:space="preserve"> Liquid Flowmeter</w:t>
                            </w:r>
                          </w:p>
                          <w:bookmarkEnd w:id="302"/>
                          <w:p w14:paraId="2A186B3F">
                            <w:pPr>
                              <w:pStyle w:val="95"/>
                              <w:spacing w:line="220" w:lineRule="exact"/>
                              <w:rPr>
                                <w:rFonts w:hint="eastAsia" w:ascii="黑体" w:hAnsi="黑体" w:eastAsia="黑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 w:ascii="黑体" w:hAnsi="黑体" w:eastAsia="黑体" w:cs="宋体"/>
                                <w:sz w:val="28"/>
                                <w:szCs w:val="28"/>
                                <w:lang w:val="en-US" w:eastAsia="zh-CN"/>
                              </w:rPr>
                              <w:t>预审稿</w:t>
                            </w:r>
                            <w:r>
                              <w:rPr>
                                <w:rFonts w:hint="eastAsia" w:ascii="黑体" w:hAnsi="黑体" w:eastAsia="黑体" w:cs="宋体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233B4695">
                            <w:pPr>
                              <w:pStyle w:val="95"/>
                              <w:rPr>
                                <w:rFonts w:ascii="黑体" w:eastAsia="黑体"/>
                                <w:sz w:val="3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4" o:spid="_x0000_s1026" o:spt="202" type="#_x0000_t202" style="position:absolute;left:0pt;margin-left:0pt;margin-top:296.65pt;height:344.7pt;width:470pt;mso-position-horizontal-relative:margin;mso-position-vertical-relative:margin;z-index:251661312;mso-width-relative:page;mso-height-relative:page;" fillcolor="#FFFFFF" filled="t" stroked="f" coordsize="21600,21600" o:gfxdata="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JKZIvYAAAACQEAAA8AAAAAAAAAAQAgAAAAIgAAAGRycy9kb3du&#10;cmV2LnhtbFBLAQIUABQAAAAIAIdO4kBrnGgnxgEAAKc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05BD342">
                      <w:pPr>
                        <w:pStyle w:val="73"/>
                        <w:rPr>
                          <w:szCs w:val="52"/>
                        </w:rPr>
                      </w:pPr>
                      <w:bookmarkStart w:id="298" w:name="OLE_LINK1"/>
                      <w:r>
                        <w:rPr>
                          <w:rFonts w:hint="eastAsia"/>
                          <w:szCs w:val="52"/>
                        </w:rPr>
                        <w:t>液体流量计在线校准规范</w:t>
                      </w:r>
                      <w:bookmarkEnd w:id="298"/>
                    </w:p>
                    <w:p w14:paraId="78F43B32">
                      <w:pPr>
                        <w:pStyle w:val="73"/>
                        <w:spacing w:line="220" w:lineRule="exact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 w14:paraId="263291F2">
                      <w:pPr>
                        <w:pStyle w:val="86"/>
                        <w:jc w:val="center"/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</w:pPr>
                      <w:bookmarkStart w:id="299" w:name="_Toc32585"/>
                      <w:bookmarkStart w:id="300" w:name="_Toc15844"/>
                      <w:bookmarkStart w:id="301" w:name="_Toc1542"/>
                      <w:bookmarkStart w:id="302" w:name="OLE_LINK2"/>
                      <w:r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  <w:t>Online Calibration Specification for</w:t>
                      </w:r>
                      <w:bookmarkEnd w:id="299"/>
                      <w:bookmarkEnd w:id="300"/>
                      <w:bookmarkEnd w:id="301"/>
                      <w:r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  <w:t xml:space="preserve"> Liquid Flowmeter</w:t>
                      </w:r>
                    </w:p>
                    <w:bookmarkEnd w:id="302"/>
                    <w:p w14:paraId="2A186B3F">
                      <w:pPr>
                        <w:pStyle w:val="95"/>
                        <w:spacing w:line="220" w:lineRule="exact"/>
                        <w:rPr>
                          <w:rFonts w:hint="eastAsia" w:ascii="黑体" w:hAnsi="黑体" w:eastAsia="黑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 w:ascii="黑体" w:hAnsi="黑体" w:eastAsia="黑体" w:cs="宋体"/>
                          <w:sz w:val="28"/>
                          <w:szCs w:val="28"/>
                          <w:lang w:val="en-US" w:eastAsia="zh-CN"/>
                        </w:rPr>
                        <w:t>预审稿</w:t>
                      </w:r>
                      <w:r>
                        <w:rPr>
                          <w:rFonts w:hint="eastAsia" w:ascii="黑体" w:hAnsi="黑体" w:eastAsia="黑体" w:cs="宋体"/>
                          <w:sz w:val="28"/>
                          <w:szCs w:val="28"/>
                        </w:rPr>
                        <w:t>）</w:t>
                      </w:r>
                    </w:p>
                    <w:p w14:paraId="233B4695">
                      <w:pPr>
                        <w:pStyle w:val="95"/>
                        <w:rPr>
                          <w:rFonts w:ascii="黑体" w:eastAsia="黑体"/>
                          <w:sz w:val="3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 w14:paraId="2FB1D397">
      <w:pPr>
        <w:rPr>
          <w:rFonts w:eastAsia="宋体"/>
        </w:rPr>
      </w:pPr>
      <w:bookmarkStart w:id="1" w:name="_Toc193861442"/>
      <w:bookmarkStart w:id="2" w:name="_Toc193601673"/>
      <w:bookmarkStart w:id="3" w:name="_Toc193860026"/>
      <w:bookmarkStart w:id="4" w:name="_Toc193619091"/>
      <w:bookmarkStart w:id="5" w:name="_Toc193619049"/>
      <w:bookmarkStart w:id="6" w:name="_Toc193860207"/>
      <w:bookmarkStart w:id="7" w:name="_Toc193860176"/>
      <w:bookmarkStart w:id="8" w:name="_Toc193601894"/>
      <w:bookmarkStart w:id="9" w:name="_Toc193618946"/>
      <w:bookmarkStart w:id="10" w:name="_Toc193603073"/>
      <w:bookmarkStart w:id="11" w:name="_Toc193555883"/>
      <w:bookmarkStart w:id="12" w:name="_Toc193552963"/>
      <w:bookmarkStart w:id="13" w:name="_Toc193547508"/>
      <w:bookmarkStart w:id="14" w:name="_Toc193551753"/>
      <w:r>
        <w:rPr>
          <w:rFonts w:eastAsia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119380</wp:posOffset>
                </wp:positionV>
                <wp:extent cx="4048125" cy="1855470"/>
                <wp:effectExtent l="4445" t="4445" r="5080" b="6985"/>
                <wp:wrapNone/>
                <wp:docPr id="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4F20C3">
                            <w:pPr>
                              <w:pStyle w:val="72"/>
                              <w:spacing w:before="0" w:line="360" w:lineRule="exact"/>
                              <w:rPr>
                                <w:rFonts w:ascii="Franklin Gothic Medium" w:hAnsi="Franklin Gothic Medium" w:eastAsia="黑体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</w:pPr>
                          </w:p>
                          <w:p w14:paraId="36751189">
                            <w:pPr>
                              <w:pStyle w:val="72"/>
                              <w:spacing w:before="0" w:line="360" w:lineRule="auto"/>
                              <w:rPr>
                                <w:rFonts w:ascii="Franklin Gothic Medium" w:hAnsi="Franklin Gothic Medium" w:eastAsia="黑体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Franklin Gothic Medium" w:hAnsi="Franklin Gothic Medium" w:eastAsia="黑体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  <w:t>液体流量计在线校准规范</w:t>
                            </w:r>
                          </w:p>
                          <w:p w14:paraId="0790CBF7">
                            <w:pPr>
                              <w:pStyle w:val="86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  <w:t>Online Calibration Specification</w:t>
                            </w:r>
                          </w:p>
                          <w:p w14:paraId="0D2D074B">
                            <w:pPr>
                              <w:pStyle w:val="86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  <w:t>for Liquid Flowmeter</w:t>
                            </w:r>
                          </w:p>
                          <w:p w14:paraId="77AC9D57">
                            <w:pPr>
                              <w:pStyle w:val="86"/>
                              <w:spacing w:line="360" w:lineRule="auto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</w:pPr>
                          </w:p>
                          <w:p w14:paraId="4D20BF07">
                            <w:pPr>
                              <w:spacing w:line="360" w:lineRule="auto"/>
                              <w:rPr>
                                <w:rFonts w:ascii="黑体" w:eastAsia="黑体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91440" tIns="82800" rIns="91440" bIns="82800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-37.9pt;margin-top:9.4pt;height:146.1pt;width:318.75pt;z-index:251667456;mso-width-relative:page;mso-height-relative:page;" fillcolor="#FFFFFF" filled="t" stroked="t" coordsize="21600,21600" o:gfxdata="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iNmz82wAAAAoBAAAPAAAAAAAAAAEAIAAAACIAAABkcnMvZG93bnJldi54bWxQ&#10;SwECFAAUAAAACACHTuJAnjMrfC0CAAB6BAAADgAAAAAAAAABACAAAAAqAQAAZHJzL2Uyb0RvYy54&#10;bWxQSwUGAAAAAAYABgBZAQAAyQUAAAAA&#10;">
                <v:fill on="t" focussize="0,0"/>
                <v:stroke weight="0.25pt" color="#FFFFFF" joinstyle="miter" dashstyle="1 1" endcap="round"/>
                <v:imagedata o:title=""/>
                <o:lock v:ext="edit" aspectratio="f"/>
                <v:textbox inset="2.54mm,2.3mm,2.54mm,2.3mm">
                  <w:txbxContent>
                    <w:p w14:paraId="384F20C3">
                      <w:pPr>
                        <w:pStyle w:val="72"/>
                        <w:spacing w:before="0" w:line="360" w:lineRule="exact"/>
                        <w:rPr>
                          <w:rFonts w:ascii="Franklin Gothic Medium" w:hAnsi="Franklin Gothic Medium" w:eastAsia="黑体"/>
                          <w:color w:val="000000"/>
                          <w:kern w:val="36"/>
                          <w:sz w:val="44"/>
                          <w:szCs w:val="44"/>
                        </w:rPr>
                      </w:pPr>
                    </w:p>
                    <w:p w14:paraId="36751189">
                      <w:pPr>
                        <w:pStyle w:val="72"/>
                        <w:spacing w:before="0" w:line="360" w:lineRule="auto"/>
                        <w:rPr>
                          <w:rFonts w:ascii="Franklin Gothic Medium" w:hAnsi="Franklin Gothic Medium" w:eastAsia="黑体"/>
                          <w:color w:val="000000"/>
                          <w:kern w:val="36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Franklin Gothic Medium" w:hAnsi="Franklin Gothic Medium" w:eastAsia="黑体"/>
                          <w:color w:val="000000"/>
                          <w:kern w:val="36"/>
                          <w:sz w:val="44"/>
                          <w:szCs w:val="44"/>
                        </w:rPr>
                        <w:t>液体流量计在线校准规范</w:t>
                      </w:r>
                    </w:p>
                    <w:p w14:paraId="0790CBF7">
                      <w:pPr>
                        <w:pStyle w:val="86"/>
                        <w:jc w:val="center"/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  <w:t>Online Calibration Specification</w:t>
                      </w:r>
                    </w:p>
                    <w:p w14:paraId="0D2D074B">
                      <w:pPr>
                        <w:pStyle w:val="86"/>
                        <w:jc w:val="center"/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  <w:t>for Liquid Flowmeter</w:t>
                      </w:r>
                    </w:p>
                    <w:p w14:paraId="77AC9D57">
                      <w:pPr>
                        <w:pStyle w:val="86"/>
                        <w:spacing w:line="360" w:lineRule="auto"/>
                        <w:jc w:val="center"/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</w:pPr>
                    </w:p>
                    <w:p w14:paraId="4D20BF07">
                      <w:pPr>
                        <w:spacing w:line="360" w:lineRule="auto"/>
                        <w:rPr>
                          <w:rFonts w:ascii="黑体" w:eastAsia="黑体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0AD3B582">
      <w:pPr>
        <w:pStyle w:val="82"/>
        <w:spacing w:before="100" w:beforeAutospacing="1" w:line="240" w:lineRule="auto"/>
        <w:ind w:firstLine="640" w:firstLineChars="200"/>
        <w:jc w:val="both"/>
        <w:outlineLvl w:val="9"/>
        <w:rPr>
          <w:rFonts w:ascii="Times New Roman" w:eastAsia="宋体"/>
          <w:sz w:val="84"/>
          <w:szCs w:val="84"/>
        </w:rPr>
      </w:pPr>
      <w:r>
        <w:rPr>
          <w:rFonts w:ascii="Times New Roman" w:eastAsia="宋体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462280</wp:posOffset>
                </wp:positionV>
                <wp:extent cx="2011680" cy="558165"/>
                <wp:effectExtent l="0" t="0" r="0" b="0"/>
                <wp:wrapNone/>
                <wp:docPr id="12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956CBD"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hint="eastAsia" w:ascii="黑体" w:hAnsi="黑体" w:eastAsia="黑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color w:val="000000"/>
                                <w:sz w:val="28"/>
                                <w:szCs w:val="28"/>
                              </w:rPr>
                              <w:t>J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8"/>
                                <w:szCs w:val="28"/>
                              </w:rPr>
                              <w:t>JF（有色金属）XXX-XXXX</w:t>
                            </w:r>
                          </w:p>
                        </w:txbxContent>
                      </wps:txbx>
                      <wps:bodyPr wrap="square" lIns="54000" tIns="45720" rIns="5400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304.2pt;margin-top:36.4pt;height:43.95pt;width:158.4pt;z-index:251670528;mso-width-relative:page;mso-height-relative:page;" fillcolor="#FFFFFF" filled="t" stroked="t" coordsize="21600,21600" o:gfxdata="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KgMZzYAAAACgEAAA8AAAAAAAAAAQAgAAAAIgAAAGRycy9kb3ducmV2LnhtbFBLAQIUABQAAAAI&#10;AIdO4kAZnXG7JgIAAHsEAAAOAAAAAAAAAAEAIAAAACcBAABkcnMvZTJvRG9jLnhtbFBLBQYAAAAA&#10;BgAGAFkBAAC/BQAAAAA=&#10;">
                <v:fill on="t" focussize="0,0"/>
                <v:stroke weight="1pt" color="#FFFFFF" joinstyle="miter"/>
                <v:imagedata o:title=""/>
                <o:lock v:ext="edit" aspectratio="f"/>
                <v:textbox inset="1.5mm,1.27mm,1.5mm,1.27mm">
                  <w:txbxContent>
                    <w:p w14:paraId="22956CBD">
                      <w:pPr>
                        <w:spacing w:line="320" w:lineRule="exact"/>
                        <w:jc w:val="center"/>
                        <w:textAlignment w:val="center"/>
                        <w:rPr>
                          <w:rFonts w:hint="eastAsia" w:ascii="黑体" w:hAnsi="黑体" w:eastAsia="黑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黑体" w:hAnsi="黑体" w:eastAsia="黑体"/>
                          <w:color w:val="000000"/>
                          <w:sz w:val="28"/>
                          <w:szCs w:val="28"/>
                        </w:rPr>
                        <w:t>J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sz w:val="28"/>
                          <w:szCs w:val="28"/>
                        </w:rPr>
                        <w:t>JF（有色金属）XXX-XXXX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3717290</wp:posOffset>
            </wp:positionH>
            <wp:positionV relativeFrom="paragraph">
              <wp:posOffset>342265</wp:posOffset>
            </wp:positionV>
            <wp:extent cx="2236470" cy="836295"/>
            <wp:effectExtent l="0" t="0" r="0" b="0"/>
            <wp:wrapSquare wrapText="bothSides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/>
        </w:rPr>
        <w:t xml:space="preserve">                                   </w:t>
      </w:r>
    </w:p>
    <w:bookmarkEnd w:id="12"/>
    <w:bookmarkEnd w:id="13"/>
    <w:bookmarkEnd w:id="14"/>
    <w:p w14:paraId="66A73DFF">
      <w:pPr>
        <w:pStyle w:val="95"/>
        <w:spacing w:line="240" w:lineRule="auto"/>
        <w:jc w:val="both"/>
        <w:rPr>
          <w:rFonts w:ascii="Times New Roman" w:eastAsia="宋体"/>
          <w:sz w:val="28"/>
          <w:szCs w:val="28"/>
        </w:rPr>
      </w:pPr>
      <w:bookmarkStart w:id="15" w:name="_Toc193555885"/>
      <w:bookmarkStart w:id="16" w:name="_Toc193601896"/>
      <w:bookmarkStart w:id="17" w:name="_Toc193603075"/>
      <w:bookmarkStart w:id="18" w:name="_Toc193601675"/>
    </w:p>
    <w:p w14:paraId="750A295C">
      <w:pPr>
        <w:pStyle w:val="95"/>
        <w:spacing w:line="240" w:lineRule="auto"/>
        <w:jc w:val="both"/>
        <w:rPr>
          <w:rFonts w:ascii="Times New Roman" w:eastAsia="宋体"/>
          <w:sz w:val="28"/>
          <w:szCs w:val="28"/>
        </w:rPr>
      </w:pPr>
      <w:r>
        <w:rPr>
          <w:rFonts w:ascii="Times New Roman" w:eastAsia="宋体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943600" cy="0"/>
                <wp:effectExtent l="0" t="0" r="0" b="0"/>
                <wp:wrapNone/>
                <wp:docPr id="10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0pt;margin-top:5.45pt;height:0pt;width:468pt;z-index:251668480;mso-width-relative:page;mso-height-relative:page;" filled="f" stroked="t" coordsize="21600,21600" o:gfxdata="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gOECj0wAAAAYBAAAPAAAA&#10;AAAAAAEAIAAAACIAAABkcnMvZG93bnJldi54bWxQSwECFAAUAAAACACHTuJAhyC4teEBAADRAwAA&#10;DgAAAAAAAAABACAAAAAi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15"/>
      <w:bookmarkEnd w:id="16"/>
      <w:bookmarkEnd w:id="17"/>
      <w:bookmarkEnd w:id="18"/>
    </w:p>
    <w:p w14:paraId="6D37C0FA">
      <w:pPr>
        <w:pStyle w:val="95"/>
        <w:spacing w:line="240" w:lineRule="auto"/>
        <w:jc w:val="both"/>
        <w:rPr>
          <w:rFonts w:ascii="Times New Roman" w:eastAsia="宋体"/>
          <w:sz w:val="28"/>
          <w:szCs w:val="28"/>
        </w:rPr>
      </w:pPr>
    </w:p>
    <w:p w14:paraId="04BC3486">
      <w:pPr>
        <w:pStyle w:val="43"/>
      </w:pPr>
    </w:p>
    <w:p w14:paraId="6B6425B5">
      <w:pPr>
        <w:pStyle w:val="43"/>
      </w:pPr>
    </w:p>
    <w:p w14:paraId="40DFDDAA">
      <w:pPr>
        <w:pStyle w:val="73"/>
        <w:framePr w:w="8080" w:h="6806" w:hRule="exact" w:wrap="around" w:vAnchor="page" w:hAnchor="page" w:x="2115" w:y="7035"/>
        <w:adjustRightInd w:val="0"/>
        <w:snapToGrid w:val="0"/>
        <w:spacing w:line="520" w:lineRule="exact"/>
        <w:jc w:val="both"/>
        <w:rPr>
          <w:rFonts w:ascii="Times New Roman"/>
          <w:sz w:val="28"/>
          <w:szCs w:val="28"/>
        </w:rPr>
      </w:pPr>
      <w:r>
        <w:rPr>
          <w:rFonts w:ascii="Times New Roman"/>
          <w:spacing w:val="11"/>
          <w:sz w:val="28"/>
          <w:szCs w:val="28"/>
        </w:rPr>
        <w:t xml:space="preserve">归 口 单 </w:t>
      </w:r>
      <w:r>
        <w:rPr>
          <w:rFonts w:ascii="Times New Roman"/>
          <w:spacing w:val="4"/>
          <w:sz w:val="28"/>
          <w:szCs w:val="28"/>
        </w:rPr>
        <w:t>位</w:t>
      </w:r>
      <w:r>
        <w:rPr>
          <w:rFonts w:ascii="Times New Roman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中国有色金属工业协会</w:t>
      </w:r>
    </w:p>
    <w:p w14:paraId="2D81154F">
      <w:pPr>
        <w:pStyle w:val="73"/>
        <w:framePr w:w="8080" w:h="6806" w:hRule="exact" w:wrap="around" w:vAnchor="page" w:hAnchor="page" w:x="2115" w:y="7035"/>
        <w:adjustRightInd w:val="0"/>
        <w:snapToGrid w:val="0"/>
        <w:spacing w:line="520" w:lineRule="exact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主要起草单位：</w:t>
      </w:r>
      <w:r>
        <w:rPr>
          <w:rFonts w:hint="eastAsia" w:ascii="宋体" w:hAnsi="宋体" w:eastAsia="宋体" w:cs="宋体"/>
          <w:sz w:val="28"/>
          <w:szCs w:val="28"/>
        </w:rPr>
        <w:t>西南铝业（集团）有限责任公司</w:t>
      </w:r>
    </w:p>
    <w:p w14:paraId="30D370D2">
      <w:pPr>
        <w:pStyle w:val="73"/>
        <w:framePr w:w="8080" w:h="6806" w:hRule="exact" w:wrap="around" w:vAnchor="page" w:hAnchor="page" w:x="2115" w:y="7035"/>
        <w:adjustRightInd w:val="0"/>
        <w:snapToGrid w:val="0"/>
        <w:spacing w:line="520" w:lineRule="exact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参加起草单位：</w:t>
      </w:r>
    </w:p>
    <w:p w14:paraId="1877C2D3">
      <w:pPr>
        <w:pStyle w:val="73"/>
        <w:framePr w:w="8080" w:h="6806" w:hRule="exact" w:wrap="around" w:vAnchor="page" w:hAnchor="page" w:x="2115" w:y="7035"/>
        <w:adjustRightInd w:val="0"/>
        <w:snapToGrid w:val="0"/>
        <w:spacing w:line="520" w:lineRule="exact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73FEE7EF">
      <w:pPr>
        <w:pStyle w:val="73"/>
        <w:framePr w:w="8080" w:h="6806" w:hRule="exact" w:wrap="around" w:vAnchor="page" w:hAnchor="page" w:x="2115" w:y="7035"/>
        <w:adjustRightInd w:val="0"/>
        <w:snapToGrid w:val="0"/>
        <w:spacing w:line="240" w:lineRule="auto"/>
        <w:jc w:val="both"/>
        <w:rPr>
          <w:rFonts w:ascii="Times New Roman" w:eastAsia="宋体"/>
          <w:sz w:val="28"/>
          <w:szCs w:val="28"/>
        </w:rPr>
      </w:pPr>
    </w:p>
    <w:p w14:paraId="707D19C4">
      <w:pPr>
        <w:pStyle w:val="73"/>
        <w:framePr w:w="8080" w:h="6806" w:hRule="exact" w:wrap="around" w:vAnchor="page" w:hAnchor="page" w:x="2115" w:y="7035"/>
        <w:adjustRightInd w:val="0"/>
        <w:snapToGrid w:val="0"/>
        <w:spacing w:line="240" w:lineRule="auto"/>
        <w:jc w:val="both"/>
        <w:rPr>
          <w:rFonts w:ascii="Times New Roman" w:eastAsia="宋体"/>
          <w:sz w:val="28"/>
          <w:szCs w:val="28"/>
        </w:rPr>
      </w:pPr>
      <w:r>
        <w:rPr>
          <w:rFonts w:ascii="Times New Roman" w:eastAsia="宋体"/>
          <w:sz w:val="28"/>
          <w:szCs w:val="28"/>
        </w:rPr>
        <w:t xml:space="preserve">          </w:t>
      </w:r>
    </w:p>
    <w:p w14:paraId="266E0162">
      <w:pPr>
        <w:pStyle w:val="43"/>
      </w:pPr>
    </w:p>
    <w:p w14:paraId="71457C87">
      <w:pPr>
        <w:pStyle w:val="43"/>
        <w:ind w:left="420" w:hanging="420" w:firstLineChars="0"/>
        <w:jc w:val="center"/>
        <w:outlineLvl w:val="0"/>
        <w:rPr>
          <w:rFonts w:hint="eastAsia" w:ascii="Times New Roman" w:hAnsi="Times New Roman" w:eastAsia="宋体" w:cs="Times New Roman"/>
          <w:color w:val="auto"/>
          <w:sz w:val="28"/>
          <w:szCs w:val="28"/>
        </w:rPr>
      </w:pPr>
      <w:bookmarkStart w:id="19" w:name="_Toc8126"/>
      <w:bookmarkStart w:id="20" w:name="_Toc21747"/>
      <w:bookmarkStart w:id="21" w:name="_Toc30169"/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本规范委托有色金属行业计量技术委员会负责解释</w:t>
      </w:r>
      <w:bookmarkEnd w:id="19"/>
      <w:bookmarkEnd w:id="20"/>
      <w:bookmarkEnd w:id="21"/>
    </w:p>
    <w:p w14:paraId="7FA83093">
      <w:pPr>
        <w:pStyle w:val="43"/>
        <w:rPr>
          <w:color w:val="auto"/>
        </w:rPr>
      </w:pPr>
      <w:bookmarkStart w:id="22" w:name="_Toc193601897"/>
      <w:bookmarkStart w:id="23" w:name="_Toc193547510"/>
      <w:bookmarkStart w:id="24" w:name="_Toc193603076"/>
      <w:bookmarkStart w:id="25" w:name="_Toc193555886"/>
      <w:bookmarkStart w:id="26" w:name="_Toc193552965"/>
      <w:bookmarkStart w:id="27" w:name="_Toc193551755"/>
      <w:bookmarkStart w:id="28" w:name="_Toc193601676"/>
    </w:p>
    <w:bookmarkEnd w:id="22"/>
    <w:bookmarkEnd w:id="23"/>
    <w:bookmarkEnd w:id="24"/>
    <w:bookmarkEnd w:id="25"/>
    <w:bookmarkEnd w:id="26"/>
    <w:bookmarkEnd w:id="27"/>
    <w:bookmarkEnd w:id="28"/>
    <w:p w14:paraId="2E811FC5">
      <w:pPr>
        <w:pStyle w:val="43"/>
        <w:framePr w:w="9366" w:h="7978" w:hRule="exact" w:wrap="around" w:vAnchor="page" w:hAnchor="page" w:x="1419" w:y="2667" w:anchorLock="1"/>
        <w:ind w:firstLine="562"/>
        <w:rPr>
          <w:rFonts w:ascii="黑体" w:hAnsi="黑体" w:eastAsia="黑体"/>
          <w:color w:val="auto"/>
          <w:sz w:val="30"/>
        </w:rPr>
      </w:pPr>
      <w:r>
        <w:rPr>
          <w:rFonts w:ascii="黑体" w:hAnsi="黑体" w:eastAsia="黑体"/>
          <w:b/>
          <w:color w:val="auto"/>
          <w:sz w:val="28"/>
          <w:szCs w:val="28"/>
        </w:rPr>
        <w:t>本规范主要起草人：</w:t>
      </w:r>
    </w:p>
    <w:p w14:paraId="2EF50937">
      <w:pPr>
        <w:pStyle w:val="43"/>
        <w:framePr w:w="9366" w:h="7978" w:hRule="exact" w:wrap="around" w:vAnchor="page" w:hAnchor="page" w:x="1419" w:y="2667" w:anchorLock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210" w:leftChars="100" w:firstLine="1680" w:firstLineChars="600"/>
        <w:rPr>
          <w:rFonts w:hint="eastAsia" w:ascii="宋体" w:hAnsi="宋体" w:eastAsia="宋体" w:cs="宋体"/>
          <w:b w:val="0"/>
          <w:bCs/>
          <w:color w:val="auto"/>
          <w:sz w:val="28"/>
          <w:highlight w:val="none"/>
        </w:rPr>
      </w:pPr>
    </w:p>
    <w:p w14:paraId="745DF55D">
      <w:pPr>
        <w:pStyle w:val="43"/>
        <w:rPr>
          <w:rFonts w:hint="eastAsia"/>
        </w:rPr>
      </w:pPr>
    </w:p>
    <w:p w14:paraId="46162C6A">
      <w:pPr>
        <w:pStyle w:val="82"/>
        <w:spacing w:line="240" w:lineRule="auto"/>
        <w:jc w:val="both"/>
        <w:outlineLvl w:val="9"/>
        <w:rPr>
          <w:rFonts w:ascii="Times New Roman" w:eastAsia="宋体"/>
        </w:rPr>
      </w:pPr>
    </w:p>
    <w:p w14:paraId="16659493">
      <w:pPr>
        <w:sectPr>
          <w:headerReference r:id="rId8" w:type="default"/>
          <w:footerReference r:id="rId10" w:type="default"/>
          <w:headerReference r:id="rId9" w:type="even"/>
          <w:footerReference r:id="rId11" w:type="even"/>
          <w:pgSz w:w="11907" w:h="16839"/>
          <w:pgMar w:top="1418" w:right="1134" w:bottom="1134" w:left="1418" w:header="1247" w:footer="851" w:gutter="0"/>
          <w:pgNumType w:start="1"/>
          <w:cols w:space="720" w:num="1"/>
          <w:docGrid w:type="lines" w:linePitch="312" w:charSpace="0"/>
        </w:sectPr>
      </w:pPr>
    </w:p>
    <w:p w14:paraId="43D4599E">
      <w:pPr>
        <w:pStyle w:val="82"/>
        <w:spacing w:line="240" w:lineRule="auto"/>
        <w:jc w:val="both"/>
        <w:outlineLvl w:val="9"/>
        <w:rPr>
          <w:rFonts w:ascii="Times New Roman" w:eastAsia="宋体"/>
        </w:rPr>
        <w:sectPr>
          <w:headerReference r:id="rId12" w:type="default"/>
          <w:footerReference r:id="rId13" w:type="default"/>
          <w:type w:val="continuous"/>
          <w:pgSz w:w="11907" w:h="16839"/>
          <w:pgMar w:top="1418" w:right="1134" w:bottom="1134" w:left="1418" w:header="1247" w:footer="851" w:gutter="0"/>
          <w:pgNumType w:start="1"/>
          <w:cols w:space="720" w:num="1"/>
          <w:docGrid w:type="lines" w:linePitch="312" w:charSpace="0"/>
        </w:sectPr>
      </w:pPr>
    </w:p>
    <w:p w14:paraId="04E44290">
      <w:pPr>
        <w:jc w:val="center"/>
        <w:rPr>
          <w:rFonts w:eastAsia="宋体"/>
        </w:rPr>
        <w:sectPr>
          <w:headerReference r:id="rId14" w:type="default"/>
          <w:footerReference r:id="rId15" w:type="default"/>
          <w:pgSz w:w="11907" w:h="16839"/>
          <w:pgMar w:top="1418" w:right="1134" w:bottom="1134" w:left="1418" w:header="1247" w:footer="851" w:gutter="0"/>
          <w:pgNumType w:fmt="upperRoman" w:start="1"/>
          <w:cols w:space="720" w:num="1"/>
          <w:docGrid w:type="lines" w:linePitch="312" w:charSpace="0"/>
        </w:sectPr>
      </w:pPr>
    </w:p>
    <w:p w14:paraId="320A8CC9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目</w:t>
      </w:r>
      <w:r>
        <w:rPr>
          <w:rFonts w:hint="eastAsia" w:ascii="黑体" w:hAnsi="黑体" w:eastAsia="黑体"/>
          <w:sz w:val="44"/>
          <w:szCs w:val="44"/>
        </w:rPr>
        <w:t xml:space="preserve"> </w:t>
      </w:r>
      <w:r>
        <w:rPr>
          <w:rFonts w:ascii="黑体" w:hAnsi="黑体" w:eastAsia="黑体"/>
          <w:sz w:val="44"/>
          <w:szCs w:val="44"/>
        </w:rPr>
        <w:t xml:space="preserve"> 录</w:t>
      </w:r>
    </w:p>
    <w:p w14:paraId="208A0F1A">
      <w:pPr>
        <w:jc w:val="center"/>
      </w:pPr>
      <w:bookmarkStart w:id="29" w:name="_Toc26233"/>
      <w:bookmarkStart w:id="30" w:name="_Toc12273"/>
      <w:bookmarkStart w:id="31" w:name="_Toc10757_WPSOffice_Level1"/>
      <w:bookmarkStart w:id="32" w:name="_Toc22520"/>
      <w:bookmarkStart w:id="33" w:name="_Toc20236"/>
    </w:p>
    <w:p w14:paraId="165D09EE"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_Toc17366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引   言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_Toc17366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II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2AAA4070"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_Toc7396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 范围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_Toc7396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0C048CC6"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_Toc8614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 引用文件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_Toc8614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E3A78D9"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_Toc977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3 概述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_Toc977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89782DE"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_Toc27499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4 计量特性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302449BE"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_Toc11256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5 校准条件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_Toc11256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3B582CB4"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_Toc24371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5.1 环境条件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_Toc24371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007EB15F"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_Toc24371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液体介质</w:t>
      </w:r>
      <w:r>
        <w:rPr>
          <w:rFonts w:hint="eastAsia" w:ascii="宋体" w:hAnsi="宋体" w:eastAsia="宋体" w:cs="宋体"/>
          <w:sz w:val="24"/>
          <w:szCs w:val="24"/>
        </w:rPr>
        <w:t>条件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_Toc24371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43812B54"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_Toc24371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流量计安装</w:t>
      </w:r>
      <w:r>
        <w:rPr>
          <w:rFonts w:hint="eastAsia" w:ascii="宋体" w:hAnsi="宋体" w:eastAsia="宋体" w:cs="宋体"/>
          <w:sz w:val="24"/>
          <w:szCs w:val="24"/>
        </w:rPr>
        <w:t>条件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_Toc24371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46651749"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_Toc5643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</w:t>
      </w:r>
      <w:r>
        <w:rPr>
          <w:rFonts w:hint="eastAsia" w:ascii="宋体" w:hAnsi="宋体" w:eastAsia="宋体" w:cs="宋体"/>
          <w:sz w:val="24"/>
          <w:szCs w:val="24"/>
        </w:rPr>
        <w:t>量标准及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</w:t>
      </w:r>
      <w:r>
        <w:rPr>
          <w:rFonts w:hint="eastAsia" w:ascii="宋体" w:hAnsi="宋体" w:eastAsia="宋体" w:cs="宋体"/>
          <w:sz w:val="24"/>
          <w:szCs w:val="24"/>
        </w:rPr>
        <w:t>设备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6DA38F48"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_Toc12887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 其他条件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_Toc12887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4630874E"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_Toc17323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 校准方法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_Toc17323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6E2B1E28"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_Toc8950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 xml:space="preserve">6.1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校准前准备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_Toc8950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7AB2C070"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_Toc14708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 xml:space="preserve">6.2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标准流量计安装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_Toc14708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D5AACE2"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_Toc14708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流量校准点选择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270AE1F3"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_Toc14708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累积流量示值误差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3EA19CE3"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_Toc14708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瞬时流量示值误差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6ACF6D68"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_Toc14708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重复性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C935481"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_Toc14708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变送输出误差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480C7352"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_Toc23960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7 校准结果表达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_Toc23960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69E96EE3"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_Toc18776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8 复校时间间隔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2F95AF91"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_Toc5202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附录A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_Toc21536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液体流量计在线</w:t>
      </w:r>
      <w:r>
        <w:rPr>
          <w:rFonts w:hint="eastAsia" w:ascii="宋体" w:hAnsi="宋体" w:eastAsia="宋体" w:cs="宋体"/>
          <w:bCs w:val="0"/>
          <w:sz w:val="24"/>
          <w:szCs w:val="24"/>
        </w:rPr>
        <w:t>校准原始记录参考格式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73C3148F"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_Toc4146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附录B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_Toc4214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液体流量计在线</w:t>
      </w:r>
      <w:r>
        <w:rPr>
          <w:rFonts w:hint="eastAsia" w:ascii="宋体" w:hAnsi="宋体" w:eastAsia="宋体" w:cs="宋体"/>
          <w:sz w:val="24"/>
          <w:szCs w:val="24"/>
        </w:rPr>
        <w:t>校准证书内页参考格式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45B05F1E"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_Toc2979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附录C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_Toc18006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液体流量计在线校准</w:t>
      </w:r>
      <w:r>
        <w:rPr>
          <w:rFonts w:hint="eastAsia" w:ascii="宋体" w:hAnsi="宋体" w:eastAsia="宋体" w:cs="宋体"/>
          <w:sz w:val="24"/>
          <w:szCs w:val="24"/>
        </w:rPr>
        <w:t>示值误差的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测量</w:t>
      </w:r>
      <w:r>
        <w:rPr>
          <w:rFonts w:hint="eastAsia" w:ascii="宋体" w:hAnsi="宋体" w:eastAsia="宋体" w:cs="宋体"/>
          <w:sz w:val="24"/>
          <w:szCs w:val="24"/>
        </w:rPr>
        <w:t>不确定度评定示例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_Toc18006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4A0CE6FF">
      <w:pPr>
        <w:pStyle w:val="16"/>
        <w:tabs>
          <w:tab w:val="right" w:leader="dot" w:pos="9355"/>
          <w:tab w:val="clear" w:pos="9345"/>
        </w:tabs>
      </w:pPr>
      <w:r>
        <w:rPr>
          <w:rFonts w:hint="eastAsia" w:ascii="宋体" w:hAnsi="宋体" w:cs="宋体"/>
          <w:szCs w:val="24"/>
        </w:rPr>
        <w:fldChar w:fldCharType="begin"/>
      </w:r>
      <w:r>
        <w:rPr>
          <w:rFonts w:hint="eastAsia" w:ascii="宋体" w:hAnsi="宋体" w:cs="宋体"/>
          <w:szCs w:val="24"/>
        </w:rPr>
        <w:instrText xml:space="preserve">TOC \o "1-3" \h \u </w:instrText>
      </w:r>
      <w:r>
        <w:rPr>
          <w:rFonts w:hint="eastAsia" w:ascii="宋体" w:hAnsi="宋体" w:cs="宋体"/>
          <w:szCs w:val="24"/>
        </w:rPr>
        <w:fldChar w:fldCharType="separate"/>
      </w:r>
    </w:p>
    <w:p w14:paraId="6ADBF9B8">
      <w:pPr>
        <w:pStyle w:val="16"/>
        <w:tabs>
          <w:tab w:val="right" w:leader="dot" w:pos="9355"/>
          <w:tab w:val="clear" w:pos="9345"/>
        </w:tabs>
      </w:pPr>
    </w:p>
    <w:p w14:paraId="3161463E">
      <w:pPr>
        <w:pStyle w:val="16"/>
        <w:jc w:val="center"/>
        <w:rPr>
          <w:rFonts w:hint="eastAsia" w:ascii="宋体" w:hAnsi="宋体" w:eastAsia="宋体"/>
        </w:rPr>
      </w:pPr>
      <w:r>
        <w:rPr>
          <w:rFonts w:hint="eastAsia" w:ascii="宋体" w:hAnsi="宋体" w:cs="宋体"/>
          <w:szCs w:val="24"/>
        </w:rPr>
        <w:fldChar w:fldCharType="end"/>
      </w:r>
    </w:p>
    <w:p w14:paraId="0BFB68FD">
      <w:pPr>
        <w:jc w:val="center"/>
        <w:outlineLvl w:val="0"/>
        <w:rPr>
          <w:rStyle w:val="30"/>
          <w:rFonts w:hint="eastAsia" w:ascii="黑体" w:hAnsi="黑体" w:eastAsia="黑体"/>
          <w:sz w:val="44"/>
          <w:szCs w:val="44"/>
        </w:rPr>
      </w:pPr>
      <w:bookmarkStart w:id="34" w:name="_Toc313"/>
      <w:bookmarkStart w:id="35" w:name="_Toc29537"/>
      <w:r>
        <w:rPr>
          <w:rStyle w:val="30"/>
          <w:rFonts w:ascii="黑体" w:hAnsi="黑体" w:eastAsia="黑体"/>
          <w:sz w:val="44"/>
          <w:szCs w:val="44"/>
        </w:rPr>
        <w:t>引   言</w:t>
      </w:r>
      <w:bookmarkEnd w:id="29"/>
      <w:bookmarkEnd w:id="30"/>
      <w:bookmarkEnd w:id="31"/>
      <w:bookmarkEnd w:id="32"/>
      <w:bookmarkEnd w:id="33"/>
      <w:bookmarkEnd w:id="34"/>
      <w:bookmarkEnd w:id="35"/>
    </w:p>
    <w:p w14:paraId="2F41AE6B">
      <w:pPr>
        <w:rPr>
          <w:rFonts w:hint="eastAsia" w:ascii="宋体" w:hAnsi="宋体" w:eastAsia="宋体"/>
        </w:rPr>
      </w:pPr>
    </w:p>
    <w:p w14:paraId="46A4219B">
      <w:pPr>
        <w:pStyle w:val="43"/>
        <w:rPr>
          <w:color w:val="auto"/>
        </w:rPr>
      </w:pPr>
      <w:r>
        <w:rPr>
          <w:rFonts w:hint="eastAsia"/>
          <w:color w:val="auto"/>
        </w:rPr>
        <w:t>JJF 1071-2010</w:t>
      </w:r>
      <w:r>
        <w:rPr>
          <w:color w:val="auto"/>
        </w:rPr>
        <w:t>《国家计量校准规范编写规则》、</w:t>
      </w:r>
      <w:r>
        <w:rPr>
          <w:rFonts w:hint="eastAsia"/>
          <w:color w:val="auto"/>
        </w:rPr>
        <w:t>JJF 1001-2011</w:t>
      </w:r>
      <w:r>
        <w:rPr>
          <w:color w:val="auto"/>
        </w:rPr>
        <w:t>《通用计量术语及定义》和</w:t>
      </w:r>
      <w:r>
        <w:rPr>
          <w:rFonts w:hint="eastAsia"/>
          <w:color w:val="auto"/>
        </w:rPr>
        <w:t>JJF 1059.1-2012</w:t>
      </w:r>
      <w:r>
        <w:rPr>
          <w:color w:val="auto"/>
        </w:rPr>
        <w:t>《测量不确定度评定与表示》</w:t>
      </w:r>
      <w:r>
        <w:rPr>
          <w:rFonts w:hint="eastAsia" w:hAnsi="宋体" w:cs="宋体"/>
          <w:color w:val="auto"/>
          <w:szCs w:val="24"/>
        </w:rPr>
        <w:t>共同构成支撑校准规范制修订工作的基础性系列规范</w:t>
      </w:r>
      <w:r>
        <w:rPr>
          <w:color w:val="auto"/>
        </w:rPr>
        <w:t>。</w:t>
      </w:r>
    </w:p>
    <w:p w14:paraId="51248100">
      <w:pPr>
        <w:pStyle w:val="43"/>
        <w:rPr>
          <w:color w:val="auto"/>
        </w:rPr>
      </w:pPr>
      <w:r>
        <w:rPr>
          <w:rFonts w:hint="eastAsia"/>
          <w:color w:val="auto"/>
        </w:rPr>
        <w:t>本规范参考了JJG 1030-</w:t>
      </w:r>
      <w:r>
        <w:rPr>
          <w:rFonts w:hint="eastAsia"/>
          <w:strike w:val="0"/>
          <w:color w:val="auto"/>
        </w:rPr>
        <w:t>2007</w:t>
      </w:r>
      <w:r>
        <w:rPr>
          <w:rFonts w:hint="eastAsia"/>
          <w:color w:val="auto"/>
        </w:rPr>
        <w:t>《超声流量计》、JJG 1037-2008《涡轮流量计》和JJG 1033-2007《电磁流量计》的技术内容。</w:t>
      </w:r>
    </w:p>
    <w:p w14:paraId="6189F0BD">
      <w:pPr>
        <w:pStyle w:val="43"/>
        <w:rPr>
          <w:color w:val="auto"/>
        </w:rPr>
        <w:sectPr>
          <w:footerReference r:id="rId16" w:type="default"/>
          <w:type w:val="continuous"/>
          <w:pgSz w:w="11907" w:h="16839"/>
          <w:pgMar w:top="1418" w:right="1134" w:bottom="1134" w:left="1418" w:header="1247" w:footer="851" w:gutter="0"/>
          <w:pgNumType w:fmt="upperRoman"/>
          <w:cols w:space="720" w:num="1"/>
          <w:docGrid w:type="lines" w:linePitch="312" w:charSpace="0"/>
        </w:sectPr>
      </w:pPr>
      <w:bookmarkStart w:id="36" w:name="_Toc10952"/>
      <w:bookmarkStart w:id="37" w:name="_Toc26394"/>
      <w:bookmarkStart w:id="38" w:name="_Toc20132"/>
      <w:r>
        <w:rPr>
          <w:color w:val="auto"/>
        </w:rPr>
        <w:t>本规范</w:t>
      </w:r>
      <w:r>
        <w:rPr>
          <w:rFonts w:hint="eastAsia"/>
          <w:color w:val="auto"/>
        </w:rPr>
        <w:t>为</w:t>
      </w:r>
      <w:r>
        <w:rPr>
          <w:color w:val="auto"/>
        </w:rPr>
        <w:t>首次</w:t>
      </w:r>
      <w:r>
        <w:rPr>
          <w:rFonts w:hint="eastAsia"/>
          <w:color w:val="auto"/>
        </w:rPr>
        <w:t>发布</w:t>
      </w:r>
      <w:r>
        <w:rPr>
          <w:color w:val="auto"/>
        </w:rPr>
        <w:t>。</w:t>
      </w:r>
      <w:bookmarkEnd w:id="36"/>
      <w:bookmarkEnd w:id="37"/>
      <w:bookmarkEnd w:id="38"/>
    </w:p>
    <w:p w14:paraId="0DA0062E">
      <w:pPr>
        <w:rPr>
          <w:rFonts w:eastAsia="宋体"/>
          <w:sz w:val="24"/>
        </w:rPr>
      </w:pPr>
    </w:p>
    <w:p w14:paraId="07F8A209">
      <w:pPr>
        <w:rPr>
          <w:rFonts w:eastAsia="宋体"/>
        </w:rPr>
      </w:pPr>
    </w:p>
    <w:p w14:paraId="183598DF">
      <w:pPr>
        <w:rPr>
          <w:rFonts w:eastAsia="宋体"/>
        </w:rPr>
        <w:sectPr>
          <w:footerReference r:id="rId17" w:type="default"/>
          <w:type w:val="continuous"/>
          <w:pgSz w:w="11907" w:h="16839"/>
          <w:pgMar w:top="1418" w:right="1134" w:bottom="1134" w:left="1418" w:header="1247" w:footer="851" w:gutter="0"/>
          <w:pgNumType w:fmt="upperRoman"/>
          <w:cols w:space="720" w:num="1"/>
          <w:docGrid w:type="lines" w:linePitch="312" w:charSpace="0"/>
        </w:sectPr>
      </w:pPr>
    </w:p>
    <w:p w14:paraId="01550169">
      <w:pPr>
        <w:rPr>
          <w:rFonts w:eastAsia="宋体"/>
          <w:b/>
          <w:bCs/>
          <w:sz w:val="44"/>
          <w:szCs w:val="44"/>
        </w:rPr>
      </w:pPr>
      <w:bookmarkStart w:id="39" w:name="_Toc23785207"/>
      <w:bookmarkStart w:id="40" w:name="_Toc23784633"/>
      <w:bookmarkStart w:id="41" w:name="_Toc23785527"/>
      <w:bookmarkStart w:id="42" w:name="_Toc23784535"/>
      <w:bookmarkStart w:id="43" w:name="_Toc193618947"/>
      <w:bookmarkStart w:id="44" w:name="_Toc193619092"/>
      <w:bookmarkStart w:id="45" w:name="_Toc193619050"/>
    </w:p>
    <w:bookmarkEnd w:id="39"/>
    <w:bookmarkEnd w:id="40"/>
    <w:bookmarkEnd w:id="41"/>
    <w:bookmarkEnd w:id="42"/>
    <w:p w14:paraId="62955848"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46" w:name="_Toc5838"/>
      <w:bookmarkStart w:id="47" w:name="_Toc2836"/>
      <w:bookmarkStart w:id="48" w:name="_Toc20879"/>
      <w:bookmarkStart w:id="49" w:name="_Toc1978"/>
      <w:bookmarkStart w:id="50" w:name="_Toc23236"/>
      <w:bookmarkStart w:id="51" w:name="_Toc18706"/>
      <w:r>
        <w:rPr>
          <w:rFonts w:hint="eastAsia" w:ascii="黑体" w:hAnsi="黑体" w:eastAsia="黑体" w:cs="黑体"/>
          <w:sz w:val="32"/>
          <w:szCs w:val="32"/>
        </w:rPr>
        <w:t>液体流量计在线校准规范</w:t>
      </w:r>
      <w:bookmarkEnd w:id="46"/>
      <w:bookmarkEnd w:id="47"/>
      <w:bookmarkEnd w:id="48"/>
      <w:bookmarkEnd w:id="49"/>
      <w:bookmarkEnd w:id="50"/>
      <w:bookmarkEnd w:id="51"/>
    </w:p>
    <w:p w14:paraId="0F48F54C">
      <w:pPr>
        <w:rPr>
          <w:rFonts w:eastAsia="宋体"/>
        </w:rPr>
      </w:pPr>
    </w:p>
    <w:p w14:paraId="6A9A53C7">
      <w:pPr>
        <w:pStyle w:val="42"/>
        <w:spacing w:before="120" w:after="120" w:line="360" w:lineRule="auto"/>
        <w:outlineLvl w:val="0"/>
        <w:rPr>
          <w:rFonts w:hint="eastAsia"/>
        </w:rPr>
      </w:pPr>
      <w:bookmarkStart w:id="52" w:name="_Toc193860027"/>
      <w:bookmarkStart w:id="53" w:name="_Toc23784536"/>
      <w:bookmarkStart w:id="54" w:name="_Toc28688"/>
      <w:bookmarkStart w:id="55" w:name="_Toc6679_WPSOffice_Level1"/>
      <w:bookmarkStart w:id="56" w:name="_Toc23785528"/>
      <w:bookmarkStart w:id="57" w:name="_Toc416"/>
      <w:bookmarkStart w:id="58" w:name="_Toc23784634"/>
      <w:bookmarkStart w:id="59" w:name="_Toc24451"/>
      <w:bookmarkStart w:id="60" w:name="_Toc193860208"/>
      <w:bookmarkStart w:id="61" w:name="_Toc23662"/>
      <w:bookmarkStart w:id="62" w:name="_Toc8567"/>
      <w:bookmarkStart w:id="63" w:name="_Toc193860177"/>
      <w:r>
        <w:rPr>
          <w:rFonts w:hint="eastAsia"/>
        </w:rPr>
        <w:t xml:space="preserve"> </w:t>
      </w:r>
      <w:bookmarkStart w:id="64" w:name="_Toc23469"/>
      <w:r>
        <w:t>范围</w:t>
      </w:r>
      <w:bookmarkEnd w:id="43"/>
      <w:bookmarkEnd w:id="44"/>
      <w:bookmarkEnd w:id="45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459F331">
      <w:pPr>
        <w:pStyle w:val="43"/>
        <w:rPr>
          <w:rFonts w:hint="default" w:eastAsia="宋体"/>
          <w:lang w:val="en-US" w:eastAsia="zh-CN"/>
        </w:rPr>
      </w:pPr>
      <w:r>
        <w:rPr>
          <w:color w:val="auto"/>
        </w:rPr>
        <w:t>本规范适</w:t>
      </w:r>
      <w:r>
        <w:rPr>
          <w:rFonts w:hint="eastAsia"/>
          <w:color w:val="auto"/>
        </w:rPr>
        <w:t>用于</w:t>
      </w:r>
      <w:r>
        <w:rPr>
          <w:rFonts w:hint="eastAsia"/>
          <w:color w:val="auto"/>
          <w:lang w:val="en-US" w:eastAsia="zh-CN"/>
        </w:rPr>
        <w:t>工业现场</w:t>
      </w:r>
      <w:r>
        <w:rPr>
          <w:rFonts w:hint="eastAsia"/>
          <w:color w:val="auto"/>
        </w:rPr>
        <w:t>封闭管道上的非贸易结算类液体流量计（以下简称流量计）的在线校准</w:t>
      </w:r>
      <w:r>
        <w:rPr>
          <w:color w:val="auto"/>
        </w:rPr>
        <w:t>。</w:t>
      </w:r>
      <w:r>
        <w:rPr>
          <w:rFonts w:hint="eastAsia"/>
          <w:color w:val="auto"/>
        </w:rPr>
        <w:t>流量计测量介质包括水</w:t>
      </w:r>
      <w:r>
        <w:rPr>
          <w:rFonts w:hint="eastAsia"/>
          <w:color w:val="auto"/>
          <w:lang w:val="en-US" w:eastAsia="zh-CN"/>
        </w:rPr>
        <w:t>、油品、化学溶液等不含杂质和气泡的洁净</w:t>
      </w:r>
      <w:r>
        <w:rPr>
          <w:rFonts w:hint="eastAsia"/>
          <w:color w:val="auto"/>
        </w:rPr>
        <w:t>液体</w:t>
      </w:r>
      <w:r>
        <w:rPr>
          <w:rFonts w:hint="eastAsia"/>
          <w:color w:val="auto"/>
          <w:lang w:val="en-US" w:eastAsia="zh-CN"/>
        </w:rPr>
        <w:t>，</w:t>
      </w:r>
      <w:r>
        <w:rPr>
          <w:rFonts w:hint="eastAsia"/>
          <w:color w:val="auto"/>
          <w:highlight w:val="none"/>
        </w:rPr>
        <w:t>管径</w:t>
      </w:r>
      <w:r>
        <w:rPr>
          <w:rFonts w:hint="eastAsia"/>
          <w:color w:val="auto"/>
          <w:highlight w:val="none"/>
          <w:lang w:val="en-US" w:eastAsia="zh-CN"/>
        </w:rPr>
        <w:t>范围为DN50～DN1000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管道材质包含碳钢、铸铁、塑料等材料</w:t>
      </w:r>
      <w:r>
        <w:rPr>
          <w:rFonts w:hint="eastAsia"/>
          <w:color w:val="auto"/>
        </w:rPr>
        <w:t>。流量计类型包括超声流量计、涡轮流量计、差压式流量计、容积式流量计、电磁流量计、旋翼式水表和涡街流量计等。</w:t>
      </w:r>
      <w:r>
        <w:rPr>
          <w:rFonts w:hint="eastAsia"/>
          <w:color w:val="auto"/>
          <w:lang w:val="en-US" w:eastAsia="zh-CN"/>
        </w:rPr>
        <w:t>多普勒法超声波流量计在线校准不适用于本规范。</w:t>
      </w:r>
    </w:p>
    <w:p w14:paraId="671776E6">
      <w:pPr>
        <w:pStyle w:val="42"/>
        <w:spacing w:before="120" w:after="120" w:line="360" w:lineRule="auto"/>
        <w:outlineLvl w:val="0"/>
        <w:rPr>
          <w:rFonts w:hint="eastAsia"/>
        </w:rPr>
      </w:pPr>
      <w:r>
        <w:rPr>
          <w:rFonts w:hint="eastAsia"/>
        </w:rPr>
        <w:t xml:space="preserve"> </w:t>
      </w:r>
      <w:bookmarkStart w:id="65" w:name="_Toc6158"/>
      <w:bookmarkStart w:id="66" w:name="_Toc21517"/>
      <w:bookmarkStart w:id="67" w:name="_Toc9748"/>
      <w:bookmarkStart w:id="68" w:name="_Toc73"/>
      <w:bookmarkStart w:id="69" w:name="_Toc17158"/>
      <w:r>
        <w:rPr>
          <w:rFonts w:hint="eastAsia"/>
        </w:rPr>
        <w:t>引用文件</w:t>
      </w:r>
      <w:bookmarkEnd w:id="65"/>
      <w:bookmarkEnd w:id="66"/>
      <w:bookmarkEnd w:id="67"/>
      <w:bookmarkEnd w:id="68"/>
      <w:bookmarkEnd w:id="69"/>
    </w:p>
    <w:p w14:paraId="1A0CF7BD">
      <w:pPr>
        <w:pStyle w:val="43"/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无</w:t>
      </w:r>
      <w:bookmarkStart w:id="70" w:name="_Toc23491"/>
      <w:bookmarkStart w:id="71" w:name="_Toc20610"/>
      <w:bookmarkStart w:id="72" w:name="_Toc26906"/>
      <w:bookmarkStart w:id="73" w:name="_Toc11481"/>
      <w:bookmarkStart w:id="74" w:name="_Toc2124_WPSOffice_Level1"/>
      <w:bookmarkStart w:id="75" w:name="_Toc23784547"/>
      <w:bookmarkStart w:id="76" w:name="_Toc193619098"/>
      <w:bookmarkStart w:id="77" w:name="_Toc193860031"/>
      <w:bookmarkStart w:id="78" w:name="_Toc193619056"/>
      <w:bookmarkStart w:id="79" w:name="_Toc23784645"/>
      <w:bookmarkStart w:id="80" w:name="_Toc23785539"/>
      <w:bookmarkStart w:id="81" w:name="_Toc27992"/>
      <w:bookmarkStart w:id="82" w:name="_Toc193860181"/>
      <w:bookmarkStart w:id="83" w:name="_Toc3994"/>
      <w:bookmarkStart w:id="84" w:name="_Toc193860212"/>
      <w:bookmarkStart w:id="85" w:name="_Toc193618953"/>
    </w:p>
    <w:p w14:paraId="1A7C94DA">
      <w:pPr>
        <w:pStyle w:val="42"/>
        <w:spacing w:before="120" w:after="120" w:line="360" w:lineRule="auto"/>
        <w:outlineLvl w:val="0"/>
        <w:rPr>
          <w:rFonts w:hint="eastAsia" w:hAnsi="宋体" w:eastAsia="宋体"/>
          <w:szCs w:val="24"/>
        </w:rPr>
      </w:pPr>
      <w:bookmarkStart w:id="86" w:name="_Toc10170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概述</w:t>
      </w:r>
      <w:bookmarkEnd w:id="70"/>
      <w:bookmarkEnd w:id="71"/>
      <w:bookmarkEnd w:id="72"/>
      <w:bookmarkEnd w:id="73"/>
      <w:bookmarkEnd w:id="86"/>
    </w:p>
    <w:p w14:paraId="3523B4BA">
      <w:pPr>
        <w:pStyle w:val="43"/>
        <w:rPr>
          <w:rFonts w:hint="default" w:eastAsia="宋体"/>
          <w:color w:val="auto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3651250</wp:posOffset>
                </wp:positionH>
                <wp:positionV relativeFrom="paragraph">
                  <wp:posOffset>2056130</wp:posOffset>
                </wp:positionV>
                <wp:extent cx="200025" cy="2857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D9A29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5pt;margin-top:161.9pt;height:22.5pt;width:15.75pt;z-index:251677696;mso-width-relative:page;mso-height-relative:page;" filled="f" stroked="f" coordsize="21600,21600" o:gfxdata="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iJmBzbAAAACwEAAA8AAAAAAAAAAQAgAAAAIgAAAGRy&#10;cy9kb3ducmV2LnhtbFBLAQIUABQAAAAIAIdO4kDOAVxf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1D9A29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</w:rPr>
        <w:t>流量计是用于测量被测介质瞬时流量和累计流量的一种测量设备，通过流量传感器将流经流量计的</w:t>
      </w:r>
      <w:r>
        <w:rPr>
          <w:rFonts w:hint="eastAsia"/>
          <w:color w:val="auto"/>
          <w:lang w:val="en-US" w:eastAsia="zh-CN"/>
        </w:rPr>
        <w:t>液体</w:t>
      </w:r>
      <w:r>
        <w:rPr>
          <w:rFonts w:hint="eastAsia"/>
          <w:color w:val="auto"/>
        </w:rPr>
        <w:t>流量信号转换为脉冲信号、模拟信号或数字信号，利用计算装置进行流量计算，再由显示装置进行流量显示。流量计主要由表体、显示装置、计算装置、流量传感器等组成，其通用结构示意如图1所示。</w:t>
      </w:r>
      <w:r>
        <w:rPr>
          <w:rFonts w:hint="eastAsia"/>
          <w:color w:val="auto"/>
          <w:lang w:val="en-US" w:eastAsia="zh-CN"/>
        </w:rPr>
        <w:t>工业</w:t>
      </w:r>
      <w:r>
        <w:rPr>
          <w:rFonts w:hint="eastAsia"/>
          <w:color w:val="auto"/>
        </w:rPr>
        <w:t>现场</w:t>
      </w:r>
      <w:r>
        <w:rPr>
          <w:rFonts w:hint="eastAsia"/>
          <w:color w:val="auto"/>
          <w:lang w:val="en-US" w:eastAsia="zh-CN"/>
        </w:rPr>
        <w:t>流量计</w:t>
      </w:r>
      <w:r>
        <w:rPr>
          <w:rFonts w:hint="eastAsia"/>
          <w:color w:val="auto"/>
        </w:rPr>
        <w:t>由于拆卸不便、设备不能停机等原因，无法保证周期性的拆卸送检。</w:t>
      </w:r>
      <w:r>
        <w:rPr>
          <w:rFonts w:hint="eastAsia"/>
          <w:color w:val="auto"/>
          <w:lang w:val="en-US" w:eastAsia="zh-CN"/>
        </w:rPr>
        <w:t>本规范基于时差法原理</w:t>
      </w:r>
      <w:r>
        <w:rPr>
          <w:rFonts w:hint="eastAsia"/>
          <w:color w:val="auto"/>
        </w:rPr>
        <w:t>，不拆卸流量计，在流量计运行状态下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使用外夹式</w:t>
      </w:r>
      <w:r>
        <w:rPr>
          <w:rFonts w:hint="eastAsia"/>
          <w:color w:val="auto"/>
        </w:rPr>
        <w:t>标准</w:t>
      </w:r>
      <w:r>
        <w:rPr>
          <w:rFonts w:hint="eastAsia"/>
          <w:color w:val="auto"/>
          <w:lang w:val="en-US" w:eastAsia="zh-CN"/>
        </w:rPr>
        <w:t>超声波流量计</w:t>
      </w:r>
      <w:r>
        <w:rPr>
          <w:rFonts w:hint="eastAsia"/>
          <w:color w:val="auto"/>
        </w:rPr>
        <w:t>与被校流量计在同一管道串联，通过</w:t>
      </w:r>
      <w:r>
        <w:rPr>
          <w:rFonts w:hint="eastAsia"/>
          <w:color w:val="auto"/>
          <w:lang w:val="en-US" w:eastAsia="zh-CN"/>
        </w:rPr>
        <w:t>在线</w:t>
      </w:r>
      <w:r>
        <w:rPr>
          <w:rFonts w:hint="eastAsia"/>
          <w:color w:val="auto"/>
        </w:rPr>
        <w:t>校准确定被校流量计计量特性</w:t>
      </w:r>
      <w:r>
        <w:rPr>
          <w:rFonts w:hint="eastAsia"/>
          <w:color w:val="auto"/>
          <w:lang w:eastAsia="zh-CN"/>
        </w:rPr>
        <w:t>。</w:t>
      </w:r>
    </w:p>
    <w:p w14:paraId="21F49686">
      <w:pPr>
        <w:pStyle w:val="43"/>
        <w:jc w:val="center"/>
        <w:rPr>
          <w:rFonts w:hint="eastAsia" w:eastAsia="宋体"/>
          <w:lang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1082675</wp:posOffset>
                </wp:positionV>
                <wp:extent cx="200025" cy="28575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CB2DB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35pt;margin-top:85.25pt;height:22.5pt;width:15.75pt;z-index:251679744;mso-width-relative:page;mso-height-relative:page;" filled="f" stroked="f" coordsize="21600,21600" o:gfxdata="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Tve/7bAAAACwEAAA8AAAAAAAAAAQAgAAAAIgAAAGRy&#10;cy9kb3ducmV2LnhtbFBLAQIUABQAAAAIAIdO4kAF65tr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AFCB2DB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469265</wp:posOffset>
                </wp:positionV>
                <wp:extent cx="200025" cy="28575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444EC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5.7pt;margin-top:36.95pt;height:22.5pt;width:15.75pt;z-index:251678720;mso-width-relative:page;mso-height-relative:page;" filled="f" stroked="f" coordsize="21600,21600" o:gfxdata="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0vspVdsAAAAKAQAADwAAAAAAAAABACAAAAAiAAAAZHJz&#10;L2Rvd25yZXYueG1sUEsBAhQAFAAAAAgAh07iQF+UWIM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E3444EC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457835</wp:posOffset>
                </wp:positionV>
                <wp:extent cx="200025" cy="28575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E06EF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6pt;margin-top:36.05pt;height:22.5pt;width:15.75pt;z-index:251676672;mso-width-relative:page;mso-height-relative:page;" filled="f" stroked="f" coordsize="21600,21600" o:gfxdata="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7MRVHbAAAACgEAAA8AAAAAAAAAAQAgAAAAIgAAAGRy&#10;cy9kb3ducmV2LnhtbFBLAQIUABQAAAAIAIdO4kAKd7Vw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3EE06EF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754370" cy="2310130"/>
            <wp:effectExtent l="0" t="0" r="17780" b="13970"/>
            <wp:docPr id="16" name="图片 16" descr="ba250641-bcc9-48f8-9c1b-cb962bf5ad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ba250641-bcc9-48f8-9c1b-cb962bf5add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44E42">
      <w:pPr>
        <w:pStyle w:val="43"/>
        <w:jc w:val="center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图1 流量计通用结构示意图</w:t>
      </w:r>
    </w:p>
    <w:p w14:paraId="7A6B349D">
      <w:pPr>
        <w:pStyle w:val="43"/>
        <w:jc w:val="center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1-表体；2-显示装置；3-计算装置；4-流量传感器</w:t>
      </w:r>
    </w:p>
    <w:p w14:paraId="15FBA0D4">
      <w:pPr>
        <w:pStyle w:val="42"/>
        <w:spacing w:before="120" w:after="120" w:line="360" w:lineRule="auto"/>
        <w:outlineLvl w:val="0"/>
        <w:rPr>
          <w:rFonts w:hint="eastAsia"/>
        </w:rPr>
      </w:pPr>
      <w:r>
        <w:rPr>
          <w:rFonts w:hint="eastAsia"/>
        </w:rPr>
        <w:t xml:space="preserve"> </w:t>
      </w:r>
      <w:bookmarkStart w:id="87" w:name="_Toc19020"/>
      <w:bookmarkStart w:id="88" w:name="_Toc26635"/>
      <w:bookmarkStart w:id="89" w:name="_Toc21890"/>
      <w:bookmarkStart w:id="90" w:name="_Toc16770"/>
      <w:bookmarkStart w:id="91" w:name="_Toc21085"/>
      <w:r>
        <w:t>计量特性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7"/>
      <w:bookmarkEnd w:id="88"/>
      <w:bookmarkEnd w:id="89"/>
      <w:bookmarkEnd w:id="90"/>
      <w:bookmarkEnd w:id="91"/>
    </w:p>
    <w:p w14:paraId="689202C1">
      <w:pPr>
        <w:pStyle w:val="43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</w:rPr>
        <w:t>流量计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校准项目和计量特性要求见表1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  <w:color w:val="auto"/>
          <w:lang w:val="en-US" w:eastAsia="zh-CN"/>
        </w:rPr>
        <w:t>流量计流量范围中的最小流量</w:t>
      </w:r>
      <w:r>
        <w:rPr>
          <w:rFonts w:hint="eastAsia"/>
          <w:i/>
          <w:iCs/>
          <w:color w:val="auto"/>
          <w:lang w:val="en-US" w:eastAsia="zh-CN"/>
        </w:rPr>
        <w:t>q</w:t>
      </w:r>
      <w:r>
        <w:rPr>
          <w:rFonts w:hint="eastAsia"/>
          <w:color w:val="auto"/>
          <w:vertAlign w:val="subscript"/>
          <w:lang w:val="en-US" w:eastAsia="zh-CN"/>
        </w:rPr>
        <w:t>min</w:t>
      </w:r>
      <w:r>
        <w:rPr>
          <w:rFonts w:hint="eastAsia"/>
          <w:color w:val="auto"/>
          <w:vertAlign w:val="baseline"/>
          <w:lang w:val="en-US" w:eastAsia="zh-CN"/>
        </w:rPr>
        <w:t>、分界流量</w:t>
      </w:r>
      <w:r>
        <w:rPr>
          <w:rFonts w:hint="eastAsia"/>
          <w:i/>
          <w:iCs/>
          <w:color w:val="auto"/>
          <w:lang w:val="en-US" w:eastAsia="zh-CN"/>
        </w:rPr>
        <w:t>q</w:t>
      </w:r>
      <w:r>
        <w:rPr>
          <w:rFonts w:hint="eastAsia"/>
          <w:color w:val="auto"/>
          <w:vertAlign w:val="subscript"/>
          <w:lang w:val="en-US" w:eastAsia="zh-CN"/>
        </w:rPr>
        <w:t>t</w:t>
      </w:r>
      <w:r>
        <w:rPr>
          <w:rFonts w:hint="eastAsia"/>
          <w:color w:val="auto"/>
          <w:vertAlign w:val="baseline"/>
          <w:lang w:val="en-US" w:eastAsia="zh-CN"/>
        </w:rPr>
        <w:t>、最大流量</w:t>
      </w:r>
      <w:r>
        <w:rPr>
          <w:rFonts w:hint="eastAsia"/>
          <w:i/>
          <w:iCs/>
          <w:color w:val="auto"/>
          <w:lang w:val="en-US" w:eastAsia="zh-CN"/>
        </w:rPr>
        <w:t>q</w:t>
      </w:r>
      <w:r>
        <w:rPr>
          <w:rFonts w:hint="eastAsia"/>
          <w:color w:val="auto"/>
          <w:vertAlign w:val="subscript"/>
          <w:lang w:val="en-US" w:eastAsia="zh-CN"/>
        </w:rPr>
        <w:t>max</w:t>
      </w:r>
      <w:r>
        <w:rPr>
          <w:rFonts w:hint="eastAsia"/>
          <w:color w:val="auto"/>
          <w:vertAlign w:val="baseline"/>
          <w:lang w:val="en-US" w:eastAsia="zh-CN"/>
        </w:rPr>
        <w:t>在流量计说明书及铭牌上有说明或标注。</w:t>
      </w:r>
      <w:r>
        <w:rPr>
          <w:rFonts w:hint="eastAsia"/>
          <w:color w:val="auto"/>
          <w:lang w:val="en-US" w:eastAsia="zh-CN"/>
        </w:rPr>
        <w:t>若流量计说明书及铭牌上无分界流量(</w:t>
      </w:r>
      <w:r>
        <w:rPr>
          <w:rFonts w:hint="eastAsia"/>
          <w:i/>
          <w:iCs/>
          <w:color w:val="auto"/>
          <w:lang w:val="en-US" w:eastAsia="zh-CN"/>
        </w:rPr>
        <w:t>q</w:t>
      </w:r>
      <w:r>
        <w:rPr>
          <w:rFonts w:hint="eastAsia"/>
          <w:color w:val="auto"/>
          <w:vertAlign w:val="subscript"/>
          <w:lang w:val="en-US" w:eastAsia="zh-CN"/>
        </w:rPr>
        <w:t>t</w:t>
      </w:r>
      <w:r>
        <w:rPr>
          <w:rFonts w:hint="eastAsia"/>
          <w:color w:val="auto"/>
          <w:lang w:val="en-US" w:eastAsia="zh-CN"/>
        </w:rPr>
        <w:t>)标识，且无法溯源时，近似取1/3</w:t>
      </w:r>
      <w:r>
        <w:rPr>
          <w:rFonts w:hint="eastAsia"/>
          <w:i/>
          <w:iCs/>
          <w:color w:val="auto"/>
          <w:lang w:val="en-US" w:eastAsia="zh-CN"/>
        </w:rPr>
        <w:t>q</w:t>
      </w:r>
      <w:r>
        <w:rPr>
          <w:rFonts w:hint="eastAsia"/>
          <w:color w:val="auto"/>
          <w:vertAlign w:val="subscript"/>
          <w:lang w:val="en-US" w:eastAsia="zh-CN"/>
        </w:rPr>
        <w:t>max</w:t>
      </w:r>
      <w:r>
        <w:rPr>
          <w:rFonts w:hint="eastAsia"/>
          <w:color w:val="auto"/>
          <w:lang w:val="en-US" w:eastAsia="zh-CN"/>
        </w:rPr>
        <w:t>作为分界点进行评估，但应在校准证书的‘校准结果’或‘偏离说明’中明确标注这一处理方式。</w:t>
      </w:r>
    </w:p>
    <w:p w14:paraId="1DA083EF">
      <w:pPr>
        <w:spacing w:line="360" w:lineRule="auto"/>
        <w:jc w:val="center"/>
        <w:rPr>
          <w:rStyle w:val="102"/>
          <w:rFonts w:hint="default" w:cs="Times New Roman"/>
          <w:color w:val="auto"/>
        </w:rPr>
      </w:pPr>
      <w:bookmarkStart w:id="92" w:name="_Hlk166234278"/>
      <w:r>
        <w:rPr>
          <w:rStyle w:val="102"/>
          <w:rFonts w:hint="default" w:cs="Times New Roman"/>
          <w:color w:val="auto"/>
        </w:rPr>
        <w:t>表1 流量计校准项目和计量特性要求</w:t>
      </w:r>
    </w:p>
    <w:tbl>
      <w:tblPr>
        <w:tblStyle w:val="2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13"/>
        <w:gridCol w:w="1254"/>
        <w:gridCol w:w="1425"/>
        <w:gridCol w:w="1423"/>
        <w:gridCol w:w="1423"/>
        <w:gridCol w:w="1475"/>
      </w:tblGrid>
      <w:tr w14:paraId="181A8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65" w:hRule="atLeast"/>
          <w:jc w:val="center"/>
        </w:trPr>
        <w:tc>
          <w:tcPr>
            <w:tcW w:w="578" w:type="pct"/>
            <w:vMerge w:val="restart"/>
            <w:vAlign w:val="center"/>
          </w:tcPr>
          <w:p w14:paraId="596E980F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28" w:type="pct"/>
            <w:gridSpan w:val="2"/>
            <w:vMerge w:val="restart"/>
            <w:vAlign w:val="center"/>
          </w:tcPr>
          <w:p w14:paraId="17415A9C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项目</w:t>
            </w:r>
          </w:p>
        </w:tc>
        <w:tc>
          <w:tcPr>
            <w:tcW w:w="3093" w:type="pct"/>
            <w:gridSpan w:val="4"/>
            <w:vAlign w:val="center"/>
          </w:tcPr>
          <w:p w14:paraId="4D02FFF4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计量特性</w:t>
            </w:r>
          </w:p>
        </w:tc>
      </w:tr>
      <w:tr w14:paraId="49012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8" w:type="pct"/>
            <w:vMerge w:val="continue"/>
            <w:vAlign w:val="center"/>
          </w:tcPr>
          <w:p w14:paraId="18B56E97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28" w:type="pct"/>
            <w:gridSpan w:val="2"/>
            <w:vMerge w:val="continue"/>
            <w:vAlign w:val="center"/>
          </w:tcPr>
          <w:p w14:paraId="5F7C9A50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 w14:paraId="10886C7F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1.0级</w:t>
            </w:r>
          </w:p>
        </w:tc>
        <w:tc>
          <w:tcPr>
            <w:tcW w:w="766" w:type="pct"/>
            <w:vAlign w:val="center"/>
          </w:tcPr>
          <w:p w14:paraId="573A451E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766" w:type="pct"/>
            <w:vAlign w:val="center"/>
          </w:tcPr>
          <w:p w14:paraId="16AA6B96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2.0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793" w:type="pct"/>
            <w:vAlign w:val="center"/>
          </w:tcPr>
          <w:p w14:paraId="32E27876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.5级</w:t>
            </w:r>
          </w:p>
        </w:tc>
      </w:tr>
      <w:tr w14:paraId="4046C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8" w:type="pct"/>
            <w:vMerge w:val="restart"/>
            <w:vAlign w:val="center"/>
          </w:tcPr>
          <w:p w14:paraId="40E5DCB3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vMerge w:val="restart"/>
            <w:vAlign w:val="center"/>
          </w:tcPr>
          <w:p w14:paraId="1F268292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累积流量</w:t>
            </w:r>
          </w:p>
          <w:p w14:paraId="1ED2D9AC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示值误差</w:t>
            </w:r>
          </w:p>
        </w:tc>
        <w:tc>
          <w:tcPr>
            <w:tcW w:w="675" w:type="pct"/>
            <w:vAlign w:val="center"/>
          </w:tcPr>
          <w:p w14:paraId="3AAEF5B2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min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t</w:t>
            </w:r>
          </w:p>
        </w:tc>
        <w:tc>
          <w:tcPr>
            <w:tcW w:w="767" w:type="pct"/>
            <w:vAlign w:val="center"/>
          </w:tcPr>
          <w:p w14:paraId="6DE3EEC3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±3.0%</w:t>
            </w:r>
          </w:p>
        </w:tc>
        <w:tc>
          <w:tcPr>
            <w:tcW w:w="766" w:type="pct"/>
            <w:vAlign w:val="center"/>
          </w:tcPr>
          <w:p w14:paraId="378D661E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±3.0%</w:t>
            </w:r>
          </w:p>
        </w:tc>
        <w:tc>
          <w:tcPr>
            <w:tcW w:w="766" w:type="pct"/>
            <w:vAlign w:val="center"/>
          </w:tcPr>
          <w:p w14:paraId="2364F281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±4.0%</w:t>
            </w:r>
          </w:p>
        </w:tc>
        <w:tc>
          <w:tcPr>
            <w:tcW w:w="793" w:type="pct"/>
            <w:vAlign w:val="center"/>
          </w:tcPr>
          <w:p w14:paraId="279CDBE9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±5.0%</w:t>
            </w:r>
          </w:p>
        </w:tc>
      </w:tr>
      <w:tr w14:paraId="5FA9C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78" w:type="pct"/>
            <w:vMerge w:val="continue"/>
            <w:vAlign w:val="center"/>
          </w:tcPr>
          <w:p w14:paraId="40A1A472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 w:val="continue"/>
            <w:vAlign w:val="center"/>
          </w:tcPr>
          <w:p w14:paraId="1010B5C2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75" w:type="pct"/>
            <w:vAlign w:val="center"/>
          </w:tcPr>
          <w:p w14:paraId="28B07DC2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t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max</w:t>
            </w:r>
          </w:p>
        </w:tc>
        <w:tc>
          <w:tcPr>
            <w:tcW w:w="767" w:type="pct"/>
            <w:vAlign w:val="center"/>
          </w:tcPr>
          <w:p w14:paraId="77765A65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±1.0%</w:t>
            </w:r>
          </w:p>
        </w:tc>
        <w:tc>
          <w:tcPr>
            <w:tcW w:w="766" w:type="pct"/>
            <w:vAlign w:val="center"/>
          </w:tcPr>
          <w:p w14:paraId="34E42B1B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±1.5%</w:t>
            </w:r>
          </w:p>
        </w:tc>
        <w:tc>
          <w:tcPr>
            <w:tcW w:w="766" w:type="pct"/>
            <w:vAlign w:val="center"/>
          </w:tcPr>
          <w:p w14:paraId="4FE804EA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±2.0%</w:t>
            </w:r>
          </w:p>
        </w:tc>
        <w:tc>
          <w:tcPr>
            <w:tcW w:w="793" w:type="pct"/>
            <w:vAlign w:val="center"/>
          </w:tcPr>
          <w:p w14:paraId="0C108FDA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±2.5%</w:t>
            </w:r>
          </w:p>
        </w:tc>
      </w:tr>
      <w:tr w14:paraId="6E492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8" w:type="pct"/>
            <w:vMerge w:val="restart"/>
            <w:vAlign w:val="center"/>
          </w:tcPr>
          <w:p w14:paraId="37EAF3DC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3" w:type="pct"/>
            <w:vMerge w:val="restart"/>
            <w:vAlign w:val="center"/>
          </w:tcPr>
          <w:p w14:paraId="22B88FC4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瞬时流量</w:t>
            </w:r>
          </w:p>
          <w:p w14:paraId="135583A4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示值误差</w:t>
            </w:r>
          </w:p>
          <w:p w14:paraId="031682B7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pct"/>
            <w:vAlign w:val="center"/>
          </w:tcPr>
          <w:p w14:paraId="75AF088A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min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t</w:t>
            </w:r>
          </w:p>
        </w:tc>
        <w:tc>
          <w:tcPr>
            <w:tcW w:w="767" w:type="pct"/>
            <w:vAlign w:val="center"/>
          </w:tcPr>
          <w:p w14:paraId="494B13C4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±3.0%</w:t>
            </w:r>
          </w:p>
        </w:tc>
        <w:tc>
          <w:tcPr>
            <w:tcW w:w="766" w:type="pct"/>
            <w:vAlign w:val="center"/>
          </w:tcPr>
          <w:p w14:paraId="04D883AC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±3.0%</w:t>
            </w:r>
          </w:p>
        </w:tc>
        <w:tc>
          <w:tcPr>
            <w:tcW w:w="766" w:type="pct"/>
            <w:vAlign w:val="center"/>
          </w:tcPr>
          <w:p w14:paraId="24417653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±4.0%</w:t>
            </w:r>
          </w:p>
        </w:tc>
        <w:tc>
          <w:tcPr>
            <w:tcW w:w="793" w:type="pct"/>
            <w:vAlign w:val="center"/>
          </w:tcPr>
          <w:p w14:paraId="027FB078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±5.0%</w:t>
            </w:r>
          </w:p>
        </w:tc>
      </w:tr>
      <w:tr w14:paraId="5C6D7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8" w:type="pct"/>
            <w:vMerge w:val="continue"/>
            <w:vAlign w:val="center"/>
          </w:tcPr>
          <w:p w14:paraId="339C33A7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 w:val="continue"/>
            <w:vAlign w:val="center"/>
          </w:tcPr>
          <w:p w14:paraId="4A2DA4C0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pct"/>
            <w:vAlign w:val="center"/>
          </w:tcPr>
          <w:p w14:paraId="00A089D2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t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max</w:t>
            </w:r>
          </w:p>
        </w:tc>
        <w:tc>
          <w:tcPr>
            <w:tcW w:w="767" w:type="pct"/>
            <w:vAlign w:val="center"/>
          </w:tcPr>
          <w:p w14:paraId="7DE806FA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±1.0%</w:t>
            </w:r>
          </w:p>
        </w:tc>
        <w:tc>
          <w:tcPr>
            <w:tcW w:w="766" w:type="pct"/>
            <w:vAlign w:val="center"/>
          </w:tcPr>
          <w:p w14:paraId="5CCB82F3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±1.5%</w:t>
            </w:r>
          </w:p>
        </w:tc>
        <w:tc>
          <w:tcPr>
            <w:tcW w:w="766" w:type="pct"/>
            <w:vAlign w:val="center"/>
          </w:tcPr>
          <w:p w14:paraId="61DA597E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±2.0%</w:t>
            </w:r>
          </w:p>
        </w:tc>
        <w:tc>
          <w:tcPr>
            <w:tcW w:w="793" w:type="pct"/>
            <w:vAlign w:val="center"/>
          </w:tcPr>
          <w:p w14:paraId="388AB0F3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±2.5%</w:t>
            </w:r>
          </w:p>
        </w:tc>
      </w:tr>
      <w:tr w14:paraId="618BB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8" w:type="pct"/>
            <w:vAlign w:val="center"/>
          </w:tcPr>
          <w:p w14:paraId="059DCC6C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8" w:type="pct"/>
            <w:gridSpan w:val="2"/>
            <w:vAlign w:val="center"/>
          </w:tcPr>
          <w:p w14:paraId="224FAF11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重复性</w:t>
            </w:r>
          </w:p>
        </w:tc>
        <w:tc>
          <w:tcPr>
            <w:tcW w:w="3093" w:type="pct"/>
            <w:gridSpan w:val="4"/>
            <w:vAlign w:val="center"/>
          </w:tcPr>
          <w:p w14:paraId="57E42C7E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不超过最大允许误差绝对值的1/3。</w:t>
            </w:r>
          </w:p>
        </w:tc>
      </w:tr>
      <w:tr w14:paraId="0DFA1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8" w:type="pct"/>
            <w:vAlign w:val="center"/>
          </w:tcPr>
          <w:p w14:paraId="7E8EB160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28" w:type="pct"/>
            <w:gridSpan w:val="2"/>
            <w:vAlign w:val="center"/>
          </w:tcPr>
          <w:p w14:paraId="27977EC7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变送输出误差</w:t>
            </w:r>
          </w:p>
        </w:tc>
        <w:tc>
          <w:tcPr>
            <w:tcW w:w="3093" w:type="pct"/>
            <w:gridSpan w:val="4"/>
            <w:vAlign w:val="center"/>
          </w:tcPr>
          <w:p w14:paraId="56048372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±0.5%</w:t>
            </w:r>
          </w:p>
        </w:tc>
      </w:tr>
      <w:bookmarkEnd w:id="92"/>
    </w:tbl>
    <w:p w14:paraId="6F461FBE">
      <w:pPr>
        <w:pStyle w:val="42"/>
        <w:spacing w:before="240" w:beforeLines="100" w:after="120" w:line="360" w:lineRule="auto"/>
        <w:outlineLvl w:val="0"/>
        <w:rPr>
          <w:rFonts w:hint="eastAsia"/>
        </w:rPr>
      </w:pPr>
      <w:bookmarkStart w:id="93" w:name="_Toc104"/>
      <w:bookmarkStart w:id="94" w:name="_Toc22525"/>
      <w:bookmarkStart w:id="95" w:name="_Toc31834"/>
      <w:bookmarkStart w:id="96" w:name="_Toc13070"/>
      <w:bookmarkStart w:id="97" w:name="_Toc25264"/>
      <w:bookmarkStart w:id="98" w:name="_Toc17973"/>
      <w:r>
        <w:t>校准条件</w:t>
      </w:r>
      <w:bookmarkEnd w:id="93"/>
      <w:bookmarkEnd w:id="94"/>
      <w:bookmarkEnd w:id="95"/>
      <w:bookmarkEnd w:id="96"/>
      <w:bookmarkEnd w:id="97"/>
      <w:bookmarkEnd w:id="98"/>
    </w:p>
    <w:p w14:paraId="6ED016D2">
      <w:pPr>
        <w:pStyle w:val="51"/>
        <w:spacing w:before="0" w:beforeLines="0" w:after="0" w:afterLines="0"/>
        <w:outlineLvl w:val="1"/>
        <w:rPr>
          <w:rFonts w:ascii="Times New Roman" w:hAnsi="Times New Roman"/>
        </w:rPr>
      </w:pPr>
      <w:bookmarkStart w:id="99" w:name="_Toc23784561"/>
      <w:bookmarkStart w:id="100" w:name="_Toc8066_WPSOffice_Level2"/>
      <w:bookmarkStart w:id="101" w:name="_Toc23784660"/>
      <w:bookmarkStart w:id="102" w:name="_Toc193860033"/>
      <w:bookmarkStart w:id="103" w:name="_Toc193860183"/>
      <w:bookmarkStart w:id="104" w:name="_Toc32245"/>
      <w:bookmarkStart w:id="105" w:name="_Toc17404"/>
      <w:bookmarkStart w:id="106" w:name="_Toc193860214"/>
      <w:bookmarkStart w:id="107" w:name="_Toc23785558"/>
      <w:r>
        <w:rPr>
          <w:rFonts w:ascii="Times New Roman" w:hAnsi="Times New Roman"/>
        </w:rPr>
        <w:t xml:space="preserve"> </w:t>
      </w:r>
      <w:bookmarkStart w:id="108" w:name="_Toc10250"/>
      <w:bookmarkStart w:id="109" w:name="_Toc26289"/>
      <w:bookmarkStart w:id="110" w:name="_Toc99355907"/>
      <w:bookmarkStart w:id="111" w:name="_Toc19335"/>
      <w:bookmarkStart w:id="112" w:name="_Toc30710"/>
      <w:bookmarkStart w:id="113" w:name="_Toc10368"/>
      <w:bookmarkStart w:id="114" w:name="_Toc21803"/>
      <w:bookmarkStart w:id="115" w:name="_Toc16082"/>
      <w:r>
        <w:rPr>
          <w:rFonts w:ascii="Times New Roman" w:hAnsi="Times New Roman"/>
        </w:rPr>
        <w:t>环境条件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Start w:id="116" w:name="_Toc20581_WPSOffice_Level2"/>
      <w:bookmarkStart w:id="117" w:name="_Toc23785560"/>
      <w:bookmarkStart w:id="118" w:name="_Toc23784662"/>
      <w:bookmarkStart w:id="119" w:name="_Toc23784563"/>
    </w:p>
    <w:p w14:paraId="3B1EA344">
      <w:pPr>
        <w:pStyle w:val="50"/>
        <w:spacing w:before="0" w:beforeLines="0" w:after="0" w:afterLines="0" w:line="360" w:lineRule="auto"/>
        <w:outlineLvl w:val="9"/>
        <w:rPr>
          <w:lang w:bidi="zh-TW"/>
        </w:rPr>
      </w:pPr>
      <w:bookmarkStart w:id="120" w:name="_Toc19955"/>
      <w:r>
        <w:rPr>
          <w:lang w:bidi="zh-TW"/>
        </w:rPr>
        <w:t xml:space="preserve"> 环境温度：</w:t>
      </w:r>
      <w:r>
        <w:rPr>
          <w:color w:val="auto"/>
          <w:lang w:bidi="zh-TW"/>
        </w:rPr>
        <w:t>（</w:t>
      </w:r>
      <w:r>
        <w:rPr>
          <w:rFonts w:hint="eastAsia"/>
          <w:color w:val="auto"/>
          <w:lang w:val="en-US" w:eastAsia="zh-CN" w:bidi="zh-TW"/>
        </w:rPr>
        <w:t>-</w:t>
      </w:r>
      <w:bookmarkStart w:id="121" w:name="OLE_LINK4"/>
      <w:r>
        <w:rPr>
          <w:rFonts w:hint="eastAsia"/>
          <w:color w:val="auto"/>
          <w:lang w:val="en-US" w:eastAsia="zh-CN" w:bidi="zh-TW"/>
        </w:rPr>
        <w:t>20</w:t>
      </w:r>
      <w:r>
        <w:rPr>
          <w:color w:val="auto"/>
          <w:lang w:bidi="zh-TW"/>
        </w:rPr>
        <w:t>～</w:t>
      </w:r>
      <w:bookmarkEnd w:id="121"/>
      <w:r>
        <w:rPr>
          <w:rFonts w:hint="eastAsia"/>
          <w:color w:val="auto"/>
          <w:lang w:val="en-US" w:eastAsia="zh-CN" w:bidi="zh-TW"/>
        </w:rPr>
        <w:t>55</w:t>
      </w:r>
      <w:r>
        <w:rPr>
          <w:color w:val="auto"/>
          <w:lang w:bidi="zh-TW"/>
        </w:rPr>
        <w:t>）℃。</w:t>
      </w:r>
    </w:p>
    <w:p w14:paraId="0F1CE450">
      <w:pPr>
        <w:pStyle w:val="50"/>
        <w:spacing w:before="0" w:beforeLines="0" w:after="0" w:afterLines="0" w:line="360" w:lineRule="auto"/>
        <w:outlineLvl w:val="9"/>
      </w:pPr>
      <w:r>
        <w:rPr>
          <w:rFonts w:hint="eastAsia"/>
          <w:lang w:bidi="zh-TW"/>
        </w:rPr>
        <w:t xml:space="preserve"> </w:t>
      </w:r>
      <w:r>
        <w:rPr>
          <w:lang w:bidi="zh-TW"/>
        </w:rPr>
        <w:t>相对湿度</w:t>
      </w:r>
      <w:r>
        <w:rPr>
          <w:rFonts w:hint="eastAsia"/>
          <w:lang w:bidi="zh-TW"/>
        </w:rPr>
        <w:t>：不大于9</w:t>
      </w:r>
      <w:r>
        <w:rPr>
          <w:rFonts w:hint="eastAsia"/>
          <w:lang w:val="en-US" w:eastAsia="zh-CN" w:bidi="zh-TW"/>
        </w:rPr>
        <w:t>5</w:t>
      </w:r>
      <w:r>
        <w:rPr>
          <w:lang w:bidi="zh-TW"/>
        </w:rPr>
        <w:t>%</w:t>
      </w:r>
      <w:r>
        <w:rPr>
          <w:rFonts w:hint="eastAsia"/>
          <w:lang w:eastAsia="zh-CN" w:bidi="zh-TW"/>
        </w:rPr>
        <w:t>。</w:t>
      </w:r>
    </w:p>
    <w:p w14:paraId="11C390C1">
      <w:pPr>
        <w:pStyle w:val="50"/>
        <w:spacing w:before="0" w:beforeLines="0" w:after="0" w:afterLines="0" w:line="360" w:lineRule="auto"/>
        <w:outlineLvl w:val="9"/>
      </w:pPr>
      <w:r>
        <w:rPr>
          <w:lang w:bidi="zh-TW"/>
        </w:rPr>
        <w:t xml:space="preserve"> </w:t>
      </w:r>
      <w:r>
        <w:rPr>
          <w:rFonts w:hint="eastAsia"/>
          <w:lang w:bidi="zh-TW"/>
        </w:rPr>
        <w:t>大气压力：（86</w:t>
      </w:r>
      <w:r>
        <w:rPr>
          <w:lang w:bidi="zh-TW"/>
        </w:rPr>
        <w:t>～</w:t>
      </w:r>
      <w:r>
        <w:rPr>
          <w:rFonts w:hint="eastAsia"/>
          <w:lang w:bidi="zh-TW"/>
        </w:rPr>
        <w:t>106）kPa</w:t>
      </w:r>
      <w:r>
        <w:rPr>
          <w:lang w:bidi="zh-TW"/>
        </w:rPr>
        <w:t>。</w:t>
      </w:r>
    </w:p>
    <w:p w14:paraId="7A5DC3AF">
      <w:pPr>
        <w:pStyle w:val="50"/>
        <w:spacing w:before="0" w:beforeLines="0" w:after="0" w:afterLines="0" w:line="360" w:lineRule="auto"/>
        <w:outlineLvl w:val="9"/>
      </w:pPr>
      <w:r>
        <w:rPr>
          <w:lang w:bidi="zh-TW"/>
        </w:rPr>
        <w:t xml:space="preserve"> 工作环境中应无影响</w:t>
      </w:r>
      <w:r>
        <w:rPr>
          <w:rFonts w:hint="eastAsia"/>
          <w:lang w:bidi="zh-TW"/>
        </w:rPr>
        <w:t>流量计</w:t>
      </w:r>
      <w:r>
        <w:rPr>
          <w:lang w:bidi="zh-TW"/>
        </w:rPr>
        <w:t>正常工作的电磁场</w:t>
      </w:r>
      <w:r>
        <w:rPr>
          <w:rFonts w:hint="eastAsia"/>
          <w:lang w:eastAsia="zh-CN" w:bidi="zh-TW"/>
        </w:rPr>
        <w:t>、</w:t>
      </w:r>
      <w:r>
        <w:rPr>
          <w:rFonts w:hint="eastAsia"/>
          <w:lang w:bidi="zh-TW"/>
        </w:rPr>
        <w:t>机械振动</w:t>
      </w:r>
      <w:r>
        <w:rPr>
          <w:rFonts w:hint="eastAsia"/>
          <w:lang w:val="en-US" w:eastAsia="zh-CN" w:bidi="zh-TW"/>
        </w:rPr>
        <w:t>和噪声</w:t>
      </w:r>
      <w:r>
        <w:rPr>
          <w:rFonts w:hint="eastAsia"/>
          <w:lang w:bidi="zh-TW"/>
        </w:rPr>
        <w:t>。</w:t>
      </w:r>
    </w:p>
    <w:p w14:paraId="31822402">
      <w:pPr>
        <w:pStyle w:val="51"/>
        <w:spacing w:before="0" w:beforeLines="0" w:after="0" w:afterLines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  <w:lang w:val="en-US" w:eastAsia="zh-CN"/>
        </w:rPr>
        <w:t>液体介质</w:t>
      </w:r>
      <w:r>
        <w:rPr>
          <w:rFonts w:ascii="Times New Roman" w:hAnsi="Times New Roman"/>
        </w:rPr>
        <w:t>条件</w:t>
      </w:r>
    </w:p>
    <w:p w14:paraId="6D6C70DA">
      <w:pPr>
        <w:pStyle w:val="50"/>
        <w:spacing w:before="0" w:beforeLines="0" w:after="0" w:afterLines="0" w:line="360" w:lineRule="auto"/>
        <w:outlineLvl w:val="9"/>
        <w:rPr>
          <w:lang w:bidi="zh-TW"/>
        </w:rPr>
      </w:pPr>
      <w:r>
        <w:rPr>
          <w:lang w:bidi="zh-TW"/>
        </w:rPr>
        <w:t xml:space="preserve"> </w:t>
      </w:r>
      <w:r>
        <w:rPr>
          <w:rFonts w:hint="eastAsia"/>
          <w:lang w:val="en-US" w:eastAsia="zh-CN" w:bidi="zh-TW"/>
        </w:rPr>
        <w:t>被校流量计及标准流量计测量点管道内液体应为单相液体，充满管道，无漩涡。</w:t>
      </w:r>
    </w:p>
    <w:p w14:paraId="23B3D285">
      <w:pPr>
        <w:pStyle w:val="50"/>
        <w:spacing w:before="0" w:beforeLines="0" w:after="0" w:afterLines="0" w:line="360" w:lineRule="auto"/>
        <w:outlineLvl w:val="9"/>
        <w:rPr>
          <w:lang w:bidi="zh-TW"/>
        </w:rPr>
      </w:pPr>
      <w:r>
        <w:rPr>
          <w:rFonts w:hint="eastAsia"/>
          <w:lang w:val="en-US" w:eastAsia="zh-CN" w:bidi="zh-TW"/>
        </w:rPr>
        <w:t xml:space="preserve"> 液体介质应是洁净的，无可见颗粒、纤维等杂质，不夹杂气泡。</w:t>
      </w:r>
    </w:p>
    <w:p w14:paraId="0CBEB9A2">
      <w:pPr>
        <w:pStyle w:val="50"/>
        <w:spacing w:before="0" w:beforeLines="0" w:after="0" w:afterLines="0" w:line="360" w:lineRule="auto"/>
        <w:outlineLvl w:val="9"/>
        <w:rPr>
          <w:lang w:bidi="zh-TW"/>
        </w:rPr>
      </w:pPr>
      <w:r>
        <w:rPr>
          <w:rFonts w:hint="eastAsia"/>
          <w:lang w:val="en-US" w:eastAsia="zh-CN" w:bidi="zh-TW"/>
        </w:rPr>
        <w:t xml:space="preserve"> 校准过程中，液体流量应稳定，液体压力、温度无明显变化。</w:t>
      </w:r>
    </w:p>
    <w:p w14:paraId="77BBE4F4">
      <w:pPr>
        <w:pStyle w:val="51"/>
        <w:spacing w:before="0" w:beforeLines="0" w:after="0" w:afterLines="0"/>
        <w:outlineLvl w:val="1"/>
        <w:rPr>
          <w:rFonts w:ascii="Times New Roman" w:hAnsi="Times New Roman"/>
          <w:highlight w:val="none"/>
        </w:rPr>
      </w:pP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  <w:lang w:val="en-US" w:eastAsia="zh-CN"/>
        </w:rPr>
        <w:t>流量计安装</w:t>
      </w:r>
      <w:r>
        <w:rPr>
          <w:rFonts w:ascii="Times New Roman" w:hAnsi="Times New Roman"/>
        </w:rPr>
        <w:t>条</w:t>
      </w:r>
      <w:r>
        <w:rPr>
          <w:rFonts w:ascii="Times New Roman" w:hAnsi="Times New Roman"/>
          <w:highlight w:val="none"/>
        </w:rPr>
        <w:t>件</w:t>
      </w:r>
    </w:p>
    <w:p w14:paraId="5842F979">
      <w:pPr>
        <w:pStyle w:val="5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textAlignment w:val="auto"/>
        <w:outlineLvl w:val="9"/>
      </w:pPr>
      <w:r>
        <w:rPr>
          <w:rFonts w:hint="eastAsia"/>
          <w:highlight w:val="none"/>
          <w:lang w:val="en-US" w:eastAsia="zh-CN" w:bidi="zh-TW"/>
        </w:rPr>
        <w:t xml:space="preserve"> 流量计安装点位应在</w:t>
      </w:r>
      <w:r>
        <w:rPr>
          <w:rFonts w:hint="eastAsia"/>
          <w:lang w:val="en-US" w:eastAsia="zh-CN" w:bidi="zh-TW"/>
        </w:rPr>
        <w:t>管道上游10倍管道公称通径（10DN）内、下游5倍管道公称通径（5DN）</w:t>
      </w:r>
      <w:r>
        <w:rPr>
          <w:rFonts w:hint="eastAsia"/>
          <w:highlight w:val="none"/>
          <w:lang w:val="en-US" w:eastAsia="zh-CN" w:bidi="zh-TW"/>
        </w:rPr>
        <w:t>内，应无</w:t>
      </w:r>
      <w:r>
        <w:rPr>
          <w:rFonts w:hint="eastAsia"/>
          <w:lang w:val="en-US" w:eastAsia="zh-CN" w:bidi="zh-TW"/>
        </w:rPr>
        <w:t>弯头、变径、阀门、泵等扰流部件</w:t>
      </w:r>
      <w:r>
        <w:rPr>
          <w:rFonts w:hint="eastAsia"/>
          <w:color w:val="auto"/>
          <w:vertAlign w:val="baseline"/>
          <w:lang w:val="en-US" w:eastAsia="zh-CN"/>
        </w:rPr>
        <w:t>。若被校流量计与标准流量计安装直管段不满足要求，流量示值最大允许误差增加一个0.5%的相对附加误差。</w:t>
      </w:r>
    </w:p>
    <w:p w14:paraId="7E448DF7">
      <w:pPr>
        <w:pStyle w:val="5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textAlignment w:val="auto"/>
        <w:outlineLvl w:val="9"/>
      </w:pPr>
      <w:r>
        <w:rPr>
          <w:rFonts w:hint="eastAsia"/>
          <w:lang w:val="en-US" w:eastAsia="zh-CN" w:bidi="zh-TW"/>
        </w:rPr>
        <w:t xml:space="preserve"> 被校流量计和标准流量计应安装在相同管径上，在无干扰的情况下，两个流量计间距应尽量短。</w:t>
      </w:r>
      <w:r>
        <w:rPr>
          <w:rFonts w:hint="eastAsia"/>
          <w:color w:val="auto"/>
          <w:vertAlign w:val="baseline"/>
          <w:lang w:val="en-US" w:eastAsia="zh-CN"/>
        </w:rPr>
        <w:t>若被校流量计使用管径与标准流量计校准管径之比大于2或小于1/2，流量示值最大允许误差增加一个0.5%的相对附加误差。</w:t>
      </w:r>
    </w:p>
    <w:p w14:paraId="0468D9E2">
      <w:pPr>
        <w:pStyle w:val="50"/>
        <w:spacing w:before="0" w:beforeLines="0" w:after="0" w:afterLines="0" w:line="360" w:lineRule="auto"/>
        <w:outlineLvl w:val="9"/>
      </w:pPr>
      <w:r>
        <w:rPr>
          <w:rFonts w:hint="eastAsia"/>
          <w:lang w:val="en-US" w:eastAsia="zh-CN" w:bidi="zh-TW"/>
        </w:rPr>
        <w:t xml:space="preserve"> 流量计安装点位和校准点位管道内壁应无积垢、凹痕等情况，若无法避开结垢管</w:t>
      </w:r>
      <w:r>
        <w:rPr>
          <w:rFonts w:hint="eastAsia"/>
          <w:highlight w:val="none"/>
          <w:lang w:val="en-US" w:eastAsia="zh-CN" w:bidi="zh-TW"/>
        </w:rPr>
        <w:t>段、衬里</w:t>
      </w:r>
      <w:r>
        <w:rPr>
          <w:rFonts w:hint="eastAsia"/>
          <w:lang w:val="en-US" w:eastAsia="zh-CN" w:bidi="zh-TW"/>
        </w:rPr>
        <w:t>材质和厚度未知</w:t>
      </w:r>
      <w:r>
        <w:rPr>
          <w:rFonts w:hint="eastAsia"/>
          <w:color w:val="auto"/>
          <w:vertAlign w:val="baseline"/>
          <w:lang w:val="en-US" w:eastAsia="zh-CN"/>
        </w:rPr>
        <w:t>，流量示值最大允许误差增加一个0.5%的相对附加误差。</w:t>
      </w:r>
    </w:p>
    <w:bookmarkEnd w:id="120"/>
    <w:p w14:paraId="60547940">
      <w:pPr>
        <w:pStyle w:val="51"/>
        <w:spacing w:before="0" w:beforeLines="0" w:after="0" w:afterLines="0"/>
        <w:outlineLvl w:val="1"/>
        <w:rPr>
          <w:rFonts w:hint="eastAsia"/>
        </w:rPr>
      </w:pPr>
      <w:r>
        <w:rPr>
          <w:rFonts w:hint="eastAsia"/>
        </w:rPr>
        <w:t xml:space="preserve"> </w:t>
      </w:r>
      <w:bookmarkEnd w:id="116"/>
      <w:bookmarkEnd w:id="117"/>
      <w:bookmarkEnd w:id="118"/>
      <w:bookmarkEnd w:id="119"/>
      <w:bookmarkStart w:id="122" w:name="_Toc22412"/>
      <w:r>
        <w:rPr>
          <w:rFonts w:hint="eastAsia"/>
          <w:lang w:val="en-US" w:eastAsia="zh-CN"/>
        </w:rPr>
        <w:t>测量</w:t>
      </w:r>
      <w:r>
        <w:rPr>
          <w:rFonts w:hint="eastAsia"/>
        </w:rPr>
        <w:t>标准</w:t>
      </w:r>
      <w:r>
        <w:t>及</w:t>
      </w:r>
      <w:r>
        <w:rPr>
          <w:rFonts w:hint="eastAsia"/>
        </w:rPr>
        <w:t>其他</w:t>
      </w:r>
      <w:r>
        <w:t>设备</w:t>
      </w:r>
      <w:bookmarkEnd w:id="122"/>
    </w:p>
    <w:p w14:paraId="3FF90C4F">
      <w:pPr>
        <w:pStyle w:val="43"/>
        <w:rPr>
          <w:color w:val="auto"/>
        </w:rPr>
      </w:pPr>
      <w:r>
        <w:rPr>
          <w:rFonts w:hint="eastAsia"/>
          <w:color w:val="auto"/>
        </w:rPr>
        <w:t>校准流量计所用的</w:t>
      </w:r>
      <w:r>
        <w:rPr>
          <w:rFonts w:hint="eastAsia"/>
          <w:color w:val="auto"/>
          <w:lang w:val="en-US" w:eastAsia="zh-CN"/>
        </w:rPr>
        <w:t>测量</w:t>
      </w:r>
      <w:r>
        <w:rPr>
          <w:rFonts w:hint="eastAsia"/>
          <w:color w:val="auto"/>
        </w:rPr>
        <w:t>标准及其他设备的技术要求见表2。</w:t>
      </w:r>
    </w:p>
    <w:p w14:paraId="72F8602F">
      <w:pPr>
        <w:spacing w:line="360" w:lineRule="auto"/>
        <w:jc w:val="center"/>
        <w:rPr>
          <w:rStyle w:val="102"/>
          <w:rFonts w:hint="default" w:cs="Times New Roman"/>
          <w:color w:val="auto"/>
        </w:rPr>
      </w:pPr>
      <w:bookmarkStart w:id="123" w:name="_Hlk166240230"/>
      <w:r>
        <w:rPr>
          <w:rStyle w:val="102"/>
          <w:rFonts w:hint="default" w:cs="Times New Roman"/>
          <w:color w:val="auto"/>
        </w:rPr>
        <w:t>表2 计量标准及其他设备技术要求</w:t>
      </w:r>
    </w:p>
    <w:tbl>
      <w:tblPr>
        <w:tblStyle w:val="2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150"/>
        <w:gridCol w:w="3198"/>
        <w:gridCol w:w="3185"/>
      </w:tblGrid>
      <w:tr w14:paraId="61DE4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405" w:type="pct"/>
            <w:vAlign w:val="center"/>
          </w:tcPr>
          <w:p w14:paraId="6E1BECEB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57" w:type="pct"/>
            <w:vAlign w:val="center"/>
          </w:tcPr>
          <w:p w14:paraId="4474CD0E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测量标准及其他设备</w:t>
            </w:r>
          </w:p>
        </w:tc>
        <w:tc>
          <w:tcPr>
            <w:tcW w:w="1721" w:type="pct"/>
            <w:vAlign w:val="center"/>
          </w:tcPr>
          <w:p w14:paraId="050CCE1D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技术要求</w:t>
            </w:r>
          </w:p>
        </w:tc>
        <w:tc>
          <w:tcPr>
            <w:tcW w:w="1714" w:type="pct"/>
            <w:vAlign w:val="center"/>
          </w:tcPr>
          <w:p w14:paraId="62DC8532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用途</w:t>
            </w:r>
          </w:p>
        </w:tc>
      </w:tr>
      <w:tr w14:paraId="26F00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405" w:type="pct"/>
            <w:vAlign w:val="center"/>
          </w:tcPr>
          <w:p w14:paraId="1D45B051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157" w:type="pct"/>
            <w:vAlign w:val="center"/>
          </w:tcPr>
          <w:p w14:paraId="4E78A5F6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标准超声波流量计</w:t>
            </w:r>
          </w:p>
        </w:tc>
        <w:tc>
          <w:tcPr>
            <w:tcW w:w="1721" w:type="pct"/>
            <w:vAlign w:val="center"/>
          </w:tcPr>
          <w:p w14:paraId="6B26526C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U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vertAlign w:val="subscript"/>
                <w:lang w:val="en-US" w:eastAsia="zh-CN"/>
              </w:rPr>
              <w:t>rel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≤0.5%，</w:t>
            </w:r>
            <w:r>
              <w:rPr>
                <w:rFonts w:hint="eastAsia" w:cs="Times New Roman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k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=2</w:t>
            </w:r>
          </w:p>
        </w:tc>
        <w:tc>
          <w:tcPr>
            <w:tcW w:w="1714" w:type="pct"/>
            <w:vAlign w:val="center"/>
          </w:tcPr>
          <w:p w14:paraId="363C4F72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标准流量计，测量液体流量。</w:t>
            </w:r>
          </w:p>
        </w:tc>
      </w:tr>
      <w:tr w14:paraId="115CB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405" w:type="pct"/>
            <w:vAlign w:val="center"/>
          </w:tcPr>
          <w:p w14:paraId="178B75B3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7" w:type="pct"/>
            <w:vAlign w:val="center"/>
          </w:tcPr>
          <w:p w14:paraId="2E93F097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测厚仪</w:t>
            </w:r>
          </w:p>
        </w:tc>
        <w:tc>
          <w:tcPr>
            <w:tcW w:w="1721" w:type="pct"/>
            <w:vAlign w:val="center"/>
          </w:tcPr>
          <w:p w14:paraId="07C3C5A6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MPE:±0.1mm</w:t>
            </w:r>
          </w:p>
        </w:tc>
        <w:tc>
          <w:tcPr>
            <w:tcW w:w="1714" w:type="pct"/>
            <w:vAlign w:val="center"/>
          </w:tcPr>
          <w:p w14:paraId="09C68CC1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测量管道壁厚。</w:t>
            </w:r>
          </w:p>
        </w:tc>
      </w:tr>
      <w:tr w14:paraId="70DDD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405" w:type="pct"/>
            <w:vAlign w:val="center"/>
          </w:tcPr>
          <w:p w14:paraId="0031134E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57" w:type="pct"/>
            <w:vAlign w:val="center"/>
          </w:tcPr>
          <w:p w14:paraId="71814B62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秒表</w:t>
            </w:r>
          </w:p>
        </w:tc>
        <w:tc>
          <w:tcPr>
            <w:tcW w:w="1721" w:type="pct"/>
            <w:vAlign w:val="center"/>
          </w:tcPr>
          <w:p w14:paraId="1054174C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时间间隔1h：±0.1s</w:t>
            </w:r>
          </w:p>
        </w:tc>
        <w:tc>
          <w:tcPr>
            <w:tcW w:w="1714" w:type="pct"/>
            <w:vAlign w:val="center"/>
          </w:tcPr>
          <w:p w14:paraId="5D2D1F29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测量累积时间。</w:t>
            </w:r>
          </w:p>
        </w:tc>
      </w:tr>
      <w:tr w14:paraId="2D799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405" w:type="pct"/>
            <w:vAlign w:val="center"/>
          </w:tcPr>
          <w:p w14:paraId="0D2C3AD9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7" w:type="pct"/>
            <w:vAlign w:val="center"/>
          </w:tcPr>
          <w:p w14:paraId="39D090FA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钢卷尺</w:t>
            </w:r>
          </w:p>
        </w:tc>
        <w:tc>
          <w:tcPr>
            <w:tcW w:w="1721" w:type="pct"/>
            <w:vAlign w:val="center"/>
          </w:tcPr>
          <w:p w14:paraId="3CD60F26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不低于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Ⅰ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级</w:t>
            </w:r>
          </w:p>
        </w:tc>
        <w:tc>
          <w:tcPr>
            <w:tcW w:w="1714" w:type="pct"/>
            <w:vAlign w:val="center"/>
          </w:tcPr>
          <w:p w14:paraId="01C3F591"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测量管道周长、直径和标准流量计传感器安装距离，也可用满足要求的π尺、卡尺等代替。</w:t>
            </w:r>
          </w:p>
        </w:tc>
      </w:tr>
      <w:tr w14:paraId="26337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405" w:type="pct"/>
            <w:vAlign w:val="center"/>
          </w:tcPr>
          <w:p w14:paraId="4A61CADE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7" w:type="pct"/>
            <w:vAlign w:val="center"/>
          </w:tcPr>
          <w:p w14:paraId="3353B224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数字多用表</w:t>
            </w:r>
          </w:p>
        </w:tc>
        <w:tc>
          <w:tcPr>
            <w:tcW w:w="1721" w:type="pct"/>
            <w:vAlign w:val="center"/>
          </w:tcPr>
          <w:p w14:paraId="2D526466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  <w:t>直流电流测量范围：（4~20）mA，</w:t>
            </w:r>
          </w:p>
          <w:p w14:paraId="74AC1989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  <w:t>直流电压测量范围：（0~10）V，</w:t>
            </w:r>
          </w:p>
          <w:p w14:paraId="2E70E04A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  <w:t>最大允许误差：不超过±0.05%。</w:t>
            </w:r>
          </w:p>
        </w:tc>
        <w:tc>
          <w:tcPr>
            <w:tcW w:w="1714" w:type="pct"/>
            <w:vAlign w:val="center"/>
          </w:tcPr>
          <w:p w14:paraId="4FC8A845"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default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测量检测仪变送输出的标准电信号，也可用其他满足要求的电流表或电压表代替。</w:t>
            </w:r>
          </w:p>
        </w:tc>
      </w:tr>
      <w:bookmarkEnd w:id="123"/>
    </w:tbl>
    <w:p w14:paraId="364CE0F7">
      <w:pPr>
        <w:pStyle w:val="5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textAlignment w:val="auto"/>
        <w:outlineLvl w:val="1"/>
        <w:rPr>
          <w:rFonts w:hint="eastAsia"/>
        </w:rPr>
      </w:pPr>
      <w:r>
        <w:rPr>
          <w:rFonts w:hint="eastAsia"/>
        </w:rPr>
        <w:t xml:space="preserve"> </w:t>
      </w:r>
      <w:bookmarkStart w:id="124" w:name="_Toc28495"/>
      <w:r>
        <w:rPr>
          <w:rFonts w:hint="eastAsia"/>
        </w:rPr>
        <w:t>其他条件</w:t>
      </w:r>
      <w:bookmarkEnd w:id="124"/>
    </w:p>
    <w:p w14:paraId="7C9887A9">
      <w:pPr>
        <w:pStyle w:val="50"/>
        <w:spacing w:before="0" w:beforeLines="0" w:after="0" w:afterLines="0" w:line="360" w:lineRule="auto"/>
        <w:outlineLvl w:val="9"/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铭牌和标识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流量计应有流向标识，铭牌上应有清晰可见的测量范围、管道通径、准确度等级、分界流量、耐压等级、厂商信息</w:t>
      </w:r>
      <w:r>
        <w:rPr>
          <w:rFonts w:hint="eastAsia"/>
        </w:rPr>
        <w:t>。</w:t>
      </w:r>
    </w:p>
    <w:p w14:paraId="7236C572">
      <w:pPr>
        <w:pStyle w:val="50"/>
        <w:spacing w:before="0" w:beforeLines="0" w:after="0" w:afterLines="0" w:line="360" w:lineRule="auto"/>
        <w:outlineLvl w:val="9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外观和密封性：流量计外观结构应完好，无影响准确性的锈蚀和损伤情况，显示部分完整清晰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被校流量计表体各接口、法兰应无泄漏。</w:t>
      </w:r>
    </w:p>
    <w:p w14:paraId="0C349A9F">
      <w:pPr>
        <w:pStyle w:val="50"/>
        <w:spacing w:before="0" w:beforeLines="0" w:after="0" w:afterLines="0" w:line="360" w:lineRule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 xml:space="preserve"> 功能参数：除机械式流量计，被校流量计界面菜单应有密码保护功</w:t>
      </w:r>
      <w:r>
        <w:rPr>
          <w:rFonts w:hint="eastAsia"/>
          <w:highlight w:val="none"/>
          <w:lang w:val="en-US" w:eastAsia="zh-CN"/>
        </w:rPr>
        <w:t>能，参</w:t>
      </w:r>
      <w:r>
        <w:rPr>
          <w:rFonts w:hint="eastAsia"/>
          <w:lang w:val="en-US" w:eastAsia="zh-CN"/>
        </w:rPr>
        <w:t>数不被随意更改。菜单中管径、壁厚、流量系数、介质、管道材料等参数应与工况实际相一致。</w:t>
      </w:r>
    </w:p>
    <w:p w14:paraId="4DB0D072">
      <w:pPr>
        <w:pStyle w:val="42"/>
        <w:spacing w:before="120" w:after="120" w:line="360" w:lineRule="auto"/>
        <w:outlineLvl w:val="0"/>
        <w:rPr>
          <w:rFonts w:hint="eastAsia"/>
        </w:rPr>
      </w:pPr>
      <w:bookmarkStart w:id="125" w:name="_Toc23785566"/>
      <w:bookmarkStart w:id="126" w:name="_Toc193619100"/>
      <w:bookmarkStart w:id="127" w:name="_Toc5198"/>
      <w:bookmarkStart w:id="128" w:name="_Toc193860216"/>
      <w:bookmarkStart w:id="129" w:name="_Toc27992_WPSOffice_Level1"/>
      <w:bookmarkStart w:id="130" w:name="_Toc193860185"/>
      <w:bookmarkStart w:id="131" w:name="_Toc23784569"/>
      <w:bookmarkStart w:id="132" w:name="_Toc193618955"/>
      <w:bookmarkStart w:id="133" w:name="_Toc193619058"/>
      <w:bookmarkStart w:id="134" w:name="_Toc29120"/>
      <w:bookmarkStart w:id="135" w:name="_Toc23784668"/>
      <w:bookmarkStart w:id="136" w:name="_Toc193860035"/>
      <w:r>
        <w:rPr>
          <w:rFonts w:hint="eastAsia"/>
        </w:rPr>
        <w:t xml:space="preserve"> </w:t>
      </w:r>
      <w:bookmarkStart w:id="137" w:name="_Toc13626"/>
      <w:bookmarkStart w:id="138" w:name="_Toc1347"/>
      <w:bookmarkStart w:id="139" w:name="_Toc4762"/>
      <w:bookmarkStart w:id="140" w:name="_Toc8362"/>
      <w:bookmarkStart w:id="141" w:name="_Toc26894"/>
      <w:r>
        <w:t>校准方法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Start w:id="142" w:name="_Toc22164"/>
      <w:bookmarkStart w:id="143" w:name="_Toc23784570"/>
      <w:bookmarkStart w:id="144" w:name="_Toc24148"/>
      <w:bookmarkStart w:id="145" w:name="_Toc23961"/>
      <w:bookmarkStart w:id="146" w:name="_Toc23784669"/>
      <w:bookmarkStart w:id="147" w:name="_Toc22745"/>
      <w:bookmarkStart w:id="148" w:name="_Toc2454"/>
      <w:bookmarkStart w:id="149" w:name="_Toc13770"/>
      <w:bookmarkStart w:id="150" w:name="_Toc16602_WPSOffice_Level2"/>
      <w:bookmarkStart w:id="151" w:name="_Toc99355910"/>
      <w:bookmarkStart w:id="152" w:name="_Toc22399"/>
      <w:bookmarkStart w:id="153" w:name="_Toc29706"/>
      <w:bookmarkStart w:id="154" w:name="_Toc23785567"/>
    </w:p>
    <w:p w14:paraId="4BBAF2C6">
      <w:pPr>
        <w:pStyle w:val="51"/>
        <w:spacing w:before="0" w:beforeLines="0" w:after="0" w:afterLines="0"/>
        <w:outlineLvl w:val="1"/>
        <w:rPr>
          <w:rFonts w:hint="eastAsia"/>
        </w:rPr>
      </w:pPr>
      <w:r>
        <w:rPr>
          <w:rFonts w:hint="eastAsia"/>
        </w:rPr>
        <w:t xml:space="preserve"> </w:t>
      </w:r>
      <w:bookmarkStart w:id="155" w:name="_Toc15836"/>
      <w:r>
        <w:rPr>
          <w:rFonts w:hint="eastAsia"/>
        </w:rPr>
        <w:t>校准前</w:t>
      </w:r>
      <w:bookmarkEnd w:id="142"/>
      <w:r>
        <w:rPr>
          <w:rFonts w:hint="eastAsia"/>
        </w:rPr>
        <w:t>准备</w:t>
      </w:r>
      <w:bookmarkEnd w:id="155"/>
    </w:p>
    <w:p w14:paraId="346F5A35">
      <w:pPr>
        <w:pStyle w:val="51"/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ind w:firstLine="480" w:firstLineChars="200"/>
        <w:textAlignment w:val="auto"/>
        <w:outlineLvl w:val="9"/>
        <w:rPr>
          <w:rFonts w:hint="eastAsia" w:ascii="Times New Roman" w:hAnsi="Times New Roman"/>
          <w:lang w:val="en-US" w:eastAsia="zh-CN"/>
        </w:rPr>
      </w:pPr>
      <w:bookmarkStart w:id="156" w:name="_Toc649"/>
      <w:r>
        <w:rPr>
          <w:rFonts w:hint="eastAsia" w:ascii="Times New Roman" w:hAnsi="Times New Roman"/>
          <w:lang w:val="en-US" w:eastAsia="zh-CN"/>
        </w:rPr>
        <w:t>校准前，应与客户就标准流量计安装点位、介质流动方向、流量校准点、流量调节运行情况等进行沟通确认。</w:t>
      </w:r>
      <w:bookmarkStart w:id="157" w:name="_Toc842"/>
      <w:bookmarkStart w:id="158" w:name="_Toc19420"/>
      <w:bookmarkStart w:id="159" w:name="_Toc1107"/>
      <w:r>
        <w:rPr>
          <w:rFonts w:hint="eastAsia" w:ascii="Times New Roman" w:hAnsi="Times New Roman"/>
          <w:lang w:val="en-US" w:eastAsia="zh-CN"/>
        </w:rPr>
        <w:t>根据流量计说明书或客户提供文件和信息检查被校流量计运行情况，与工况实际不符的功能参数应进行修改，并记录各参数值</w:t>
      </w:r>
      <w:bookmarkEnd w:id="157"/>
      <w:bookmarkEnd w:id="158"/>
      <w:bookmarkEnd w:id="159"/>
      <w:r>
        <w:rPr>
          <w:rFonts w:hint="eastAsia" w:ascii="Times New Roman" w:hAnsi="Times New Roman"/>
          <w:lang w:val="en-US" w:eastAsia="zh-CN"/>
        </w:rPr>
        <w:t>。按照本规范5.3的规定，检查并记录好相应情况，为最终校准结果提供修正依据。</w:t>
      </w:r>
    </w:p>
    <w:p w14:paraId="0338C079">
      <w:pPr>
        <w:pStyle w:val="51"/>
        <w:spacing w:before="0" w:beforeLines="0" w:after="0" w:afterLines="0"/>
        <w:outlineLvl w:val="1"/>
        <w:rPr>
          <w:rFonts w:hint="default"/>
          <w:lang w:val="en-US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标准流量计安装</w:t>
      </w:r>
    </w:p>
    <w:p w14:paraId="6824D026">
      <w:pPr>
        <w:pStyle w:val="50"/>
        <w:spacing w:before="0" w:beforeLines="0" w:after="0" w:afterLines="0" w:line="360" w:lineRule="auto"/>
        <w:outlineLvl w:val="9"/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管道</w:t>
      </w:r>
      <w:r>
        <w:rPr>
          <w:rFonts w:hint="eastAsia"/>
        </w:rPr>
        <w:t>外直径测量</w:t>
      </w:r>
    </w:p>
    <w:p w14:paraId="34BE4EDD">
      <w:pPr>
        <w:pStyle w:val="50"/>
        <w:numPr>
          <w:ilvl w:val="2"/>
          <w:numId w:val="0"/>
        </w:numPr>
        <w:spacing w:before="0" w:beforeLines="0" w:after="0" w:afterLines="0" w:line="360" w:lineRule="auto"/>
        <w:ind w:leftChars="0" w:firstLine="480" w:firstLineChars="200"/>
        <w:outlineLvl w:val="9"/>
      </w:pPr>
      <w:r>
        <w:rPr>
          <w:rFonts w:hint="eastAsia"/>
        </w:rPr>
        <w:t>测量</w:t>
      </w:r>
      <w:r>
        <w:rPr>
          <w:rFonts w:hint="eastAsia"/>
          <w:lang w:val="en-US" w:eastAsia="zh-CN"/>
        </w:rPr>
        <w:t>前，清理标准流量计传感器（以下简称传感器）安装</w:t>
      </w:r>
      <w:r>
        <w:rPr>
          <w:rFonts w:hint="eastAsia"/>
        </w:rPr>
        <w:t>位置</w:t>
      </w:r>
      <w:r>
        <w:rPr>
          <w:rFonts w:hint="eastAsia"/>
          <w:lang w:val="en-US" w:eastAsia="zh-CN"/>
        </w:rPr>
        <w:t>区域的管壁，将管壁上的铁锈、防腐层等清除干净。</w:t>
      </w:r>
      <w:r>
        <w:rPr>
          <w:rFonts w:hint="eastAsia"/>
        </w:rPr>
        <w:t>用钢卷尺在</w:t>
      </w:r>
      <w:r>
        <w:rPr>
          <w:rFonts w:hint="eastAsia"/>
          <w:lang w:val="en-US" w:eastAsia="zh-CN"/>
        </w:rPr>
        <w:t>传感器</w:t>
      </w:r>
      <w:r>
        <w:rPr>
          <w:rFonts w:hint="eastAsia"/>
        </w:rPr>
        <w:t>安装位置附近测量</w:t>
      </w:r>
      <w:r>
        <w:rPr>
          <w:rFonts w:hint="eastAsia"/>
          <w:lang w:val="en-US" w:eastAsia="zh-CN"/>
        </w:rPr>
        <w:t>管道外径或周长（用测得周长计算外径），在安装距离内均匀选取3～6个点，取平均值作为管道外直径测量值。</w:t>
      </w:r>
      <w:r>
        <w:rPr>
          <w:rFonts w:hint="eastAsia" w:ascii="Times New Roman"/>
          <w:position w:val="-24"/>
          <w:vertAlign w:val="subscript"/>
        </w:rPr>
        <w:t xml:space="preserve">                                              </w:t>
      </w:r>
    </w:p>
    <w:p w14:paraId="41C42856">
      <w:pPr>
        <w:pStyle w:val="50"/>
        <w:spacing w:before="0" w:beforeLines="0" w:after="0" w:afterLines="0" w:line="360" w:lineRule="auto"/>
        <w:outlineLvl w:val="9"/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管道</w:t>
      </w:r>
      <w:r>
        <w:rPr>
          <w:rFonts w:hint="eastAsia"/>
        </w:rPr>
        <w:t>壁厚测量</w:t>
      </w:r>
    </w:p>
    <w:p w14:paraId="5960F419">
      <w:pPr>
        <w:pStyle w:val="50"/>
        <w:numPr>
          <w:ilvl w:val="2"/>
          <w:numId w:val="0"/>
        </w:numPr>
        <w:spacing w:before="0" w:beforeLines="0" w:after="0" w:afterLines="0" w:line="360" w:lineRule="auto"/>
        <w:ind w:leftChars="0" w:firstLine="480" w:firstLineChars="200"/>
        <w:outlineLvl w:val="9"/>
      </w:pPr>
      <w:r>
        <w:rPr>
          <w:rFonts w:hint="eastAsia"/>
          <w:lang w:val="en-US" w:eastAsia="zh-CN"/>
        </w:rPr>
        <w:t>测量前，清理传感器安装</w:t>
      </w:r>
      <w:r>
        <w:rPr>
          <w:rFonts w:hint="eastAsia"/>
        </w:rPr>
        <w:t>位置</w:t>
      </w:r>
      <w:r>
        <w:rPr>
          <w:rFonts w:hint="eastAsia"/>
          <w:lang w:val="en-US" w:eastAsia="zh-CN"/>
        </w:rPr>
        <w:t>区域的管壁，将管壁上的油漆、铁锈、防腐层等清除干净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并打磨光滑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露出管道本身材质。管壁打磨区域面积一般是传感器工作面积的1.5倍，便于校准时调整传感器位置。在打磨区域分散选择3个测量点，</w:t>
      </w:r>
      <w:r>
        <w:rPr>
          <w:rFonts w:hint="eastAsia"/>
        </w:rPr>
        <w:t>用测厚仪测量管道壁厚，</w:t>
      </w:r>
      <w:r>
        <w:rPr>
          <w:rFonts w:hint="eastAsia"/>
          <w:lang w:val="en-US" w:eastAsia="zh-CN"/>
        </w:rPr>
        <w:t>取平均值作为管道壁厚测量值</w:t>
      </w:r>
      <w:r>
        <w:rPr>
          <w:rFonts w:hint="eastAsia"/>
          <w:lang w:eastAsia="zh-CN"/>
        </w:rPr>
        <w:t>。</w:t>
      </w:r>
      <w:r>
        <w:rPr>
          <w:rFonts w:hint="eastAsia" w:ascii="Times New Roman"/>
          <w:position w:val="-24"/>
          <w:vertAlign w:val="subscript"/>
        </w:rPr>
        <w:t xml:space="preserve">                                         </w:t>
      </w:r>
    </w:p>
    <w:p w14:paraId="584BC51A">
      <w:pPr>
        <w:pStyle w:val="50"/>
        <w:spacing w:before="0" w:beforeLines="0" w:after="0" w:afterLines="0" w:line="360" w:lineRule="auto"/>
        <w:outlineLvl w:val="9"/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传感器</w:t>
      </w:r>
      <w:r>
        <w:rPr>
          <w:rFonts w:hint="eastAsia"/>
        </w:rPr>
        <w:t>安装</w:t>
      </w:r>
    </w:p>
    <w:p w14:paraId="7125C428">
      <w:pPr>
        <w:pStyle w:val="50"/>
        <w:numPr>
          <w:ilvl w:val="2"/>
          <w:numId w:val="0"/>
        </w:numPr>
        <w:spacing w:before="0" w:beforeLines="0" w:after="0" w:afterLines="0" w:line="360" w:lineRule="auto"/>
        <w:ind w:leftChars="0" w:firstLine="480" w:firstLineChars="200"/>
        <w:outlineLvl w:val="9"/>
        <w:rPr>
          <w:rFonts w:hint="eastAsia"/>
        </w:rPr>
      </w:pPr>
      <w:r>
        <w:rPr>
          <w:rFonts w:hint="eastAsia"/>
          <w:lang w:val="en-US" w:eastAsia="zh-CN"/>
        </w:rPr>
        <w:t>传感器的安装方式通常由V法、Z法、W法、X法等，校准时应根据标准流量计说明书要求，结合现场安装条件，选择合适可行的方法。将标准流量计安装位置管道外直径、管道壁厚、管道材质、衬里材料及厚度、传感器型号、介质类型、传感器安装方式等参数信息输入标准流量计主机菜单中</w:t>
      </w:r>
      <w:r>
        <w:rPr>
          <w:rFonts w:hint="eastAsia"/>
        </w:rPr>
        <w:t>，自动计算得出</w:t>
      </w:r>
      <w:r>
        <w:rPr>
          <w:rFonts w:hint="eastAsia"/>
          <w:lang w:val="en-US" w:eastAsia="zh-CN"/>
        </w:rPr>
        <w:t>传感器</w:t>
      </w:r>
      <w:r>
        <w:rPr>
          <w:rFonts w:hint="eastAsia"/>
        </w:rPr>
        <w:t>安装距离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并做好记录</w:t>
      </w:r>
      <w:r>
        <w:rPr>
          <w:rFonts w:hint="eastAsia"/>
        </w:rPr>
        <w:t>。</w:t>
      </w:r>
    </w:p>
    <w:p w14:paraId="0B3E57EC">
      <w:pPr>
        <w:pStyle w:val="50"/>
        <w:numPr>
          <w:ilvl w:val="2"/>
          <w:numId w:val="0"/>
        </w:numPr>
        <w:spacing w:before="0" w:beforeLines="0" w:after="0" w:afterLines="0" w:line="360" w:lineRule="auto"/>
        <w:ind w:leftChars="0" w:firstLine="480" w:firstLineChars="200"/>
        <w:outlineLvl w:val="9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传感器一般安装在管道水平截面上，若因现场安装条件限制，可在管道中心轴线以上45°夹角范围内确定安装位置，并保证两个传感器在同一横截平面。在传感器工作面均匀涂抹耦合剂，根据介质流动方向和安装距离安装传感器，使其信号发射面和接收面与管壁紧密接触，接触面耦合剂中不得留有气泡和杂质。根据标准流量计主机信号情况，按照标准流量计说明书规定，微调两个传感器位置直至信号状态满足标准流量计说明书要求，并用紧固件固定好传感器。标准流量计安装示意图如图2。</w:t>
      </w:r>
    </w:p>
    <w:p w14:paraId="18FCE4C1">
      <w:pPr>
        <w:pStyle w:val="43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1583055</wp:posOffset>
                </wp:positionV>
                <wp:extent cx="200025" cy="28575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4EF4D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5pt;margin-top:124.65pt;height:22.5pt;width:15.75pt;z-index:251682816;mso-width-relative:page;mso-height-relative:page;" filled="f" stroked="f" coordsize="21600,21600" o:gfxdata="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CiMot0AAAALAQAADwAAAAAAAAABACAAAAAiAAAA&#10;ZHJzL2Rvd25yZXYueG1sUEsBAhQAFAAAAAgAh07iQBV+rW8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64EF4D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1924685</wp:posOffset>
                </wp:positionH>
                <wp:positionV relativeFrom="paragraph">
                  <wp:posOffset>1350010</wp:posOffset>
                </wp:positionV>
                <wp:extent cx="200025" cy="28575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401F8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55pt;margin-top:106.3pt;height:22.5pt;width:15.75pt;z-index:251680768;mso-width-relative:page;mso-height-relative:page;" filled="f" stroked="f" coordsize="21600,21600" o:gfxdata="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rz+QtsAAAALAQAADwAAAAAAAAABACAAAAAiAAAAZHJz&#10;L2Rvd25yZXYueG1sUEsBAhQAFAAAAAgAh07iQOCGWmU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0401F8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165735</wp:posOffset>
                </wp:positionV>
                <wp:extent cx="200025" cy="28575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3A1E4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8pt;margin-top:13.05pt;height:22.5pt;width:15.75pt;z-index:251681792;mso-width-relative:page;mso-height-relative:page;" filled="f" stroked="f" coordsize="21600,21600" o:gfxdata="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fiw5fbAAAACQEAAA8AAAAAAAAAAQAgAAAAIgAAAGRy&#10;cy9kb3ducmV2LnhtbFBLAQIUABQAAAAIAIdO4kC6+ZmN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E83A1E4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4100830" cy="1891030"/>
            <wp:effectExtent l="0" t="0" r="13970" b="13970"/>
            <wp:docPr id="15" name="图片 15" descr="e7752a8b-469a-42ec-a986-93878ec8a9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e7752a8b-469a-42ec-a986-93878ec8a9d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00830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61F9C">
      <w:pPr>
        <w:pStyle w:val="43"/>
        <w:jc w:val="center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图</w:t>
      </w:r>
      <w:r>
        <w:rPr>
          <w:rFonts w:hint="eastAsia"/>
          <w:color w:val="auto"/>
          <w:sz w:val="18"/>
          <w:szCs w:val="18"/>
          <w:lang w:val="en-US" w:eastAsia="zh-CN"/>
        </w:rPr>
        <w:t>2</w:t>
      </w:r>
      <w:r>
        <w:rPr>
          <w:rFonts w:hint="eastAsia"/>
          <w:color w:val="auto"/>
          <w:sz w:val="18"/>
          <w:szCs w:val="18"/>
        </w:rPr>
        <w:t xml:space="preserve"> </w:t>
      </w:r>
      <w:r>
        <w:rPr>
          <w:rFonts w:hint="eastAsia"/>
          <w:color w:val="auto"/>
          <w:sz w:val="18"/>
          <w:szCs w:val="18"/>
          <w:lang w:val="en-US" w:eastAsia="zh-CN"/>
        </w:rPr>
        <w:t>标准</w:t>
      </w:r>
      <w:r>
        <w:rPr>
          <w:rFonts w:hint="eastAsia"/>
          <w:color w:val="auto"/>
          <w:sz w:val="18"/>
          <w:szCs w:val="18"/>
        </w:rPr>
        <w:t>流量计</w:t>
      </w:r>
      <w:r>
        <w:rPr>
          <w:rFonts w:hint="eastAsia"/>
          <w:color w:val="auto"/>
          <w:sz w:val="18"/>
          <w:szCs w:val="18"/>
          <w:lang w:val="en-US" w:eastAsia="zh-CN"/>
        </w:rPr>
        <w:t>安装</w:t>
      </w:r>
      <w:r>
        <w:rPr>
          <w:rFonts w:hint="eastAsia"/>
          <w:color w:val="auto"/>
          <w:sz w:val="18"/>
          <w:szCs w:val="18"/>
        </w:rPr>
        <w:t>示意图</w:t>
      </w:r>
    </w:p>
    <w:p w14:paraId="309843F2">
      <w:pPr>
        <w:pStyle w:val="43"/>
        <w:jc w:val="center"/>
        <w:rPr>
          <w:rFonts w:hint="eastAsia" w:eastAsia="宋体"/>
          <w:lang w:eastAsia="zh-CN"/>
        </w:rPr>
      </w:pPr>
      <w:r>
        <w:rPr>
          <w:rFonts w:hint="eastAsia"/>
          <w:color w:val="auto"/>
          <w:sz w:val="18"/>
          <w:szCs w:val="18"/>
        </w:rPr>
        <w:t>1-</w:t>
      </w:r>
      <w:r>
        <w:rPr>
          <w:rFonts w:hint="eastAsia"/>
          <w:color w:val="auto"/>
          <w:sz w:val="18"/>
          <w:szCs w:val="18"/>
          <w:lang w:val="en-US" w:eastAsia="zh-CN"/>
        </w:rPr>
        <w:t>被校流量计</w:t>
      </w:r>
      <w:r>
        <w:rPr>
          <w:rFonts w:hint="eastAsia"/>
          <w:color w:val="auto"/>
          <w:sz w:val="18"/>
          <w:szCs w:val="18"/>
        </w:rPr>
        <w:t>；2-</w:t>
      </w:r>
      <w:r>
        <w:rPr>
          <w:rFonts w:hint="eastAsia"/>
          <w:color w:val="auto"/>
          <w:sz w:val="18"/>
          <w:szCs w:val="18"/>
          <w:lang w:val="en-US" w:eastAsia="zh-CN"/>
        </w:rPr>
        <w:t>传感器</w:t>
      </w:r>
      <w:r>
        <w:rPr>
          <w:rFonts w:hint="eastAsia"/>
          <w:color w:val="auto"/>
          <w:sz w:val="18"/>
          <w:szCs w:val="18"/>
        </w:rPr>
        <w:t>；3-</w:t>
      </w:r>
      <w:r>
        <w:rPr>
          <w:rFonts w:hint="eastAsia"/>
          <w:color w:val="auto"/>
          <w:sz w:val="18"/>
          <w:szCs w:val="18"/>
          <w:lang w:val="en-US" w:eastAsia="zh-CN"/>
        </w:rPr>
        <w:t>标准流量计主机</w:t>
      </w:r>
    </w:p>
    <w:bookmarkEnd w:id="156"/>
    <w:p w14:paraId="03736712">
      <w:pPr>
        <w:pStyle w:val="51"/>
        <w:spacing w:before="0" w:beforeLines="0" w:after="0" w:afterLines="0"/>
        <w:outlineLvl w:val="1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流量校准点选择</w:t>
      </w:r>
      <w:r>
        <w:rPr>
          <w:rFonts w:hint="eastAsia"/>
        </w:rPr>
        <w:t xml:space="preserve"> </w:t>
      </w:r>
    </w:p>
    <w:p w14:paraId="67D97ADF">
      <w:pPr>
        <w:pStyle w:val="51"/>
        <w:numPr>
          <w:ilvl w:val="1"/>
          <w:numId w:val="0"/>
        </w:numPr>
        <w:spacing w:before="0" w:beforeLines="0" w:after="0" w:afterLines="0"/>
        <w:ind w:firstLine="480" w:firstLineChars="200"/>
        <w:outlineLvl w:val="9"/>
        <w:rPr>
          <w:rFonts w:hint="eastAsia" w:ascii="Times New Roman" w:hAnsi="Times New Roman"/>
          <w:color w:val="auto"/>
        </w:rPr>
      </w:pPr>
      <w:bookmarkStart w:id="160" w:name="_Toc3288"/>
      <w:bookmarkStart w:id="161" w:name="_Toc7395"/>
      <w:r>
        <w:rPr>
          <w:rFonts w:hint="eastAsia" w:ascii="Times New Roman" w:hAnsi="Times New Roman"/>
          <w:lang w:val="en-US" w:eastAsia="zh-CN"/>
        </w:rPr>
        <w:t>根据现场实际情况</w:t>
      </w:r>
      <w:r>
        <w:rPr>
          <w:rFonts w:hint="eastAsia" w:ascii="Times New Roman" w:hAnsi="Times New Roman"/>
        </w:rPr>
        <w:t>与客户协商选取</w:t>
      </w:r>
      <w:r>
        <w:rPr>
          <w:rFonts w:hint="eastAsia" w:ascii="Times New Roman" w:hAnsi="Times New Roman"/>
          <w:lang w:val="en-US" w:eastAsia="zh-CN"/>
        </w:rPr>
        <w:t>流量</w:t>
      </w:r>
      <w:r>
        <w:rPr>
          <w:rFonts w:hint="eastAsia" w:ascii="Times New Roman" w:hAnsi="Times New Roman"/>
        </w:rPr>
        <w:t>校准点，</w:t>
      </w:r>
      <w:r>
        <w:rPr>
          <w:rFonts w:hint="eastAsia" w:ascii="Times New Roman" w:hAnsi="Times New Roman"/>
          <w:lang w:val="en-US" w:eastAsia="zh-CN"/>
        </w:rPr>
        <w:t>一般</w:t>
      </w:r>
      <w:r>
        <w:rPr>
          <w:rFonts w:hint="eastAsia" w:ascii="Times New Roman" w:hAnsi="Times New Roman"/>
        </w:rPr>
        <w:t>选取</w:t>
      </w: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~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Times New Roman" w:hAnsi="Times New Roman"/>
        </w:rPr>
        <w:t>个点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  <w:lang w:val="en-US" w:eastAsia="zh-CN"/>
        </w:rPr>
        <w:t>包含常用流量点及以分界流量为界限的低流量点和高流量点</w:t>
      </w:r>
      <w:r>
        <w:rPr>
          <w:rFonts w:hint="eastAsia" w:ascii="Times New Roman" w:hAnsi="Times New Roman"/>
        </w:rPr>
        <w:t>。标准</w:t>
      </w:r>
      <w:r>
        <w:rPr>
          <w:rFonts w:hint="eastAsia" w:ascii="Times New Roman" w:hAnsi="Times New Roman"/>
          <w:lang w:val="en-US" w:eastAsia="zh-CN"/>
        </w:rPr>
        <w:t>流量计</w:t>
      </w:r>
      <w:r>
        <w:rPr>
          <w:rFonts w:hint="eastAsia" w:ascii="Times New Roman" w:hAnsi="Times New Roman"/>
        </w:rPr>
        <w:t>安装后，</w:t>
      </w:r>
      <w:r>
        <w:rPr>
          <w:rFonts w:hint="eastAsia" w:ascii="Times New Roman" w:hAnsi="Times New Roman"/>
          <w:lang w:val="en-US" w:eastAsia="zh-CN"/>
        </w:rPr>
        <w:t>通过调节泵频率或阀门开</w:t>
      </w:r>
      <w:r>
        <w:rPr>
          <w:rFonts w:hint="eastAsia" w:ascii="Times New Roman" w:hAnsi="Times New Roman"/>
          <w:color w:val="auto"/>
          <w:lang w:val="en-US" w:eastAsia="zh-CN"/>
        </w:rPr>
        <w:t>度来平稳</w:t>
      </w:r>
      <w:r>
        <w:rPr>
          <w:rFonts w:hint="eastAsia" w:ascii="Times New Roman" w:hAnsi="Times New Roman"/>
          <w:color w:val="auto"/>
        </w:rPr>
        <w:t>调整管道流量至</w:t>
      </w:r>
      <w:r>
        <w:rPr>
          <w:rFonts w:hint="eastAsia" w:ascii="Times New Roman" w:hAnsi="Times New Roman"/>
          <w:color w:val="auto"/>
          <w:lang w:val="en-US" w:eastAsia="zh-CN"/>
        </w:rPr>
        <w:t>流量</w:t>
      </w:r>
      <w:r>
        <w:rPr>
          <w:rFonts w:hint="eastAsia" w:ascii="Times New Roman" w:hAnsi="Times New Roman"/>
          <w:color w:val="auto"/>
        </w:rPr>
        <w:t>校准点</w:t>
      </w:r>
      <w:r>
        <w:rPr>
          <w:rFonts w:hint="eastAsia" w:ascii="Times New Roman" w:hAnsi="Times New Roman"/>
          <w:color w:val="auto"/>
          <w:lang w:val="en-US" w:eastAsia="zh-CN"/>
        </w:rPr>
        <w:t>附近。</w:t>
      </w:r>
      <w:r>
        <w:rPr>
          <w:rFonts w:hint="eastAsia" w:ascii="Times New Roman" w:hAnsi="Times New Roman"/>
          <w:color w:val="auto"/>
        </w:rPr>
        <w:t>当标准</w:t>
      </w:r>
      <w:r>
        <w:rPr>
          <w:rFonts w:hint="eastAsia" w:ascii="Times New Roman" w:hAnsi="Times New Roman"/>
          <w:color w:val="auto"/>
          <w:lang w:val="en-US" w:eastAsia="zh-CN"/>
        </w:rPr>
        <w:t>流量计瞬时</w:t>
      </w:r>
      <w:r>
        <w:rPr>
          <w:rFonts w:hint="eastAsia" w:ascii="Times New Roman" w:hAnsi="Times New Roman"/>
          <w:color w:val="auto"/>
        </w:rPr>
        <w:t>流量在1min内的最大流量和最小流量之差小于</w:t>
      </w:r>
      <w:r>
        <w:rPr>
          <w:rFonts w:hint="eastAsia" w:ascii="Times New Roman" w:hAnsi="Times New Roman"/>
          <w:color w:val="auto"/>
          <w:lang w:val="en-US" w:eastAsia="zh-CN"/>
        </w:rPr>
        <w:t>选取流量</w:t>
      </w:r>
      <w:r>
        <w:rPr>
          <w:rFonts w:hint="eastAsia" w:ascii="Times New Roman" w:hAnsi="Times New Roman"/>
          <w:color w:val="auto"/>
        </w:rPr>
        <w:t>校准点</w:t>
      </w:r>
      <w:r>
        <w:rPr>
          <w:rFonts w:hint="eastAsia" w:ascii="Times New Roman" w:hAnsi="Times New Roman"/>
          <w:color w:val="auto"/>
          <w:lang w:val="en-US" w:eastAsia="zh-CN"/>
        </w:rPr>
        <w:t>的</w:t>
      </w:r>
      <w:r>
        <w:rPr>
          <w:rFonts w:hint="eastAsia" w:ascii="Times New Roman" w:hAnsi="Times New Roman"/>
          <w:color w:val="auto"/>
        </w:rPr>
        <w:t>5%时</w:t>
      </w:r>
      <w:r>
        <w:rPr>
          <w:rFonts w:hint="eastAsia" w:ascii="Times New Roman" w:hAnsi="Times New Roman"/>
          <w:color w:val="auto"/>
          <w:lang w:eastAsia="zh-CN"/>
        </w:rPr>
        <w:t>，</w:t>
      </w:r>
      <w:r>
        <w:rPr>
          <w:rFonts w:hint="eastAsia" w:ascii="Times New Roman" w:hAnsi="Times New Roman"/>
          <w:color w:val="auto"/>
        </w:rPr>
        <w:t>视为</w:t>
      </w:r>
      <w:r>
        <w:rPr>
          <w:rFonts w:hint="eastAsia" w:ascii="Times New Roman" w:hAnsi="Times New Roman"/>
          <w:color w:val="auto"/>
          <w:lang w:val="en-US" w:eastAsia="zh-CN"/>
        </w:rPr>
        <w:t>管道</w:t>
      </w:r>
      <w:r>
        <w:rPr>
          <w:rFonts w:hint="eastAsia" w:ascii="Times New Roman" w:hAnsi="Times New Roman"/>
          <w:color w:val="auto"/>
        </w:rPr>
        <w:t>流量稳定，稳定时间不应少于</w:t>
      </w:r>
      <w:r>
        <w:rPr>
          <w:rFonts w:hint="eastAsia" w:ascii="Times New Roman" w:hAnsi="Times New Roman"/>
          <w:color w:val="auto"/>
          <w:lang w:val="en-US" w:eastAsia="zh-CN"/>
        </w:rPr>
        <w:t>5</w:t>
      </w:r>
      <w:r>
        <w:rPr>
          <w:rFonts w:hint="eastAsia" w:ascii="Times New Roman" w:hAnsi="Times New Roman"/>
          <w:color w:val="auto"/>
        </w:rPr>
        <w:t>min。</w:t>
      </w:r>
    </w:p>
    <w:p w14:paraId="0C96176A">
      <w:pPr>
        <w:pStyle w:val="43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若现场无法调节流量，可根据客户生产情况分时段对各流量校准点进行校准。当校准过程中突然出现流量波动，应重新进行流量稳定控制后再校准。管道流量无法达到上述稳定状态</w:t>
      </w:r>
      <w:r>
        <w:rPr>
          <w:rFonts w:hint="eastAsia"/>
          <w:color w:val="auto"/>
          <w:highlight w:val="none"/>
          <w:lang w:val="en-US" w:eastAsia="zh-CN"/>
        </w:rPr>
        <w:t>时，被</w:t>
      </w:r>
      <w:r>
        <w:rPr>
          <w:rFonts w:hint="eastAsia"/>
          <w:color w:val="auto"/>
          <w:lang w:val="en-US" w:eastAsia="zh-CN"/>
        </w:rPr>
        <w:t>校流量计瞬时流量分辨力低，只需进行累积流量示值误差的校准。被校流量计瞬时流量较低，引起累积流量末位读数变化较慢时，只需进行瞬时流量示值误差的校准。</w:t>
      </w:r>
    </w:p>
    <w:p w14:paraId="6581D865">
      <w:pPr>
        <w:pStyle w:val="51"/>
        <w:bidi w:val="0"/>
        <w:ind w:left="0" w:leftChars="0" w:firstLine="0" w:firstLineChars="0"/>
      </w:pPr>
      <w:r>
        <w:rPr>
          <w:rFonts w:hint="eastAsia"/>
        </w:rPr>
        <w:t xml:space="preserve"> 累积流量示值误差</w:t>
      </w:r>
    </w:p>
    <w:p w14:paraId="52139833">
      <w:pPr>
        <w:pStyle w:val="51"/>
        <w:numPr>
          <w:ilvl w:val="1"/>
          <w:numId w:val="0"/>
        </w:numPr>
        <w:spacing w:before="0" w:beforeLines="0" w:after="0" w:afterLines="0"/>
        <w:ind w:firstLine="480" w:firstLineChars="200"/>
        <w:outlineLvl w:val="9"/>
        <w:rPr>
          <w:rFonts w:hint="eastAsia"/>
        </w:rPr>
      </w:pPr>
      <w:r>
        <w:rPr>
          <w:rFonts w:hint="eastAsia" w:ascii="Times New Roman" w:hAnsi="Times New Roman"/>
        </w:rPr>
        <w:t>被校流量计和标准</w:t>
      </w:r>
      <w:r>
        <w:rPr>
          <w:rFonts w:hint="eastAsia" w:ascii="Times New Roman" w:hAnsi="Times New Roman"/>
          <w:lang w:val="en-US" w:eastAsia="zh-CN"/>
        </w:rPr>
        <w:t>流量计在6.3规定的稳定状态下，</w:t>
      </w:r>
      <w:r>
        <w:rPr>
          <w:rFonts w:hint="eastAsia" w:ascii="Times New Roman" w:hAnsi="Times New Roman"/>
        </w:rPr>
        <w:t>同时读取被校流量计和标准</w:t>
      </w:r>
      <w:r>
        <w:rPr>
          <w:rFonts w:hint="eastAsia" w:ascii="Times New Roman" w:hAnsi="Times New Roman"/>
          <w:lang w:val="en-US" w:eastAsia="zh-CN"/>
        </w:rPr>
        <w:t>流量计</w:t>
      </w:r>
      <w:r>
        <w:rPr>
          <w:rFonts w:hint="eastAsia" w:ascii="Times New Roman" w:hAnsi="Times New Roman"/>
        </w:rPr>
        <w:t>的初始累积流量</w:t>
      </w:r>
      <w:r>
        <w:rPr>
          <w:rFonts w:hint="eastAsia" w:ascii="Times New Roman" w:hAnsi="Times New Roman"/>
          <w:lang w:val="en-US" w:eastAsia="zh-CN"/>
        </w:rPr>
        <w:t>示</w:t>
      </w:r>
      <w:r>
        <w:rPr>
          <w:rFonts w:hint="eastAsia" w:ascii="Times New Roman" w:hAnsi="Times New Roman"/>
        </w:rPr>
        <w:t>值</w:t>
      </w:r>
      <w:r>
        <w:rPr>
          <w:rFonts w:hint="eastAsia" w:ascii="Times New Roman" w:hAnsi="Times New Roman"/>
          <w:color w:val="auto"/>
        </w:rPr>
        <w:t>，并启动秒表，</w:t>
      </w:r>
      <w:r>
        <w:rPr>
          <w:rFonts w:hint="eastAsia" w:ascii="Times New Roman" w:hAnsi="Times New Roman"/>
        </w:rPr>
        <w:t>经过</w:t>
      </w:r>
      <w:r>
        <w:rPr>
          <w:rFonts w:hint="eastAsia" w:ascii="Times New Roman" w:hAnsi="Times New Roman"/>
          <w:lang w:val="en-US" w:eastAsia="zh-CN"/>
        </w:rPr>
        <w:t>至少30min后</w:t>
      </w:r>
      <w:r>
        <w:rPr>
          <w:rFonts w:hint="eastAsia" w:ascii="Times New Roman" w:hAnsi="Times New Roman"/>
        </w:rPr>
        <w:t>再同时读取被校流量计和标准</w:t>
      </w:r>
      <w:r>
        <w:rPr>
          <w:rFonts w:hint="eastAsia" w:ascii="Times New Roman" w:hAnsi="Times New Roman"/>
          <w:lang w:val="en-US" w:eastAsia="zh-CN"/>
        </w:rPr>
        <w:t>流量计</w:t>
      </w:r>
      <w:r>
        <w:rPr>
          <w:rFonts w:hint="eastAsia" w:ascii="Times New Roman" w:hAnsi="Times New Roman"/>
        </w:rPr>
        <w:t>的终止累积流量</w:t>
      </w:r>
      <w:r>
        <w:rPr>
          <w:rFonts w:hint="eastAsia" w:ascii="Times New Roman" w:hAnsi="Times New Roman"/>
          <w:lang w:val="en-US" w:eastAsia="zh-CN"/>
        </w:rPr>
        <w:t>示</w:t>
      </w:r>
      <w:r>
        <w:rPr>
          <w:rFonts w:hint="eastAsia" w:ascii="Times New Roman" w:hAnsi="Times New Roman"/>
        </w:rPr>
        <w:t>值</w:t>
      </w:r>
      <w:bookmarkEnd w:id="160"/>
      <w:bookmarkEnd w:id="161"/>
      <w:r>
        <w:rPr>
          <w:rFonts w:hint="eastAsia" w:ascii="Times New Roman" w:hAnsi="Times New Roman"/>
        </w:rPr>
        <w:t>，并停止秒表，记录相应示值。</w:t>
      </w:r>
      <w:r>
        <w:rPr>
          <w:rFonts w:hint="eastAsia" w:ascii="Times New Roman" w:hAnsi="Times New Roman"/>
          <w:lang w:val="en-US" w:eastAsia="zh-CN"/>
        </w:rPr>
        <w:t>每</w:t>
      </w:r>
      <w:r>
        <w:rPr>
          <w:rFonts w:hint="eastAsia" w:ascii="Times New Roman" w:hAnsi="Times New Roman"/>
        </w:rPr>
        <w:t>个</w:t>
      </w:r>
      <w:r>
        <w:rPr>
          <w:rFonts w:hint="eastAsia" w:ascii="Times New Roman" w:hAnsi="Times New Roman"/>
          <w:lang w:val="en-US" w:eastAsia="zh-CN"/>
        </w:rPr>
        <w:t>流量</w:t>
      </w:r>
      <w:r>
        <w:rPr>
          <w:rFonts w:hint="eastAsia" w:ascii="Times New Roman" w:hAnsi="Times New Roman"/>
        </w:rPr>
        <w:t>校准点</w:t>
      </w:r>
      <w:r>
        <w:rPr>
          <w:rFonts w:hint="eastAsia" w:ascii="Times New Roman" w:hAnsi="Times New Roman"/>
          <w:lang w:val="en-US" w:eastAsia="zh-CN"/>
        </w:rPr>
        <w:t>一般校准</w:t>
      </w:r>
      <w:r>
        <w:rPr>
          <w:rFonts w:hint="eastAsia" w:ascii="Times New Roman" w:hAnsi="Times New Roman"/>
        </w:rPr>
        <w:t>3次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</w:rPr>
        <w:t>单次校准的累积流量示值误差按公式（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hint="eastAsia" w:ascii="Times New Roman" w:hAnsi="Times New Roman"/>
        </w:rPr>
        <w:t>）、公式（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hint="eastAsia" w:ascii="Times New Roman" w:hAnsi="Times New Roman"/>
        </w:rPr>
        <w:t>）和公式（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</w:rPr>
        <w:t>）计算。</w:t>
      </w:r>
    </w:p>
    <w:p w14:paraId="79C29BAC"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bookmarkStart w:id="162" w:name="_Toc24434"/>
      <w:bookmarkStart w:id="163" w:name="_Toc11684"/>
      <w:bookmarkStart w:id="164" w:name="_Toc8989"/>
      <w:r>
        <w:rPr>
          <w:rFonts w:ascii="Times New Roman"/>
          <w:position w:val="-14"/>
          <w:vertAlign w:val="subscript"/>
        </w:rPr>
        <w:object>
          <v:shape id="_x0000_i1025" o:spt="75" type="#_x0000_t75" style="height:27.15pt;width:142.9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2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      （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hint="eastAsia" w:ascii="Times New Roman" w:hAnsi="Times New Roman"/>
        </w:rPr>
        <w:t>）</w:t>
      </w:r>
      <w:bookmarkEnd w:id="162"/>
      <w:bookmarkEnd w:id="163"/>
      <w:bookmarkEnd w:id="164"/>
    </w:p>
    <w:p w14:paraId="47E1FC13"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bookmarkStart w:id="165" w:name="_Toc2736"/>
      <w:bookmarkStart w:id="166" w:name="_Toc18559"/>
      <w:bookmarkStart w:id="167" w:name="_Toc18142"/>
      <w:r>
        <w:rPr>
          <w:rFonts w:ascii="Times New Roman"/>
          <w:position w:val="-14"/>
          <w:vertAlign w:val="subscript"/>
        </w:rPr>
        <w:object>
          <v:shape id="_x0000_i1026" o:spt="75" type="#_x0000_t75" style="height:27.15pt;width:134.3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30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 xml:space="preserve">     （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hint="eastAsia" w:ascii="Times New Roman" w:hAnsi="Times New Roman"/>
        </w:rPr>
        <w:t>）</w:t>
      </w:r>
    </w:p>
    <w:p w14:paraId="6E290C4E"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r>
        <w:rPr>
          <w:rFonts w:ascii="Times New Roman"/>
          <w:position w:val="-32"/>
          <w:vertAlign w:val="subscript"/>
        </w:rPr>
        <w:object>
          <v:shape id="_x0000_i1027" o:spt="75" type="#_x0000_t75" style="height:48.2pt;width:171.6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32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（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</w:rPr>
        <w:t>）</w:t>
      </w:r>
    </w:p>
    <w:p w14:paraId="78A9BF8A">
      <w:pPr>
        <w:pStyle w:val="51"/>
        <w:numPr>
          <w:ilvl w:val="1"/>
          <w:numId w:val="0"/>
        </w:numPr>
        <w:spacing w:before="120" w:after="120"/>
        <w:ind w:firstLine="480" w:firstLineChars="200"/>
        <w:outlineLvl w:val="9"/>
        <w:rPr>
          <w:rFonts w:ascii="Times New Roman" w:hAnsi="Times New Roman"/>
        </w:rPr>
      </w:pPr>
      <w:r>
        <w:rPr>
          <w:rFonts w:hint="eastAsia" w:ascii="Times New Roman" w:hAnsi="Times New Roman"/>
        </w:rPr>
        <w:t>式中：</w:t>
      </w:r>
      <w:bookmarkEnd w:id="165"/>
      <w:bookmarkEnd w:id="166"/>
      <w:bookmarkEnd w:id="167"/>
    </w:p>
    <w:p w14:paraId="68BFF3EB"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28" o:spt="75" type="#_x0000_t75" style="height:19pt;width:26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34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被校流量计第</w:t>
      </w:r>
      <w:r>
        <w:rPr>
          <w:rFonts w:hint="eastAsia"/>
          <w:color w:val="auto"/>
        </w:rPr>
        <w:t>i流量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点第j次校准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累积流量示值误差</w:t>
      </w:r>
      <w:r>
        <w:rPr>
          <w:color w:val="auto"/>
        </w:rPr>
        <w:t>；</w:t>
      </w:r>
    </w:p>
    <w:p w14:paraId="50BF1F73"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29" o:spt="75" type="#_x0000_t75" style="height:19pt;width:24.9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36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被校流量计第i流量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点第j次校准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累积流量示值</w:t>
      </w:r>
      <w:r>
        <w:rPr>
          <w:rFonts w:hint="eastAsia" w:ascii="宋体" w:hAnsi="宋体" w:cs="宋体"/>
          <w:color w:val="auto"/>
        </w:rPr>
        <w:t>，</w:t>
      </w:r>
      <w:r>
        <w:rPr>
          <w:rFonts w:hint="eastAsia"/>
          <w:color w:val="auto"/>
        </w:rPr>
        <w:t>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 w:ascii="宋体" w:hAnsi="宋体" w:cs="宋体"/>
          <w:color w:val="auto"/>
        </w:rPr>
        <w:t>；</w:t>
      </w:r>
    </w:p>
    <w:p w14:paraId="320E4906"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30" o:spt="75" type="#_x0000_t75" style="height:19pt;width:23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38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标准流量计第</w:t>
      </w:r>
      <w:r>
        <w:rPr>
          <w:rFonts w:hint="eastAsia"/>
          <w:color w:val="auto"/>
        </w:rPr>
        <w:t>i流量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点第j次校准</w:t>
      </w:r>
      <w:r>
        <w:rPr>
          <w:rFonts w:hint="eastAsia"/>
          <w:color w:val="auto"/>
          <w:lang w:val="en-US" w:eastAsia="zh-CN"/>
        </w:rPr>
        <w:t>的标准</w:t>
      </w:r>
      <w:r>
        <w:rPr>
          <w:rFonts w:hint="eastAsia"/>
          <w:color w:val="auto"/>
        </w:rPr>
        <w:t>累积流量示值，m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；</w:t>
      </w:r>
    </w:p>
    <w:p w14:paraId="5E751B2F"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31" o:spt="75" type="#_x0000_t75" style="height:19pt;width:29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40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被校流量计第i流量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点第j次校准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初始累积流量</w:t>
      </w:r>
      <w:r>
        <w:rPr>
          <w:rFonts w:hint="eastAsia"/>
          <w:color w:val="auto"/>
          <w:lang w:val="en-US" w:eastAsia="zh-CN"/>
        </w:rPr>
        <w:t>示</w:t>
      </w:r>
      <w:r>
        <w:rPr>
          <w:rFonts w:hint="eastAsia"/>
          <w:color w:val="auto"/>
        </w:rPr>
        <w:t>值，m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；</w:t>
      </w:r>
    </w:p>
    <w:p w14:paraId="10731218"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32" o:spt="75" type="#_x0000_t75" style="height:19pt;width:29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42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被校流量计第i流量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点第j次校准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终止累积流量</w:t>
      </w:r>
      <w:r>
        <w:rPr>
          <w:rFonts w:hint="eastAsia"/>
          <w:color w:val="auto"/>
          <w:lang w:val="en-US" w:eastAsia="zh-CN"/>
        </w:rPr>
        <w:t>示</w:t>
      </w:r>
      <w:r>
        <w:rPr>
          <w:rFonts w:hint="eastAsia"/>
          <w:color w:val="auto"/>
        </w:rPr>
        <w:t>值，m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；</w:t>
      </w:r>
    </w:p>
    <w:p w14:paraId="7D3F69D8"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33" o:spt="75" type="#_x0000_t75" style="height:19pt;width:26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44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标准</w:t>
      </w:r>
      <w:r>
        <w:rPr>
          <w:rFonts w:hint="eastAsia"/>
          <w:color w:val="auto"/>
          <w:lang w:val="en-US" w:eastAsia="zh-CN"/>
        </w:rPr>
        <w:t>流量计</w:t>
      </w:r>
      <w:r>
        <w:rPr>
          <w:rFonts w:hint="eastAsia"/>
          <w:color w:val="auto"/>
        </w:rPr>
        <w:t>第i流量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点第j次校准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初始累积流量</w:t>
      </w:r>
      <w:r>
        <w:rPr>
          <w:rFonts w:hint="eastAsia"/>
          <w:color w:val="auto"/>
          <w:lang w:val="en-US" w:eastAsia="zh-CN"/>
        </w:rPr>
        <w:t>示</w:t>
      </w:r>
      <w:r>
        <w:rPr>
          <w:rFonts w:hint="eastAsia"/>
          <w:color w:val="auto"/>
        </w:rPr>
        <w:t>值，m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；</w:t>
      </w:r>
    </w:p>
    <w:p w14:paraId="5737546B"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34" o:spt="75" type="#_x0000_t75" style="height:19pt;width:26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46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标准</w:t>
      </w:r>
      <w:r>
        <w:rPr>
          <w:rFonts w:hint="eastAsia"/>
          <w:color w:val="auto"/>
          <w:lang w:val="en-US" w:eastAsia="zh-CN"/>
        </w:rPr>
        <w:t>流量计</w:t>
      </w:r>
      <w:r>
        <w:rPr>
          <w:rFonts w:hint="eastAsia"/>
          <w:color w:val="auto"/>
        </w:rPr>
        <w:t>第i流量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点第j次校准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终止累积流量</w:t>
      </w:r>
      <w:r>
        <w:rPr>
          <w:rFonts w:hint="eastAsia"/>
          <w:color w:val="auto"/>
          <w:lang w:val="en-US" w:eastAsia="zh-CN"/>
        </w:rPr>
        <w:t>示</w:t>
      </w:r>
      <w:r>
        <w:rPr>
          <w:rFonts w:hint="eastAsia"/>
          <w:color w:val="auto"/>
        </w:rPr>
        <w:t>值，m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；</w:t>
      </w:r>
    </w:p>
    <w:p w14:paraId="2AAF6559">
      <w:pPr>
        <w:pStyle w:val="43"/>
        <w:rPr>
          <w:rFonts w:hint="eastAsia"/>
          <w:color w:val="auto"/>
        </w:rPr>
      </w:pPr>
      <w:r>
        <w:rPr>
          <w:rFonts w:hint="default" w:ascii="Times New Roman" w:hAnsi="Times New Roman" w:eastAsia="微软雅黑" w:cs="Times New Roman"/>
          <w:color w:val="auto"/>
        </w:rPr>
        <w:t>j</w: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次数；</w:t>
      </w:r>
    </w:p>
    <w:p w14:paraId="4D2AC4DF">
      <w:pPr>
        <w:pStyle w:val="43"/>
        <w:rPr>
          <w:rFonts w:hint="eastAsia"/>
          <w:color w:val="auto"/>
        </w:rPr>
      </w:pPr>
      <w:r>
        <w:rPr>
          <w:rFonts w:hint="default" w:ascii="Times New Roman" w:hAnsi="Times New Roman" w:eastAsia="微软雅黑" w:cs="Times New Roman"/>
          <w:color w:val="auto"/>
        </w:rPr>
        <w:t>i</w: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点数。</w:t>
      </w:r>
    </w:p>
    <w:p w14:paraId="15457392">
      <w:pPr>
        <w:pStyle w:val="43"/>
        <w:rPr>
          <w:color w:val="auto"/>
        </w:rPr>
      </w:pPr>
      <w:bookmarkStart w:id="168" w:name="OLE_LINK6"/>
      <w:r>
        <w:rPr>
          <w:rFonts w:hint="eastAsia"/>
          <w:color w:val="auto"/>
        </w:rPr>
        <w:t>取绝对值最大的</w:t>
      </w:r>
      <w:r>
        <w:rPr>
          <w:rFonts w:hint="eastAsia"/>
          <w:color w:val="auto"/>
          <w:lang w:val="en-US" w:eastAsia="zh-CN"/>
        </w:rPr>
        <w:t>E</w:t>
      </w:r>
      <w:r>
        <w:rPr>
          <w:rFonts w:hint="eastAsia"/>
          <w:color w:val="auto"/>
          <w:vertAlign w:val="subscript"/>
          <w:lang w:val="en-US" w:eastAsia="zh-CN"/>
        </w:rPr>
        <w:t>V(ij)</w:t>
      </w:r>
      <w:r>
        <w:rPr>
          <w:rFonts w:hint="eastAsia"/>
          <w:color w:val="auto"/>
        </w:rPr>
        <w:t>作为被校流量计第i流量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点的累积流量示值误差</w:t>
      </w:r>
      <w:bookmarkEnd w:id="168"/>
      <w:r>
        <w:rPr>
          <w:rFonts w:hint="eastAsia"/>
          <w:color w:val="auto"/>
        </w:rPr>
        <w:t>。</w:t>
      </w:r>
    </w:p>
    <w:p w14:paraId="67757342">
      <w:pPr>
        <w:pStyle w:val="51"/>
        <w:bidi w:val="0"/>
        <w:ind w:left="0" w:leftChars="0" w:firstLine="0" w:firstLineChars="0"/>
      </w:pPr>
      <w:r>
        <w:rPr>
          <w:rFonts w:hint="eastAsia"/>
        </w:rPr>
        <w:t xml:space="preserve"> 瞬时流量示值误差</w:t>
      </w:r>
    </w:p>
    <w:p w14:paraId="6C6A0F93">
      <w:pPr>
        <w:pStyle w:val="43"/>
        <w:rPr>
          <w:color w:val="auto"/>
        </w:rPr>
      </w:pPr>
      <w:r>
        <w:rPr>
          <w:rFonts w:hint="eastAsia" w:ascii="Times New Roman" w:hAnsi="Times New Roman"/>
          <w:color w:val="auto"/>
        </w:rPr>
        <w:t>在累计流量</w:t>
      </w:r>
      <w:r>
        <w:rPr>
          <w:rFonts w:hint="eastAsia" w:ascii="Times New Roman" w:hAnsi="Times New Roman"/>
          <w:color w:val="auto"/>
          <w:lang w:val="en-US" w:eastAsia="zh-CN"/>
        </w:rPr>
        <w:t>示值误差</w:t>
      </w:r>
      <w:r>
        <w:rPr>
          <w:rFonts w:hint="eastAsia" w:ascii="Times New Roman" w:hAnsi="Times New Roman"/>
          <w:color w:val="auto"/>
        </w:rPr>
        <w:t>校准时间段内</w:t>
      </w:r>
      <w:r>
        <w:rPr>
          <w:rFonts w:hint="eastAsia" w:ascii="Times New Roman" w:hAnsi="Times New Roman"/>
          <w:color w:val="auto"/>
          <w:lang w:eastAsia="zh-CN"/>
        </w:rPr>
        <w:t>，</w:t>
      </w:r>
      <w:r>
        <w:rPr>
          <w:rFonts w:hint="eastAsia" w:ascii="Times New Roman" w:hAnsi="Times New Roman"/>
          <w:color w:val="auto"/>
          <w:lang w:val="en-US" w:eastAsia="zh-CN"/>
        </w:rPr>
        <w:t>任选一个时间点，每次读取5-10个值，每次读取时间间隔不小于5s,取平均值作为该点的瞬时流量。避免人为误差。每</w:t>
      </w:r>
      <w:r>
        <w:rPr>
          <w:rFonts w:hint="eastAsia" w:ascii="Times New Roman" w:hAnsi="Times New Roman"/>
          <w:color w:val="auto"/>
        </w:rPr>
        <w:t>个</w:t>
      </w:r>
      <w:r>
        <w:rPr>
          <w:rFonts w:hint="eastAsia" w:ascii="Times New Roman" w:hAnsi="Times New Roman"/>
          <w:color w:val="auto"/>
          <w:lang w:val="en-US" w:eastAsia="zh-CN"/>
        </w:rPr>
        <w:t>流量</w:t>
      </w:r>
      <w:r>
        <w:rPr>
          <w:rFonts w:hint="eastAsia" w:ascii="Times New Roman" w:hAnsi="Times New Roman"/>
          <w:color w:val="auto"/>
        </w:rPr>
        <w:t>校准点</w:t>
      </w:r>
      <w:r>
        <w:rPr>
          <w:rFonts w:hint="eastAsia"/>
          <w:color w:val="auto"/>
          <w:lang w:val="en-US" w:eastAsia="zh-CN"/>
        </w:rPr>
        <w:t>同样</w:t>
      </w:r>
      <w:r>
        <w:rPr>
          <w:rFonts w:hint="eastAsia" w:ascii="Times New Roman" w:hAnsi="Times New Roman"/>
          <w:color w:val="auto"/>
          <w:lang w:val="en-US" w:eastAsia="zh-CN"/>
        </w:rPr>
        <w:t>校准</w:t>
      </w:r>
      <w:r>
        <w:rPr>
          <w:rFonts w:hint="eastAsia" w:ascii="Times New Roman" w:hAnsi="Times New Roman"/>
          <w:color w:val="auto"/>
        </w:rPr>
        <w:t>3</w:t>
      </w:r>
      <w:r>
        <w:rPr>
          <w:rFonts w:hint="eastAsia"/>
          <w:color w:val="auto"/>
          <w:lang w:val="en-US" w:eastAsia="zh-CN"/>
        </w:rPr>
        <w:t>次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单次校准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瞬时流量示值误差按公式（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）计算。</w:t>
      </w:r>
    </w:p>
    <w:p w14:paraId="1227FBBB"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r>
        <w:rPr>
          <w:rFonts w:ascii="Times New Roman"/>
          <w:position w:val="-32"/>
          <w:vertAlign w:val="subscript"/>
        </w:rPr>
        <w:object>
          <v:shape id="_x0000_i1035" o:spt="75" type="#_x0000_t75" style="height:47.7pt;width:168.7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4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</w:t>
      </w:r>
      <w:r>
        <w:rPr>
          <w:rFonts w:hint="eastAsia" w:ascii="Times New Roman" w:hAnsi="Times New Roman"/>
          <w:lang w:val="en-US" w:eastAsia="zh-CN"/>
        </w:rPr>
        <w:t xml:space="preserve">     </w:t>
      </w:r>
      <w:r>
        <w:rPr>
          <w:rFonts w:hint="eastAsia" w:ascii="Times New Roman" w:hAnsi="Times New Roman"/>
        </w:rPr>
        <w:t xml:space="preserve">  </w:t>
      </w:r>
      <w:r>
        <w:rPr>
          <w:rFonts w:hint="eastAsia" w:ascii="Times New Roman" w:hAnsi="Times New Roman"/>
          <w:lang w:val="en-US" w:eastAsia="zh-CN"/>
        </w:rPr>
        <w:t xml:space="preserve">    </w:t>
      </w:r>
      <w:r>
        <w:rPr>
          <w:rFonts w:hint="eastAsia" w:ascii="Times New Roman" w:hAnsi="Times New Roman"/>
        </w:rPr>
        <w:t xml:space="preserve">  （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eastAsia" w:ascii="Times New Roman" w:hAnsi="Times New Roman"/>
        </w:rPr>
        <w:t>）</w:t>
      </w:r>
    </w:p>
    <w:p w14:paraId="6138D35F">
      <w:pPr>
        <w:pStyle w:val="51"/>
        <w:numPr>
          <w:ilvl w:val="1"/>
          <w:numId w:val="0"/>
        </w:numPr>
        <w:spacing w:before="120" w:after="120"/>
        <w:ind w:firstLine="480" w:firstLineChars="200"/>
        <w:outlineLvl w:val="9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</w:rPr>
        <w:t>式</w:t>
      </w:r>
      <w:r>
        <w:rPr>
          <w:rFonts w:hint="eastAsia" w:ascii="Times New Roman" w:hAnsi="Times New Roman"/>
          <w:color w:val="auto"/>
        </w:rPr>
        <w:t>中：</w:t>
      </w:r>
    </w:p>
    <w:p w14:paraId="37A0999E"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36" o:spt="75" type="#_x0000_t75" style="height:19pt;width:24.9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50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被校流量计第</w:t>
      </w:r>
      <w:r>
        <w:rPr>
          <w:rFonts w:hint="eastAsia"/>
          <w:color w:val="auto"/>
        </w:rPr>
        <w:t>i流量点第j</w:t>
      </w:r>
      <w:r>
        <w:rPr>
          <w:rFonts w:hint="eastAsia"/>
          <w:color w:val="auto"/>
          <w:lang w:val="en-US" w:eastAsia="zh-CN"/>
        </w:rPr>
        <w:t>次</w:t>
      </w:r>
      <w:r>
        <w:rPr>
          <w:rFonts w:hint="eastAsia"/>
          <w:color w:val="auto"/>
        </w:rPr>
        <w:t>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瞬时流量示值误差</w:t>
      </w:r>
      <w:r>
        <w:rPr>
          <w:color w:val="auto"/>
        </w:rPr>
        <w:t>；</w:t>
      </w:r>
    </w:p>
    <w:p w14:paraId="24246A6D"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37" o:spt="75" type="#_x0000_t75" style="height:19pt;width:24.95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52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被校流量计第i流量点第j</w:t>
      </w:r>
      <w:r>
        <w:rPr>
          <w:rFonts w:hint="eastAsia"/>
          <w:color w:val="auto"/>
          <w:lang w:val="en-US" w:eastAsia="zh-CN"/>
        </w:rPr>
        <w:t>次</w:t>
      </w:r>
      <w:r>
        <w:rPr>
          <w:rFonts w:hint="eastAsia"/>
          <w:color w:val="auto"/>
        </w:rPr>
        <w:t>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瞬时流量示值</w:t>
      </w:r>
      <w:r>
        <w:rPr>
          <w:rFonts w:hint="eastAsia" w:ascii="宋体" w:hAnsi="宋体" w:cs="宋体"/>
          <w:color w:val="auto"/>
        </w:rPr>
        <w:t>，</w:t>
      </w:r>
      <w:r>
        <w:rPr>
          <w:rFonts w:hint="eastAsia"/>
          <w:color w:val="auto"/>
        </w:rPr>
        <w:t>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/h</w:t>
      </w:r>
      <w:r>
        <w:rPr>
          <w:rFonts w:hint="eastAsia" w:ascii="宋体" w:hAnsi="宋体" w:cs="宋体"/>
          <w:color w:val="auto"/>
        </w:rPr>
        <w:t>；</w:t>
      </w:r>
    </w:p>
    <w:p w14:paraId="6A2CE966">
      <w:pPr>
        <w:pStyle w:val="43"/>
        <w:rPr>
          <w:rFonts w:hint="eastAsia" w:eastAsia="宋体"/>
          <w:color w:val="auto"/>
          <w:lang w:eastAsia="zh-CN"/>
        </w:rPr>
      </w:pPr>
      <w:r>
        <w:rPr>
          <w:color w:val="auto"/>
          <w:position w:val="-14"/>
          <w:vertAlign w:val="subscript"/>
        </w:rPr>
        <w:object>
          <v:shape id="_x0000_i1038" o:spt="75" type="#_x0000_t75" style="height:19pt;width:23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54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标准</w:t>
      </w:r>
      <w:r>
        <w:rPr>
          <w:rFonts w:hint="eastAsia"/>
          <w:color w:val="auto"/>
          <w:lang w:val="en-US" w:eastAsia="zh-CN"/>
        </w:rPr>
        <w:t>流量计</w:t>
      </w:r>
      <w:r>
        <w:rPr>
          <w:rFonts w:hint="eastAsia"/>
          <w:color w:val="auto"/>
        </w:rPr>
        <w:t>第i流量点第j</w:t>
      </w:r>
      <w:r>
        <w:rPr>
          <w:rFonts w:hint="eastAsia"/>
          <w:color w:val="auto"/>
          <w:lang w:val="en-US" w:eastAsia="zh-CN"/>
        </w:rPr>
        <w:t>次</w:t>
      </w:r>
      <w:r>
        <w:rPr>
          <w:rFonts w:hint="eastAsia"/>
          <w:color w:val="auto"/>
        </w:rPr>
        <w:t>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瞬时流量示值，m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/h</w:t>
      </w:r>
      <w:r>
        <w:rPr>
          <w:rFonts w:hint="eastAsia"/>
          <w:color w:val="auto"/>
          <w:lang w:eastAsia="zh-CN"/>
        </w:rPr>
        <w:t>。</w:t>
      </w:r>
    </w:p>
    <w:p w14:paraId="2D8D7EBD">
      <w:pPr>
        <w:pStyle w:val="43"/>
        <w:rPr>
          <w:color w:val="auto"/>
        </w:rPr>
      </w:pPr>
      <w:bookmarkStart w:id="169" w:name="OLE_LINK5"/>
      <w:r>
        <w:rPr>
          <w:rFonts w:hint="eastAsia"/>
          <w:color w:val="auto"/>
        </w:rPr>
        <w:t>取绝对值最大的</w:t>
      </w:r>
      <w:r>
        <w:rPr>
          <w:rFonts w:hint="eastAsia"/>
          <w:color w:val="auto"/>
          <w:lang w:val="en-US" w:eastAsia="zh-CN"/>
        </w:rPr>
        <w:t>E</w:t>
      </w:r>
      <w:r>
        <w:rPr>
          <w:rFonts w:hint="eastAsia"/>
          <w:color w:val="auto"/>
          <w:vertAlign w:val="subscript"/>
          <w:lang w:val="en-US" w:eastAsia="zh-CN"/>
        </w:rPr>
        <w:t>q(ij)</w:t>
      </w:r>
      <w:r>
        <w:rPr>
          <w:rFonts w:hint="eastAsia"/>
          <w:color w:val="auto"/>
        </w:rPr>
        <w:t>作为被校流量计第i流量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点的瞬时流量示值误差</w:t>
      </w:r>
      <w:bookmarkEnd w:id="169"/>
      <w:r>
        <w:rPr>
          <w:rFonts w:hint="eastAsia"/>
          <w:color w:val="auto"/>
        </w:rPr>
        <w:t>。</w:t>
      </w:r>
    </w:p>
    <w:p w14:paraId="161EAED0">
      <w:pPr>
        <w:pStyle w:val="43"/>
        <w:rPr>
          <w:color w:val="auto"/>
        </w:rPr>
      </w:pPr>
      <w:r>
        <w:rPr>
          <w:rFonts w:hint="eastAsia"/>
          <w:color w:val="auto"/>
        </w:rPr>
        <w:t>当</w:t>
      </w:r>
      <w:r>
        <w:rPr>
          <w:rFonts w:hint="eastAsia"/>
          <w:color w:val="auto"/>
          <w:lang w:val="en-US" w:eastAsia="zh-CN"/>
        </w:rPr>
        <w:t>累积或瞬时流量</w:t>
      </w:r>
      <w:r>
        <w:rPr>
          <w:rFonts w:hint="eastAsia"/>
          <w:color w:val="auto"/>
        </w:rPr>
        <w:t>示值误差校准</w:t>
      </w:r>
      <w:r>
        <w:rPr>
          <w:rFonts w:hint="eastAsia"/>
          <w:color w:val="auto"/>
          <w:lang w:val="en-US" w:eastAsia="zh-CN"/>
        </w:rPr>
        <w:t>结果</w:t>
      </w:r>
      <w:r>
        <w:rPr>
          <w:rFonts w:hint="eastAsia"/>
          <w:color w:val="auto"/>
        </w:rPr>
        <w:t>不满足</w:t>
      </w:r>
      <w:r>
        <w:rPr>
          <w:rFonts w:hint="eastAsia"/>
          <w:color w:val="auto"/>
          <w:lang w:val="en-US" w:eastAsia="zh-CN"/>
        </w:rPr>
        <w:t>客户需</w:t>
      </w:r>
      <w:r>
        <w:rPr>
          <w:rFonts w:hint="eastAsia"/>
          <w:color w:val="auto"/>
        </w:rPr>
        <w:t>求时，能够调整流量系数的</w:t>
      </w:r>
      <w:r>
        <w:rPr>
          <w:rFonts w:hint="eastAsia"/>
          <w:color w:val="auto"/>
          <w:lang w:val="en-US" w:eastAsia="zh-CN"/>
        </w:rPr>
        <w:t>被校</w:t>
      </w:r>
      <w:r>
        <w:rPr>
          <w:rFonts w:hint="eastAsia"/>
          <w:color w:val="auto"/>
        </w:rPr>
        <w:t>流量计，可根据调整前的校准</w:t>
      </w:r>
      <w:r>
        <w:rPr>
          <w:rFonts w:hint="eastAsia"/>
          <w:color w:val="auto"/>
          <w:lang w:val="en-US" w:eastAsia="zh-CN"/>
        </w:rPr>
        <w:t>结果</w:t>
      </w:r>
      <w:r>
        <w:rPr>
          <w:rFonts w:hint="eastAsia"/>
          <w:color w:val="auto"/>
        </w:rPr>
        <w:t>进行流量系数调整，调整后需再次进行校准，并记录好流量系数调整情况。</w:t>
      </w:r>
    </w:p>
    <w:p w14:paraId="76D580C2">
      <w:pPr>
        <w:pStyle w:val="51"/>
        <w:spacing w:before="0" w:beforeLines="0" w:after="0" w:afterLines="0"/>
        <w:outlineLvl w:val="1"/>
        <w:rPr>
          <w:rFonts w:hint="eastAsia"/>
        </w:rPr>
      </w:pPr>
      <w:r>
        <w:rPr>
          <w:rFonts w:hint="eastAsia"/>
        </w:rPr>
        <w:t xml:space="preserve"> </w:t>
      </w:r>
      <w:bookmarkStart w:id="170" w:name="_Toc12986"/>
      <w:bookmarkStart w:id="171" w:name="_Toc1954"/>
      <w:r>
        <w:rPr>
          <w:rFonts w:hint="eastAsia"/>
        </w:rPr>
        <w:t>重复性</w:t>
      </w:r>
      <w:bookmarkEnd w:id="170"/>
      <w:bookmarkEnd w:id="171"/>
    </w:p>
    <w:p w14:paraId="48ABAAE5">
      <w:pPr>
        <w:pStyle w:val="51"/>
        <w:numPr>
          <w:ilvl w:val="0"/>
          <w:numId w:val="0"/>
        </w:numPr>
        <w:spacing w:before="120" w:after="120"/>
        <w:ind w:firstLine="480" w:firstLineChars="200"/>
        <w:rPr>
          <w:rFonts w:hint="eastAsia" w:eastAsia="宋体"/>
          <w:lang w:eastAsia="zh-CN"/>
        </w:rPr>
      </w:pPr>
      <w:bookmarkStart w:id="172" w:name="_Toc27188"/>
      <w:bookmarkStart w:id="173" w:name="_Toc15759"/>
      <w:bookmarkStart w:id="174" w:name="_Toc25640"/>
      <w:bookmarkStart w:id="175" w:name="_Toc2129"/>
      <w:r>
        <w:rPr>
          <w:rFonts w:hint="eastAsia"/>
          <w:lang w:val="en-US" w:eastAsia="zh-CN"/>
        </w:rPr>
        <w:t>被校</w:t>
      </w:r>
      <w:r>
        <w:rPr>
          <w:rFonts w:hint="eastAsia"/>
        </w:rPr>
        <w:t>流量计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重复性校准与</w:t>
      </w:r>
      <w:r>
        <w:rPr>
          <w:rFonts w:hint="eastAsia"/>
          <w:lang w:val="en-US" w:eastAsia="zh-CN"/>
        </w:rPr>
        <w:t>累积或瞬时流量</w:t>
      </w:r>
      <w:r>
        <w:rPr>
          <w:rFonts w:hint="eastAsia"/>
        </w:rPr>
        <w:t>示值误差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校准同时进行。</w:t>
      </w:r>
      <w:bookmarkEnd w:id="172"/>
      <w:r>
        <w:rPr>
          <w:rFonts w:hint="eastAsia"/>
        </w:rPr>
        <w:t>利用极差法按</w:t>
      </w:r>
      <w:r>
        <w:rPr>
          <w:rFonts w:hint="eastAsia"/>
          <w:lang w:val="en-US" w:eastAsia="zh-CN"/>
        </w:rPr>
        <w:t>公</w:t>
      </w:r>
      <w:r>
        <w:rPr>
          <w:rFonts w:hint="eastAsia"/>
        </w:rPr>
        <w:t>式</w:t>
      </w:r>
      <w:r>
        <w:t>（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t>）</w:t>
      </w:r>
      <w:r>
        <w:rPr>
          <w:rFonts w:hint="eastAsia"/>
        </w:rPr>
        <w:t>计算被校流量计第</w:t>
      </w:r>
      <w:r>
        <w:rPr>
          <w:rFonts w:hint="default" w:ascii="Times New Roman" w:hAnsi="Times New Roman" w:cs="Times New Roman"/>
        </w:rPr>
        <w:t>i</w:t>
      </w:r>
      <w:r>
        <w:rPr>
          <w:rFonts w:hint="eastAsia"/>
        </w:rPr>
        <w:t>流量点的</w:t>
      </w:r>
      <w:r>
        <w:rPr>
          <w:rFonts w:hint="eastAsia"/>
          <w:lang w:val="en-US" w:eastAsia="zh-CN"/>
        </w:rPr>
        <w:t>示值误差的</w:t>
      </w:r>
      <w:r>
        <w:rPr>
          <w:rFonts w:hint="eastAsia"/>
        </w:rPr>
        <w:t>重复性。</w:t>
      </w:r>
      <w:bookmarkEnd w:id="173"/>
      <w:bookmarkEnd w:id="174"/>
      <w:bookmarkEnd w:id="175"/>
    </w:p>
    <w:p w14:paraId="06A0A6A7"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bookmarkStart w:id="176" w:name="_Toc328"/>
      <w:bookmarkStart w:id="177" w:name="_Toc13756"/>
      <w:bookmarkStart w:id="178" w:name="_Toc31980"/>
      <w:r>
        <w:rPr>
          <w:rFonts w:ascii="Times New Roman"/>
          <w:position w:val="-32"/>
        </w:rPr>
        <w:object>
          <v:shape id="_x0000_i1039" o:spt="75" type="#_x0000_t75" style="height:45.8pt;width:168.4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56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    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 xml:space="preserve">  (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/>
        </w:rPr>
        <w:t>)</w:t>
      </w:r>
      <w:bookmarkEnd w:id="176"/>
      <w:bookmarkEnd w:id="177"/>
      <w:bookmarkEnd w:id="178"/>
    </w:p>
    <w:p w14:paraId="3995FAB7">
      <w:pPr>
        <w:pStyle w:val="51"/>
        <w:numPr>
          <w:ilvl w:val="1"/>
          <w:numId w:val="0"/>
        </w:numPr>
        <w:spacing w:before="120" w:after="120"/>
        <w:ind w:firstLine="480" w:firstLineChars="200"/>
        <w:outlineLvl w:val="9"/>
        <w:rPr>
          <w:rFonts w:ascii="Times New Roman" w:hAnsi="Times New Roman"/>
          <w:color w:val="auto"/>
        </w:rPr>
      </w:pPr>
      <w:bookmarkStart w:id="179" w:name="_Toc5677"/>
      <w:bookmarkStart w:id="180" w:name="_Toc20558"/>
      <w:bookmarkStart w:id="181" w:name="_Toc14362"/>
      <w:r>
        <w:rPr>
          <w:rFonts w:hint="eastAsia" w:ascii="Times New Roman" w:hAnsi="Times New Roman"/>
        </w:rPr>
        <w:t>式中：</w:t>
      </w:r>
      <w:bookmarkEnd w:id="179"/>
      <w:bookmarkEnd w:id="180"/>
      <w:bookmarkEnd w:id="181"/>
    </w:p>
    <w:p w14:paraId="41419342"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40" o:spt="75" type="#_x0000_t75" style="height:19pt;width:23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58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被校流量计第</w:t>
      </w:r>
      <w:r>
        <w:rPr>
          <w:rFonts w:hint="eastAsia"/>
          <w:color w:val="auto"/>
        </w:rPr>
        <w:t>i流量点</w:t>
      </w:r>
      <w:r>
        <w:rPr>
          <w:rFonts w:hint="eastAsia"/>
          <w:color w:val="auto"/>
          <w:lang w:val="en-US" w:eastAsia="zh-CN"/>
        </w:rPr>
        <w:t>的累积或瞬时流量重复性；</w:t>
      </w:r>
    </w:p>
    <w:p w14:paraId="65CC6C0E"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41" o:spt="75" type="#_x0000_t75" style="height:19pt;width:31.95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60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被校流量计第i流量点</w:t>
      </w:r>
      <w:r>
        <w:rPr>
          <w:rFonts w:hint="eastAsia"/>
          <w:color w:val="auto"/>
          <w:lang w:val="en-US" w:eastAsia="zh-CN"/>
        </w:rPr>
        <w:t>的累计或瞬时</w:t>
      </w:r>
      <w:r>
        <w:rPr>
          <w:rFonts w:hint="eastAsia"/>
          <w:color w:val="auto"/>
        </w:rPr>
        <w:t>流量示值</w:t>
      </w:r>
      <w:r>
        <w:rPr>
          <w:rFonts w:hint="eastAsia"/>
          <w:color w:val="auto"/>
          <w:lang w:val="en-US" w:eastAsia="zh-CN"/>
        </w:rPr>
        <w:t>最大值</w:t>
      </w:r>
      <w:r>
        <w:rPr>
          <w:rFonts w:hint="eastAsia" w:ascii="宋体" w:hAnsi="宋体" w:cs="宋体"/>
          <w:color w:val="auto"/>
        </w:rPr>
        <w:t>，</w:t>
      </w:r>
      <w:r>
        <w:rPr>
          <w:rFonts w:hint="eastAsia"/>
          <w:color w:val="auto"/>
        </w:rPr>
        <w:t>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  <w:vertAlign w:val="baseline"/>
          <w:lang w:val="en-US" w:eastAsia="zh-CN"/>
        </w:rPr>
        <w:t>或</w:t>
      </w:r>
      <w:r>
        <w:rPr>
          <w:rFonts w:hint="eastAsia"/>
          <w:color w:val="auto"/>
        </w:rPr>
        <w:t>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/h</w:t>
      </w:r>
      <w:r>
        <w:rPr>
          <w:rFonts w:hint="eastAsia" w:ascii="宋体" w:hAnsi="宋体" w:cs="宋体"/>
          <w:color w:val="auto"/>
        </w:rPr>
        <w:t>；</w:t>
      </w:r>
    </w:p>
    <w:p w14:paraId="50547AC1">
      <w:pPr>
        <w:pStyle w:val="43"/>
        <w:rPr>
          <w:rFonts w:hint="eastAsia"/>
          <w:color w:val="auto"/>
        </w:rPr>
      </w:pPr>
      <w:r>
        <w:rPr>
          <w:color w:val="auto"/>
          <w:position w:val="-14"/>
          <w:vertAlign w:val="subscript"/>
        </w:rPr>
        <w:object>
          <v:shape id="_x0000_i1042" o:spt="75" type="#_x0000_t75" style="height:19pt;width:31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62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被校流量计</w:t>
      </w:r>
      <w:r>
        <w:rPr>
          <w:rFonts w:hint="eastAsia"/>
          <w:color w:val="auto"/>
        </w:rPr>
        <w:t>第i流量点</w:t>
      </w:r>
      <w:r>
        <w:rPr>
          <w:rFonts w:hint="eastAsia"/>
          <w:color w:val="auto"/>
          <w:lang w:val="en-US" w:eastAsia="zh-CN"/>
        </w:rPr>
        <w:t>的累积或瞬时</w:t>
      </w:r>
      <w:r>
        <w:rPr>
          <w:rFonts w:hint="eastAsia"/>
          <w:color w:val="auto"/>
        </w:rPr>
        <w:t>流量</w:t>
      </w:r>
      <w:r>
        <w:rPr>
          <w:rFonts w:hint="eastAsia"/>
          <w:color w:val="auto"/>
          <w:lang w:val="en-US" w:eastAsia="zh-CN"/>
        </w:rPr>
        <w:t>示值最小值</w:t>
      </w:r>
      <w:r>
        <w:rPr>
          <w:rFonts w:hint="eastAsia"/>
          <w:color w:val="auto"/>
        </w:rPr>
        <w:t>，m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  <w:vertAlign w:val="baseline"/>
          <w:lang w:val="en-US" w:eastAsia="zh-CN"/>
        </w:rPr>
        <w:t>或</w:t>
      </w:r>
      <w:r>
        <w:rPr>
          <w:rFonts w:hint="eastAsia"/>
          <w:color w:val="auto"/>
        </w:rPr>
        <w:t>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/h；</w:t>
      </w:r>
    </w:p>
    <w:p w14:paraId="07D32F4C">
      <w:pPr>
        <w:pStyle w:val="43"/>
        <w:rPr>
          <w:rFonts w:hint="eastAsia"/>
          <w:color w:val="auto"/>
        </w:rPr>
      </w:pPr>
      <w:r>
        <w:rPr>
          <w:color w:val="auto"/>
          <w:position w:val="-14"/>
          <w:vertAlign w:val="subscript"/>
        </w:rPr>
        <w:object>
          <v:shape id="_x0000_i1043" o:spt="75" type="#_x0000_t75" style="height:20pt;width:23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64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被校流量计</w:t>
      </w:r>
      <w:r>
        <w:rPr>
          <w:rFonts w:hint="eastAsia"/>
          <w:color w:val="auto"/>
        </w:rPr>
        <w:t>第i流量点</w:t>
      </w:r>
      <w:r>
        <w:rPr>
          <w:rFonts w:hint="eastAsia"/>
          <w:color w:val="auto"/>
          <w:lang w:val="en-US" w:eastAsia="zh-CN"/>
        </w:rPr>
        <w:t>的累积或瞬时</w:t>
      </w:r>
      <w:r>
        <w:rPr>
          <w:rFonts w:hint="eastAsia"/>
          <w:color w:val="auto"/>
        </w:rPr>
        <w:t>流量</w:t>
      </w:r>
      <w:r>
        <w:rPr>
          <w:rFonts w:hint="eastAsia"/>
          <w:color w:val="auto"/>
          <w:lang w:val="en-US" w:eastAsia="zh-CN"/>
        </w:rPr>
        <w:t>示值平均值</w:t>
      </w:r>
      <w:r>
        <w:rPr>
          <w:rFonts w:hint="eastAsia"/>
          <w:color w:val="auto"/>
        </w:rPr>
        <w:t>，m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  <w:vertAlign w:val="baseline"/>
          <w:lang w:val="en-US" w:eastAsia="zh-CN"/>
        </w:rPr>
        <w:t>或</w:t>
      </w:r>
      <w:r>
        <w:rPr>
          <w:rFonts w:hint="eastAsia"/>
          <w:color w:val="auto"/>
        </w:rPr>
        <w:t>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/h；</w:t>
      </w:r>
    </w:p>
    <w:p w14:paraId="1D5E67B9">
      <w:pPr>
        <w:pStyle w:val="43"/>
      </w:pPr>
      <w:r>
        <w:rPr>
          <w:color w:val="auto"/>
          <w:position w:val="-12"/>
          <w:vertAlign w:val="subscript"/>
        </w:rPr>
        <w:object>
          <v:shape id="_x0000_i1044" o:spt="75" type="#_x0000_t75" style="height:18pt;width:15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66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极差系数，n=3时C</w:t>
      </w:r>
      <w:r>
        <w:rPr>
          <w:rFonts w:hint="eastAsia"/>
          <w:color w:val="auto"/>
          <w:vertAlign w:val="subscript"/>
          <w:lang w:val="en-US" w:eastAsia="zh-CN"/>
        </w:rPr>
        <w:t>n</w:t>
      </w:r>
      <w:r>
        <w:rPr>
          <w:rFonts w:hint="eastAsia"/>
          <w:color w:val="auto"/>
          <w:vertAlign w:val="baseline"/>
          <w:lang w:val="en-US" w:eastAsia="zh-CN"/>
        </w:rPr>
        <w:t>=1.69</w:t>
      </w:r>
      <w:r>
        <w:rPr>
          <w:rFonts w:hint="eastAsia"/>
          <w:color w:val="auto"/>
        </w:rPr>
        <w:t>。</w:t>
      </w:r>
    </w:p>
    <w:p w14:paraId="79B41049">
      <w:pPr>
        <w:pStyle w:val="51"/>
        <w:spacing w:before="120" w:after="120"/>
        <w:outlineLvl w:val="1"/>
        <w:rPr>
          <w:rFonts w:hint="eastAsia"/>
        </w:rPr>
      </w:pPr>
      <w:r>
        <w:rPr>
          <w:rFonts w:hint="eastAsia"/>
        </w:rPr>
        <w:t xml:space="preserve"> </w:t>
      </w:r>
      <w:bookmarkStart w:id="182" w:name="_Toc10357"/>
      <w:bookmarkStart w:id="183" w:name="_Toc5272"/>
      <w:bookmarkStart w:id="184" w:name="_Toc31131"/>
      <w:r>
        <w:rPr>
          <w:rFonts w:hint="eastAsia"/>
        </w:rPr>
        <w:t>变送输出</w:t>
      </w:r>
      <w:bookmarkEnd w:id="182"/>
      <w:bookmarkEnd w:id="183"/>
      <w:r>
        <w:rPr>
          <w:rFonts w:hint="eastAsia"/>
        </w:rPr>
        <w:t>误差</w:t>
      </w:r>
      <w:bookmarkEnd w:id="184"/>
    </w:p>
    <w:p w14:paraId="0AB39C05">
      <w:pPr>
        <w:pStyle w:val="51"/>
        <w:numPr>
          <w:ilvl w:val="1"/>
          <w:numId w:val="0"/>
        </w:numPr>
        <w:spacing w:before="120" w:after="120"/>
        <w:ind w:firstLine="480" w:firstLineChars="200"/>
        <w:outlineLvl w:val="9"/>
        <w:rPr>
          <w:rFonts w:ascii="Times New Roman" w:hAnsi="Times New Roman"/>
        </w:rPr>
      </w:pPr>
      <w:bookmarkStart w:id="185" w:name="_Toc30984"/>
      <w:bookmarkStart w:id="186" w:name="_Toc24395"/>
      <w:bookmarkStart w:id="187" w:name="_Toc7733"/>
      <w:r>
        <w:rPr>
          <w:rFonts w:hint="eastAsia" w:ascii="Times New Roman" w:hAnsi="Times New Roman"/>
        </w:rPr>
        <w:t>按流量计说明书接线，查看确认流量计变送输出流量范围、变送输出信号范围等参数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  <w:lang w:val="en-US" w:eastAsia="zh-CN"/>
        </w:rPr>
        <w:t>并做好记录</w:t>
      </w:r>
      <w:r>
        <w:rPr>
          <w:rFonts w:hint="eastAsia" w:ascii="Times New Roman" w:hAnsi="Times New Roman"/>
        </w:rPr>
        <w:t>。</w:t>
      </w:r>
      <w:r>
        <w:rPr>
          <w:rFonts w:hint="eastAsia" w:ascii="Times New Roman" w:hAnsi="Times New Roman"/>
          <w:lang w:val="en-US" w:eastAsia="zh-CN"/>
        </w:rPr>
        <w:t>被校流量计</w:t>
      </w:r>
      <w:r>
        <w:rPr>
          <w:rFonts w:hint="eastAsia" w:ascii="Times New Roman" w:hAnsi="Times New Roman"/>
        </w:rPr>
        <w:t>瞬时流量示值误差校准过程中，</w:t>
      </w:r>
      <w:r>
        <w:rPr>
          <w:rFonts w:hint="eastAsia" w:ascii="Times New Roman" w:hAnsi="Times New Roman"/>
          <w:lang w:val="en-US" w:eastAsia="zh-CN"/>
        </w:rPr>
        <w:t>同时</w:t>
      </w:r>
      <w:r>
        <w:rPr>
          <w:rFonts w:hint="eastAsia" w:ascii="Times New Roman" w:hAnsi="Times New Roman"/>
        </w:rPr>
        <w:t>读取</w:t>
      </w:r>
      <w:r>
        <w:rPr>
          <w:rFonts w:hint="eastAsia" w:ascii="Times New Roman" w:hAnsi="Times New Roman"/>
          <w:lang w:val="en-US" w:eastAsia="zh-CN"/>
        </w:rPr>
        <w:t>瞬时</w:t>
      </w:r>
      <w:r>
        <w:rPr>
          <w:rFonts w:hint="eastAsia" w:ascii="Times New Roman" w:hAnsi="Times New Roman"/>
        </w:rPr>
        <w:t>流量示值</w:t>
      </w:r>
      <w:r>
        <w:rPr>
          <w:rFonts w:hint="eastAsia" w:ascii="Times New Roman" w:hAnsi="Times New Roman"/>
          <w:lang w:val="en-US" w:eastAsia="zh-CN"/>
        </w:rPr>
        <w:t>和</w:t>
      </w:r>
      <w:r>
        <w:rPr>
          <w:rFonts w:hint="eastAsia" w:ascii="Times New Roman" w:hAnsi="Times New Roman"/>
        </w:rPr>
        <w:t>数字多用表</w:t>
      </w:r>
      <w:r>
        <w:rPr>
          <w:rFonts w:hint="eastAsia" w:ascii="Times New Roman" w:hAnsi="Times New Roman"/>
          <w:lang w:val="en-US" w:eastAsia="zh-CN"/>
        </w:rPr>
        <w:t>上被校流量计</w:t>
      </w:r>
      <w:r>
        <w:rPr>
          <w:rFonts w:hint="eastAsia" w:ascii="Times New Roman" w:hAnsi="Times New Roman"/>
        </w:rPr>
        <w:t>变送输出的电流或电压值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  <w:lang w:val="en-US" w:eastAsia="zh-CN"/>
        </w:rPr>
        <w:t>并记录</w:t>
      </w:r>
      <w:r>
        <w:rPr>
          <w:rFonts w:hint="eastAsia" w:ascii="Times New Roman" w:hAnsi="Times New Roman"/>
        </w:rPr>
        <w:t>。</w:t>
      </w:r>
      <w:bookmarkEnd w:id="185"/>
      <w:bookmarkStart w:id="188" w:name="_Toc31630"/>
      <w:r>
        <w:rPr>
          <w:rFonts w:hint="eastAsia" w:ascii="Times New Roman" w:hAnsi="Times New Roman"/>
          <w:color w:val="auto"/>
          <w:lang w:val="en-US" w:eastAsia="zh-CN"/>
        </w:rPr>
        <w:t>每</w:t>
      </w:r>
      <w:r>
        <w:rPr>
          <w:rFonts w:hint="eastAsia" w:ascii="Times New Roman" w:hAnsi="Times New Roman"/>
          <w:color w:val="auto"/>
        </w:rPr>
        <w:t>个</w:t>
      </w:r>
      <w:r>
        <w:rPr>
          <w:rFonts w:hint="eastAsia" w:ascii="Times New Roman" w:hAnsi="Times New Roman"/>
          <w:color w:val="auto"/>
          <w:lang w:val="en-US" w:eastAsia="zh-CN"/>
        </w:rPr>
        <w:t>流量</w:t>
      </w:r>
      <w:r>
        <w:rPr>
          <w:rFonts w:hint="eastAsia" w:ascii="Times New Roman" w:hAnsi="Times New Roman"/>
          <w:color w:val="auto"/>
        </w:rPr>
        <w:t>校准点</w:t>
      </w:r>
      <w:r>
        <w:rPr>
          <w:rFonts w:hint="eastAsia"/>
          <w:color w:val="auto"/>
          <w:lang w:val="en-US" w:eastAsia="zh-CN"/>
        </w:rPr>
        <w:t>同样</w:t>
      </w:r>
      <w:r>
        <w:rPr>
          <w:rFonts w:hint="eastAsia" w:ascii="Times New Roman" w:hAnsi="Times New Roman"/>
          <w:color w:val="auto"/>
          <w:lang w:val="en-US" w:eastAsia="zh-CN"/>
        </w:rPr>
        <w:t>校准</w:t>
      </w:r>
      <w:r>
        <w:rPr>
          <w:rFonts w:hint="eastAsia" w:ascii="Times New Roman" w:hAnsi="Times New Roman"/>
          <w:color w:val="auto"/>
        </w:rPr>
        <w:t>3</w:t>
      </w:r>
      <w:r>
        <w:rPr>
          <w:rFonts w:hint="eastAsia" w:ascii="Times New Roman" w:hAnsi="Times New Roman"/>
          <w:color w:val="auto"/>
          <w:lang w:val="en-US" w:eastAsia="zh-CN"/>
        </w:rPr>
        <w:t>次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单次校准</w:t>
      </w:r>
      <w:r>
        <w:rPr>
          <w:rFonts w:hint="eastAsia"/>
          <w:color w:val="auto"/>
          <w:lang w:val="en-US" w:eastAsia="zh-CN"/>
        </w:rPr>
        <w:t>的变送输出</w:t>
      </w:r>
      <w:r>
        <w:rPr>
          <w:rFonts w:hint="eastAsia"/>
          <w:color w:val="auto"/>
        </w:rPr>
        <w:t>误差按公式（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6</w:t>
      </w:r>
      <w:r>
        <w:rPr>
          <w:rFonts w:hint="eastAsia"/>
          <w:color w:val="auto"/>
        </w:rPr>
        <w:t>）计算</w:t>
      </w:r>
      <w:r>
        <w:rPr>
          <w:rFonts w:hint="eastAsia" w:ascii="Times New Roman" w:hAnsi="Times New Roman"/>
        </w:rPr>
        <w:t>。</w:t>
      </w:r>
      <w:bookmarkEnd w:id="186"/>
      <w:bookmarkEnd w:id="187"/>
      <w:bookmarkEnd w:id="188"/>
    </w:p>
    <w:p w14:paraId="075A1A6C"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/>
          <w:position w:val="-30"/>
          <w:vertAlign w:val="subscript"/>
        </w:rPr>
      </w:pPr>
      <w:bookmarkStart w:id="189" w:name="_Toc29919"/>
      <w:bookmarkStart w:id="190" w:name="_Toc24172"/>
      <w:bookmarkStart w:id="191" w:name="_Toc10394"/>
      <w:r>
        <w:rPr>
          <w:rFonts w:ascii="Times New Roman"/>
          <w:position w:val="-30"/>
          <w:vertAlign w:val="subscript"/>
        </w:rPr>
        <w:object>
          <v:shape id="_x0000_i1045" o:spt="75" type="#_x0000_t75" style="height:46.45pt;width:173.9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6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</w:t>
      </w:r>
      <w:r>
        <w:rPr>
          <w:rFonts w:hint="eastAsia" w:ascii="Times New Roman" w:hAnsi="Times New Roman"/>
          <w:lang w:val="en-US" w:eastAsia="zh-CN"/>
        </w:rPr>
        <w:t xml:space="preserve">      </w:t>
      </w:r>
      <w:r>
        <w:rPr>
          <w:rFonts w:hint="eastAsia" w:ascii="Times New Roman" w:hAnsi="Times New Roman"/>
        </w:rPr>
        <w:t xml:space="preserve">  （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）</w:t>
      </w:r>
    </w:p>
    <w:bookmarkEnd w:id="189"/>
    <w:bookmarkEnd w:id="190"/>
    <w:bookmarkEnd w:id="191"/>
    <w:p w14:paraId="2FE3E889">
      <w:pPr>
        <w:pStyle w:val="51"/>
        <w:numPr>
          <w:ilvl w:val="1"/>
          <w:numId w:val="0"/>
        </w:numPr>
        <w:spacing w:before="0" w:beforeLines="0" w:after="0" w:afterLines="0"/>
        <w:ind w:firstLine="480" w:firstLineChars="200"/>
        <w:outlineLvl w:val="9"/>
        <w:rPr>
          <w:rFonts w:ascii="Times New Roman" w:hAnsi="Times New Roman"/>
          <w:color w:val="auto"/>
        </w:rPr>
      </w:pPr>
      <w:bookmarkStart w:id="192" w:name="_Toc10842"/>
      <w:bookmarkStart w:id="193" w:name="_Toc14672"/>
      <w:bookmarkStart w:id="194" w:name="_Toc18612"/>
      <w:r>
        <w:rPr>
          <w:rFonts w:hint="eastAsia" w:ascii="Times New Roman" w:hAnsi="Times New Roman"/>
          <w:color w:val="auto"/>
        </w:rPr>
        <w:t>式中：</w:t>
      </w:r>
      <w:bookmarkEnd w:id="192"/>
      <w:bookmarkEnd w:id="193"/>
      <w:bookmarkEnd w:id="194"/>
    </w:p>
    <w:p w14:paraId="7D8CA802"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46" o:spt="75" type="#_x0000_t75" style="height:19pt;width:23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70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被校流量计第</w:t>
      </w:r>
      <w:r>
        <w:rPr>
          <w:rFonts w:hint="eastAsia"/>
          <w:color w:val="auto"/>
        </w:rPr>
        <w:t>i流量点第j</w:t>
      </w:r>
      <w:r>
        <w:rPr>
          <w:rFonts w:hint="eastAsia"/>
          <w:color w:val="auto"/>
          <w:lang w:val="en-US" w:eastAsia="zh-CN"/>
        </w:rPr>
        <w:t>次</w:t>
      </w:r>
      <w:r>
        <w:rPr>
          <w:rFonts w:hint="eastAsia"/>
          <w:color w:val="auto"/>
        </w:rPr>
        <w:t>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变送输出误差</w:t>
      </w:r>
      <w:r>
        <w:rPr>
          <w:color w:val="auto"/>
        </w:rPr>
        <w:t>；</w:t>
      </w:r>
    </w:p>
    <w:p w14:paraId="69F77AF5"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47" o:spt="75" type="#_x0000_t75" style="height:19pt;width:29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72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被校流量计第i流量点第j</w:t>
      </w:r>
      <w:r>
        <w:rPr>
          <w:rFonts w:hint="eastAsia"/>
          <w:color w:val="auto"/>
          <w:lang w:val="en-US" w:eastAsia="zh-CN"/>
        </w:rPr>
        <w:t>次</w:t>
      </w:r>
      <w:r>
        <w:rPr>
          <w:rFonts w:hint="eastAsia"/>
          <w:color w:val="auto"/>
        </w:rPr>
        <w:t>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变送输出示值，mA或V</w:t>
      </w:r>
      <w:r>
        <w:rPr>
          <w:color w:val="auto"/>
        </w:rPr>
        <w:t>；</w:t>
      </w:r>
    </w:p>
    <w:p w14:paraId="4C76CE01"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48" o:spt="75" type="#_x0000_t75" style="height:19pt;width:27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74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被校流量计第i流量点第j</w:t>
      </w:r>
      <w:r>
        <w:rPr>
          <w:rFonts w:hint="eastAsia"/>
          <w:color w:val="auto"/>
          <w:lang w:val="en-US" w:eastAsia="zh-CN"/>
        </w:rPr>
        <w:t>次</w:t>
      </w:r>
      <w:r>
        <w:rPr>
          <w:rFonts w:hint="eastAsia"/>
          <w:color w:val="auto"/>
        </w:rPr>
        <w:t>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变送输出理论值，mA或V；</w:t>
      </w:r>
    </w:p>
    <w:p w14:paraId="447445B6">
      <w:pPr>
        <w:pStyle w:val="43"/>
        <w:rPr>
          <w:color w:val="auto"/>
        </w:rPr>
      </w:pPr>
      <w:r>
        <w:rPr>
          <w:color w:val="auto"/>
          <w:position w:val="-12"/>
          <w:vertAlign w:val="subscript"/>
        </w:rPr>
        <w:object>
          <v:shape id="_x0000_i1049" o:spt="75" type="#_x0000_t75" style="height:18pt;width:17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76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被校流量计变送输出</w:t>
      </w:r>
      <w:r>
        <w:rPr>
          <w:rFonts w:hint="eastAsia"/>
          <w:color w:val="auto"/>
          <w:lang w:val="en-US" w:eastAsia="zh-CN"/>
        </w:rPr>
        <w:t>信号</w:t>
      </w:r>
      <w:r>
        <w:rPr>
          <w:rFonts w:hint="eastAsia"/>
          <w:color w:val="auto"/>
        </w:rPr>
        <w:t>的量程，mA或V。</w:t>
      </w:r>
    </w:p>
    <w:p w14:paraId="522CC6B7">
      <w:pPr>
        <w:pStyle w:val="51"/>
        <w:numPr>
          <w:ilvl w:val="1"/>
          <w:numId w:val="0"/>
        </w:numPr>
        <w:spacing w:before="0" w:beforeLines="0" w:after="0" w:afterLines="0"/>
        <w:ind w:firstLine="480" w:firstLineChars="200"/>
        <w:outlineLvl w:val="9"/>
        <w:rPr>
          <w:rFonts w:ascii="Times New Roman" w:hAnsi="Times New Roman"/>
        </w:rPr>
      </w:pPr>
      <w:r>
        <w:rPr>
          <w:rFonts w:hint="eastAsia"/>
        </w:rPr>
        <w:t xml:space="preserve"> </w:t>
      </w:r>
      <w:r>
        <w:rPr>
          <w:rFonts w:hint="eastAsia" w:ascii="Times New Roman" w:hAnsi="Times New Roman"/>
        </w:rPr>
        <w:t>取绝对值最大的</w:t>
      </w:r>
      <w:r>
        <w:rPr>
          <w:rFonts w:hint="eastAsia" w:ascii="Times New Roman" w:hAnsi="Times New Roman"/>
          <w:lang w:val="en-US" w:eastAsia="zh-CN"/>
        </w:rPr>
        <w:t>A</w:t>
      </w:r>
      <w:r>
        <w:rPr>
          <w:rFonts w:hint="eastAsia" w:ascii="Times New Roman" w:hAnsi="Times New Roman"/>
          <w:vertAlign w:val="subscript"/>
          <w:lang w:val="en-US" w:eastAsia="zh-CN"/>
        </w:rPr>
        <w:t>(ij)</w:t>
      </w:r>
      <w:r>
        <w:rPr>
          <w:rFonts w:hint="eastAsia" w:ascii="Times New Roman" w:hAnsi="Times New Roman"/>
        </w:rPr>
        <w:t>作为</w:t>
      </w:r>
      <w:r>
        <w:rPr>
          <w:rFonts w:hint="eastAsia"/>
        </w:rPr>
        <w:t>被校流量计</w:t>
      </w:r>
      <w:r>
        <w:rPr>
          <w:rFonts w:hint="eastAsia"/>
          <w:color w:val="auto"/>
        </w:rPr>
        <w:t>第</w:t>
      </w:r>
      <w:r>
        <w:rPr>
          <w:rFonts w:hint="default" w:ascii="Times New Roman" w:hAnsi="Times New Roman" w:cs="Times New Roman"/>
          <w:color w:val="auto"/>
        </w:rPr>
        <w:t>i</w:t>
      </w:r>
      <w:r>
        <w:rPr>
          <w:rFonts w:hint="eastAsia"/>
          <w:color w:val="auto"/>
        </w:rPr>
        <w:t>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</w:t>
      </w:r>
      <w:r>
        <w:rPr>
          <w:rFonts w:hint="eastAsia"/>
        </w:rPr>
        <w:t>的变送输出误差。</w:t>
      </w:r>
    </w:p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p w14:paraId="469355EF">
      <w:pPr>
        <w:pStyle w:val="42"/>
        <w:spacing w:before="0" w:beforeLines="0" w:after="0" w:afterLines="0" w:line="360" w:lineRule="auto"/>
        <w:outlineLvl w:val="0"/>
        <w:rPr>
          <w:rFonts w:hint="eastAsia"/>
        </w:rPr>
      </w:pPr>
      <w:bookmarkStart w:id="195" w:name="_Toc193860188"/>
      <w:bookmarkStart w:id="196" w:name="_Toc193618956"/>
      <w:bookmarkStart w:id="197" w:name="_Toc193619059"/>
      <w:bookmarkStart w:id="198" w:name="_Toc193619101"/>
      <w:bookmarkStart w:id="199" w:name="_Toc193860038"/>
      <w:bookmarkStart w:id="200" w:name="_Toc193860219"/>
      <w:bookmarkStart w:id="201" w:name="_Toc4816"/>
      <w:bookmarkStart w:id="202" w:name="_Toc23784582"/>
      <w:bookmarkStart w:id="203" w:name="_Toc23785579"/>
      <w:bookmarkStart w:id="204" w:name="_Toc24685_WPSOffice_Level1"/>
      <w:bookmarkStart w:id="205" w:name="_Toc31728"/>
      <w:bookmarkStart w:id="206" w:name="_Toc23784681"/>
      <w:r>
        <w:rPr>
          <w:rFonts w:hint="eastAsia"/>
        </w:rPr>
        <w:t xml:space="preserve"> </w:t>
      </w:r>
      <w:bookmarkStart w:id="207" w:name="_Toc25707"/>
      <w:bookmarkStart w:id="208" w:name="_Toc21497"/>
      <w:bookmarkStart w:id="209" w:name="_Toc17657"/>
      <w:bookmarkStart w:id="210" w:name="_Toc21474"/>
      <w:r>
        <w:rPr>
          <w:rFonts w:hint="eastAsia"/>
        </w:rPr>
        <w:t xml:space="preserve"> </w:t>
      </w:r>
      <w:bookmarkStart w:id="211" w:name="_Toc26701"/>
      <w:r>
        <w:t>校准结果</w:t>
      </w:r>
      <w:bookmarkEnd w:id="195"/>
      <w:bookmarkEnd w:id="196"/>
      <w:bookmarkEnd w:id="197"/>
      <w:bookmarkEnd w:id="198"/>
      <w:bookmarkEnd w:id="199"/>
      <w:bookmarkEnd w:id="200"/>
      <w:r>
        <w:t>表达</w:t>
      </w:r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261BD2F4">
      <w:pPr>
        <w:pStyle w:val="43"/>
        <w:rPr>
          <w:color w:val="auto"/>
        </w:rPr>
      </w:pPr>
      <w:r>
        <w:rPr>
          <w:color w:val="auto"/>
        </w:rPr>
        <w:t>经</w:t>
      </w:r>
      <w:r>
        <w:rPr>
          <w:rFonts w:hint="eastAsia" w:ascii="宋体" w:hAnsi="宋体"/>
          <w:color w:val="auto"/>
        </w:rPr>
        <w:t>校准</w:t>
      </w:r>
      <w:r>
        <w:rPr>
          <w:color w:val="auto"/>
        </w:rPr>
        <w:t>的</w:t>
      </w:r>
      <w:r>
        <w:rPr>
          <w:rFonts w:hint="eastAsia"/>
          <w:color w:val="auto"/>
        </w:rPr>
        <w:t>流量计</w:t>
      </w:r>
      <w:r>
        <w:rPr>
          <w:color w:val="auto"/>
        </w:rPr>
        <w:t>出具校准证书，</w:t>
      </w:r>
      <w:r>
        <w:rPr>
          <w:rFonts w:hint="eastAsia"/>
          <w:color w:val="auto"/>
        </w:rPr>
        <w:t>校准结果应在校准证书上反映，校准证书至少应包括以下信息：</w:t>
      </w:r>
    </w:p>
    <w:p w14:paraId="18BE5FD9">
      <w:pPr>
        <w:pStyle w:val="43"/>
        <w:rPr>
          <w:color w:val="auto"/>
        </w:rPr>
      </w:pPr>
      <w:r>
        <w:rPr>
          <w:rFonts w:hint="eastAsia"/>
          <w:color w:val="auto"/>
        </w:rPr>
        <w:t>a）</w:t>
      </w:r>
      <w:r>
        <w:rPr>
          <w:color w:val="auto"/>
        </w:rPr>
        <w:t>标题</w:t>
      </w:r>
      <w:r>
        <w:rPr>
          <w:rFonts w:hint="eastAsia"/>
          <w:color w:val="auto"/>
        </w:rPr>
        <w:t>：“</w:t>
      </w:r>
      <w:r>
        <w:rPr>
          <w:color w:val="auto"/>
        </w:rPr>
        <w:t>校准证书</w:t>
      </w:r>
      <w:r>
        <w:rPr>
          <w:rFonts w:hint="eastAsia"/>
          <w:color w:val="auto"/>
        </w:rPr>
        <w:t>”；</w:t>
      </w:r>
    </w:p>
    <w:p w14:paraId="047842AB">
      <w:pPr>
        <w:pStyle w:val="43"/>
        <w:rPr>
          <w:color w:val="auto"/>
        </w:rPr>
      </w:pPr>
      <w:r>
        <w:rPr>
          <w:rFonts w:hint="eastAsia"/>
          <w:color w:val="auto"/>
        </w:rPr>
        <w:t>b）</w:t>
      </w:r>
      <w:r>
        <w:rPr>
          <w:color w:val="auto"/>
        </w:rPr>
        <w:t>实验室的名称和地址</w:t>
      </w:r>
      <w:r>
        <w:rPr>
          <w:rFonts w:hint="eastAsia"/>
          <w:color w:val="auto"/>
        </w:rPr>
        <w:t>；</w:t>
      </w:r>
    </w:p>
    <w:p w14:paraId="2B149588">
      <w:pPr>
        <w:pStyle w:val="43"/>
        <w:rPr>
          <w:color w:val="auto"/>
        </w:rPr>
      </w:pPr>
      <w:r>
        <w:rPr>
          <w:rFonts w:hint="eastAsia"/>
          <w:color w:val="auto"/>
        </w:rPr>
        <w:t>c）实施校准活动的地点，包括客户设施、实验室固定设施以外的地点；</w:t>
      </w:r>
    </w:p>
    <w:p w14:paraId="2C84F457">
      <w:pPr>
        <w:pStyle w:val="43"/>
        <w:rPr>
          <w:color w:val="auto"/>
        </w:rPr>
      </w:pPr>
      <w:r>
        <w:rPr>
          <w:rFonts w:hint="eastAsia"/>
          <w:color w:val="auto"/>
        </w:rPr>
        <w:t>d）</w:t>
      </w:r>
      <w:r>
        <w:rPr>
          <w:color w:val="auto"/>
        </w:rPr>
        <w:t>证书的唯一性标识（如编号），每页及总页数的标识</w:t>
      </w:r>
      <w:r>
        <w:rPr>
          <w:rFonts w:hint="eastAsia"/>
          <w:color w:val="auto"/>
        </w:rPr>
        <w:t>；</w:t>
      </w:r>
    </w:p>
    <w:p w14:paraId="3FC90D25">
      <w:pPr>
        <w:pStyle w:val="43"/>
        <w:rPr>
          <w:color w:val="auto"/>
        </w:rPr>
      </w:pPr>
      <w:r>
        <w:rPr>
          <w:rFonts w:hint="eastAsia"/>
          <w:color w:val="auto"/>
        </w:rPr>
        <w:t>e）客户的</w:t>
      </w:r>
      <w:r>
        <w:rPr>
          <w:color w:val="auto"/>
        </w:rPr>
        <w:t>名称和</w:t>
      </w:r>
      <w:r>
        <w:rPr>
          <w:rFonts w:hint="eastAsia"/>
          <w:color w:val="auto"/>
        </w:rPr>
        <w:t>联络信息；</w:t>
      </w:r>
    </w:p>
    <w:p w14:paraId="17D80436">
      <w:pPr>
        <w:pStyle w:val="43"/>
        <w:rPr>
          <w:color w:val="auto"/>
        </w:rPr>
      </w:pPr>
      <w:r>
        <w:rPr>
          <w:rFonts w:hint="eastAsia"/>
          <w:color w:val="auto"/>
        </w:rPr>
        <w:t>f）</w:t>
      </w:r>
      <w:r>
        <w:rPr>
          <w:color w:val="auto"/>
        </w:rPr>
        <w:t>被校对象的描述和明确标识</w:t>
      </w:r>
      <w:r>
        <w:rPr>
          <w:rFonts w:hint="eastAsia"/>
          <w:color w:val="auto"/>
        </w:rPr>
        <w:t>；</w:t>
      </w:r>
    </w:p>
    <w:p w14:paraId="64A4EDB9">
      <w:pPr>
        <w:pStyle w:val="43"/>
        <w:rPr>
          <w:color w:val="auto"/>
        </w:rPr>
      </w:pPr>
      <w:r>
        <w:rPr>
          <w:rFonts w:hint="eastAsia"/>
          <w:color w:val="auto"/>
        </w:rPr>
        <w:t>g）</w:t>
      </w:r>
      <w:r>
        <w:rPr>
          <w:color w:val="auto"/>
        </w:rPr>
        <w:t>进行校准</w:t>
      </w:r>
      <w:r>
        <w:rPr>
          <w:rFonts w:hint="eastAsia"/>
          <w:color w:val="auto"/>
        </w:rPr>
        <w:t>活动</w:t>
      </w:r>
      <w:r>
        <w:rPr>
          <w:color w:val="auto"/>
        </w:rPr>
        <w:t>的日期，如果与校准结果的有效性和应用有关时，应说明被校对象的接</w:t>
      </w:r>
      <w:r>
        <w:rPr>
          <w:rFonts w:hint="eastAsia"/>
          <w:color w:val="auto"/>
        </w:rPr>
        <w:t>收</w:t>
      </w:r>
      <w:r>
        <w:rPr>
          <w:color w:val="auto"/>
        </w:rPr>
        <w:t>日期</w:t>
      </w:r>
      <w:r>
        <w:rPr>
          <w:rFonts w:hint="eastAsia"/>
          <w:color w:val="auto"/>
        </w:rPr>
        <w:t>和证书发布日期；</w:t>
      </w:r>
    </w:p>
    <w:p w14:paraId="670770A4">
      <w:pPr>
        <w:pStyle w:val="43"/>
        <w:rPr>
          <w:color w:val="auto"/>
        </w:rPr>
      </w:pPr>
      <w:r>
        <w:rPr>
          <w:rFonts w:hint="eastAsia"/>
          <w:color w:val="auto"/>
        </w:rPr>
        <w:t>h）</w:t>
      </w:r>
      <w:r>
        <w:rPr>
          <w:color w:val="auto"/>
        </w:rPr>
        <w:t>校准所依据的技术规范的标识，包括名称及代号</w:t>
      </w:r>
      <w:r>
        <w:rPr>
          <w:rFonts w:hint="eastAsia"/>
          <w:color w:val="auto"/>
        </w:rPr>
        <w:t>；</w:t>
      </w:r>
    </w:p>
    <w:p w14:paraId="2D1C9650">
      <w:pPr>
        <w:pStyle w:val="43"/>
        <w:rPr>
          <w:color w:val="auto"/>
        </w:rPr>
      </w:pPr>
      <w:r>
        <w:rPr>
          <w:rFonts w:hint="eastAsia"/>
          <w:color w:val="auto"/>
        </w:rPr>
        <w:t>i）</w:t>
      </w:r>
      <w:r>
        <w:rPr>
          <w:color w:val="auto"/>
        </w:rPr>
        <w:t>本次校准所用的测量标准和溯源性及有效性说明</w:t>
      </w:r>
      <w:r>
        <w:rPr>
          <w:rFonts w:hint="eastAsia"/>
          <w:color w:val="auto"/>
        </w:rPr>
        <w:t>；</w:t>
      </w:r>
    </w:p>
    <w:p w14:paraId="3EDB8DB1">
      <w:pPr>
        <w:pStyle w:val="43"/>
        <w:rPr>
          <w:color w:val="auto"/>
        </w:rPr>
      </w:pPr>
      <w:r>
        <w:rPr>
          <w:rFonts w:hint="eastAsia"/>
          <w:color w:val="auto"/>
        </w:rPr>
        <w:t>j）</w:t>
      </w:r>
      <w:r>
        <w:rPr>
          <w:color w:val="auto"/>
        </w:rPr>
        <w:t>校准环境的描述</w:t>
      </w:r>
      <w:r>
        <w:rPr>
          <w:rFonts w:hint="eastAsia"/>
          <w:color w:val="auto"/>
        </w:rPr>
        <w:t>；</w:t>
      </w:r>
    </w:p>
    <w:p w14:paraId="06634585">
      <w:pPr>
        <w:pStyle w:val="43"/>
        <w:rPr>
          <w:color w:val="auto"/>
        </w:rPr>
      </w:pPr>
      <w:r>
        <w:rPr>
          <w:rFonts w:hint="eastAsia"/>
          <w:color w:val="auto"/>
        </w:rPr>
        <w:t>k）</w:t>
      </w:r>
      <w:r>
        <w:rPr>
          <w:color w:val="auto"/>
        </w:rPr>
        <w:t>校准结果及其测量不确定度的说明（给出整个测量范围校准结果测量不确定度的最大值）</w:t>
      </w:r>
      <w:r>
        <w:rPr>
          <w:rFonts w:hint="eastAsia"/>
          <w:color w:val="auto"/>
        </w:rPr>
        <w:t>；</w:t>
      </w:r>
    </w:p>
    <w:p w14:paraId="2599CD7B">
      <w:pPr>
        <w:pStyle w:val="43"/>
        <w:rPr>
          <w:color w:val="auto"/>
        </w:rPr>
      </w:pPr>
      <w:r>
        <w:rPr>
          <w:rFonts w:hint="eastAsia"/>
          <w:color w:val="auto"/>
        </w:rPr>
        <w:t>l）对校准规范偏离的说明；</w:t>
      </w:r>
    </w:p>
    <w:p w14:paraId="4BE7FC41">
      <w:pPr>
        <w:pStyle w:val="43"/>
        <w:rPr>
          <w:color w:val="auto"/>
        </w:rPr>
      </w:pPr>
      <w:r>
        <w:rPr>
          <w:rFonts w:hint="eastAsia"/>
          <w:color w:val="auto"/>
        </w:rPr>
        <w:t>m）</w:t>
      </w:r>
      <w:r>
        <w:rPr>
          <w:color w:val="auto"/>
        </w:rPr>
        <w:t>校准证书签发人的签名、职务或等效标识，以及签发日期</w:t>
      </w:r>
      <w:r>
        <w:rPr>
          <w:rFonts w:hint="eastAsia"/>
          <w:color w:val="auto"/>
        </w:rPr>
        <w:t>；</w:t>
      </w:r>
    </w:p>
    <w:p w14:paraId="7BD45AFA">
      <w:pPr>
        <w:pStyle w:val="43"/>
        <w:rPr>
          <w:color w:val="auto"/>
        </w:rPr>
      </w:pPr>
      <w:r>
        <w:rPr>
          <w:rFonts w:hint="eastAsia"/>
          <w:color w:val="auto"/>
        </w:rPr>
        <w:t>n）</w:t>
      </w:r>
      <w:r>
        <w:rPr>
          <w:color w:val="auto"/>
        </w:rPr>
        <w:t>校准人</w:t>
      </w:r>
      <w:r>
        <w:rPr>
          <w:rFonts w:hint="eastAsia"/>
          <w:color w:val="auto"/>
        </w:rPr>
        <w:t>和核验人签名；</w:t>
      </w:r>
    </w:p>
    <w:p w14:paraId="6A07680A">
      <w:pPr>
        <w:pStyle w:val="43"/>
        <w:rPr>
          <w:color w:val="auto"/>
        </w:rPr>
      </w:pPr>
      <w:r>
        <w:rPr>
          <w:rFonts w:hint="eastAsia"/>
          <w:color w:val="auto"/>
        </w:rPr>
        <w:t>o）</w:t>
      </w:r>
      <w:r>
        <w:rPr>
          <w:color w:val="auto"/>
        </w:rPr>
        <w:t>校准</w:t>
      </w:r>
      <w:r>
        <w:rPr>
          <w:rFonts w:hint="eastAsia"/>
          <w:color w:val="auto"/>
        </w:rPr>
        <w:t>结果</w:t>
      </w:r>
      <w:r>
        <w:rPr>
          <w:color w:val="auto"/>
        </w:rPr>
        <w:t>仅对被校对象有效</w:t>
      </w:r>
      <w:r>
        <w:rPr>
          <w:rFonts w:hint="eastAsia"/>
          <w:color w:val="auto"/>
        </w:rPr>
        <w:t>的</w:t>
      </w:r>
      <w:r>
        <w:rPr>
          <w:color w:val="auto"/>
        </w:rPr>
        <w:t>声明</w:t>
      </w:r>
      <w:r>
        <w:rPr>
          <w:rFonts w:hint="eastAsia"/>
          <w:color w:val="auto"/>
        </w:rPr>
        <w:t>；</w:t>
      </w:r>
    </w:p>
    <w:p w14:paraId="0576067A">
      <w:pPr>
        <w:pStyle w:val="43"/>
        <w:rPr>
          <w:color w:val="auto"/>
        </w:rPr>
      </w:pPr>
      <w:r>
        <w:rPr>
          <w:rFonts w:hint="eastAsia"/>
          <w:color w:val="auto"/>
        </w:rPr>
        <w:t>p）</w:t>
      </w:r>
      <w:r>
        <w:rPr>
          <w:color w:val="auto"/>
        </w:rPr>
        <w:t>未经</w:t>
      </w:r>
      <w:r>
        <w:rPr>
          <w:rFonts w:hint="eastAsia"/>
          <w:color w:val="auto"/>
        </w:rPr>
        <w:t>校准</w:t>
      </w:r>
      <w:r>
        <w:rPr>
          <w:color w:val="auto"/>
        </w:rPr>
        <w:t>实验室书面批准，不得部分复制</w:t>
      </w:r>
      <w:r>
        <w:rPr>
          <w:rFonts w:hint="eastAsia"/>
          <w:color w:val="auto"/>
        </w:rPr>
        <w:t>校准</w:t>
      </w:r>
      <w:r>
        <w:rPr>
          <w:color w:val="auto"/>
        </w:rPr>
        <w:t>证书</w:t>
      </w:r>
      <w:r>
        <w:rPr>
          <w:rFonts w:hint="eastAsia"/>
          <w:color w:val="auto"/>
        </w:rPr>
        <w:t>的声明。</w:t>
      </w:r>
    </w:p>
    <w:p w14:paraId="6175E94A">
      <w:pPr>
        <w:pStyle w:val="43"/>
        <w:rPr>
          <w:szCs w:val="22"/>
        </w:rPr>
      </w:pPr>
      <w:r>
        <w:rPr>
          <w:rFonts w:hint="eastAsia"/>
          <w:color w:val="auto"/>
        </w:rPr>
        <w:t>校准原始记录参考格式见附录A，校准证书内页参考格式见附录B。</w:t>
      </w:r>
    </w:p>
    <w:p w14:paraId="18C316D3">
      <w:pPr>
        <w:pStyle w:val="42"/>
        <w:spacing w:before="0" w:beforeLines="0" w:after="0" w:afterLines="0" w:line="360" w:lineRule="auto"/>
        <w:outlineLvl w:val="0"/>
        <w:rPr>
          <w:rFonts w:hint="eastAsia"/>
        </w:rPr>
      </w:pPr>
      <w:bookmarkStart w:id="212" w:name="_Toc193860189"/>
      <w:bookmarkStart w:id="213" w:name="_Toc193860040"/>
      <w:bookmarkStart w:id="214" w:name="_Toc23784583"/>
      <w:bookmarkStart w:id="215" w:name="_Toc23784682"/>
      <w:bookmarkStart w:id="216" w:name="_Toc5529"/>
      <w:bookmarkStart w:id="217" w:name="_Toc11814"/>
      <w:bookmarkStart w:id="218" w:name="_Toc6291_WPSOffice_Level1"/>
      <w:bookmarkStart w:id="219" w:name="_Toc193860220"/>
      <w:bookmarkStart w:id="220" w:name="_Toc23785580"/>
      <w:r>
        <w:rPr>
          <w:rFonts w:hint="eastAsia"/>
        </w:rPr>
        <w:t xml:space="preserve"> </w:t>
      </w:r>
      <w:bookmarkStart w:id="221" w:name="_Toc20137"/>
      <w:bookmarkStart w:id="222" w:name="_Toc22985"/>
      <w:bookmarkStart w:id="223" w:name="_Toc27825"/>
      <w:bookmarkStart w:id="224" w:name="_Toc7419"/>
      <w:bookmarkStart w:id="225" w:name="_Toc5099"/>
      <w:r>
        <w:t>复校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r>
        <w:rPr>
          <w:rFonts w:hint="eastAsia"/>
        </w:rPr>
        <w:t>时间间隔</w:t>
      </w:r>
      <w:bookmarkEnd w:id="221"/>
      <w:bookmarkEnd w:id="222"/>
      <w:bookmarkEnd w:id="223"/>
      <w:bookmarkEnd w:id="224"/>
      <w:bookmarkEnd w:id="225"/>
    </w:p>
    <w:p w14:paraId="717BD9C2">
      <w:pPr>
        <w:pStyle w:val="43"/>
      </w:pPr>
      <w:bookmarkStart w:id="226" w:name="_Toc193860041"/>
      <w:r>
        <w:rPr>
          <w:color w:val="auto"/>
        </w:rPr>
        <w:t>建议复校</w:t>
      </w:r>
      <w:r>
        <w:rPr>
          <w:rFonts w:hint="eastAsia"/>
          <w:color w:val="auto"/>
        </w:rPr>
        <w:t>时间间隔</w:t>
      </w:r>
      <w:r>
        <w:rPr>
          <w:color w:val="auto"/>
        </w:rPr>
        <w:t>为</w:t>
      </w:r>
      <w:r>
        <w:rPr>
          <w:rFonts w:hint="eastAsia"/>
          <w:color w:val="auto"/>
          <w:lang w:val="en-US" w:eastAsia="zh-CN"/>
        </w:rPr>
        <w:t>2</w:t>
      </w:r>
      <w:r>
        <w:rPr>
          <w:color w:val="auto"/>
        </w:rPr>
        <w:t>年</w:t>
      </w:r>
      <w:bookmarkEnd w:id="226"/>
      <w:r>
        <w:rPr>
          <w:rFonts w:hint="eastAsia" w:ascii="宋体" w:hAnsi="宋体" w:eastAsia="宋体" w:cs="宋体"/>
          <w:color w:val="auto"/>
          <w:lang w:val="en-US" w:eastAsia="zh-CN"/>
        </w:rPr>
        <w:t>,</w:t>
      </w:r>
      <w:r>
        <w:rPr>
          <w:rFonts w:hint="eastAsia"/>
          <w:color w:val="auto"/>
        </w:rPr>
        <w:t>流量计</w:t>
      </w:r>
      <w:r>
        <w:rPr>
          <w:rFonts w:hint="eastAsia"/>
          <w:color w:val="auto"/>
          <w:lang w:val="en-US" w:eastAsia="zh-CN"/>
        </w:rPr>
        <w:t>安装使用</w:t>
      </w:r>
      <w:r>
        <w:rPr>
          <w:rFonts w:hint="eastAsia"/>
          <w:color w:val="auto"/>
        </w:rPr>
        <w:t>现场</w:t>
      </w:r>
      <w:r>
        <w:rPr>
          <w:rFonts w:hint="eastAsia"/>
          <w:color w:val="auto"/>
          <w:lang w:val="en-US" w:eastAsia="zh-CN"/>
        </w:rPr>
        <w:t>条件恶劣的，复校时间间隔可缩短至1年。客户</w:t>
      </w:r>
      <w:r>
        <w:rPr>
          <w:rFonts w:hint="eastAsia"/>
          <w:color w:val="auto"/>
        </w:rPr>
        <w:t>可根据使用情况</w:t>
      </w:r>
      <w:r>
        <w:rPr>
          <w:rFonts w:hint="eastAsia"/>
          <w:color w:val="auto"/>
          <w:lang w:val="en-US" w:eastAsia="zh-CN"/>
        </w:rPr>
        <w:t>和重要性</w:t>
      </w:r>
      <w:r>
        <w:rPr>
          <w:rFonts w:hint="eastAsia"/>
          <w:color w:val="auto"/>
        </w:rPr>
        <w:t>自主决定复校时间间隔，</w:t>
      </w:r>
      <w:r>
        <w:rPr>
          <w:color w:val="auto"/>
        </w:rPr>
        <w:t>在使用过程中经过</w:t>
      </w:r>
      <w:r>
        <w:rPr>
          <w:rFonts w:hint="eastAsia"/>
          <w:color w:val="auto"/>
        </w:rPr>
        <w:t>流量系数调整、</w:t>
      </w:r>
      <w:r>
        <w:rPr>
          <w:color w:val="auto"/>
        </w:rPr>
        <w:t>修理、更换重要部件</w:t>
      </w:r>
      <w:r>
        <w:rPr>
          <w:rFonts w:hint="eastAsia"/>
          <w:color w:val="auto"/>
        </w:rPr>
        <w:t>的流量计</w:t>
      </w:r>
      <w:r>
        <w:rPr>
          <w:color w:val="auto"/>
        </w:rPr>
        <w:t>需要重新校准。</w:t>
      </w:r>
    </w:p>
    <w:p w14:paraId="641734C9">
      <w:pPr>
        <w:spacing w:line="360" w:lineRule="auto"/>
        <w:jc w:val="left"/>
        <w:rPr>
          <w:b/>
          <w:bCs/>
        </w:rPr>
        <w:sectPr>
          <w:headerReference r:id="rId18" w:type="default"/>
          <w:footerReference r:id="rId19" w:type="default"/>
          <w:pgSz w:w="11906" w:h="16838"/>
          <w:pgMar w:top="1418" w:right="1418" w:bottom="1418" w:left="1418" w:header="851" w:footer="992" w:gutter="0"/>
          <w:pgNumType w:start="1"/>
          <w:cols w:space="720" w:num="1"/>
          <w:docGrid w:linePitch="312" w:charSpace="0"/>
        </w:sectPr>
      </w:pPr>
      <w:bookmarkStart w:id="227" w:name="_Toc13665"/>
      <w:bookmarkStart w:id="228" w:name="_Toc10433"/>
      <w:bookmarkStart w:id="229" w:name="_Toc26000_WPSOffice_Level1"/>
      <w:bookmarkStart w:id="230" w:name="_Toc23784683"/>
      <w:bookmarkStart w:id="231" w:name="_Toc23784584"/>
      <w:bookmarkStart w:id="232" w:name="_Toc23785581"/>
    </w:p>
    <w:p w14:paraId="2301B55D">
      <w:pPr>
        <w:spacing w:before="240" w:after="60" w:line="160" w:lineRule="exact"/>
        <w:jc w:val="left"/>
        <w:outlineLvl w:val="1"/>
        <w:rPr>
          <w:rFonts w:hint="eastAsia" w:ascii="黑体" w:hAnsi="黑体" w:eastAsia="黑体"/>
          <w:sz w:val="28"/>
          <w:szCs w:val="28"/>
        </w:rPr>
      </w:pPr>
      <w:bookmarkStart w:id="233" w:name="_Toc21008"/>
      <w:bookmarkStart w:id="234" w:name="_Toc1489"/>
      <w:bookmarkStart w:id="235" w:name="_Toc24403"/>
      <w:bookmarkStart w:id="236" w:name="_Toc29841"/>
      <w:bookmarkStart w:id="237" w:name="_Toc20204"/>
      <w:bookmarkStart w:id="238" w:name="_Toc9729"/>
      <w:r>
        <w:rPr>
          <w:rFonts w:ascii="黑体" w:hAnsi="黑体" w:eastAsia="黑体"/>
          <w:sz w:val="28"/>
          <w:szCs w:val="28"/>
        </w:rPr>
        <w:t>附录A</w:t>
      </w:r>
      <w:bookmarkEnd w:id="227"/>
      <w:bookmarkEnd w:id="228"/>
      <w:bookmarkEnd w:id="233"/>
      <w:bookmarkEnd w:id="234"/>
      <w:bookmarkEnd w:id="235"/>
      <w:bookmarkEnd w:id="236"/>
      <w:bookmarkEnd w:id="237"/>
      <w:bookmarkEnd w:id="238"/>
      <w:bookmarkStart w:id="239" w:name="_Toc21898"/>
      <w:bookmarkStart w:id="240" w:name="_Toc19962"/>
      <w:bookmarkStart w:id="241" w:name="_Toc2183"/>
      <w:bookmarkStart w:id="242" w:name="_Toc1046"/>
    </w:p>
    <w:p w14:paraId="461E195A">
      <w:pPr>
        <w:pStyle w:val="3"/>
        <w:jc w:val="center"/>
        <w:rPr>
          <w:bCs w:val="0"/>
        </w:rPr>
      </w:pPr>
      <w:bookmarkStart w:id="243" w:name="_Toc5133"/>
      <w:bookmarkStart w:id="244" w:name="_Toc4774"/>
      <w:r>
        <w:rPr>
          <w:rFonts w:hint="eastAsia"/>
          <w:bCs w:val="0"/>
        </w:rPr>
        <w:t>液体流量计在线校准</w:t>
      </w:r>
      <w:r>
        <w:rPr>
          <w:bCs w:val="0"/>
        </w:rPr>
        <w:t>原始记录参考格式</w:t>
      </w:r>
      <w:bookmarkEnd w:id="229"/>
      <w:bookmarkEnd w:id="230"/>
      <w:bookmarkEnd w:id="231"/>
      <w:bookmarkEnd w:id="232"/>
      <w:bookmarkEnd w:id="239"/>
      <w:bookmarkEnd w:id="240"/>
      <w:bookmarkEnd w:id="241"/>
      <w:bookmarkEnd w:id="242"/>
      <w:bookmarkEnd w:id="243"/>
      <w:bookmarkEnd w:id="244"/>
    </w:p>
    <w:tbl>
      <w:tblPr>
        <w:tblStyle w:val="2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28"/>
        <w:gridCol w:w="1595"/>
        <w:gridCol w:w="911"/>
        <w:gridCol w:w="683"/>
        <w:gridCol w:w="683"/>
        <w:gridCol w:w="911"/>
        <w:gridCol w:w="456"/>
        <w:gridCol w:w="1139"/>
        <w:gridCol w:w="228"/>
        <w:gridCol w:w="1371"/>
      </w:tblGrid>
      <w:tr w14:paraId="49151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14:paraId="005963FC"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rFonts w:ascii="宋体" w:hAnsi="宋体" w:cs="宋体"/>
                <w:color w:val="auto"/>
                <w:szCs w:val="21"/>
              </w:rPr>
            </w:pPr>
            <w:r>
              <w:rPr>
                <w:rStyle w:val="101"/>
                <w:rFonts w:hint="eastAsia" w:ascii="宋体" w:hAnsi="宋体" w:cs="宋体"/>
                <w:color w:val="auto"/>
                <w:szCs w:val="21"/>
              </w:rPr>
              <w:t>记录编号:</w:t>
            </w:r>
          </w:p>
        </w:tc>
        <w:tc>
          <w:tcPr>
            <w:tcW w:w="2142" w:type="pct"/>
            <w:gridSpan w:val="5"/>
            <w:tcBorders>
              <w:tl2br w:val="nil"/>
              <w:tr2bl w:val="nil"/>
            </w:tcBorders>
            <w:vAlign w:val="center"/>
          </w:tcPr>
          <w:p w14:paraId="5BCFD511"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vAlign w:val="center"/>
          </w:tcPr>
          <w:p w14:paraId="6C8294AF"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rFonts w:ascii="宋体" w:hAnsi="宋体" w:cs="宋体"/>
                <w:color w:val="auto"/>
                <w:szCs w:val="21"/>
              </w:rPr>
            </w:pPr>
            <w:r>
              <w:rPr>
                <w:rStyle w:val="101"/>
                <w:rFonts w:hint="eastAsia" w:ascii="宋体" w:hAnsi="宋体" w:cs="宋体"/>
                <w:color w:val="auto"/>
                <w:szCs w:val="21"/>
              </w:rPr>
              <w:t>证书编号：</w:t>
            </w:r>
          </w:p>
        </w:tc>
        <w:tc>
          <w:tcPr>
            <w:tcW w:w="1429" w:type="pct"/>
            <w:gridSpan w:val="3"/>
            <w:tcBorders>
              <w:tl2br w:val="nil"/>
              <w:tr2bl w:val="nil"/>
            </w:tcBorders>
            <w:vAlign w:val="center"/>
          </w:tcPr>
          <w:p w14:paraId="74ECB265"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  <w:szCs w:val="21"/>
              </w:rPr>
            </w:pPr>
          </w:p>
        </w:tc>
      </w:tr>
      <w:tr w14:paraId="49A4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14:paraId="2D484E6D"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送校单位</w:t>
            </w:r>
          </w:p>
        </w:tc>
        <w:tc>
          <w:tcPr>
            <w:tcW w:w="2142" w:type="pct"/>
            <w:gridSpan w:val="5"/>
            <w:tcBorders>
              <w:tl2br w:val="nil"/>
              <w:tr2bl w:val="nil"/>
            </w:tcBorders>
            <w:vAlign w:val="center"/>
          </w:tcPr>
          <w:p w14:paraId="6852103F"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vAlign w:val="center"/>
          </w:tcPr>
          <w:p w14:paraId="0CD951B3"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制造厂</w:t>
            </w:r>
          </w:p>
        </w:tc>
        <w:tc>
          <w:tcPr>
            <w:tcW w:w="1429" w:type="pct"/>
            <w:gridSpan w:val="3"/>
            <w:tcBorders>
              <w:tl2br w:val="nil"/>
              <w:tr2bl w:val="nil"/>
            </w:tcBorders>
            <w:vAlign w:val="center"/>
          </w:tcPr>
          <w:p w14:paraId="18C56471"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</w:tr>
      <w:tr w14:paraId="3CCF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14:paraId="736A9BD1"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仪器名称</w:t>
            </w:r>
          </w:p>
        </w:tc>
        <w:tc>
          <w:tcPr>
            <w:tcW w:w="1428" w:type="pct"/>
            <w:gridSpan w:val="3"/>
            <w:tcBorders>
              <w:tl2br w:val="nil"/>
              <w:tr2bl w:val="nil"/>
            </w:tcBorders>
            <w:vAlign w:val="center"/>
          </w:tcPr>
          <w:p w14:paraId="6D08FA36"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vAlign w:val="center"/>
          </w:tcPr>
          <w:p w14:paraId="7172912D"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规格型号</w:t>
            </w: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vAlign w:val="center"/>
          </w:tcPr>
          <w:p w14:paraId="26F8F988"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vAlign w:val="center"/>
          </w:tcPr>
          <w:p w14:paraId="167FEE0C"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仪器编号</w:t>
            </w: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14:paraId="48F391EE"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</w:tr>
      <w:tr w14:paraId="4D81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14:paraId="2995FF28"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校准地点</w:t>
            </w:r>
          </w:p>
        </w:tc>
        <w:tc>
          <w:tcPr>
            <w:tcW w:w="1428" w:type="pct"/>
            <w:gridSpan w:val="3"/>
            <w:tcBorders>
              <w:tl2br w:val="nil"/>
              <w:tr2bl w:val="nil"/>
            </w:tcBorders>
            <w:vAlign w:val="center"/>
          </w:tcPr>
          <w:p w14:paraId="146CCF14"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vAlign w:val="center"/>
          </w:tcPr>
          <w:p w14:paraId="256A3DBC"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环境温度</w:t>
            </w: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vAlign w:val="center"/>
          </w:tcPr>
          <w:p w14:paraId="5E19B280">
            <w:pPr>
              <w:pStyle w:val="43"/>
              <w:widowControl w:val="0"/>
              <w:spacing w:line="240" w:lineRule="auto"/>
              <w:ind w:firstLine="420"/>
              <w:jc w:val="right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℃</w:t>
            </w: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vAlign w:val="center"/>
          </w:tcPr>
          <w:p w14:paraId="2867FF9E"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环境湿度</w:t>
            </w: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14:paraId="31DB95BD">
            <w:pPr>
              <w:pStyle w:val="43"/>
              <w:widowControl w:val="0"/>
              <w:spacing w:line="240" w:lineRule="auto"/>
              <w:ind w:firstLine="420"/>
              <w:jc w:val="right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%RH</w:t>
            </w:r>
          </w:p>
        </w:tc>
      </w:tr>
      <w:tr w14:paraId="20E1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14:paraId="083D6290"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校准依据</w:t>
            </w:r>
          </w:p>
        </w:tc>
        <w:tc>
          <w:tcPr>
            <w:tcW w:w="4285" w:type="pct"/>
            <w:gridSpan w:val="10"/>
            <w:tcBorders>
              <w:tl2br w:val="nil"/>
              <w:tr2bl w:val="nil"/>
            </w:tcBorders>
            <w:vAlign w:val="center"/>
          </w:tcPr>
          <w:p w14:paraId="4593E011"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</w:tr>
      <w:tr w14:paraId="7934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vAlign w:val="center"/>
          </w:tcPr>
          <w:p w14:paraId="1AE3B128"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Style w:val="101"/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校准用主要测量标准：</w:t>
            </w:r>
          </w:p>
        </w:tc>
      </w:tr>
      <w:tr w14:paraId="649CB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 w14:paraId="4C42ABCD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名称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 w14:paraId="67C2C0CF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型号规格</w:t>
            </w: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 w14:paraId="424CD04F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技术特征</w:t>
            </w: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 w14:paraId="35376247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仪器编号</w:t>
            </w: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 w14:paraId="08C1950C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证书编号</w:t>
            </w: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 w14:paraId="1BD2A12E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有效期</w:t>
            </w:r>
          </w:p>
        </w:tc>
      </w:tr>
      <w:tr w14:paraId="0806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 w14:paraId="5C777CB5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 w14:paraId="31DCBC6C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 w14:paraId="4E5CC4A3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 w14:paraId="22918490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 w14:paraId="3954596C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 w14:paraId="25D46BD4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</w:tr>
      <w:tr w14:paraId="4298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 w14:paraId="10D94ED3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 w14:paraId="122F7D1B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 w14:paraId="53A83CF7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 w14:paraId="5A321D2E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 w14:paraId="55825BEF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 w14:paraId="6F64FD65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</w:tr>
      <w:tr w14:paraId="55F6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vAlign w:val="center"/>
          </w:tcPr>
          <w:p w14:paraId="67C8FA4B"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校准项目：</w:t>
            </w:r>
          </w:p>
        </w:tc>
      </w:tr>
    </w:tbl>
    <w:tbl>
      <w:tblPr>
        <w:tblStyle w:val="2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04"/>
        <w:gridCol w:w="675"/>
        <w:gridCol w:w="65"/>
        <w:gridCol w:w="572"/>
        <w:gridCol w:w="272"/>
        <w:gridCol w:w="287"/>
        <w:gridCol w:w="604"/>
        <w:gridCol w:w="9"/>
        <w:gridCol w:w="65"/>
        <w:gridCol w:w="226"/>
        <w:gridCol w:w="443"/>
        <w:gridCol w:w="166"/>
        <w:gridCol w:w="525"/>
        <w:gridCol w:w="207"/>
        <w:gridCol w:w="83"/>
        <w:gridCol w:w="366"/>
        <w:gridCol w:w="9"/>
        <w:gridCol w:w="329"/>
        <w:gridCol w:w="111"/>
        <w:gridCol w:w="898"/>
        <w:gridCol w:w="16"/>
        <w:gridCol w:w="306"/>
        <w:gridCol w:w="366"/>
        <w:gridCol w:w="243"/>
        <w:gridCol w:w="207"/>
        <w:gridCol w:w="209"/>
        <w:gridCol w:w="109"/>
        <w:gridCol w:w="1239"/>
      </w:tblGrid>
      <w:tr w14:paraId="7397B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000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BDF8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其他条件：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外观与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密封性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lang w:val="en-US" w:eastAsia="zh-CN"/>
              </w:rPr>
              <w:t xml:space="preserve">     铭牌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和标识：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</w:rPr>
              <w:t xml:space="preserve">   </w:t>
            </w:r>
          </w:p>
          <w:p w14:paraId="602C4CE2">
            <w:pPr>
              <w:pStyle w:val="43"/>
              <w:ind w:firstLine="1050" w:firstLineChars="500"/>
              <w:jc w:val="left"/>
              <w:rPr>
                <w:rFonts w:hint="default" w:eastAsia="宋体"/>
                <w:color w:val="auto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lang w:val="en-US" w:eastAsia="zh-CN"/>
              </w:rPr>
              <w:t>液体介质：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lang w:val="en-US" w:eastAsia="zh-CN"/>
              </w:rPr>
              <w:t xml:space="preserve">     现场安装情况：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lang w:val="en-US" w:eastAsia="zh-CN"/>
              </w:rPr>
              <w:t xml:space="preserve">   </w:t>
            </w:r>
          </w:p>
        </w:tc>
      </w:tr>
      <w:tr w14:paraId="716C4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000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5ABB">
            <w:pPr>
              <w:pStyle w:val="43"/>
              <w:ind w:firstLine="0" w:firstLineChars="0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.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管道尺寸测量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：</w:t>
            </w:r>
          </w:p>
        </w:tc>
      </w:tr>
      <w:tr w14:paraId="6D95E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9F78">
            <w:pPr>
              <w:pStyle w:val="43"/>
              <w:spacing w:line="240" w:lineRule="auto"/>
              <w:ind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测量项目</w:t>
            </w:r>
          </w:p>
        </w:tc>
        <w:tc>
          <w:tcPr>
            <w:tcW w:w="3095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D63E">
            <w:pPr>
              <w:pStyle w:val="43"/>
              <w:spacing w:line="240" w:lineRule="auto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测量示值</w:t>
            </w:r>
          </w:p>
        </w:tc>
        <w:tc>
          <w:tcPr>
            <w:tcW w:w="104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E16C">
            <w:pPr>
              <w:pStyle w:val="43"/>
              <w:spacing w:line="240" w:lineRule="auto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平均值</w:t>
            </w:r>
          </w:p>
        </w:tc>
      </w:tr>
      <w:tr w14:paraId="0C67E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549E">
            <w:pPr>
              <w:pStyle w:val="43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管道外径</w:t>
            </w:r>
          </w:p>
        </w:tc>
        <w:tc>
          <w:tcPr>
            <w:tcW w:w="97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FC32">
            <w:pPr>
              <w:pStyle w:val="43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6A0A">
            <w:pPr>
              <w:pStyle w:val="43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64DC">
            <w:pPr>
              <w:pStyle w:val="43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088B">
            <w:pPr>
              <w:pStyle w:val="43"/>
              <w:ind w:firstLine="0" w:firstLineChars="0"/>
              <w:jc w:val="left"/>
              <w:rPr>
                <w:color w:val="auto"/>
              </w:rPr>
            </w:pPr>
          </w:p>
        </w:tc>
      </w:tr>
      <w:tr w14:paraId="293BC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AA6A">
            <w:pPr>
              <w:pStyle w:val="43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管道壁厚</w:t>
            </w:r>
          </w:p>
        </w:tc>
        <w:tc>
          <w:tcPr>
            <w:tcW w:w="97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90A8">
            <w:pPr>
              <w:pStyle w:val="43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AB29">
            <w:pPr>
              <w:pStyle w:val="43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F233">
            <w:pPr>
              <w:pStyle w:val="43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DC32">
            <w:pPr>
              <w:pStyle w:val="43"/>
              <w:ind w:firstLine="0" w:firstLineChars="0"/>
              <w:jc w:val="left"/>
              <w:rPr>
                <w:color w:val="auto"/>
              </w:rPr>
            </w:pPr>
          </w:p>
        </w:tc>
      </w:tr>
      <w:tr w14:paraId="121D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00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C1D0">
            <w:pPr>
              <w:pStyle w:val="43"/>
              <w:ind w:firstLine="0" w:firstLineChars="0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.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功能参数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：</w:t>
            </w:r>
          </w:p>
        </w:tc>
      </w:tr>
      <w:tr w14:paraId="6CF28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D8C5">
            <w:pPr>
              <w:pStyle w:val="43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6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85A5">
            <w:pPr>
              <w:pStyle w:val="43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管道外径</w:t>
            </w:r>
          </w:p>
        </w:tc>
        <w:tc>
          <w:tcPr>
            <w:tcW w:w="7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C473">
            <w:pPr>
              <w:pStyle w:val="43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管道壁厚</w:t>
            </w:r>
          </w:p>
        </w:tc>
        <w:tc>
          <w:tcPr>
            <w:tcW w:w="7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33D0">
            <w:pPr>
              <w:pStyle w:val="43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探头型号</w:t>
            </w: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DCE2">
            <w:pPr>
              <w:pStyle w:val="43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安装距离</w:t>
            </w:r>
          </w:p>
        </w:tc>
        <w:tc>
          <w:tcPr>
            <w:tcW w:w="70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E72D">
            <w:pPr>
              <w:pStyle w:val="43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流量系数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1742">
            <w:pPr>
              <w:pStyle w:val="43"/>
              <w:ind w:firstLine="0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其他</w:t>
            </w:r>
          </w:p>
        </w:tc>
      </w:tr>
      <w:tr w14:paraId="6D6DA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DC11">
            <w:pPr>
              <w:pStyle w:val="43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标准流量计</w:t>
            </w:r>
          </w:p>
        </w:tc>
        <w:tc>
          <w:tcPr>
            <w:tcW w:w="6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4480"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6674"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F735"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3FBA"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8F53"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D675"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</w:tr>
      <w:tr w14:paraId="6938D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7943">
            <w:pPr>
              <w:pStyle w:val="43"/>
              <w:ind w:firstLine="0" w:firstLineChars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被校流量计</w:t>
            </w:r>
          </w:p>
        </w:tc>
        <w:tc>
          <w:tcPr>
            <w:tcW w:w="6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6F0E"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E784"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80B1"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B38F"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E367"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D545"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</w:tr>
      <w:tr w14:paraId="247C2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000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BF02">
            <w:pPr>
              <w:pStyle w:val="43"/>
              <w:ind w:firstLine="0" w:firstLineChars="0"/>
              <w:jc w:val="left"/>
              <w:rPr>
                <w:rFonts w:hint="default"/>
                <w:u w:val="singl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.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累积流量示值误差：                  </w:t>
            </w:r>
          </w:p>
        </w:tc>
      </w:tr>
      <w:tr w14:paraId="751DD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F2AA"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校准点</w:t>
            </w:r>
          </w:p>
        </w:tc>
        <w:tc>
          <w:tcPr>
            <w:tcW w:w="40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BC99"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DAAA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标准流量计</w:t>
            </w:r>
          </w:p>
        </w:tc>
        <w:tc>
          <w:tcPr>
            <w:tcW w:w="140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94F6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被校流量计</w:t>
            </w:r>
          </w:p>
        </w:tc>
        <w:tc>
          <w:tcPr>
            <w:tcW w:w="594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9502"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误差</w:t>
            </w:r>
          </w:p>
        </w:tc>
        <w:tc>
          <w:tcPr>
            <w:tcW w:w="81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BDF0">
            <w:pPr>
              <w:pStyle w:val="43"/>
              <w:ind w:firstLine="0" w:firstLineChars="0"/>
              <w:jc w:val="left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扩展不确定度</w:t>
            </w:r>
          </w:p>
        </w:tc>
      </w:tr>
      <w:tr w14:paraId="405BA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F954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6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F2E7A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9F21"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初始值</w:t>
            </w: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24CC"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累计值</w:t>
            </w:r>
          </w:p>
        </w:tc>
        <w:tc>
          <w:tcPr>
            <w:tcW w:w="3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C330"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示值</w:t>
            </w: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3963">
            <w:pPr>
              <w:pStyle w:val="43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初始值</w:t>
            </w:r>
          </w:p>
        </w:tc>
        <w:tc>
          <w:tcPr>
            <w:tcW w:w="4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C91E">
            <w:pPr>
              <w:pStyle w:val="43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累计值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AC7A">
            <w:pPr>
              <w:pStyle w:val="43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示值</w:t>
            </w:r>
          </w:p>
        </w:tc>
        <w:tc>
          <w:tcPr>
            <w:tcW w:w="594" w:type="pct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A03D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09D5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 w14:paraId="5CB30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7041B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83FD6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DE34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299D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AEA1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A15D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0383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CDC8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94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436B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ACE6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 w14:paraId="1CB2E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32F92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FC74D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F8EA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9367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1450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2CB2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2E51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A71F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94" w:type="pct"/>
            <w:gridSpan w:val="5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25E5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pct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43F4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 w14:paraId="160C9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F9564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84192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20F1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062C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184C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2148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B396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DDD46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D2E77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2F3BA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 w14:paraId="21E87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000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9C7AA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.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瞬时流量示值误差和变送输出误差：</w:t>
            </w:r>
          </w:p>
        </w:tc>
      </w:tr>
      <w:tr w14:paraId="4425E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D8C92">
            <w:pPr>
              <w:pStyle w:val="43"/>
              <w:ind w:firstLine="0" w:firstLineChars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校准点</w:t>
            </w:r>
          </w:p>
        </w:tc>
        <w:tc>
          <w:tcPr>
            <w:tcW w:w="6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778E"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标准流量计示值</w:t>
            </w:r>
          </w:p>
        </w:tc>
        <w:tc>
          <w:tcPr>
            <w:tcW w:w="7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5D3D"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被校流量计示值</w:t>
            </w: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4086">
            <w:pPr>
              <w:pStyle w:val="43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输出示值</w:t>
            </w:r>
          </w:p>
        </w:tc>
        <w:tc>
          <w:tcPr>
            <w:tcW w:w="51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A6B9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理论</w:t>
            </w:r>
          </w:p>
          <w:p w14:paraId="3207D679">
            <w:pPr>
              <w:pStyle w:val="43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输出值</w:t>
            </w:r>
          </w:p>
        </w:tc>
        <w:tc>
          <w:tcPr>
            <w:tcW w:w="6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DD51"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输出误差</w:t>
            </w: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3434A"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瞬时流量示值误差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EECAF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扩展</w:t>
            </w:r>
          </w:p>
          <w:p w14:paraId="655FED1E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不确定度</w:t>
            </w:r>
          </w:p>
        </w:tc>
      </w:tr>
      <w:tr w14:paraId="03B91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0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CBD94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D0CD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E4FD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C4FE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7DBD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34B8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B3E5B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4F02C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ACB8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03" w:type="pct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AA7C8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B65A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F7B4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2C3D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6C4E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C9B4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6B158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D81F8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5C6A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03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A0619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F316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C58C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6F52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2240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9775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55196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2528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4BD9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000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BF821">
            <w:pPr>
              <w:pStyle w:val="43"/>
              <w:ind w:firstLine="0" w:firstLineChars="0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5.重复性</w:t>
            </w:r>
          </w:p>
        </w:tc>
      </w:tr>
      <w:tr w14:paraId="710A8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2F02C">
            <w:pPr>
              <w:pStyle w:val="43"/>
              <w:ind w:firstLine="0" w:firstLineChars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校准点</w:t>
            </w:r>
          </w:p>
        </w:tc>
        <w:tc>
          <w:tcPr>
            <w:tcW w:w="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0009"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7F87"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151D"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87F23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累积流量平均值</w:t>
            </w:r>
          </w:p>
        </w:tc>
        <w:tc>
          <w:tcPr>
            <w:tcW w:w="9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51991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累积流量重复性</w:t>
            </w:r>
          </w:p>
        </w:tc>
      </w:tr>
      <w:tr w14:paraId="02614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68D11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9759B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BB8F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186C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66D7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F166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E5D5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48DFF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8B89D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DD3CC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C481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0407A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F9426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29C0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9CE5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CF3D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D838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ECC2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2448A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0F27F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B1C0E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8930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5807D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D6CA3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53E0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115C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B99E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8F8A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750F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64474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FFD4A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B12C5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D68A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5BA03">
            <w:pPr>
              <w:pStyle w:val="4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校准点</w:t>
            </w:r>
          </w:p>
        </w:tc>
        <w:tc>
          <w:tcPr>
            <w:tcW w:w="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3C84">
            <w:pPr>
              <w:pStyle w:val="43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A917">
            <w:pPr>
              <w:pStyle w:val="43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58D4">
            <w:pPr>
              <w:pStyle w:val="43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4362F">
            <w:pPr>
              <w:pStyle w:val="43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瞬时流量平均值</w:t>
            </w:r>
          </w:p>
        </w:tc>
        <w:tc>
          <w:tcPr>
            <w:tcW w:w="9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67BF2">
            <w:pPr>
              <w:pStyle w:val="43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瞬时流量重复性</w:t>
            </w:r>
          </w:p>
        </w:tc>
      </w:tr>
      <w:tr w14:paraId="28213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07B41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BC79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D1FF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8F3F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C938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2173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6054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DF9C2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8DE52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E0839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F331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4DC10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6A5E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4F34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51C5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76CD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7CD5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3DBB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87682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4DDE4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517D6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94FC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4E38B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3200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C3C3"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85F4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A77B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D96A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E36B7"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E8700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3F186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2FA0A"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011F691A">
      <w:pPr>
        <w:rPr>
          <w:rFonts w:ascii="黑体" w:hAnsi="黑体" w:eastAsia="黑体"/>
          <w:sz w:val="28"/>
          <w:szCs w:val="28"/>
        </w:rPr>
      </w:pPr>
    </w:p>
    <w:p w14:paraId="696E5DFE">
      <w:pPr>
        <w:rPr>
          <w:rFonts w:ascii="黑体" w:hAnsi="黑体" w:eastAsia="黑体"/>
          <w:sz w:val="28"/>
          <w:szCs w:val="28"/>
        </w:rPr>
      </w:pPr>
    </w:p>
    <w:p w14:paraId="72450A79">
      <w:pPr>
        <w:spacing w:before="240" w:after="60" w:line="160" w:lineRule="exact"/>
        <w:jc w:val="left"/>
        <w:outlineLvl w:val="9"/>
        <w:rPr>
          <w:rFonts w:ascii="黑体" w:hAnsi="黑体" w:eastAsia="黑体" w:cs="黑体"/>
          <w:sz w:val="28"/>
          <w:szCs w:val="28"/>
        </w:rPr>
      </w:pPr>
    </w:p>
    <w:p w14:paraId="52CB2032">
      <w:pPr>
        <w:rPr>
          <w:rFonts w:hint="eastAsia"/>
        </w:rPr>
      </w:pPr>
    </w:p>
    <w:p w14:paraId="1B9CCD3B">
      <w:pPr>
        <w:rPr>
          <w:rFonts w:hint="eastAsia" w:ascii="黑体" w:hAnsi="黑体" w:eastAsia="黑体"/>
          <w:sz w:val="28"/>
          <w:szCs w:val="28"/>
        </w:rPr>
      </w:pPr>
    </w:p>
    <w:p w14:paraId="08F5566A">
      <w:pPr>
        <w:rPr>
          <w:rFonts w:hint="eastAsia" w:ascii="黑体" w:hAnsi="黑体" w:eastAsia="黑体"/>
          <w:sz w:val="28"/>
          <w:szCs w:val="28"/>
        </w:rPr>
      </w:pPr>
    </w:p>
    <w:p w14:paraId="095F7FC2">
      <w:pPr>
        <w:spacing w:before="240" w:after="60" w:line="160" w:lineRule="exact"/>
        <w:jc w:val="left"/>
        <w:rPr>
          <w:rFonts w:hint="eastAsia" w:ascii="黑体" w:hAnsi="黑体" w:eastAsia="黑体" w:cs="黑体"/>
          <w:sz w:val="28"/>
          <w:szCs w:val="28"/>
        </w:rPr>
      </w:pPr>
      <w:bookmarkStart w:id="245" w:name="_Toc32002"/>
      <w:bookmarkStart w:id="246" w:name="_Toc15057"/>
      <w:bookmarkStart w:id="247" w:name="_Toc28661"/>
      <w:bookmarkStart w:id="248" w:name="_Toc25254"/>
      <w:bookmarkStart w:id="249" w:name="_Toc21627"/>
      <w:bookmarkStart w:id="250" w:name="_Toc19104"/>
      <w:bookmarkStart w:id="251" w:name="_Toc15171"/>
      <w:bookmarkStart w:id="252" w:name="_Toc23785584"/>
      <w:bookmarkStart w:id="253" w:name="_Toc23784686"/>
      <w:bookmarkStart w:id="254" w:name="_Toc31172_WPSOffice_Level1"/>
      <w:bookmarkStart w:id="255" w:name="_Toc23784587"/>
    </w:p>
    <w:p w14:paraId="4BC8F89B">
      <w:pPr>
        <w:spacing w:before="240" w:after="60" w:line="160" w:lineRule="exact"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5D202211">
      <w:pPr>
        <w:spacing w:before="240" w:after="60" w:line="160" w:lineRule="exact"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701E8B68">
      <w:pPr>
        <w:spacing w:before="240" w:after="60" w:line="160" w:lineRule="exact"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0E0A2684">
      <w:pPr>
        <w:spacing w:before="240" w:after="60" w:line="160" w:lineRule="exact"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5601D871">
      <w:pPr>
        <w:spacing w:before="240" w:after="60" w:line="160" w:lineRule="exact"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3EB180A2">
      <w:pPr>
        <w:spacing w:before="240" w:after="60" w:line="160" w:lineRule="exact"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74C9642F">
      <w:pPr>
        <w:spacing w:before="240" w:after="60" w:line="160" w:lineRule="exact"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7B3155C7">
      <w:pPr>
        <w:spacing w:before="240" w:after="60" w:line="160" w:lineRule="exact"/>
        <w:jc w:val="left"/>
        <w:rPr>
          <w:rFonts w:hint="eastAsia" w:ascii="黑体" w:hAnsi="黑体" w:eastAsia="黑体" w:cs="黑体"/>
          <w:sz w:val="28"/>
          <w:szCs w:val="28"/>
        </w:rPr>
      </w:pPr>
    </w:p>
    <w:p w14:paraId="2E8D6ED5">
      <w:pPr>
        <w:jc w:val="left"/>
        <w:outlineLvl w:val="0"/>
        <w:rPr>
          <w:rFonts w:hint="eastAsia" w:ascii="黑体" w:hAnsi="黑体" w:eastAsia="黑体" w:cs="黑体"/>
          <w:sz w:val="28"/>
          <w:szCs w:val="28"/>
        </w:rPr>
      </w:pPr>
      <w:bookmarkStart w:id="256" w:name="_Toc4891"/>
      <w:r>
        <w:rPr>
          <w:rFonts w:hint="eastAsia" w:ascii="黑体" w:hAnsi="黑体" w:eastAsia="黑体" w:cs="黑体"/>
          <w:sz w:val="28"/>
          <w:szCs w:val="28"/>
        </w:rPr>
        <w:t>附录B</w:t>
      </w:r>
      <w:bookmarkEnd w:id="245"/>
      <w:bookmarkEnd w:id="246"/>
      <w:bookmarkEnd w:id="247"/>
      <w:bookmarkEnd w:id="248"/>
      <w:bookmarkEnd w:id="249"/>
      <w:bookmarkEnd w:id="250"/>
      <w:bookmarkEnd w:id="251"/>
      <w:bookmarkEnd w:id="256"/>
      <w:bookmarkStart w:id="257" w:name="_Toc500258594"/>
    </w:p>
    <w:p w14:paraId="29056615">
      <w:pPr>
        <w:pStyle w:val="3"/>
        <w:jc w:val="center"/>
      </w:pPr>
      <w:bookmarkStart w:id="258" w:name="_Toc2576"/>
      <w:bookmarkStart w:id="259" w:name="_Toc8704"/>
      <w:bookmarkStart w:id="260" w:name="_Toc16034"/>
      <w:bookmarkStart w:id="261" w:name="_Toc10093"/>
      <w:bookmarkStart w:id="262" w:name="_Toc29738"/>
      <w:bookmarkStart w:id="263" w:name="_Toc31614"/>
      <w:r>
        <w:rPr>
          <w:rFonts w:hint="eastAsia"/>
        </w:rPr>
        <w:t>液体流量计在线校</w:t>
      </w:r>
      <w:r>
        <w:t>准证书</w:t>
      </w:r>
      <w:r>
        <w:rPr>
          <w:rFonts w:hint="eastAsia"/>
        </w:rPr>
        <w:t>内页</w:t>
      </w:r>
      <w:r>
        <w:t>参考格式</w:t>
      </w:r>
      <w:bookmarkEnd w:id="252"/>
      <w:bookmarkEnd w:id="253"/>
      <w:bookmarkEnd w:id="254"/>
      <w:bookmarkEnd w:id="255"/>
      <w:bookmarkEnd w:id="257"/>
      <w:bookmarkEnd w:id="258"/>
      <w:bookmarkEnd w:id="259"/>
      <w:bookmarkEnd w:id="260"/>
      <w:bookmarkEnd w:id="261"/>
      <w:bookmarkEnd w:id="262"/>
      <w:bookmarkEnd w:id="263"/>
    </w:p>
    <w:p w14:paraId="5506ABE9">
      <w:pPr>
        <w:pStyle w:val="43"/>
        <w:ind w:left="0" w:leftChars="0" w:firstLine="0" w:firstLineChars="0"/>
        <w:jc w:val="center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>校准结果</w:t>
      </w:r>
    </w:p>
    <w:p w14:paraId="5098BE5F">
      <w:pPr>
        <w:numPr>
          <w:ilvl w:val="0"/>
          <w:numId w:val="5"/>
        </w:numPr>
        <w:spacing w:line="360" w:lineRule="auto"/>
        <w:outlineLvl w:val="0"/>
        <w:rPr>
          <w:rFonts w:eastAsia="宋体"/>
          <w:bCs/>
          <w:szCs w:val="21"/>
        </w:rPr>
      </w:pPr>
      <w:bookmarkStart w:id="264" w:name="_Toc15728"/>
      <w:bookmarkStart w:id="265" w:name="_Toc27274"/>
      <w:r>
        <w:rPr>
          <w:rFonts w:hint="eastAsia" w:eastAsia="宋体"/>
          <w:bCs/>
          <w:szCs w:val="21"/>
        </w:rPr>
        <w:t>其他条件：</w:t>
      </w:r>
      <w:bookmarkEnd w:id="264"/>
      <w:bookmarkEnd w:id="265"/>
    </w:p>
    <w:p w14:paraId="0C6B112A">
      <w:pPr>
        <w:spacing w:line="360" w:lineRule="auto"/>
        <w:rPr>
          <w:rFonts w:eastAsia="宋体"/>
          <w:bCs/>
          <w:szCs w:val="21"/>
        </w:rPr>
      </w:pPr>
      <w:r>
        <w:rPr>
          <w:rFonts w:hint="eastAsia" w:eastAsia="宋体"/>
          <w:bCs/>
          <w:szCs w:val="21"/>
        </w:rPr>
        <w:t>1.1</w:t>
      </w:r>
      <w:r>
        <w:rPr>
          <w:rFonts w:eastAsia="宋体"/>
          <w:bCs/>
          <w:szCs w:val="21"/>
        </w:rPr>
        <w:t>外观</w:t>
      </w:r>
      <w:r>
        <w:rPr>
          <w:rFonts w:hint="eastAsia" w:eastAsia="宋体"/>
          <w:bCs/>
          <w:szCs w:val="21"/>
        </w:rPr>
        <w:t>与</w:t>
      </w:r>
      <w:r>
        <w:rPr>
          <w:rFonts w:hint="eastAsia" w:eastAsia="宋体"/>
          <w:bCs/>
          <w:szCs w:val="21"/>
          <w:lang w:val="en-US" w:eastAsia="zh-CN"/>
        </w:rPr>
        <w:t>密封线</w:t>
      </w:r>
      <w:r>
        <w:rPr>
          <w:rFonts w:eastAsia="宋体"/>
          <w:bCs/>
          <w:szCs w:val="21"/>
        </w:rPr>
        <w:t>：</w:t>
      </w:r>
      <w:r>
        <w:rPr>
          <w:rFonts w:hint="eastAsia" w:eastAsia="宋体"/>
          <w:bCs/>
          <w:szCs w:val="21"/>
        </w:rPr>
        <w:t xml:space="preserve">       </w:t>
      </w:r>
      <w:r>
        <w:rPr>
          <w:rFonts w:hint="eastAsia" w:eastAsia="宋体"/>
          <w:bCs/>
          <w:szCs w:val="21"/>
          <w:lang w:val="en-US" w:eastAsia="zh-CN"/>
        </w:rPr>
        <w:t xml:space="preserve">        </w:t>
      </w:r>
      <w:r>
        <w:rPr>
          <w:rFonts w:hint="eastAsia" w:eastAsia="宋体"/>
          <w:bCs/>
          <w:szCs w:val="21"/>
        </w:rPr>
        <w:t>1.2</w:t>
      </w:r>
      <w:r>
        <w:rPr>
          <w:rFonts w:hint="eastAsia" w:eastAsia="宋体"/>
          <w:bCs/>
          <w:szCs w:val="21"/>
          <w:lang w:val="en-US" w:eastAsia="zh-CN"/>
        </w:rPr>
        <w:t>铭牌和标识</w:t>
      </w:r>
      <w:r>
        <w:rPr>
          <w:rFonts w:hint="eastAsia" w:eastAsia="宋体"/>
          <w:bCs/>
          <w:szCs w:val="21"/>
        </w:rPr>
        <w:t>：</w:t>
      </w:r>
    </w:p>
    <w:p w14:paraId="474D4AF3">
      <w:pPr>
        <w:spacing w:line="360" w:lineRule="auto"/>
        <w:rPr>
          <w:rFonts w:eastAsia="宋体"/>
          <w:bCs/>
          <w:szCs w:val="21"/>
        </w:rPr>
      </w:pPr>
      <w:r>
        <w:rPr>
          <w:rFonts w:hint="eastAsia" w:eastAsia="宋体"/>
          <w:bCs/>
          <w:szCs w:val="21"/>
        </w:rPr>
        <w:t>1.3流量计参数：</w:t>
      </w:r>
      <w:r>
        <w:rPr>
          <w:rFonts w:hint="eastAsia" w:eastAsia="宋体"/>
          <w:bCs/>
          <w:szCs w:val="21"/>
          <w:lang w:val="en-US" w:eastAsia="zh-CN"/>
        </w:rPr>
        <w:t xml:space="preserve">   介质：        </w:t>
      </w:r>
      <w:r>
        <w:rPr>
          <w:rFonts w:hint="eastAsia" w:eastAsia="宋体"/>
          <w:bCs/>
          <w:szCs w:val="21"/>
        </w:rPr>
        <w:t>管径：            流量系数：</w:t>
      </w:r>
      <w:r>
        <w:rPr>
          <w:rFonts w:hint="eastAsia" w:eastAsia="宋体"/>
          <w:bCs/>
          <w:szCs w:val="21"/>
          <w:lang w:val="en-US" w:eastAsia="zh-CN"/>
        </w:rPr>
        <w:t xml:space="preserve">调整前         调整后         </w:t>
      </w:r>
      <w:r>
        <w:rPr>
          <w:rFonts w:hint="eastAsia" w:eastAsia="宋体"/>
          <w:bCs/>
          <w:szCs w:val="21"/>
        </w:rPr>
        <w:t xml:space="preserve">        </w:t>
      </w:r>
    </w:p>
    <w:p w14:paraId="47CDDD00">
      <w:pPr>
        <w:numPr>
          <w:ilvl w:val="0"/>
          <w:numId w:val="5"/>
        </w:numPr>
        <w:spacing w:line="360" w:lineRule="auto"/>
        <w:rPr>
          <w:rFonts w:eastAsia="宋体"/>
          <w:bCs/>
          <w:szCs w:val="21"/>
        </w:rPr>
      </w:pPr>
      <w:r>
        <w:rPr>
          <w:rFonts w:hint="eastAsia" w:eastAsia="宋体"/>
          <w:bCs/>
          <w:szCs w:val="21"/>
          <w:lang w:val="en-US" w:eastAsia="zh-CN"/>
        </w:rPr>
        <w:t>瞬时流量校准结果</w:t>
      </w:r>
      <w:r>
        <w:rPr>
          <w:rFonts w:hint="eastAsia" w:eastAsia="宋体"/>
          <w:bCs/>
          <w:szCs w:val="21"/>
        </w:rPr>
        <w:t>：</w:t>
      </w:r>
    </w:p>
    <w:tbl>
      <w:tblPr>
        <w:tblStyle w:val="2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790"/>
        <w:gridCol w:w="1828"/>
        <w:gridCol w:w="1332"/>
        <w:gridCol w:w="1476"/>
        <w:gridCol w:w="1778"/>
      </w:tblGrid>
      <w:tr w14:paraId="2FD51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CEBE7"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校准点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9FEFE"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标准器流量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5EF79">
            <w:pPr>
              <w:pStyle w:val="43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被校表流量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7D4B2"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示值误差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77A6B"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重复性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1AB10"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扩展不确定度</w:t>
            </w:r>
          </w:p>
        </w:tc>
      </w:tr>
      <w:tr w14:paraId="754B6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17F25"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5B2CC"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ED722"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F01D9"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D5AEB"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B1754">
            <w:pPr>
              <w:pStyle w:val="43"/>
              <w:rPr>
                <w:sz w:val="21"/>
                <w:szCs w:val="21"/>
              </w:rPr>
            </w:pPr>
          </w:p>
        </w:tc>
      </w:tr>
      <w:tr w14:paraId="5925D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84C34">
            <w:pPr>
              <w:pStyle w:val="43"/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6C343">
            <w:pPr>
              <w:pStyle w:val="43"/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D67EB">
            <w:pPr>
              <w:pStyle w:val="43"/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9F792">
            <w:pPr>
              <w:pStyle w:val="43"/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1FDBA">
            <w:pPr>
              <w:pStyle w:val="43"/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705F5">
            <w:pPr>
              <w:pStyle w:val="43"/>
            </w:pPr>
          </w:p>
        </w:tc>
      </w:tr>
      <w:tr w14:paraId="08FAA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CC634">
            <w:pPr>
              <w:pStyle w:val="43"/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0640B">
            <w:pPr>
              <w:pStyle w:val="43"/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ED388">
            <w:pPr>
              <w:pStyle w:val="43"/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432CB">
            <w:pPr>
              <w:pStyle w:val="43"/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D4A4A">
            <w:pPr>
              <w:pStyle w:val="43"/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57554">
            <w:pPr>
              <w:pStyle w:val="43"/>
            </w:pPr>
          </w:p>
        </w:tc>
      </w:tr>
    </w:tbl>
    <w:p w14:paraId="5366501A">
      <w:pPr>
        <w:numPr>
          <w:ilvl w:val="0"/>
          <w:numId w:val="5"/>
        </w:numPr>
        <w:spacing w:line="360" w:lineRule="auto"/>
        <w:rPr>
          <w:rFonts w:eastAsia="宋体"/>
          <w:bCs/>
          <w:szCs w:val="21"/>
        </w:rPr>
      </w:pPr>
      <w:r>
        <w:rPr>
          <w:rFonts w:hint="eastAsia" w:eastAsia="宋体"/>
          <w:bCs/>
          <w:szCs w:val="21"/>
          <w:lang w:val="en-US" w:eastAsia="zh-CN"/>
        </w:rPr>
        <w:t>累积流量校准结果</w:t>
      </w:r>
      <w:r>
        <w:rPr>
          <w:rFonts w:hint="eastAsia" w:eastAsia="宋体"/>
          <w:bCs/>
          <w:szCs w:val="21"/>
        </w:rPr>
        <w:t>：</w:t>
      </w:r>
    </w:p>
    <w:tbl>
      <w:tblPr>
        <w:tblStyle w:val="2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790"/>
        <w:gridCol w:w="1828"/>
        <w:gridCol w:w="1332"/>
        <w:gridCol w:w="1476"/>
        <w:gridCol w:w="1778"/>
      </w:tblGrid>
      <w:tr w14:paraId="71EB3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DCB47"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校准点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7A037"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标准器流量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1726B">
            <w:pPr>
              <w:pStyle w:val="43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被校表流量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0E275"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示值误差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75ED4"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重复性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CBF22"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扩展不确定度</w:t>
            </w:r>
          </w:p>
        </w:tc>
      </w:tr>
      <w:tr w14:paraId="14355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80592"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BA739"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E433E"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5471B"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78790"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A2B72">
            <w:pPr>
              <w:pStyle w:val="43"/>
              <w:rPr>
                <w:sz w:val="21"/>
                <w:szCs w:val="21"/>
              </w:rPr>
            </w:pPr>
          </w:p>
        </w:tc>
      </w:tr>
      <w:tr w14:paraId="01D11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52DCD">
            <w:pPr>
              <w:pStyle w:val="43"/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1EDF9">
            <w:pPr>
              <w:pStyle w:val="43"/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A8710">
            <w:pPr>
              <w:pStyle w:val="43"/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9BEC6">
            <w:pPr>
              <w:pStyle w:val="43"/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4E088">
            <w:pPr>
              <w:pStyle w:val="43"/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8D351">
            <w:pPr>
              <w:pStyle w:val="43"/>
            </w:pPr>
          </w:p>
        </w:tc>
      </w:tr>
      <w:tr w14:paraId="757BB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2A16B">
            <w:pPr>
              <w:pStyle w:val="43"/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B4F2C">
            <w:pPr>
              <w:pStyle w:val="43"/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D3D2E">
            <w:pPr>
              <w:pStyle w:val="43"/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3635B">
            <w:pPr>
              <w:pStyle w:val="43"/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E9E8E">
            <w:pPr>
              <w:pStyle w:val="43"/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351AA">
            <w:pPr>
              <w:pStyle w:val="43"/>
            </w:pPr>
          </w:p>
        </w:tc>
      </w:tr>
    </w:tbl>
    <w:p w14:paraId="6DDC294D">
      <w:pPr>
        <w:numPr>
          <w:ilvl w:val="0"/>
          <w:numId w:val="5"/>
        </w:numPr>
        <w:spacing w:line="360" w:lineRule="auto"/>
        <w:rPr>
          <w:rFonts w:eastAsia="宋体"/>
          <w:bCs/>
          <w:szCs w:val="21"/>
        </w:rPr>
      </w:pPr>
      <w:r>
        <w:rPr>
          <w:rFonts w:hint="eastAsia" w:eastAsia="宋体"/>
          <w:bCs/>
          <w:szCs w:val="21"/>
          <w:lang w:val="en-US" w:eastAsia="zh-CN"/>
        </w:rPr>
        <w:t>变送输出误差校准结果：</w:t>
      </w:r>
    </w:p>
    <w:tbl>
      <w:tblPr>
        <w:tblStyle w:val="2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790"/>
        <w:gridCol w:w="1828"/>
        <w:gridCol w:w="1332"/>
        <w:gridCol w:w="1476"/>
        <w:gridCol w:w="1778"/>
      </w:tblGrid>
      <w:tr w14:paraId="2F4F2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4754F"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bookmarkStart w:id="266" w:name="_Toc23339"/>
            <w:bookmarkStart w:id="267" w:name="_Toc20526"/>
            <w:bookmarkStart w:id="268" w:name="_Toc3458"/>
            <w:bookmarkStart w:id="269" w:name="_Toc8870"/>
            <w:bookmarkStart w:id="270" w:name="_Toc3818"/>
            <w:bookmarkStart w:id="271" w:name="_Toc2422"/>
            <w:bookmarkStart w:id="272" w:name="_Toc16754"/>
            <w:bookmarkStart w:id="273" w:name="_Toc23785590"/>
            <w:bookmarkStart w:id="274" w:name="_Toc13651"/>
            <w:bookmarkStart w:id="275" w:name="_Toc500258835"/>
            <w:bookmarkStart w:id="276" w:name="_Toc23784593"/>
            <w:bookmarkStart w:id="277" w:name="_Toc28237_WPSOffice_Level1"/>
            <w:bookmarkStart w:id="278" w:name="_Toc23784692"/>
            <w:bookmarkStart w:id="279" w:name="_Toc198433137"/>
            <w:r>
              <w:rPr>
                <w:rFonts w:hint="eastAsia"/>
                <w:color w:val="auto"/>
                <w:sz w:val="21"/>
                <w:szCs w:val="21"/>
              </w:rPr>
              <w:t>校准点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EE979">
            <w:pPr>
              <w:pStyle w:val="43"/>
              <w:ind w:left="0" w:leftChars="0" w:firstLine="0" w:firstLineChars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被校表流量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E54D4">
            <w:pPr>
              <w:pStyle w:val="43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理论输出值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62B68">
            <w:pPr>
              <w:pStyle w:val="43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输出示值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F8FAA">
            <w:pPr>
              <w:pStyle w:val="43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误差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34706"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扩展不确定度</w:t>
            </w:r>
          </w:p>
        </w:tc>
      </w:tr>
      <w:tr w14:paraId="59BAA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08509"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906C1"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EC765"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F020B"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AAE86"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C918A">
            <w:pPr>
              <w:pStyle w:val="43"/>
              <w:rPr>
                <w:sz w:val="21"/>
                <w:szCs w:val="21"/>
              </w:rPr>
            </w:pPr>
          </w:p>
        </w:tc>
      </w:tr>
      <w:tr w14:paraId="65962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9631E">
            <w:pPr>
              <w:pStyle w:val="43"/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3EB67">
            <w:pPr>
              <w:pStyle w:val="43"/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9ED4F">
            <w:pPr>
              <w:pStyle w:val="43"/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5A394">
            <w:pPr>
              <w:pStyle w:val="43"/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40873">
            <w:pPr>
              <w:pStyle w:val="43"/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D5D93">
            <w:pPr>
              <w:pStyle w:val="43"/>
            </w:pPr>
          </w:p>
        </w:tc>
      </w:tr>
      <w:tr w14:paraId="7B242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83794">
            <w:pPr>
              <w:pStyle w:val="43"/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F2BBC">
            <w:pPr>
              <w:pStyle w:val="43"/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6043B">
            <w:pPr>
              <w:pStyle w:val="43"/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27E76">
            <w:pPr>
              <w:pStyle w:val="43"/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F20C1">
            <w:pPr>
              <w:pStyle w:val="43"/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DBFE3">
            <w:pPr>
              <w:pStyle w:val="43"/>
            </w:pPr>
          </w:p>
        </w:tc>
      </w:tr>
    </w:tbl>
    <w:p w14:paraId="2F0775F9">
      <w:pPr>
        <w:spacing w:before="240" w:after="60"/>
        <w:rPr>
          <w:rFonts w:hint="eastAsia" w:ascii="黑体" w:hAnsi="黑体" w:eastAsia="黑体"/>
          <w:sz w:val="28"/>
          <w:szCs w:val="28"/>
        </w:rPr>
      </w:pPr>
    </w:p>
    <w:p w14:paraId="26F09D43">
      <w:pPr>
        <w:spacing w:before="240" w:after="60"/>
        <w:rPr>
          <w:rFonts w:hint="eastAsia" w:ascii="黑体" w:hAnsi="黑体" w:eastAsia="黑体"/>
          <w:sz w:val="28"/>
          <w:szCs w:val="28"/>
        </w:rPr>
      </w:pPr>
    </w:p>
    <w:p w14:paraId="539151F5">
      <w:pPr>
        <w:spacing w:before="240" w:after="60"/>
        <w:outlineLvl w:val="0"/>
        <w:rPr>
          <w:rFonts w:eastAsia="黑体"/>
          <w:sz w:val="28"/>
          <w:szCs w:val="28"/>
        </w:rPr>
      </w:pPr>
      <w:bookmarkStart w:id="280" w:name="_Toc21501"/>
      <w:r>
        <w:rPr>
          <w:rFonts w:eastAsia="黑体"/>
          <w:sz w:val="28"/>
          <w:szCs w:val="28"/>
        </w:rPr>
        <w:t>附录C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80"/>
      <w:r>
        <w:rPr>
          <w:rFonts w:eastAsia="黑体"/>
          <w:sz w:val="28"/>
          <w:szCs w:val="28"/>
        </w:rPr>
        <w:t xml:space="preserve"> </w:t>
      </w:r>
      <w:bookmarkEnd w:id="273"/>
      <w:bookmarkEnd w:id="274"/>
      <w:bookmarkEnd w:id="275"/>
      <w:bookmarkEnd w:id="276"/>
      <w:bookmarkEnd w:id="277"/>
      <w:bookmarkEnd w:id="278"/>
      <w:bookmarkEnd w:id="279"/>
    </w:p>
    <w:p w14:paraId="1EBA9879">
      <w:pPr>
        <w:pStyle w:val="3"/>
        <w:jc w:val="center"/>
      </w:pPr>
      <w:bookmarkStart w:id="281" w:name="_Toc26494"/>
      <w:bookmarkStart w:id="282" w:name="_Toc9774"/>
      <w:r>
        <w:rPr>
          <w:rFonts w:hint="eastAsia"/>
        </w:rPr>
        <w:t>液体流量计在线校准示值误差的测量不确定度评定示例</w:t>
      </w:r>
      <w:bookmarkEnd w:id="281"/>
      <w:bookmarkEnd w:id="282"/>
    </w:p>
    <w:p w14:paraId="63027A4D"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 xml:space="preserve">C.1 </w:t>
      </w:r>
      <w:r>
        <w:rPr>
          <w:rFonts w:hint="eastAsia" w:ascii="黑体" w:hAnsi="黑体" w:eastAsia="黑体" w:cs="黑体"/>
          <w:color w:val="auto"/>
        </w:rPr>
        <w:t>概述</w:t>
      </w:r>
    </w:p>
    <w:p w14:paraId="6DDB3B0F"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>C</w:t>
      </w:r>
      <w:r>
        <w:rPr>
          <w:color w:val="auto"/>
        </w:rPr>
        <w:t>.1.</w:t>
      </w:r>
      <w:r>
        <w:rPr>
          <w:rFonts w:hint="eastAsia"/>
          <w:color w:val="auto"/>
        </w:rPr>
        <w:t>1 校准依据</w:t>
      </w:r>
    </w:p>
    <w:p w14:paraId="6D9A0145">
      <w:pPr>
        <w:pStyle w:val="43"/>
        <w:rPr>
          <w:color w:val="auto"/>
        </w:rPr>
      </w:pPr>
      <w:r>
        <w:rPr>
          <w:rFonts w:hint="eastAsia"/>
          <w:color w:val="auto"/>
        </w:rPr>
        <w:t>本规范</w:t>
      </w:r>
    </w:p>
    <w:p w14:paraId="192CFC72"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>C</w:t>
      </w:r>
      <w:r>
        <w:rPr>
          <w:color w:val="auto"/>
        </w:rPr>
        <w:t>.1.2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lang w:val="en-US" w:eastAsia="zh-CN"/>
        </w:rPr>
        <w:t>测量</w:t>
      </w:r>
      <w:r>
        <w:rPr>
          <w:color w:val="auto"/>
        </w:rPr>
        <w:t>标准</w:t>
      </w:r>
    </w:p>
    <w:p w14:paraId="40E8ABCD">
      <w:pPr>
        <w:pStyle w:val="43"/>
        <w:rPr>
          <w:color w:val="auto"/>
        </w:rPr>
      </w:pPr>
      <w:r>
        <w:rPr>
          <w:rFonts w:hint="eastAsia"/>
          <w:color w:val="auto"/>
        </w:rPr>
        <w:t>表C.1中给出了</w:t>
      </w:r>
      <w:r>
        <w:rPr>
          <w:rFonts w:hint="eastAsia"/>
          <w:color w:val="auto"/>
          <w:lang w:val="en-US" w:eastAsia="zh-CN"/>
        </w:rPr>
        <w:t>测量</w:t>
      </w:r>
      <w:r>
        <w:rPr>
          <w:rFonts w:hint="eastAsia"/>
          <w:color w:val="auto"/>
        </w:rPr>
        <w:t>标准及主要技术指标。</w:t>
      </w:r>
    </w:p>
    <w:p w14:paraId="455B94D0">
      <w:pPr>
        <w:spacing w:line="360" w:lineRule="auto"/>
        <w:jc w:val="center"/>
        <w:rPr>
          <w:rFonts w:eastAsia="黑体"/>
        </w:rPr>
      </w:pPr>
      <w:bookmarkStart w:id="283" w:name="_Hlk166233067"/>
      <w:r>
        <w:rPr>
          <w:rStyle w:val="102"/>
          <w:rFonts w:hint="default" w:cs="Times New Roman"/>
          <w:color w:val="auto"/>
        </w:rPr>
        <w:t xml:space="preserve">表C.1 </w:t>
      </w:r>
      <w:r>
        <w:rPr>
          <w:rStyle w:val="102"/>
          <w:rFonts w:hint="eastAsia" w:eastAsia="黑体" w:cs="Times New Roman"/>
          <w:color w:val="auto"/>
          <w:lang w:val="en-US" w:eastAsia="zh-CN"/>
        </w:rPr>
        <w:t>测量</w:t>
      </w:r>
      <w:r>
        <w:rPr>
          <w:rStyle w:val="102"/>
          <w:rFonts w:hint="default" w:cs="Times New Roman"/>
          <w:color w:val="auto"/>
        </w:rPr>
        <w:t>标准技术指标</w:t>
      </w:r>
    </w:p>
    <w:bookmarkEnd w:id="283"/>
    <w:tbl>
      <w:tblPr>
        <w:tblStyle w:val="24"/>
        <w:tblW w:w="500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2"/>
        <w:gridCol w:w="2735"/>
        <w:gridCol w:w="5976"/>
      </w:tblGrid>
      <w:tr w14:paraId="705AD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  <w:jc w:val="center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FB8A9A">
            <w:pPr>
              <w:jc w:val="center"/>
              <w:rPr>
                <w:rStyle w:val="101"/>
                <w:color w:val="auto"/>
                <w:lang w:val="zh-TW" w:eastAsia="zh-TW"/>
              </w:rPr>
            </w:pPr>
            <w:r>
              <w:rPr>
                <w:rStyle w:val="101"/>
                <w:color w:val="auto"/>
                <w:lang w:val="zh-TW" w:eastAsia="zh-TW"/>
              </w:rPr>
              <w:t>序号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A5553A"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 w:eastAsia="宋体"/>
                <w:color w:val="auto"/>
                <w:lang w:val="en-US" w:eastAsia="zh-CN"/>
              </w:rPr>
              <w:t>测量</w:t>
            </w:r>
            <w:r>
              <w:rPr>
                <w:rStyle w:val="101"/>
                <w:color w:val="auto"/>
              </w:rPr>
              <w:t>标准或设备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4CCFD5"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主要技术指标</w:t>
            </w:r>
          </w:p>
        </w:tc>
      </w:tr>
      <w:tr w14:paraId="6B84B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exact"/>
          <w:jc w:val="center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26029A">
            <w:pPr>
              <w:jc w:val="center"/>
              <w:rPr>
                <w:rStyle w:val="101"/>
                <w:color w:val="auto"/>
                <w:lang w:val="zh-TW" w:eastAsia="zh-TW"/>
              </w:rPr>
            </w:pPr>
            <w:r>
              <w:rPr>
                <w:rStyle w:val="101"/>
                <w:color w:val="auto"/>
                <w:lang w:val="zh-TW" w:eastAsia="zh-TW"/>
              </w:rPr>
              <w:t>1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7598E3"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便携式超声波流量计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2447F5"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相对扩展不确定度：</w:t>
            </w:r>
            <w:r>
              <w:rPr>
                <w:rStyle w:val="101"/>
                <w:i/>
                <w:iCs/>
                <w:color w:val="auto"/>
              </w:rPr>
              <w:t>U</w:t>
            </w:r>
            <w:r>
              <w:rPr>
                <w:rStyle w:val="101"/>
                <w:rFonts w:hint="eastAsia"/>
                <w:color w:val="auto"/>
                <w:vertAlign w:val="subscript"/>
              </w:rPr>
              <w:t>rel</w:t>
            </w:r>
            <w:r>
              <w:rPr>
                <w:rStyle w:val="101"/>
                <w:color w:val="auto"/>
              </w:rPr>
              <w:t>=</w:t>
            </w:r>
            <w:r>
              <w:rPr>
                <w:rStyle w:val="101"/>
                <w:rFonts w:hint="eastAsia"/>
                <w:color w:val="auto"/>
              </w:rPr>
              <w:t>0.</w:t>
            </w:r>
            <w:r>
              <w:rPr>
                <w:rStyle w:val="101"/>
                <w:rFonts w:hint="eastAsia" w:eastAsia="宋体"/>
                <w:color w:val="auto"/>
                <w:lang w:val="en-US" w:eastAsia="zh-CN"/>
              </w:rPr>
              <w:t>5</w:t>
            </w:r>
            <w:r>
              <w:rPr>
                <w:rStyle w:val="101"/>
                <w:color w:val="auto"/>
              </w:rPr>
              <w:t>%，</w:t>
            </w:r>
            <w:r>
              <w:rPr>
                <w:rStyle w:val="101"/>
                <w:i/>
                <w:iCs/>
                <w:color w:val="auto"/>
              </w:rPr>
              <w:t>k</w:t>
            </w:r>
            <w:r>
              <w:rPr>
                <w:rStyle w:val="101"/>
                <w:color w:val="auto"/>
              </w:rPr>
              <w:t>=2。</w:t>
            </w:r>
          </w:p>
        </w:tc>
      </w:tr>
      <w:tr w14:paraId="1863F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BC1338">
            <w:pPr>
              <w:jc w:val="center"/>
              <w:rPr>
                <w:rStyle w:val="101"/>
                <w:color w:val="auto"/>
                <w:lang w:val="zh-TW" w:eastAsia="zh-TW"/>
              </w:rPr>
            </w:pPr>
            <w:r>
              <w:rPr>
                <w:rStyle w:val="101"/>
                <w:color w:val="auto"/>
                <w:lang w:val="zh-TW" w:eastAsia="zh-TW"/>
              </w:rPr>
              <w:t>2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857E98"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秒表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1461A7">
            <w:pPr>
              <w:jc w:val="center"/>
              <w:rPr>
                <w:rStyle w:val="101"/>
                <w:color w:val="auto"/>
                <w:lang w:val="zh-TW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时间间隔1h：±0.1s</w:t>
            </w:r>
            <w:r>
              <w:rPr>
                <w:rStyle w:val="101"/>
                <w:color w:val="auto"/>
                <w:lang w:val="zh-TW"/>
              </w:rPr>
              <w:t>。</w:t>
            </w:r>
          </w:p>
        </w:tc>
      </w:tr>
      <w:tr w14:paraId="5FB5D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390ABD"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3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49CE90"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钢卷尺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6F324B"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 w:ascii="宋体" w:hAnsi="宋体" w:eastAsia="宋体" w:cs="宋体"/>
                <w:color w:val="auto"/>
              </w:rPr>
              <w:t>Ⅰ</w:t>
            </w:r>
            <w:r>
              <w:rPr>
                <w:rStyle w:val="101"/>
                <w:rFonts w:hint="eastAsia"/>
                <w:color w:val="auto"/>
              </w:rPr>
              <w:t>级，</w:t>
            </w:r>
            <w:r>
              <w:rPr>
                <w:rStyle w:val="101"/>
                <w:color w:val="auto"/>
                <w:lang w:val="zh-TW" w:eastAsia="zh-TW"/>
              </w:rPr>
              <w:t>测量范围（0～</w:t>
            </w:r>
            <w:r>
              <w:rPr>
                <w:rStyle w:val="101"/>
                <w:rFonts w:hint="eastAsia"/>
                <w:color w:val="auto"/>
              </w:rPr>
              <w:t>3</w:t>
            </w:r>
            <w:r>
              <w:rPr>
                <w:rStyle w:val="101"/>
                <w:color w:val="auto"/>
                <w:lang w:val="zh-TW" w:eastAsia="zh-TW"/>
              </w:rPr>
              <w:t>）</w:t>
            </w:r>
            <w:r>
              <w:rPr>
                <w:rStyle w:val="101"/>
                <w:rFonts w:hint="eastAsia"/>
                <w:color w:val="auto"/>
              </w:rPr>
              <w:t>m</w:t>
            </w:r>
            <w:r>
              <w:rPr>
                <w:rStyle w:val="101"/>
                <w:color w:val="auto"/>
                <w:lang w:val="zh-TW"/>
              </w:rPr>
              <w:t>。</w:t>
            </w:r>
          </w:p>
        </w:tc>
      </w:tr>
    </w:tbl>
    <w:p w14:paraId="5C5B47E7"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>C</w:t>
      </w:r>
      <w:r>
        <w:rPr>
          <w:color w:val="auto"/>
        </w:rPr>
        <w:t>.1.3</w:t>
      </w:r>
      <w:r>
        <w:rPr>
          <w:rFonts w:hint="eastAsia"/>
          <w:color w:val="auto"/>
        </w:rPr>
        <w:t xml:space="preserve"> </w:t>
      </w:r>
      <w:r>
        <w:rPr>
          <w:color w:val="auto"/>
        </w:rPr>
        <w:t>被</w:t>
      </w:r>
      <w:r>
        <w:rPr>
          <w:rFonts w:hint="eastAsia"/>
          <w:color w:val="auto"/>
        </w:rPr>
        <w:t>校</w:t>
      </w:r>
      <w:r>
        <w:rPr>
          <w:color w:val="auto"/>
        </w:rPr>
        <w:t>对象</w:t>
      </w:r>
    </w:p>
    <w:p w14:paraId="79DFF0C1">
      <w:pPr>
        <w:pStyle w:val="43"/>
        <w:rPr>
          <w:color w:val="auto"/>
        </w:rPr>
      </w:pPr>
      <w:r>
        <w:rPr>
          <w:rFonts w:hint="eastAsia"/>
          <w:color w:val="auto"/>
        </w:rPr>
        <w:t>被校准流量计为一台测量范围（0～1000）m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/h，1.0级的电磁流量计</w:t>
      </w:r>
      <w:r>
        <w:rPr>
          <w:color w:val="auto"/>
        </w:rPr>
        <w:t xml:space="preserve">。 </w:t>
      </w:r>
    </w:p>
    <w:p w14:paraId="310EA787"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>C.1.4 校准方法</w:t>
      </w:r>
    </w:p>
    <w:p w14:paraId="19C4CA7A">
      <w:pPr>
        <w:pStyle w:val="43"/>
        <w:rPr>
          <w:color w:val="auto"/>
        </w:rPr>
      </w:pPr>
      <w:r>
        <w:rPr>
          <w:rFonts w:hint="eastAsia"/>
          <w:color w:val="auto"/>
          <w:lang w:val="en-US" w:eastAsia="zh-CN"/>
        </w:rPr>
        <w:t>按照本规范的规定进行校准。本示例仅</w:t>
      </w:r>
      <w:r>
        <w:rPr>
          <w:rFonts w:hint="eastAsia"/>
          <w:color w:val="auto"/>
        </w:rPr>
        <w:t>在500</w:t>
      </w:r>
      <w:r>
        <w:rPr>
          <w:rFonts w:hint="eastAsia"/>
          <w:bCs/>
          <w:color w:val="auto"/>
        </w:rPr>
        <w:t>m</w:t>
      </w:r>
      <w:r>
        <w:rPr>
          <w:rFonts w:hint="eastAsia"/>
          <w:bCs/>
          <w:color w:val="auto"/>
          <w:vertAlign w:val="superscript"/>
        </w:rPr>
        <w:t>3</w:t>
      </w:r>
      <w:r>
        <w:rPr>
          <w:rFonts w:hint="eastAsia"/>
          <w:bCs/>
          <w:color w:val="auto"/>
        </w:rPr>
        <w:t>/h流量</w:t>
      </w:r>
      <w:r>
        <w:rPr>
          <w:rFonts w:hint="eastAsia"/>
          <w:color w:val="auto"/>
          <w:lang w:val="en-US" w:eastAsia="zh-CN"/>
        </w:rPr>
        <w:t>校准点进行说明，其他校准点参照本示例</w:t>
      </w:r>
      <w:r>
        <w:rPr>
          <w:color w:val="auto"/>
        </w:rPr>
        <w:t>。</w:t>
      </w:r>
    </w:p>
    <w:p w14:paraId="7FE2CDE4"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 xml:space="preserve">C.2 </w:t>
      </w:r>
      <w:r>
        <w:rPr>
          <w:rFonts w:hint="eastAsia" w:ascii="黑体" w:hAnsi="黑体" w:eastAsia="黑体" w:cs="黑体"/>
          <w:color w:val="auto"/>
        </w:rPr>
        <w:t>测量模型</w:t>
      </w:r>
    </w:p>
    <w:p w14:paraId="00397B95">
      <w:pPr>
        <w:pStyle w:val="43"/>
        <w:rPr>
          <w:color w:val="auto"/>
        </w:rPr>
      </w:pPr>
      <w:bookmarkStart w:id="284" w:name="_Toc30795"/>
      <w:bookmarkStart w:id="285" w:name="_Toc13934"/>
      <w:r>
        <w:rPr>
          <w:rFonts w:hint="eastAsia"/>
          <w:color w:val="auto"/>
        </w:rPr>
        <w:t>流量计示值误差校准采用直接测量方法，其测量模型见公式（C.1）</w:t>
      </w:r>
      <w:bookmarkEnd w:id="284"/>
      <w:bookmarkEnd w:id="285"/>
    </w:p>
    <w:p w14:paraId="1C6521C4">
      <w:pPr>
        <w:spacing w:line="360" w:lineRule="auto"/>
        <w:jc w:val="right"/>
        <w:rPr>
          <w:rFonts w:eastAsia="宋体"/>
          <w:sz w:val="24"/>
        </w:rPr>
      </w:pPr>
      <w:r>
        <w:rPr>
          <w:position w:val="-30"/>
          <w:vertAlign w:val="subscript"/>
        </w:rPr>
        <w:object>
          <v:shape id="_x0000_i1050" o:spt="75" type="#_x0000_t75" style="height:41.95pt;width:123.2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78">
            <o:LockedField>false</o:LockedField>
          </o:OLEObject>
        </w:object>
      </w:r>
      <w:r>
        <w:rPr>
          <w:rFonts w:eastAsia="宋体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 w:eastAsia="宋体"/>
          <w:sz w:val="24"/>
        </w:rPr>
        <w:t xml:space="preserve">           （</w:t>
      </w:r>
      <w:r>
        <w:rPr>
          <w:rFonts w:hint="eastAsia"/>
          <w:sz w:val="24"/>
        </w:rPr>
        <w:t>C.</w:t>
      </w:r>
      <w:r>
        <w:rPr>
          <w:rFonts w:hint="eastAsia" w:eastAsia="宋体"/>
          <w:sz w:val="24"/>
        </w:rPr>
        <w:t xml:space="preserve">1）                                                                                 </w:t>
      </w:r>
    </w:p>
    <w:p w14:paraId="664F8460">
      <w:pPr>
        <w:pStyle w:val="6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式中：</w:t>
      </w:r>
    </w:p>
    <w:p w14:paraId="3F71A721">
      <w:pPr>
        <w:pStyle w:val="43"/>
        <w:rPr>
          <w:color w:val="auto"/>
        </w:rPr>
      </w:pPr>
      <w:r>
        <w:rPr>
          <w:color w:val="auto"/>
          <w:position w:val="-12"/>
          <w:vertAlign w:val="subscript"/>
        </w:rPr>
        <w:object>
          <v:shape id="_x0000_i1051" o:spt="75" type="#_x0000_t75" style="height:18pt;width:17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80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 w:ascii="宋体" w:hAnsi="宋体" w:cs="宋体"/>
          <w:color w:val="auto"/>
        </w:rPr>
        <w:t>流量计累积流量</w:t>
      </w:r>
      <w:r>
        <w:rPr>
          <w:rFonts w:hint="eastAsia"/>
          <w:color w:val="auto"/>
        </w:rPr>
        <w:t>示值</w:t>
      </w:r>
      <w:r>
        <w:rPr>
          <w:color w:val="auto"/>
        </w:rPr>
        <w:t>误差；</w:t>
      </w:r>
    </w:p>
    <w:p w14:paraId="542B01C0">
      <w:pPr>
        <w:pStyle w:val="43"/>
        <w:rPr>
          <w:color w:val="auto"/>
        </w:rPr>
      </w:pPr>
      <w:r>
        <w:rPr>
          <w:color w:val="auto"/>
          <w:position w:val="-12"/>
          <w:vertAlign w:val="subscript"/>
        </w:rPr>
        <w:object>
          <v:shape id="_x0000_i1052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82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 w:ascii="宋体" w:hAnsi="宋体" w:cs="宋体"/>
          <w:color w:val="auto"/>
        </w:rPr>
        <w:t>流量计累积示值，</w:t>
      </w:r>
      <w:r>
        <w:rPr>
          <w:rFonts w:hint="eastAsia"/>
          <w:bCs/>
          <w:color w:val="auto"/>
        </w:rPr>
        <w:t>m</w:t>
      </w:r>
      <w:r>
        <w:rPr>
          <w:rFonts w:hint="eastAsia"/>
          <w:bCs/>
          <w:color w:val="auto"/>
          <w:vertAlign w:val="superscript"/>
        </w:rPr>
        <w:t>3</w:t>
      </w:r>
      <w:r>
        <w:rPr>
          <w:rFonts w:hint="eastAsia"/>
          <w:bCs/>
          <w:color w:val="auto"/>
        </w:rPr>
        <w:t>/h</w:t>
      </w:r>
      <w:r>
        <w:rPr>
          <w:color w:val="auto"/>
        </w:rPr>
        <w:t>；</w:t>
      </w:r>
    </w:p>
    <w:p w14:paraId="04C3E09E">
      <w:pPr>
        <w:pStyle w:val="43"/>
        <w:rPr>
          <w:color w:val="auto"/>
        </w:rPr>
      </w:pPr>
      <w:r>
        <w:rPr>
          <w:color w:val="auto"/>
          <w:position w:val="-12"/>
          <w:vertAlign w:val="subscript"/>
        </w:rPr>
        <w:object>
          <v:shape id="_x0000_i1053" o:spt="75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84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 w:ascii="宋体" w:hAnsi="宋体" w:cs="宋体"/>
          <w:color w:val="auto"/>
        </w:rPr>
        <w:t>标准</w:t>
      </w:r>
      <w:r>
        <w:rPr>
          <w:rFonts w:hint="eastAsia" w:ascii="宋体" w:hAnsi="宋体" w:cs="宋体"/>
          <w:color w:val="auto"/>
          <w:lang w:val="en-US" w:eastAsia="zh-CN"/>
        </w:rPr>
        <w:t>流量计</w:t>
      </w:r>
      <w:r>
        <w:rPr>
          <w:rFonts w:hint="eastAsia" w:ascii="宋体" w:hAnsi="宋体" w:cs="宋体"/>
          <w:color w:val="auto"/>
        </w:rPr>
        <w:t>累积示值，</w:t>
      </w:r>
      <w:r>
        <w:rPr>
          <w:rFonts w:hint="eastAsia"/>
          <w:bCs/>
          <w:color w:val="auto"/>
        </w:rPr>
        <w:t>m</w:t>
      </w:r>
      <w:r>
        <w:rPr>
          <w:rFonts w:hint="eastAsia"/>
          <w:bCs/>
          <w:color w:val="auto"/>
          <w:vertAlign w:val="superscript"/>
        </w:rPr>
        <w:t>3</w:t>
      </w:r>
      <w:r>
        <w:rPr>
          <w:rFonts w:hint="eastAsia"/>
          <w:bCs/>
          <w:color w:val="auto"/>
        </w:rPr>
        <w:t>/h</w:t>
      </w:r>
      <w:r>
        <w:rPr>
          <w:rFonts w:hint="eastAsia"/>
          <w:color w:val="auto"/>
        </w:rPr>
        <w:t>。</w:t>
      </w:r>
    </w:p>
    <w:p w14:paraId="5D50BC6B">
      <w:pPr>
        <w:pStyle w:val="43"/>
        <w:rPr>
          <w:color w:val="auto"/>
        </w:rPr>
      </w:pPr>
      <w:r>
        <w:rPr>
          <w:rFonts w:hint="eastAsia"/>
          <w:color w:val="auto"/>
        </w:rPr>
        <w:t>由测量模型可知，输入量V</w:t>
      </w:r>
      <w:r>
        <w:rPr>
          <w:rFonts w:hint="eastAsia"/>
          <w:color w:val="auto"/>
          <w:vertAlign w:val="subscript"/>
        </w:rPr>
        <w:t>m</w:t>
      </w:r>
      <w:r>
        <w:rPr>
          <w:rFonts w:hint="eastAsia"/>
          <w:color w:val="auto"/>
        </w:rPr>
        <w:t>的灵敏系数为1，输入量V</w:t>
      </w:r>
      <w:r>
        <w:rPr>
          <w:rFonts w:hint="eastAsia"/>
          <w:color w:val="auto"/>
          <w:vertAlign w:val="subscript"/>
        </w:rPr>
        <w:t>s</w:t>
      </w:r>
      <w:r>
        <w:rPr>
          <w:rFonts w:hint="eastAsia"/>
          <w:color w:val="auto"/>
        </w:rPr>
        <w:t>的灵敏系数为-1。</w:t>
      </w:r>
    </w:p>
    <w:p w14:paraId="341BC3DB"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 xml:space="preserve">C.3 </w:t>
      </w:r>
      <w:r>
        <w:rPr>
          <w:rFonts w:hint="eastAsia"/>
          <w:b/>
          <w:bCs/>
          <w:color w:val="auto"/>
        </w:rPr>
        <w:t>测量不确定度来源分析</w:t>
      </w:r>
    </w:p>
    <w:p w14:paraId="2A661FB1">
      <w:pPr>
        <w:pStyle w:val="43"/>
        <w:rPr>
          <w:color w:val="auto"/>
        </w:rPr>
      </w:pPr>
      <w:r>
        <w:rPr>
          <w:rFonts w:hint="eastAsia"/>
          <w:color w:val="auto"/>
        </w:rPr>
        <w:t>测量不确定度来源主要有：</w:t>
      </w:r>
    </w:p>
    <w:p w14:paraId="5FC740C7">
      <w:pPr>
        <w:pStyle w:val="43"/>
        <w:numPr>
          <w:ilvl w:val="0"/>
          <w:numId w:val="6"/>
        </w:numPr>
        <w:ind w:firstLineChars="0"/>
        <w:rPr>
          <w:color w:val="auto"/>
        </w:rPr>
      </w:pPr>
      <w:r>
        <w:rPr>
          <w:rFonts w:hint="eastAsia"/>
          <w:color w:val="auto"/>
        </w:rPr>
        <w:t>由测量重复性引入的不确定度分量</w:t>
      </w:r>
      <w:r>
        <w:rPr>
          <w:color w:val="auto"/>
          <w:position w:val="-10"/>
          <w:vertAlign w:val="subscript"/>
        </w:rPr>
        <w:object>
          <v:shape id="_x0000_i1054" o:spt="75" type="#_x0000_t75" style="height:17pt;width:15pt;" o:ole="t" filled="f" o:preferrelative="t" stroked="f" coordsize="21600,21600">
            <v:path/>
            <v:fill on="f" focussize="0,0"/>
            <v:stroke on="f"/>
            <v:imagedata r:id="rId87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86">
            <o:LockedField>false</o:LockedField>
          </o:OLEObject>
        </w:object>
      </w:r>
      <w:r>
        <w:rPr>
          <w:rFonts w:hint="eastAsia"/>
          <w:color w:val="auto"/>
        </w:rPr>
        <w:t>；</w:t>
      </w:r>
    </w:p>
    <w:p w14:paraId="23345AEC">
      <w:pPr>
        <w:pStyle w:val="43"/>
        <w:numPr>
          <w:ilvl w:val="0"/>
          <w:numId w:val="6"/>
        </w:numPr>
        <w:ind w:firstLineChars="0"/>
        <w:rPr>
          <w:color w:val="auto"/>
        </w:rPr>
      </w:pPr>
      <w:r>
        <w:rPr>
          <w:rFonts w:hint="eastAsia"/>
          <w:color w:val="auto"/>
        </w:rPr>
        <w:t>由标准</w:t>
      </w:r>
      <w:r>
        <w:rPr>
          <w:rFonts w:hint="eastAsia"/>
          <w:color w:val="auto"/>
          <w:lang w:val="en-US" w:eastAsia="zh-CN"/>
        </w:rPr>
        <w:t>流量计</w:t>
      </w:r>
      <w:r>
        <w:rPr>
          <w:rFonts w:hint="eastAsia"/>
          <w:color w:val="auto"/>
        </w:rPr>
        <w:t>不确定度引入的不确定度分量</w:t>
      </w:r>
      <w:r>
        <w:rPr>
          <w:color w:val="auto"/>
          <w:position w:val="-10"/>
          <w:vertAlign w:val="subscript"/>
        </w:rPr>
        <w:object>
          <v:shape id="_x0000_i1055" o:spt="75" type="#_x0000_t75" style="height:17pt;width:13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88">
            <o:LockedField>false</o:LockedField>
          </o:OLEObject>
        </w:object>
      </w:r>
      <w:r>
        <w:rPr>
          <w:rFonts w:hint="eastAsia"/>
          <w:color w:val="auto"/>
        </w:rPr>
        <w:t>。</w:t>
      </w:r>
    </w:p>
    <w:p w14:paraId="26D5E779"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 xml:space="preserve">C.4 </w:t>
      </w:r>
      <w:r>
        <w:rPr>
          <w:rFonts w:hint="eastAsia" w:ascii="黑体" w:hAnsi="黑体" w:eastAsia="黑体" w:cs="黑体"/>
          <w:color w:val="auto"/>
        </w:rPr>
        <w:t>测量不确定度评定</w:t>
      </w:r>
    </w:p>
    <w:p w14:paraId="5F707390">
      <w:pPr>
        <w:pStyle w:val="43"/>
        <w:ind w:left="0" w:leftChars="0" w:firstLine="0" w:firstLineChars="0"/>
        <w:rPr>
          <w:color w:val="auto"/>
          <w:szCs w:val="24"/>
        </w:rPr>
      </w:pPr>
      <w:bookmarkStart w:id="286" w:name="_Toc26732"/>
      <w:r>
        <w:rPr>
          <w:rFonts w:hint="eastAsia"/>
          <w:color w:val="auto"/>
          <w:szCs w:val="24"/>
        </w:rPr>
        <w:t xml:space="preserve">C.4.1 </w:t>
      </w:r>
      <w:bookmarkEnd w:id="286"/>
      <w:r>
        <w:rPr>
          <w:rFonts w:hint="eastAsia"/>
          <w:color w:val="auto"/>
          <w:szCs w:val="24"/>
        </w:rPr>
        <w:t>由测量重复性引入的不确定度分量</w:t>
      </w:r>
      <w:r>
        <w:rPr>
          <w:color w:val="auto"/>
          <w:position w:val="-10"/>
          <w:vertAlign w:val="subscript"/>
        </w:rPr>
        <w:object>
          <v:shape id="_x0000_i1056" o:spt="75" type="#_x0000_t75" style="height:17pt;width:12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90">
            <o:LockedField>false</o:LockedField>
          </o:OLEObject>
        </w:object>
      </w:r>
    </w:p>
    <w:p w14:paraId="6A60C2DF">
      <w:pPr>
        <w:pStyle w:val="6"/>
        <w:ind w:firstLine="480" w:firstLineChars="200"/>
        <w:jc w:val="left"/>
        <w:rPr>
          <w:rFonts w:hAnsi="Cambria Math"/>
          <w:position w:val="-26"/>
          <w:sz w:val="24"/>
          <w:szCs w:val="24"/>
        </w:rPr>
      </w:pPr>
      <w:r>
        <w:rPr>
          <w:rFonts w:hint="eastAsia" w:hAnsi="Cambria Math"/>
          <w:position w:val="-26"/>
          <w:sz w:val="24"/>
          <w:szCs w:val="24"/>
        </w:rPr>
        <w:t>对一台测量范围（0～1000）m</w:t>
      </w:r>
      <w:r>
        <w:rPr>
          <w:rFonts w:hint="eastAsia" w:hAnsi="Cambria Math"/>
          <w:position w:val="-26"/>
          <w:sz w:val="24"/>
          <w:szCs w:val="24"/>
          <w:vertAlign w:val="superscript"/>
        </w:rPr>
        <w:t>3</w:t>
      </w:r>
      <w:r>
        <w:rPr>
          <w:rFonts w:hint="eastAsia" w:hAnsi="Cambria Math"/>
          <w:position w:val="-26"/>
          <w:sz w:val="24"/>
          <w:szCs w:val="24"/>
        </w:rPr>
        <w:t>/h的流量计，重复条件下，在500m</w:t>
      </w:r>
      <w:r>
        <w:rPr>
          <w:rFonts w:hint="eastAsia" w:hAnsi="Cambria Math"/>
          <w:position w:val="-26"/>
          <w:sz w:val="24"/>
          <w:szCs w:val="24"/>
          <w:vertAlign w:val="superscript"/>
        </w:rPr>
        <w:t>3</w:t>
      </w:r>
      <w:r>
        <w:rPr>
          <w:rFonts w:hint="eastAsia" w:hAnsi="Cambria Math"/>
          <w:position w:val="-26"/>
          <w:sz w:val="24"/>
          <w:szCs w:val="24"/>
        </w:rPr>
        <w:t>/h流量点测量</w:t>
      </w:r>
      <w:r>
        <w:rPr>
          <w:rFonts w:hint="eastAsia" w:hAnsi="Cambria Math"/>
          <w:position w:val="-26"/>
          <w:sz w:val="24"/>
          <w:szCs w:val="24"/>
          <w:lang w:val="en-US" w:eastAsia="zh-CN"/>
        </w:rPr>
        <w:t>10</w:t>
      </w:r>
      <w:r>
        <w:rPr>
          <w:rFonts w:hint="eastAsia" w:hAnsi="Cambria Math"/>
          <w:position w:val="-26"/>
          <w:sz w:val="24"/>
          <w:szCs w:val="24"/>
        </w:rPr>
        <w:t>次，每次时间30min，得到数据见表C.2：</w:t>
      </w:r>
    </w:p>
    <w:p w14:paraId="5E90969E">
      <w:pPr>
        <w:spacing w:line="360" w:lineRule="auto"/>
        <w:jc w:val="center"/>
        <w:rPr>
          <w:rFonts w:eastAsia="黑体"/>
          <w:position w:val="-26"/>
          <w:szCs w:val="21"/>
        </w:rPr>
      </w:pPr>
      <w:r>
        <w:rPr>
          <w:rStyle w:val="102"/>
          <w:rFonts w:hint="default" w:cs="Times New Roman"/>
          <w:color w:val="auto"/>
          <w:szCs w:val="21"/>
        </w:rPr>
        <w:t>表C.2 测量重复性结果</w:t>
      </w:r>
    </w:p>
    <w:tbl>
      <w:tblPr>
        <w:tblStyle w:val="24"/>
        <w:tblW w:w="499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6"/>
      </w:tblGrid>
      <w:tr w14:paraId="5761D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85" w:type="pct"/>
            <w:tcBorders>
              <w:tl2br w:val="nil"/>
              <w:tr2bl w:val="nil"/>
            </w:tcBorders>
            <w:vAlign w:val="center"/>
          </w:tcPr>
          <w:p w14:paraId="5F0CBCA8">
            <w:pPr>
              <w:jc w:val="center"/>
              <w:rPr>
                <w:rStyle w:val="27"/>
                <w:rFonts w:eastAsia="宋体"/>
                <w:b w:val="0"/>
                <w:szCs w:val="21"/>
              </w:rPr>
            </w:pPr>
            <w:r>
              <w:rPr>
                <w:rStyle w:val="27"/>
                <w:rFonts w:eastAsia="宋体"/>
                <w:b w:val="0"/>
                <w:szCs w:val="21"/>
              </w:rPr>
              <w:t>序号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2E3067AD">
            <w:pPr>
              <w:jc w:val="center"/>
              <w:rPr>
                <w:rStyle w:val="27"/>
                <w:rFonts w:eastAsia="宋体"/>
                <w:b w:val="0"/>
                <w:szCs w:val="21"/>
              </w:rPr>
            </w:pPr>
            <w:r>
              <w:rPr>
                <w:rStyle w:val="27"/>
                <w:rFonts w:eastAsia="宋体"/>
                <w:b w:val="0"/>
                <w:szCs w:val="21"/>
              </w:rPr>
              <w:t>1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1137C1E2">
            <w:pPr>
              <w:jc w:val="center"/>
              <w:rPr>
                <w:rStyle w:val="27"/>
                <w:rFonts w:eastAsia="宋体"/>
                <w:b w:val="0"/>
                <w:szCs w:val="21"/>
              </w:rPr>
            </w:pPr>
            <w:r>
              <w:rPr>
                <w:rStyle w:val="27"/>
                <w:rFonts w:eastAsia="宋体"/>
                <w:b w:val="0"/>
                <w:szCs w:val="21"/>
              </w:rPr>
              <w:t>2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58F46FF5">
            <w:pPr>
              <w:jc w:val="center"/>
              <w:rPr>
                <w:rStyle w:val="27"/>
                <w:rFonts w:eastAsia="宋体"/>
                <w:b w:val="0"/>
                <w:szCs w:val="21"/>
              </w:rPr>
            </w:pPr>
            <w:r>
              <w:rPr>
                <w:rStyle w:val="27"/>
                <w:rFonts w:eastAsia="宋体"/>
                <w:b w:val="0"/>
                <w:szCs w:val="21"/>
              </w:rPr>
              <w:t>3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7FE37713">
            <w:pPr>
              <w:jc w:val="center"/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  <w:t>4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3C14DEDF">
            <w:pPr>
              <w:jc w:val="center"/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  <w:t>5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3719525A">
            <w:pPr>
              <w:jc w:val="center"/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  <w:t>6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262C5E44">
            <w:pPr>
              <w:jc w:val="center"/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  <w:t>7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775AA50E">
            <w:pPr>
              <w:jc w:val="center"/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  <w:t>8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52D1BAF4">
            <w:pPr>
              <w:jc w:val="center"/>
              <w:rPr>
                <w:rStyle w:val="27"/>
                <w:rFonts w:hint="default" w:eastAsia="宋体"/>
                <w:b w:val="0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  <w:t>9</w:t>
            </w:r>
          </w:p>
        </w:tc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 w14:paraId="5A592446">
            <w:pPr>
              <w:jc w:val="center"/>
              <w:rPr>
                <w:rStyle w:val="27"/>
                <w:rFonts w:hint="default" w:eastAsia="宋体"/>
                <w:b w:val="0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  <w:t>10</w:t>
            </w:r>
          </w:p>
        </w:tc>
      </w:tr>
      <w:tr w14:paraId="1C88A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85" w:type="pct"/>
            <w:tcBorders>
              <w:tl2br w:val="nil"/>
              <w:tr2bl w:val="nil"/>
            </w:tcBorders>
            <w:vAlign w:val="center"/>
          </w:tcPr>
          <w:p w14:paraId="0C80135A">
            <w:pPr>
              <w:jc w:val="center"/>
              <w:rPr>
                <w:rStyle w:val="27"/>
                <w:rFonts w:eastAsia="宋体"/>
                <w:b w:val="0"/>
                <w:szCs w:val="21"/>
              </w:rPr>
            </w:pPr>
            <w:r>
              <w:rPr>
                <w:rStyle w:val="27"/>
                <w:rFonts w:eastAsia="宋体"/>
                <w:b w:val="0"/>
                <w:szCs w:val="21"/>
              </w:rPr>
              <w:t>V</w:t>
            </w:r>
            <w:r>
              <w:rPr>
                <w:rStyle w:val="27"/>
                <w:rFonts w:hint="eastAsia" w:eastAsia="宋体"/>
                <w:b w:val="0"/>
                <w:szCs w:val="21"/>
                <w:vertAlign w:val="subscript"/>
              </w:rPr>
              <w:t>m</w:t>
            </w:r>
            <w:r>
              <w:rPr>
                <w:rStyle w:val="27"/>
                <w:rFonts w:eastAsia="宋体"/>
                <w:b w:val="0"/>
                <w:szCs w:val="21"/>
              </w:rPr>
              <w:t>/</w:t>
            </w:r>
            <w:r>
              <w:rPr>
                <w:rFonts w:eastAsia="宋体"/>
                <w:kern w:val="0"/>
                <w:szCs w:val="21"/>
                <w:lang w:bidi="ar"/>
              </w:rPr>
              <w:t>（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m</w:t>
            </w:r>
            <w:r>
              <w:rPr>
                <w:rFonts w:hint="eastAsia" w:eastAsia="宋体"/>
                <w:kern w:val="0"/>
                <w:szCs w:val="21"/>
                <w:vertAlign w:val="superscript"/>
                <w:lang w:bidi="ar"/>
              </w:rPr>
              <w:t>3</w:t>
            </w:r>
            <w:r>
              <w:rPr>
                <w:rFonts w:eastAsia="宋体"/>
                <w:kern w:val="0"/>
                <w:szCs w:val="21"/>
                <w:lang w:bidi="ar"/>
              </w:rPr>
              <w:t>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546E84D7">
            <w:pPr>
              <w:widowControl/>
              <w:jc w:val="center"/>
              <w:textAlignment w:val="center"/>
              <w:rPr>
                <w:rStyle w:val="27"/>
                <w:rFonts w:eastAsia="宋体"/>
                <w:b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bidi="ar"/>
              </w:rPr>
              <w:t>249.6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487BAC4C">
            <w:pPr>
              <w:widowControl/>
              <w:jc w:val="center"/>
              <w:textAlignment w:val="center"/>
              <w:rPr>
                <w:rStyle w:val="27"/>
                <w:rFonts w:eastAsia="宋体"/>
                <w:b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bidi="ar"/>
              </w:rPr>
              <w:t>249.1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11DC1020">
            <w:pPr>
              <w:widowControl/>
              <w:jc w:val="center"/>
              <w:textAlignment w:val="center"/>
              <w:rPr>
                <w:rStyle w:val="27"/>
                <w:rFonts w:eastAsia="宋体"/>
                <w:b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bidi="ar"/>
              </w:rPr>
              <w:t>248.5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22AF4E6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246.4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3BB25D6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247.5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7668AA8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249.8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1D276278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245.3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4B617CB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248.2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4D5CC8E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249.1</w:t>
            </w:r>
          </w:p>
        </w:tc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 w14:paraId="6722F84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249.7</w:t>
            </w:r>
          </w:p>
        </w:tc>
      </w:tr>
      <w:tr w14:paraId="68147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85" w:type="pct"/>
            <w:tcBorders>
              <w:tl2br w:val="nil"/>
              <w:tr2bl w:val="nil"/>
            </w:tcBorders>
            <w:vAlign w:val="center"/>
          </w:tcPr>
          <w:p w14:paraId="17DD15AB">
            <w:pPr>
              <w:jc w:val="center"/>
              <w:rPr>
                <w:rFonts w:eastAsia="宋体"/>
                <w:kern w:val="0"/>
                <w:szCs w:val="21"/>
                <w:lang w:bidi="ar"/>
              </w:rPr>
            </w:pPr>
            <w:r>
              <w:rPr>
                <w:rStyle w:val="27"/>
                <w:rFonts w:eastAsia="宋体"/>
                <w:b w:val="0"/>
                <w:szCs w:val="21"/>
              </w:rPr>
              <w:t>V</w:t>
            </w:r>
            <w:r>
              <w:rPr>
                <w:rStyle w:val="27"/>
                <w:rFonts w:hint="eastAsia" w:eastAsia="宋体"/>
                <w:b w:val="0"/>
                <w:szCs w:val="21"/>
                <w:vertAlign w:val="subscript"/>
              </w:rPr>
              <w:t>s</w:t>
            </w:r>
            <w:r>
              <w:rPr>
                <w:rStyle w:val="27"/>
                <w:rFonts w:eastAsia="宋体"/>
                <w:b w:val="0"/>
                <w:szCs w:val="21"/>
              </w:rPr>
              <w:t>/</w:t>
            </w:r>
            <w:r>
              <w:rPr>
                <w:rFonts w:eastAsia="宋体"/>
                <w:kern w:val="0"/>
                <w:szCs w:val="21"/>
                <w:lang w:bidi="ar"/>
              </w:rPr>
              <w:t>（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m</w:t>
            </w:r>
            <w:r>
              <w:rPr>
                <w:rFonts w:hint="eastAsia" w:eastAsia="宋体"/>
                <w:kern w:val="0"/>
                <w:szCs w:val="21"/>
                <w:vertAlign w:val="superscript"/>
                <w:lang w:bidi="ar"/>
              </w:rPr>
              <w:t>3</w:t>
            </w:r>
            <w:r>
              <w:rPr>
                <w:rFonts w:eastAsia="宋体"/>
                <w:kern w:val="0"/>
                <w:szCs w:val="21"/>
                <w:lang w:bidi="ar"/>
              </w:rPr>
              <w:t>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72B55FA2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bidi="ar"/>
              </w:rPr>
              <w:t>250.3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44635C85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bidi="ar"/>
              </w:rPr>
              <w:t>250.6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0F4A05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bidi="ar"/>
              </w:rPr>
              <w:t>249.8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6287FB7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248.6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261EFE14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248.9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2DEA8E11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249.9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342E2CE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247.6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30AC0322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250.1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113DE8E0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250.8</w:t>
            </w:r>
          </w:p>
        </w:tc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 w14:paraId="616CFCA5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251.4</w:t>
            </w:r>
          </w:p>
        </w:tc>
      </w:tr>
      <w:tr w14:paraId="0E55A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85" w:type="pct"/>
            <w:tcBorders>
              <w:tl2br w:val="nil"/>
              <w:tr2bl w:val="nil"/>
            </w:tcBorders>
            <w:vAlign w:val="center"/>
          </w:tcPr>
          <w:p w14:paraId="761BC0B3">
            <w:pPr>
              <w:jc w:val="center"/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  <w:t>误差</w:t>
            </w:r>
            <w:r>
              <w:rPr>
                <w:rFonts w:eastAsia="宋体"/>
                <w:kern w:val="0"/>
                <w:szCs w:val="21"/>
                <w:lang w:bidi="ar"/>
              </w:rPr>
              <w:t>（</w:t>
            </w:r>
            <w:r>
              <w:rPr>
                <w:rFonts w:hint="eastAsia" w:eastAsia="宋体"/>
                <w:kern w:val="0"/>
                <w:szCs w:val="21"/>
                <w:lang w:val="en-US" w:eastAsia="zh-CN" w:bidi="ar"/>
              </w:rPr>
              <w:t>%</w:t>
            </w:r>
            <w:r>
              <w:rPr>
                <w:rFonts w:eastAsia="宋体"/>
                <w:kern w:val="0"/>
                <w:szCs w:val="21"/>
                <w:lang w:bidi="ar"/>
              </w:rPr>
              <w:t>）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395A9DA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-0.28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23115251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-0.60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354378E5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-0.52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57B3EDA2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-0.88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402DA547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-0.56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5DC8402D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-0.04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2FDEF945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-0.93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3002F4F9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-0.76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 w14:paraId="574391A2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-0.68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14:paraId="5239CAA4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-0.68</w:t>
            </w:r>
          </w:p>
        </w:tc>
      </w:tr>
    </w:tbl>
    <w:p w14:paraId="452744A4">
      <w:pPr>
        <w:spacing w:line="360" w:lineRule="auto"/>
        <w:ind w:firstLine="480" w:firstLineChars="200"/>
        <w:jc w:val="left"/>
        <w:rPr>
          <w:rStyle w:val="27"/>
          <w:rFonts w:ascii="宋体" w:hAnsi="宋体" w:eastAsia="宋体" w:cs="宋体"/>
          <w:b w:val="0"/>
          <w:sz w:val="24"/>
        </w:rPr>
      </w:pPr>
      <w:r>
        <w:rPr>
          <w:rStyle w:val="27"/>
          <w:rFonts w:hint="eastAsia" w:ascii="宋体" w:hAnsi="宋体" w:eastAsia="宋体" w:cs="宋体"/>
          <w:b w:val="0"/>
          <w:sz w:val="24"/>
          <w:lang w:val="en-US" w:eastAsia="zh-CN"/>
        </w:rPr>
        <w:t>示值误差的</w:t>
      </w:r>
      <w:r>
        <w:rPr>
          <w:rStyle w:val="27"/>
          <w:rFonts w:hint="eastAsia" w:ascii="宋体" w:hAnsi="宋体" w:eastAsia="宋体" w:cs="宋体"/>
          <w:b w:val="0"/>
          <w:sz w:val="24"/>
        </w:rPr>
        <w:t>算术平均值为：</w:t>
      </w:r>
      <w:bookmarkStart w:id="287" w:name="_Hlk104130747"/>
      <w:bookmarkStart w:id="288" w:name="_Hlk104130921"/>
    </w:p>
    <w:bookmarkEnd w:id="287"/>
    <w:bookmarkEnd w:id="288"/>
    <w:p w14:paraId="1C277CA1">
      <w:pPr>
        <w:spacing w:line="360" w:lineRule="auto"/>
        <w:ind w:firstLine="480" w:firstLineChars="200"/>
        <w:jc w:val="center"/>
        <w:rPr>
          <w:position w:val="-28"/>
          <w:sz w:val="24"/>
        </w:rPr>
      </w:pPr>
      <w:r>
        <w:rPr>
          <w:position w:val="-28"/>
          <w:sz w:val="24"/>
        </w:rPr>
        <w:object>
          <v:shape id="_x0000_i1057" o:spt="75" type="#_x0000_t75" style="height:34pt;width:124pt;" o:ole="t" filled="f" o:preferrelative="t" stroked="f" coordsize="21600,21600">
            <v:path/>
            <v:fill on="f" focussize="0,0"/>
            <v:stroke on="f"/>
            <v:imagedata r:id="rId93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92">
            <o:LockedField>false</o:LockedField>
          </o:OLEObject>
        </w:object>
      </w:r>
    </w:p>
    <w:p w14:paraId="7847D9C8">
      <w:pPr>
        <w:spacing w:line="360" w:lineRule="auto"/>
        <w:ind w:firstLine="480" w:firstLineChars="200"/>
        <w:rPr>
          <w:rStyle w:val="27"/>
          <w:rFonts w:ascii="宋体" w:hAnsi="宋体" w:eastAsia="宋体" w:cs="宋体"/>
          <w:b w:val="0"/>
          <w:sz w:val="24"/>
        </w:rPr>
      </w:pPr>
      <w:r>
        <w:rPr>
          <w:rStyle w:val="27"/>
          <w:rFonts w:hint="eastAsia" w:ascii="宋体" w:hAnsi="宋体" w:eastAsia="宋体" w:cs="宋体"/>
          <w:b w:val="0"/>
          <w:sz w:val="24"/>
        </w:rPr>
        <w:t>单次实验标准差为：</w:t>
      </w:r>
    </w:p>
    <w:p w14:paraId="34FFEE8F">
      <w:pPr>
        <w:spacing w:line="360" w:lineRule="auto"/>
        <w:ind w:firstLine="480" w:firstLineChars="200"/>
        <w:jc w:val="center"/>
        <w:rPr>
          <w:rStyle w:val="27"/>
          <w:rFonts w:eastAsia="宋体"/>
          <w:b w:val="0"/>
          <w:sz w:val="24"/>
        </w:rPr>
      </w:pPr>
      <w:r>
        <w:rPr>
          <w:rFonts w:hint="eastAsia"/>
          <w:position w:val="-30"/>
          <w:sz w:val="24"/>
        </w:rPr>
        <w:object>
          <v:shape id="_x0000_i1058" o:spt="75" type="#_x0000_t75" style="height:38pt;width:163pt;" o:ole="t" filled="f" o:preferrelative="t" stroked="f" coordsize="21600,21600">
            <v:path/>
            <v:fill on="f" focussize="0,0"/>
            <v:stroke on="f"/>
            <v:imagedata r:id="rId95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94">
            <o:LockedField>false</o:LockedField>
          </o:OLEObject>
        </w:object>
      </w:r>
    </w:p>
    <w:p w14:paraId="624244D2">
      <w:pPr>
        <w:spacing w:line="360" w:lineRule="auto"/>
        <w:ind w:firstLine="480" w:firstLineChars="200"/>
        <w:rPr>
          <w:rStyle w:val="27"/>
          <w:rFonts w:eastAsia="宋体"/>
          <w:b w:val="0"/>
          <w:sz w:val="24"/>
        </w:rPr>
      </w:pPr>
      <w:r>
        <w:rPr>
          <w:rStyle w:val="27"/>
          <w:rFonts w:eastAsia="宋体"/>
          <w:b w:val="0"/>
          <w:sz w:val="24"/>
        </w:rPr>
        <w:t>由于实际校准过程中</w:t>
      </w:r>
      <w:r>
        <w:rPr>
          <w:rStyle w:val="27"/>
          <w:rFonts w:hint="eastAsia" w:eastAsia="宋体"/>
          <w:b w:val="0"/>
          <w:sz w:val="24"/>
          <w:lang w:val="en-US" w:eastAsia="zh-CN"/>
        </w:rPr>
        <w:t>n</w:t>
      </w:r>
      <w:r>
        <w:rPr>
          <w:rStyle w:val="27"/>
          <w:rFonts w:eastAsia="宋体"/>
          <w:b w:val="0"/>
          <w:sz w:val="24"/>
        </w:rPr>
        <w:t>是取3次</w:t>
      </w:r>
      <w:r>
        <w:rPr>
          <w:rStyle w:val="27"/>
          <w:rFonts w:hint="eastAsia" w:eastAsia="宋体"/>
          <w:b w:val="0"/>
          <w:sz w:val="24"/>
          <w:lang w:val="en-US" w:eastAsia="zh-CN"/>
        </w:rPr>
        <w:t>的</w:t>
      </w:r>
      <w:r>
        <w:rPr>
          <w:rStyle w:val="27"/>
          <w:rFonts w:hint="eastAsia" w:eastAsia="宋体"/>
          <w:b w:val="0"/>
          <w:sz w:val="24"/>
        </w:rPr>
        <w:t>最大值</w:t>
      </w:r>
      <w:r>
        <w:rPr>
          <w:rStyle w:val="27"/>
          <w:rFonts w:eastAsia="宋体"/>
          <w:b w:val="0"/>
          <w:sz w:val="24"/>
        </w:rPr>
        <w:t>作为</w:t>
      </w:r>
      <w:r>
        <w:rPr>
          <w:rStyle w:val="27"/>
          <w:rFonts w:hint="eastAsia" w:eastAsia="宋体"/>
          <w:b w:val="0"/>
          <w:sz w:val="24"/>
          <w:lang w:val="en-US" w:eastAsia="zh-CN"/>
        </w:rPr>
        <w:t>测量结果</w:t>
      </w:r>
      <w:r>
        <w:rPr>
          <w:rStyle w:val="27"/>
          <w:rFonts w:eastAsia="宋体"/>
          <w:b w:val="0"/>
          <w:sz w:val="24"/>
        </w:rPr>
        <w:t>，则测量重复性引入的不确定</w:t>
      </w:r>
      <w:r>
        <w:rPr>
          <w:rStyle w:val="27"/>
          <w:rFonts w:hint="eastAsia" w:eastAsia="宋体"/>
          <w:b w:val="0"/>
          <w:sz w:val="24"/>
        </w:rPr>
        <w:t>度</w:t>
      </w:r>
      <w:r>
        <w:rPr>
          <w:rStyle w:val="27"/>
          <w:rFonts w:eastAsia="宋体"/>
          <w:b w:val="0"/>
          <w:sz w:val="24"/>
        </w:rPr>
        <w:t>为：</w:t>
      </w:r>
    </w:p>
    <w:p w14:paraId="31F180A5"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auto"/>
          <w:sz w:val="24"/>
        </w:rPr>
      </w:pPr>
      <w:r>
        <w:rPr>
          <w:rFonts w:eastAsia="宋体"/>
          <w:color w:val="auto"/>
          <w:position w:val="-28"/>
          <w:sz w:val="24"/>
        </w:rPr>
        <w:object>
          <v:shape id="_x0000_i1059" o:spt="75" type="#_x0000_t75" style="height:33pt;width:85pt;" o:ole="t" filled="f" o:preferrelative="t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96">
            <o:LockedField>false</o:LockedField>
          </o:OLEObject>
        </w:object>
      </w:r>
    </w:p>
    <w:p w14:paraId="5881156A">
      <w:pPr>
        <w:pStyle w:val="43"/>
        <w:ind w:left="0" w:leftChars="0" w:firstLine="0" w:firstLineChars="0"/>
        <w:rPr>
          <w:color w:val="auto"/>
          <w:szCs w:val="24"/>
        </w:rPr>
      </w:pPr>
      <w:bookmarkStart w:id="289" w:name="_Toc19857"/>
      <w:r>
        <w:rPr>
          <w:rFonts w:hint="eastAsia"/>
          <w:color w:val="auto"/>
          <w:szCs w:val="24"/>
        </w:rPr>
        <w:t>C.4.2  由</w:t>
      </w:r>
      <w:r>
        <w:rPr>
          <w:rFonts w:hint="eastAsia"/>
          <w:color w:val="auto"/>
        </w:rPr>
        <w:t>标准</w:t>
      </w:r>
      <w:r>
        <w:rPr>
          <w:rFonts w:hint="eastAsia"/>
          <w:color w:val="auto"/>
          <w:lang w:val="en-US" w:eastAsia="zh-CN"/>
        </w:rPr>
        <w:t>流量计</w:t>
      </w:r>
      <w:r>
        <w:rPr>
          <w:rFonts w:hint="eastAsia"/>
          <w:color w:val="auto"/>
        </w:rPr>
        <w:t>不确定度引入</w:t>
      </w:r>
      <w:r>
        <w:rPr>
          <w:rFonts w:hint="eastAsia"/>
          <w:color w:val="auto"/>
          <w:szCs w:val="24"/>
        </w:rPr>
        <w:t>的不确定度分量</w:t>
      </w:r>
      <w:bookmarkEnd w:id="289"/>
      <w:r>
        <w:rPr>
          <w:color w:val="auto"/>
          <w:position w:val="-10"/>
          <w:vertAlign w:val="subscript"/>
        </w:rPr>
        <w:object>
          <v:shape id="_x0000_i1060" o:spt="75" type="#_x0000_t75" style="height:17pt;width:13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98">
            <o:LockedField>false</o:LockedField>
          </o:OLEObject>
        </w:object>
      </w:r>
    </w:p>
    <w:p w14:paraId="3CC236BC">
      <w:pPr>
        <w:spacing w:line="360" w:lineRule="auto"/>
        <w:ind w:firstLine="480" w:firstLineChars="200"/>
        <w:rPr>
          <w:rFonts w:hint="default" w:eastAsia="宋体"/>
          <w:kern w:val="0"/>
          <w:sz w:val="24"/>
          <w:lang w:val="en-US" w:eastAsia="zh-CN" w:bidi="ar"/>
        </w:rPr>
      </w:pPr>
      <w:r>
        <w:rPr>
          <w:rStyle w:val="27"/>
          <w:rFonts w:eastAsia="宋体"/>
          <w:b w:val="0"/>
          <w:sz w:val="24"/>
        </w:rPr>
        <w:t>标准</w:t>
      </w:r>
      <w:r>
        <w:rPr>
          <w:rStyle w:val="27"/>
          <w:rFonts w:hint="eastAsia" w:eastAsia="宋体"/>
          <w:b w:val="0"/>
          <w:sz w:val="24"/>
          <w:lang w:val="en-US" w:eastAsia="zh-CN"/>
        </w:rPr>
        <w:t>流量计</w:t>
      </w:r>
      <w:r>
        <w:rPr>
          <w:rStyle w:val="27"/>
          <w:rFonts w:eastAsia="宋体"/>
          <w:b w:val="0"/>
          <w:sz w:val="24"/>
        </w:rPr>
        <w:t>的</w:t>
      </w:r>
      <w:r>
        <w:rPr>
          <w:rFonts w:eastAsia="宋体"/>
          <w:kern w:val="0"/>
          <w:sz w:val="24"/>
          <w:lang w:bidi="ar"/>
        </w:rPr>
        <w:t>相对扩展不确定度为：</w:t>
      </w:r>
      <w:r>
        <w:rPr>
          <w:rFonts w:eastAsia="宋体"/>
          <w:i/>
          <w:iCs/>
          <w:kern w:val="0"/>
          <w:sz w:val="24"/>
          <w:lang w:bidi="ar"/>
        </w:rPr>
        <w:t>U</w:t>
      </w:r>
      <w:r>
        <w:rPr>
          <w:rFonts w:hint="eastAsia" w:eastAsia="宋体"/>
          <w:kern w:val="0"/>
          <w:sz w:val="24"/>
          <w:vertAlign w:val="subscript"/>
          <w:lang w:bidi="ar"/>
        </w:rPr>
        <w:t>rel</w:t>
      </w:r>
      <w:r>
        <w:rPr>
          <w:rFonts w:eastAsia="宋体"/>
          <w:kern w:val="0"/>
          <w:sz w:val="24"/>
          <w:lang w:bidi="ar"/>
        </w:rPr>
        <w:t>=</w:t>
      </w:r>
      <w:r>
        <w:rPr>
          <w:rFonts w:hint="eastAsia" w:eastAsia="宋体"/>
          <w:kern w:val="0"/>
          <w:sz w:val="24"/>
          <w:lang w:bidi="ar"/>
        </w:rPr>
        <w:t>0.</w:t>
      </w:r>
      <w:r>
        <w:rPr>
          <w:rFonts w:hint="eastAsia" w:eastAsia="宋体"/>
          <w:kern w:val="0"/>
          <w:sz w:val="24"/>
          <w:lang w:val="en-US" w:eastAsia="zh-CN" w:bidi="ar"/>
        </w:rPr>
        <w:t>5</w:t>
      </w:r>
      <w:r>
        <w:rPr>
          <w:rFonts w:eastAsia="宋体"/>
          <w:kern w:val="0"/>
          <w:sz w:val="24"/>
          <w:lang w:bidi="ar"/>
        </w:rPr>
        <w:t>%，</w:t>
      </w:r>
      <w:r>
        <w:rPr>
          <w:rFonts w:eastAsia="宋体"/>
          <w:i/>
          <w:iCs/>
          <w:kern w:val="0"/>
          <w:sz w:val="24"/>
          <w:lang w:bidi="ar"/>
        </w:rPr>
        <w:t>k</w:t>
      </w:r>
      <w:r>
        <w:rPr>
          <w:rFonts w:eastAsia="宋体"/>
          <w:kern w:val="0"/>
          <w:sz w:val="24"/>
          <w:lang w:bidi="ar"/>
        </w:rPr>
        <w:t>=2。属B类评定</w:t>
      </w:r>
      <w:r>
        <w:rPr>
          <w:rFonts w:hint="eastAsia" w:eastAsia="宋体"/>
          <w:kern w:val="0"/>
          <w:sz w:val="24"/>
          <w:lang w:eastAsia="zh-CN" w:bidi="ar"/>
        </w:rPr>
        <w:t>，</w:t>
      </w:r>
      <w:r>
        <w:rPr>
          <w:rFonts w:hint="eastAsia" w:eastAsia="宋体"/>
          <w:kern w:val="0"/>
          <w:sz w:val="24"/>
          <w:lang w:val="en-US" w:eastAsia="zh-CN" w:bidi="ar"/>
        </w:rPr>
        <w:t>即：</w:t>
      </w:r>
    </w:p>
    <w:p w14:paraId="3FF220D1">
      <w:pPr>
        <w:spacing w:line="360" w:lineRule="auto"/>
        <w:ind w:firstLine="420" w:firstLineChars="200"/>
        <w:jc w:val="center"/>
        <w:rPr>
          <w:rStyle w:val="27"/>
          <w:rFonts w:eastAsia="宋体"/>
          <w:b w:val="0"/>
          <w:sz w:val="24"/>
        </w:rPr>
      </w:pPr>
      <w:r>
        <w:rPr>
          <w:position w:val="-24"/>
          <w:vertAlign w:val="subscript"/>
        </w:rPr>
        <w:object>
          <v:shape id="_x0000_i1061" o:spt="75" type="#_x0000_t75" style="height:31pt;width:80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99">
            <o:LockedField>false</o:LockedField>
          </o:OLEObject>
        </w:object>
      </w:r>
    </w:p>
    <w:p w14:paraId="0A25CB6F"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 xml:space="preserve">C.5  </w:t>
      </w:r>
      <w:r>
        <w:rPr>
          <w:rFonts w:hint="eastAsia" w:ascii="黑体" w:hAnsi="黑体" w:eastAsia="黑体" w:cs="黑体"/>
          <w:color w:val="auto"/>
        </w:rPr>
        <w:t>标准不确定度分量汇总表</w:t>
      </w:r>
    </w:p>
    <w:p w14:paraId="773F4598">
      <w:pPr>
        <w:pStyle w:val="43"/>
        <w:rPr>
          <w:color w:val="auto"/>
        </w:rPr>
      </w:pPr>
      <w:r>
        <w:rPr>
          <w:rFonts w:hint="eastAsia"/>
          <w:color w:val="auto"/>
        </w:rPr>
        <w:t>标准不确定度分量汇总见表C.3所示：</w:t>
      </w:r>
    </w:p>
    <w:p w14:paraId="335A1D3E">
      <w:pPr>
        <w:spacing w:line="360" w:lineRule="auto"/>
        <w:jc w:val="center"/>
        <w:rPr>
          <w:rStyle w:val="102"/>
          <w:rFonts w:hint="default" w:cs="Times New Roman"/>
          <w:color w:val="auto"/>
          <w:szCs w:val="21"/>
        </w:rPr>
      </w:pPr>
      <w:r>
        <w:rPr>
          <w:rStyle w:val="102"/>
          <w:rFonts w:hint="default" w:cs="Times New Roman"/>
          <w:color w:val="auto"/>
          <w:szCs w:val="21"/>
        </w:rPr>
        <w:t>表C.3 标准不确定度</w:t>
      </w:r>
      <w:r>
        <w:rPr>
          <w:rStyle w:val="102"/>
          <w:rFonts w:hint="eastAsia" w:eastAsia="黑体" w:cs="Times New Roman"/>
          <w:color w:val="auto"/>
          <w:szCs w:val="21"/>
          <w:lang w:val="en-US" w:eastAsia="zh-CN"/>
        </w:rPr>
        <w:t>分量</w:t>
      </w:r>
      <w:r>
        <w:rPr>
          <w:rStyle w:val="102"/>
          <w:rFonts w:hint="default" w:cs="Times New Roman"/>
          <w:color w:val="auto"/>
          <w:szCs w:val="21"/>
        </w:rPr>
        <w:t>汇总表</w:t>
      </w:r>
    </w:p>
    <w:tbl>
      <w:tblPr>
        <w:tblStyle w:val="25"/>
        <w:tblW w:w="508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334"/>
        <w:gridCol w:w="972"/>
        <w:gridCol w:w="2042"/>
        <w:gridCol w:w="1748"/>
        <w:gridCol w:w="1909"/>
      </w:tblGrid>
      <w:tr w14:paraId="32FFE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75" w:type="pct"/>
            <w:tcBorders>
              <w:tl2br w:val="nil"/>
              <w:tr2bl w:val="nil"/>
            </w:tcBorders>
            <w:vAlign w:val="center"/>
          </w:tcPr>
          <w:p w14:paraId="742A974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Style w:val="101"/>
                <w:rFonts w:hint="default" w:ascii="Times New Roman" w:hAnsi="Times New Roman" w:cs="Times New Roman"/>
                <w:color w:val="auto"/>
                <w:szCs w:val="21"/>
              </w:rPr>
              <w:t>序号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vAlign w:val="center"/>
          </w:tcPr>
          <w:p w14:paraId="7DB8E96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Style w:val="101"/>
                <w:rFonts w:hint="default" w:ascii="Times New Roman" w:hAnsi="Times New Roman" w:cs="Times New Roman"/>
                <w:color w:val="auto"/>
                <w:szCs w:val="21"/>
              </w:rPr>
              <w:t>标准不确定度来源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42FFD81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Style w:val="101"/>
                <w:rFonts w:hint="default" w:ascii="Times New Roman" w:hAnsi="Times New Roman" w:cs="Times New Roman"/>
                <w:color w:val="auto"/>
                <w:szCs w:val="21"/>
              </w:rPr>
              <w:t>符号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vAlign w:val="center"/>
          </w:tcPr>
          <w:p w14:paraId="19130F1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标准不确定度</w:t>
            </w:r>
          </w:p>
        </w:tc>
        <w:tc>
          <w:tcPr>
            <w:tcW w:w="897" w:type="pct"/>
            <w:tcBorders>
              <w:tl2br w:val="nil"/>
              <w:tr2bl w:val="nil"/>
            </w:tcBorders>
            <w:vAlign w:val="center"/>
          </w:tcPr>
          <w:p w14:paraId="34CEAD6E">
            <w:pPr>
              <w:spacing w:line="360" w:lineRule="auto"/>
              <w:jc w:val="center"/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vertAlign w:val="subscript"/>
                <w:lang w:val="en-US" w:eastAsia="zh-CN"/>
              </w:rPr>
            </w:pPr>
            <w:r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灵敏系数</w:t>
            </w:r>
            <w:r>
              <w:rPr>
                <w:rStyle w:val="101"/>
                <w:rFonts w:hint="eastAsia" w:eastAsia="宋体" w:cs="Times New Roman"/>
                <w:color w:val="auto"/>
                <w:szCs w:val="21"/>
                <w:lang w:val="en-US" w:eastAsia="zh-CN"/>
              </w:rPr>
              <w:t>C</w:t>
            </w:r>
            <w:r>
              <w:rPr>
                <w:rStyle w:val="101"/>
                <w:rFonts w:hint="eastAsia" w:eastAsia="宋体" w:cs="Times New Roman"/>
                <w:color w:val="auto"/>
                <w:szCs w:val="21"/>
                <w:vertAlign w:val="subscript"/>
                <w:lang w:val="en-US" w:eastAsia="zh-CN"/>
              </w:rPr>
              <w:t>i</w:t>
            </w:r>
          </w:p>
        </w:tc>
        <w:tc>
          <w:tcPr>
            <w:tcW w:w="980" w:type="pct"/>
            <w:tcBorders>
              <w:tl2br w:val="nil"/>
              <w:tr2bl w:val="nil"/>
            </w:tcBorders>
            <w:vAlign w:val="center"/>
          </w:tcPr>
          <w:p w14:paraId="51DA5D4D">
            <w:pPr>
              <w:spacing w:line="360" w:lineRule="auto"/>
              <w:jc w:val="center"/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不确定度分量</w:t>
            </w:r>
          </w:p>
        </w:tc>
      </w:tr>
      <w:tr w14:paraId="21DD2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75" w:type="pct"/>
            <w:tcBorders>
              <w:tl2br w:val="nil"/>
              <w:tr2bl w:val="nil"/>
            </w:tcBorders>
            <w:vAlign w:val="center"/>
          </w:tcPr>
          <w:p w14:paraId="43A03F7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Style w:val="101"/>
                <w:rFonts w:hint="eastAsia" w:eastAsia="宋体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vAlign w:val="center"/>
          </w:tcPr>
          <w:p w14:paraId="71CEAB08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Style w:val="27"/>
                <w:rFonts w:hint="eastAsia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由</w:t>
            </w:r>
            <w:r>
              <w:rPr>
                <w:rStyle w:val="27"/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测量重复性</w:t>
            </w:r>
            <w:r>
              <w:rPr>
                <w:rStyle w:val="27"/>
                <w:rFonts w:hint="eastAsia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引入的不确定度分量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778BD53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062" o:spt="75" type="#_x0000_t75" style="height:17pt;width:12pt;" o:ole="t" filled="f" o:preferrelative="t" stroked="f" coordsize="21600,21600">
                  <v:path/>
                  <v:fill on="f" focussize="0,0"/>
                  <v:stroke on="f"/>
                  <v:imagedata r:id="rId102" o:title=""/>
                  <o:lock v:ext="edit" aspectratio="t"/>
                  <w10:wrap type="none"/>
                  <w10:anchorlock/>
                </v:shape>
                <o:OLEObject Type="Embed" ProgID="Equation.KSEE3" ShapeID="_x0000_i1062" DrawAspect="Content" ObjectID="_1468075762" r:id="rId101">
                  <o:LockedField>false</o:LockedField>
                </o:OLEObject>
              </w:object>
            </w:r>
          </w:p>
        </w:tc>
        <w:tc>
          <w:tcPr>
            <w:tcW w:w="1048" w:type="pct"/>
            <w:tcBorders>
              <w:tl2br w:val="nil"/>
              <w:tr2bl w:val="nil"/>
            </w:tcBorders>
            <w:vAlign w:val="center"/>
          </w:tcPr>
          <w:p w14:paraId="4DC00FA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0.16%</w:t>
            </w:r>
          </w:p>
        </w:tc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24A6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B317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0.16%</w:t>
            </w:r>
          </w:p>
        </w:tc>
      </w:tr>
      <w:tr w14:paraId="22F0E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75" w:type="pct"/>
            <w:tcBorders>
              <w:tl2br w:val="nil"/>
              <w:tr2bl w:val="nil"/>
            </w:tcBorders>
            <w:vAlign w:val="center"/>
          </w:tcPr>
          <w:p w14:paraId="268468B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Style w:val="101"/>
                <w:rFonts w:hint="eastAsia" w:eastAsia="宋体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vAlign w:val="center"/>
          </w:tcPr>
          <w:p w14:paraId="608C30F1"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由</w:t>
            </w:r>
            <w:r>
              <w:rPr>
                <w:rStyle w:val="27"/>
                <w:rFonts w:hint="eastAsia" w:cs="Times New Roman"/>
                <w:b w:val="0"/>
                <w:color w:val="auto"/>
                <w:sz w:val="21"/>
                <w:szCs w:val="21"/>
                <w:lang w:val="en-US" w:eastAsia="zh-CN"/>
              </w:rPr>
              <w:t>标准流量计不确定度</w:t>
            </w:r>
            <w:r>
              <w:rPr>
                <w:rStyle w:val="27"/>
                <w:rFonts w:hint="eastAsia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引入的不</w:t>
            </w:r>
            <w:r>
              <w:rPr>
                <w:rStyle w:val="27"/>
                <w:rFonts w:hint="eastAsia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确定</w:t>
            </w:r>
            <w:r>
              <w:rPr>
                <w:rStyle w:val="27"/>
                <w:rFonts w:hint="eastAsia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度分量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 w14:paraId="6579BC0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063" o:spt="75" type="#_x0000_t75" style="height:17pt;width:13pt;" o:ole="t" filled="f" o:preferrelative="t" stroked="f" coordsize="21600,21600">
                  <v:path/>
                  <v:fill on="f" focussize="0,0"/>
                  <v:stroke on="f" joinstyle="miter"/>
                  <v:imagedata r:id="rId89" o:title=""/>
                  <o:lock v:ext="edit" aspectratio="t"/>
                  <w10:wrap type="none"/>
                  <w10:anchorlock/>
                </v:shape>
                <o:OLEObject Type="Embed" ProgID="Equation.KSEE3" ShapeID="_x0000_i1063" DrawAspect="Content" ObjectID="_1468075763" r:id="rId103">
                  <o:LockedField>false</o:LockedField>
                </o:OLEObject>
              </w:object>
            </w:r>
          </w:p>
        </w:tc>
        <w:tc>
          <w:tcPr>
            <w:tcW w:w="1048" w:type="pct"/>
            <w:tcBorders>
              <w:tl2br w:val="nil"/>
              <w:tr2bl w:val="nil"/>
            </w:tcBorders>
            <w:vAlign w:val="center"/>
          </w:tcPr>
          <w:p w14:paraId="42FEAA2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0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.25%</w:t>
            </w:r>
          </w:p>
        </w:tc>
        <w:tc>
          <w:tcPr>
            <w:tcW w:w="897" w:type="pct"/>
            <w:tcBorders>
              <w:tl2br w:val="nil"/>
              <w:tr2bl w:val="nil"/>
            </w:tcBorders>
            <w:vAlign w:val="center"/>
          </w:tcPr>
          <w:p w14:paraId="6C4FB6F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-1</w:t>
            </w:r>
          </w:p>
        </w:tc>
        <w:tc>
          <w:tcPr>
            <w:tcW w:w="980" w:type="pct"/>
            <w:tcBorders>
              <w:tl2br w:val="nil"/>
              <w:tr2bl w:val="nil"/>
            </w:tcBorders>
            <w:vAlign w:val="center"/>
          </w:tcPr>
          <w:p w14:paraId="0BF42E5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-0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.25%</w:t>
            </w:r>
            <w:bookmarkStart w:id="303" w:name="_GoBack"/>
            <w:bookmarkEnd w:id="303"/>
          </w:p>
        </w:tc>
      </w:tr>
    </w:tbl>
    <w:p w14:paraId="142159BE">
      <w:pPr>
        <w:pStyle w:val="43"/>
        <w:ind w:left="0" w:leftChars="0" w:firstLine="0" w:firstLineChars="0"/>
        <w:rPr>
          <w:rFonts w:eastAsia="黑体" w:cs="宋体"/>
          <w:bCs/>
          <w:color w:val="auto"/>
          <w:szCs w:val="24"/>
        </w:rPr>
      </w:pPr>
      <w:bookmarkStart w:id="290" w:name="_Toc4312"/>
      <w:bookmarkStart w:id="291" w:name="_Toc29016"/>
      <w:bookmarkStart w:id="292" w:name="_Toc10184"/>
      <w:bookmarkStart w:id="293" w:name="_Toc6631"/>
      <w:bookmarkStart w:id="294" w:name="_Toc1654"/>
      <w:r>
        <w:rPr>
          <w:rFonts w:hint="eastAsia"/>
          <w:color w:val="auto"/>
          <w:szCs w:val="24"/>
        </w:rPr>
        <w:t>C</w:t>
      </w:r>
      <w:r>
        <w:rPr>
          <w:color w:val="auto"/>
          <w:szCs w:val="24"/>
        </w:rPr>
        <w:t>.</w:t>
      </w:r>
      <w:r>
        <w:rPr>
          <w:rFonts w:hint="eastAsia"/>
          <w:color w:val="auto"/>
          <w:szCs w:val="24"/>
        </w:rPr>
        <w:t xml:space="preserve">6  </w:t>
      </w:r>
      <w:r>
        <w:rPr>
          <w:rFonts w:hint="eastAsia" w:eastAsia="黑体"/>
          <w:color w:val="auto"/>
          <w:szCs w:val="24"/>
        </w:rPr>
        <w:t>合成</w:t>
      </w:r>
      <w:r>
        <w:rPr>
          <w:rFonts w:hint="eastAsia" w:eastAsia="黑体" w:cs="宋体"/>
          <w:bCs/>
          <w:color w:val="auto"/>
          <w:szCs w:val="24"/>
        </w:rPr>
        <w:t>标准不确定度</w:t>
      </w:r>
      <w:r>
        <w:rPr>
          <w:color w:val="auto"/>
          <w:position w:val="-12"/>
          <w:vertAlign w:val="subscript"/>
        </w:rPr>
        <w:object>
          <v:shape id="_x0000_i1064" o:spt="75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104">
            <o:LockedField>false</o:LockedField>
          </o:OLEObject>
        </w:object>
      </w:r>
      <w:r>
        <w:rPr>
          <w:rFonts w:hint="eastAsia" w:eastAsia="黑体" w:cs="宋体"/>
          <w:bCs/>
          <w:color w:val="auto"/>
          <w:szCs w:val="24"/>
        </w:rPr>
        <w:t>的计算</w:t>
      </w:r>
      <w:bookmarkEnd w:id="290"/>
      <w:bookmarkEnd w:id="291"/>
      <w:bookmarkEnd w:id="292"/>
      <w:bookmarkEnd w:id="293"/>
      <w:bookmarkEnd w:id="294"/>
    </w:p>
    <w:p w14:paraId="67E090A4">
      <w:pPr>
        <w:pStyle w:val="43"/>
        <w:ind w:firstLine="480"/>
        <w:rPr>
          <w:rFonts w:eastAsia="黑体" w:cs="宋体"/>
          <w:bCs/>
          <w:color w:val="auto"/>
          <w:szCs w:val="24"/>
        </w:rPr>
      </w:pPr>
      <w:r>
        <w:rPr>
          <w:rFonts w:hint="eastAsia" w:cs="宋体"/>
          <w:color w:val="auto"/>
          <w:szCs w:val="24"/>
        </w:rPr>
        <w:t>合成标准不确定度</w:t>
      </w:r>
      <w:r>
        <w:rPr>
          <w:color w:val="auto"/>
          <w:position w:val="-12"/>
          <w:vertAlign w:val="subscript"/>
        </w:rPr>
        <w:object>
          <v:shape id="_x0000_i1065" o:spt="75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106">
            <o:LockedField>false</o:LockedField>
          </o:OLEObject>
        </w:object>
      </w:r>
      <w:r>
        <w:rPr>
          <w:rFonts w:hint="eastAsia" w:cs="宋体"/>
          <w:color w:val="auto"/>
          <w:szCs w:val="24"/>
        </w:rPr>
        <w:t>按下式计算</w:t>
      </w:r>
      <w:r>
        <w:rPr>
          <w:rFonts w:hint="eastAsia" w:ascii="宋体" w:hAnsi="宋体" w:cs="宋体"/>
          <w:bCs/>
          <w:color w:val="auto"/>
          <w:szCs w:val="24"/>
        </w:rPr>
        <w:t>：</w:t>
      </w:r>
    </w:p>
    <w:p w14:paraId="359615EB">
      <w:pPr>
        <w:pStyle w:val="43"/>
        <w:jc w:val="center"/>
        <w:rPr>
          <w:rFonts w:hint="eastAsia"/>
          <w:color w:val="auto"/>
        </w:rPr>
      </w:pPr>
      <w:r>
        <w:rPr>
          <w:rFonts w:hint="default" w:ascii="Times New Roman" w:hAnsi="Times New Roman" w:eastAsia="宋体" w:cs="Times New Roman"/>
          <w:i w:val="0"/>
          <w:iCs/>
          <w:color w:val="auto"/>
          <w:position w:val="-12"/>
          <w:sz w:val="24"/>
        </w:rPr>
        <w:object>
          <v:shape id="_x0000_i1066" o:spt="75" type="#_x0000_t75" style="height:22pt;width:149pt;" o:ole="t" filled="f" o:preferrelative="t" stroked="f" coordsize="21600,21600">
            <v:path/>
            <v:fill on="f" focussize="0,0"/>
            <v:stroke on="f"/>
            <v:imagedata r:id="rId109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108">
            <o:LockedField>false</o:LockedField>
          </o:OLEObject>
        </w:object>
      </w:r>
    </w:p>
    <w:p w14:paraId="0F9BCA07"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 xml:space="preserve">C.7  </w:t>
      </w:r>
      <w:r>
        <w:rPr>
          <w:rFonts w:hint="eastAsia" w:ascii="黑体" w:hAnsi="黑体" w:eastAsia="黑体" w:cs="黑体"/>
          <w:color w:val="auto"/>
        </w:rPr>
        <w:t>扩展不确定度的评定</w:t>
      </w:r>
    </w:p>
    <w:p w14:paraId="0EC7E55D">
      <w:pPr>
        <w:pStyle w:val="43"/>
        <w:rPr>
          <w:color w:val="auto"/>
        </w:rPr>
      </w:pPr>
      <w:r>
        <w:rPr>
          <w:rFonts w:hint="eastAsia"/>
          <w:color w:val="auto"/>
        </w:rPr>
        <w:t>取包含因子</w:t>
      </w:r>
      <w:r>
        <w:rPr>
          <w:rFonts w:hint="eastAsia"/>
          <w:i/>
          <w:iCs/>
          <w:color w:val="auto"/>
        </w:rPr>
        <w:t>k</w:t>
      </w:r>
      <w:r>
        <w:rPr>
          <w:rFonts w:hint="eastAsia"/>
          <w:color w:val="auto"/>
        </w:rPr>
        <w:t>=2，示值误差测量结果扩展不确定度为：</w:t>
      </w:r>
    </w:p>
    <w:p w14:paraId="50D83CE7">
      <w:pPr>
        <w:pStyle w:val="43"/>
        <w:jc w:val="center"/>
        <w:rPr>
          <w:color w:val="auto"/>
        </w:rPr>
      </w:pPr>
      <w:r>
        <w:rPr>
          <w:rFonts w:hint="default" w:ascii="Times New Roman" w:hAnsi="Times New Roman" w:cs="Times New Roman"/>
          <w:i w:val="0"/>
          <w:iCs/>
          <w:position w:val="-12"/>
          <w:szCs w:val="24"/>
        </w:rPr>
        <w:object>
          <v:shape id="_x0000_i1067" o:spt="75" type="#_x0000_t75" style="height:18pt;width:93pt;" o:ole="t" filled="f" o:preferrelative="t" stroked="f" coordsize="21600,21600">
            <v:path/>
            <v:fill on="f" focussize="0,0"/>
            <v:stroke on="f"/>
            <v:imagedata r:id="rId111" o:title=""/>
            <o:lock v:ext="edit" aspectratio="t"/>
            <w10:wrap type="none"/>
            <w10:anchorlock/>
          </v:shape>
          <o:OLEObject Type="Embed" ProgID="Equation.KSEE3" ShapeID="_x0000_i1067" DrawAspect="Content" ObjectID="_1468075767" r:id="rId110">
            <o:LockedField>false</o:LockedField>
          </o:OLEObject>
        </w:object>
      </w:r>
    </w:p>
    <w:p w14:paraId="2EBFAAD2">
      <w:pPr>
        <w:pStyle w:val="43"/>
        <w:rPr>
          <w:color w:val="auto"/>
        </w:rPr>
      </w:pPr>
      <w:r>
        <w:rPr>
          <w:rFonts w:hint="eastAsia"/>
          <w:color w:val="auto"/>
        </w:rPr>
        <w:t>故，该流量计在在500m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/h流量点时，累积30min情况下的校准结果为248.</w:t>
      </w:r>
      <w:r>
        <w:rPr>
          <w:rFonts w:hint="eastAsia"/>
          <w:color w:val="auto"/>
          <w:lang w:val="en-US" w:eastAsia="zh-CN"/>
        </w:rPr>
        <w:t>32</w:t>
      </w:r>
      <w:r>
        <w:rPr>
          <w:rFonts w:hint="eastAsia"/>
          <w:color w:val="auto"/>
        </w:rPr>
        <w:t>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，其扩展不确定度为：</w:t>
      </w:r>
      <w:r>
        <w:rPr>
          <w:rFonts w:hint="eastAsia"/>
          <w:i/>
          <w:color w:val="auto"/>
        </w:rPr>
        <w:t>U</w:t>
      </w:r>
      <w:r>
        <w:rPr>
          <w:rFonts w:hint="eastAsia"/>
          <w:color w:val="auto"/>
          <w:vertAlign w:val="subscript"/>
        </w:rPr>
        <w:t>rel</w:t>
      </w:r>
      <w:r>
        <w:rPr>
          <w:rFonts w:hint="eastAsia"/>
          <w:color w:val="auto"/>
        </w:rPr>
        <w:t>=0.6%，</w:t>
      </w:r>
      <w:r>
        <w:rPr>
          <w:rFonts w:hint="eastAsia"/>
          <w:i/>
          <w:color w:val="auto"/>
        </w:rPr>
        <w:t>k</w:t>
      </w:r>
      <w:r>
        <w:rPr>
          <w:rFonts w:hint="eastAsia"/>
          <w:color w:val="auto"/>
        </w:rPr>
        <w:t xml:space="preserve">=2。  </w:t>
      </w:r>
    </w:p>
    <w:p w14:paraId="4F9CE4D1">
      <w:pPr>
        <w:rPr>
          <w:rFonts w:cs="宋体"/>
          <w:position w:val="-10"/>
          <w:sz w:val="24"/>
        </w:rPr>
      </w:pPr>
      <w:bookmarkStart w:id="295" w:name="_Toc13778"/>
      <w:bookmarkStart w:id="296" w:name="_Toc7812"/>
      <w:bookmarkStart w:id="297" w:name="_Toc5293"/>
    </w:p>
    <w:bookmarkEnd w:id="295"/>
    <w:bookmarkEnd w:id="296"/>
    <w:bookmarkEnd w:id="297"/>
    <w:p w14:paraId="18B273D6">
      <w:pPr>
        <w:rPr>
          <w:iCs/>
          <w:position w:val="-12"/>
        </w:rPr>
      </w:pPr>
      <w:r>
        <w:rPr>
          <w:rFonts w:hint="eastAsia" w:eastAsia="宋体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239395</wp:posOffset>
                </wp:positionV>
                <wp:extent cx="2700020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2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35pt;margin-top:18.85pt;height:0.05pt;width:212.6pt;z-index:251675648;mso-width-relative:page;mso-height-relative:page;" filled="f" stroked="t" coordsize="21600,21600" o:gfxdata="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BWNR81wAAAAkBAAAPAAAAAAAAAAEAIAAAACIAAABkcnMvZG93bnJldi54bWxQSwECFAAU&#10;AAAACACHTuJAlzbFv/IBAADrAwAADgAAAAAAAAABACAAAAAm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position w:val="-6"/>
          <w:sz w:val="28"/>
          <w:szCs w:val="28"/>
        </w:rPr>
        <w:br w:type="page"/>
      </w:r>
    </w:p>
    <w:p w14:paraId="65D61538">
      <w:pPr>
        <w:pStyle w:val="43"/>
        <w:sectPr>
          <w:headerReference r:id="rId20" w:type="default"/>
          <w:footerReference r:id="rId21" w:type="default"/>
          <w:pgSz w:w="11907" w:h="16839"/>
          <w:pgMar w:top="1418" w:right="1134" w:bottom="1134" w:left="1418" w:header="1021" w:footer="737" w:gutter="0"/>
          <w:cols w:space="720" w:num="1"/>
          <w:docGrid w:type="lines" w:linePitch="312" w:charSpace="0"/>
        </w:sectPr>
      </w:pPr>
    </w:p>
    <w:p w14:paraId="7BF9787A">
      <w:pPr>
        <w:wordWrap w:val="0"/>
        <w:spacing w:line="360" w:lineRule="auto"/>
        <w:jc w:val="right"/>
        <w:rPr>
          <w:rFonts w:ascii="黑体" w:eastAsia="黑体"/>
          <w:sz w:val="28"/>
          <w:szCs w:val="28"/>
        </w:rPr>
      </w:pPr>
    </w:p>
    <w:p w14:paraId="0B6EF1D3">
      <w:pPr>
        <w:wordWrap w:val="0"/>
        <w:spacing w:line="360" w:lineRule="auto"/>
        <w:jc w:val="right"/>
        <w:rPr>
          <w:rFonts w:ascii="黑体" w:eastAsia="黑体"/>
          <w:sz w:val="28"/>
          <w:szCs w:val="28"/>
        </w:rPr>
      </w:pPr>
    </w:p>
    <w:p w14:paraId="23D605FB">
      <w:pPr>
        <w:wordWrap w:val="0"/>
        <w:spacing w:line="360" w:lineRule="auto"/>
        <w:jc w:val="right"/>
        <w:rPr>
          <w:rFonts w:ascii="黑体" w:eastAsia="黑体"/>
          <w:sz w:val="28"/>
          <w:szCs w:val="28"/>
        </w:rPr>
      </w:pPr>
    </w:p>
    <w:p w14:paraId="01DE9933">
      <w:pPr>
        <w:wordWrap w:val="0"/>
        <w:spacing w:line="360" w:lineRule="auto"/>
        <w:jc w:val="right"/>
        <w:rPr>
          <w:rFonts w:ascii="黑体" w:eastAsia="黑体"/>
          <w:sz w:val="28"/>
          <w:szCs w:val="28"/>
        </w:rPr>
      </w:pPr>
    </w:p>
    <w:p w14:paraId="3634AA30">
      <w:pPr>
        <w:wordWrap w:val="0"/>
        <w:spacing w:line="360" w:lineRule="auto"/>
        <w:jc w:val="right"/>
        <w:rPr>
          <w:rFonts w:ascii="黑体" w:eastAsia="黑体"/>
          <w:sz w:val="28"/>
          <w:szCs w:val="28"/>
        </w:rPr>
      </w:pPr>
    </w:p>
    <w:p w14:paraId="31AD41C2">
      <w:pPr>
        <w:wordWrap w:val="0"/>
        <w:spacing w:line="360" w:lineRule="auto"/>
        <w:jc w:val="right"/>
        <w:rPr>
          <w:rFonts w:ascii="黑体" w:eastAsia="黑体"/>
          <w:sz w:val="28"/>
          <w:szCs w:val="28"/>
        </w:rPr>
      </w:pPr>
    </w:p>
    <w:p w14:paraId="0D6C58C2">
      <w:pPr>
        <w:rPr>
          <w:rFonts w:ascii="黑体" w:eastAsia="黑体"/>
          <w:sz w:val="28"/>
          <w:szCs w:val="28"/>
        </w:rPr>
      </w:pPr>
    </w:p>
    <w:p w14:paraId="2017F1BF">
      <w:pPr>
        <w:rPr>
          <w:rFonts w:ascii="黑体" w:eastAsia="黑体"/>
          <w:sz w:val="28"/>
          <w:szCs w:val="28"/>
        </w:rPr>
      </w:pPr>
    </w:p>
    <w:p w14:paraId="4CA7485F">
      <w:pPr>
        <w:rPr>
          <w:rFonts w:ascii="黑体" w:eastAsia="黑体"/>
          <w:sz w:val="28"/>
          <w:szCs w:val="28"/>
        </w:rPr>
      </w:pPr>
    </w:p>
    <w:p w14:paraId="7CE6384D">
      <w:pPr>
        <w:rPr>
          <w:rFonts w:ascii="黑体" w:eastAsia="黑体"/>
          <w:sz w:val="28"/>
          <w:szCs w:val="28"/>
        </w:rPr>
      </w:pPr>
    </w:p>
    <w:p w14:paraId="2C7E5878">
      <w:pPr>
        <w:rPr>
          <w:rFonts w:ascii="黑体" w:eastAsia="黑体"/>
          <w:sz w:val="28"/>
          <w:szCs w:val="28"/>
        </w:rPr>
      </w:pPr>
    </w:p>
    <w:p w14:paraId="7F0EE28E">
      <w:pPr>
        <w:rPr>
          <w:rFonts w:ascii="黑体" w:eastAsia="黑体"/>
          <w:sz w:val="28"/>
          <w:szCs w:val="28"/>
        </w:rPr>
      </w:pPr>
    </w:p>
    <w:p w14:paraId="48960CFB">
      <w:pPr>
        <w:rPr>
          <w:rFonts w:ascii="黑体" w:eastAsia="黑体"/>
          <w:sz w:val="28"/>
          <w:szCs w:val="28"/>
        </w:rPr>
      </w:pPr>
    </w:p>
    <w:p w14:paraId="7719BAA0">
      <w:pPr>
        <w:wordWrap w:val="0"/>
        <w:spacing w:line="360" w:lineRule="auto"/>
        <w:jc w:val="right"/>
        <w:rPr>
          <w:position w:val="-6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JJF</w:t>
      </w:r>
      <w:r>
        <w:rPr>
          <w:rFonts w:ascii="黑体" w:eastAsia="黑体"/>
          <w:sz w:val="28"/>
          <w:szCs w:val="28"/>
        </w:rPr>
        <w:t>Z</w:t>
      </w:r>
      <w:r>
        <w:rPr>
          <w:rFonts w:hint="eastAsia" w:ascii="黑体" w:eastAsia="黑体"/>
          <w:sz w:val="28"/>
          <w:szCs w:val="28"/>
        </w:rPr>
        <w:t>(有色金属)XXX-XXXX</w:t>
      </w:r>
    </w:p>
    <w:p w14:paraId="7171AE52">
      <w:pPr>
        <w:rPr>
          <w:rFonts w:ascii="黑体" w:eastAsia="黑体"/>
          <w:sz w:val="28"/>
          <w:szCs w:val="28"/>
        </w:rPr>
      </w:pPr>
    </w:p>
    <w:sectPr>
      <w:footerReference r:id="rId22" w:type="default"/>
      <w:pgSz w:w="11907" w:h="16839"/>
      <w:pgMar w:top="2438" w:right="1134" w:bottom="1134" w:left="1418" w:header="102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E98D33-52B5-4EAC-88FC-4241A75B65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05A90B2-B4CD-46DC-A5C7-28DFA645683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11AB628-CC98-409F-9BF8-E06791F9C1C5}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  <w:embedRegular r:id="rId4" w:fontKey="{4BB949B3-26EA-4DE6-8747-C92B197B223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3FDC5922-6D00-4961-AE19-BBAFFC54EC18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0869D9C2-AC47-4F20-BE6F-9FDA61CD522A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D1C6B">
    <w:pPr>
      <w:pStyle w:val="66"/>
      <w:rPr>
        <w:rStyle w:val="28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78CF7FE1">
                          <w:pPr>
                            <w:pStyle w:val="66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ifdr9MAAAAFAQAADwAAAAAAAAABACAAAAAiAAAAZHJzL2Rvd25y&#10;ZXYueG1sUEsBAhQAFAAAAAgAh07iQAUOZOjKAQAAmAMAAA4AAAAAAAAAAQAgAAAAIgEAAGRycy9l&#10;Mm9Eb2MueG1sUEsFBgAAAAAGAAYAWQEAAF4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78CF7FE1">
                    <w:pPr>
                      <w:pStyle w:val="66"/>
                    </w:pPr>
                    <w:r>
                      <w:fldChar w:fldCharType="begin"/>
                    </w:r>
                    <w:r>
                      <w:rPr>
                        <w:rStyle w:val="2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07968">
    <w:pPr>
      <w:pStyle w:val="66"/>
      <w:jc w:val="both"/>
      <w:rPr>
        <w:rStyle w:val="28"/>
        <w:rFonts w:ascii="仿宋_GB2312" w:eastAsia="仿宋_GB2312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</wp:posOffset>
              </wp:positionV>
              <wp:extent cx="1828800" cy="1828800"/>
              <wp:effectExtent l="0" t="0" r="0" b="0"/>
              <wp:wrapNone/>
              <wp:docPr id="2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68107A43">
                          <w:pPr>
                            <w:pStyle w:val="1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2.2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cgBuzXAAAABgEAAA8AAAAAAAAAAQAgAAAAIgAAAGRycy9k&#10;b3ducmV2LnhtbFBLAQIUABQAAAAIAIdO4kDAWEhsygEAAJgDAAAOAAAAAAAAAAEAIAAAACYBAABk&#10;cnMvZTJvRG9jLnhtbFBLBQYAAAAABgAGAFkBAABi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68107A43">
                    <w:pPr>
                      <w:pStyle w:val="14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hint="eastAsia" w:eastAsia="宋体"/>
                      </w:rPr>
                      <w:t>1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F67F1">
    <w:pPr>
      <w:pStyle w:val="66"/>
      <w:jc w:val="both"/>
      <w:rPr>
        <w:rStyle w:val="28"/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4EF91">
    <w:pPr>
      <w:pStyle w:val="75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7C990">
    <w:pPr>
      <w:pStyle w:val="14"/>
      <w:ind w:right="360"/>
      <w:rPr>
        <w:rStyle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EA71F">
    <w:pPr>
      <w:pStyle w:val="14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II</w:t>
    </w:r>
    <w:r>
      <w:fldChar w:fldCharType="end"/>
    </w:r>
  </w:p>
  <w:p w14:paraId="3D22857E">
    <w:pPr>
      <w:pStyle w:val="75"/>
      <w:ind w:right="360"/>
      <w:rPr>
        <w:rStyle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2FE8D">
    <w:pPr>
      <w:pStyle w:val="14"/>
      <w:rPr>
        <w:rStyle w:val="28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5CE633A8">
                          <w:pPr>
                            <w:pStyle w:val="1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In3a/TAAAABQEAAA8AAAAAAAAAAQAgAAAAIgAAAGRycy9kb3du&#10;cmV2LnhtbFBLAQIUABQAAAAIAIdO4kDcgOFKywEAAJgDAAAOAAAAAAAAAAEAIAAAACIBAABkcnMv&#10;ZTJvRG9jLnhtbFBLBQYAAAAABgAGAFkBAABf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5CE633A8">
                    <w:pPr>
                      <w:pStyle w:val="14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hint="eastAsia" w:eastAsia="宋体"/>
                      </w:rPr>
                      <w:t>1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A06A1">
    <w:pPr>
      <w:pStyle w:val="14"/>
      <w:tabs>
        <w:tab w:val="left" w:pos="436"/>
        <w:tab w:val="right" w:pos="9475"/>
      </w:tabs>
      <w:rPr>
        <w:rStyle w:val="28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</wp:posOffset>
              </wp:positionV>
              <wp:extent cx="76200" cy="262890"/>
              <wp:effectExtent l="0" t="0" r="0" b="0"/>
              <wp:wrapNone/>
              <wp:docPr id="2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6289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04600E59">
                          <w:pPr>
                            <w:pStyle w:val="14"/>
                            <w:jc w:val="right"/>
                            <w:textAlignment w:val="bottom"/>
                            <w:rPr>
                              <w:rStyle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8"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2.2pt;height:20.7pt;width:6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NKdxNQAAAAEAQAADwAAAAAAAAABACAAAAAiAAAAZHJz&#10;L2Rvd25yZXYueG1sUEsBAhQAFAAAAAgAh07iQMLLDkTPAQAAlgMAAA4AAAAAAAAAAQAgAAAAIwEA&#10;AGRycy9lMm9Eb2MueG1sUEsFBgAAAAAGAAYAWQEAAGQ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04600E59">
                    <w:pPr>
                      <w:pStyle w:val="14"/>
                      <w:jc w:val="right"/>
                      <w:textAlignment w:val="bottom"/>
                      <w:rPr>
                        <w:rStyle w:val="28"/>
                      </w:rPr>
                    </w:pPr>
                    <w:r>
                      <w:fldChar w:fldCharType="begin"/>
                    </w:r>
                    <w:r>
                      <w:rPr>
                        <w:rStyle w:val="2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8"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CB9AE">
    <w:pPr>
      <w:pStyle w:val="14"/>
      <w:tabs>
        <w:tab w:val="right" w:pos="9475"/>
      </w:tabs>
      <w:rPr>
        <w:rStyle w:val="28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2673824F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0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yJ92v0wAAAAUBAAAPAAAAAAAAAAEAIAAAACIAAABkcnMvZG93bnJl&#10;di54bWxQSwECFAAUAAAACACHTuJAL6kmvckBAACZAwAADgAAAAAAAAABACAAAAAiAQAAZHJzL2Uy&#10;b0RvYy54bWxQSwUGAAAAAAYABgBZAQAAX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2673824F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DACF9">
    <w:pPr>
      <w:pStyle w:val="14"/>
      <w:tabs>
        <w:tab w:val="left" w:pos="436"/>
        <w:tab w:val="right" w:pos="9475"/>
      </w:tabs>
      <w:rPr>
        <w:rStyle w:val="28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</wp:posOffset>
              </wp:positionV>
              <wp:extent cx="76200" cy="262890"/>
              <wp:effectExtent l="0" t="0" r="0" b="0"/>
              <wp:wrapNone/>
              <wp:docPr id="2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6289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54BAAF45">
                          <w:pPr>
                            <w:pStyle w:val="14"/>
                            <w:jc w:val="right"/>
                            <w:textAlignment w:val="bottom"/>
                            <w:rPr>
                              <w:rStyle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8"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2.2pt;height:20.7pt;width:6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NKdxNQAAAAEAQAADwAAAAAAAAABACAAAAAiAAAAZHJz&#10;L2Rvd25yZXYueG1sUEsBAhQAFAAAAAgAh07iQH9BUNXPAQAAlgMAAA4AAAAAAAAAAQAgAAAAIwEA&#10;AGRycy9lMm9Eb2MueG1sUEsFBgAAAAAGAAYAWQEAAGQ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54BAAF45">
                    <w:pPr>
                      <w:pStyle w:val="14"/>
                      <w:jc w:val="right"/>
                      <w:textAlignment w:val="bottom"/>
                      <w:rPr>
                        <w:rStyle w:val="28"/>
                      </w:rPr>
                    </w:pPr>
                    <w:r>
                      <w:fldChar w:fldCharType="begin"/>
                    </w:r>
                    <w:r>
                      <w:rPr>
                        <w:rStyle w:val="2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8"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C6E7F">
    <w:pPr>
      <w:tabs>
        <w:tab w:val="left" w:pos="436"/>
        <w:tab w:val="center" w:pos="4153"/>
        <w:tab w:val="right" w:pos="8306"/>
        <w:tab w:val="right" w:pos="9475"/>
      </w:tabs>
      <w:snapToGrid w:val="0"/>
      <w:jc w:val="left"/>
      <w:rPr>
        <w:rFonts w:eastAsia="宋体"/>
        <w:sz w:val="18"/>
        <w:szCs w:val="18"/>
      </w:rPr>
    </w:pPr>
    <w:r>
      <w:rPr>
        <w:rFonts w:eastAsia="宋体"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</wp:posOffset>
              </wp:positionV>
              <wp:extent cx="76200" cy="262890"/>
              <wp:effectExtent l="0" t="0" r="0" b="0"/>
              <wp:wrapNone/>
              <wp:docPr id="27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6289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2BD0A523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  <w:textAlignment w:val="bottom"/>
                            <w:rPr>
                              <w:rFonts w:eastAsia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eastAsia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III</w:t>
                          </w:r>
                          <w:r>
                            <w:rPr>
                              <w:rFonts w:eastAsia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6" o:spt="202" type="#_x0000_t202" style="position:absolute;left:0pt;margin-top:2.2pt;height:20.7pt;width:6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U0p3E1AAAAAQBAAAPAAAAAAAAAAEAIAAAACIAAABkcnMv&#10;ZG93bnJldi54bWxQSwECFAAUAAAACACHTuJAtVyZrM4BAACWAwAADgAAAAAAAAABACAAAAAjAQAA&#10;ZHJzL2Uyb0RvYy54bWxQSwUGAAAAAAYABgBZAQAAYw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2BD0A523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  <w:textAlignment w:val="bottom"/>
                      <w:rPr>
                        <w:rFonts w:eastAsia="宋体"/>
                        <w:sz w:val="18"/>
                        <w:szCs w:val="18"/>
                      </w:rPr>
                    </w:pPr>
                    <w:r>
                      <w:rPr>
                        <w:rFonts w:eastAsia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eastAsia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III</w:t>
                    </w:r>
                    <w:r>
                      <w:rPr>
                        <w:rFonts w:eastAsia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C69A1">
    <w:pPr>
      <w:pStyle w:val="80"/>
    </w:pPr>
    <w:r>
      <w:t>JB/T 4278.1—××××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E12E4">
    <w:pPr>
      <w:pStyle w:val="92"/>
    </w:pPr>
    <w:r>
      <w:t>JB/T 4278.1—××××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E02F4">
    <w:pPr>
      <w:pStyle w:val="60"/>
    </w:pPr>
    <w: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98C04">
    <w:pPr>
      <w:pStyle w:val="80"/>
      <w:jc w:val="center"/>
      <w:rPr>
        <w:rFonts w:hint="eastAsia" w:ascii="黑体" w:hAnsi="黑体" w:cs="黑体"/>
        <w:szCs w:val="21"/>
      </w:rPr>
    </w:pPr>
    <w:r>
      <w:rPr>
        <w:rFonts w:hint="eastAsia" w:ascii="黑体" w:hAnsi="黑体" w:cs="黑体"/>
        <w:szCs w:val="21"/>
      </w:rPr>
      <w:t>JJ</w:t>
    </w:r>
    <w:r>
      <w:rPr>
        <w:rFonts w:hint="eastAsia" w:ascii="黑体" w:hAnsi="黑体" w:cs="黑体"/>
        <w:color w:val="000000"/>
        <w:szCs w:val="21"/>
      </w:rPr>
      <w:t>F</w:t>
    </w:r>
    <w:r>
      <w:rPr>
        <w:rFonts w:hint="eastAsia" w:ascii="黑体" w:hAnsi="黑体" w:cs="黑体"/>
        <w:szCs w:val="21"/>
      </w:rPr>
      <w:t>（有色金属）XXX—XXXX</w:t>
    </w:r>
  </w:p>
  <w:p w14:paraId="5277F7E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0" r="0" b="0"/>
              <wp:wrapNone/>
              <wp:docPr id="20" name="直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8" o:spid="_x0000_s1026" o:spt="20" style="position:absolute;left:0pt;margin-left:0pt;margin-top:0.05pt;height:0pt;width:468pt;z-index:251659264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LUWVbRAAAAAgEAAA8AAAAAAAAA&#10;AQAgAAAAIgAAAGRycy9kb3ducmV2LnhtbFBLAQIUABQAAAAIAIdO4kDsHn8H3wEAANEDAAAOAAAA&#10;AAAAAAEAIAAAACABAABkcnMvZTJvRG9jLnhtbFBLBQYAAAAABgAGAFkBAABx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2F1CB">
    <w:pPr>
      <w:pStyle w:val="80"/>
      <w:jc w:val="center"/>
    </w:pPr>
    <w:r>
      <w:t>J</w:t>
    </w:r>
    <w:r>
      <w:rPr>
        <w:rFonts w:hint="eastAsia"/>
      </w:rPr>
      <w:t>JF</w:t>
    </w:r>
    <w:r>
      <w:t xml:space="preserve"> ××××—××××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62782">
    <w:pPr>
      <w:pStyle w:val="80"/>
      <w:jc w:val="center"/>
      <w:rPr>
        <w:b/>
        <w:bCs/>
        <w:sz w:val="24"/>
      </w:rPr>
    </w:pPr>
    <w:r>
      <w:rPr>
        <w:b/>
        <w:bCs/>
        <w:sz w:val="24"/>
      </w:rPr>
      <w:t>J</w:t>
    </w:r>
    <w:r>
      <w:rPr>
        <w:rFonts w:hint="eastAsia"/>
        <w:b/>
        <w:bCs/>
        <w:sz w:val="24"/>
      </w:rPr>
      <w:t>JFX</w:t>
    </w:r>
    <w:r>
      <w:rPr>
        <w:rFonts w:hint="eastAsia"/>
        <w:b/>
        <w:bCs/>
      </w:rPr>
      <w:t>（机械）</w:t>
    </w:r>
    <w:r>
      <w:rPr>
        <w:rFonts w:hint="eastAsia"/>
        <w:b/>
        <w:bCs/>
        <w:sz w:val="24"/>
      </w:rPr>
      <w:t>0001-2018</w:t>
    </w:r>
  </w:p>
  <w:p w14:paraId="50EFC0BF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0" r="0" b="0"/>
              <wp:wrapNone/>
              <wp:docPr id="21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0pt;margin-top:0.05pt;height:0pt;width:468pt;z-index:251660288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C1FlW0QAAAAIBAAAPAAAAAAAA&#10;AAEAIAAAACIAAABkcnMvZG93bnJldi54bWxQSwECFAAUAAAACACHTuJAhUz71uABAADRAwAADgAA&#10;AAAAAAABACAAAAAgAQAAZHJzL2Uyb0RvYy54bWxQSwUGAAAAAAYABgBZAQAAcg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B77F2">
    <w:pPr>
      <w:pStyle w:val="80"/>
      <w:jc w:val="center"/>
      <w:rPr>
        <w:rFonts w:ascii="黑体"/>
        <w:color w:val="000000"/>
        <w:szCs w:val="21"/>
      </w:rPr>
    </w:pPr>
    <w:r>
      <w:rPr>
        <w:rFonts w:hint="eastAsia" w:ascii="黑体"/>
        <w:color w:val="000000"/>
        <w:szCs w:val="21"/>
      </w:rPr>
      <w:t>JJF（有色金属）XXX-XXXX</w:t>
    </w:r>
  </w:p>
  <w:p w14:paraId="139818AF"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0" r="0" b="0"/>
              <wp:wrapNone/>
              <wp:docPr id="22" name="直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" o:spid="_x0000_s1026" o:spt="20" style="position:absolute;left:0pt;margin-left:0pt;margin-top:0.05pt;height:0pt;width:468pt;z-index:251661312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LUWVbRAAAAAgEAAA8AAAAAAAAA&#10;AQAgAAAAIgAAAGRycy9kb3ducmV2LnhtbFBLAQIUABQAAAAIAIdO4kAGoZ8/3wEAANIDAAAOAAAA&#10;AAAAAAEAIAAAACABAABkcnMvZTJvRG9jLnhtbFBLBQYAAAAABgAGAFkBAABx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E30A4">
    <w:pPr>
      <w:pBdr>
        <w:bottom w:val="single" w:color="auto" w:sz="4" w:space="0"/>
      </w:pBdr>
      <w:tabs>
        <w:tab w:val="center" w:pos="4153"/>
        <w:tab w:val="right" w:pos="8306"/>
      </w:tabs>
      <w:snapToGrid w:val="0"/>
      <w:jc w:val="center"/>
      <w:rPr>
        <w:rFonts w:ascii="黑体" w:eastAsia="黑体"/>
        <w:szCs w:val="21"/>
      </w:rPr>
    </w:pPr>
    <w:r>
      <w:rPr>
        <w:rFonts w:hint="eastAsia" w:ascii="黑体" w:eastAsia="黑体"/>
        <w:szCs w:val="21"/>
      </w:rPr>
      <w:t>JJF(有色金属)XXX-XXXX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B58AB">
    <w:pPr>
      <w:pStyle w:val="15"/>
      <w:pBdr>
        <w:bottom w:val="single" w:color="auto" w:sz="4" w:space="0"/>
      </w:pBdr>
      <w:rPr>
        <w:rFonts w:ascii="黑体" w:eastAsia="黑体"/>
        <w:sz w:val="21"/>
        <w:szCs w:val="21"/>
      </w:rPr>
    </w:pPr>
    <w:r>
      <w:rPr>
        <w:rFonts w:hint="eastAsia" w:ascii="黑体" w:eastAsia="黑体"/>
        <w:sz w:val="21"/>
        <w:szCs w:val="21"/>
      </w:rPr>
      <w:t>JJF(有色金属)XXX-XXXX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255D7"/>
    <w:multiLevelType w:val="multilevel"/>
    <w:tmpl w:val="81C255D7"/>
    <w:lvl w:ilvl="0" w:tentative="0">
      <w:start w:val="1"/>
      <w:numFmt w:val="none"/>
      <w:pStyle w:val="83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270" w:hanging="270"/>
      </w:pPr>
      <w:rPr>
        <w:rFonts w:hint="eastAsia" w:ascii="黑体" w:hAnsi="Times New Roman" w:eastAsia="黑体"/>
        <w:b/>
        <w:i w:val="0"/>
        <w:sz w:val="24"/>
        <w:szCs w:val="24"/>
      </w:rPr>
    </w:lvl>
    <w:lvl w:ilvl="2" w:tentative="0">
      <w:start w:val="1"/>
      <w:numFmt w:val="decimal"/>
      <w:suff w:val="nothing"/>
      <w:lvlText w:val="%1%2.%3　"/>
      <w:lvlJc w:val="left"/>
      <w:pPr>
        <w:ind w:left="1418" w:firstLine="0"/>
      </w:pPr>
      <w:rPr>
        <w:rFonts w:hint="eastAsia" w:ascii="宋体" w:hAnsi="宋体" w:eastAsia="宋体"/>
        <w:b w:val="0"/>
        <w:i w:val="0"/>
        <w:color w:val="000000"/>
        <w:sz w:val="24"/>
        <w:szCs w:val="24"/>
      </w:rPr>
    </w:lvl>
    <w:lvl w:ilvl="3" w:tentative="0">
      <w:start w:val="1"/>
      <w:numFmt w:val="decimal"/>
      <w:suff w:val="nothing"/>
      <w:lvlText w:val="%1%2.%3.%4　"/>
      <w:lvlJc w:val="left"/>
      <w:pPr>
        <w:ind w:left="1084" w:firstLine="0"/>
      </w:pPr>
      <w:rPr>
        <w:rFonts w:hint="eastAsia" w:ascii="宋体" w:hAnsi="宋体" w:eastAsia="宋体"/>
        <w:b w:val="0"/>
        <w:i w:val="0"/>
        <w:sz w:val="24"/>
        <w:szCs w:val="24"/>
      </w:rPr>
    </w:lvl>
    <w:lvl w:ilvl="4" w:tentative="0">
      <w:start w:val="1"/>
      <w:numFmt w:val="decimal"/>
      <w:pStyle w:val="49"/>
      <w:suff w:val="nothing"/>
      <w:lvlText w:val="%1%2.%3.%4.%5　"/>
      <w:lvlJc w:val="left"/>
      <w:pPr>
        <w:ind w:left="0" w:firstLine="0"/>
      </w:pPr>
      <w:rPr>
        <w:rFonts w:hint="eastAsia" w:ascii="黑体"/>
        <w:b w:val="0"/>
        <w:i w:val="0"/>
        <w:sz w:val="21"/>
      </w:rPr>
    </w:lvl>
    <w:lvl w:ilvl="5" w:tentative="0">
      <w:start w:val="1"/>
      <w:numFmt w:val="decimal"/>
      <w:pStyle w:val="48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4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93EA20E4"/>
    <w:multiLevelType w:val="singleLevel"/>
    <w:tmpl w:val="93EA20E4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ADA9EF9B"/>
    <w:multiLevelType w:val="multilevel"/>
    <w:tmpl w:val="ADA9EF9B"/>
    <w:lvl w:ilvl="0" w:tentative="0">
      <w:start w:val="1"/>
      <w:numFmt w:val="decimal"/>
      <w:pStyle w:val="42"/>
      <w:suff w:val="space"/>
      <w:lvlText w:val="%1"/>
      <w:lvlJc w:val="left"/>
      <w:pPr>
        <w:ind w:left="425" w:hanging="425"/>
      </w:pPr>
      <w:rPr>
        <w:rFonts w:hint="default" w:ascii="黑体" w:hAnsi="黑体" w:eastAsia="黑体" w:cs="黑体"/>
      </w:rPr>
    </w:lvl>
    <w:lvl w:ilvl="1" w:tentative="0">
      <w:start w:val="1"/>
      <w:numFmt w:val="decimal"/>
      <w:pStyle w:val="51"/>
      <w:suff w:val="space"/>
      <w:lvlText w:val="%1.%2"/>
      <w:lvlJc w:val="left"/>
      <w:pPr>
        <w:ind w:left="0" w:firstLine="0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pStyle w:val="50"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宋体" w:cs="Times New Roman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D3774554"/>
    <w:multiLevelType w:val="singleLevel"/>
    <w:tmpl w:val="D37745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ED16621"/>
    <w:multiLevelType w:val="singleLevel"/>
    <w:tmpl w:val="DED16621"/>
    <w:lvl w:ilvl="0" w:tentative="0">
      <w:start w:val="1"/>
      <w:numFmt w:val="decimal"/>
      <w:pStyle w:val="88"/>
      <w:lvlText w:val="%1)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6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6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MjU1MDY0ZmYzNWYzMzY3ZTZiNjMwY2EwMTIzZjkifQ=="/>
  </w:docVars>
  <w:rsids>
    <w:rsidRoot w:val="00172A27"/>
    <w:rsid w:val="00002B4F"/>
    <w:rsid w:val="00003BE5"/>
    <w:rsid w:val="0000454F"/>
    <w:rsid w:val="00006C0B"/>
    <w:rsid w:val="00006EA1"/>
    <w:rsid w:val="00006EF2"/>
    <w:rsid w:val="00013671"/>
    <w:rsid w:val="00015FB7"/>
    <w:rsid w:val="00020191"/>
    <w:rsid w:val="00020C05"/>
    <w:rsid w:val="000229D0"/>
    <w:rsid w:val="000243DA"/>
    <w:rsid w:val="0002555F"/>
    <w:rsid w:val="00026C96"/>
    <w:rsid w:val="00027BBC"/>
    <w:rsid w:val="000324B9"/>
    <w:rsid w:val="00032BE7"/>
    <w:rsid w:val="00033A98"/>
    <w:rsid w:val="0003508D"/>
    <w:rsid w:val="00035BB8"/>
    <w:rsid w:val="00035DA0"/>
    <w:rsid w:val="00041E9A"/>
    <w:rsid w:val="000440D0"/>
    <w:rsid w:val="00045DA8"/>
    <w:rsid w:val="00045DBE"/>
    <w:rsid w:val="0004696E"/>
    <w:rsid w:val="00047FCE"/>
    <w:rsid w:val="00050573"/>
    <w:rsid w:val="00051730"/>
    <w:rsid w:val="00052A1E"/>
    <w:rsid w:val="0005597D"/>
    <w:rsid w:val="00060121"/>
    <w:rsid w:val="00061046"/>
    <w:rsid w:val="000635AA"/>
    <w:rsid w:val="0006638E"/>
    <w:rsid w:val="00070A27"/>
    <w:rsid w:val="00070ACA"/>
    <w:rsid w:val="000713CB"/>
    <w:rsid w:val="0007299A"/>
    <w:rsid w:val="00074700"/>
    <w:rsid w:val="00080051"/>
    <w:rsid w:val="000804B6"/>
    <w:rsid w:val="0008434B"/>
    <w:rsid w:val="00084AF0"/>
    <w:rsid w:val="00085B5F"/>
    <w:rsid w:val="00086130"/>
    <w:rsid w:val="00092C30"/>
    <w:rsid w:val="000945F0"/>
    <w:rsid w:val="00095210"/>
    <w:rsid w:val="0009785B"/>
    <w:rsid w:val="000A3760"/>
    <w:rsid w:val="000A4256"/>
    <w:rsid w:val="000A427E"/>
    <w:rsid w:val="000A4DA3"/>
    <w:rsid w:val="000A5506"/>
    <w:rsid w:val="000A6257"/>
    <w:rsid w:val="000B1F19"/>
    <w:rsid w:val="000B2F4C"/>
    <w:rsid w:val="000C0F00"/>
    <w:rsid w:val="000C1730"/>
    <w:rsid w:val="000C1BE7"/>
    <w:rsid w:val="000C3107"/>
    <w:rsid w:val="000C43F0"/>
    <w:rsid w:val="000D0552"/>
    <w:rsid w:val="000D3D7D"/>
    <w:rsid w:val="000D4BE2"/>
    <w:rsid w:val="000D5F07"/>
    <w:rsid w:val="000D71BF"/>
    <w:rsid w:val="000D736F"/>
    <w:rsid w:val="000D7B3F"/>
    <w:rsid w:val="000D7F6C"/>
    <w:rsid w:val="000E22AB"/>
    <w:rsid w:val="000E24D6"/>
    <w:rsid w:val="000E3E57"/>
    <w:rsid w:val="000E4800"/>
    <w:rsid w:val="000E4A41"/>
    <w:rsid w:val="000E4AA0"/>
    <w:rsid w:val="000E7CBB"/>
    <w:rsid w:val="000F1FC4"/>
    <w:rsid w:val="000F2BA9"/>
    <w:rsid w:val="000F3869"/>
    <w:rsid w:val="000F38DA"/>
    <w:rsid w:val="000F40CE"/>
    <w:rsid w:val="000F6072"/>
    <w:rsid w:val="0010233B"/>
    <w:rsid w:val="00104881"/>
    <w:rsid w:val="00107DEC"/>
    <w:rsid w:val="001112E4"/>
    <w:rsid w:val="001122A7"/>
    <w:rsid w:val="00112373"/>
    <w:rsid w:val="00113286"/>
    <w:rsid w:val="00113B0C"/>
    <w:rsid w:val="00116098"/>
    <w:rsid w:val="00116841"/>
    <w:rsid w:val="0012108E"/>
    <w:rsid w:val="00123340"/>
    <w:rsid w:val="00123996"/>
    <w:rsid w:val="00123FE8"/>
    <w:rsid w:val="00126B52"/>
    <w:rsid w:val="00126D02"/>
    <w:rsid w:val="0012749F"/>
    <w:rsid w:val="0012787F"/>
    <w:rsid w:val="00127906"/>
    <w:rsid w:val="00131A6D"/>
    <w:rsid w:val="00131FC3"/>
    <w:rsid w:val="001336B4"/>
    <w:rsid w:val="00134BA1"/>
    <w:rsid w:val="00135F02"/>
    <w:rsid w:val="00141FF8"/>
    <w:rsid w:val="0014220D"/>
    <w:rsid w:val="00144ED3"/>
    <w:rsid w:val="00145631"/>
    <w:rsid w:val="0014613D"/>
    <w:rsid w:val="001478B5"/>
    <w:rsid w:val="001507B0"/>
    <w:rsid w:val="00153045"/>
    <w:rsid w:val="00156084"/>
    <w:rsid w:val="001561E2"/>
    <w:rsid w:val="00160B60"/>
    <w:rsid w:val="00163812"/>
    <w:rsid w:val="00163BE4"/>
    <w:rsid w:val="001650C2"/>
    <w:rsid w:val="00172A27"/>
    <w:rsid w:val="001731B8"/>
    <w:rsid w:val="00174006"/>
    <w:rsid w:val="00174716"/>
    <w:rsid w:val="0017490B"/>
    <w:rsid w:val="001776F7"/>
    <w:rsid w:val="00180ED2"/>
    <w:rsid w:val="001810E8"/>
    <w:rsid w:val="001838C7"/>
    <w:rsid w:val="00184AF2"/>
    <w:rsid w:val="00185AC9"/>
    <w:rsid w:val="0018612C"/>
    <w:rsid w:val="00191D95"/>
    <w:rsid w:val="00196A1F"/>
    <w:rsid w:val="001A0175"/>
    <w:rsid w:val="001A1458"/>
    <w:rsid w:val="001A1710"/>
    <w:rsid w:val="001A3AAE"/>
    <w:rsid w:val="001A44C6"/>
    <w:rsid w:val="001A53C8"/>
    <w:rsid w:val="001A56D3"/>
    <w:rsid w:val="001A5B97"/>
    <w:rsid w:val="001A6050"/>
    <w:rsid w:val="001A752F"/>
    <w:rsid w:val="001B08AE"/>
    <w:rsid w:val="001B3136"/>
    <w:rsid w:val="001B6D25"/>
    <w:rsid w:val="001B70B2"/>
    <w:rsid w:val="001C141C"/>
    <w:rsid w:val="001C169C"/>
    <w:rsid w:val="001C1F36"/>
    <w:rsid w:val="001C2BD4"/>
    <w:rsid w:val="001C2E3F"/>
    <w:rsid w:val="001C3CEB"/>
    <w:rsid w:val="001C5703"/>
    <w:rsid w:val="001C575F"/>
    <w:rsid w:val="001C75B8"/>
    <w:rsid w:val="001C7B9D"/>
    <w:rsid w:val="001D15E4"/>
    <w:rsid w:val="001D16FD"/>
    <w:rsid w:val="001D1F51"/>
    <w:rsid w:val="001D54BD"/>
    <w:rsid w:val="001D637A"/>
    <w:rsid w:val="001D734A"/>
    <w:rsid w:val="001E1A84"/>
    <w:rsid w:val="001E1C24"/>
    <w:rsid w:val="001E20C7"/>
    <w:rsid w:val="001E2EB0"/>
    <w:rsid w:val="001E354B"/>
    <w:rsid w:val="001E3F78"/>
    <w:rsid w:val="001E4014"/>
    <w:rsid w:val="001E4FD2"/>
    <w:rsid w:val="001E55B0"/>
    <w:rsid w:val="001E56BB"/>
    <w:rsid w:val="001E61C4"/>
    <w:rsid w:val="001E6680"/>
    <w:rsid w:val="001E6AB3"/>
    <w:rsid w:val="001E6D6C"/>
    <w:rsid w:val="001F2695"/>
    <w:rsid w:val="001F36BD"/>
    <w:rsid w:val="001F3EBA"/>
    <w:rsid w:val="001F4365"/>
    <w:rsid w:val="001F5920"/>
    <w:rsid w:val="001F72DF"/>
    <w:rsid w:val="00200482"/>
    <w:rsid w:val="00200F26"/>
    <w:rsid w:val="0020238B"/>
    <w:rsid w:val="00203360"/>
    <w:rsid w:val="00204609"/>
    <w:rsid w:val="0020493B"/>
    <w:rsid w:val="00207B7A"/>
    <w:rsid w:val="00210C00"/>
    <w:rsid w:val="0021147E"/>
    <w:rsid w:val="00211522"/>
    <w:rsid w:val="0021199B"/>
    <w:rsid w:val="00213408"/>
    <w:rsid w:val="002165A3"/>
    <w:rsid w:val="00217175"/>
    <w:rsid w:val="002208FD"/>
    <w:rsid w:val="0022298C"/>
    <w:rsid w:val="00223AD8"/>
    <w:rsid w:val="00223F7D"/>
    <w:rsid w:val="00224680"/>
    <w:rsid w:val="00224C1A"/>
    <w:rsid w:val="00226B25"/>
    <w:rsid w:val="00226C26"/>
    <w:rsid w:val="00231AEF"/>
    <w:rsid w:val="00234886"/>
    <w:rsid w:val="0023502D"/>
    <w:rsid w:val="00235948"/>
    <w:rsid w:val="00235E24"/>
    <w:rsid w:val="00236AAD"/>
    <w:rsid w:val="0023799B"/>
    <w:rsid w:val="002402B1"/>
    <w:rsid w:val="00243A7A"/>
    <w:rsid w:val="002476A0"/>
    <w:rsid w:val="00247CE8"/>
    <w:rsid w:val="00250684"/>
    <w:rsid w:val="00252313"/>
    <w:rsid w:val="00254F88"/>
    <w:rsid w:val="00255763"/>
    <w:rsid w:val="00256140"/>
    <w:rsid w:val="00256F41"/>
    <w:rsid w:val="00257E87"/>
    <w:rsid w:val="002607DD"/>
    <w:rsid w:val="00261E03"/>
    <w:rsid w:val="00261E65"/>
    <w:rsid w:val="00264D82"/>
    <w:rsid w:val="00265A44"/>
    <w:rsid w:val="00265F54"/>
    <w:rsid w:val="002677E6"/>
    <w:rsid w:val="00270FF7"/>
    <w:rsid w:val="002721A6"/>
    <w:rsid w:val="00276346"/>
    <w:rsid w:val="00276BDF"/>
    <w:rsid w:val="00280202"/>
    <w:rsid w:val="00281C85"/>
    <w:rsid w:val="00283BD5"/>
    <w:rsid w:val="00284573"/>
    <w:rsid w:val="0028606E"/>
    <w:rsid w:val="00287823"/>
    <w:rsid w:val="00291245"/>
    <w:rsid w:val="00292158"/>
    <w:rsid w:val="0029448A"/>
    <w:rsid w:val="002954F4"/>
    <w:rsid w:val="0029682E"/>
    <w:rsid w:val="00296DDC"/>
    <w:rsid w:val="00297007"/>
    <w:rsid w:val="002975C6"/>
    <w:rsid w:val="002A0A96"/>
    <w:rsid w:val="002A1A10"/>
    <w:rsid w:val="002A4DED"/>
    <w:rsid w:val="002A551B"/>
    <w:rsid w:val="002A5A8B"/>
    <w:rsid w:val="002A7856"/>
    <w:rsid w:val="002B2E27"/>
    <w:rsid w:val="002B42E9"/>
    <w:rsid w:val="002B4741"/>
    <w:rsid w:val="002B51BD"/>
    <w:rsid w:val="002B6FAE"/>
    <w:rsid w:val="002B722A"/>
    <w:rsid w:val="002B74EB"/>
    <w:rsid w:val="002B7933"/>
    <w:rsid w:val="002B7A95"/>
    <w:rsid w:val="002C3B18"/>
    <w:rsid w:val="002C4319"/>
    <w:rsid w:val="002C48E1"/>
    <w:rsid w:val="002C6457"/>
    <w:rsid w:val="002C7288"/>
    <w:rsid w:val="002C7743"/>
    <w:rsid w:val="002D0303"/>
    <w:rsid w:val="002D05D7"/>
    <w:rsid w:val="002D3AB7"/>
    <w:rsid w:val="002D4019"/>
    <w:rsid w:val="002D6B04"/>
    <w:rsid w:val="002D7639"/>
    <w:rsid w:val="002E435A"/>
    <w:rsid w:val="002E67DD"/>
    <w:rsid w:val="002E69F9"/>
    <w:rsid w:val="002F1E73"/>
    <w:rsid w:val="002F2A05"/>
    <w:rsid w:val="002F4D77"/>
    <w:rsid w:val="002F5104"/>
    <w:rsid w:val="002F77D2"/>
    <w:rsid w:val="00300578"/>
    <w:rsid w:val="0030096F"/>
    <w:rsid w:val="00300DE7"/>
    <w:rsid w:val="00301F68"/>
    <w:rsid w:val="00302EBB"/>
    <w:rsid w:val="00304483"/>
    <w:rsid w:val="00304888"/>
    <w:rsid w:val="003071EE"/>
    <w:rsid w:val="0031039B"/>
    <w:rsid w:val="00311BB2"/>
    <w:rsid w:val="00311F9C"/>
    <w:rsid w:val="00312E6B"/>
    <w:rsid w:val="00314060"/>
    <w:rsid w:val="0031759F"/>
    <w:rsid w:val="00321D85"/>
    <w:rsid w:val="00321DF1"/>
    <w:rsid w:val="00323376"/>
    <w:rsid w:val="00324338"/>
    <w:rsid w:val="0032590F"/>
    <w:rsid w:val="00326690"/>
    <w:rsid w:val="003272CA"/>
    <w:rsid w:val="00327461"/>
    <w:rsid w:val="00330B7E"/>
    <w:rsid w:val="003346E2"/>
    <w:rsid w:val="0033783E"/>
    <w:rsid w:val="0034691A"/>
    <w:rsid w:val="003478AC"/>
    <w:rsid w:val="00347CC5"/>
    <w:rsid w:val="0035075D"/>
    <w:rsid w:val="00350E14"/>
    <w:rsid w:val="00351D3C"/>
    <w:rsid w:val="0035355F"/>
    <w:rsid w:val="00354D7A"/>
    <w:rsid w:val="003572B8"/>
    <w:rsid w:val="00362DFB"/>
    <w:rsid w:val="003641BD"/>
    <w:rsid w:val="00366CD1"/>
    <w:rsid w:val="00367813"/>
    <w:rsid w:val="00370E7E"/>
    <w:rsid w:val="00372D02"/>
    <w:rsid w:val="003737D3"/>
    <w:rsid w:val="00373FC6"/>
    <w:rsid w:val="00382041"/>
    <w:rsid w:val="00382068"/>
    <w:rsid w:val="00382421"/>
    <w:rsid w:val="00382ACE"/>
    <w:rsid w:val="00382C39"/>
    <w:rsid w:val="00383961"/>
    <w:rsid w:val="00383A8F"/>
    <w:rsid w:val="00383AC5"/>
    <w:rsid w:val="0038622E"/>
    <w:rsid w:val="003866E5"/>
    <w:rsid w:val="0039033B"/>
    <w:rsid w:val="00391026"/>
    <w:rsid w:val="0039157F"/>
    <w:rsid w:val="003919D1"/>
    <w:rsid w:val="00391A6A"/>
    <w:rsid w:val="00395E6F"/>
    <w:rsid w:val="003A151C"/>
    <w:rsid w:val="003A5204"/>
    <w:rsid w:val="003A5420"/>
    <w:rsid w:val="003A6FF4"/>
    <w:rsid w:val="003B3013"/>
    <w:rsid w:val="003B41BF"/>
    <w:rsid w:val="003C02EB"/>
    <w:rsid w:val="003C3320"/>
    <w:rsid w:val="003C565B"/>
    <w:rsid w:val="003E1A3C"/>
    <w:rsid w:val="003E4A5F"/>
    <w:rsid w:val="003E609B"/>
    <w:rsid w:val="003F0FD2"/>
    <w:rsid w:val="003F10DE"/>
    <w:rsid w:val="003F1238"/>
    <w:rsid w:val="003F21CC"/>
    <w:rsid w:val="003F621C"/>
    <w:rsid w:val="003F7000"/>
    <w:rsid w:val="004021D0"/>
    <w:rsid w:val="00405AEE"/>
    <w:rsid w:val="00407D33"/>
    <w:rsid w:val="00410301"/>
    <w:rsid w:val="00411C06"/>
    <w:rsid w:val="0041241B"/>
    <w:rsid w:val="00427482"/>
    <w:rsid w:val="004278E4"/>
    <w:rsid w:val="00430F63"/>
    <w:rsid w:val="00434FC1"/>
    <w:rsid w:val="004355BF"/>
    <w:rsid w:val="00436D71"/>
    <w:rsid w:val="004375D6"/>
    <w:rsid w:val="00437BB2"/>
    <w:rsid w:val="0044135C"/>
    <w:rsid w:val="00443040"/>
    <w:rsid w:val="00444240"/>
    <w:rsid w:val="0044700E"/>
    <w:rsid w:val="00450457"/>
    <w:rsid w:val="00451E0C"/>
    <w:rsid w:val="00455452"/>
    <w:rsid w:val="004557AC"/>
    <w:rsid w:val="00455E20"/>
    <w:rsid w:val="00457185"/>
    <w:rsid w:val="0045730B"/>
    <w:rsid w:val="00460DCB"/>
    <w:rsid w:val="004658E5"/>
    <w:rsid w:val="00466D50"/>
    <w:rsid w:val="00467A15"/>
    <w:rsid w:val="00467EC1"/>
    <w:rsid w:val="00472B9D"/>
    <w:rsid w:val="00476A32"/>
    <w:rsid w:val="00476B83"/>
    <w:rsid w:val="00476DD5"/>
    <w:rsid w:val="00480B38"/>
    <w:rsid w:val="00481EAD"/>
    <w:rsid w:val="004821B5"/>
    <w:rsid w:val="00482790"/>
    <w:rsid w:val="00487F93"/>
    <w:rsid w:val="004906EA"/>
    <w:rsid w:val="00491516"/>
    <w:rsid w:val="00494177"/>
    <w:rsid w:val="00494C07"/>
    <w:rsid w:val="004966D0"/>
    <w:rsid w:val="0049696E"/>
    <w:rsid w:val="004975B6"/>
    <w:rsid w:val="004A12F9"/>
    <w:rsid w:val="004A4984"/>
    <w:rsid w:val="004A57A5"/>
    <w:rsid w:val="004A6C2F"/>
    <w:rsid w:val="004B3762"/>
    <w:rsid w:val="004B4B1F"/>
    <w:rsid w:val="004B4DD9"/>
    <w:rsid w:val="004B5215"/>
    <w:rsid w:val="004B6B2E"/>
    <w:rsid w:val="004C1D86"/>
    <w:rsid w:val="004C5874"/>
    <w:rsid w:val="004C5B1F"/>
    <w:rsid w:val="004C61EE"/>
    <w:rsid w:val="004C642A"/>
    <w:rsid w:val="004D0CDD"/>
    <w:rsid w:val="004D1B0E"/>
    <w:rsid w:val="004E1885"/>
    <w:rsid w:val="004E2B8B"/>
    <w:rsid w:val="004E3F08"/>
    <w:rsid w:val="004E4618"/>
    <w:rsid w:val="004E4DAB"/>
    <w:rsid w:val="004E563F"/>
    <w:rsid w:val="004E5A85"/>
    <w:rsid w:val="004F0679"/>
    <w:rsid w:val="004F49EA"/>
    <w:rsid w:val="004F60BF"/>
    <w:rsid w:val="004F72B7"/>
    <w:rsid w:val="004F783F"/>
    <w:rsid w:val="004F7D3A"/>
    <w:rsid w:val="005000A1"/>
    <w:rsid w:val="0050399B"/>
    <w:rsid w:val="0050681E"/>
    <w:rsid w:val="005070B9"/>
    <w:rsid w:val="00511ABE"/>
    <w:rsid w:val="005159F6"/>
    <w:rsid w:val="0051798A"/>
    <w:rsid w:val="00517F62"/>
    <w:rsid w:val="0052101A"/>
    <w:rsid w:val="00521BDD"/>
    <w:rsid w:val="00522E87"/>
    <w:rsid w:val="005309D8"/>
    <w:rsid w:val="0053217D"/>
    <w:rsid w:val="00537744"/>
    <w:rsid w:val="0054343E"/>
    <w:rsid w:val="005455BA"/>
    <w:rsid w:val="005458A3"/>
    <w:rsid w:val="00546D7F"/>
    <w:rsid w:val="00547137"/>
    <w:rsid w:val="005504A5"/>
    <w:rsid w:val="00550D0E"/>
    <w:rsid w:val="00550D14"/>
    <w:rsid w:val="00552117"/>
    <w:rsid w:val="00552738"/>
    <w:rsid w:val="0055539D"/>
    <w:rsid w:val="00555857"/>
    <w:rsid w:val="00555A3E"/>
    <w:rsid w:val="005565BC"/>
    <w:rsid w:val="005569B0"/>
    <w:rsid w:val="00560309"/>
    <w:rsid w:val="005624AC"/>
    <w:rsid w:val="00563547"/>
    <w:rsid w:val="00564845"/>
    <w:rsid w:val="00567558"/>
    <w:rsid w:val="00571BAE"/>
    <w:rsid w:val="00571E42"/>
    <w:rsid w:val="00575511"/>
    <w:rsid w:val="00580CF4"/>
    <w:rsid w:val="005810BB"/>
    <w:rsid w:val="00581E46"/>
    <w:rsid w:val="005829B0"/>
    <w:rsid w:val="00582A70"/>
    <w:rsid w:val="005845A7"/>
    <w:rsid w:val="00585822"/>
    <w:rsid w:val="005859B4"/>
    <w:rsid w:val="00586043"/>
    <w:rsid w:val="00587547"/>
    <w:rsid w:val="00591449"/>
    <w:rsid w:val="005928E8"/>
    <w:rsid w:val="00593C50"/>
    <w:rsid w:val="005947C8"/>
    <w:rsid w:val="00596509"/>
    <w:rsid w:val="00597AF9"/>
    <w:rsid w:val="00597FC9"/>
    <w:rsid w:val="005A16B9"/>
    <w:rsid w:val="005A30CB"/>
    <w:rsid w:val="005A3AB9"/>
    <w:rsid w:val="005A4A03"/>
    <w:rsid w:val="005A50D7"/>
    <w:rsid w:val="005B32D2"/>
    <w:rsid w:val="005B7B6C"/>
    <w:rsid w:val="005B7C63"/>
    <w:rsid w:val="005C0928"/>
    <w:rsid w:val="005C4B26"/>
    <w:rsid w:val="005C620C"/>
    <w:rsid w:val="005C7366"/>
    <w:rsid w:val="005D14FF"/>
    <w:rsid w:val="005D163C"/>
    <w:rsid w:val="005D2A8E"/>
    <w:rsid w:val="005D602D"/>
    <w:rsid w:val="005E3E64"/>
    <w:rsid w:val="005E4239"/>
    <w:rsid w:val="005F340F"/>
    <w:rsid w:val="005F488C"/>
    <w:rsid w:val="005F5D60"/>
    <w:rsid w:val="005F6D8D"/>
    <w:rsid w:val="00601A0C"/>
    <w:rsid w:val="00603F40"/>
    <w:rsid w:val="006045D9"/>
    <w:rsid w:val="006067E5"/>
    <w:rsid w:val="00607097"/>
    <w:rsid w:val="00610483"/>
    <w:rsid w:val="0061068C"/>
    <w:rsid w:val="006109CD"/>
    <w:rsid w:val="00612EE1"/>
    <w:rsid w:val="006150DE"/>
    <w:rsid w:val="00615949"/>
    <w:rsid w:val="006166CA"/>
    <w:rsid w:val="006167C8"/>
    <w:rsid w:val="00616CB2"/>
    <w:rsid w:val="00621972"/>
    <w:rsid w:val="00621EF9"/>
    <w:rsid w:val="00623455"/>
    <w:rsid w:val="00624BE6"/>
    <w:rsid w:val="006264B8"/>
    <w:rsid w:val="00627BA2"/>
    <w:rsid w:val="00632876"/>
    <w:rsid w:val="006333E6"/>
    <w:rsid w:val="00634514"/>
    <w:rsid w:val="00634784"/>
    <w:rsid w:val="00634B6E"/>
    <w:rsid w:val="006360D4"/>
    <w:rsid w:val="00636247"/>
    <w:rsid w:val="00640F58"/>
    <w:rsid w:val="00641035"/>
    <w:rsid w:val="0064735F"/>
    <w:rsid w:val="006505DF"/>
    <w:rsid w:val="006507F0"/>
    <w:rsid w:val="00653A57"/>
    <w:rsid w:val="00654AFA"/>
    <w:rsid w:val="0065543B"/>
    <w:rsid w:val="00655769"/>
    <w:rsid w:val="00655A58"/>
    <w:rsid w:val="00656C35"/>
    <w:rsid w:val="00657830"/>
    <w:rsid w:val="00660991"/>
    <w:rsid w:val="00662BA9"/>
    <w:rsid w:val="00663654"/>
    <w:rsid w:val="006659B6"/>
    <w:rsid w:val="00666A77"/>
    <w:rsid w:val="0066708C"/>
    <w:rsid w:val="00667188"/>
    <w:rsid w:val="00673077"/>
    <w:rsid w:val="00674BB4"/>
    <w:rsid w:val="00674E5A"/>
    <w:rsid w:val="00675383"/>
    <w:rsid w:val="00675CDD"/>
    <w:rsid w:val="00676A8F"/>
    <w:rsid w:val="006803D2"/>
    <w:rsid w:val="0068339E"/>
    <w:rsid w:val="00683A25"/>
    <w:rsid w:val="00683DEA"/>
    <w:rsid w:val="00684C9C"/>
    <w:rsid w:val="00684E96"/>
    <w:rsid w:val="006855E9"/>
    <w:rsid w:val="00687642"/>
    <w:rsid w:val="00687B11"/>
    <w:rsid w:val="00687CE5"/>
    <w:rsid w:val="00693915"/>
    <w:rsid w:val="00693EE5"/>
    <w:rsid w:val="00694BE1"/>
    <w:rsid w:val="00696F45"/>
    <w:rsid w:val="006A0D84"/>
    <w:rsid w:val="006A27BE"/>
    <w:rsid w:val="006A28BC"/>
    <w:rsid w:val="006A4993"/>
    <w:rsid w:val="006A58D6"/>
    <w:rsid w:val="006A5D08"/>
    <w:rsid w:val="006A6675"/>
    <w:rsid w:val="006B1B53"/>
    <w:rsid w:val="006B2DBB"/>
    <w:rsid w:val="006B48A1"/>
    <w:rsid w:val="006B50B7"/>
    <w:rsid w:val="006B5796"/>
    <w:rsid w:val="006B72F2"/>
    <w:rsid w:val="006B7864"/>
    <w:rsid w:val="006B787D"/>
    <w:rsid w:val="006B78C5"/>
    <w:rsid w:val="006B7908"/>
    <w:rsid w:val="006C10F0"/>
    <w:rsid w:val="006C130B"/>
    <w:rsid w:val="006C140B"/>
    <w:rsid w:val="006C1472"/>
    <w:rsid w:val="006C4D08"/>
    <w:rsid w:val="006C7C3F"/>
    <w:rsid w:val="006D06F9"/>
    <w:rsid w:val="006D0EC1"/>
    <w:rsid w:val="006D7582"/>
    <w:rsid w:val="006E13FB"/>
    <w:rsid w:val="006E2464"/>
    <w:rsid w:val="006E563E"/>
    <w:rsid w:val="006E5AF6"/>
    <w:rsid w:val="006F32CB"/>
    <w:rsid w:val="006F4DC9"/>
    <w:rsid w:val="006F4F44"/>
    <w:rsid w:val="007001AB"/>
    <w:rsid w:val="007011CF"/>
    <w:rsid w:val="00701BB1"/>
    <w:rsid w:val="00705919"/>
    <w:rsid w:val="007077F7"/>
    <w:rsid w:val="00707E2E"/>
    <w:rsid w:val="00711CB5"/>
    <w:rsid w:val="00714F9C"/>
    <w:rsid w:val="007203CF"/>
    <w:rsid w:val="00721FA6"/>
    <w:rsid w:val="00725F97"/>
    <w:rsid w:val="00730198"/>
    <w:rsid w:val="00730CCB"/>
    <w:rsid w:val="00732820"/>
    <w:rsid w:val="00734C8D"/>
    <w:rsid w:val="0073797C"/>
    <w:rsid w:val="00737D12"/>
    <w:rsid w:val="0074010A"/>
    <w:rsid w:val="007428C1"/>
    <w:rsid w:val="00747DAF"/>
    <w:rsid w:val="00747FF0"/>
    <w:rsid w:val="00751A66"/>
    <w:rsid w:val="00752104"/>
    <w:rsid w:val="00753B68"/>
    <w:rsid w:val="007556F6"/>
    <w:rsid w:val="0075710A"/>
    <w:rsid w:val="00764100"/>
    <w:rsid w:val="007648FF"/>
    <w:rsid w:val="00766D0E"/>
    <w:rsid w:val="00767019"/>
    <w:rsid w:val="00767416"/>
    <w:rsid w:val="00772C90"/>
    <w:rsid w:val="007741E9"/>
    <w:rsid w:val="00774747"/>
    <w:rsid w:val="0077545F"/>
    <w:rsid w:val="007770CC"/>
    <w:rsid w:val="00781D8F"/>
    <w:rsid w:val="00782EBF"/>
    <w:rsid w:val="00784AEA"/>
    <w:rsid w:val="00796458"/>
    <w:rsid w:val="007966E0"/>
    <w:rsid w:val="007A0175"/>
    <w:rsid w:val="007A1378"/>
    <w:rsid w:val="007A1CE1"/>
    <w:rsid w:val="007A7A87"/>
    <w:rsid w:val="007B0AA0"/>
    <w:rsid w:val="007B1D4B"/>
    <w:rsid w:val="007B2DC1"/>
    <w:rsid w:val="007B47D9"/>
    <w:rsid w:val="007B4EC2"/>
    <w:rsid w:val="007B6DCC"/>
    <w:rsid w:val="007B7337"/>
    <w:rsid w:val="007C1153"/>
    <w:rsid w:val="007C173C"/>
    <w:rsid w:val="007C2839"/>
    <w:rsid w:val="007C3A2D"/>
    <w:rsid w:val="007C6ADC"/>
    <w:rsid w:val="007D07D2"/>
    <w:rsid w:val="007D39FE"/>
    <w:rsid w:val="007D5524"/>
    <w:rsid w:val="007D78E9"/>
    <w:rsid w:val="007E4BB6"/>
    <w:rsid w:val="007E5AF3"/>
    <w:rsid w:val="007E7C78"/>
    <w:rsid w:val="007F3E97"/>
    <w:rsid w:val="007F54E9"/>
    <w:rsid w:val="0080179E"/>
    <w:rsid w:val="00801C41"/>
    <w:rsid w:val="008026C4"/>
    <w:rsid w:val="008028A8"/>
    <w:rsid w:val="00803D3B"/>
    <w:rsid w:val="00804418"/>
    <w:rsid w:val="00804D66"/>
    <w:rsid w:val="00804FB7"/>
    <w:rsid w:val="008056AC"/>
    <w:rsid w:val="00805E55"/>
    <w:rsid w:val="008101F1"/>
    <w:rsid w:val="00812205"/>
    <w:rsid w:val="00812455"/>
    <w:rsid w:val="00812B9C"/>
    <w:rsid w:val="00813036"/>
    <w:rsid w:val="008147E7"/>
    <w:rsid w:val="00814D76"/>
    <w:rsid w:val="00816521"/>
    <w:rsid w:val="008179E6"/>
    <w:rsid w:val="00817CE2"/>
    <w:rsid w:val="008210D7"/>
    <w:rsid w:val="00821630"/>
    <w:rsid w:val="00821D88"/>
    <w:rsid w:val="00823197"/>
    <w:rsid w:val="008241B2"/>
    <w:rsid w:val="0082454A"/>
    <w:rsid w:val="00826E3A"/>
    <w:rsid w:val="0082790B"/>
    <w:rsid w:val="00827D04"/>
    <w:rsid w:val="00831287"/>
    <w:rsid w:val="00832060"/>
    <w:rsid w:val="00832210"/>
    <w:rsid w:val="00833112"/>
    <w:rsid w:val="00834F4A"/>
    <w:rsid w:val="008350D9"/>
    <w:rsid w:val="00835AAC"/>
    <w:rsid w:val="00835B04"/>
    <w:rsid w:val="00836169"/>
    <w:rsid w:val="00836A6B"/>
    <w:rsid w:val="008370E5"/>
    <w:rsid w:val="008373FA"/>
    <w:rsid w:val="00847C81"/>
    <w:rsid w:val="00847CD4"/>
    <w:rsid w:val="0085148D"/>
    <w:rsid w:val="008531F6"/>
    <w:rsid w:val="008541FA"/>
    <w:rsid w:val="00854FC8"/>
    <w:rsid w:val="008568B0"/>
    <w:rsid w:val="00861D62"/>
    <w:rsid w:val="00861FFE"/>
    <w:rsid w:val="008633D7"/>
    <w:rsid w:val="00866651"/>
    <w:rsid w:val="008701A2"/>
    <w:rsid w:val="00872214"/>
    <w:rsid w:val="00872485"/>
    <w:rsid w:val="00873158"/>
    <w:rsid w:val="00875596"/>
    <w:rsid w:val="008768DE"/>
    <w:rsid w:val="00880B9D"/>
    <w:rsid w:val="00880EF6"/>
    <w:rsid w:val="008816F0"/>
    <w:rsid w:val="00881BD9"/>
    <w:rsid w:val="00883636"/>
    <w:rsid w:val="00883A36"/>
    <w:rsid w:val="00883F90"/>
    <w:rsid w:val="00884889"/>
    <w:rsid w:val="0089012F"/>
    <w:rsid w:val="0089039A"/>
    <w:rsid w:val="00891EF2"/>
    <w:rsid w:val="00892A2A"/>
    <w:rsid w:val="00896E28"/>
    <w:rsid w:val="0089786E"/>
    <w:rsid w:val="008A2301"/>
    <w:rsid w:val="008A36F7"/>
    <w:rsid w:val="008A3C89"/>
    <w:rsid w:val="008A6776"/>
    <w:rsid w:val="008A6AC4"/>
    <w:rsid w:val="008A7ACC"/>
    <w:rsid w:val="008B3EC5"/>
    <w:rsid w:val="008B4C4F"/>
    <w:rsid w:val="008B5513"/>
    <w:rsid w:val="008C34A9"/>
    <w:rsid w:val="008C3F4E"/>
    <w:rsid w:val="008C45AA"/>
    <w:rsid w:val="008C5035"/>
    <w:rsid w:val="008C5473"/>
    <w:rsid w:val="008C61E1"/>
    <w:rsid w:val="008C6A1F"/>
    <w:rsid w:val="008C6C05"/>
    <w:rsid w:val="008C7542"/>
    <w:rsid w:val="008C787C"/>
    <w:rsid w:val="008D09EA"/>
    <w:rsid w:val="008D33EE"/>
    <w:rsid w:val="008D4E8E"/>
    <w:rsid w:val="008D56EF"/>
    <w:rsid w:val="008D5A78"/>
    <w:rsid w:val="008D7633"/>
    <w:rsid w:val="008E0628"/>
    <w:rsid w:val="008E0CCA"/>
    <w:rsid w:val="008E170A"/>
    <w:rsid w:val="008E3EEB"/>
    <w:rsid w:val="008E3F47"/>
    <w:rsid w:val="008E432B"/>
    <w:rsid w:val="008E4BB9"/>
    <w:rsid w:val="008E4C30"/>
    <w:rsid w:val="008E73D4"/>
    <w:rsid w:val="008F0824"/>
    <w:rsid w:val="008F22F2"/>
    <w:rsid w:val="008F4C54"/>
    <w:rsid w:val="008F5CAB"/>
    <w:rsid w:val="008F6E34"/>
    <w:rsid w:val="00901623"/>
    <w:rsid w:val="0090526D"/>
    <w:rsid w:val="00911250"/>
    <w:rsid w:val="00912D71"/>
    <w:rsid w:val="00913DFD"/>
    <w:rsid w:val="00914551"/>
    <w:rsid w:val="00916A57"/>
    <w:rsid w:val="00916E67"/>
    <w:rsid w:val="009177D0"/>
    <w:rsid w:val="0092115E"/>
    <w:rsid w:val="00922D5A"/>
    <w:rsid w:val="00923DA9"/>
    <w:rsid w:val="00925A57"/>
    <w:rsid w:val="0092676E"/>
    <w:rsid w:val="0092755A"/>
    <w:rsid w:val="009306A9"/>
    <w:rsid w:val="00930CC9"/>
    <w:rsid w:val="009336F9"/>
    <w:rsid w:val="00935BE8"/>
    <w:rsid w:val="0093655F"/>
    <w:rsid w:val="00943C8C"/>
    <w:rsid w:val="00946559"/>
    <w:rsid w:val="00947CB1"/>
    <w:rsid w:val="009508FC"/>
    <w:rsid w:val="00951245"/>
    <w:rsid w:val="00951DB9"/>
    <w:rsid w:val="0095381E"/>
    <w:rsid w:val="00955CC6"/>
    <w:rsid w:val="00957736"/>
    <w:rsid w:val="00957F2B"/>
    <w:rsid w:val="00961FE5"/>
    <w:rsid w:val="009640F0"/>
    <w:rsid w:val="00964524"/>
    <w:rsid w:val="00966A0E"/>
    <w:rsid w:val="00966FF7"/>
    <w:rsid w:val="00967301"/>
    <w:rsid w:val="00967702"/>
    <w:rsid w:val="0097005A"/>
    <w:rsid w:val="00971BE3"/>
    <w:rsid w:val="00973DB9"/>
    <w:rsid w:val="009762F7"/>
    <w:rsid w:val="0097680C"/>
    <w:rsid w:val="00976C25"/>
    <w:rsid w:val="00977C40"/>
    <w:rsid w:val="00981A59"/>
    <w:rsid w:val="00982A8E"/>
    <w:rsid w:val="009834C8"/>
    <w:rsid w:val="00983B18"/>
    <w:rsid w:val="00983DA4"/>
    <w:rsid w:val="00986097"/>
    <w:rsid w:val="00986E68"/>
    <w:rsid w:val="009947D2"/>
    <w:rsid w:val="009954CE"/>
    <w:rsid w:val="009961B2"/>
    <w:rsid w:val="009A3E8C"/>
    <w:rsid w:val="009A604A"/>
    <w:rsid w:val="009A73A8"/>
    <w:rsid w:val="009B1440"/>
    <w:rsid w:val="009B14BB"/>
    <w:rsid w:val="009B2927"/>
    <w:rsid w:val="009B2BE7"/>
    <w:rsid w:val="009B45DD"/>
    <w:rsid w:val="009B7454"/>
    <w:rsid w:val="009C4272"/>
    <w:rsid w:val="009C7073"/>
    <w:rsid w:val="009D3F3B"/>
    <w:rsid w:val="009D3FD7"/>
    <w:rsid w:val="009D5A08"/>
    <w:rsid w:val="009D6ED0"/>
    <w:rsid w:val="009E0087"/>
    <w:rsid w:val="009E0205"/>
    <w:rsid w:val="009E1ABD"/>
    <w:rsid w:val="009E1F29"/>
    <w:rsid w:val="009E5C4A"/>
    <w:rsid w:val="009E6947"/>
    <w:rsid w:val="009E6B11"/>
    <w:rsid w:val="009F1BCB"/>
    <w:rsid w:val="009F3C5A"/>
    <w:rsid w:val="009F4504"/>
    <w:rsid w:val="009F624C"/>
    <w:rsid w:val="00A0608F"/>
    <w:rsid w:val="00A11629"/>
    <w:rsid w:val="00A12527"/>
    <w:rsid w:val="00A17672"/>
    <w:rsid w:val="00A178A8"/>
    <w:rsid w:val="00A17A1B"/>
    <w:rsid w:val="00A20BD3"/>
    <w:rsid w:val="00A218AC"/>
    <w:rsid w:val="00A21FF8"/>
    <w:rsid w:val="00A24E7E"/>
    <w:rsid w:val="00A25382"/>
    <w:rsid w:val="00A253D2"/>
    <w:rsid w:val="00A27917"/>
    <w:rsid w:val="00A31BBB"/>
    <w:rsid w:val="00A324F0"/>
    <w:rsid w:val="00A35A0E"/>
    <w:rsid w:val="00A35EBD"/>
    <w:rsid w:val="00A376BE"/>
    <w:rsid w:val="00A4071D"/>
    <w:rsid w:val="00A42258"/>
    <w:rsid w:val="00A46446"/>
    <w:rsid w:val="00A47875"/>
    <w:rsid w:val="00A47897"/>
    <w:rsid w:val="00A605BF"/>
    <w:rsid w:val="00A67AC7"/>
    <w:rsid w:val="00A70695"/>
    <w:rsid w:val="00A73741"/>
    <w:rsid w:val="00A75BA8"/>
    <w:rsid w:val="00A76156"/>
    <w:rsid w:val="00A80070"/>
    <w:rsid w:val="00A81A03"/>
    <w:rsid w:val="00A82E4A"/>
    <w:rsid w:val="00A870F5"/>
    <w:rsid w:val="00A87B88"/>
    <w:rsid w:val="00A90382"/>
    <w:rsid w:val="00A927E3"/>
    <w:rsid w:val="00A953B3"/>
    <w:rsid w:val="00A962F4"/>
    <w:rsid w:val="00A96C16"/>
    <w:rsid w:val="00A96E5E"/>
    <w:rsid w:val="00A97C61"/>
    <w:rsid w:val="00AA0EBA"/>
    <w:rsid w:val="00AA1673"/>
    <w:rsid w:val="00AA1CCB"/>
    <w:rsid w:val="00AA2582"/>
    <w:rsid w:val="00AA2771"/>
    <w:rsid w:val="00AA2942"/>
    <w:rsid w:val="00AA2A37"/>
    <w:rsid w:val="00AA3ED1"/>
    <w:rsid w:val="00AA5342"/>
    <w:rsid w:val="00AA6255"/>
    <w:rsid w:val="00AA79CD"/>
    <w:rsid w:val="00AB06E0"/>
    <w:rsid w:val="00AB24E0"/>
    <w:rsid w:val="00AB282E"/>
    <w:rsid w:val="00AB4EF5"/>
    <w:rsid w:val="00AB5871"/>
    <w:rsid w:val="00AB6DC5"/>
    <w:rsid w:val="00AB74B7"/>
    <w:rsid w:val="00AB7A61"/>
    <w:rsid w:val="00AC0DAB"/>
    <w:rsid w:val="00AC341A"/>
    <w:rsid w:val="00AC349E"/>
    <w:rsid w:val="00AC34A6"/>
    <w:rsid w:val="00AC481C"/>
    <w:rsid w:val="00AC4B2E"/>
    <w:rsid w:val="00AC5B88"/>
    <w:rsid w:val="00AC6CC2"/>
    <w:rsid w:val="00AD05F6"/>
    <w:rsid w:val="00AD0643"/>
    <w:rsid w:val="00AD1FFB"/>
    <w:rsid w:val="00AD45FD"/>
    <w:rsid w:val="00AD7A94"/>
    <w:rsid w:val="00AE102A"/>
    <w:rsid w:val="00AE3DD5"/>
    <w:rsid w:val="00AE4344"/>
    <w:rsid w:val="00AE4B8A"/>
    <w:rsid w:val="00AE4C8E"/>
    <w:rsid w:val="00AE6576"/>
    <w:rsid w:val="00AF004F"/>
    <w:rsid w:val="00AF024B"/>
    <w:rsid w:val="00AF0582"/>
    <w:rsid w:val="00AF17EA"/>
    <w:rsid w:val="00AF25A7"/>
    <w:rsid w:val="00AF416E"/>
    <w:rsid w:val="00AF42CC"/>
    <w:rsid w:val="00B019BA"/>
    <w:rsid w:val="00B01E42"/>
    <w:rsid w:val="00B032DC"/>
    <w:rsid w:val="00B03341"/>
    <w:rsid w:val="00B05489"/>
    <w:rsid w:val="00B06DBC"/>
    <w:rsid w:val="00B077D7"/>
    <w:rsid w:val="00B077EE"/>
    <w:rsid w:val="00B10CC0"/>
    <w:rsid w:val="00B17C44"/>
    <w:rsid w:val="00B17D53"/>
    <w:rsid w:val="00B25FE9"/>
    <w:rsid w:val="00B26C37"/>
    <w:rsid w:val="00B35879"/>
    <w:rsid w:val="00B40C89"/>
    <w:rsid w:val="00B4241D"/>
    <w:rsid w:val="00B446B3"/>
    <w:rsid w:val="00B44CB0"/>
    <w:rsid w:val="00B45D27"/>
    <w:rsid w:val="00B46109"/>
    <w:rsid w:val="00B54435"/>
    <w:rsid w:val="00B55AB2"/>
    <w:rsid w:val="00B565CE"/>
    <w:rsid w:val="00B57716"/>
    <w:rsid w:val="00B57838"/>
    <w:rsid w:val="00B60383"/>
    <w:rsid w:val="00B608E1"/>
    <w:rsid w:val="00B63806"/>
    <w:rsid w:val="00B65912"/>
    <w:rsid w:val="00B65B9B"/>
    <w:rsid w:val="00B663E5"/>
    <w:rsid w:val="00B66DF3"/>
    <w:rsid w:val="00B70D09"/>
    <w:rsid w:val="00B71848"/>
    <w:rsid w:val="00B7283C"/>
    <w:rsid w:val="00B72F87"/>
    <w:rsid w:val="00B746CF"/>
    <w:rsid w:val="00B8008F"/>
    <w:rsid w:val="00B8184D"/>
    <w:rsid w:val="00B83BA9"/>
    <w:rsid w:val="00B83E6E"/>
    <w:rsid w:val="00B8413B"/>
    <w:rsid w:val="00B85297"/>
    <w:rsid w:val="00B861BD"/>
    <w:rsid w:val="00B86D9F"/>
    <w:rsid w:val="00B91B1A"/>
    <w:rsid w:val="00B93371"/>
    <w:rsid w:val="00B93A2F"/>
    <w:rsid w:val="00B97679"/>
    <w:rsid w:val="00BA4D1F"/>
    <w:rsid w:val="00BA4F7F"/>
    <w:rsid w:val="00BA5E5C"/>
    <w:rsid w:val="00BA68E7"/>
    <w:rsid w:val="00BB000C"/>
    <w:rsid w:val="00BB205D"/>
    <w:rsid w:val="00BB263B"/>
    <w:rsid w:val="00BB51D8"/>
    <w:rsid w:val="00BB51E6"/>
    <w:rsid w:val="00BB63C7"/>
    <w:rsid w:val="00BB7362"/>
    <w:rsid w:val="00BB7E8B"/>
    <w:rsid w:val="00BC0216"/>
    <w:rsid w:val="00BC03D9"/>
    <w:rsid w:val="00BC2ED0"/>
    <w:rsid w:val="00BC346D"/>
    <w:rsid w:val="00BC7FC9"/>
    <w:rsid w:val="00BD0B21"/>
    <w:rsid w:val="00BD1C33"/>
    <w:rsid w:val="00BD409E"/>
    <w:rsid w:val="00BD7E38"/>
    <w:rsid w:val="00BE021F"/>
    <w:rsid w:val="00BE148F"/>
    <w:rsid w:val="00BE3637"/>
    <w:rsid w:val="00BE6A2C"/>
    <w:rsid w:val="00BE7C51"/>
    <w:rsid w:val="00BF0FE6"/>
    <w:rsid w:val="00BF245C"/>
    <w:rsid w:val="00BF495B"/>
    <w:rsid w:val="00BF71A1"/>
    <w:rsid w:val="00BF7A26"/>
    <w:rsid w:val="00C001A2"/>
    <w:rsid w:val="00C034DC"/>
    <w:rsid w:val="00C063E0"/>
    <w:rsid w:val="00C06446"/>
    <w:rsid w:val="00C065FB"/>
    <w:rsid w:val="00C067DE"/>
    <w:rsid w:val="00C071DD"/>
    <w:rsid w:val="00C07990"/>
    <w:rsid w:val="00C10848"/>
    <w:rsid w:val="00C12B41"/>
    <w:rsid w:val="00C1381D"/>
    <w:rsid w:val="00C13BD7"/>
    <w:rsid w:val="00C13D47"/>
    <w:rsid w:val="00C15BBA"/>
    <w:rsid w:val="00C15C86"/>
    <w:rsid w:val="00C15E1F"/>
    <w:rsid w:val="00C200FC"/>
    <w:rsid w:val="00C20919"/>
    <w:rsid w:val="00C21CD4"/>
    <w:rsid w:val="00C23A38"/>
    <w:rsid w:val="00C2557B"/>
    <w:rsid w:val="00C2583A"/>
    <w:rsid w:val="00C2622C"/>
    <w:rsid w:val="00C31A0F"/>
    <w:rsid w:val="00C333F4"/>
    <w:rsid w:val="00C3353C"/>
    <w:rsid w:val="00C3554E"/>
    <w:rsid w:val="00C36EBF"/>
    <w:rsid w:val="00C43908"/>
    <w:rsid w:val="00C45578"/>
    <w:rsid w:val="00C50DBD"/>
    <w:rsid w:val="00C511DC"/>
    <w:rsid w:val="00C51A2F"/>
    <w:rsid w:val="00C51EED"/>
    <w:rsid w:val="00C52D5F"/>
    <w:rsid w:val="00C54037"/>
    <w:rsid w:val="00C546B0"/>
    <w:rsid w:val="00C54B3D"/>
    <w:rsid w:val="00C570DF"/>
    <w:rsid w:val="00C57A7E"/>
    <w:rsid w:val="00C66E4E"/>
    <w:rsid w:val="00C70448"/>
    <w:rsid w:val="00C726FF"/>
    <w:rsid w:val="00C74DEF"/>
    <w:rsid w:val="00C8037C"/>
    <w:rsid w:val="00C81617"/>
    <w:rsid w:val="00C81D58"/>
    <w:rsid w:val="00C81FCC"/>
    <w:rsid w:val="00C83CED"/>
    <w:rsid w:val="00C851EE"/>
    <w:rsid w:val="00C86490"/>
    <w:rsid w:val="00C86F8F"/>
    <w:rsid w:val="00C90B3C"/>
    <w:rsid w:val="00C92A96"/>
    <w:rsid w:val="00C9395B"/>
    <w:rsid w:val="00C939F7"/>
    <w:rsid w:val="00C96C5C"/>
    <w:rsid w:val="00CA04DC"/>
    <w:rsid w:val="00CA23FC"/>
    <w:rsid w:val="00CA44E0"/>
    <w:rsid w:val="00CA6ED9"/>
    <w:rsid w:val="00CA7C82"/>
    <w:rsid w:val="00CB17EE"/>
    <w:rsid w:val="00CB3EF4"/>
    <w:rsid w:val="00CB4577"/>
    <w:rsid w:val="00CB4B4E"/>
    <w:rsid w:val="00CB5C67"/>
    <w:rsid w:val="00CB6E36"/>
    <w:rsid w:val="00CC2A3C"/>
    <w:rsid w:val="00CC4B01"/>
    <w:rsid w:val="00CC6C19"/>
    <w:rsid w:val="00CD0104"/>
    <w:rsid w:val="00CD3BC9"/>
    <w:rsid w:val="00CD5449"/>
    <w:rsid w:val="00CD6DCA"/>
    <w:rsid w:val="00CE014E"/>
    <w:rsid w:val="00CE4C38"/>
    <w:rsid w:val="00CE4C5A"/>
    <w:rsid w:val="00CE6F22"/>
    <w:rsid w:val="00CE793D"/>
    <w:rsid w:val="00CF1CD8"/>
    <w:rsid w:val="00CF6B04"/>
    <w:rsid w:val="00D00853"/>
    <w:rsid w:val="00D00966"/>
    <w:rsid w:val="00D02B68"/>
    <w:rsid w:val="00D03138"/>
    <w:rsid w:val="00D102D8"/>
    <w:rsid w:val="00D13AA9"/>
    <w:rsid w:val="00D14538"/>
    <w:rsid w:val="00D17569"/>
    <w:rsid w:val="00D20DC4"/>
    <w:rsid w:val="00D22765"/>
    <w:rsid w:val="00D2299D"/>
    <w:rsid w:val="00D233A2"/>
    <w:rsid w:val="00D24110"/>
    <w:rsid w:val="00D250C5"/>
    <w:rsid w:val="00D27388"/>
    <w:rsid w:val="00D31357"/>
    <w:rsid w:val="00D34708"/>
    <w:rsid w:val="00D34D3A"/>
    <w:rsid w:val="00D37D6A"/>
    <w:rsid w:val="00D40214"/>
    <w:rsid w:val="00D409E3"/>
    <w:rsid w:val="00D42BA3"/>
    <w:rsid w:val="00D44C0E"/>
    <w:rsid w:val="00D47BEF"/>
    <w:rsid w:val="00D510FF"/>
    <w:rsid w:val="00D51E6B"/>
    <w:rsid w:val="00D51FE2"/>
    <w:rsid w:val="00D52F0C"/>
    <w:rsid w:val="00D53475"/>
    <w:rsid w:val="00D54B94"/>
    <w:rsid w:val="00D551BB"/>
    <w:rsid w:val="00D564E6"/>
    <w:rsid w:val="00D564EB"/>
    <w:rsid w:val="00D568C6"/>
    <w:rsid w:val="00D611C8"/>
    <w:rsid w:val="00D64803"/>
    <w:rsid w:val="00D65B63"/>
    <w:rsid w:val="00D6700C"/>
    <w:rsid w:val="00D676FA"/>
    <w:rsid w:val="00D71D78"/>
    <w:rsid w:val="00D74689"/>
    <w:rsid w:val="00D76B9E"/>
    <w:rsid w:val="00D7731C"/>
    <w:rsid w:val="00D80382"/>
    <w:rsid w:val="00D8084F"/>
    <w:rsid w:val="00D82F43"/>
    <w:rsid w:val="00D842A6"/>
    <w:rsid w:val="00D84D8F"/>
    <w:rsid w:val="00D861AF"/>
    <w:rsid w:val="00D868D2"/>
    <w:rsid w:val="00D87EEF"/>
    <w:rsid w:val="00D92962"/>
    <w:rsid w:val="00D94676"/>
    <w:rsid w:val="00DA326B"/>
    <w:rsid w:val="00DA4EC2"/>
    <w:rsid w:val="00DB147E"/>
    <w:rsid w:val="00DB3779"/>
    <w:rsid w:val="00DB514F"/>
    <w:rsid w:val="00DB6A7D"/>
    <w:rsid w:val="00DB733E"/>
    <w:rsid w:val="00DC32C5"/>
    <w:rsid w:val="00DC3A96"/>
    <w:rsid w:val="00DC3B80"/>
    <w:rsid w:val="00DC5648"/>
    <w:rsid w:val="00DC6406"/>
    <w:rsid w:val="00DC6CF1"/>
    <w:rsid w:val="00DD2BB9"/>
    <w:rsid w:val="00DD3046"/>
    <w:rsid w:val="00DD3671"/>
    <w:rsid w:val="00DD3841"/>
    <w:rsid w:val="00DD462C"/>
    <w:rsid w:val="00DD53F0"/>
    <w:rsid w:val="00DE0BF4"/>
    <w:rsid w:val="00DE161A"/>
    <w:rsid w:val="00DE2E26"/>
    <w:rsid w:val="00DE3A09"/>
    <w:rsid w:val="00DE5F9C"/>
    <w:rsid w:val="00DE7A82"/>
    <w:rsid w:val="00DF0901"/>
    <w:rsid w:val="00DF2CE3"/>
    <w:rsid w:val="00DF36CE"/>
    <w:rsid w:val="00DF5425"/>
    <w:rsid w:val="00DF6AD1"/>
    <w:rsid w:val="00DF6D9A"/>
    <w:rsid w:val="00DF72CA"/>
    <w:rsid w:val="00DF7FF0"/>
    <w:rsid w:val="00E00F2A"/>
    <w:rsid w:val="00E03962"/>
    <w:rsid w:val="00E03B38"/>
    <w:rsid w:val="00E04253"/>
    <w:rsid w:val="00E102D7"/>
    <w:rsid w:val="00E10405"/>
    <w:rsid w:val="00E104BC"/>
    <w:rsid w:val="00E10F67"/>
    <w:rsid w:val="00E14699"/>
    <w:rsid w:val="00E20E7B"/>
    <w:rsid w:val="00E22D06"/>
    <w:rsid w:val="00E31013"/>
    <w:rsid w:val="00E33E81"/>
    <w:rsid w:val="00E342F7"/>
    <w:rsid w:val="00E34AA8"/>
    <w:rsid w:val="00E37FAE"/>
    <w:rsid w:val="00E418BF"/>
    <w:rsid w:val="00E426F8"/>
    <w:rsid w:val="00E4287F"/>
    <w:rsid w:val="00E42FDE"/>
    <w:rsid w:val="00E43048"/>
    <w:rsid w:val="00E43D29"/>
    <w:rsid w:val="00E4456C"/>
    <w:rsid w:val="00E45812"/>
    <w:rsid w:val="00E45871"/>
    <w:rsid w:val="00E458D4"/>
    <w:rsid w:val="00E5096F"/>
    <w:rsid w:val="00E51786"/>
    <w:rsid w:val="00E5220E"/>
    <w:rsid w:val="00E534C5"/>
    <w:rsid w:val="00E53943"/>
    <w:rsid w:val="00E54AC8"/>
    <w:rsid w:val="00E56829"/>
    <w:rsid w:val="00E60719"/>
    <w:rsid w:val="00E64AED"/>
    <w:rsid w:val="00E64C73"/>
    <w:rsid w:val="00E660DE"/>
    <w:rsid w:val="00E6669E"/>
    <w:rsid w:val="00E67105"/>
    <w:rsid w:val="00E72FEF"/>
    <w:rsid w:val="00E75E48"/>
    <w:rsid w:val="00E76A5B"/>
    <w:rsid w:val="00E773D2"/>
    <w:rsid w:val="00E803EA"/>
    <w:rsid w:val="00E80751"/>
    <w:rsid w:val="00E80962"/>
    <w:rsid w:val="00E81093"/>
    <w:rsid w:val="00E83044"/>
    <w:rsid w:val="00E92079"/>
    <w:rsid w:val="00E922A2"/>
    <w:rsid w:val="00E95B33"/>
    <w:rsid w:val="00E97D5E"/>
    <w:rsid w:val="00EA5893"/>
    <w:rsid w:val="00EA67DA"/>
    <w:rsid w:val="00EA68C1"/>
    <w:rsid w:val="00EA7A8E"/>
    <w:rsid w:val="00EB07BB"/>
    <w:rsid w:val="00EB0C4B"/>
    <w:rsid w:val="00EB4040"/>
    <w:rsid w:val="00EC086C"/>
    <w:rsid w:val="00EC0ABA"/>
    <w:rsid w:val="00EC2D6A"/>
    <w:rsid w:val="00EC39ED"/>
    <w:rsid w:val="00EC63EE"/>
    <w:rsid w:val="00EC6990"/>
    <w:rsid w:val="00EC7734"/>
    <w:rsid w:val="00ED0548"/>
    <w:rsid w:val="00ED0ADC"/>
    <w:rsid w:val="00ED1BFC"/>
    <w:rsid w:val="00ED2654"/>
    <w:rsid w:val="00ED2DA9"/>
    <w:rsid w:val="00ED3806"/>
    <w:rsid w:val="00ED40E3"/>
    <w:rsid w:val="00ED4612"/>
    <w:rsid w:val="00ED524A"/>
    <w:rsid w:val="00ED575C"/>
    <w:rsid w:val="00ED7512"/>
    <w:rsid w:val="00EE22D5"/>
    <w:rsid w:val="00EE261B"/>
    <w:rsid w:val="00EE64F3"/>
    <w:rsid w:val="00EF2B0E"/>
    <w:rsid w:val="00EF46E5"/>
    <w:rsid w:val="00EF55DC"/>
    <w:rsid w:val="00EF772B"/>
    <w:rsid w:val="00EF7CBB"/>
    <w:rsid w:val="00F11908"/>
    <w:rsid w:val="00F16992"/>
    <w:rsid w:val="00F16B73"/>
    <w:rsid w:val="00F1792B"/>
    <w:rsid w:val="00F17A07"/>
    <w:rsid w:val="00F17BD9"/>
    <w:rsid w:val="00F2079D"/>
    <w:rsid w:val="00F211B5"/>
    <w:rsid w:val="00F21D93"/>
    <w:rsid w:val="00F236B3"/>
    <w:rsid w:val="00F25D40"/>
    <w:rsid w:val="00F260EC"/>
    <w:rsid w:val="00F3026F"/>
    <w:rsid w:val="00F3064C"/>
    <w:rsid w:val="00F323BB"/>
    <w:rsid w:val="00F3416B"/>
    <w:rsid w:val="00F34D83"/>
    <w:rsid w:val="00F36F32"/>
    <w:rsid w:val="00F40ACF"/>
    <w:rsid w:val="00F435BF"/>
    <w:rsid w:val="00F43A8D"/>
    <w:rsid w:val="00F4438B"/>
    <w:rsid w:val="00F44B38"/>
    <w:rsid w:val="00F44E1F"/>
    <w:rsid w:val="00F455CD"/>
    <w:rsid w:val="00F46010"/>
    <w:rsid w:val="00F51B66"/>
    <w:rsid w:val="00F52426"/>
    <w:rsid w:val="00F542BC"/>
    <w:rsid w:val="00F55209"/>
    <w:rsid w:val="00F563ED"/>
    <w:rsid w:val="00F61B7E"/>
    <w:rsid w:val="00F66515"/>
    <w:rsid w:val="00F73A68"/>
    <w:rsid w:val="00F773F7"/>
    <w:rsid w:val="00F809BF"/>
    <w:rsid w:val="00F81625"/>
    <w:rsid w:val="00F8330E"/>
    <w:rsid w:val="00F841C4"/>
    <w:rsid w:val="00F85636"/>
    <w:rsid w:val="00F86498"/>
    <w:rsid w:val="00F8772E"/>
    <w:rsid w:val="00F87D9A"/>
    <w:rsid w:val="00F914E3"/>
    <w:rsid w:val="00F91F73"/>
    <w:rsid w:val="00F9302F"/>
    <w:rsid w:val="00F93F4A"/>
    <w:rsid w:val="00F94475"/>
    <w:rsid w:val="00F9740C"/>
    <w:rsid w:val="00FA15BA"/>
    <w:rsid w:val="00FA3A9E"/>
    <w:rsid w:val="00FA434D"/>
    <w:rsid w:val="00FA4AE6"/>
    <w:rsid w:val="00FA4F99"/>
    <w:rsid w:val="00FA5B86"/>
    <w:rsid w:val="00FA7390"/>
    <w:rsid w:val="00FA7ADE"/>
    <w:rsid w:val="00FA7E6B"/>
    <w:rsid w:val="00FB06F7"/>
    <w:rsid w:val="00FB14CF"/>
    <w:rsid w:val="00FB2556"/>
    <w:rsid w:val="00FB32E1"/>
    <w:rsid w:val="00FC33DB"/>
    <w:rsid w:val="00FC5372"/>
    <w:rsid w:val="00FD0DD6"/>
    <w:rsid w:val="00FD0FD1"/>
    <w:rsid w:val="00FD373F"/>
    <w:rsid w:val="00FD4EEA"/>
    <w:rsid w:val="00FD6E66"/>
    <w:rsid w:val="00FD6E8D"/>
    <w:rsid w:val="00FE00D9"/>
    <w:rsid w:val="00FE08B0"/>
    <w:rsid w:val="00FE3579"/>
    <w:rsid w:val="00FE3ABE"/>
    <w:rsid w:val="00FE43B3"/>
    <w:rsid w:val="00FE617E"/>
    <w:rsid w:val="00FE639A"/>
    <w:rsid w:val="00FE797E"/>
    <w:rsid w:val="00FF040D"/>
    <w:rsid w:val="00FF2E6E"/>
    <w:rsid w:val="00FF2F71"/>
    <w:rsid w:val="00FF31F6"/>
    <w:rsid w:val="00FF39E8"/>
    <w:rsid w:val="00FF4F15"/>
    <w:rsid w:val="00FF5C28"/>
    <w:rsid w:val="00FF6C8A"/>
    <w:rsid w:val="00FF71C8"/>
    <w:rsid w:val="00FF7409"/>
    <w:rsid w:val="017D31AE"/>
    <w:rsid w:val="018B5403"/>
    <w:rsid w:val="01FD6356"/>
    <w:rsid w:val="02097669"/>
    <w:rsid w:val="02E9239C"/>
    <w:rsid w:val="02F97B00"/>
    <w:rsid w:val="030654B3"/>
    <w:rsid w:val="03150FBF"/>
    <w:rsid w:val="03451CC6"/>
    <w:rsid w:val="03520482"/>
    <w:rsid w:val="0357188F"/>
    <w:rsid w:val="0365793C"/>
    <w:rsid w:val="03A03C13"/>
    <w:rsid w:val="03AF0465"/>
    <w:rsid w:val="04037F85"/>
    <w:rsid w:val="04561534"/>
    <w:rsid w:val="046D5102"/>
    <w:rsid w:val="049E13D4"/>
    <w:rsid w:val="04F83A68"/>
    <w:rsid w:val="05641A97"/>
    <w:rsid w:val="061F0008"/>
    <w:rsid w:val="06D45E42"/>
    <w:rsid w:val="078725A1"/>
    <w:rsid w:val="079F3753"/>
    <w:rsid w:val="07A21AC6"/>
    <w:rsid w:val="07A768F4"/>
    <w:rsid w:val="07B72AF7"/>
    <w:rsid w:val="07C95455"/>
    <w:rsid w:val="07ED7A9D"/>
    <w:rsid w:val="07FD6DB5"/>
    <w:rsid w:val="08312E95"/>
    <w:rsid w:val="090A5322"/>
    <w:rsid w:val="094E2F8E"/>
    <w:rsid w:val="0A064F39"/>
    <w:rsid w:val="0A4831C7"/>
    <w:rsid w:val="0A6A620F"/>
    <w:rsid w:val="0AB2218E"/>
    <w:rsid w:val="0AE4560E"/>
    <w:rsid w:val="0AF73A9D"/>
    <w:rsid w:val="0AFC6CA1"/>
    <w:rsid w:val="0B094AB8"/>
    <w:rsid w:val="0B7F03DE"/>
    <w:rsid w:val="0B9C31F5"/>
    <w:rsid w:val="0BB261B4"/>
    <w:rsid w:val="0C1A378D"/>
    <w:rsid w:val="0C264442"/>
    <w:rsid w:val="0C4442CF"/>
    <w:rsid w:val="0C9B5551"/>
    <w:rsid w:val="0C9F6ADE"/>
    <w:rsid w:val="0CE265BB"/>
    <w:rsid w:val="0D037ED7"/>
    <w:rsid w:val="0D1B1FB3"/>
    <w:rsid w:val="0D3276FA"/>
    <w:rsid w:val="0D3F3A0E"/>
    <w:rsid w:val="0D4620C4"/>
    <w:rsid w:val="0D6C7986"/>
    <w:rsid w:val="0E5D56D6"/>
    <w:rsid w:val="0E8E2E4B"/>
    <w:rsid w:val="0EE875A6"/>
    <w:rsid w:val="0EFC4988"/>
    <w:rsid w:val="0F1265DE"/>
    <w:rsid w:val="0F21682A"/>
    <w:rsid w:val="0F376AE9"/>
    <w:rsid w:val="0FD80E22"/>
    <w:rsid w:val="10083C70"/>
    <w:rsid w:val="1008458B"/>
    <w:rsid w:val="100E4F4D"/>
    <w:rsid w:val="101B1EBB"/>
    <w:rsid w:val="1079268B"/>
    <w:rsid w:val="107C2364"/>
    <w:rsid w:val="10CF7F6C"/>
    <w:rsid w:val="115D3413"/>
    <w:rsid w:val="119A32D5"/>
    <w:rsid w:val="11B8062E"/>
    <w:rsid w:val="1270150D"/>
    <w:rsid w:val="12844FAC"/>
    <w:rsid w:val="12CB3CCE"/>
    <w:rsid w:val="139C292F"/>
    <w:rsid w:val="13B41F5F"/>
    <w:rsid w:val="14295017"/>
    <w:rsid w:val="14407908"/>
    <w:rsid w:val="14504E56"/>
    <w:rsid w:val="14784274"/>
    <w:rsid w:val="1491347E"/>
    <w:rsid w:val="14AA3D0B"/>
    <w:rsid w:val="14D907C0"/>
    <w:rsid w:val="14EB6229"/>
    <w:rsid w:val="15290116"/>
    <w:rsid w:val="156F3860"/>
    <w:rsid w:val="15C373C0"/>
    <w:rsid w:val="15CD6ACF"/>
    <w:rsid w:val="15DE2DD1"/>
    <w:rsid w:val="16215294"/>
    <w:rsid w:val="16D164BC"/>
    <w:rsid w:val="16FF25C0"/>
    <w:rsid w:val="174C3557"/>
    <w:rsid w:val="17F20816"/>
    <w:rsid w:val="1804388A"/>
    <w:rsid w:val="183D10D6"/>
    <w:rsid w:val="186038F3"/>
    <w:rsid w:val="189A41EE"/>
    <w:rsid w:val="19F71887"/>
    <w:rsid w:val="1A3F549D"/>
    <w:rsid w:val="1A672D7D"/>
    <w:rsid w:val="1B5213BB"/>
    <w:rsid w:val="1BC7492A"/>
    <w:rsid w:val="1BDC5B53"/>
    <w:rsid w:val="1CA0798D"/>
    <w:rsid w:val="1CFF2DD8"/>
    <w:rsid w:val="1D520E2A"/>
    <w:rsid w:val="1DD277B8"/>
    <w:rsid w:val="1E0169AC"/>
    <w:rsid w:val="1E2E57E0"/>
    <w:rsid w:val="1E911BEF"/>
    <w:rsid w:val="1F4F40EC"/>
    <w:rsid w:val="1FF03521"/>
    <w:rsid w:val="202E4094"/>
    <w:rsid w:val="204752C1"/>
    <w:rsid w:val="20611842"/>
    <w:rsid w:val="206D21E8"/>
    <w:rsid w:val="208027EC"/>
    <w:rsid w:val="208F31C4"/>
    <w:rsid w:val="20BB75F9"/>
    <w:rsid w:val="210E1006"/>
    <w:rsid w:val="210F7BDE"/>
    <w:rsid w:val="21180F0D"/>
    <w:rsid w:val="216D1447"/>
    <w:rsid w:val="21B22A5A"/>
    <w:rsid w:val="21D723D0"/>
    <w:rsid w:val="21DC3FC8"/>
    <w:rsid w:val="22132232"/>
    <w:rsid w:val="222A43E0"/>
    <w:rsid w:val="22782470"/>
    <w:rsid w:val="229F2B14"/>
    <w:rsid w:val="22C038DF"/>
    <w:rsid w:val="22CC769A"/>
    <w:rsid w:val="2354395B"/>
    <w:rsid w:val="23616679"/>
    <w:rsid w:val="23D3585B"/>
    <w:rsid w:val="24245322"/>
    <w:rsid w:val="2448004A"/>
    <w:rsid w:val="247D1660"/>
    <w:rsid w:val="24D26D11"/>
    <w:rsid w:val="24FE1BA3"/>
    <w:rsid w:val="250F6430"/>
    <w:rsid w:val="25CA15FA"/>
    <w:rsid w:val="25EF3CC1"/>
    <w:rsid w:val="268F1C52"/>
    <w:rsid w:val="26956D24"/>
    <w:rsid w:val="26FE6FC9"/>
    <w:rsid w:val="2714000A"/>
    <w:rsid w:val="27395304"/>
    <w:rsid w:val="274D1514"/>
    <w:rsid w:val="27922449"/>
    <w:rsid w:val="29227C90"/>
    <w:rsid w:val="29424069"/>
    <w:rsid w:val="29443598"/>
    <w:rsid w:val="29BC11D6"/>
    <w:rsid w:val="2A8E79ED"/>
    <w:rsid w:val="2A961C0F"/>
    <w:rsid w:val="2B816AAA"/>
    <w:rsid w:val="2BBF28EA"/>
    <w:rsid w:val="2BC51433"/>
    <w:rsid w:val="2C250B47"/>
    <w:rsid w:val="2CC650DB"/>
    <w:rsid w:val="2D0465F8"/>
    <w:rsid w:val="2DBD29B6"/>
    <w:rsid w:val="2E445076"/>
    <w:rsid w:val="2E4731CC"/>
    <w:rsid w:val="2E5C17B4"/>
    <w:rsid w:val="2E7A1714"/>
    <w:rsid w:val="2ED94018"/>
    <w:rsid w:val="2EF61E24"/>
    <w:rsid w:val="2F071DD4"/>
    <w:rsid w:val="2F1523E9"/>
    <w:rsid w:val="2F324E12"/>
    <w:rsid w:val="300114AB"/>
    <w:rsid w:val="30701118"/>
    <w:rsid w:val="31734AE5"/>
    <w:rsid w:val="31BB1982"/>
    <w:rsid w:val="322D0A1D"/>
    <w:rsid w:val="3240150B"/>
    <w:rsid w:val="325F4858"/>
    <w:rsid w:val="32951C1A"/>
    <w:rsid w:val="332A3621"/>
    <w:rsid w:val="334B0336"/>
    <w:rsid w:val="337377F8"/>
    <w:rsid w:val="337A31B1"/>
    <w:rsid w:val="33C608F0"/>
    <w:rsid w:val="33D80DE4"/>
    <w:rsid w:val="343541A1"/>
    <w:rsid w:val="344C0550"/>
    <w:rsid w:val="34923C5E"/>
    <w:rsid w:val="357B6346"/>
    <w:rsid w:val="3592377A"/>
    <w:rsid w:val="35A30F5A"/>
    <w:rsid w:val="35F44E13"/>
    <w:rsid w:val="3612365C"/>
    <w:rsid w:val="36346297"/>
    <w:rsid w:val="36563464"/>
    <w:rsid w:val="3660579E"/>
    <w:rsid w:val="36711403"/>
    <w:rsid w:val="371509AD"/>
    <w:rsid w:val="374411E9"/>
    <w:rsid w:val="37CF28A5"/>
    <w:rsid w:val="37FF0E28"/>
    <w:rsid w:val="38236495"/>
    <w:rsid w:val="384D5E10"/>
    <w:rsid w:val="38C00E28"/>
    <w:rsid w:val="391A61C3"/>
    <w:rsid w:val="39221E2D"/>
    <w:rsid w:val="39285AF2"/>
    <w:rsid w:val="3971346A"/>
    <w:rsid w:val="399C2E5B"/>
    <w:rsid w:val="39BF2699"/>
    <w:rsid w:val="39FB0221"/>
    <w:rsid w:val="3AAF434D"/>
    <w:rsid w:val="3B2A692E"/>
    <w:rsid w:val="3B330233"/>
    <w:rsid w:val="3B8D1DF5"/>
    <w:rsid w:val="3CDC7E72"/>
    <w:rsid w:val="3CF00E09"/>
    <w:rsid w:val="3CF6765B"/>
    <w:rsid w:val="3D01313C"/>
    <w:rsid w:val="3D3E0BEC"/>
    <w:rsid w:val="3DF43396"/>
    <w:rsid w:val="3DF62960"/>
    <w:rsid w:val="3ECD0E99"/>
    <w:rsid w:val="3ED56171"/>
    <w:rsid w:val="3FCE45FA"/>
    <w:rsid w:val="400D6DDD"/>
    <w:rsid w:val="402C6700"/>
    <w:rsid w:val="403118EF"/>
    <w:rsid w:val="40674342"/>
    <w:rsid w:val="408F0E48"/>
    <w:rsid w:val="40965E93"/>
    <w:rsid w:val="40F41BE6"/>
    <w:rsid w:val="41547434"/>
    <w:rsid w:val="43552F20"/>
    <w:rsid w:val="43916F36"/>
    <w:rsid w:val="4441404F"/>
    <w:rsid w:val="44DA5705"/>
    <w:rsid w:val="45211DD2"/>
    <w:rsid w:val="45310096"/>
    <w:rsid w:val="45AA03F8"/>
    <w:rsid w:val="45EE4532"/>
    <w:rsid w:val="46431DDE"/>
    <w:rsid w:val="46FE218B"/>
    <w:rsid w:val="47C767A2"/>
    <w:rsid w:val="48C37188"/>
    <w:rsid w:val="48E327A6"/>
    <w:rsid w:val="49B001DB"/>
    <w:rsid w:val="4A2B4D10"/>
    <w:rsid w:val="4A312D2C"/>
    <w:rsid w:val="4B585A7B"/>
    <w:rsid w:val="4BC9556A"/>
    <w:rsid w:val="4BCF1E76"/>
    <w:rsid w:val="4C212AFC"/>
    <w:rsid w:val="4C577725"/>
    <w:rsid w:val="4D131DAF"/>
    <w:rsid w:val="4E13021E"/>
    <w:rsid w:val="4E423DD5"/>
    <w:rsid w:val="4EE6571E"/>
    <w:rsid w:val="4EF96F8F"/>
    <w:rsid w:val="4F760567"/>
    <w:rsid w:val="4F9F7699"/>
    <w:rsid w:val="4FCE427F"/>
    <w:rsid w:val="502A22E5"/>
    <w:rsid w:val="50837450"/>
    <w:rsid w:val="50B90274"/>
    <w:rsid w:val="5111145E"/>
    <w:rsid w:val="513149E8"/>
    <w:rsid w:val="51402E7D"/>
    <w:rsid w:val="517C1FDB"/>
    <w:rsid w:val="517F16E2"/>
    <w:rsid w:val="5188417B"/>
    <w:rsid w:val="518E0D5A"/>
    <w:rsid w:val="52017C7D"/>
    <w:rsid w:val="523D7A9D"/>
    <w:rsid w:val="5258238B"/>
    <w:rsid w:val="525A7653"/>
    <w:rsid w:val="52BB73AC"/>
    <w:rsid w:val="537A62E3"/>
    <w:rsid w:val="542E763B"/>
    <w:rsid w:val="54A510DF"/>
    <w:rsid w:val="55240368"/>
    <w:rsid w:val="55C91693"/>
    <w:rsid w:val="562C0C09"/>
    <w:rsid w:val="565004A8"/>
    <w:rsid w:val="56550E39"/>
    <w:rsid w:val="56BB0085"/>
    <w:rsid w:val="56DF18D5"/>
    <w:rsid w:val="5798044E"/>
    <w:rsid w:val="579E2608"/>
    <w:rsid w:val="57B173BB"/>
    <w:rsid w:val="57E46348"/>
    <w:rsid w:val="5813069E"/>
    <w:rsid w:val="5819504E"/>
    <w:rsid w:val="5847763A"/>
    <w:rsid w:val="589B364F"/>
    <w:rsid w:val="58E26541"/>
    <w:rsid w:val="58FB2815"/>
    <w:rsid w:val="5944495F"/>
    <w:rsid w:val="59BF5174"/>
    <w:rsid w:val="5A532DAD"/>
    <w:rsid w:val="5AEE2B1C"/>
    <w:rsid w:val="5B481735"/>
    <w:rsid w:val="5B89030C"/>
    <w:rsid w:val="5C14118E"/>
    <w:rsid w:val="5D4B4041"/>
    <w:rsid w:val="5D52443D"/>
    <w:rsid w:val="5D617242"/>
    <w:rsid w:val="5DBD054B"/>
    <w:rsid w:val="5DD46B57"/>
    <w:rsid w:val="5E1B2429"/>
    <w:rsid w:val="5E4759B9"/>
    <w:rsid w:val="5E6B63E2"/>
    <w:rsid w:val="5ED219E0"/>
    <w:rsid w:val="5EEF24A4"/>
    <w:rsid w:val="5F6D6725"/>
    <w:rsid w:val="601A1645"/>
    <w:rsid w:val="60654E0A"/>
    <w:rsid w:val="60D16641"/>
    <w:rsid w:val="6118527D"/>
    <w:rsid w:val="61370DEA"/>
    <w:rsid w:val="616E0D3D"/>
    <w:rsid w:val="61A553CC"/>
    <w:rsid w:val="61C31521"/>
    <w:rsid w:val="630B04BB"/>
    <w:rsid w:val="632C02D8"/>
    <w:rsid w:val="637A5100"/>
    <w:rsid w:val="63C4726B"/>
    <w:rsid w:val="63D11F8F"/>
    <w:rsid w:val="63EF5D46"/>
    <w:rsid w:val="642665BA"/>
    <w:rsid w:val="64361247"/>
    <w:rsid w:val="645933E5"/>
    <w:rsid w:val="647E189B"/>
    <w:rsid w:val="6483738E"/>
    <w:rsid w:val="64D4441E"/>
    <w:rsid w:val="64EA3589"/>
    <w:rsid w:val="64FB500E"/>
    <w:rsid w:val="65544D98"/>
    <w:rsid w:val="65C717C5"/>
    <w:rsid w:val="66A86653"/>
    <w:rsid w:val="67EC2600"/>
    <w:rsid w:val="68AD70F9"/>
    <w:rsid w:val="68DB349A"/>
    <w:rsid w:val="68DB5512"/>
    <w:rsid w:val="692F042D"/>
    <w:rsid w:val="69FA56E9"/>
    <w:rsid w:val="6B5E2426"/>
    <w:rsid w:val="6BB838ED"/>
    <w:rsid w:val="6BDF09F6"/>
    <w:rsid w:val="6BE60A7A"/>
    <w:rsid w:val="6BF6142F"/>
    <w:rsid w:val="6C0C6879"/>
    <w:rsid w:val="6C4455E8"/>
    <w:rsid w:val="6C74198C"/>
    <w:rsid w:val="6CCA33CF"/>
    <w:rsid w:val="6CE507CD"/>
    <w:rsid w:val="6D3B4B17"/>
    <w:rsid w:val="6DBF6DFB"/>
    <w:rsid w:val="6DE602AC"/>
    <w:rsid w:val="6EB674FE"/>
    <w:rsid w:val="6EC3727D"/>
    <w:rsid w:val="6ECD166B"/>
    <w:rsid w:val="6EEE522A"/>
    <w:rsid w:val="6F5116C9"/>
    <w:rsid w:val="6F752D91"/>
    <w:rsid w:val="7005763C"/>
    <w:rsid w:val="7073427E"/>
    <w:rsid w:val="70A16B63"/>
    <w:rsid w:val="70C35227"/>
    <w:rsid w:val="71920ECB"/>
    <w:rsid w:val="71E34ABE"/>
    <w:rsid w:val="72145CEC"/>
    <w:rsid w:val="722E35F8"/>
    <w:rsid w:val="72941885"/>
    <w:rsid w:val="72CD26F6"/>
    <w:rsid w:val="72ED7B95"/>
    <w:rsid w:val="733F59BC"/>
    <w:rsid w:val="73917B0C"/>
    <w:rsid w:val="73B63354"/>
    <w:rsid w:val="73E61CC2"/>
    <w:rsid w:val="74052600"/>
    <w:rsid w:val="740653EF"/>
    <w:rsid w:val="75887905"/>
    <w:rsid w:val="75B15B14"/>
    <w:rsid w:val="75B7545F"/>
    <w:rsid w:val="75F56622"/>
    <w:rsid w:val="760E3181"/>
    <w:rsid w:val="76934486"/>
    <w:rsid w:val="76B571DF"/>
    <w:rsid w:val="76C84CA5"/>
    <w:rsid w:val="77346FD1"/>
    <w:rsid w:val="7750356B"/>
    <w:rsid w:val="77533B1B"/>
    <w:rsid w:val="775A17ED"/>
    <w:rsid w:val="77CC0135"/>
    <w:rsid w:val="78410085"/>
    <w:rsid w:val="78654DF4"/>
    <w:rsid w:val="789F52F2"/>
    <w:rsid w:val="78B81351"/>
    <w:rsid w:val="78C57641"/>
    <w:rsid w:val="78ED5874"/>
    <w:rsid w:val="796815C7"/>
    <w:rsid w:val="79AA7D1F"/>
    <w:rsid w:val="7A1F3A84"/>
    <w:rsid w:val="7B7E1B70"/>
    <w:rsid w:val="7BA52AE2"/>
    <w:rsid w:val="7BD73063"/>
    <w:rsid w:val="7C3228D0"/>
    <w:rsid w:val="7C4E2E4C"/>
    <w:rsid w:val="7C577762"/>
    <w:rsid w:val="7D0844A1"/>
    <w:rsid w:val="7D247928"/>
    <w:rsid w:val="7DD10836"/>
    <w:rsid w:val="7DD65096"/>
    <w:rsid w:val="7E26214D"/>
    <w:rsid w:val="7E4F3982"/>
    <w:rsid w:val="7E7E1F77"/>
    <w:rsid w:val="7E8C4596"/>
    <w:rsid w:val="7EE43CDD"/>
    <w:rsid w:val="7F29181D"/>
    <w:rsid w:val="7F507ACB"/>
    <w:rsid w:val="7F541C4F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pt" color="#000000" dashstyle="1 1" endcap="round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Batang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sz w:val="28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qFormat/>
    <w:uiPriority w:val="0"/>
    <w:pPr>
      <w:ind w:left="1050"/>
      <w:jc w:val="left"/>
    </w:pPr>
  </w:style>
  <w:style w:type="paragraph" w:styleId="6">
    <w:name w:val="Normal Indent"/>
    <w:basedOn w:val="1"/>
    <w:autoRedefine/>
    <w:qFormat/>
    <w:uiPriority w:val="99"/>
    <w:pPr>
      <w:spacing w:line="360" w:lineRule="auto"/>
      <w:ind w:firstLine="420"/>
    </w:pPr>
    <w:rPr>
      <w:rFonts w:eastAsia="宋体"/>
      <w:szCs w:val="20"/>
    </w:rPr>
  </w:style>
  <w:style w:type="paragraph" w:styleId="7">
    <w:name w:val="annotation text"/>
    <w:basedOn w:val="1"/>
    <w:link w:val="34"/>
    <w:qFormat/>
    <w:uiPriority w:val="0"/>
    <w:pPr>
      <w:jc w:val="left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toc 5"/>
    <w:basedOn w:val="1"/>
    <w:next w:val="1"/>
    <w:autoRedefine/>
    <w:semiHidden/>
    <w:qFormat/>
    <w:uiPriority w:val="0"/>
    <w:pPr>
      <w:ind w:left="630"/>
      <w:jc w:val="left"/>
    </w:pPr>
  </w:style>
  <w:style w:type="paragraph" w:styleId="10">
    <w:name w:val="toc 3"/>
    <w:basedOn w:val="1"/>
    <w:next w:val="1"/>
    <w:autoRedefine/>
    <w:qFormat/>
    <w:uiPriority w:val="39"/>
    <w:pPr>
      <w:tabs>
        <w:tab w:val="right" w:leader="dot" w:pos="9345"/>
      </w:tabs>
      <w:spacing w:line="440" w:lineRule="exact"/>
      <w:ind w:left="210" w:leftChars="100"/>
      <w:jc w:val="left"/>
    </w:pPr>
    <w:rPr>
      <w:rFonts w:ascii="宋体" w:hAnsi="宋体"/>
      <w:color w:val="FF0000"/>
      <w:sz w:val="24"/>
    </w:rPr>
  </w:style>
  <w:style w:type="paragraph" w:styleId="11">
    <w:name w:val="toc 8"/>
    <w:basedOn w:val="1"/>
    <w:next w:val="1"/>
    <w:autoRedefine/>
    <w:semiHidden/>
    <w:qFormat/>
    <w:uiPriority w:val="0"/>
    <w:pPr>
      <w:ind w:left="1260"/>
      <w:jc w:val="left"/>
    </w:pPr>
  </w:style>
  <w:style w:type="paragraph" w:styleId="12">
    <w:name w:val="Date"/>
    <w:basedOn w:val="1"/>
    <w:next w:val="1"/>
    <w:link w:val="35"/>
    <w:autoRedefine/>
    <w:qFormat/>
    <w:uiPriority w:val="0"/>
    <w:pPr>
      <w:ind w:left="100" w:leftChars="2500"/>
    </w:pPr>
  </w:style>
  <w:style w:type="paragraph" w:styleId="13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next w:val="1"/>
    <w:autoRedefine/>
    <w:qFormat/>
    <w:uiPriority w:val="39"/>
    <w:pPr>
      <w:widowControl w:val="0"/>
      <w:tabs>
        <w:tab w:val="right" w:leader="dot" w:pos="9345"/>
      </w:tabs>
      <w:spacing w:line="360" w:lineRule="auto"/>
    </w:pPr>
    <w:rPr>
      <w:rFonts w:ascii="Arial" w:hAnsi="Arial" w:eastAsia="宋体" w:cs="Times New Roman"/>
      <w:bCs/>
      <w:caps/>
      <w:kern w:val="2"/>
      <w:sz w:val="24"/>
      <w:szCs w:val="21"/>
      <w:lang w:val="en-US" w:eastAsia="zh-CN" w:bidi="ar-SA"/>
    </w:rPr>
  </w:style>
  <w:style w:type="paragraph" w:styleId="17">
    <w:name w:val="toc 4"/>
    <w:basedOn w:val="10"/>
    <w:next w:val="1"/>
    <w:autoRedefine/>
    <w:semiHidden/>
    <w:qFormat/>
    <w:uiPriority w:val="0"/>
    <w:pPr>
      <w:ind w:left="420"/>
    </w:pPr>
  </w:style>
  <w:style w:type="paragraph" w:styleId="18">
    <w:name w:val="footnote text"/>
    <w:basedOn w:val="1"/>
    <w:link w:val="37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19">
    <w:name w:val="toc 6"/>
    <w:basedOn w:val="1"/>
    <w:next w:val="1"/>
    <w:autoRedefine/>
    <w:semiHidden/>
    <w:qFormat/>
    <w:uiPriority w:val="0"/>
    <w:pPr>
      <w:ind w:left="840"/>
      <w:jc w:val="left"/>
    </w:pPr>
  </w:style>
  <w:style w:type="paragraph" w:styleId="20">
    <w:name w:val="toc 2"/>
    <w:basedOn w:val="1"/>
    <w:next w:val="1"/>
    <w:autoRedefine/>
    <w:qFormat/>
    <w:uiPriority w:val="39"/>
    <w:pPr>
      <w:tabs>
        <w:tab w:val="right" w:leader="dot" w:pos="9345"/>
      </w:tabs>
      <w:adjustRightInd w:val="0"/>
      <w:snapToGrid w:val="0"/>
      <w:spacing w:line="360" w:lineRule="auto"/>
      <w:jc w:val="center"/>
    </w:pPr>
    <w:rPr>
      <w:rFonts w:eastAsia="宋体"/>
      <w:bCs/>
      <w:sz w:val="24"/>
    </w:rPr>
  </w:style>
  <w:style w:type="paragraph" w:styleId="21">
    <w:name w:val="toc 9"/>
    <w:basedOn w:val="1"/>
    <w:next w:val="1"/>
    <w:autoRedefine/>
    <w:semiHidden/>
    <w:qFormat/>
    <w:uiPriority w:val="0"/>
    <w:pPr>
      <w:ind w:left="1470"/>
      <w:jc w:val="left"/>
    </w:pPr>
  </w:style>
  <w:style w:type="paragraph" w:styleId="22">
    <w:name w:val="Title"/>
    <w:basedOn w:val="1"/>
    <w:next w:val="1"/>
    <w:link w:val="38"/>
    <w:autoRedefine/>
    <w:qFormat/>
    <w:uiPriority w:val="0"/>
    <w:pPr>
      <w:spacing w:line="360" w:lineRule="auto"/>
      <w:jc w:val="center"/>
      <w:outlineLvl w:val="0"/>
    </w:pPr>
    <w:rPr>
      <w:rFonts w:eastAsia="黑体"/>
      <w:b/>
      <w:bCs/>
      <w:szCs w:val="32"/>
    </w:rPr>
  </w:style>
  <w:style w:type="paragraph" w:styleId="23">
    <w:name w:val="annotation subject"/>
    <w:basedOn w:val="7"/>
    <w:next w:val="7"/>
    <w:link w:val="39"/>
    <w:autoRedefine/>
    <w:qFormat/>
    <w:uiPriority w:val="0"/>
    <w:rPr>
      <w:b/>
      <w:bCs/>
    </w:rPr>
  </w:style>
  <w:style w:type="table" w:styleId="25">
    <w:name w:val="Table Grid"/>
    <w:basedOn w:val="2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autoRedefine/>
    <w:qFormat/>
    <w:uiPriority w:val="0"/>
    <w:rPr>
      <w:b/>
    </w:rPr>
  </w:style>
  <w:style w:type="character" w:styleId="28">
    <w:name w:val="page number"/>
    <w:qFormat/>
    <w:uiPriority w:val="0"/>
    <w:rPr>
      <w:rFonts w:ascii="Times New Roman" w:hAnsi="Times New Roman" w:eastAsia="宋体"/>
      <w:sz w:val="18"/>
    </w:rPr>
  </w:style>
  <w:style w:type="character" w:styleId="29">
    <w:name w:val="Emphasis"/>
    <w:autoRedefine/>
    <w:qFormat/>
    <w:uiPriority w:val="0"/>
    <w:rPr>
      <w:color w:val="CC0000"/>
    </w:rPr>
  </w:style>
  <w:style w:type="character" w:styleId="30">
    <w:name w:val="Hyperlink"/>
    <w:autoRedefine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1">
    <w:name w:val="annotation reference"/>
    <w:autoRedefine/>
    <w:qFormat/>
    <w:uiPriority w:val="0"/>
    <w:rPr>
      <w:sz w:val="21"/>
      <w:szCs w:val="21"/>
    </w:rPr>
  </w:style>
  <w:style w:type="character" w:styleId="32">
    <w:name w:val="HTML Cite"/>
    <w:autoRedefine/>
    <w:qFormat/>
    <w:uiPriority w:val="0"/>
    <w:rPr>
      <w:color w:val="008000"/>
    </w:rPr>
  </w:style>
  <w:style w:type="character" w:styleId="33">
    <w:name w:val="footnote reference"/>
    <w:autoRedefine/>
    <w:qFormat/>
    <w:uiPriority w:val="0"/>
    <w:rPr>
      <w:vertAlign w:val="superscript"/>
    </w:rPr>
  </w:style>
  <w:style w:type="character" w:customStyle="1" w:styleId="34">
    <w:name w:val="批注文字 字符"/>
    <w:link w:val="7"/>
    <w:autoRedefine/>
    <w:qFormat/>
    <w:uiPriority w:val="0"/>
    <w:rPr>
      <w:kern w:val="2"/>
      <w:sz w:val="21"/>
      <w:szCs w:val="24"/>
    </w:rPr>
  </w:style>
  <w:style w:type="character" w:customStyle="1" w:styleId="35">
    <w:name w:val="日期 字符"/>
    <w:link w:val="12"/>
    <w:autoRedefine/>
    <w:qFormat/>
    <w:uiPriority w:val="0"/>
    <w:rPr>
      <w:kern w:val="2"/>
      <w:sz w:val="21"/>
      <w:szCs w:val="24"/>
    </w:rPr>
  </w:style>
  <w:style w:type="character" w:customStyle="1" w:styleId="36">
    <w:name w:val="批注框文本 字符"/>
    <w:link w:val="13"/>
    <w:autoRedefine/>
    <w:qFormat/>
    <w:uiPriority w:val="0"/>
    <w:rPr>
      <w:kern w:val="2"/>
      <w:sz w:val="18"/>
      <w:szCs w:val="18"/>
    </w:rPr>
  </w:style>
  <w:style w:type="character" w:customStyle="1" w:styleId="37">
    <w:name w:val="脚注文本 字符"/>
    <w:link w:val="18"/>
    <w:autoRedefine/>
    <w:qFormat/>
    <w:uiPriority w:val="0"/>
    <w:rPr>
      <w:kern w:val="2"/>
      <w:sz w:val="18"/>
      <w:szCs w:val="18"/>
    </w:rPr>
  </w:style>
  <w:style w:type="character" w:customStyle="1" w:styleId="38">
    <w:name w:val="标题 字符"/>
    <w:link w:val="22"/>
    <w:autoRedefine/>
    <w:qFormat/>
    <w:uiPriority w:val="0"/>
    <w:rPr>
      <w:rFonts w:ascii="Times New Roman" w:hAnsi="Times New Roman" w:eastAsia="黑体" w:cs="Times New Roman"/>
      <w:b/>
      <w:bCs/>
      <w:kern w:val="2"/>
      <w:sz w:val="21"/>
      <w:szCs w:val="32"/>
    </w:rPr>
  </w:style>
  <w:style w:type="character" w:customStyle="1" w:styleId="39">
    <w:name w:val="批注主题 字符"/>
    <w:link w:val="23"/>
    <w:autoRedefine/>
    <w:qFormat/>
    <w:uiPriority w:val="0"/>
    <w:rPr>
      <w:b/>
      <w:bCs/>
      <w:kern w:val="2"/>
      <w:sz w:val="21"/>
      <w:szCs w:val="24"/>
    </w:rPr>
  </w:style>
  <w:style w:type="character" w:customStyle="1" w:styleId="40">
    <w:name w:val="hover23"/>
    <w:autoRedefine/>
    <w:qFormat/>
    <w:uiPriority w:val="0"/>
  </w:style>
  <w:style w:type="character" w:customStyle="1" w:styleId="41">
    <w:name w:val="章标题 Char"/>
    <w:link w:val="42"/>
    <w:autoRedefine/>
    <w:qFormat/>
    <w:uiPriority w:val="0"/>
    <w:rPr>
      <w:rFonts w:ascii="黑体" w:hAnsi="黑体" w:eastAsia="黑体"/>
      <w:sz w:val="24"/>
      <w:lang w:val="en-US" w:eastAsia="zh-CN" w:bidi="ar-SA"/>
    </w:rPr>
  </w:style>
  <w:style w:type="paragraph" w:customStyle="1" w:styleId="42">
    <w:name w:val="章标题"/>
    <w:next w:val="43"/>
    <w:link w:val="41"/>
    <w:autoRedefine/>
    <w:qFormat/>
    <w:uiPriority w:val="0"/>
    <w:pPr>
      <w:numPr>
        <w:ilvl w:val="0"/>
        <w:numId w:val="1"/>
      </w:numPr>
      <w:tabs>
        <w:tab w:val="left" w:pos="420"/>
      </w:tabs>
      <w:spacing w:before="50" w:beforeLines="50" w:after="50" w:afterLines="50"/>
      <w:jc w:val="both"/>
      <w:outlineLvl w:val="1"/>
    </w:pPr>
    <w:rPr>
      <w:rFonts w:ascii="黑体" w:hAnsi="黑体" w:eastAsia="黑体" w:cs="Times New Roman"/>
      <w:sz w:val="24"/>
      <w:lang w:val="en-US" w:eastAsia="zh-CN" w:bidi="ar-SA"/>
    </w:rPr>
  </w:style>
  <w:style w:type="paragraph" w:customStyle="1" w:styleId="43">
    <w:name w:val="段"/>
    <w:autoRedefine/>
    <w:qFormat/>
    <w:uiPriority w:val="0"/>
    <w:pPr>
      <w:autoSpaceDE w:val="0"/>
      <w:autoSpaceDN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color w:val="EE0000"/>
      <w:sz w:val="24"/>
      <w:lang w:val="en-US" w:eastAsia="zh-CN" w:bidi="ar-SA"/>
    </w:rPr>
  </w:style>
  <w:style w:type="character" w:customStyle="1" w:styleId="44">
    <w:name w:val="font121"/>
    <w:autoRedefine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45">
    <w:name w:val="hover1"/>
    <w:autoRedefine/>
    <w:qFormat/>
    <w:uiPriority w:val="0"/>
    <w:rPr>
      <w:color w:val="315EFB"/>
    </w:rPr>
  </w:style>
  <w:style w:type="character" w:customStyle="1" w:styleId="46">
    <w:name w:val="五级条标题 Char"/>
    <w:link w:val="47"/>
    <w:autoRedefine/>
    <w:qFormat/>
    <w:uiPriority w:val="0"/>
  </w:style>
  <w:style w:type="paragraph" w:customStyle="1" w:styleId="47">
    <w:name w:val="五级条标题"/>
    <w:basedOn w:val="48"/>
    <w:next w:val="43"/>
    <w:link w:val="46"/>
    <w:autoRedefine/>
    <w:qFormat/>
    <w:uiPriority w:val="0"/>
    <w:pPr>
      <w:numPr>
        <w:ilvl w:val="6"/>
      </w:numPr>
      <w:tabs>
        <w:tab w:val="left" w:pos="0"/>
        <w:tab w:val="left" w:pos="420"/>
        <w:tab w:val="left" w:pos="3260"/>
      </w:tabs>
      <w:outlineLvl w:val="6"/>
    </w:pPr>
  </w:style>
  <w:style w:type="paragraph" w:customStyle="1" w:styleId="48">
    <w:name w:val="四级条标题"/>
    <w:basedOn w:val="49"/>
    <w:next w:val="43"/>
    <w:autoRedefine/>
    <w:qFormat/>
    <w:uiPriority w:val="0"/>
    <w:pPr>
      <w:numPr>
        <w:ilvl w:val="5"/>
      </w:numPr>
      <w:tabs>
        <w:tab w:val="left" w:pos="0"/>
        <w:tab w:val="left" w:pos="420"/>
        <w:tab w:val="left" w:pos="3260"/>
      </w:tabs>
      <w:outlineLvl w:val="5"/>
    </w:pPr>
  </w:style>
  <w:style w:type="paragraph" w:customStyle="1" w:styleId="49">
    <w:name w:val="三级条标题"/>
    <w:basedOn w:val="50"/>
    <w:next w:val="43"/>
    <w:autoRedefine/>
    <w:qFormat/>
    <w:uiPriority w:val="0"/>
    <w:pPr>
      <w:numPr>
        <w:ilvl w:val="4"/>
        <w:numId w:val="2"/>
      </w:numPr>
      <w:tabs>
        <w:tab w:val="left" w:pos="0"/>
        <w:tab w:val="left" w:pos="420"/>
        <w:tab w:val="left" w:pos="3260"/>
      </w:tabs>
      <w:outlineLvl w:val="4"/>
    </w:pPr>
  </w:style>
  <w:style w:type="paragraph" w:customStyle="1" w:styleId="50">
    <w:name w:val="二级条标题"/>
    <w:basedOn w:val="51"/>
    <w:next w:val="43"/>
    <w:qFormat/>
    <w:uiPriority w:val="0"/>
    <w:pPr>
      <w:numPr>
        <w:ilvl w:val="2"/>
      </w:numPr>
      <w:tabs>
        <w:tab w:val="left" w:pos="0"/>
        <w:tab w:val="left" w:pos="420"/>
        <w:tab w:val="left" w:pos="3260"/>
      </w:tabs>
      <w:spacing w:line="240" w:lineRule="auto"/>
      <w:outlineLvl w:val="3"/>
    </w:pPr>
    <w:rPr>
      <w:rFonts w:ascii="Times New Roman" w:hAnsi="Times New Roman"/>
    </w:rPr>
  </w:style>
  <w:style w:type="paragraph" w:customStyle="1" w:styleId="51">
    <w:name w:val="一级条标题"/>
    <w:basedOn w:val="42"/>
    <w:next w:val="43"/>
    <w:link w:val="52"/>
    <w:autoRedefine/>
    <w:qFormat/>
    <w:uiPriority w:val="0"/>
    <w:pPr>
      <w:numPr>
        <w:ilvl w:val="1"/>
      </w:numPr>
      <w:tabs>
        <w:tab w:val="left" w:pos="0"/>
        <w:tab w:val="left" w:pos="3260"/>
      </w:tabs>
      <w:snapToGrid w:val="0"/>
      <w:spacing w:line="360" w:lineRule="auto"/>
      <w:jc w:val="left"/>
      <w:outlineLvl w:val="0"/>
    </w:pPr>
    <w:rPr>
      <w:rFonts w:eastAsia="宋体"/>
    </w:rPr>
  </w:style>
  <w:style w:type="character" w:customStyle="1" w:styleId="52">
    <w:name w:val="一级条标题 Char"/>
    <w:link w:val="51"/>
    <w:autoRedefine/>
    <w:qFormat/>
    <w:uiPriority w:val="0"/>
    <w:rPr>
      <w:rFonts w:hAnsi="黑体" w:eastAsia="宋体"/>
      <w:sz w:val="24"/>
    </w:rPr>
  </w:style>
  <w:style w:type="character" w:customStyle="1" w:styleId="53">
    <w:name w:val="font11"/>
    <w:autoRedefine/>
    <w:qFormat/>
    <w:uiPriority w:val="0"/>
    <w:rPr>
      <w:rFonts w:hint="default" w:ascii="Times New Roman" w:hAnsi="Times New Roman" w:cs="Times New Roman"/>
      <w:b/>
      <w:color w:val="000000"/>
      <w:sz w:val="12"/>
      <w:szCs w:val="12"/>
      <w:u w:val="none"/>
    </w:rPr>
  </w:style>
  <w:style w:type="character" w:customStyle="1" w:styleId="54">
    <w:name w:val="font91"/>
    <w:autoRedefine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5">
    <w:name w:val="font21"/>
    <w:autoRedefine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56">
    <w:name w:val="font181"/>
    <w:autoRedefine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none"/>
    </w:rPr>
  </w:style>
  <w:style w:type="character" w:customStyle="1" w:styleId="57">
    <w:name w:val="font221"/>
    <w:autoRedefine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8">
    <w:name w:val="c-icon25"/>
    <w:autoRedefine/>
    <w:qFormat/>
    <w:uiPriority w:val="0"/>
  </w:style>
  <w:style w:type="character" w:customStyle="1" w:styleId="59">
    <w:name w:val="标准书眉一 Char"/>
    <w:link w:val="60"/>
    <w:autoRedefine/>
    <w:qFormat/>
    <w:uiPriority w:val="0"/>
    <w:rPr>
      <w:lang w:val="en-US" w:eastAsia="zh-CN" w:bidi="ar-SA"/>
    </w:rPr>
  </w:style>
  <w:style w:type="paragraph" w:customStyle="1" w:styleId="60">
    <w:name w:val="标准书眉一"/>
    <w:link w:val="59"/>
    <w:autoRedefine/>
    <w:qFormat/>
    <w:uiPriority w:val="0"/>
    <w:pPr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61">
    <w:name w:val="hover"/>
    <w:autoRedefine/>
    <w:qFormat/>
    <w:uiPriority w:val="0"/>
  </w:style>
  <w:style w:type="character" w:customStyle="1" w:styleId="62">
    <w:name w:val="font71"/>
    <w:autoRedefine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none"/>
    </w:rPr>
  </w:style>
  <w:style w:type="character" w:customStyle="1" w:styleId="63">
    <w:name w:val="hover24"/>
    <w:autoRedefine/>
    <w:qFormat/>
    <w:uiPriority w:val="0"/>
    <w:rPr>
      <w:color w:val="315EFB"/>
    </w:rPr>
  </w:style>
  <w:style w:type="character" w:customStyle="1" w:styleId="64">
    <w:name w:val="c-icon28"/>
    <w:autoRedefine/>
    <w:qFormat/>
    <w:uiPriority w:val="0"/>
  </w:style>
  <w:style w:type="paragraph" w:customStyle="1" w:styleId="65">
    <w:name w:val="封面一致性程度标识"/>
    <w:autoRedefine/>
    <w:qFormat/>
    <w:uiPriority w:val="0"/>
    <w:pPr>
      <w:spacing w:before="440" w:line="400" w:lineRule="exact"/>
      <w:jc w:val="center"/>
    </w:pPr>
    <w:rPr>
      <w:rFonts w:ascii="宋体" w:hAnsi="Times New Roman" w:eastAsia="Batang" w:cs="Times New Roman"/>
      <w:sz w:val="28"/>
      <w:lang w:val="en-US" w:eastAsia="zh-CN" w:bidi="ar-SA"/>
    </w:rPr>
  </w:style>
  <w:style w:type="paragraph" w:customStyle="1" w:styleId="66">
    <w:name w:val="标准书脚_奇数页"/>
    <w:autoRedefine/>
    <w:qFormat/>
    <w:uiPriority w:val="0"/>
    <w:pPr>
      <w:spacing w:before="120"/>
      <w:jc w:val="right"/>
    </w:pPr>
    <w:rPr>
      <w:rFonts w:ascii="Times New Roman" w:hAnsi="Times New Roman" w:eastAsia="Batang" w:cs="Times New Roman"/>
      <w:sz w:val="18"/>
      <w:lang w:val="en-US" w:eastAsia="zh-CN" w:bidi="ar-SA"/>
    </w:rPr>
  </w:style>
  <w:style w:type="paragraph" w:customStyle="1" w:styleId="67">
    <w:name w:val="附录一级条标题"/>
    <w:basedOn w:val="68"/>
    <w:next w:val="43"/>
    <w:autoRedefine/>
    <w:qFormat/>
    <w:uiPriority w:val="0"/>
    <w:pPr>
      <w:numPr>
        <w:ilvl w:val="2"/>
      </w:numPr>
      <w:autoSpaceDN w:val="0"/>
      <w:spacing w:before="0" w:beforeLines="0" w:after="0" w:afterLines="0"/>
      <w:outlineLvl w:val="2"/>
    </w:pPr>
  </w:style>
  <w:style w:type="paragraph" w:customStyle="1" w:styleId="68">
    <w:name w:val="附录章标题"/>
    <w:next w:val="43"/>
    <w:autoRedefine/>
    <w:qFormat/>
    <w:uiPriority w:val="0"/>
    <w:pPr>
      <w:numPr>
        <w:ilvl w:val="1"/>
        <w:numId w:val="3"/>
      </w:numPr>
      <w:wordWrap w:val="0"/>
      <w:overflowPunct w:val="0"/>
      <w:autoSpaceDE w:val="0"/>
      <w:spacing w:before="156" w:beforeLines="50" w:after="156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69">
    <w:name w:val="其他发布部门"/>
    <w:basedOn w:val="1"/>
    <w:autoRedefine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36"/>
      <w:szCs w:val="20"/>
    </w:rPr>
  </w:style>
  <w:style w:type="paragraph" w:customStyle="1" w:styleId="70">
    <w:name w:val="Body text|1"/>
    <w:basedOn w:val="1"/>
    <w:autoRedefine/>
    <w:qFormat/>
    <w:uiPriority w:val="0"/>
    <w:pPr>
      <w:spacing w:after="80" w:line="377" w:lineRule="auto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71">
    <w:name w:val="_Style 70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72">
    <w:name w:val="封面标准英文名称"/>
    <w:autoRedefine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Batang" w:cs="Times New Roman"/>
      <w:sz w:val="28"/>
      <w:lang w:val="en-US" w:eastAsia="zh-CN" w:bidi="ar-SA"/>
    </w:rPr>
  </w:style>
  <w:style w:type="paragraph" w:customStyle="1" w:styleId="73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4">
    <w:name w:val="封面正文"/>
    <w:autoRedefine/>
    <w:qFormat/>
    <w:uiPriority w:val="0"/>
    <w:pPr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75">
    <w:name w:val="标准书脚_偶数页"/>
    <w:autoRedefine/>
    <w:qFormat/>
    <w:uiPriority w:val="0"/>
    <w:pPr>
      <w:spacing w:before="120"/>
    </w:pPr>
    <w:rPr>
      <w:rFonts w:ascii="Times New Roman" w:hAnsi="Times New Roman" w:eastAsia="Batang" w:cs="Times New Roman"/>
      <w:sz w:val="18"/>
      <w:lang w:val="en-US" w:eastAsia="zh-CN" w:bidi="ar-SA"/>
    </w:rPr>
  </w:style>
  <w:style w:type="paragraph" w:customStyle="1" w:styleId="76">
    <w:name w:val="默认段落字体 Para Char Char Char Char Char Char Char Char Char Char"/>
    <w:basedOn w:val="1"/>
    <w:autoRedefine/>
    <w:qFormat/>
    <w:uiPriority w:val="0"/>
  </w:style>
  <w:style w:type="paragraph" w:customStyle="1" w:styleId="77">
    <w:name w:val="其他标准称谓"/>
    <w:autoRedefine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78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79">
    <w:name w:val="Char Char"/>
    <w:basedOn w:val="1"/>
    <w:autoRedefine/>
    <w:qFormat/>
    <w:uiPriority w:val="0"/>
  </w:style>
  <w:style w:type="paragraph" w:customStyle="1" w:styleId="80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81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Batang" w:cs="Times New Roman"/>
      <w:sz w:val="21"/>
      <w:lang w:val="en-US" w:eastAsia="zh-CN" w:bidi="ar-SA"/>
    </w:rPr>
  </w:style>
  <w:style w:type="paragraph" w:customStyle="1" w:styleId="82">
    <w:name w:val="目次、标准名称标题"/>
    <w:basedOn w:val="83"/>
    <w:next w:val="43"/>
    <w:qFormat/>
    <w:uiPriority w:val="0"/>
    <w:pPr>
      <w:numPr>
        <w:numId w:val="0"/>
      </w:numPr>
      <w:spacing w:line="460" w:lineRule="exact"/>
    </w:pPr>
  </w:style>
  <w:style w:type="paragraph" w:customStyle="1" w:styleId="83">
    <w:name w:val="前言、引言标题"/>
    <w:next w:val="1"/>
    <w:autoRedefine/>
    <w:qFormat/>
    <w:uiPriority w:val="0"/>
    <w:pPr>
      <w:numPr>
        <w:ilvl w:val="0"/>
        <w:numId w:val="2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84">
    <w:name w:val="Other|1"/>
    <w:basedOn w:val="1"/>
    <w:autoRedefine/>
    <w:qFormat/>
    <w:uiPriority w:val="0"/>
    <w:pPr>
      <w:spacing w:after="80" w:line="377" w:lineRule="auto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85">
    <w:name w:val="WPSOffice手动目录 1"/>
    <w:autoRedefine/>
    <w:qFormat/>
    <w:uiPriority w:val="0"/>
    <w:rPr>
      <w:rFonts w:ascii="Times New Roman" w:hAnsi="Times New Roman" w:eastAsia="Batang" w:cs="Times New Roman"/>
      <w:lang w:val="en-US" w:eastAsia="zh-CN" w:bidi="ar-SA"/>
    </w:rPr>
  </w:style>
  <w:style w:type="paragraph" w:customStyle="1" w:styleId="86">
    <w:name w:val="封面标准号2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  <w:szCs w:val="20"/>
    </w:rPr>
  </w:style>
  <w:style w:type="paragraph" w:customStyle="1" w:styleId="87">
    <w:name w:val="Body text|2"/>
    <w:basedOn w:val="1"/>
    <w:autoRedefine/>
    <w:qFormat/>
    <w:uiPriority w:val="0"/>
    <w:pPr>
      <w:spacing w:line="384" w:lineRule="auto"/>
    </w:pPr>
  </w:style>
  <w:style w:type="paragraph" w:customStyle="1" w:styleId="88">
    <w:name w:val="注"/>
    <w:basedOn w:val="1"/>
    <w:next w:val="8"/>
    <w:autoRedefine/>
    <w:qFormat/>
    <w:uiPriority w:val="0"/>
    <w:pPr>
      <w:numPr>
        <w:ilvl w:val="0"/>
        <w:numId w:val="4"/>
      </w:numPr>
      <w:adjustRightInd w:val="0"/>
      <w:spacing w:line="360" w:lineRule="auto"/>
      <w:ind w:firstLine="480" w:firstLineChars="200"/>
      <w:textAlignment w:val="baseline"/>
      <w:outlineLvl w:val="0"/>
    </w:pPr>
    <w:rPr>
      <w:rFonts w:eastAsia="宋体"/>
      <w:kern w:val="0"/>
      <w:sz w:val="24"/>
      <w:szCs w:val="20"/>
    </w:rPr>
  </w:style>
  <w:style w:type="paragraph" w:customStyle="1" w:styleId="89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Batang" w:cs="Times New Roman"/>
      <w:sz w:val="24"/>
      <w:lang w:val="en-US" w:eastAsia="zh-CN" w:bidi="ar-SA"/>
    </w:rPr>
  </w:style>
  <w:style w:type="paragraph" w:customStyle="1" w:styleId="90">
    <w:name w:val="发布日期"/>
    <w:autoRedefine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91">
    <w:name w:val="实施日期"/>
    <w:basedOn w:val="90"/>
    <w:autoRedefine/>
    <w:qFormat/>
    <w:uiPriority w:val="0"/>
    <w:pPr>
      <w:framePr w:hSpace="0" w:wrap="around" w:xAlign="right"/>
      <w:jc w:val="right"/>
    </w:pPr>
  </w:style>
  <w:style w:type="paragraph" w:customStyle="1" w:styleId="92">
    <w:name w:val="标准书眉_偶数页"/>
    <w:basedOn w:val="80"/>
    <w:next w:val="1"/>
    <w:autoRedefine/>
    <w:qFormat/>
    <w:uiPriority w:val="0"/>
    <w:pPr>
      <w:jc w:val="left"/>
    </w:pPr>
  </w:style>
  <w:style w:type="paragraph" w:customStyle="1" w:styleId="93">
    <w:name w:val="标准标志"/>
    <w:next w:val="1"/>
    <w:autoRedefine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Batang" w:cs="Times New Roman"/>
      <w:b/>
      <w:w w:val="130"/>
      <w:sz w:val="96"/>
      <w:lang w:val="en-US" w:eastAsia="zh-CN" w:bidi="ar-SA"/>
    </w:rPr>
  </w:style>
  <w:style w:type="paragraph" w:customStyle="1" w:styleId="94">
    <w:name w:val="Char"/>
    <w:basedOn w:val="1"/>
    <w:autoRedefine/>
    <w:qFormat/>
    <w:uiPriority w:val="0"/>
    <w:pPr>
      <w:adjustRightInd w:val="0"/>
      <w:snapToGrid w:val="0"/>
      <w:ind w:firstLine="200" w:firstLineChars="200"/>
    </w:pPr>
    <w:rPr>
      <w:rFonts w:ascii="Tahoma" w:hAnsi="Tahoma" w:eastAsia="仿宋_GB2312"/>
      <w:snapToGrid w:val="0"/>
      <w:kern w:val="0"/>
      <w:sz w:val="24"/>
      <w:szCs w:val="20"/>
    </w:rPr>
  </w:style>
  <w:style w:type="paragraph" w:customStyle="1" w:styleId="95">
    <w:name w:val="封面标准文稿编辑信息"/>
    <w:autoRedefine/>
    <w:qFormat/>
    <w:uiPriority w:val="0"/>
    <w:pPr>
      <w:spacing w:before="180" w:line="180" w:lineRule="exact"/>
      <w:jc w:val="center"/>
    </w:pPr>
    <w:rPr>
      <w:rFonts w:ascii="宋体" w:hAnsi="Times New Roman" w:eastAsia="Batang" w:cs="Times New Roman"/>
      <w:sz w:val="21"/>
      <w:lang w:val="en-US" w:eastAsia="zh-CN" w:bidi="ar-SA"/>
    </w:rPr>
  </w:style>
  <w:style w:type="paragraph" w:customStyle="1" w:styleId="96">
    <w:name w:val="Table caption|1"/>
    <w:basedOn w:val="1"/>
    <w:autoRedefine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97">
    <w:name w:val="Header or footer|2"/>
    <w:basedOn w:val="1"/>
    <w:autoRedefine/>
    <w:qFormat/>
    <w:uiPriority w:val="0"/>
    <w:rPr>
      <w:sz w:val="20"/>
      <w:szCs w:val="20"/>
    </w:rPr>
  </w:style>
  <w:style w:type="character" w:customStyle="1" w:styleId="98">
    <w:name w:val="font0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9">
    <w:name w:val="font51"/>
    <w:autoRedefine/>
    <w:qFormat/>
    <w:uiPriority w:val="0"/>
    <w:rPr>
      <w:rFonts w:hint="eastAsia" w:ascii="宋体" w:hAnsi="宋体" w:eastAsia="宋体" w:cs="宋体"/>
      <w:i/>
      <w:color w:val="000000"/>
      <w:sz w:val="18"/>
      <w:szCs w:val="18"/>
      <w:u w:val="none"/>
    </w:rPr>
  </w:style>
  <w:style w:type="character" w:customStyle="1" w:styleId="100">
    <w:name w:val="font41"/>
    <w:autoRedefine/>
    <w:qFormat/>
    <w:uiPriority w:val="0"/>
    <w:rPr>
      <w:rFonts w:hint="eastAsia" w:ascii="宋体" w:hAnsi="宋体" w:eastAsia="宋体" w:cs="宋体"/>
      <w:i/>
      <w:color w:val="000000"/>
      <w:sz w:val="18"/>
      <w:szCs w:val="18"/>
      <w:u w:val="none"/>
      <w:vertAlign w:val="subscript"/>
    </w:rPr>
  </w:style>
  <w:style w:type="character" w:customStyle="1" w:styleId="101">
    <w:name w:val="图题及表格"/>
    <w:basedOn w:val="26"/>
    <w:autoRedefine/>
    <w:qFormat/>
    <w:uiPriority w:val="0"/>
    <w:rPr>
      <w:rFonts w:ascii="Times New Roman" w:hAnsi="Times New Roman" w:eastAsia="宋体"/>
      <w:color w:val="000000" w:themeColor="text1"/>
      <w:sz w:val="21"/>
      <w14:textFill>
        <w14:solidFill>
          <w14:schemeClr w14:val="tx1"/>
        </w14:solidFill>
      </w14:textFill>
    </w:rPr>
  </w:style>
  <w:style w:type="character" w:customStyle="1" w:styleId="102">
    <w:name w:val="表题"/>
    <w:autoRedefine/>
    <w:qFormat/>
    <w:uiPriority w:val="0"/>
    <w:rPr>
      <w:rFonts w:hint="eastAsia" w:ascii="Times New Roman" w:hAnsi="Times New Roman" w:eastAsia="黑体" w:cs="黑体"/>
      <w:color w:val="000000"/>
      <w:sz w:val="21"/>
      <w:szCs w:val="20"/>
      <w:u w:val="none"/>
    </w:rPr>
  </w:style>
  <w:style w:type="paragraph" w:styleId="103">
    <w:name w:val="List Paragraph"/>
    <w:basedOn w:val="1"/>
    <w:autoRedefine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7.bin"/><Relationship Id="rId98" Type="http://schemas.openxmlformats.org/officeDocument/2006/relationships/oleObject" Target="embeddings/oleObject36.bin"/><Relationship Id="rId97" Type="http://schemas.openxmlformats.org/officeDocument/2006/relationships/image" Target="media/image39.wmf"/><Relationship Id="rId96" Type="http://schemas.openxmlformats.org/officeDocument/2006/relationships/oleObject" Target="embeddings/oleObject35.bin"/><Relationship Id="rId95" Type="http://schemas.openxmlformats.org/officeDocument/2006/relationships/image" Target="media/image38.wmf"/><Relationship Id="rId94" Type="http://schemas.openxmlformats.org/officeDocument/2006/relationships/oleObject" Target="embeddings/oleObject34.bin"/><Relationship Id="rId93" Type="http://schemas.openxmlformats.org/officeDocument/2006/relationships/image" Target="media/image37.wmf"/><Relationship Id="rId92" Type="http://schemas.openxmlformats.org/officeDocument/2006/relationships/oleObject" Target="embeddings/oleObject33.bin"/><Relationship Id="rId91" Type="http://schemas.openxmlformats.org/officeDocument/2006/relationships/image" Target="media/image36.wmf"/><Relationship Id="rId90" Type="http://schemas.openxmlformats.org/officeDocument/2006/relationships/oleObject" Target="embeddings/oleObject32.bin"/><Relationship Id="rId9" Type="http://schemas.openxmlformats.org/officeDocument/2006/relationships/header" Target="header5.xml"/><Relationship Id="rId89" Type="http://schemas.openxmlformats.org/officeDocument/2006/relationships/image" Target="media/image35.wmf"/><Relationship Id="rId88" Type="http://schemas.openxmlformats.org/officeDocument/2006/relationships/oleObject" Target="embeddings/oleObject31.bin"/><Relationship Id="rId87" Type="http://schemas.openxmlformats.org/officeDocument/2006/relationships/image" Target="media/image34.wmf"/><Relationship Id="rId86" Type="http://schemas.openxmlformats.org/officeDocument/2006/relationships/oleObject" Target="embeddings/oleObject30.bin"/><Relationship Id="rId85" Type="http://schemas.openxmlformats.org/officeDocument/2006/relationships/image" Target="media/image33.wmf"/><Relationship Id="rId84" Type="http://schemas.openxmlformats.org/officeDocument/2006/relationships/oleObject" Target="embeddings/oleObject29.bin"/><Relationship Id="rId83" Type="http://schemas.openxmlformats.org/officeDocument/2006/relationships/image" Target="media/image32.wmf"/><Relationship Id="rId82" Type="http://schemas.openxmlformats.org/officeDocument/2006/relationships/oleObject" Target="embeddings/oleObject28.bin"/><Relationship Id="rId81" Type="http://schemas.openxmlformats.org/officeDocument/2006/relationships/image" Target="media/image31.wmf"/><Relationship Id="rId80" Type="http://schemas.openxmlformats.org/officeDocument/2006/relationships/oleObject" Target="embeddings/oleObject27.bin"/><Relationship Id="rId8" Type="http://schemas.openxmlformats.org/officeDocument/2006/relationships/header" Target="header4.xml"/><Relationship Id="rId79" Type="http://schemas.openxmlformats.org/officeDocument/2006/relationships/image" Target="media/image30.wmf"/><Relationship Id="rId78" Type="http://schemas.openxmlformats.org/officeDocument/2006/relationships/oleObject" Target="embeddings/oleObject26.bin"/><Relationship Id="rId77" Type="http://schemas.openxmlformats.org/officeDocument/2006/relationships/image" Target="media/image29.wmf"/><Relationship Id="rId76" Type="http://schemas.openxmlformats.org/officeDocument/2006/relationships/oleObject" Target="embeddings/oleObject25.bin"/><Relationship Id="rId75" Type="http://schemas.openxmlformats.org/officeDocument/2006/relationships/image" Target="media/image28.wmf"/><Relationship Id="rId74" Type="http://schemas.openxmlformats.org/officeDocument/2006/relationships/oleObject" Target="embeddings/oleObject24.bin"/><Relationship Id="rId73" Type="http://schemas.openxmlformats.org/officeDocument/2006/relationships/image" Target="media/image27.wmf"/><Relationship Id="rId72" Type="http://schemas.openxmlformats.org/officeDocument/2006/relationships/oleObject" Target="embeddings/oleObject23.bin"/><Relationship Id="rId71" Type="http://schemas.openxmlformats.org/officeDocument/2006/relationships/image" Target="media/image26.wmf"/><Relationship Id="rId70" Type="http://schemas.openxmlformats.org/officeDocument/2006/relationships/oleObject" Target="embeddings/oleObject22.bin"/><Relationship Id="rId7" Type="http://schemas.openxmlformats.org/officeDocument/2006/relationships/footer" Target="footer2.xml"/><Relationship Id="rId69" Type="http://schemas.openxmlformats.org/officeDocument/2006/relationships/image" Target="media/image25.wmf"/><Relationship Id="rId68" Type="http://schemas.openxmlformats.org/officeDocument/2006/relationships/oleObject" Target="embeddings/oleObject21.bin"/><Relationship Id="rId67" Type="http://schemas.openxmlformats.org/officeDocument/2006/relationships/image" Target="media/image24.wmf"/><Relationship Id="rId66" Type="http://schemas.openxmlformats.org/officeDocument/2006/relationships/oleObject" Target="embeddings/oleObject20.bin"/><Relationship Id="rId65" Type="http://schemas.openxmlformats.org/officeDocument/2006/relationships/image" Target="media/image23.wmf"/><Relationship Id="rId64" Type="http://schemas.openxmlformats.org/officeDocument/2006/relationships/oleObject" Target="embeddings/oleObject19.bin"/><Relationship Id="rId63" Type="http://schemas.openxmlformats.org/officeDocument/2006/relationships/image" Target="media/image22.wmf"/><Relationship Id="rId62" Type="http://schemas.openxmlformats.org/officeDocument/2006/relationships/oleObject" Target="embeddings/oleObject18.bin"/><Relationship Id="rId61" Type="http://schemas.openxmlformats.org/officeDocument/2006/relationships/image" Target="media/image21.wmf"/><Relationship Id="rId60" Type="http://schemas.openxmlformats.org/officeDocument/2006/relationships/oleObject" Target="embeddings/oleObject17.bin"/><Relationship Id="rId6" Type="http://schemas.openxmlformats.org/officeDocument/2006/relationships/footer" Target="footer1.xml"/><Relationship Id="rId59" Type="http://schemas.openxmlformats.org/officeDocument/2006/relationships/image" Target="media/image20.wmf"/><Relationship Id="rId58" Type="http://schemas.openxmlformats.org/officeDocument/2006/relationships/oleObject" Target="embeddings/oleObject16.bin"/><Relationship Id="rId57" Type="http://schemas.openxmlformats.org/officeDocument/2006/relationships/image" Target="media/image19.wmf"/><Relationship Id="rId56" Type="http://schemas.openxmlformats.org/officeDocument/2006/relationships/oleObject" Target="embeddings/oleObject15.bin"/><Relationship Id="rId55" Type="http://schemas.openxmlformats.org/officeDocument/2006/relationships/image" Target="media/image18.wmf"/><Relationship Id="rId54" Type="http://schemas.openxmlformats.org/officeDocument/2006/relationships/oleObject" Target="embeddings/oleObject14.bin"/><Relationship Id="rId53" Type="http://schemas.openxmlformats.org/officeDocument/2006/relationships/image" Target="media/image17.wmf"/><Relationship Id="rId52" Type="http://schemas.openxmlformats.org/officeDocument/2006/relationships/oleObject" Target="embeddings/oleObject13.bin"/><Relationship Id="rId51" Type="http://schemas.openxmlformats.org/officeDocument/2006/relationships/image" Target="media/image16.wmf"/><Relationship Id="rId50" Type="http://schemas.openxmlformats.org/officeDocument/2006/relationships/oleObject" Target="embeddings/oleObject12.bin"/><Relationship Id="rId5" Type="http://schemas.openxmlformats.org/officeDocument/2006/relationships/header" Target="header3.xml"/><Relationship Id="rId49" Type="http://schemas.openxmlformats.org/officeDocument/2006/relationships/image" Target="media/image15.wmf"/><Relationship Id="rId48" Type="http://schemas.openxmlformats.org/officeDocument/2006/relationships/oleObject" Target="embeddings/oleObject11.bin"/><Relationship Id="rId47" Type="http://schemas.openxmlformats.org/officeDocument/2006/relationships/image" Target="media/image14.wmf"/><Relationship Id="rId46" Type="http://schemas.openxmlformats.org/officeDocument/2006/relationships/oleObject" Target="embeddings/oleObject10.bin"/><Relationship Id="rId45" Type="http://schemas.openxmlformats.org/officeDocument/2006/relationships/image" Target="media/image13.wmf"/><Relationship Id="rId44" Type="http://schemas.openxmlformats.org/officeDocument/2006/relationships/oleObject" Target="embeddings/oleObject9.bin"/><Relationship Id="rId43" Type="http://schemas.openxmlformats.org/officeDocument/2006/relationships/image" Target="media/image12.wmf"/><Relationship Id="rId42" Type="http://schemas.openxmlformats.org/officeDocument/2006/relationships/oleObject" Target="embeddings/oleObject8.bin"/><Relationship Id="rId41" Type="http://schemas.openxmlformats.org/officeDocument/2006/relationships/image" Target="media/image11.wmf"/><Relationship Id="rId40" Type="http://schemas.openxmlformats.org/officeDocument/2006/relationships/oleObject" Target="embeddings/oleObject7.bin"/><Relationship Id="rId4" Type="http://schemas.openxmlformats.org/officeDocument/2006/relationships/header" Target="header2.xml"/><Relationship Id="rId39" Type="http://schemas.openxmlformats.org/officeDocument/2006/relationships/image" Target="media/image10.wmf"/><Relationship Id="rId38" Type="http://schemas.openxmlformats.org/officeDocument/2006/relationships/oleObject" Target="embeddings/oleObject6.bin"/><Relationship Id="rId37" Type="http://schemas.openxmlformats.org/officeDocument/2006/relationships/image" Target="media/image9.wmf"/><Relationship Id="rId36" Type="http://schemas.openxmlformats.org/officeDocument/2006/relationships/oleObject" Target="embeddings/oleObject5.bin"/><Relationship Id="rId35" Type="http://schemas.openxmlformats.org/officeDocument/2006/relationships/image" Target="media/image8.wmf"/><Relationship Id="rId34" Type="http://schemas.openxmlformats.org/officeDocument/2006/relationships/oleObject" Target="embeddings/oleObject4.bin"/><Relationship Id="rId33" Type="http://schemas.openxmlformats.org/officeDocument/2006/relationships/image" Target="media/image7.wmf"/><Relationship Id="rId32" Type="http://schemas.openxmlformats.org/officeDocument/2006/relationships/oleObject" Target="embeddings/oleObject3.bin"/><Relationship Id="rId31" Type="http://schemas.openxmlformats.org/officeDocument/2006/relationships/image" Target="media/image6.wmf"/><Relationship Id="rId30" Type="http://schemas.openxmlformats.org/officeDocument/2006/relationships/oleObject" Target="embeddings/oleObject2.bin"/><Relationship Id="rId3" Type="http://schemas.openxmlformats.org/officeDocument/2006/relationships/header" Target="header1.xml"/><Relationship Id="rId29" Type="http://schemas.openxmlformats.org/officeDocument/2006/relationships/image" Target="media/image5.wmf"/><Relationship Id="rId28" Type="http://schemas.openxmlformats.org/officeDocument/2006/relationships/oleObject" Target="embeddings/oleObject1.bin"/><Relationship Id="rId27" Type="http://schemas.openxmlformats.org/officeDocument/2006/relationships/image" Target="media/image4.png"/><Relationship Id="rId26" Type="http://schemas.openxmlformats.org/officeDocument/2006/relationships/image" Target="media/image3.png"/><Relationship Id="rId25" Type="http://schemas.openxmlformats.org/officeDocument/2006/relationships/image" Target="media/image2.emf"/><Relationship Id="rId24" Type="http://schemas.openxmlformats.org/officeDocument/2006/relationships/image" Target="media/image1.emf"/><Relationship Id="rId23" Type="http://schemas.openxmlformats.org/officeDocument/2006/relationships/theme" Target="theme/theme1.xml"/><Relationship Id="rId22" Type="http://schemas.openxmlformats.org/officeDocument/2006/relationships/footer" Target="footer11.xml"/><Relationship Id="rId21" Type="http://schemas.openxmlformats.org/officeDocument/2006/relationships/footer" Target="footer10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header" Target="header8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header" Target="header7.xml"/><Relationship Id="rId13" Type="http://schemas.openxmlformats.org/officeDocument/2006/relationships/footer" Target="footer5.xml"/><Relationship Id="rId12" Type="http://schemas.openxmlformats.org/officeDocument/2006/relationships/header" Target="header6.xml"/><Relationship Id="rId114" Type="http://schemas.openxmlformats.org/officeDocument/2006/relationships/fontTable" Target="fontTable.xml"/><Relationship Id="rId113" Type="http://schemas.openxmlformats.org/officeDocument/2006/relationships/numbering" Target="numbering.xml"/><Relationship Id="rId112" Type="http://schemas.openxmlformats.org/officeDocument/2006/relationships/customXml" Target="../customXml/item1.xml"/><Relationship Id="rId111" Type="http://schemas.openxmlformats.org/officeDocument/2006/relationships/image" Target="media/image45.wmf"/><Relationship Id="rId110" Type="http://schemas.openxmlformats.org/officeDocument/2006/relationships/oleObject" Target="embeddings/oleObject43.bin"/><Relationship Id="rId11" Type="http://schemas.openxmlformats.org/officeDocument/2006/relationships/footer" Target="footer4.xml"/><Relationship Id="rId109" Type="http://schemas.openxmlformats.org/officeDocument/2006/relationships/image" Target="media/image44.wmf"/><Relationship Id="rId108" Type="http://schemas.openxmlformats.org/officeDocument/2006/relationships/oleObject" Target="embeddings/oleObject42.bin"/><Relationship Id="rId107" Type="http://schemas.openxmlformats.org/officeDocument/2006/relationships/image" Target="media/image43.wmf"/><Relationship Id="rId106" Type="http://schemas.openxmlformats.org/officeDocument/2006/relationships/oleObject" Target="embeddings/oleObject41.bin"/><Relationship Id="rId105" Type="http://schemas.openxmlformats.org/officeDocument/2006/relationships/image" Target="media/image42.wmf"/><Relationship Id="rId104" Type="http://schemas.openxmlformats.org/officeDocument/2006/relationships/oleObject" Target="embeddings/oleObject40.bin"/><Relationship Id="rId103" Type="http://schemas.openxmlformats.org/officeDocument/2006/relationships/oleObject" Target="embeddings/oleObject39.bin"/><Relationship Id="rId102" Type="http://schemas.openxmlformats.org/officeDocument/2006/relationships/image" Target="media/image41.wmf"/><Relationship Id="rId101" Type="http://schemas.openxmlformats.org/officeDocument/2006/relationships/oleObject" Target="embeddings/oleObject38.bin"/><Relationship Id="rId100" Type="http://schemas.openxmlformats.org/officeDocument/2006/relationships/image" Target="media/image40.wmf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5021</Words>
  <Characters>5346</Characters>
  <Lines>699</Lines>
  <Paragraphs>623</Paragraphs>
  <TotalTime>5</TotalTime>
  <ScaleCrop>false</ScaleCrop>
  <LinksUpToDate>false</LinksUpToDate>
  <CharactersWithSpaces>5697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2017-12-06T03:12:00Z</dcterms:created>
  <dc:creator>User</dc:creator>
  <cp:lastModifiedBy>@已重置</cp:lastModifiedBy>
  <cp:lastPrinted>2024-03-29T02:09:00Z</cp:lastPrinted>
  <dcterms:modified xsi:type="dcterms:W3CDTF">2026-03-17T01:29:34Z</dcterms:modified>
  <dc:title> 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5628AC52AC574D449444F997D773D5FE_13</vt:lpwstr>
  </property>
  <property fmtid="{D5CDD505-2E9C-101B-9397-08002B2CF9AE}" pid="4" name="KSOTemplateDocerSaveRecord">
    <vt:lpwstr>eyJoZGlkIjoiMjA4MGE1MDYyZjJlYzc1ZmY2MDI1ODcxZDQyNWY1ZmYiLCJ1c2VySWQiOiI0MDI2NzAwMjEifQ==</vt:lpwstr>
  </property>
</Properties>
</file>