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8D80A">
      <w:pPr>
        <w:pStyle w:val="98"/>
        <w:jc w:val="center"/>
        <w:rPr>
          <w:rFonts w:ascii="黑体" w:hAnsi="黑体" w:eastAsia="黑体"/>
          <w:sz w:val="24"/>
          <w:szCs w:val="24"/>
        </w:rPr>
      </w:pPr>
      <w:bookmarkStart w:id="0" w:name="_Toc464728891"/>
      <w:bookmarkStart w:id="1" w:name="SectionMark4"/>
    </w:p>
    <w:p w14:paraId="24EDB649">
      <w:pPr>
        <w:pStyle w:val="98"/>
        <w:jc w:val="center"/>
        <w:rPr>
          <w:rFonts w:ascii="黑体" w:hAnsi="黑体" w:eastAsia="黑体"/>
          <w:sz w:val="24"/>
          <w:szCs w:val="24"/>
        </w:rPr>
      </w:pPr>
    </w:p>
    <w:p w14:paraId="702D3ABC">
      <w:pPr>
        <w:pStyle w:val="98"/>
        <w:jc w:val="center"/>
        <w:rPr>
          <w:rFonts w:ascii="黑体" w:hAnsi="黑体" w:eastAsia="黑体"/>
          <w:sz w:val="24"/>
          <w:szCs w:val="24"/>
        </w:rPr>
      </w:pPr>
    </w:p>
    <w:p w14:paraId="101F9C16">
      <w:pPr>
        <w:pStyle w:val="98"/>
        <w:jc w:val="center"/>
        <w:rPr>
          <w:rFonts w:ascii="黑体" w:hAnsi="黑体" w:eastAsia="黑体"/>
          <w:sz w:val="24"/>
          <w:szCs w:val="24"/>
        </w:rPr>
      </w:pPr>
    </w:p>
    <w:p w14:paraId="3CF265ED">
      <w:pPr>
        <w:pStyle w:val="98"/>
        <w:jc w:val="center"/>
        <w:rPr>
          <w:rFonts w:ascii="黑体" w:hAnsi="黑体" w:eastAsia="黑体"/>
          <w:sz w:val="24"/>
          <w:szCs w:val="24"/>
        </w:rPr>
      </w:pPr>
    </w:p>
    <w:p w14:paraId="1BDA9348">
      <w:pPr>
        <w:pStyle w:val="98"/>
        <w:jc w:val="center"/>
        <w:rPr>
          <w:rFonts w:ascii="黑体" w:hAnsi="黑体" w:eastAsia="黑体"/>
          <w:sz w:val="24"/>
          <w:szCs w:val="24"/>
        </w:rPr>
      </w:pPr>
    </w:p>
    <w:p w14:paraId="76CD0193">
      <w:pPr>
        <w:pStyle w:val="98"/>
        <w:jc w:val="center"/>
        <w:rPr>
          <w:rFonts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27FCCB0E">
                            <w:pPr>
                              <w:pStyle w:val="75"/>
                              <w:rPr>
                                <w:rFonts w:hAnsi="黑体" w:cs="黑体"/>
                                <w:sz w:val="44"/>
                                <w:szCs w:val="44"/>
                              </w:rPr>
                            </w:pPr>
                            <w:bookmarkStart w:id="90"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0"/>
                          <w:p w14:paraId="4E664C58">
                            <w:pPr>
                              <w:pStyle w:val="75"/>
                              <w:rPr>
                                <w:rFonts w:hAnsi="黑体" w:cs="黑体"/>
                                <w:szCs w:val="52"/>
                              </w:rPr>
                            </w:pPr>
                            <w:r>
                              <w:rPr>
                                <w:rFonts w:hint="eastAsia" w:hAnsi="黑体" w:cs="黑体"/>
                                <w:szCs w:val="52"/>
                              </w:rPr>
                              <w:t>数显半径测量仪校准规范</w:t>
                            </w:r>
                          </w:p>
                          <w:p w14:paraId="46AE08D2">
                            <w:pPr>
                              <w:jc w:val="center"/>
                              <w:rPr>
                                <w:rFonts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27FCCB0E">
                      <w:pPr>
                        <w:pStyle w:val="75"/>
                        <w:rPr>
                          <w:rFonts w:hAnsi="黑体" w:cs="黑体"/>
                          <w:sz w:val="44"/>
                          <w:szCs w:val="44"/>
                        </w:rPr>
                      </w:pPr>
                      <w:bookmarkStart w:id="90" w:name="_Hlk23687263"/>
                      <w:r>
                        <w:rPr>
                          <w:rFonts w:hint="eastAsia" w:hAnsi="黑体" w:cs="黑体"/>
                          <w:sz w:val="44"/>
                          <w:szCs w:val="44"/>
                        </w:rPr>
                        <w:t>JJF（有色金属）</w:t>
                      </w:r>
                      <w:r>
                        <w:rPr>
                          <w:rFonts w:hAnsi="黑体" w:cs="黑体"/>
                          <w:sz w:val="44"/>
                          <w:szCs w:val="44"/>
                        </w:rPr>
                        <w:t>XXXX</w:t>
                      </w:r>
                      <w:r>
                        <w:rPr>
                          <w:rFonts w:hint="eastAsia" w:hAnsi="黑体" w:cs="黑体"/>
                          <w:sz w:val="44"/>
                          <w:szCs w:val="44"/>
                        </w:rPr>
                        <w:t>—</w:t>
                      </w:r>
                      <w:r>
                        <w:rPr>
                          <w:rFonts w:hAnsi="黑体" w:cs="黑体"/>
                          <w:sz w:val="44"/>
                          <w:szCs w:val="44"/>
                        </w:rPr>
                        <w:t>XXXX</w:t>
                      </w:r>
                    </w:p>
                    <w:bookmarkEnd w:id="90"/>
                    <w:p w14:paraId="4E664C58">
                      <w:pPr>
                        <w:pStyle w:val="75"/>
                        <w:rPr>
                          <w:rFonts w:hAnsi="黑体" w:cs="黑体"/>
                          <w:szCs w:val="52"/>
                        </w:rPr>
                      </w:pPr>
                      <w:r>
                        <w:rPr>
                          <w:rFonts w:hint="eastAsia" w:hAnsi="黑体" w:cs="黑体"/>
                          <w:szCs w:val="52"/>
                        </w:rPr>
                        <w:t>数显半径测量仪校准规范</w:t>
                      </w:r>
                    </w:p>
                    <w:p w14:paraId="46AE08D2">
                      <w:pPr>
                        <w:jc w:val="center"/>
                        <w:rPr>
                          <w:rFonts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6998E6DB">
      <w:pPr>
        <w:pStyle w:val="98"/>
        <w:jc w:val="center"/>
        <w:rPr>
          <w:rFonts w:ascii="黑体" w:hAnsi="黑体" w:eastAsia="黑体"/>
          <w:sz w:val="24"/>
          <w:szCs w:val="24"/>
        </w:rPr>
      </w:pPr>
    </w:p>
    <w:p w14:paraId="372AB240">
      <w:pPr>
        <w:pStyle w:val="98"/>
        <w:jc w:val="center"/>
        <w:rPr>
          <w:rFonts w:ascii="黑体" w:hAnsi="黑体" w:eastAsia="黑体"/>
          <w:sz w:val="24"/>
          <w:szCs w:val="24"/>
        </w:rPr>
      </w:pPr>
    </w:p>
    <w:p w14:paraId="1D27CBF5">
      <w:pPr>
        <w:pStyle w:val="98"/>
        <w:jc w:val="center"/>
        <w:rPr>
          <w:rFonts w:ascii="黑体" w:hAnsi="黑体" w:eastAsia="黑体"/>
          <w:sz w:val="24"/>
          <w:szCs w:val="24"/>
        </w:rPr>
      </w:pPr>
    </w:p>
    <w:p w14:paraId="63AEAAD5">
      <w:pPr>
        <w:pStyle w:val="98"/>
        <w:jc w:val="center"/>
        <w:rPr>
          <w:rFonts w:ascii="黑体" w:hAnsi="黑体" w:eastAsia="黑体"/>
          <w:sz w:val="24"/>
          <w:szCs w:val="24"/>
        </w:rPr>
      </w:pPr>
    </w:p>
    <w:p w14:paraId="17001E91">
      <w:pPr>
        <w:pStyle w:val="98"/>
        <w:jc w:val="center"/>
        <w:rPr>
          <w:rFonts w:ascii="黑体" w:hAnsi="黑体" w:eastAsia="黑体"/>
          <w:sz w:val="24"/>
          <w:szCs w:val="24"/>
        </w:rPr>
      </w:pPr>
    </w:p>
    <w:p w14:paraId="6AA14319">
      <w:pPr>
        <w:pStyle w:val="98"/>
        <w:jc w:val="center"/>
        <w:rPr>
          <w:rFonts w:ascii="黑体" w:hAnsi="黑体" w:eastAsia="黑体"/>
          <w:sz w:val="24"/>
          <w:szCs w:val="24"/>
        </w:rPr>
      </w:pPr>
    </w:p>
    <w:p w14:paraId="4C70F06F">
      <w:pPr>
        <w:pStyle w:val="98"/>
        <w:jc w:val="center"/>
        <w:rPr>
          <w:rFonts w:ascii="黑体" w:hAnsi="黑体" w:eastAsia="黑体"/>
          <w:sz w:val="24"/>
          <w:szCs w:val="24"/>
        </w:rPr>
      </w:pPr>
    </w:p>
    <w:p w14:paraId="0D2C582A">
      <w:pPr>
        <w:pStyle w:val="98"/>
        <w:jc w:val="center"/>
        <w:rPr>
          <w:rFonts w:ascii="黑体" w:hAnsi="黑体" w:eastAsia="黑体"/>
          <w:sz w:val="24"/>
          <w:szCs w:val="24"/>
        </w:rPr>
      </w:pPr>
    </w:p>
    <w:p w14:paraId="61AD6AC0">
      <w:pPr>
        <w:pStyle w:val="98"/>
        <w:jc w:val="center"/>
        <w:rPr>
          <w:rFonts w:ascii="黑体" w:hAnsi="黑体" w:eastAsia="黑体"/>
          <w:sz w:val="24"/>
          <w:szCs w:val="24"/>
        </w:rPr>
      </w:pPr>
    </w:p>
    <w:p w14:paraId="2F8A0726">
      <w:pPr>
        <w:pStyle w:val="98"/>
        <w:jc w:val="center"/>
        <w:rPr>
          <w:rFonts w:ascii="黑体" w:hAnsi="黑体" w:eastAsia="黑体"/>
          <w:sz w:val="24"/>
          <w:szCs w:val="24"/>
        </w:rPr>
      </w:pPr>
    </w:p>
    <w:p w14:paraId="5B152430">
      <w:pPr>
        <w:pStyle w:val="98"/>
        <w:jc w:val="center"/>
        <w:rPr>
          <w:rFonts w:ascii="黑体" w:hAnsi="黑体" w:eastAsia="黑体"/>
          <w:sz w:val="24"/>
          <w:szCs w:val="24"/>
        </w:rPr>
      </w:pPr>
    </w:p>
    <w:p w14:paraId="1A5786CE">
      <w:pPr>
        <w:pStyle w:val="98"/>
        <w:jc w:val="center"/>
        <w:rPr>
          <w:rFonts w:ascii="黑体" w:hAnsi="黑体" w:eastAsia="黑体"/>
          <w:sz w:val="24"/>
          <w:szCs w:val="24"/>
        </w:rPr>
      </w:pPr>
    </w:p>
    <w:p w14:paraId="32470830">
      <w:pPr>
        <w:pStyle w:val="98"/>
        <w:jc w:val="center"/>
        <w:rPr>
          <w:rFonts w:ascii="黑体" w:hAnsi="黑体" w:eastAsia="黑体"/>
          <w:sz w:val="24"/>
          <w:szCs w:val="24"/>
        </w:rPr>
      </w:pPr>
    </w:p>
    <w:p w14:paraId="3C81D2F9">
      <w:pPr>
        <w:pStyle w:val="98"/>
        <w:jc w:val="center"/>
        <w:rPr>
          <w:rFonts w:ascii="黑体" w:hAnsi="黑体" w:eastAsia="黑体"/>
          <w:sz w:val="24"/>
          <w:szCs w:val="24"/>
        </w:rPr>
      </w:pPr>
    </w:p>
    <w:p w14:paraId="1637B376">
      <w:pPr>
        <w:pStyle w:val="98"/>
        <w:jc w:val="center"/>
        <w:rPr>
          <w:rFonts w:ascii="黑体" w:hAnsi="黑体" w:eastAsia="黑体"/>
          <w:sz w:val="24"/>
          <w:szCs w:val="24"/>
        </w:rPr>
      </w:pPr>
    </w:p>
    <w:p w14:paraId="3473BA75">
      <w:pPr>
        <w:pStyle w:val="98"/>
        <w:jc w:val="center"/>
        <w:rPr>
          <w:rFonts w:ascii="黑体" w:hAnsi="黑体" w:eastAsia="黑体"/>
          <w:sz w:val="24"/>
          <w:szCs w:val="24"/>
        </w:rPr>
      </w:pPr>
    </w:p>
    <w:p w14:paraId="0AE9FDBC">
      <w:pPr>
        <w:pStyle w:val="98"/>
        <w:jc w:val="center"/>
        <w:rPr>
          <w:rFonts w:ascii="黑体" w:hAnsi="黑体" w:eastAsia="黑体"/>
          <w:sz w:val="24"/>
          <w:szCs w:val="24"/>
        </w:rPr>
      </w:pPr>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3E2261E5">
                            <w:pPr>
                              <w:pStyle w:val="67"/>
                              <w:spacing w:before="600"/>
                              <w:rPr>
                                <w:rFonts w:ascii="黑体" w:hAnsi="黑体" w:eastAsia="黑体"/>
                                <w:sz w:val="36"/>
                                <w:szCs w:val="36"/>
                              </w:rPr>
                            </w:pPr>
                            <w:r>
                              <w:rPr>
                                <w:rFonts w:hint="eastAsia" w:ascii="黑体" w:hAnsi="黑体" w:eastAsia="黑体"/>
                                <w:sz w:val="36"/>
                                <w:szCs w:val="36"/>
                                <w:lang w:val="en-US" w:eastAsia="zh-CN"/>
                              </w:rPr>
                              <w:t>审定</w:t>
                            </w:r>
                            <w:r>
                              <w:rPr>
                                <w:rFonts w:hint="eastAsia" w:ascii="黑体" w:hAnsi="黑体" w:eastAsia="黑体"/>
                                <w:sz w:val="36"/>
                                <w:szCs w:val="36"/>
                              </w:rPr>
                              <w:t>稿</w:t>
                            </w:r>
                          </w:p>
                          <w:p w14:paraId="54CD4E7D">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03</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3E2261E5">
                      <w:pPr>
                        <w:pStyle w:val="67"/>
                        <w:spacing w:before="600"/>
                        <w:rPr>
                          <w:rFonts w:ascii="黑体" w:hAnsi="黑体" w:eastAsia="黑体"/>
                          <w:sz w:val="36"/>
                          <w:szCs w:val="36"/>
                        </w:rPr>
                      </w:pPr>
                      <w:r>
                        <w:rPr>
                          <w:rFonts w:hint="eastAsia" w:ascii="黑体" w:hAnsi="黑体" w:eastAsia="黑体"/>
                          <w:sz w:val="36"/>
                          <w:szCs w:val="36"/>
                          <w:lang w:val="en-US" w:eastAsia="zh-CN"/>
                        </w:rPr>
                        <w:t>审定</w:t>
                      </w:r>
                      <w:r>
                        <w:rPr>
                          <w:rFonts w:hint="eastAsia" w:ascii="黑体" w:hAnsi="黑体" w:eastAsia="黑体"/>
                          <w:sz w:val="36"/>
                          <w:szCs w:val="36"/>
                        </w:rPr>
                        <w:t>稿</w:t>
                      </w:r>
                    </w:p>
                    <w:p w14:paraId="54CD4E7D">
                      <w:pPr>
                        <w:pStyle w:val="67"/>
                        <w:spacing w:before="600"/>
                        <w:rPr>
                          <w:rFonts w:hint="default" w:ascii="黑体" w:hAnsi="黑体" w:eastAsia="黑体"/>
                          <w:sz w:val="36"/>
                          <w:szCs w:val="36"/>
                          <w:lang w:val="en-US" w:eastAsia="zh-CN"/>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lang w:val="en-US" w:eastAsia="zh-CN"/>
                        </w:rPr>
                        <w:t>6</w:t>
                      </w:r>
                      <w:r>
                        <w:rPr>
                          <w:rFonts w:hint="eastAsia" w:ascii="黑体" w:hAnsi="黑体" w:eastAsia="黑体"/>
                          <w:sz w:val="36"/>
                          <w:szCs w:val="36"/>
                        </w:rPr>
                        <w:t>-</w:t>
                      </w:r>
                      <w:r>
                        <w:rPr>
                          <w:rFonts w:hint="eastAsia" w:ascii="黑体" w:hAnsi="黑体" w:eastAsia="黑体"/>
                          <w:sz w:val="36"/>
                          <w:szCs w:val="36"/>
                          <w:lang w:val="en-US" w:eastAsia="zh-CN"/>
                        </w:rPr>
                        <w:t>03</w:t>
                      </w:r>
                    </w:p>
                  </w:txbxContent>
                </v:textbox>
                <w10:anchorlock/>
              </v:rect>
            </w:pict>
          </mc:Fallback>
        </mc:AlternateContent>
      </w:r>
    </w:p>
    <w:p w14:paraId="247FB68D">
      <w:pPr>
        <w:pStyle w:val="98"/>
        <w:jc w:val="center"/>
        <w:rPr>
          <w:rFonts w:ascii="黑体" w:hAnsi="黑体" w:eastAsia="黑体"/>
          <w:sz w:val="24"/>
          <w:szCs w:val="24"/>
        </w:rPr>
      </w:pPr>
    </w:p>
    <w:p w14:paraId="20BE5A78">
      <w:pPr>
        <w:pStyle w:val="98"/>
        <w:jc w:val="center"/>
        <w:rPr>
          <w:rFonts w:ascii="黑体" w:hAnsi="黑体" w:eastAsia="黑体"/>
          <w:sz w:val="24"/>
          <w:szCs w:val="24"/>
        </w:rPr>
      </w:pPr>
    </w:p>
    <w:p w14:paraId="6297CB3F">
      <w:pPr>
        <w:pStyle w:val="98"/>
        <w:jc w:val="center"/>
        <w:rPr>
          <w:rFonts w:ascii="黑体" w:hAnsi="黑体" w:eastAsia="黑体"/>
          <w:sz w:val="24"/>
          <w:szCs w:val="24"/>
        </w:rPr>
      </w:pPr>
    </w:p>
    <w:p w14:paraId="3E8F73BA">
      <w:pPr>
        <w:pStyle w:val="98"/>
        <w:jc w:val="center"/>
        <w:rPr>
          <w:rFonts w:ascii="黑体" w:hAnsi="黑体" w:eastAsia="黑体"/>
          <w:sz w:val="24"/>
          <w:szCs w:val="24"/>
        </w:rPr>
      </w:pPr>
    </w:p>
    <w:p w14:paraId="700842F5">
      <w:pPr>
        <w:pStyle w:val="98"/>
        <w:jc w:val="center"/>
        <w:rPr>
          <w:rFonts w:ascii="黑体" w:hAnsi="黑体" w:eastAsia="黑体"/>
          <w:sz w:val="24"/>
          <w:szCs w:val="24"/>
        </w:rPr>
      </w:pPr>
    </w:p>
    <w:p w14:paraId="34F1788B">
      <w:pPr>
        <w:pStyle w:val="98"/>
        <w:jc w:val="center"/>
        <w:rPr>
          <w:rFonts w:ascii="黑体" w:hAnsi="黑体" w:eastAsia="黑体"/>
          <w:sz w:val="24"/>
          <w:szCs w:val="24"/>
        </w:rPr>
      </w:pPr>
    </w:p>
    <w:p w14:paraId="7134794C">
      <w:pPr>
        <w:pStyle w:val="98"/>
        <w:jc w:val="center"/>
        <w:rPr>
          <w:rFonts w:ascii="黑体" w:hAnsi="黑体" w:eastAsia="黑体"/>
          <w:sz w:val="24"/>
          <w:szCs w:val="24"/>
        </w:rPr>
      </w:pPr>
    </w:p>
    <w:p w14:paraId="7624FBA6">
      <w:pPr>
        <w:pStyle w:val="98"/>
        <w:jc w:val="center"/>
        <w:rPr>
          <w:rFonts w:ascii="黑体" w:hAnsi="黑体" w:eastAsia="黑体"/>
          <w:sz w:val="24"/>
          <w:szCs w:val="24"/>
        </w:rPr>
      </w:pPr>
    </w:p>
    <w:p w14:paraId="34A7F5F7">
      <w:pPr>
        <w:pStyle w:val="98"/>
        <w:jc w:val="center"/>
        <w:rPr>
          <w:rFonts w:ascii="黑体" w:hAnsi="黑体" w:eastAsia="黑体"/>
          <w:sz w:val="24"/>
          <w:szCs w:val="24"/>
        </w:rPr>
      </w:pPr>
    </w:p>
    <w:p w14:paraId="55D36970">
      <w:pPr>
        <w:pStyle w:val="98"/>
        <w:jc w:val="center"/>
        <w:rPr>
          <w:rFonts w:ascii="黑体" w:hAnsi="黑体" w:eastAsia="黑体"/>
          <w:sz w:val="24"/>
          <w:szCs w:val="24"/>
        </w:rPr>
      </w:pPr>
    </w:p>
    <w:p w14:paraId="2098BA49">
      <w:pPr>
        <w:pStyle w:val="98"/>
        <w:jc w:val="center"/>
        <w:rPr>
          <w:rFonts w:ascii="黑体" w:hAnsi="黑体" w:eastAsia="黑体"/>
          <w:sz w:val="24"/>
          <w:szCs w:val="24"/>
        </w:rPr>
      </w:pPr>
    </w:p>
    <w:p w14:paraId="433AA268">
      <w:pPr>
        <w:pStyle w:val="98"/>
        <w:jc w:val="center"/>
        <w:rPr>
          <w:rFonts w:ascii="黑体" w:hAnsi="黑体" w:eastAsia="黑体"/>
          <w:sz w:val="24"/>
          <w:szCs w:val="24"/>
        </w:rPr>
      </w:pPr>
    </w:p>
    <w:p w14:paraId="7A5BEAF4">
      <w:pPr>
        <w:pStyle w:val="98"/>
        <w:jc w:val="center"/>
        <w:rPr>
          <w:rFonts w:ascii="黑体" w:hAnsi="黑体" w:eastAsia="黑体"/>
          <w:sz w:val="24"/>
          <w:szCs w:val="24"/>
        </w:rPr>
      </w:pPr>
    </w:p>
    <w:p w14:paraId="12390923">
      <w:pPr>
        <w:pStyle w:val="98"/>
        <w:jc w:val="center"/>
        <w:rPr>
          <w:rFonts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3235B4E8">
                            <w:pPr>
                              <w:pStyle w:val="75"/>
                              <w:rPr>
                                <w:rFonts w:ascii="宋体" w:hAnsi="宋体" w:eastAsia="宋体" w:cs="宋体"/>
                                <w:spacing w:val="58"/>
                                <w:w w:val="120"/>
                                <w:kern w:val="2"/>
                                <w:sz w:val="28"/>
                                <w:szCs w:val="28"/>
                              </w:rPr>
                            </w:pPr>
                          </w:p>
                          <w:p w14:paraId="0CD7758D">
                            <w:pPr>
                              <w:jc w:val="center"/>
                              <w:rPr>
                                <w:rFonts w:ascii="宋体" w:hAnsi="宋体" w:cs="宋体"/>
                                <w:spacing w:val="58"/>
                                <w:w w:val="120"/>
                                <w:sz w:val="28"/>
                                <w:szCs w:val="28"/>
                              </w:rPr>
                            </w:pPr>
                            <w:r>
                              <w:rPr>
                                <w:rFonts w:hint="eastAsia" w:ascii="宋体" w:hAnsi="宋体" w:cs="宋体"/>
                                <w:spacing w:val="58"/>
                                <w:w w:val="120"/>
                                <w:sz w:val="28"/>
                                <w:szCs w:val="28"/>
                              </w:rPr>
                              <w:t>数显半径测量仪校准规范</w:t>
                            </w:r>
                          </w:p>
                          <w:p w14:paraId="5FFA139C">
                            <w:pPr>
                              <w:jc w:val="center"/>
                              <w:rPr>
                                <w:rFonts w:ascii="宋体" w:hAnsi="宋体" w:cs="宋体"/>
                                <w:sz w:val="28"/>
                                <w:szCs w:val="28"/>
                              </w:rPr>
                            </w:pPr>
                            <w:r>
                              <w:rPr>
                                <w:rFonts w:hint="eastAsia" w:ascii="宋体" w:hAnsi="宋体" w:cs="宋体"/>
                                <w:spacing w:val="58"/>
                                <w:w w:val="120"/>
                                <w:sz w:val="28"/>
                                <w:szCs w:val="28"/>
                              </w:rPr>
                              <w:t>编制组</w:t>
                            </w:r>
                          </w:p>
                          <w:p w14:paraId="3028C58F">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3235B4E8">
                      <w:pPr>
                        <w:pStyle w:val="75"/>
                        <w:rPr>
                          <w:rFonts w:ascii="宋体" w:hAnsi="宋体" w:eastAsia="宋体" w:cs="宋体"/>
                          <w:spacing w:val="58"/>
                          <w:w w:val="120"/>
                          <w:kern w:val="2"/>
                          <w:sz w:val="28"/>
                          <w:szCs w:val="28"/>
                        </w:rPr>
                      </w:pPr>
                    </w:p>
                    <w:p w14:paraId="0CD7758D">
                      <w:pPr>
                        <w:jc w:val="center"/>
                        <w:rPr>
                          <w:rFonts w:ascii="宋体" w:hAnsi="宋体" w:cs="宋体"/>
                          <w:spacing w:val="58"/>
                          <w:w w:val="120"/>
                          <w:sz w:val="28"/>
                          <w:szCs w:val="28"/>
                        </w:rPr>
                      </w:pPr>
                      <w:r>
                        <w:rPr>
                          <w:rFonts w:hint="eastAsia" w:ascii="宋体" w:hAnsi="宋体" w:cs="宋体"/>
                          <w:spacing w:val="58"/>
                          <w:w w:val="120"/>
                          <w:sz w:val="28"/>
                          <w:szCs w:val="28"/>
                        </w:rPr>
                        <w:t>数显半径测量仪校准规范</w:t>
                      </w:r>
                    </w:p>
                    <w:p w14:paraId="5FFA139C">
                      <w:pPr>
                        <w:jc w:val="center"/>
                        <w:rPr>
                          <w:rFonts w:ascii="宋体" w:hAnsi="宋体" w:cs="宋体"/>
                          <w:sz w:val="28"/>
                          <w:szCs w:val="28"/>
                        </w:rPr>
                      </w:pPr>
                      <w:r>
                        <w:rPr>
                          <w:rFonts w:hint="eastAsia" w:ascii="宋体" w:hAnsi="宋体" w:cs="宋体"/>
                          <w:spacing w:val="58"/>
                          <w:w w:val="120"/>
                          <w:sz w:val="28"/>
                          <w:szCs w:val="28"/>
                        </w:rPr>
                        <w:t>编制组</w:t>
                      </w:r>
                    </w:p>
                    <w:p w14:paraId="3028C58F">
                      <w:pPr>
                        <w:pStyle w:val="114"/>
                        <w:rPr>
                          <w:rFonts w:ascii="宋体" w:hAnsi="宋体" w:eastAsia="宋体" w:cs="宋体"/>
                          <w:sz w:val="28"/>
                          <w:szCs w:val="28"/>
                        </w:rPr>
                      </w:pPr>
                      <w:r>
                        <w:rPr>
                          <w:rFonts w:hint="eastAsia" w:ascii="宋体" w:hAnsi="宋体" w:eastAsia="宋体" w:cs="宋体"/>
                          <w:sz w:val="28"/>
                          <w:szCs w:val="28"/>
                        </w:rPr>
                        <w:t>主编单位：西安汉唐分析检测有限公司</w:t>
                      </w:r>
                    </w:p>
                  </w:txbxContent>
                </v:textbox>
                <w10:anchorlock/>
              </v:rect>
            </w:pict>
          </mc:Fallback>
        </mc:AlternateContent>
      </w:r>
    </w:p>
    <w:p w14:paraId="4636251F">
      <w:pPr>
        <w:pStyle w:val="98"/>
        <w:jc w:val="center"/>
        <w:rPr>
          <w:rFonts w:ascii="黑体" w:hAnsi="黑体" w:eastAsia="黑体"/>
          <w:sz w:val="24"/>
          <w:szCs w:val="24"/>
        </w:rPr>
      </w:pPr>
    </w:p>
    <w:p w14:paraId="5EA327B0">
      <w:pPr>
        <w:pStyle w:val="98"/>
        <w:jc w:val="center"/>
        <w:rPr>
          <w:rFonts w:ascii="黑体" w:hAnsi="黑体" w:eastAsia="黑体"/>
          <w:sz w:val="24"/>
          <w:szCs w:val="24"/>
        </w:rPr>
      </w:pPr>
    </w:p>
    <w:p w14:paraId="4131BD64">
      <w:pPr>
        <w:pStyle w:val="98"/>
        <w:jc w:val="center"/>
        <w:rPr>
          <w:rFonts w:ascii="黑体" w:hAnsi="黑体" w:eastAsia="黑体"/>
          <w:sz w:val="24"/>
          <w:szCs w:val="24"/>
        </w:rPr>
      </w:pPr>
    </w:p>
    <w:p w14:paraId="2C84574A">
      <w:pPr>
        <w:pStyle w:val="98"/>
        <w:jc w:val="center"/>
        <w:rPr>
          <w:rFonts w:ascii="黑体" w:hAnsi="黑体" w:eastAsia="黑体"/>
          <w:sz w:val="24"/>
          <w:szCs w:val="24"/>
        </w:rPr>
      </w:pPr>
    </w:p>
    <w:p w14:paraId="612E244D">
      <w:pPr>
        <w:pStyle w:val="98"/>
        <w:jc w:val="center"/>
        <w:rPr>
          <w:rFonts w:ascii="黑体" w:hAnsi="黑体" w:eastAsia="黑体"/>
          <w:sz w:val="24"/>
          <w:szCs w:val="24"/>
        </w:rPr>
      </w:pPr>
    </w:p>
    <w:p w14:paraId="625343FF">
      <w:pPr>
        <w:pStyle w:val="98"/>
        <w:jc w:val="center"/>
        <w:rPr>
          <w:rFonts w:ascii="黑体" w:hAnsi="黑体" w:eastAsia="黑体"/>
          <w:sz w:val="24"/>
          <w:szCs w:val="24"/>
        </w:rPr>
      </w:pPr>
    </w:p>
    <w:p w14:paraId="51984A15">
      <w:pPr>
        <w:pStyle w:val="98"/>
        <w:jc w:val="center"/>
        <w:rPr>
          <w:rFonts w:ascii="黑体" w:hAnsi="黑体" w:eastAsia="黑体"/>
          <w:sz w:val="24"/>
          <w:szCs w:val="24"/>
        </w:rPr>
      </w:pPr>
    </w:p>
    <w:p w14:paraId="668D9FA6">
      <w:pPr>
        <w:pStyle w:val="2"/>
        <w:spacing w:before="156" w:after="156"/>
        <w:rPr>
          <w:b w:val="0"/>
          <w:bCs w:val="0"/>
        </w:rPr>
      </w:pPr>
      <w:r>
        <w:rPr>
          <w:rFonts w:hint="eastAsia"/>
          <w:b w:val="0"/>
          <w:bCs w:val="0"/>
        </w:rPr>
        <w:t>一、工作简况</w:t>
      </w:r>
      <w:bookmarkEnd w:id="0"/>
      <w:bookmarkStart w:id="2" w:name="_Toc464728896"/>
    </w:p>
    <w:p w14:paraId="73AA06B4">
      <w:pPr>
        <w:pStyle w:val="3"/>
        <w:spacing w:before="156" w:after="156"/>
        <w:rPr>
          <w:b w:val="0"/>
          <w:bCs w:val="0"/>
        </w:rPr>
      </w:pPr>
      <w:r>
        <w:rPr>
          <w:rFonts w:hint="eastAsia"/>
          <w:b w:val="0"/>
          <w:bCs w:val="0"/>
        </w:rPr>
        <w:t>1.立项目的</w:t>
      </w:r>
    </w:p>
    <w:p w14:paraId="757735FC">
      <w:pPr>
        <w:spacing w:line="400" w:lineRule="exact"/>
        <w:ind w:firstLine="420" w:firstLineChars="200"/>
        <w:rPr>
          <w:rFonts w:hAnsi="宋体"/>
          <w:szCs w:val="21"/>
        </w:rPr>
      </w:pPr>
      <w:r>
        <w:rPr>
          <w:rFonts w:hint="eastAsia" w:hAnsi="宋体"/>
          <w:szCs w:val="21"/>
        </w:rPr>
        <w:t>数显半径测量仪是采用容栅位移传感器电子技术，以弓高弦长法原理，由数显指示表、指示表测量杆和测架两侧测杆组合，用于直接测量圆弧半径的试验仪器。不同的圆弧尺寸，对应不同的测架，每个测架对应一个跨距，一般为 10mm、20mm、30mm、60mm、100mm。其</w:t>
      </w:r>
      <w:r>
        <w:rPr>
          <w:rFonts w:hint="eastAsia"/>
          <w:kern w:val="21"/>
          <w:szCs w:val="21"/>
        </w:rPr>
        <w:t>广泛应用在设备制造、零件加工等质量控制环节，</w:t>
      </w:r>
      <w:r>
        <w:rPr>
          <w:rFonts w:hint="eastAsia"/>
          <w:szCs w:val="21"/>
        </w:rPr>
        <w:t>是材料</w:t>
      </w:r>
      <w:r>
        <w:rPr>
          <w:szCs w:val="21"/>
        </w:rPr>
        <w:t>加工</w:t>
      </w:r>
      <w:r>
        <w:rPr>
          <w:rFonts w:hint="eastAsia"/>
          <w:szCs w:val="21"/>
        </w:rPr>
        <w:t>过程</w:t>
      </w:r>
      <w:r>
        <w:rPr>
          <w:szCs w:val="21"/>
        </w:rPr>
        <w:t>、产品检测等环节</w:t>
      </w:r>
      <w:r>
        <w:rPr>
          <w:rFonts w:hint="eastAsia"/>
          <w:szCs w:val="21"/>
        </w:rPr>
        <w:t>尺寸公差（圆弧/圆角半径、深度等）测量</w:t>
      </w:r>
      <w:r>
        <w:rPr>
          <w:szCs w:val="21"/>
        </w:rPr>
        <w:t>常用的不可或缺的</w:t>
      </w:r>
      <w:r>
        <w:rPr>
          <w:rFonts w:hint="eastAsia"/>
          <w:szCs w:val="21"/>
        </w:rPr>
        <w:t>关键设备，</w:t>
      </w:r>
      <w:r>
        <w:rPr>
          <w:rFonts w:hint="eastAsia"/>
          <w:kern w:val="21"/>
          <w:szCs w:val="21"/>
        </w:rPr>
        <w:t>对提高产品加工质量起到非常重要的作用。</w:t>
      </w:r>
      <w:r>
        <w:rPr>
          <w:rFonts w:hAnsi="宋体"/>
          <w:szCs w:val="21"/>
        </w:rPr>
        <w:t>为</w:t>
      </w:r>
      <w:r>
        <w:rPr>
          <w:rFonts w:hint="eastAsia" w:hAnsi="宋体"/>
          <w:szCs w:val="21"/>
        </w:rPr>
        <w:t>保证数显半径测量仪测量结果的</w:t>
      </w:r>
      <w:r>
        <w:rPr>
          <w:rFonts w:hAnsi="宋体"/>
          <w:szCs w:val="21"/>
        </w:rPr>
        <w:t>准确可靠，需要对其进行</w:t>
      </w:r>
      <w:r>
        <w:rPr>
          <w:rFonts w:hint="eastAsia" w:hAnsi="宋体"/>
          <w:szCs w:val="21"/>
        </w:rPr>
        <w:t>校准</w:t>
      </w:r>
      <w:r>
        <w:rPr>
          <w:rFonts w:hAnsi="宋体"/>
          <w:szCs w:val="21"/>
        </w:rPr>
        <w:t>，保证其量值准确、可靠、有源可溯。</w:t>
      </w:r>
    </w:p>
    <w:p w14:paraId="0AA82915">
      <w:pPr>
        <w:pStyle w:val="21"/>
        <w:spacing w:after="0" w:line="400" w:lineRule="exact"/>
        <w:ind w:firstLine="420" w:firstLineChars="200"/>
        <w:rPr>
          <w:rFonts w:hAnsi="宋体"/>
          <w:szCs w:val="21"/>
        </w:rPr>
      </w:pPr>
      <w:r>
        <w:rPr>
          <w:rFonts w:hAnsi="宋体"/>
          <w:szCs w:val="21"/>
        </w:rPr>
        <w:t>本规范重点解决了</w:t>
      </w:r>
      <w:r>
        <w:rPr>
          <w:rFonts w:hint="eastAsia" w:hAnsi="宋体"/>
          <w:szCs w:val="21"/>
        </w:rPr>
        <w:t>数显半径测量仪</w:t>
      </w:r>
      <w:r>
        <w:rPr>
          <w:rFonts w:hAnsi="宋体"/>
          <w:szCs w:val="21"/>
        </w:rPr>
        <w:t>校准方法不统一、校准方法差异化、计量标准技术指标不明确、校准点的选择不统一、</w:t>
      </w:r>
      <w:r>
        <w:rPr>
          <w:rFonts w:hint="eastAsia" w:hAnsi="宋体"/>
          <w:szCs w:val="21"/>
        </w:rPr>
        <w:t>数显半径测量仪</w:t>
      </w:r>
      <w:r>
        <w:rPr>
          <w:rFonts w:hAnsi="宋体"/>
          <w:szCs w:val="21"/>
        </w:rPr>
        <w:t>的校准方法未规定等问题，弥补</w:t>
      </w:r>
      <w:r>
        <w:rPr>
          <w:rFonts w:hint="eastAsia" w:hAnsi="宋体"/>
          <w:szCs w:val="21"/>
        </w:rPr>
        <w:t>数显半径测量仪</w:t>
      </w:r>
      <w:r>
        <w:rPr>
          <w:rFonts w:hAnsi="宋体"/>
          <w:szCs w:val="21"/>
        </w:rPr>
        <w:t>校准的空白，为</w:t>
      </w:r>
      <w:r>
        <w:rPr>
          <w:rFonts w:hint="eastAsia" w:hAnsi="宋体"/>
          <w:szCs w:val="21"/>
        </w:rPr>
        <w:t>进行</w:t>
      </w:r>
      <w:r>
        <w:rPr>
          <w:rFonts w:hAnsi="宋体"/>
          <w:szCs w:val="21"/>
        </w:rPr>
        <w:t>量值传递提供</w:t>
      </w:r>
      <w:r>
        <w:rPr>
          <w:rFonts w:hint="eastAsia" w:hAnsi="宋体"/>
          <w:szCs w:val="21"/>
        </w:rPr>
        <w:t>了有效</w:t>
      </w:r>
      <w:r>
        <w:rPr>
          <w:rFonts w:hAnsi="宋体"/>
          <w:szCs w:val="21"/>
        </w:rPr>
        <w:t>保证，</w:t>
      </w:r>
      <w:r>
        <w:rPr>
          <w:rFonts w:hint="eastAsia" w:hAnsi="宋体"/>
          <w:szCs w:val="21"/>
        </w:rPr>
        <w:t>进一步</w:t>
      </w:r>
      <w:r>
        <w:rPr>
          <w:rFonts w:hAnsi="宋体"/>
          <w:szCs w:val="21"/>
        </w:rPr>
        <w:t>提高</w:t>
      </w:r>
      <w:r>
        <w:rPr>
          <w:rFonts w:hint="eastAsia" w:hAnsi="宋体"/>
          <w:szCs w:val="21"/>
        </w:rPr>
        <w:t>了数显半径测量仪半径测量</w:t>
      </w:r>
      <w:r>
        <w:rPr>
          <w:rFonts w:hAnsi="宋体"/>
          <w:szCs w:val="21"/>
        </w:rPr>
        <w:t>的准确性。</w:t>
      </w:r>
    </w:p>
    <w:p w14:paraId="23E27F44">
      <w:pPr>
        <w:pStyle w:val="3"/>
        <w:spacing w:before="156" w:after="156"/>
        <w:rPr>
          <w:b w:val="0"/>
          <w:bCs w:val="0"/>
        </w:rPr>
      </w:pPr>
      <w:r>
        <w:rPr>
          <w:rFonts w:hint="eastAsia"/>
          <w:b w:val="0"/>
          <w:bCs w:val="0"/>
        </w:rPr>
        <w:t>2.任务来源</w:t>
      </w:r>
      <w:bookmarkEnd w:id="2"/>
    </w:p>
    <w:p w14:paraId="20CD7BA9">
      <w:pPr>
        <w:pStyle w:val="35"/>
        <w:spacing w:after="0" w:line="400" w:lineRule="exact"/>
        <w:ind w:firstLine="420" w:firstLineChars="200"/>
        <w:rPr>
          <w:rFonts w:hAnsi="宋体"/>
          <w:szCs w:val="21"/>
        </w:rPr>
      </w:pPr>
      <w:r>
        <w:rPr>
          <w:rFonts w:hint="eastAsia" w:hAnsi="宋体"/>
          <w:szCs w:val="21"/>
        </w:rPr>
        <w:t>根据工业和信息化部《关于印发2024年行业计量技术规范制修订计划的通知》（工厅科［2024］602号）文的要求，行业计量技术规范《数显半径测量仪校准规范》由西安汉唐分析检测有限公司负责起草。该项目计划编号为</w:t>
      </w:r>
      <w:r>
        <w:rPr>
          <w:rFonts w:hAnsi="宋体"/>
          <w:szCs w:val="21"/>
        </w:rPr>
        <w:t>JJF</w:t>
      </w:r>
      <w:r>
        <w:rPr>
          <w:rFonts w:hint="eastAsia" w:hAnsi="宋体"/>
          <w:szCs w:val="21"/>
        </w:rPr>
        <w:t>Z（有色金属）006-2</w:t>
      </w:r>
      <w:r>
        <w:rPr>
          <w:rFonts w:hAnsi="宋体"/>
          <w:szCs w:val="21"/>
        </w:rPr>
        <w:t>02</w:t>
      </w:r>
      <w:r>
        <w:rPr>
          <w:rFonts w:hint="eastAsia" w:hAnsi="宋体"/>
          <w:szCs w:val="21"/>
        </w:rPr>
        <w:t>4。</w:t>
      </w:r>
    </w:p>
    <w:p w14:paraId="6F3B6AAB">
      <w:pPr>
        <w:spacing w:line="360" w:lineRule="auto"/>
        <w:ind w:firstLine="420" w:firstLineChars="200"/>
        <w:rPr>
          <w:rFonts w:hAnsi="宋体"/>
          <w:szCs w:val="21"/>
        </w:rPr>
      </w:pPr>
      <w:r>
        <w:rPr>
          <w:rFonts w:hint="eastAsia"/>
          <w:szCs w:val="21"/>
        </w:rPr>
        <w:t>按计划要求，本计量规范应于</w:t>
      </w:r>
      <w:r>
        <w:rPr>
          <w:szCs w:val="21"/>
        </w:rPr>
        <w:t>202</w:t>
      </w:r>
      <w:r>
        <w:rPr>
          <w:rFonts w:hint="eastAsia"/>
          <w:szCs w:val="21"/>
          <w:lang w:val="en-US" w:eastAsia="zh-CN"/>
        </w:rPr>
        <w:t>6</w:t>
      </w:r>
      <w:r>
        <w:rPr>
          <w:rFonts w:hint="eastAsia"/>
          <w:szCs w:val="21"/>
        </w:rPr>
        <w:t>年12月完成制定</w:t>
      </w:r>
      <w:r>
        <w:rPr>
          <w:szCs w:val="21"/>
        </w:rPr>
        <w:t>。</w:t>
      </w:r>
    </w:p>
    <w:p w14:paraId="6C506CC2">
      <w:pPr>
        <w:pStyle w:val="3"/>
        <w:spacing w:before="156" w:after="156"/>
        <w:rPr>
          <w:b w:val="0"/>
          <w:bCs w:val="0"/>
        </w:rPr>
      </w:pPr>
      <w:r>
        <w:rPr>
          <w:rFonts w:hint="eastAsia"/>
          <w:b w:val="0"/>
          <w:bCs w:val="0"/>
        </w:rPr>
        <w:t>3.项目编制组单位简况</w:t>
      </w:r>
    </w:p>
    <w:p w14:paraId="769D7825">
      <w:pPr>
        <w:pStyle w:val="4"/>
        <w:spacing w:before="156" w:after="156"/>
        <w:rPr>
          <w:b w:val="0"/>
          <w:bCs w:val="0"/>
        </w:rPr>
      </w:pPr>
      <w:r>
        <w:rPr>
          <w:rFonts w:hint="eastAsia"/>
          <w:b w:val="0"/>
          <w:bCs w:val="0"/>
        </w:rPr>
        <w:t>3.1编制组成员单位</w:t>
      </w:r>
    </w:p>
    <w:p w14:paraId="3B1916B7">
      <w:pPr>
        <w:widowControl/>
        <w:autoSpaceDE w:val="0"/>
        <w:autoSpaceDN w:val="0"/>
        <w:spacing w:line="400" w:lineRule="exact"/>
        <w:ind w:firstLine="420" w:firstLineChars="200"/>
        <w:rPr>
          <w:color w:val="auto"/>
          <w:szCs w:val="21"/>
        </w:rPr>
      </w:pPr>
      <w:bookmarkStart w:id="3" w:name="_Toc464728900"/>
      <w:bookmarkStart w:id="4" w:name="_Toc462884344"/>
      <w:r>
        <w:rPr>
          <w:rFonts w:hint="eastAsia"/>
          <w:szCs w:val="21"/>
        </w:rPr>
        <w:t>本规范的编制组单位</w:t>
      </w:r>
      <w:r>
        <w:rPr>
          <w:rFonts w:hint="eastAsia"/>
          <w:color w:val="auto"/>
          <w:szCs w:val="21"/>
        </w:rPr>
        <w:t>为：西安汉唐分析检测有限公司</w:t>
      </w:r>
      <w:r>
        <w:rPr>
          <w:rFonts w:hint="eastAsia"/>
          <w:color w:val="auto"/>
          <w:szCs w:val="21"/>
          <w:lang w:eastAsia="zh-CN"/>
        </w:rPr>
        <w:t>、</w:t>
      </w:r>
      <w:r>
        <w:rPr>
          <w:rFonts w:hint="eastAsia"/>
          <w:color w:val="auto"/>
          <w:szCs w:val="21"/>
        </w:rPr>
        <w:t>西南铝业（集团）有限责任公司、西安精科华创材料分析检测有限公司、赤峰市产品质量检验检测中心、陕西有色榆林新材料有限责任公司、有色金属技术经济研究院有限责任公司</w:t>
      </w:r>
      <w:r>
        <w:rPr>
          <w:rFonts w:hint="eastAsia"/>
          <w:color w:val="auto"/>
          <w:szCs w:val="21"/>
          <w:lang w:eastAsia="zh-CN"/>
        </w:rPr>
        <w:t>、</w:t>
      </w:r>
      <w:r>
        <w:rPr>
          <w:rFonts w:hint="eastAsia"/>
          <w:color w:val="auto"/>
          <w:szCs w:val="21"/>
          <w:lang w:val="en-US" w:eastAsia="zh-CN"/>
        </w:rPr>
        <w:t>青海大学、</w:t>
      </w:r>
      <w:r>
        <w:rPr>
          <w:rFonts w:hint="eastAsia"/>
          <w:color w:val="auto"/>
          <w:szCs w:val="21"/>
        </w:rPr>
        <w:t>西安建筑科技大学、湖南湘投金天钛业科技股份有限公司。</w:t>
      </w:r>
    </w:p>
    <w:p w14:paraId="79054AAF">
      <w:pPr>
        <w:pStyle w:val="4"/>
        <w:spacing w:before="156" w:after="156"/>
        <w:rPr>
          <w:b w:val="0"/>
          <w:bCs w:val="0"/>
        </w:rPr>
      </w:pPr>
      <w:r>
        <w:rPr>
          <w:rFonts w:hint="eastAsia"/>
          <w:b w:val="0"/>
          <w:bCs w:val="0"/>
        </w:rPr>
        <w:t>3.2 主编单位简介</w:t>
      </w:r>
    </w:p>
    <w:bookmarkEnd w:id="3"/>
    <w:bookmarkEnd w:id="4"/>
    <w:p w14:paraId="2959EEB2">
      <w:pPr>
        <w:spacing w:line="400" w:lineRule="exact"/>
        <w:ind w:firstLine="420" w:firstLineChars="200"/>
        <w:rPr>
          <w:color w:val="0000FF"/>
          <w:szCs w:val="21"/>
        </w:rPr>
      </w:pPr>
      <w:r>
        <w:rPr>
          <w:rFonts w:hint="eastAsia"/>
          <w:szCs w:val="21"/>
        </w:rPr>
        <w:t>西安汉唐分析检测有限公司是西北有色金属研究院(集团)控股子公司，属国有企业，主要从事有色产品的检测、可靠性评价、失效分析、质量评估、腐蚀性能及表面测试与表征、规范起草、检测方法的开发、标物的研制、设备的计量校准等。公司于1985年被陕西省质监局授权为陕西省有色金属产品质量监督检验站。1987年被中国有色金属工业总公司授权为西北质量监督检验中心，先后被国家质检总局确定为钛及钛合金、铜及铜合金管材生产许可证检验工作实施单位；公司通过CNAS、CMA、国防DiLAC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技术装备水平国内一流、国际先进，在我省优势产业稀有金属材料领域的检测能力和水平处于领先地位；先后承担了国家、省市多项重大课题，目前已建成国内唯一的核电堆芯材料分析检测平台、多层金属复合材料测试和评价平台、钛及钛合金专业检测平台。近10年起草有色金属国家/行业规范共80余项、发表论文120余篇、授权专利30余项。先后荣获中国有色金属工业一等奖、二等奖20余次。</w:t>
      </w:r>
    </w:p>
    <w:p w14:paraId="7FB10528">
      <w:pPr>
        <w:spacing w:line="400" w:lineRule="exact"/>
        <w:ind w:firstLine="420" w:firstLineChars="20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14:paraId="0233A848">
      <w:pPr>
        <w:pStyle w:val="60"/>
        <w:numPr>
          <w:ilvl w:val="0"/>
          <w:numId w:val="0"/>
        </w:numPr>
        <w:spacing w:before="156" w:beforeLines="50" w:after="156" w:afterLines="50"/>
        <w:rPr>
          <w:color w:val="auto"/>
        </w:rPr>
      </w:pPr>
      <w:bookmarkStart w:id="5" w:name="_Toc462884345"/>
      <w:bookmarkStart w:id="6" w:name="_Toc464728901"/>
      <w:r>
        <w:rPr>
          <w:rFonts w:hint="eastAsia"/>
          <w:color w:val="auto"/>
        </w:rPr>
        <w:t>3.3成员单位简介</w:t>
      </w:r>
      <w:bookmarkEnd w:id="5"/>
      <w:bookmarkEnd w:id="6"/>
    </w:p>
    <w:p w14:paraId="2B3D5E2A">
      <w:pPr>
        <w:spacing w:line="400" w:lineRule="exact"/>
        <w:contextualSpacing/>
        <w:jc w:val="left"/>
        <w:rPr>
          <w:rFonts w:ascii="黑体" w:eastAsia="黑体"/>
          <w:spacing w:val="-4"/>
          <w:kern w:val="0"/>
        </w:rPr>
      </w:pPr>
      <w:r>
        <w:rPr>
          <w:rFonts w:hint="eastAsia" w:ascii="黑体" w:eastAsia="黑体"/>
          <w:spacing w:val="-4"/>
          <w:kern w:val="0"/>
        </w:rPr>
        <w:t>3.3.</w:t>
      </w:r>
      <w:r>
        <w:rPr>
          <w:rFonts w:hint="eastAsia" w:ascii="黑体" w:eastAsia="黑体"/>
          <w:spacing w:val="-4"/>
          <w:kern w:val="0"/>
          <w:lang w:val="en-US" w:eastAsia="zh-CN"/>
        </w:rPr>
        <w:t>1</w:t>
      </w:r>
      <w:r>
        <w:rPr>
          <w:rFonts w:hint="eastAsia" w:ascii="黑体" w:eastAsia="黑体"/>
          <w:spacing w:val="-4"/>
          <w:kern w:val="0"/>
        </w:rPr>
        <w:t>西南铝业（集团）有限责任公司</w:t>
      </w:r>
    </w:p>
    <w:p w14:paraId="1D104E10">
      <w:pPr>
        <w:spacing w:line="400" w:lineRule="exact"/>
        <w:ind w:firstLine="420" w:firstLineChars="200"/>
        <w:contextualSpacing/>
        <w:jc w:val="left"/>
        <w:rPr>
          <w:szCs w:val="21"/>
        </w:rPr>
      </w:pPr>
      <w:r>
        <w:rPr>
          <w:rFonts w:hint="eastAsia"/>
          <w:bCs/>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经过50多年的建设发展,西南铝已成为我国综合实力最强的特大型铝加工企业之一,是我国航空航天和重点项目材料研发保障、高精尖铝材研发生产和出口的“核心基地”。现隶属于中国铝业集团有限公司。西南铝培养了中国工程院院士1人、两江学者1人、国家级技能大师1人、享受国务院政府特殊津贴专家30余人，建有院士工作站，拥有国家级企业技术中心，技术研发实力国内领先。率先开发出以地铁车辆用铝型材、易拉罐用铝板材、印刷用铝版基等为代表的大量高品质新型铝合金材料以及全铝家居系列产品，“西南铝”驰名商标已成为具有国际影响力的中国铝加工品牌。</w:t>
      </w:r>
    </w:p>
    <w:p w14:paraId="7F8504F8">
      <w:pPr>
        <w:spacing w:line="400" w:lineRule="exact"/>
        <w:ind w:firstLine="420" w:firstLineChars="200"/>
        <w:contextualSpacing/>
        <w:jc w:val="left"/>
        <w:rPr>
          <w:rFonts w:ascii="黑体" w:eastAsia="黑体"/>
          <w:spacing w:val="-4"/>
          <w:kern w:val="0"/>
        </w:rPr>
      </w:pPr>
      <w:r>
        <w:rPr>
          <w:rFonts w:hint="eastAsia"/>
          <w:szCs w:val="21"/>
        </w:rPr>
        <w:t>该单位积极参与编制组的各项工作会议，对规范的部分内容提出了有效建议，</w:t>
      </w:r>
      <w:r>
        <w:rPr>
          <w:rFonts w:hint="eastAsia"/>
          <w:b w:val="0"/>
          <w:bCs w:val="0"/>
          <w:szCs w:val="21"/>
          <w:lang w:val="en-US" w:eastAsia="zh-CN"/>
        </w:rPr>
        <w:t>是该规范的验证单位，</w:t>
      </w:r>
      <w:r>
        <w:rPr>
          <w:rFonts w:hint="eastAsia"/>
          <w:szCs w:val="21"/>
        </w:rPr>
        <w:t>在编制组中发挥了主要作用。</w:t>
      </w:r>
    </w:p>
    <w:p w14:paraId="0477E6D2">
      <w:pPr>
        <w:spacing w:line="400" w:lineRule="exact"/>
        <w:contextualSpacing/>
        <w:jc w:val="left"/>
        <w:rPr>
          <w:rFonts w:ascii="黑体" w:eastAsia="黑体"/>
          <w:spacing w:val="-4"/>
          <w:kern w:val="0"/>
        </w:rPr>
      </w:pPr>
      <w:r>
        <w:rPr>
          <w:rFonts w:hint="eastAsia" w:ascii="黑体" w:eastAsia="黑体"/>
          <w:spacing w:val="-4"/>
          <w:kern w:val="0"/>
        </w:rPr>
        <w:t>3.3.</w:t>
      </w:r>
      <w:r>
        <w:rPr>
          <w:rFonts w:hint="eastAsia" w:ascii="黑体" w:eastAsia="黑体"/>
          <w:spacing w:val="-4"/>
          <w:kern w:val="0"/>
          <w:lang w:val="en-US" w:eastAsia="zh-CN"/>
        </w:rPr>
        <w:t>2</w:t>
      </w:r>
      <w:r>
        <w:rPr>
          <w:rFonts w:hint="eastAsia" w:ascii="黑体" w:eastAsia="黑体"/>
          <w:spacing w:val="-4"/>
          <w:kern w:val="0"/>
        </w:rPr>
        <w:t>西安精科华创材料分析检测有限公司</w:t>
      </w:r>
    </w:p>
    <w:p w14:paraId="602E1050">
      <w:pPr>
        <w:spacing w:line="400" w:lineRule="exact"/>
        <w:ind w:firstLine="396" w:firstLineChars="200"/>
        <w:contextualSpacing/>
        <w:jc w:val="left"/>
        <w:rPr>
          <w:color w:val="000000" w:themeColor="text1"/>
          <w:spacing w:val="-6"/>
          <w:kern w:val="0"/>
          <w:szCs w:val="21"/>
          <w14:textFill>
            <w14:solidFill>
              <w14:schemeClr w14:val="tx1"/>
            </w14:solidFill>
          </w14:textFill>
        </w:rPr>
      </w:pPr>
      <w:r>
        <w:rPr>
          <w:rFonts w:hint="eastAsia"/>
          <w:color w:val="000000" w:themeColor="text1"/>
          <w:spacing w:val="-6"/>
          <w:kern w:val="0"/>
          <w:szCs w:val="21"/>
          <w14:textFill>
            <w14:solidFill>
              <w14:schemeClr w14:val="tx1"/>
            </w14:solidFill>
          </w14:textFill>
        </w:rPr>
        <w:t>西安精科华创材料分析检测有限公司是一家专注于金属材料、合金材料、粉体材料、等各类材料检验检测、特种设备检验检测、标准化服务和计量技术的高新技术科技型企业。该公司技术来源与西安建筑科技大学国家级人才教授团队科技成果转化，主要开展工程和技术研究和试验发展、新材料技术研发、新材料技术推广服务、技术咨询与培训。业务领域覆盖航空航天、轨道交通、电子电器、医疗器械、矿产开发、金属冶炼、船舶重工、新材料、新能源等重要领域。业务范围含质量认证、质量鉴定、标准研究、标物研发、产品认证工厂检查等。</w:t>
      </w:r>
    </w:p>
    <w:p w14:paraId="1E381C1A">
      <w:pPr>
        <w:spacing w:line="400" w:lineRule="exact"/>
        <w:ind w:firstLine="420" w:firstLineChars="200"/>
        <w:contextualSpacing/>
        <w:jc w:val="left"/>
        <w:rPr>
          <w:rFonts w:hint="eastAsia"/>
          <w:szCs w:val="21"/>
        </w:rPr>
      </w:pPr>
      <w:r>
        <w:rPr>
          <w:rFonts w:hint="eastAsia"/>
          <w:szCs w:val="21"/>
        </w:rPr>
        <w:t>该单位积极参与编制组的各项工作会议，对规范的</w:t>
      </w:r>
      <w:r>
        <w:rPr>
          <w:rFonts w:hint="eastAsia"/>
          <w:szCs w:val="21"/>
          <w:lang w:val="en-US" w:eastAsia="zh-CN"/>
        </w:rPr>
        <w:t>技术指标</w:t>
      </w:r>
      <w:r>
        <w:rPr>
          <w:rFonts w:hint="eastAsia"/>
          <w:szCs w:val="21"/>
        </w:rPr>
        <w:t>提出了有效建议，</w:t>
      </w:r>
      <w:r>
        <w:rPr>
          <w:rFonts w:hint="eastAsia"/>
          <w:b w:val="0"/>
          <w:bCs w:val="0"/>
          <w:szCs w:val="21"/>
          <w:lang w:val="en-US" w:eastAsia="zh-CN"/>
        </w:rPr>
        <w:t>是该规范的验证单位，</w:t>
      </w:r>
      <w:r>
        <w:rPr>
          <w:rFonts w:hint="eastAsia"/>
          <w:szCs w:val="21"/>
        </w:rPr>
        <w:t>在编制组中发挥了主要作用。</w:t>
      </w:r>
    </w:p>
    <w:p w14:paraId="305B2E68">
      <w:pPr>
        <w:spacing w:line="400" w:lineRule="exact"/>
        <w:contextualSpacing/>
        <w:jc w:val="left"/>
        <w:rPr>
          <w:rFonts w:ascii="黑体" w:eastAsia="黑体"/>
          <w:spacing w:val="-4"/>
          <w:kern w:val="0"/>
        </w:rPr>
      </w:pPr>
      <w:r>
        <w:rPr>
          <w:rFonts w:hint="eastAsia" w:ascii="黑体" w:eastAsia="黑体"/>
          <w:spacing w:val="-4"/>
          <w:kern w:val="0"/>
        </w:rPr>
        <w:t>3.3.</w:t>
      </w:r>
      <w:r>
        <w:rPr>
          <w:rFonts w:hint="eastAsia" w:ascii="黑体" w:eastAsia="黑体"/>
          <w:spacing w:val="-4"/>
          <w:kern w:val="0"/>
          <w:lang w:val="en-US" w:eastAsia="zh-CN"/>
        </w:rPr>
        <w:t>3</w:t>
      </w:r>
      <w:r>
        <w:rPr>
          <w:rFonts w:hint="eastAsia" w:ascii="黑体" w:eastAsia="黑体"/>
          <w:spacing w:val="-4"/>
          <w:kern w:val="0"/>
        </w:rPr>
        <w:t>赤峰市产品质量检验检测中心</w:t>
      </w:r>
    </w:p>
    <w:p w14:paraId="16D069E9">
      <w:pPr>
        <w:spacing w:line="400" w:lineRule="exact"/>
        <w:ind w:firstLine="420" w:firstLineChars="200"/>
        <w:contextualSpacing/>
        <w:jc w:val="left"/>
        <w:rPr>
          <w:szCs w:val="21"/>
        </w:rPr>
      </w:pPr>
      <w:r>
        <w:rPr>
          <w:rFonts w:hint="eastAsia"/>
          <w:szCs w:val="21"/>
        </w:rPr>
        <w:t>赤峰市产品质量检验检测中心成立于2021年3月，由原赤峰市产品质量计量检测所、赤峰市药品检验所、赤峰市不良反应监测中心及赤峰市粮油质量检测中心合并组建而成，隶属于赤峰市市场监督管理局，是政府依法设立承担市场领域产品质量检验检测和计量检定等职能的具有独立法人资格的公益一类正处级事业单位。承担量值传递与溯源、标准研究与制订、产品质量的分析与评价及与质量有关的科研和检验标准修订、报送和反馈本辖区内药品等质量信息、检验检测领域的技术咨询、技术服务、人员培训及负责全市药品、化妆品、不良反应、医疗器械不良事件的监测等工作。   中心办公与实验室使用面积2万余平米，内设18个科室，其中13个专业检测室。拥有一支技术精湛的专业技术团队，现有职工190人，拥有高级职称53人，中级职称83人，初级职称34人，职员18人。高级职称占全中心人数的28%，中级职称占全中心人数的44%，初级职称占全中心人数的18%。固定资产达1.8亿元，仪器设备800余台套，配备了先进的检验检测仪器设备，主要有液相色谱-质谱联用仪、气相色谱-质谱联用仪、气相色谱仪、液相色谱仪、离子色谱仪、原子吸收分光光度计、原子荧光分光光度计等。</w:t>
      </w:r>
    </w:p>
    <w:p w14:paraId="369D7F3C">
      <w:pPr>
        <w:spacing w:line="400" w:lineRule="exact"/>
        <w:ind w:firstLine="420" w:firstLineChars="200"/>
        <w:contextualSpacing/>
        <w:jc w:val="left"/>
        <w:rPr>
          <w:rFonts w:ascii="黑体" w:eastAsia="黑体"/>
          <w:spacing w:val="-4"/>
          <w:kern w:val="0"/>
        </w:rPr>
      </w:pPr>
      <w:r>
        <w:rPr>
          <w:rFonts w:hint="eastAsia"/>
          <w:szCs w:val="21"/>
        </w:rPr>
        <w:t>该单位积极参与编制组的各项工作会议，对规范的</w:t>
      </w:r>
      <w:r>
        <w:rPr>
          <w:rFonts w:hint="eastAsia"/>
          <w:szCs w:val="21"/>
          <w:lang w:val="en-US" w:eastAsia="zh-CN"/>
        </w:rPr>
        <w:t>计量特性</w:t>
      </w:r>
      <w:r>
        <w:rPr>
          <w:rFonts w:hint="eastAsia"/>
          <w:szCs w:val="21"/>
        </w:rPr>
        <w:t>提出了有效建议，在编制组中发挥了主要作用。</w:t>
      </w:r>
    </w:p>
    <w:p w14:paraId="549B76F7">
      <w:pPr>
        <w:spacing w:line="400" w:lineRule="exact"/>
        <w:contextualSpacing/>
        <w:jc w:val="left"/>
        <w:rPr>
          <w:rFonts w:ascii="黑体" w:eastAsia="黑体"/>
          <w:spacing w:val="-4"/>
          <w:kern w:val="0"/>
        </w:rPr>
      </w:pPr>
      <w:r>
        <w:rPr>
          <w:rFonts w:hint="eastAsia" w:ascii="黑体" w:eastAsia="黑体"/>
          <w:spacing w:val="-4"/>
          <w:kern w:val="0"/>
        </w:rPr>
        <w:t>3.3.</w:t>
      </w:r>
      <w:r>
        <w:rPr>
          <w:rFonts w:hint="eastAsia" w:ascii="黑体" w:eastAsia="黑体"/>
          <w:spacing w:val="-4"/>
          <w:kern w:val="0"/>
          <w:lang w:val="en-US" w:eastAsia="zh-CN"/>
        </w:rPr>
        <w:t>4</w:t>
      </w:r>
      <w:r>
        <w:rPr>
          <w:rFonts w:hint="eastAsia" w:ascii="黑体" w:eastAsia="黑体"/>
          <w:spacing w:val="-4"/>
          <w:kern w:val="0"/>
        </w:rPr>
        <w:t>陕西有色榆林新材料有限责任公司</w:t>
      </w:r>
    </w:p>
    <w:p w14:paraId="747B8CFE">
      <w:pPr>
        <w:widowControl w:val="0"/>
        <w:spacing w:line="400" w:lineRule="exact"/>
        <w:ind w:firstLine="396" w:firstLineChars="200"/>
        <w:contextualSpacing/>
        <w:jc w:val="left"/>
        <w:rPr>
          <w:rFonts w:hint="eastAsia"/>
          <w:color w:val="000000" w:themeColor="text1"/>
          <w:spacing w:val="-6"/>
          <w:kern w:val="0"/>
          <w:szCs w:val="21"/>
          <w14:textFill>
            <w14:solidFill>
              <w14:schemeClr w14:val="tx1"/>
            </w14:solidFill>
          </w14:textFill>
        </w:rPr>
      </w:pPr>
      <w:r>
        <w:rPr>
          <w:rFonts w:hint="eastAsia" w:ascii="Times New Roman" w:hAnsi="Times New Roman" w:eastAsia="宋体" w:cs="Times New Roman"/>
          <w:color w:val="000000" w:themeColor="text1"/>
          <w:spacing w:val="-6"/>
          <w:kern w:val="0"/>
          <w:sz w:val="21"/>
          <w:szCs w:val="21"/>
          <w:lang w:val="en-US" w:eastAsia="zh-CN" w:bidi="ar-SA"/>
          <w14:textFill>
            <w14:solidFill>
              <w14:schemeClr w14:val="tx1"/>
            </w14:solidFill>
          </w14:textFill>
        </w:rPr>
        <w:t>陕西有色榆林新材料集团有限责任公司是陕西有色金属控股集团有限责任公司的权属子公司，于2014年5月由榆林新材料公司、煤业公司和铁路运销公司整合成立，位于陕西省榆林市榆阳区金鸡滩镇陕西有色榆林循环经济产业园内，下辖榆林煤业、铁路运销、华工公司、铜川铝基公司四个子公司和铝业、发电、阳极、合金、后勤和供销六个分公司及质检计量中心和研发中心。公司总投资200亿元，占地面积5000余亩，旗下建成了年产1000万吨煤矿、60万吨铝镁合金、35万吨预焙阳极和5×330MW配套电力设施、550万吨/年运输能力的铁路专用线等辅助工程，形成了煤、电、铝及运销为一体的完整产业链。榆林新材料集团自成立以来，公司年营业收入200亿元左右，吸纳劳动力就业5000余人，有力带动了地方相关产业的发展。</w:t>
      </w:r>
    </w:p>
    <w:p w14:paraId="2FCCE78C">
      <w:pPr>
        <w:spacing w:line="400" w:lineRule="exact"/>
        <w:ind w:firstLine="420" w:firstLineChars="200"/>
        <w:contextualSpacing/>
        <w:jc w:val="left"/>
        <w:rPr>
          <w:rFonts w:hint="eastAsia"/>
          <w:szCs w:val="21"/>
        </w:rPr>
      </w:pPr>
      <w:r>
        <w:rPr>
          <w:rFonts w:hint="eastAsia"/>
          <w:szCs w:val="21"/>
        </w:rPr>
        <w:t>该单位积极参与编制组的各项工作会议，对规范的部分内容提出了有效建议，在编制组中发挥了主要作用。</w:t>
      </w:r>
    </w:p>
    <w:p w14:paraId="790EDD8B">
      <w:pPr>
        <w:spacing w:line="400" w:lineRule="exact"/>
        <w:contextualSpacing/>
        <w:jc w:val="left"/>
        <w:rPr>
          <w:rFonts w:hint="eastAsia"/>
          <w:szCs w:val="21"/>
        </w:rPr>
      </w:pPr>
      <w:r>
        <w:rPr>
          <w:rFonts w:hint="eastAsia" w:ascii="黑体" w:eastAsia="黑体"/>
          <w:spacing w:val="-4"/>
          <w:kern w:val="0"/>
        </w:rPr>
        <w:t>3.3.</w:t>
      </w:r>
      <w:r>
        <w:rPr>
          <w:rFonts w:hint="eastAsia" w:ascii="黑体" w:eastAsia="黑体"/>
          <w:spacing w:val="-4"/>
          <w:kern w:val="0"/>
          <w:lang w:val="en-US" w:eastAsia="zh-CN"/>
        </w:rPr>
        <w:t>5</w:t>
      </w:r>
      <w:r>
        <w:rPr>
          <w:rFonts w:hint="eastAsia" w:ascii="黑体" w:eastAsia="黑体"/>
          <w:spacing w:val="-4"/>
          <w:kern w:val="0"/>
        </w:rPr>
        <w:t>有色金属技术经济研究院有限责任公司</w:t>
      </w:r>
    </w:p>
    <w:p w14:paraId="526DFCFE">
      <w:pPr>
        <w:spacing w:line="360" w:lineRule="auto"/>
        <w:ind w:firstLine="420" w:firstLineChars="200"/>
        <w:rPr>
          <w:szCs w:val="21"/>
        </w:rPr>
      </w:pPr>
      <w:r>
        <w:rPr>
          <w:rFonts w:hint="eastAsia"/>
          <w:szCs w:val="21"/>
        </w:rPr>
        <w:t>有色金属技术经济研究院有限责任公司成立于1983年3月，与中国有色金属工业总公司同时经国家批准建立，最初名称为“中国有色金属总公司技术经济研究中心”，后改名“中国有色金属工业总公司技术经济研究院”，是中央所属242家转制科研院所之一，于1999年7月由国家全额拨款科研事业单位转制为科技型企业，变更为现名称。隶属于中国有色金属工业协会（以下简称“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58EF8294">
      <w:pPr>
        <w:spacing w:line="400" w:lineRule="exact"/>
        <w:ind w:firstLine="420" w:firstLineChars="200"/>
        <w:contextualSpacing/>
        <w:jc w:val="left"/>
        <w:rPr>
          <w:rFonts w:hint="eastAsia"/>
          <w:szCs w:val="21"/>
        </w:rPr>
      </w:pPr>
      <w:r>
        <w:rPr>
          <w:rFonts w:hint="eastAsia"/>
          <w:szCs w:val="21"/>
        </w:rPr>
        <w:t>该单位积极参与编制组的各项工作会议，对规范的部分内容提出了有效建议，在编制组中发挥了主要作用。</w:t>
      </w:r>
    </w:p>
    <w:p w14:paraId="069A48DB">
      <w:pPr>
        <w:spacing w:line="400" w:lineRule="exact"/>
        <w:contextualSpacing/>
        <w:jc w:val="left"/>
        <w:rPr>
          <w:rFonts w:hint="eastAsia" w:ascii="黑体" w:eastAsia="黑体"/>
          <w:spacing w:val="-4"/>
          <w:kern w:val="0"/>
          <w:lang w:val="en-US" w:eastAsia="zh-CN"/>
        </w:rPr>
      </w:pPr>
      <w:r>
        <w:rPr>
          <w:rFonts w:hint="eastAsia" w:ascii="黑体" w:eastAsia="黑体"/>
          <w:spacing w:val="-4"/>
          <w:kern w:val="0"/>
        </w:rPr>
        <w:t>3.3.</w:t>
      </w:r>
      <w:r>
        <w:rPr>
          <w:rFonts w:hint="eastAsia" w:ascii="黑体" w:eastAsia="黑体"/>
          <w:spacing w:val="-4"/>
          <w:kern w:val="0"/>
          <w:lang w:val="en-US" w:eastAsia="zh-CN"/>
        </w:rPr>
        <w:t>6青海大学</w:t>
      </w:r>
    </w:p>
    <w:p w14:paraId="4D6D48D8">
      <w:pPr>
        <w:spacing w:line="360" w:lineRule="auto"/>
        <w:ind w:firstLine="420" w:firstLineChars="200"/>
        <w:contextualSpacing/>
        <w:jc w:val="left"/>
        <w:rPr>
          <w:szCs w:val="21"/>
        </w:rPr>
      </w:pPr>
      <w:r>
        <w:rPr>
          <w:rFonts w:hint="eastAsia"/>
          <w:szCs w:val="21"/>
        </w:rPr>
        <w:t>青海大学是一所以工、农、医、管四大学科为主，其他学科协调发展的教学研究型大学，国家“双一流”建设高校，国家“211工程”重点建设大学，是全国14所“中西部高校提升综合实力”工程入选高校，国家首批百所创新示范校，教育部与青海省人民政府部省合建高校，具有学士、硕士、博士学位授予权。</w:t>
      </w:r>
    </w:p>
    <w:p w14:paraId="41F64C8F">
      <w:pPr>
        <w:spacing w:line="360" w:lineRule="auto"/>
        <w:ind w:firstLine="420" w:firstLineChars="200"/>
        <w:contextualSpacing/>
        <w:jc w:val="left"/>
        <w:rPr>
          <w:rFonts w:hint="default" w:ascii="黑体" w:eastAsia="黑体"/>
          <w:spacing w:val="-4"/>
          <w:kern w:val="0"/>
          <w:lang w:val="en-US" w:eastAsia="zh-CN"/>
        </w:rPr>
      </w:pPr>
      <w:r>
        <w:rPr>
          <w:rFonts w:hint="eastAsia"/>
          <w:szCs w:val="21"/>
        </w:rPr>
        <w:t>该单位积极参加编制工作，对规范的部分内容提出了有效建议，在编制组中发挥了主要作用。</w:t>
      </w:r>
    </w:p>
    <w:p w14:paraId="102D05B1">
      <w:pPr>
        <w:spacing w:line="400" w:lineRule="exact"/>
        <w:contextualSpacing/>
        <w:jc w:val="left"/>
        <w:rPr>
          <w:rFonts w:ascii="黑体" w:eastAsia="黑体"/>
          <w:spacing w:val="-4"/>
          <w:kern w:val="0"/>
        </w:rPr>
      </w:pPr>
      <w:r>
        <w:rPr>
          <w:rFonts w:hint="eastAsia" w:ascii="黑体" w:eastAsia="黑体"/>
          <w:spacing w:val="-4"/>
          <w:kern w:val="0"/>
          <w:lang w:val="en-US" w:eastAsia="zh-CN"/>
        </w:rPr>
        <w:t>3.3.7</w:t>
      </w:r>
      <w:r>
        <w:rPr>
          <w:rFonts w:hint="eastAsia" w:ascii="黑体" w:eastAsia="黑体"/>
          <w:spacing w:val="-4"/>
          <w:kern w:val="0"/>
        </w:rPr>
        <w:t>西安建筑科技大学</w:t>
      </w:r>
    </w:p>
    <w:p w14:paraId="06504C4E">
      <w:pPr>
        <w:spacing w:line="400" w:lineRule="exact"/>
        <w:ind w:firstLine="420" w:firstLineChars="200"/>
        <w:contextualSpacing/>
        <w:jc w:val="left"/>
        <w:rPr>
          <w:szCs w:val="21"/>
        </w:rPr>
      </w:pPr>
      <w:r>
        <w:rPr>
          <w:rFonts w:hint="eastAsia"/>
          <w:szCs w:val="21"/>
        </w:rPr>
        <w:t>学校是国务院首批批准有权授予博士、硕士和学士学位的单位。拥有原国家重点学科3个（结构工程、环境工程、建筑设计及其理论），连续两轮入选陕西省国家"双一流"培育高校，建筑学入选陕西省国家"双一流"培育学科。学校现有博士点13个，其中，一级学科博士学位授权点10个、博士专业学位授权点3个，博士后流动站8个；硕士点44个，其中，一级学科硕士学位授权点25个，硕士专业学位授权点19个。博士点涉及工学、管理学、交叉学科等3个学科门类，硕士点涉及工学、管理学、艺术学、理学、法学、哲学、文学、教育学、交叉学科等9个学科门类，基本涵盖学校所有本科专业。学校紧盯"双一流"建设目标，不断强化学科内涵建设，学科发展取得里程碑式的成绩，建筑学、土木工程、环境科学与工程3个学科在全国第五轮学科评估中取得重要突破，城乡规划学、风景园林学、管理科学与工程、材料科学与工程等4个学科取得预期成果，"建筑科技"学科链群优势更加彰显。4个学科入选教育部优先发展学科建议清单，明确建筑学力争进入世界一流学科行列。工程学、环境与生态学、材料科学、化学、生物学与生物化学、社会科学总论6个学科进入ESI全球排名前1%，其中工程学进入全球前1‰。建筑与建造环境学科进入QS世界大学学科排名前200名。6个学科入选"软科世界一流学科排名"榜单，13个学科入选"软科中国最好学科"榜单，建筑学始终位列"软科中国最好学科排名"前5%。</w:t>
      </w:r>
    </w:p>
    <w:p w14:paraId="49E3271C">
      <w:pPr>
        <w:spacing w:line="400" w:lineRule="exact"/>
        <w:ind w:firstLine="420" w:firstLineChars="200"/>
        <w:contextualSpacing/>
        <w:jc w:val="left"/>
        <w:rPr>
          <w:rFonts w:hint="eastAsia"/>
          <w:szCs w:val="21"/>
        </w:rPr>
      </w:pPr>
      <w:r>
        <w:rPr>
          <w:rFonts w:hint="eastAsia"/>
          <w:szCs w:val="21"/>
        </w:rPr>
        <w:t>该单位积极参与编制组的各项工作会议，对规范的部分内容提出了有效建议，在编制组中发挥了主要作用。</w:t>
      </w:r>
    </w:p>
    <w:p w14:paraId="6CB69C8E">
      <w:pPr>
        <w:spacing w:line="400" w:lineRule="exact"/>
        <w:contextualSpacing/>
        <w:jc w:val="left"/>
        <w:rPr>
          <w:rFonts w:ascii="黑体" w:eastAsia="黑体"/>
          <w:spacing w:val="-4"/>
          <w:kern w:val="0"/>
        </w:rPr>
      </w:pPr>
      <w:r>
        <w:rPr>
          <w:rFonts w:hint="eastAsia" w:ascii="黑体" w:eastAsia="黑体"/>
          <w:spacing w:val="-4"/>
          <w:kern w:val="0"/>
        </w:rPr>
        <w:t>3.3.</w:t>
      </w:r>
      <w:bookmarkStart w:id="7" w:name="_Toc464728903"/>
      <w:bookmarkStart w:id="8" w:name="_Toc462884347"/>
      <w:r>
        <w:rPr>
          <w:rFonts w:hint="eastAsia" w:ascii="黑体" w:eastAsia="黑体"/>
          <w:spacing w:val="-4"/>
          <w:kern w:val="0"/>
          <w:lang w:val="en-US" w:eastAsia="zh-CN"/>
        </w:rPr>
        <w:t>8</w:t>
      </w:r>
      <w:r>
        <w:rPr>
          <w:rFonts w:ascii="黑体" w:eastAsia="黑体"/>
          <w:spacing w:val="-4"/>
          <w:kern w:val="0"/>
        </w:rPr>
        <w:t>湖南湘投金天钛业科技股份有限公司</w:t>
      </w:r>
    </w:p>
    <w:p w14:paraId="3AC975F4">
      <w:pPr>
        <w:pStyle w:val="37"/>
        <w:spacing w:before="0" w:beforeAutospacing="0" w:after="0" w:afterAutospacing="0" w:line="400" w:lineRule="exact"/>
        <w:ind w:firstLine="420"/>
        <w:rPr>
          <w:rFonts w:ascii="Times New Roman" w:hAnsi="Times New Roman" w:cs="Times New Roman"/>
          <w:kern w:val="2"/>
          <w:sz w:val="21"/>
          <w:szCs w:val="21"/>
        </w:rPr>
      </w:pPr>
      <w:r>
        <w:rPr>
          <w:rFonts w:ascii="Times New Roman" w:hAnsi="Times New Roman" w:cs="Times New Roman"/>
          <w:kern w:val="2"/>
          <w:sz w:val="21"/>
          <w:szCs w:val="21"/>
        </w:rPr>
        <w:t>湖南湘投金天钛业科技股份有限公司（简称“金天钛业”，股票代码：688750）是一家专业从事高端钛及钛合金材料研发、生产和销售的国有控股上市企业。控股股东为湖南能源集团有限公司全资子公司湖南湘投金天科技集团有限责任公司。金天钛业位于常德经济技术开发区，注册资本4.625亿元，占地450亩。主营产品为钛及钛合金棒材、锻坯及零部件等，产品主要应用于航空、航天、舰船等高端装备领域。作为高新技术企业，金天钛业始终以科技创新为核心驱动力，瞄准我国高端装备领域市场，坚持产品和技术创新，承担并完成多项国家重点型号装备关键材料的研制生产任务，形成了一支由专家引领、博士牵头的近百人技术团队，建有国家级博士后科研工作站、湖南省高端装备特种钛合金工程技术研究中心、企业技术中心、工业设计中心等多个创新研发平台。同时，公司拥有国际先进的钛合金材料生产线与检测实验室，以及国内两用市场准入资质、AS9100、Nadcap、CNAS等资格认证，是中国高端装备用钛及钛合金材料主要研发生产基地之一。此外，公司获得了国家级专精特新小巨人企业、湖南省专精特新中小企业、湖南省工业品牌培育示范企业、第五批湖南省制造业单项冠军企业等称号，以及中国有色金属工业科学技术一等奖、湖南省科学技术进步一等奖、全国有色金属工业卓越品牌（钛加工产品）等荣誉，成为助推我国高端装备制造业高质量发展、支撑制造强国建设的一支重要力量。</w:t>
      </w:r>
    </w:p>
    <w:p w14:paraId="18B8919A">
      <w:pPr>
        <w:spacing w:line="400" w:lineRule="exact"/>
        <w:ind w:firstLine="420" w:firstLineChars="200"/>
        <w:contextualSpacing/>
        <w:jc w:val="left"/>
        <w:rPr>
          <w:szCs w:val="21"/>
        </w:rPr>
      </w:pPr>
      <w:r>
        <w:rPr>
          <w:rFonts w:hint="eastAsia"/>
          <w:szCs w:val="21"/>
        </w:rPr>
        <w:t>该单位积极参与编制组的各项工作会议，对规范的部分内容提出了有效建议，在编制组中发挥了主要作用。</w:t>
      </w:r>
    </w:p>
    <w:p w14:paraId="09DB3EE5">
      <w:pPr>
        <w:spacing w:line="400" w:lineRule="exact"/>
        <w:contextualSpacing/>
        <w:jc w:val="left"/>
        <w:rPr>
          <w:szCs w:val="21"/>
        </w:rPr>
      </w:pPr>
      <w:r>
        <w:rPr>
          <w:rFonts w:hint="eastAsia" w:ascii="黑体" w:eastAsia="黑体"/>
          <w:spacing w:val="-4"/>
          <w:kern w:val="0"/>
        </w:rPr>
        <w:t>3.4</w:t>
      </w:r>
      <w:r>
        <w:rPr>
          <w:rFonts w:hint="eastAsia"/>
          <w:szCs w:val="21"/>
        </w:rPr>
        <w:t>各单位分工情况</w:t>
      </w:r>
    </w:p>
    <w:p w14:paraId="5C3D9A6E">
      <w:pPr>
        <w:pStyle w:val="59"/>
        <w:numPr>
          <w:ilvl w:val="3"/>
          <w:numId w:val="0"/>
        </w:numPr>
        <w:spacing w:before="156" w:beforeLines="50" w:after="156" w:afterLines="50"/>
        <w:ind w:left="2" w:firstLine="396" w:firstLineChars="200"/>
        <w:contextualSpacing/>
        <w:rPr>
          <w:rFonts w:ascii="宋体" w:hAnsi="宋体" w:eastAsia="宋体" w:cs="宋体"/>
          <w:color w:val="auto"/>
          <w:kern w:val="2"/>
          <w:szCs w:val="21"/>
        </w:rPr>
      </w:pPr>
      <w:r>
        <w:rPr>
          <w:rFonts w:hint="eastAsia" w:ascii="Times New Roman" w:hAnsi="Times New Roman" w:eastAsia="宋体"/>
          <w:szCs w:val="21"/>
        </w:rPr>
        <w:t>编制组依据各单位情况，对整个规范的起草进行了分工。西安汉唐分析检测有限公司（主编单位）</w:t>
      </w:r>
      <w:r>
        <w:rPr>
          <w:rFonts w:ascii="宋体" w:hAnsi="宋体" w:eastAsia="宋体" w:cs="宋体"/>
          <w:color w:val="auto"/>
          <w:kern w:val="2"/>
          <w:szCs w:val="21"/>
        </w:rPr>
        <w:t>负责</w:t>
      </w:r>
      <w:r>
        <w:rPr>
          <w:rFonts w:hint="eastAsia" w:ascii="宋体" w:hAnsi="宋体" w:eastAsia="宋体" w:cs="宋体"/>
          <w:color w:val="auto"/>
          <w:kern w:val="2"/>
          <w:szCs w:val="21"/>
        </w:rPr>
        <w:t>资料的调研、</w:t>
      </w:r>
      <w:r>
        <w:rPr>
          <w:rFonts w:ascii="宋体" w:hAnsi="宋体" w:eastAsia="宋体" w:cs="宋体"/>
          <w:color w:val="auto"/>
          <w:kern w:val="2"/>
          <w:szCs w:val="21"/>
        </w:rPr>
        <w:t>收集，完成分析方法研究工作，撰写标准文稿、编制说明和研究报告</w:t>
      </w:r>
      <w:r>
        <w:rPr>
          <w:rFonts w:hint="eastAsia" w:ascii="宋体" w:hAnsi="宋体" w:eastAsia="宋体" w:cs="宋体"/>
          <w:color w:val="auto"/>
          <w:kern w:val="2"/>
          <w:szCs w:val="21"/>
        </w:rPr>
        <w:t>。赤峰市产品质量检验检测中心、</w:t>
      </w:r>
      <w:r>
        <w:rPr>
          <w:rFonts w:hint="eastAsia" w:ascii="宋体" w:hAnsi="宋体" w:eastAsia="宋体" w:cs="宋体"/>
          <w:color w:val="auto"/>
          <w:kern w:val="2"/>
          <w:szCs w:val="21"/>
          <w:lang w:val="en-US" w:eastAsia="zh-CN"/>
        </w:rPr>
        <w:t>青海大学、</w:t>
      </w:r>
      <w:r>
        <w:rPr>
          <w:rFonts w:hint="eastAsia" w:ascii="宋体" w:hAnsi="宋体" w:eastAsia="宋体" w:cs="宋体"/>
          <w:color w:val="auto"/>
          <w:kern w:val="2"/>
          <w:szCs w:val="21"/>
        </w:rPr>
        <w:t>西安建筑科技大学、西南铝业（集团）有限责任公司、</w:t>
      </w:r>
      <w:r>
        <w:rPr>
          <w:rFonts w:hint="eastAsia" w:ascii="Times New Roman" w:hAnsi="Times New Roman" w:eastAsia="宋体"/>
          <w:szCs w:val="21"/>
        </w:rPr>
        <w:t>西安精科华创材料分析检测有限公司、陕西有色榆林新材料集团有限公司</w:t>
      </w:r>
      <w:r>
        <w:rPr>
          <w:rFonts w:hint="eastAsia" w:ascii="宋体" w:hAnsi="宋体" w:eastAsia="宋体" w:cs="宋体"/>
          <w:color w:val="auto"/>
          <w:kern w:val="2"/>
          <w:szCs w:val="21"/>
        </w:rPr>
        <w:t>、湖南湘投金天钛业科技股份有限公司</w:t>
      </w:r>
      <w:r>
        <w:rPr>
          <w:rFonts w:hint="eastAsia" w:ascii="Times New Roman" w:hAnsi="Times New Roman" w:eastAsia="宋体"/>
          <w:szCs w:val="21"/>
        </w:rPr>
        <w:t>对规范内容提出具体修改意见，</w:t>
      </w:r>
      <w:r>
        <w:rPr>
          <w:rFonts w:ascii="宋体" w:hAnsi="宋体" w:eastAsia="宋体" w:cs="宋体"/>
          <w:color w:val="auto"/>
          <w:kern w:val="2"/>
          <w:szCs w:val="21"/>
        </w:rPr>
        <w:t>提供</w:t>
      </w:r>
      <w:r>
        <w:rPr>
          <w:rFonts w:hint="eastAsia" w:ascii="宋体" w:hAnsi="宋体" w:eastAsia="宋体" w:cs="宋体"/>
          <w:color w:val="auto"/>
          <w:kern w:val="2"/>
          <w:szCs w:val="21"/>
        </w:rPr>
        <w:t>对规范方法的验证工作及完成相应验证报告</w:t>
      </w:r>
      <w:r>
        <w:rPr>
          <w:rFonts w:ascii="宋体" w:hAnsi="宋体" w:eastAsia="宋体" w:cs="宋体"/>
          <w:color w:val="auto"/>
          <w:kern w:val="2"/>
          <w:szCs w:val="21"/>
        </w:rPr>
        <w:t>，并对标准文稿等提出相应修改意见</w:t>
      </w:r>
      <w:r>
        <w:rPr>
          <w:rFonts w:hint="eastAsia" w:ascii="宋体" w:hAnsi="宋体" w:eastAsia="宋体" w:cs="宋体"/>
          <w:color w:val="auto"/>
          <w:kern w:val="2"/>
          <w:szCs w:val="21"/>
        </w:rPr>
        <w:t>，分工见表1。</w:t>
      </w:r>
    </w:p>
    <w:p w14:paraId="4DFA1E16">
      <w:pPr>
        <w:pStyle w:val="58"/>
        <w:ind w:firstLine="0" w:firstLineChars="0"/>
        <w:jc w:val="center"/>
      </w:pPr>
      <w:r>
        <w:rPr>
          <w:rFonts w:hint="eastAsia"/>
        </w:rPr>
        <w:t>表1 各单位分工表</w:t>
      </w:r>
    </w:p>
    <w:tbl>
      <w:tblPr>
        <w:tblStyle w:val="42"/>
        <w:tblpPr w:leftFromText="180" w:rightFromText="180" w:vertAnchor="text" w:horzAnchor="page" w:tblpXSpec="center" w:tblpY="24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795"/>
        <w:gridCol w:w="741"/>
        <w:gridCol w:w="5866"/>
      </w:tblGrid>
      <w:tr w14:paraId="4687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48C46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单位</w:t>
            </w:r>
          </w:p>
        </w:tc>
        <w:tc>
          <w:tcPr>
            <w:tcW w:w="415" w:type="pct"/>
          </w:tcPr>
          <w:p w14:paraId="77CCD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人员</w:t>
            </w:r>
          </w:p>
        </w:tc>
        <w:tc>
          <w:tcPr>
            <w:tcW w:w="387" w:type="pct"/>
          </w:tcPr>
          <w:p w14:paraId="7B032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职称</w:t>
            </w:r>
          </w:p>
        </w:tc>
        <w:tc>
          <w:tcPr>
            <w:tcW w:w="3064" w:type="pct"/>
          </w:tcPr>
          <w:p w14:paraId="55804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工作分工</w:t>
            </w:r>
          </w:p>
        </w:tc>
      </w:tr>
      <w:tr w14:paraId="2DB0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7F480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西安汉唐分析检测有限公司</w:t>
            </w:r>
          </w:p>
        </w:tc>
        <w:tc>
          <w:tcPr>
            <w:tcW w:w="415" w:type="pct"/>
          </w:tcPr>
          <w:p w14:paraId="76B59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5C1BE7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64" w:type="pct"/>
          </w:tcPr>
          <w:p w14:paraId="71BAC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规范起草编制，试验方案编订，实验数据分析，编制说明的撰写工作，会议纪要整理及规范的完善。</w:t>
            </w:r>
          </w:p>
        </w:tc>
      </w:tr>
      <w:tr w14:paraId="7931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33E96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highlight w:val="yellow"/>
              </w:rPr>
            </w:pPr>
            <w:r>
              <w:rPr>
                <w:rFonts w:hint="eastAsia"/>
                <w:szCs w:val="21"/>
              </w:rPr>
              <w:t>有色金属技术经济研究院有限责任公司</w:t>
            </w:r>
          </w:p>
        </w:tc>
        <w:tc>
          <w:tcPr>
            <w:tcW w:w="415" w:type="pct"/>
          </w:tcPr>
          <w:p w14:paraId="13201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359DD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64" w:type="pct"/>
          </w:tcPr>
          <w:p w14:paraId="384A7C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highlight w:val="yellow"/>
              </w:rPr>
            </w:pPr>
            <w:r>
              <w:rPr>
                <w:rFonts w:hint="eastAsia"/>
                <w:szCs w:val="21"/>
              </w:rPr>
              <w:t>规范实验数据分析及讨论，内容审阅并提出修改意见，会议纪要整理。</w:t>
            </w:r>
          </w:p>
        </w:tc>
      </w:tr>
      <w:tr w14:paraId="147E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2622E0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color w:val="000000" w:themeColor="text1"/>
                <w:spacing w:val="-6"/>
                <w:kern w:val="0"/>
                <w:szCs w:val="21"/>
                <w14:textFill>
                  <w14:solidFill>
                    <w14:schemeClr w14:val="tx1"/>
                  </w14:solidFill>
                </w14:textFill>
              </w:rPr>
              <w:t>西安精科华创材料分析检测有限公司</w:t>
            </w:r>
          </w:p>
        </w:tc>
        <w:tc>
          <w:tcPr>
            <w:tcW w:w="415" w:type="pct"/>
          </w:tcPr>
          <w:p w14:paraId="3D080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6690A0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64" w:type="pct"/>
          </w:tcPr>
          <w:p w14:paraId="2F0A1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内容审阅并提出修改意见，规范</w:t>
            </w:r>
            <w:r>
              <w:rPr>
                <w:rFonts w:hint="eastAsia"/>
                <w:szCs w:val="21"/>
                <w:lang w:val="en-US" w:eastAsia="zh-CN"/>
              </w:rPr>
              <w:t>一</w:t>
            </w:r>
            <w:r>
              <w:rPr>
                <w:rFonts w:hint="eastAsia"/>
                <w:szCs w:val="21"/>
              </w:rPr>
              <w:t>验工作</w:t>
            </w:r>
          </w:p>
        </w:tc>
      </w:tr>
      <w:tr w14:paraId="63B4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27CE2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ascii="宋体" w:hAnsi="宋体" w:cs="宋体"/>
                <w:szCs w:val="21"/>
              </w:rPr>
              <w:t>西南铝业（集团）有限责任公司</w:t>
            </w:r>
          </w:p>
        </w:tc>
        <w:tc>
          <w:tcPr>
            <w:tcW w:w="415" w:type="pct"/>
          </w:tcPr>
          <w:p w14:paraId="6DA7A3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highlight w:val="yellow"/>
              </w:rPr>
            </w:pPr>
          </w:p>
        </w:tc>
        <w:tc>
          <w:tcPr>
            <w:tcW w:w="387" w:type="pct"/>
          </w:tcPr>
          <w:p w14:paraId="0E40B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64" w:type="pct"/>
          </w:tcPr>
          <w:p w14:paraId="2D984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内容审阅并提出修改意见，规范二验工作</w:t>
            </w:r>
          </w:p>
        </w:tc>
      </w:tr>
      <w:tr w14:paraId="7B6B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shd w:val="clear" w:color="auto" w:fill="auto"/>
            <w:vAlign w:val="top"/>
          </w:tcPr>
          <w:p w14:paraId="6929D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cs="宋体"/>
                <w:color w:val="auto"/>
                <w:kern w:val="2"/>
                <w:szCs w:val="21"/>
                <w:lang w:val="en-US" w:eastAsia="zh-CN"/>
              </w:rPr>
              <w:t>青海</w:t>
            </w:r>
            <w:r>
              <w:rPr>
                <w:rFonts w:hint="eastAsia" w:ascii="宋体" w:hAnsi="宋体" w:eastAsia="宋体" w:cs="宋体"/>
                <w:color w:val="auto"/>
                <w:kern w:val="2"/>
                <w:szCs w:val="21"/>
              </w:rPr>
              <w:t>大学</w:t>
            </w:r>
          </w:p>
        </w:tc>
        <w:tc>
          <w:tcPr>
            <w:tcW w:w="415" w:type="pct"/>
            <w:shd w:val="clear" w:color="auto" w:fill="auto"/>
            <w:vAlign w:val="top"/>
          </w:tcPr>
          <w:p w14:paraId="409A93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387" w:type="pct"/>
            <w:shd w:val="clear" w:color="auto" w:fill="auto"/>
            <w:vAlign w:val="top"/>
          </w:tcPr>
          <w:p w14:paraId="6439B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3064" w:type="pct"/>
            <w:shd w:val="clear" w:color="auto" w:fill="auto"/>
            <w:vAlign w:val="top"/>
          </w:tcPr>
          <w:p w14:paraId="1639F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内容审阅并提出修改意见</w:t>
            </w:r>
          </w:p>
        </w:tc>
      </w:tr>
      <w:tr w14:paraId="4077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shd w:val="clear"/>
            <w:vAlign w:val="top"/>
          </w:tcPr>
          <w:p w14:paraId="039357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kern w:val="2"/>
                <w:szCs w:val="21"/>
              </w:rPr>
              <w:t>西安建筑科技大学</w:t>
            </w:r>
          </w:p>
        </w:tc>
        <w:tc>
          <w:tcPr>
            <w:tcW w:w="415" w:type="pct"/>
            <w:shd w:val="clear"/>
            <w:vAlign w:val="top"/>
          </w:tcPr>
          <w:p w14:paraId="24109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387" w:type="pct"/>
            <w:shd w:val="clear"/>
            <w:vAlign w:val="top"/>
          </w:tcPr>
          <w:p w14:paraId="609CF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3064" w:type="pct"/>
            <w:shd w:val="clear"/>
            <w:vAlign w:val="top"/>
          </w:tcPr>
          <w:p w14:paraId="7FD60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内容审阅并提出修改意见</w:t>
            </w:r>
          </w:p>
        </w:tc>
      </w:tr>
      <w:tr w14:paraId="3D17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tcPr>
          <w:p w14:paraId="502F9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color w:val="000000" w:themeColor="text1"/>
                <w:spacing w:val="-6"/>
                <w:kern w:val="0"/>
                <w:szCs w:val="21"/>
                <w14:textFill>
                  <w14:solidFill>
                    <w14:schemeClr w14:val="tx1"/>
                  </w14:solidFill>
                </w14:textFill>
              </w:rPr>
              <w:t>陕西有色榆林新材料集团有限公司</w:t>
            </w:r>
          </w:p>
        </w:tc>
        <w:tc>
          <w:tcPr>
            <w:tcW w:w="415" w:type="pct"/>
          </w:tcPr>
          <w:p w14:paraId="32458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87" w:type="pct"/>
          </w:tcPr>
          <w:p w14:paraId="134E46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p>
        </w:tc>
        <w:tc>
          <w:tcPr>
            <w:tcW w:w="3064" w:type="pct"/>
          </w:tcPr>
          <w:p w14:paraId="058B4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szCs w:val="21"/>
              </w:rPr>
              <w:t>内容审阅并提出修改意见</w:t>
            </w:r>
          </w:p>
        </w:tc>
      </w:tr>
      <w:tr w14:paraId="0477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3" w:type="pct"/>
            <w:shd w:val="clear"/>
            <w:vAlign w:val="top"/>
          </w:tcPr>
          <w:p w14:paraId="13C48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Cs w:val="21"/>
              </w:rPr>
              <w:t>湖南湘投金天钛业科技股份有限公司</w:t>
            </w:r>
          </w:p>
        </w:tc>
        <w:tc>
          <w:tcPr>
            <w:tcW w:w="415" w:type="pct"/>
            <w:shd w:val="clear"/>
            <w:vAlign w:val="top"/>
          </w:tcPr>
          <w:p w14:paraId="7B29A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387" w:type="pct"/>
            <w:shd w:val="clear"/>
            <w:vAlign w:val="top"/>
          </w:tcPr>
          <w:p w14:paraId="27873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kern w:val="2"/>
                <w:sz w:val="21"/>
                <w:szCs w:val="21"/>
                <w:lang w:val="en-US" w:eastAsia="zh-CN" w:bidi="ar-SA"/>
              </w:rPr>
            </w:pPr>
          </w:p>
        </w:tc>
        <w:tc>
          <w:tcPr>
            <w:tcW w:w="3064" w:type="pct"/>
            <w:shd w:val="clear"/>
            <w:vAlign w:val="top"/>
          </w:tcPr>
          <w:p w14:paraId="11ABA0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实验方案讨论，内容审阅并提出修改意见</w:t>
            </w:r>
          </w:p>
        </w:tc>
      </w:tr>
    </w:tbl>
    <w:p w14:paraId="43F028A5">
      <w:pPr>
        <w:pStyle w:val="58"/>
        <w:ind w:firstLine="420"/>
      </w:pPr>
    </w:p>
    <w:bookmarkEnd w:id="7"/>
    <w:bookmarkEnd w:id="8"/>
    <w:p w14:paraId="2C773977">
      <w:pPr>
        <w:pStyle w:val="4"/>
        <w:spacing w:before="156" w:after="156"/>
        <w:rPr>
          <w:b w:val="0"/>
          <w:bCs w:val="0"/>
        </w:rPr>
      </w:pPr>
      <w:bookmarkStart w:id="9" w:name="_Toc464728913"/>
      <w:bookmarkStart w:id="10" w:name="_Toc462884357"/>
      <w:r>
        <w:rPr>
          <w:rFonts w:hint="eastAsia"/>
          <w:b w:val="0"/>
          <w:bCs w:val="0"/>
        </w:rPr>
        <w:t>4.主要工作过程</w:t>
      </w:r>
      <w:bookmarkEnd w:id="9"/>
      <w:bookmarkEnd w:id="10"/>
    </w:p>
    <w:p w14:paraId="02F4B0C7">
      <w:pPr>
        <w:spacing w:line="400" w:lineRule="exact"/>
        <w:ind w:firstLine="420" w:firstLineChars="200"/>
      </w:pPr>
      <w:bookmarkStart w:id="11" w:name="_Hlk134448643"/>
      <w:r>
        <w:rPr>
          <w:rFonts w:hint="eastAsia"/>
        </w:rPr>
        <w:t>汉唐公司于2024年9月接到有色金属行业计量技术委员会转发的下达的制定任务后，成立了计量规范编制组，对计量技术规范编写工作进行了部署和分工，制定了本规范的制定原则及工作计划。本项目主要工作过程经过了以下几个阶段：</w:t>
      </w:r>
    </w:p>
    <w:p w14:paraId="507ABB8A">
      <w:pPr>
        <w:spacing w:line="400" w:lineRule="exact"/>
        <w:ind w:firstLine="420" w:firstLineChars="200"/>
      </w:pPr>
      <w:r>
        <w:t>1</w:t>
      </w:r>
      <w:r>
        <w:rPr>
          <w:rFonts w:hint="eastAsia"/>
        </w:rPr>
        <w:t>）</w:t>
      </w:r>
      <w:r>
        <w:t>20</w:t>
      </w:r>
      <w:r>
        <w:rPr>
          <w:rFonts w:hint="eastAsia"/>
        </w:rPr>
        <w:t>24年11月成立了计量规范编制组，明确了编制组成员各自的工作内容和任务。</w:t>
      </w:r>
    </w:p>
    <w:p w14:paraId="31430B9A">
      <w:pPr>
        <w:spacing w:line="400" w:lineRule="exact"/>
        <w:ind w:firstLine="420" w:firstLineChars="200"/>
      </w:pPr>
      <w:r>
        <w:t>2</w:t>
      </w:r>
      <w:r>
        <w:rPr>
          <w:rFonts w:hint="eastAsia"/>
        </w:rPr>
        <w:t>）</w:t>
      </w:r>
      <w:r>
        <w:t>20</w:t>
      </w:r>
      <w:r>
        <w:rPr>
          <w:rFonts w:hint="eastAsia"/>
        </w:rPr>
        <w:t>24年11月～2025年4月，编制组成员对《数显半径测量仪校准规范》中的计量特性及校准方法进行了讨论，确定了校准项目和方法，在</w:t>
      </w:r>
      <w:r>
        <w:t>202</w:t>
      </w:r>
      <w:r>
        <w:rPr>
          <w:rFonts w:hint="eastAsia"/>
        </w:rPr>
        <w:t>5年4月形成了计量规范讨论稿。</w:t>
      </w:r>
    </w:p>
    <w:bookmarkEnd w:id="11"/>
    <w:p w14:paraId="4EC4B5CF">
      <w:pPr>
        <w:spacing w:line="400" w:lineRule="exact"/>
        <w:ind w:firstLine="420" w:firstLineChars="200"/>
        <w:rPr>
          <w:szCs w:val="21"/>
        </w:rPr>
      </w:pPr>
      <w:r>
        <w:rPr>
          <w:rFonts w:hint="eastAsia"/>
        </w:rPr>
        <w:t>3）2025年6月19日~20日，在新疆石河子市召开有色金属计量技术规范研讨会，</w:t>
      </w:r>
      <w:r>
        <w:rPr>
          <w:rFonts w:hint="eastAsia"/>
          <w:szCs w:val="21"/>
        </w:rPr>
        <w:t>会上对《</w:t>
      </w:r>
      <w:r>
        <w:rPr>
          <w:rFonts w:hint="eastAsia"/>
        </w:rPr>
        <w:t>数显半径测量仪校准规范</w:t>
      </w:r>
      <w:r>
        <w:rPr>
          <w:rFonts w:hint="eastAsia"/>
          <w:szCs w:val="21"/>
        </w:rPr>
        <w:t>-讨论稿》进行了讨论，会上有来自不同单位的计量委员会委员、专家、代表就《</w:t>
      </w:r>
      <w:r>
        <w:rPr>
          <w:rFonts w:hint="eastAsia"/>
        </w:rPr>
        <w:t>数显半径测量仪校准规范</w:t>
      </w:r>
      <w:r>
        <w:rPr>
          <w:rFonts w:hint="eastAsia"/>
          <w:szCs w:val="21"/>
        </w:rPr>
        <w:t>-讨论稿》中的校准方法等提出了修改建议和意见，同时，</w:t>
      </w:r>
      <w:r>
        <w:rPr>
          <w:rFonts w:hint="eastAsia"/>
        </w:rPr>
        <w:t>会上确定了项目的参编单位及一验、二验单位，明确了各项工作时间进度要求，具体内容见表1。修改后形成了</w:t>
      </w:r>
      <w:r>
        <w:rPr>
          <w:rFonts w:hint="eastAsia"/>
          <w:szCs w:val="21"/>
        </w:rPr>
        <w:t>《</w:t>
      </w:r>
      <w:r>
        <w:rPr>
          <w:rFonts w:hint="eastAsia"/>
        </w:rPr>
        <w:t>数显半径测量仪校准规范</w:t>
      </w:r>
      <w:r>
        <w:rPr>
          <w:rFonts w:hint="eastAsia"/>
          <w:szCs w:val="21"/>
        </w:rPr>
        <w:t>-</w:t>
      </w:r>
      <w:r>
        <w:rPr>
          <w:rFonts w:hint="eastAsia"/>
        </w:rPr>
        <w:t>征求意见稿</w:t>
      </w:r>
      <w:r>
        <w:rPr>
          <w:rFonts w:hint="eastAsia"/>
          <w:szCs w:val="21"/>
        </w:rPr>
        <w:t>》。</w:t>
      </w:r>
    </w:p>
    <w:p w14:paraId="5C3C2B9C">
      <w:pPr>
        <w:spacing w:line="360" w:lineRule="auto"/>
        <w:ind w:firstLine="210" w:firstLineChars="100"/>
        <w:jc w:val="center"/>
      </w:pPr>
      <w:r>
        <w:rPr>
          <w:rFonts w:hint="eastAsia"/>
        </w:rPr>
        <w:t>表</w:t>
      </w:r>
      <w:r>
        <w:rPr>
          <w:rFonts w:hint="eastAsia"/>
          <w:lang w:val="en-US" w:eastAsia="zh-CN"/>
        </w:rPr>
        <w:t>2</w:t>
      </w:r>
      <w:r>
        <w:rPr>
          <w:rFonts w:hint="eastAsia"/>
        </w:rPr>
        <w:t xml:space="preserve"> 《数显半径测量仪校准规范-讨论稿》工作安排</w:t>
      </w:r>
    </w:p>
    <w:tbl>
      <w:tblPr>
        <w:tblStyle w:val="41"/>
        <w:tblW w:w="4764" w:type="pct"/>
        <w:jc w:val="center"/>
        <w:tblLayout w:type="fixed"/>
        <w:tblCellMar>
          <w:top w:w="0" w:type="dxa"/>
          <w:left w:w="108" w:type="dxa"/>
          <w:bottom w:w="0" w:type="dxa"/>
          <w:right w:w="108" w:type="dxa"/>
        </w:tblCellMar>
      </w:tblPr>
      <w:tblGrid>
        <w:gridCol w:w="1864"/>
        <w:gridCol w:w="7257"/>
      </w:tblGrid>
      <w:tr w14:paraId="312E3454">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B91AE">
            <w:pPr>
              <w:spacing w:line="360" w:lineRule="auto"/>
            </w:pPr>
            <w:r>
              <w:rPr>
                <w:rFonts w:hint="eastAsia"/>
              </w:rPr>
              <w:t>拟参与编制单位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17B53412">
            <w:pPr>
              <w:widowControl/>
              <w:jc w:val="left"/>
            </w:pPr>
            <w:r>
              <w:rPr>
                <w:rFonts w:hint="eastAsia" w:ascii="宋体" w:hAnsi="宋体" w:cs="宋体"/>
                <w:szCs w:val="21"/>
              </w:rPr>
              <w:t>赤峰市产品质量检验检测中心、</w:t>
            </w:r>
            <w:r>
              <w:rPr>
                <w:rFonts w:hint="eastAsia" w:ascii="宋体" w:hAnsi="宋体" w:cs="宋体"/>
                <w:szCs w:val="21"/>
                <w:lang w:val="en-US" w:eastAsia="zh-CN"/>
              </w:rPr>
              <w:t>青海大学、</w:t>
            </w:r>
            <w:r>
              <w:rPr>
                <w:rFonts w:hint="eastAsia" w:ascii="宋体" w:hAnsi="宋体" w:cs="宋体"/>
                <w:szCs w:val="21"/>
              </w:rPr>
              <w:t>西安建筑科技大学、西南铝业（集团）有限责任公司、</w:t>
            </w:r>
            <w:r>
              <w:rPr>
                <w:rFonts w:hint="eastAsia"/>
                <w:color w:val="000000" w:themeColor="text1"/>
                <w:spacing w:val="-6"/>
                <w:kern w:val="0"/>
                <w:szCs w:val="21"/>
                <w14:textFill>
                  <w14:solidFill>
                    <w14:schemeClr w14:val="tx1"/>
                  </w14:solidFill>
                </w14:textFill>
              </w:rPr>
              <w:t>西安精科华创材料分析检测有限公司、陕西有色榆林新材料集团有限公司</w:t>
            </w:r>
            <w:r>
              <w:rPr>
                <w:rFonts w:hint="eastAsia" w:ascii="宋体" w:hAnsi="宋体" w:cs="宋体"/>
                <w:szCs w:val="21"/>
              </w:rPr>
              <w:t>、湖南湘投金天钛业科技股份有限公司</w:t>
            </w:r>
            <w:r>
              <w:rPr>
                <w:rFonts w:cs="宋体"/>
                <w:color w:val="000000"/>
                <w:kern w:val="0"/>
                <w:szCs w:val="21"/>
              </w:rPr>
              <w:t>等</w:t>
            </w:r>
          </w:p>
        </w:tc>
      </w:tr>
      <w:tr w14:paraId="3D13DF63">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3B6F4">
            <w:pPr>
              <w:spacing w:line="360" w:lineRule="auto"/>
            </w:pPr>
            <w:r>
              <w:rPr>
                <w:rFonts w:hint="eastAsia"/>
              </w:rPr>
              <w:t>一验单位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0AA34198">
            <w:pPr>
              <w:spacing w:line="360" w:lineRule="auto"/>
              <w:ind w:firstLine="396" w:firstLineChars="200"/>
              <w:jc w:val="left"/>
            </w:pPr>
            <w:r>
              <w:rPr>
                <w:rFonts w:hint="eastAsia"/>
                <w:color w:val="000000" w:themeColor="text1"/>
                <w:spacing w:val="-6"/>
                <w:kern w:val="0"/>
                <w:szCs w:val="21"/>
                <w14:textFill>
                  <w14:solidFill>
                    <w14:schemeClr w14:val="tx1"/>
                  </w14:solidFill>
                </w14:textFill>
              </w:rPr>
              <w:t>西安精科华创材料分析检测有限公司</w:t>
            </w:r>
          </w:p>
        </w:tc>
      </w:tr>
      <w:tr w14:paraId="5F79DB4F">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46378">
            <w:pPr>
              <w:spacing w:line="360" w:lineRule="auto"/>
            </w:pPr>
            <w:r>
              <w:rPr>
                <w:rFonts w:hint="eastAsia"/>
              </w:rPr>
              <w:t>二验单位</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1924E0FC">
            <w:pPr>
              <w:spacing w:line="360" w:lineRule="auto"/>
              <w:ind w:firstLine="420" w:firstLineChars="200"/>
              <w:jc w:val="left"/>
            </w:pPr>
            <w:r>
              <w:rPr>
                <w:rFonts w:hint="eastAsia" w:ascii="宋体" w:hAnsi="宋体" w:cs="宋体"/>
                <w:szCs w:val="21"/>
              </w:rPr>
              <w:t>西南铝业（集团）有限责任公司</w:t>
            </w:r>
          </w:p>
        </w:tc>
      </w:tr>
      <w:tr w14:paraId="7A54E442">
        <w:tblPrEx>
          <w:tblCellMar>
            <w:top w:w="0" w:type="dxa"/>
            <w:left w:w="108" w:type="dxa"/>
            <w:bottom w:w="0" w:type="dxa"/>
            <w:right w:w="108" w:type="dxa"/>
          </w:tblCellMar>
        </w:tblPrEx>
        <w:trPr>
          <w:trHeight w:val="567" w:hRule="atLeast"/>
          <w:jc w:val="center"/>
        </w:trPr>
        <w:tc>
          <w:tcPr>
            <w:tcW w:w="18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4C341">
            <w:pPr>
              <w:spacing w:line="360" w:lineRule="auto"/>
            </w:pPr>
            <w:r>
              <w:rPr>
                <w:rFonts w:hint="eastAsia"/>
              </w:rPr>
              <w:t>时间节点安排</w:t>
            </w:r>
          </w:p>
        </w:tc>
        <w:tc>
          <w:tcPr>
            <w:tcW w:w="7257" w:type="dxa"/>
            <w:tcBorders>
              <w:top w:val="single" w:color="auto" w:sz="4" w:space="0"/>
              <w:left w:val="nil"/>
              <w:bottom w:val="single" w:color="auto" w:sz="4" w:space="0"/>
              <w:right w:val="single" w:color="auto" w:sz="4" w:space="0"/>
            </w:tcBorders>
            <w:shd w:val="clear" w:color="auto" w:fill="auto"/>
            <w:noWrap/>
            <w:vAlign w:val="center"/>
          </w:tcPr>
          <w:p w14:paraId="481E12F7">
            <w:pPr>
              <w:spacing w:line="360" w:lineRule="auto"/>
              <w:ind w:firstLine="420" w:firstLineChars="200"/>
            </w:pP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月完成试验验证，2026年</w:t>
            </w:r>
            <w:r>
              <w:rPr>
                <w:rFonts w:hint="eastAsia"/>
                <w:lang w:val="en-US" w:eastAsia="zh-CN"/>
              </w:rPr>
              <w:t>12</w:t>
            </w:r>
            <w:r>
              <w:rPr>
                <w:rFonts w:hint="eastAsia"/>
              </w:rPr>
              <w:t>月完成规范报批</w:t>
            </w:r>
          </w:p>
        </w:tc>
      </w:tr>
    </w:tbl>
    <w:p w14:paraId="1AE45104">
      <w:pPr>
        <w:spacing w:line="400" w:lineRule="exact"/>
        <w:ind w:firstLine="420" w:firstLineChars="200"/>
        <w:rPr>
          <w:rFonts w:hint="eastAsia"/>
          <w:b w:val="0"/>
          <w:bCs w:val="0"/>
          <w:highlight w:val="none"/>
        </w:rPr>
      </w:pPr>
      <w:r>
        <w:rPr>
          <w:rFonts w:hint="eastAsia"/>
          <w:szCs w:val="21"/>
          <w:lang w:val="en-US" w:eastAsia="zh-CN"/>
        </w:rPr>
        <w:t>4</w:t>
      </w:r>
      <w:r>
        <w:rPr>
          <w:rFonts w:hint="eastAsia"/>
          <w:szCs w:val="21"/>
        </w:rPr>
        <w:t>）</w:t>
      </w:r>
      <w:r>
        <w:rPr>
          <w:rFonts w:hint="eastAsia"/>
          <w:b w:val="0"/>
          <w:bCs w:val="0"/>
          <w:highlight w:val="none"/>
        </w:rPr>
        <w:t>202</w:t>
      </w:r>
      <w:r>
        <w:rPr>
          <w:rFonts w:hint="eastAsia"/>
          <w:b w:val="0"/>
          <w:bCs w:val="0"/>
          <w:highlight w:val="none"/>
          <w:lang w:val="en-US" w:eastAsia="zh-CN"/>
        </w:rPr>
        <w:t>5</w:t>
      </w:r>
      <w:r>
        <w:rPr>
          <w:rFonts w:hint="eastAsia"/>
          <w:b w:val="0"/>
          <w:bCs w:val="0"/>
          <w:highlight w:val="none"/>
        </w:rPr>
        <w:t>年</w:t>
      </w:r>
      <w:r>
        <w:rPr>
          <w:rFonts w:hint="eastAsia"/>
          <w:b w:val="0"/>
          <w:bCs w:val="0"/>
          <w:highlight w:val="none"/>
          <w:lang w:val="en-US" w:eastAsia="zh-CN"/>
        </w:rPr>
        <w:t>7</w:t>
      </w:r>
      <w:r>
        <w:rPr>
          <w:rFonts w:hint="eastAsia"/>
          <w:b w:val="0"/>
          <w:bCs w:val="0"/>
          <w:highlight w:val="none"/>
        </w:rPr>
        <w:t>月</w:t>
      </w:r>
      <w:r>
        <w:rPr>
          <w:rFonts w:hint="eastAsia"/>
          <w:b w:val="0"/>
          <w:bCs w:val="0"/>
          <w:highlight w:val="none"/>
          <w:lang w:eastAsia="zh-CN"/>
        </w:rPr>
        <w:t>，</w:t>
      </w:r>
      <w:r>
        <w:rPr>
          <w:rFonts w:hint="eastAsia"/>
          <w:b w:val="0"/>
          <w:bCs w:val="0"/>
          <w:highlight w:val="none"/>
          <w:lang w:val="en-US" w:eastAsia="zh-CN"/>
        </w:rPr>
        <w:t>有色金属行业计量技术委员会发文《关于对&lt;接触（触针）式表面轮廓测量仪校准规范校准规范&gt;等5项计量技术规范征求意见的函》</w:t>
      </w:r>
      <w:r>
        <w:rPr>
          <w:rFonts w:hint="eastAsia" w:ascii="宋体" w:hAnsi="宋体" w:cs="宋体"/>
          <w:b w:val="0"/>
          <w:bCs w:val="0"/>
          <w:highlight w:val="none"/>
          <w:lang w:val="en-US" w:eastAsia="zh-CN"/>
        </w:rPr>
        <w:t>（有色计量委字〔</w:t>
      </w:r>
      <w:r>
        <w:rPr>
          <w:rFonts w:hint="eastAsia" w:ascii="宋体" w:hAnsi="宋体" w:eastAsia="宋体" w:cs="宋体"/>
          <w:b w:val="0"/>
          <w:bCs w:val="0"/>
          <w:highlight w:val="none"/>
          <w:lang w:val="en-US" w:eastAsia="zh-CN"/>
        </w:rPr>
        <w:t>202</w:t>
      </w:r>
      <w:r>
        <w:rPr>
          <w:rFonts w:hint="eastAsia" w:ascii="宋体" w:hAnsi="宋体" w:cs="宋体"/>
          <w:b w:val="0"/>
          <w:bCs w:val="0"/>
          <w:highlight w:val="none"/>
          <w:lang w:val="en-US" w:eastAsia="zh-CN"/>
        </w:rPr>
        <w:t>5〕7</w:t>
      </w:r>
      <w:r>
        <w:rPr>
          <w:rFonts w:hint="eastAsia" w:ascii="宋体" w:hAnsi="宋体" w:eastAsia="宋体" w:cs="宋体"/>
          <w:b w:val="0"/>
          <w:bCs w:val="0"/>
          <w:highlight w:val="none"/>
          <w:lang w:val="en-US" w:eastAsia="zh-CN"/>
        </w:rPr>
        <w:t>号</w:t>
      </w:r>
      <w:r>
        <w:rPr>
          <w:rFonts w:hint="eastAsia" w:ascii="宋体" w:hAnsi="宋体" w:cs="宋体"/>
          <w:b w:val="0"/>
          <w:bCs w:val="0"/>
          <w:highlight w:val="none"/>
          <w:lang w:val="en-US" w:eastAsia="zh-CN"/>
        </w:rPr>
        <w:t>），其中包含《</w:t>
      </w:r>
      <w:r>
        <w:rPr>
          <w:rFonts w:hint="eastAsia"/>
        </w:rPr>
        <w:t>数显半径测量仪</w:t>
      </w:r>
      <w:r>
        <w:rPr>
          <w:rFonts w:hint="eastAsia" w:hAnsi="宋体"/>
          <w:b w:val="0"/>
          <w:bCs w:val="0"/>
          <w:szCs w:val="21"/>
        </w:rPr>
        <w:t>校准规范</w:t>
      </w:r>
      <w:r>
        <w:rPr>
          <w:rFonts w:hint="eastAsia" w:ascii="宋体" w:hAnsi="宋体" w:cs="宋体"/>
          <w:b w:val="0"/>
          <w:bCs w:val="0"/>
          <w:highlight w:val="none"/>
          <w:lang w:val="en-US" w:eastAsia="zh-CN"/>
        </w:rPr>
        <w:t>》，并向</w:t>
      </w:r>
      <w:r>
        <w:rPr>
          <w:rFonts w:hint="eastAsia"/>
          <w:b w:val="0"/>
          <w:bCs w:val="0"/>
          <w:highlight w:val="none"/>
          <w:lang w:val="en-US" w:eastAsia="zh-CN"/>
        </w:rPr>
        <w:t>社会广泛征求意见</w:t>
      </w:r>
      <w:r>
        <w:rPr>
          <w:rFonts w:hint="eastAsia"/>
          <w:b w:val="0"/>
          <w:bCs w:val="0"/>
          <w:highlight w:val="none"/>
        </w:rPr>
        <w:t>。</w:t>
      </w:r>
    </w:p>
    <w:p w14:paraId="19D64209">
      <w:pPr>
        <w:spacing w:line="400" w:lineRule="exact"/>
        <w:ind w:firstLine="420" w:firstLineChars="200"/>
        <w:rPr>
          <w:rFonts w:hint="eastAsia"/>
          <w:b w:val="0"/>
          <w:bCs w:val="0"/>
        </w:rPr>
      </w:pPr>
      <w:r>
        <w:rPr>
          <w:rFonts w:hint="eastAsia"/>
          <w:szCs w:val="21"/>
          <w:lang w:val="en-US" w:eastAsia="zh-CN"/>
        </w:rPr>
        <w:t>5）</w:t>
      </w:r>
      <w:r>
        <w:rPr>
          <w:rFonts w:hint="eastAsia"/>
          <w:szCs w:val="21"/>
        </w:rPr>
        <w:t>202</w:t>
      </w:r>
      <w:r>
        <w:rPr>
          <w:rFonts w:hint="eastAsia"/>
          <w:szCs w:val="21"/>
          <w:lang w:val="en-US" w:eastAsia="zh-CN"/>
        </w:rPr>
        <w:t>5</w:t>
      </w:r>
      <w:r>
        <w:rPr>
          <w:rFonts w:hint="eastAsia"/>
          <w:szCs w:val="21"/>
        </w:rPr>
        <w:t>年1</w:t>
      </w:r>
      <w:r>
        <w:rPr>
          <w:rFonts w:hint="eastAsia"/>
          <w:szCs w:val="21"/>
          <w:lang w:val="en-US" w:eastAsia="zh-CN"/>
        </w:rPr>
        <w:t>2</w:t>
      </w:r>
      <w:r>
        <w:rPr>
          <w:rFonts w:hint="eastAsia"/>
          <w:szCs w:val="21"/>
        </w:rPr>
        <w:t>月</w:t>
      </w:r>
      <w:r>
        <w:rPr>
          <w:rFonts w:hint="eastAsia"/>
          <w:szCs w:val="21"/>
          <w:lang w:val="en-US" w:eastAsia="zh-CN"/>
        </w:rPr>
        <w:t>9日~10日，在厦门</w:t>
      </w:r>
      <w:r>
        <w:rPr>
          <w:rFonts w:hint="eastAsia" w:eastAsiaTheme="minorEastAsia"/>
          <w:b w:val="0"/>
          <w:bCs w:val="0"/>
        </w:rPr>
        <w:t>举行有色金属计量技术规范研讨会，</w:t>
      </w:r>
      <w:r>
        <w:rPr>
          <w:rFonts w:hint="eastAsia" w:eastAsiaTheme="minorEastAsia"/>
          <w:b w:val="0"/>
          <w:bCs w:val="0"/>
          <w:szCs w:val="21"/>
        </w:rPr>
        <w:t>会上对《</w:t>
      </w:r>
      <w:r>
        <w:rPr>
          <w:rFonts w:hint="eastAsia"/>
        </w:rPr>
        <w:t>数显半径测量仪</w:t>
      </w:r>
      <w:r>
        <w:rPr>
          <w:rFonts w:hint="eastAsia" w:hAnsi="宋体"/>
          <w:b w:val="0"/>
          <w:bCs w:val="0"/>
          <w:szCs w:val="21"/>
        </w:rPr>
        <w:t>校准规范</w:t>
      </w:r>
      <w:r>
        <w:rPr>
          <w:rFonts w:hint="eastAsia" w:eastAsiaTheme="minorEastAsia"/>
          <w:b w:val="0"/>
          <w:bCs w:val="0"/>
          <w:szCs w:val="21"/>
        </w:rPr>
        <w:t>》进行了</w:t>
      </w:r>
      <w:r>
        <w:rPr>
          <w:rFonts w:hint="eastAsia" w:eastAsiaTheme="minorEastAsia"/>
          <w:b w:val="0"/>
          <w:bCs w:val="0"/>
          <w:szCs w:val="21"/>
          <w:lang w:val="en-US" w:eastAsia="zh-CN"/>
        </w:rPr>
        <w:t>预审</w:t>
      </w:r>
      <w:r>
        <w:rPr>
          <w:rFonts w:hint="eastAsia" w:eastAsiaTheme="minorEastAsia"/>
          <w:b w:val="0"/>
          <w:bCs w:val="0"/>
          <w:szCs w:val="21"/>
        </w:rPr>
        <w:t>，会上有来自不同单位的计量委员会委员、专家、代表对《</w:t>
      </w:r>
      <w:r>
        <w:rPr>
          <w:rFonts w:hint="eastAsia"/>
        </w:rPr>
        <w:t>数显半径测量仪</w:t>
      </w:r>
      <w:r>
        <w:rPr>
          <w:rFonts w:hint="eastAsia" w:hAnsi="宋体"/>
          <w:b w:val="0"/>
          <w:bCs w:val="0"/>
          <w:szCs w:val="21"/>
        </w:rPr>
        <w:t>校准规范</w:t>
      </w:r>
      <w:r>
        <w:rPr>
          <w:rFonts w:hint="eastAsia" w:eastAsiaTheme="minorEastAsia"/>
          <w:b w:val="0"/>
          <w:bCs w:val="0"/>
          <w:szCs w:val="21"/>
        </w:rPr>
        <w:t>》提出了修改建议和意见。</w:t>
      </w:r>
      <w:r>
        <w:rPr>
          <w:rFonts w:hint="eastAsia"/>
          <w:b w:val="0"/>
          <w:bCs w:val="0"/>
        </w:rPr>
        <w:t>修改</w:t>
      </w:r>
      <w:r>
        <w:rPr>
          <w:rFonts w:hint="eastAsia"/>
          <w:b w:val="0"/>
          <w:bCs w:val="0"/>
          <w:lang w:val="en-US" w:eastAsia="zh-CN"/>
        </w:rPr>
        <w:t>后</w:t>
      </w:r>
      <w:r>
        <w:rPr>
          <w:rFonts w:hint="eastAsia"/>
          <w:b w:val="0"/>
          <w:bCs w:val="0"/>
        </w:rPr>
        <w:t>形成</w:t>
      </w:r>
      <w:r>
        <w:rPr>
          <w:rFonts w:hint="eastAsia" w:eastAsiaTheme="minorEastAsia"/>
          <w:b w:val="0"/>
          <w:bCs w:val="0"/>
          <w:szCs w:val="21"/>
        </w:rPr>
        <w:t>《</w:t>
      </w:r>
      <w:r>
        <w:rPr>
          <w:rFonts w:hint="eastAsia"/>
        </w:rPr>
        <w:t>数显半径测量仪</w:t>
      </w:r>
      <w:r>
        <w:rPr>
          <w:rFonts w:hint="eastAsia" w:hAnsi="宋体"/>
          <w:b w:val="0"/>
          <w:bCs w:val="0"/>
          <w:szCs w:val="21"/>
        </w:rPr>
        <w:t>校准规范</w:t>
      </w:r>
      <w:r>
        <w:rPr>
          <w:rFonts w:hint="eastAsia" w:hAnsi="宋体"/>
          <w:b w:val="0"/>
          <w:bCs w:val="0"/>
          <w:szCs w:val="21"/>
          <w:lang w:val="en-US" w:eastAsia="zh-CN"/>
        </w:rPr>
        <w:t>-送审稿</w:t>
      </w:r>
      <w:r>
        <w:rPr>
          <w:rFonts w:hint="eastAsia" w:eastAsiaTheme="minorEastAsia"/>
          <w:b w:val="0"/>
          <w:bCs w:val="0"/>
          <w:szCs w:val="21"/>
        </w:rPr>
        <w:t>》</w:t>
      </w:r>
      <w:r>
        <w:rPr>
          <w:rFonts w:hint="eastAsia"/>
          <w:b w:val="0"/>
          <w:bCs w:val="0"/>
        </w:rPr>
        <w:t>。</w:t>
      </w:r>
    </w:p>
    <w:p w14:paraId="49710CDF">
      <w:pPr>
        <w:spacing w:line="360" w:lineRule="auto"/>
        <w:ind w:firstLine="210" w:firstLineChars="100"/>
        <w:jc w:val="center"/>
        <w:rPr>
          <w:rFonts w:hint="eastAsia" w:eastAsia="宋体"/>
          <w:b w:val="0"/>
          <w:bCs w:val="0"/>
          <w:lang w:eastAsia="zh-CN"/>
        </w:rPr>
      </w:pPr>
      <w:r>
        <w:rPr>
          <w:rFonts w:hint="eastAsia"/>
          <w:b w:val="0"/>
          <w:bCs w:val="0"/>
        </w:rPr>
        <w:t>表2</w:t>
      </w:r>
      <w:r>
        <w:rPr>
          <w:rFonts w:hint="eastAsia"/>
          <w:b w:val="0"/>
          <w:bCs w:val="0"/>
          <w:lang w:val="en-US" w:eastAsia="zh-CN"/>
        </w:rPr>
        <w:t xml:space="preserve"> </w:t>
      </w:r>
      <w:r>
        <w:rPr>
          <w:rFonts w:hint="eastAsia"/>
          <w:b w:val="0"/>
          <w:bCs w:val="0"/>
        </w:rPr>
        <w:t>有色金属计量技术规范研讨会会议纪要</w:t>
      </w:r>
      <w:r>
        <w:rPr>
          <w:rFonts w:hint="eastAsia"/>
          <w:b w:val="0"/>
          <w:bCs w:val="0"/>
          <w:lang w:eastAsia="zh-CN"/>
        </w:rPr>
        <w:t>（</w:t>
      </w:r>
      <w:r>
        <w:rPr>
          <w:rFonts w:hint="eastAsia"/>
          <w:b w:val="0"/>
          <w:bCs w:val="0"/>
          <w:lang w:val="en-US" w:eastAsia="zh-CN"/>
        </w:rPr>
        <w:t>预审稿</w:t>
      </w:r>
      <w:r>
        <w:rPr>
          <w:rFonts w:hint="eastAsia"/>
          <w:b w:val="0"/>
          <w:bCs w:val="0"/>
          <w:lang w:eastAsia="zh-CN"/>
        </w:rPr>
        <w:t>）</w:t>
      </w:r>
    </w:p>
    <w:tbl>
      <w:tblPr>
        <w:tblStyle w:val="41"/>
        <w:tblW w:w="4765" w:type="pct"/>
        <w:tblInd w:w="-5" w:type="dxa"/>
        <w:tblLayout w:type="fixed"/>
        <w:tblCellMar>
          <w:top w:w="0" w:type="dxa"/>
          <w:left w:w="108" w:type="dxa"/>
          <w:bottom w:w="0" w:type="dxa"/>
          <w:right w:w="108" w:type="dxa"/>
        </w:tblCellMar>
      </w:tblPr>
      <w:tblGrid>
        <w:gridCol w:w="840"/>
        <w:gridCol w:w="1025"/>
        <w:gridCol w:w="4427"/>
        <w:gridCol w:w="1410"/>
        <w:gridCol w:w="1420"/>
      </w:tblGrid>
      <w:tr w14:paraId="3F616573">
        <w:tblPrEx>
          <w:tblCellMar>
            <w:top w:w="0" w:type="dxa"/>
            <w:left w:w="108" w:type="dxa"/>
            <w:bottom w:w="0" w:type="dxa"/>
            <w:right w:w="108" w:type="dxa"/>
          </w:tblCellMar>
        </w:tblPrEx>
        <w:trPr>
          <w:trHeight w:val="567"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256DE">
            <w:pPr>
              <w:widowControl/>
              <w:jc w:val="center"/>
              <w:rPr>
                <w:b w:val="0"/>
                <w:bCs w:val="0"/>
                <w:color w:val="000000"/>
                <w:kern w:val="0"/>
                <w:szCs w:val="21"/>
              </w:rPr>
            </w:pPr>
            <w:r>
              <w:rPr>
                <w:b w:val="0"/>
                <w:bCs w:val="0"/>
                <w:color w:val="000000"/>
                <w:kern w:val="0"/>
                <w:szCs w:val="21"/>
              </w:rPr>
              <w:t>序号</w:t>
            </w:r>
          </w:p>
        </w:tc>
        <w:tc>
          <w:tcPr>
            <w:tcW w:w="561" w:type="pct"/>
            <w:tcBorders>
              <w:top w:val="single" w:color="auto" w:sz="4" w:space="0"/>
              <w:left w:val="nil"/>
              <w:bottom w:val="single" w:color="auto" w:sz="4" w:space="0"/>
              <w:right w:val="single" w:color="auto" w:sz="4" w:space="0"/>
            </w:tcBorders>
            <w:shd w:val="clear" w:color="auto" w:fill="auto"/>
            <w:vAlign w:val="center"/>
          </w:tcPr>
          <w:p w14:paraId="14EFFD8F">
            <w:pPr>
              <w:widowControl/>
              <w:jc w:val="center"/>
              <w:rPr>
                <w:b w:val="0"/>
                <w:bCs w:val="0"/>
                <w:color w:val="000000"/>
                <w:kern w:val="0"/>
                <w:szCs w:val="21"/>
              </w:rPr>
            </w:pPr>
            <w:r>
              <w:rPr>
                <w:rFonts w:hint="eastAsia"/>
                <w:b w:val="0"/>
                <w:bCs w:val="0"/>
                <w:color w:val="000000"/>
                <w:kern w:val="0"/>
                <w:szCs w:val="21"/>
                <w:lang w:val="en-US" w:eastAsia="zh-CN"/>
              </w:rPr>
              <w:t>规范</w:t>
            </w:r>
            <w:r>
              <w:rPr>
                <w:b w:val="0"/>
                <w:bCs w:val="0"/>
                <w:color w:val="000000"/>
                <w:kern w:val="0"/>
                <w:szCs w:val="21"/>
              </w:rPr>
              <w:t>章条编号</w:t>
            </w:r>
          </w:p>
        </w:tc>
        <w:tc>
          <w:tcPr>
            <w:tcW w:w="2426" w:type="pct"/>
            <w:tcBorders>
              <w:top w:val="single" w:color="auto" w:sz="4" w:space="0"/>
              <w:left w:val="nil"/>
              <w:bottom w:val="single" w:color="auto" w:sz="4" w:space="0"/>
              <w:right w:val="single" w:color="auto" w:sz="4" w:space="0"/>
            </w:tcBorders>
            <w:shd w:val="clear" w:color="auto" w:fill="auto"/>
            <w:noWrap/>
            <w:vAlign w:val="center"/>
          </w:tcPr>
          <w:p w14:paraId="2E2BFFD8">
            <w:pPr>
              <w:widowControl/>
              <w:jc w:val="center"/>
              <w:rPr>
                <w:b w:val="0"/>
                <w:bCs w:val="0"/>
                <w:color w:val="000000"/>
                <w:kern w:val="0"/>
                <w:szCs w:val="21"/>
              </w:rPr>
            </w:pPr>
            <w:r>
              <w:rPr>
                <w:b w:val="0"/>
                <w:bCs w:val="0"/>
                <w:color w:val="000000"/>
                <w:kern w:val="0"/>
                <w:szCs w:val="21"/>
              </w:rPr>
              <w:t>意见内容</w:t>
            </w:r>
          </w:p>
        </w:tc>
        <w:tc>
          <w:tcPr>
            <w:tcW w:w="772" w:type="pct"/>
            <w:tcBorders>
              <w:top w:val="single" w:color="auto" w:sz="4" w:space="0"/>
              <w:left w:val="nil"/>
              <w:bottom w:val="single" w:color="auto" w:sz="4" w:space="0"/>
              <w:right w:val="single" w:color="auto" w:sz="4" w:space="0"/>
            </w:tcBorders>
            <w:shd w:val="clear" w:color="auto" w:fill="auto"/>
            <w:noWrap/>
            <w:vAlign w:val="center"/>
          </w:tcPr>
          <w:p w14:paraId="33B4AE45">
            <w:pPr>
              <w:widowControl/>
              <w:jc w:val="center"/>
              <w:rPr>
                <w:b w:val="0"/>
                <w:bCs w:val="0"/>
                <w:color w:val="000000"/>
                <w:kern w:val="0"/>
                <w:szCs w:val="21"/>
              </w:rPr>
            </w:pPr>
            <w:r>
              <w:rPr>
                <w:b w:val="0"/>
                <w:bCs w:val="0"/>
                <w:color w:val="000000"/>
                <w:kern w:val="0"/>
                <w:szCs w:val="21"/>
              </w:rPr>
              <w:t>提出单位</w:t>
            </w:r>
          </w:p>
        </w:tc>
        <w:tc>
          <w:tcPr>
            <w:tcW w:w="778" w:type="pct"/>
            <w:tcBorders>
              <w:top w:val="single" w:color="auto" w:sz="4" w:space="0"/>
              <w:left w:val="nil"/>
              <w:bottom w:val="single" w:color="auto" w:sz="4" w:space="0"/>
              <w:right w:val="single" w:color="auto" w:sz="4" w:space="0"/>
            </w:tcBorders>
            <w:shd w:val="clear" w:color="auto" w:fill="auto"/>
            <w:noWrap/>
            <w:vAlign w:val="center"/>
          </w:tcPr>
          <w:p w14:paraId="07BFF437">
            <w:pPr>
              <w:widowControl/>
              <w:jc w:val="center"/>
              <w:rPr>
                <w:b w:val="0"/>
                <w:bCs w:val="0"/>
                <w:color w:val="000000"/>
                <w:kern w:val="0"/>
                <w:szCs w:val="21"/>
              </w:rPr>
            </w:pPr>
            <w:r>
              <w:rPr>
                <w:b w:val="0"/>
                <w:bCs w:val="0"/>
                <w:color w:val="000000"/>
                <w:kern w:val="0"/>
                <w:szCs w:val="21"/>
              </w:rPr>
              <w:t>处理意见</w:t>
            </w:r>
          </w:p>
        </w:tc>
      </w:tr>
      <w:tr w14:paraId="05BC428F">
        <w:tblPrEx>
          <w:tblCellMar>
            <w:top w:w="0" w:type="dxa"/>
            <w:left w:w="108" w:type="dxa"/>
            <w:bottom w:w="0" w:type="dxa"/>
            <w:right w:w="108" w:type="dxa"/>
          </w:tblCellMar>
        </w:tblPrEx>
        <w:trPr>
          <w:trHeight w:val="567"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E8744">
            <w:pPr>
              <w:pStyle w:val="302"/>
              <w:widowControl/>
              <w:numPr>
                <w:ilvl w:val="0"/>
                <w:numId w:val="11"/>
              </w:numPr>
              <w:ind w:firstLineChars="0"/>
              <w:jc w:val="center"/>
              <w:rPr>
                <w:b w:val="0"/>
                <w:bCs w:val="0"/>
                <w:color w:val="000000"/>
                <w:kern w:val="0"/>
                <w:szCs w:val="21"/>
              </w:rPr>
            </w:pP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0AA92">
            <w:pPr>
              <w:widowControl/>
              <w:jc w:val="left"/>
              <w:rPr>
                <w:rFonts w:hint="eastAsia" w:eastAsia="宋体"/>
                <w:b w:val="0"/>
                <w:bCs w:val="0"/>
                <w:color w:val="000000"/>
                <w:kern w:val="0"/>
                <w:szCs w:val="21"/>
                <w:lang w:val="en-US" w:eastAsia="zh-CN"/>
              </w:rPr>
            </w:pPr>
            <w:r>
              <w:rPr>
                <w:rFonts w:hint="eastAsia"/>
                <w:b w:val="0"/>
                <w:bCs w:val="0"/>
                <w:color w:val="000000"/>
                <w:kern w:val="0"/>
                <w:szCs w:val="21"/>
                <w:lang w:val="en-US" w:eastAsia="zh-CN"/>
              </w:rPr>
              <w:t>3</w:t>
            </w:r>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1B45AE">
            <w:pPr>
              <w:widowControl/>
              <w:jc w:val="left"/>
              <w:rPr>
                <w:rFonts w:hint="default" w:eastAsia="宋体"/>
                <w:b w:val="0"/>
                <w:bCs w:val="0"/>
                <w:color w:val="000000"/>
                <w:kern w:val="0"/>
                <w:szCs w:val="21"/>
                <w:lang w:val="en-US" w:eastAsia="zh-CN"/>
              </w:rPr>
            </w:pPr>
            <w:r>
              <w:rPr>
                <w:rFonts w:hint="eastAsia"/>
                <w:b w:val="0"/>
                <w:bCs w:val="0"/>
                <w:color w:val="000000"/>
                <w:kern w:val="0"/>
                <w:szCs w:val="21"/>
                <w:lang w:val="en-US" w:eastAsia="zh-CN"/>
              </w:rPr>
              <w:t>修改关于数显半径测量仪的表述</w:t>
            </w: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2F146">
            <w:pPr>
              <w:widowControl/>
              <w:jc w:val="left"/>
              <w:rPr>
                <w:rFonts w:hint="default" w:eastAsia="宋体"/>
                <w:b w:val="0"/>
                <w:bCs w:val="0"/>
                <w:color w:val="000000"/>
                <w:kern w:val="0"/>
                <w:szCs w:val="21"/>
                <w:lang w:val="en-US" w:eastAsia="zh-CN"/>
              </w:rPr>
            </w:pPr>
            <w:r>
              <w:rPr>
                <w:rFonts w:hint="eastAsia"/>
                <w:b w:val="0"/>
                <w:bCs w:val="0"/>
                <w:color w:val="000000"/>
                <w:kern w:val="0"/>
                <w:szCs w:val="21"/>
                <w:lang w:val="en-US" w:eastAsia="zh-CN"/>
              </w:rPr>
              <w:t>有色金属技术经济研究院有限责任公司</w:t>
            </w:r>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F48E8">
            <w:pPr>
              <w:widowControl/>
              <w:jc w:val="left"/>
              <w:rPr>
                <w:rFonts w:hint="eastAsia" w:eastAsia="宋体"/>
                <w:b w:val="0"/>
                <w:bCs w:val="0"/>
                <w:color w:val="000000"/>
                <w:kern w:val="0"/>
                <w:szCs w:val="21"/>
                <w:lang w:val="en-US" w:eastAsia="zh-CN"/>
              </w:rPr>
            </w:pPr>
            <w:r>
              <w:rPr>
                <w:rFonts w:hint="eastAsia"/>
                <w:b w:val="0"/>
                <w:bCs w:val="0"/>
                <w:color w:val="000000"/>
                <w:kern w:val="0"/>
                <w:szCs w:val="21"/>
                <w:lang w:val="en-US" w:eastAsia="zh-CN"/>
              </w:rPr>
              <w:t>采纳</w:t>
            </w:r>
          </w:p>
        </w:tc>
      </w:tr>
      <w:tr w14:paraId="02EED822">
        <w:tblPrEx>
          <w:tblCellMar>
            <w:top w:w="0" w:type="dxa"/>
            <w:left w:w="108" w:type="dxa"/>
            <w:bottom w:w="0" w:type="dxa"/>
            <w:right w:w="108" w:type="dxa"/>
          </w:tblCellMar>
        </w:tblPrEx>
        <w:trPr>
          <w:trHeight w:val="567" w:hRule="atLeast"/>
        </w:trPr>
        <w:tc>
          <w:tcPr>
            <w:tcW w:w="4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2AAB3">
            <w:pPr>
              <w:pStyle w:val="302"/>
              <w:widowControl/>
              <w:numPr>
                <w:ilvl w:val="0"/>
                <w:numId w:val="11"/>
              </w:numPr>
              <w:ind w:firstLineChars="0"/>
              <w:jc w:val="center"/>
              <w:rPr>
                <w:b w:val="0"/>
                <w:bCs w:val="0"/>
                <w:color w:val="000000"/>
                <w:kern w:val="0"/>
                <w:szCs w:val="21"/>
              </w:rPr>
            </w:pP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C5A0B6">
            <w:pPr>
              <w:widowControl/>
              <w:jc w:val="left"/>
              <w:rPr>
                <w:rFonts w:hint="default" w:eastAsia="宋体"/>
                <w:b w:val="0"/>
                <w:bCs w:val="0"/>
                <w:color w:val="000000"/>
                <w:kern w:val="0"/>
                <w:szCs w:val="21"/>
                <w:lang w:val="en-US" w:eastAsia="zh-CN"/>
              </w:rPr>
            </w:pPr>
            <w:r>
              <w:rPr>
                <w:rFonts w:hint="eastAsia"/>
                <w:b w:val="0"/>
                <w:bCs w:val="0"/>
                <w:color w:val="000000"/>
                <w:kern w:val="0"/>
                <w:szCs w:val="21"/>
                <w:lang w:val="en-US" w:eastAsia="zh-CN"/>
              </w:rPr>
              <w:t>6.2.7</w:t>
            </w:r>
          </w:p>
        </w:tc>
        <w:tc>
          <w:tcPr>
            <w:tcW w:w="24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5F312">
            <w:pPr>
              <w:rPr>
                <w:rFonts w:hint="default" w:ascii="宋体" w:hAnsi="宋体" w:eastAsia="宋体" w:cs="宋体"/>
                <w:lang w:val="en-US" w:eastAsia="zh-CN"/>
              </w:rPr>
            </w:pPr>
            <w:r>
              <w:rPr>
                <w:rFonts w:hint="eastAsia"/>
                <w:spacing w:val="-3"/>
                <w:lang w:val="en-US" w:eastAsia="zh-CN"/>
              </w:rPr>
              <w:t>在式中后增加“s”的注解“测量仪半径测量重复性”</w:t>
            </w:r>
          </w:p>
          <w:p w14:paraId="07AC7628">
            <w:pPr>
              <w:widowControl/>
              <w:jc w:val="left"/>
              <w:rPr>
                <w:rFonts w:hint="default" w:eastAsia="宋体"/>
                <w:b w:val="0"/>
                <w:bCs w:val="0"/>
                <w:color w:val="000000"/>
                <w:kern w:val="0"/>
                <w:szCs w:val="21"/>
                <w:lang w:val="en-US" w:eastAsia="zh-CN"/>
              </w:rPr>
            </w:pPr>
          </w:p>
        </w:tc>
        <w:tc>
          <w:tcPr>
            <w:tcW w:w="7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AFD9F">
            <w:pPr>
              <w:widowControl/>
              <w:jc w:val="left"/>
              <w:rPr>
                <w:rFonts w:hint="default"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有色金属技术经济研究院有限责任公司</w:t>
            </w:r>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BD513">
            <w:pPr>
              <w:widowControl/>
              <w:jc w:val="left"/>
              <w:rPr>
                <w:rFonts w:hint="eastAsia" w:ascii="Times New Roman" w:hAnsi="Times New Roman" w:eastAsia="宋体" w:cs="Times New Roman"/>
                <w:b w:val="0"/>
                <w:bCs w:val="0"/>
                <w:color w:val="000000"/>
                <w:kern w:val="0"/>
                <w:sz w:val="21"/>
                <w:szCs w:val="21"/>
                <w:lang w:val="en-US" w:eastAsia="zh-CN" w:bidi="ar-SA"/>
              </w:rPr>
            </w:pPr>
            <w:r>
              <w:rPr>
                <w:rFonts w:hint="eastAsia"/>
                <w:b w:val="0"/>
                <w:bCs w:val="0"/>
                <w:color w:val="000000"/>
                <w:kern w:val="0"/>
                <w:szCs w:val="21"/>
                <w:lang w:val="en-US" w:eastAsia="zh-CN"/>
              </w:rPr>
              <w:t>采纳</w:t>
            </w:r>
          </w:p>
        </w:tc>
      </w:tr>
    </w:tbl>
    <w:p w14:paraId="410EBC76">
      <w:pPr>
        <w:spacing w:line="360" w:lineRule="auto"/>
        <w:ind w:firstLine="420" w:firstLineChars="200"/>
        <w:rPr>
          <w:rFonts w:eastAsiaTheme="minorEastAsia"/>
          <w:b w:val="0"/>
          <w:bCs w:val="0"/>
          <w:color w:val="FF0000"/>
          <w:szCs w:val="21"/>
        </w:rPr>
      </w:pPr>
      <w:r>
        <w:rPr>
          <w:rFonts w:hint="eastAsia" w:eastAsiaTheme="minorEastAsia"/>
          <w:b w:val="0"/>
          <w:bCs w:val="0"/>
          <w:color w:val="FF0000"/>
          <w:lang w:val="en-US" w:eastAsia="zh-CN"/>
        </w:rPr>
        <w:t>6）</w:t>
      </w:r>
      <w:r>
        <w:rPr>
          <w:rFonts w:eastAsiaTheme="minorEastAsia"/>
          <w:b w:val="0"/>
          <w:bCs w:val="0"/>
          <w:color w:val="FF0000"/>
        </w:rPr>
        <w:t>202</w:t>
      </w:r>
      <w:r>
        <w:rPr>
          <w:rFonts w:hint="eastAsia" w:eastAsiaTheme="minorEastAsia"/>
          <w:b w:val="0"/>
          <w:bCs w:val="0"/>
          <w:color w:val="FF0000"/>
          <w:lang w:val="en-US" w:eastAsia="zh-CN"/>
        </w:rPr>
        <w:t>6年</w:t>
      </w:r>
      <w:r>
        <w:rPr>
          <w:rFonts w:hint="eastAsia" w:eastAsiaTheme="minorEastAsia"/>
          <w:b w:val="0"/>
          <w:bCs w:val="0"/>
          <w:color w:val="FF0000"/>
        </w:rPr>
        <w:t>3</w:t>
      </w:r>
      <w:r>
        <w:rPr>
          <w:rFonts w:hint="eastAsia" w:eastAsiaTheme="minorEastAsia"/>
          <w:b w:val="0"/>
          <w:bCs w:val="0"/>
          <w:color w:val="FF0000"/>
          <w:lang w:val="en-US" w:eastAsia="zh-CN"/>
        </w:rPr>
        <w:t>月</w:t>
      </w:r>
      <w:r>
        <w:rPr>
          <w:rFonts w:hint="eastAsia" w:eastAsiaTheme="minorEastAsia"/>
          <w:b w:val="0"/>
          <w:bCs w:val="0"/>
          <w:color w:val="FF0000"/>
        </w:rPr>
        <w:t>在</w:t>
      </w:r>
      <w:r>
        <w:rPr>
          <w:rFonts w:hint="eastAsia" w:eastAsiaTheme="minorEastAsia"/>
          <w:b w:val="0"/>
          <w:bCs w:val="0"/>
          <w:color w:val="FF0000"/>
          <w:lang w:val="en-US" w:eastAsia="zh-CN"/>
        </w:rPr>
        <w:t>泉州</w:t>
      </w:r>
      <w:r>
        <w:rPr>
          <w:rFonts w:hint="eastAsia" w:eastAsiaTheme="minorEastAsia"/>
          <w:b w:val="0"/>
          <w:bCs w:val="0"/>
          <w:color w:val="FF0000"/>
        </w:rPr>
        <w:t>举行有色金属计量技术规范</w:t>
      </w:r>
      <w:r>
        <w:rPr>
          <w:rFonts w:hint="eastAsia" w:eastAsiaTheme="minorEastAsia"/>
          <w:b w:val="0"/>
          <w:bCs w:val="0"/>
          <w:color w:val="FF0000"/>
          <w:lang w:val="en-US" w:eastAsia="zh-CN"/>
        </w:rPr>
        <w:t>审定</w:t>
      </w:r>
      <w:r>
        <w:rPr>
          <w:rFonts w:hint="eastAsia" w:eastAsiaTheme="minorEastAsia"/>
          <w:b w:val="0"/>
          <w:bCs w:val="0"/>
          <w:color w:val="FF0000"/>
        </w:rPr>
        <w:t>会，</w:t>
      </w:r>
      <w:r>
        <w:rPr>
          <w:rFonts w:hint="eastAsia" w:eastAsiaTheme="minorEastAsia"/>
          <w:b w:val="0"/>
          <w:bCs w:val="0"/>
          <w:color w:val="FF0000"/>
          <w:szCs w:val="21"/>
        </w:rPr>
        <w:t>会上对《</w:t>
      </w:r>
      <w:r>
        <w:rPr>
          <w:rFonts w:hint="eastAsia"/>
          <w:color w:val="FF0000"/>
        </w:rPr>
        <w:t>数显半径测量仪</w:t>
      </w:r>
      <w:r>
        <w:rPr>
          <w:rFonts w:hint="eastAsia" w:eastAsiaTheme="minorEastAsia"/>
          <w:b w:val="0"/>
          <w:bCs w:val="0"/>
          <w:color w:val="FF0000"/>
        </w:rPr>
        <w:t>校准规范</w:t>
      </w:r>
      <w:r>
        <w:rPr>
          <w:rFonts w:hint="eastAsia" w:eastAsiaTheme="minorEastAsia"/>
          <w:b w:val="0"/>
          <w:bCs w:val="0"/>
          <w:color w:val="FF0000"/>
          <w:lang w:eastAsia="zh-CN"/>
        </w:rPr>
        <w:t>》</w:t>
      </w:r>
      <w:r>
        <w:rPr>
          <w:rFonts w:hint="eastAsia" w:eastAsiaTheme="minorEastAsia"/>
          <w:b w:val="0"/>
          <w:bCs w:val="0"/>
          <w:color w:val="FF0000"/>
          <w:szCs w:val="21"/>
        </w:rPr>
        <w:t>进行了审定，会上有来自不同单位的计量委员会委员、专家、代表对《</w:t>
      </w:r>
      <w:r>
        <w:rPr>
          <w:rFonts w:hint="eastAsia"/>
          <w:color w:val="FF0000"/>
        </w:rPr>
        <w:t>数显半径测量仪</w:t>
      </w:r>
      <w:r>
        <w:rPr>
          <w:rFonts w:hint="eastAsia" w:eastAsiaTheme="minorEastAsia"/>
          <w:b w:val="0"/>
          <w:bCs w:val="0"/>
          <w:color w:val="FF0000"/>
        </w:rPr>
        <w:t>校准规范</w:t>
      </w:r>
      <w:r>
        <w:rPr>
          <w:rFonts w:hint="eastAsia" w:eastAsiaTheme="minorEastAsia"/>
          <w:b w:val="0"/>
          <w:bCs w:val="0"/>
          <w:color w:val="FF0000"/>
          <w:szCs w:val="21"/>
        </w:rPr>
        <w:t>》审定稿提出了修改建议和意见。</w:t>
      </w:r>
    </w:p>
    <w:p w14:paraId="13CFAB82">
      <w:pPr>
        <w:spacing w:line="360" w:lineRule="auto"/>
        <w:ind w:firstLine="210" w:firstLineChars="100"/>
        <w:jc w:val="center"/>
        <w:rPr>
          <w:b w:val="0"/>
          <w:bCs w:val="0"/>
          <w:color w:val="FF0000"/>
        </w:rPr>
      </w:pPr>
      <w:r>
        <w:rPr>
          <w:rFonts w:hint="eastAsia" w:eastAsiaTheme="minorEastAsia"/>
          <w:b w:val="0"/>
          <w:bCs w:val="0"/>
          <w:color w:val="FF0000"/>
          <w:szCs w:val="21"/>
        </w:rPr>
        <w:t xml:space="preserve">表3 </w:t>
      </w:r>
      <w:r>
        <w:rPr>
          <w:rFonts w:hint="eastAsia"/>
          <w:b w:val="0"/>
          <w:bCs w:val="0"/>
          <w:color w:val="FF0000"/>
        </w:rPr>
        <w:t>有色金属计量技术规范研讨会会议纪要</w:t>
      </w:r>
      <w:r>
        <w:rPr>
          <w:rFonts w:hint="eastAsia"/>
          <w:b w:val="0"/>
          <w:bCs w:val="0"/>
          <w:color w:val="FF0000"/>
          <w:lang w:eastAsia="zh-CN"/>
        </w:rPr>
        <w:t>（</w:t>
      </w:r>
      <w:r>
        <w:rPr>
          <w:rFonts w:hint="eastAsia"/>
          <w:b w:val="0"/>
          <w:bCs w:val="0"/>
          <w:color w:val="FF0000"/>
          <w:lang w:val="en-US" w:eastAsia="zh-CN"/>
        </w:rPr>
        <w:t>送审稿</w:t>
      </w:r>
      <w:r>
        <w:rPr>
          <w:rFonts w:hint="eastAsia"/>
          <w:b w:val="0"/>
          <w:bCs w:val="0"/>
          <w:color w:val="FF0000"/>
          <w:lang w:eastAsia="zh-CN"/>
        </w:rPr>
        <w:t>）</w:t>
      </w:r>
    </w:p>
    <w:tbl>
      <w:tblPr>
        <w:tblStyle w:val="41"/>
        <w:tblW w:w="476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025"/>
        <w:gridCol w:w="2922"/>
        <w:gridCol w:w="1702"/>
        <w:gridCol w:w="2627"/>
      </w:tblGrid>
      <w:tr w14:paraId="636A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0" w:type="pct"/>
            <w:shd w:val="clear" w:color="auto" w:fill="auto"/>
            <w:noWrap/>
            <w:vAlign w:val="center"/>
          </w:tcPr>
          <w:p w14:paraId="366EC764">
            <w:pPr>
              <w:widowControl/>
              <w:jc w:val="center"/>
              <w:rPr>
                <w:b w:val="0"/>
                <w:bCs w:val="0"/>
                <w:color w:val="FF0000"/>
                <w:kern w:val="0"/>
                <w:szCs w:val="21"/>
              </w:rPr>
            </w:pPr>
            <w:r>
              <w:rPr>
                <w:b w:val="0"/>
                <w:bCs w:val="0"/>
                <w:color w:val="FF0000"/>
                <w:kern w:val="0"/>
                <w:szCs w:val="21"/>
              </w:rPr>
              <w:t>序号</w:t>
            </w:r>
          </w:p>
        </w:tc>
        <w:tc>
          <w:tcPr>
            <w:tcW w:w="562" w:type="pct"/>
            <w:shd w:val="clear" w:color="auto" w:fill="auto"/>
            <w:vAlign w:val="center"/>
          </w:tcPr>
          <w:p w14:paraId="17C3E940">
            <w:pPr>
              <w:widowControl/>
              <w:jc w:val="center"/>
              <w:rPr>
                <w:b w:val="0"/>
                <w:bCs w:val="0"/>
                <w:color w:val="FF0000"/>
                <w:kern w:val="0"/>
                <w:szCs w:val="21"/>
              </w:rPr>
            </w:pPr>
            <w:r>
              <w:rPr>
                <w:rFonts w:hint="eastAsia"/>
                <w:b w:val="0"/>
                <w:bCs w:val="0"/>
                <w:color w:val="FF0000"/>
                <w:kern w:val="0"/>
                <w:szCs w:val="21"/>
                <w:lang w:val="en-US" w:eastAsia="zh-CN"/>
              </w:rPr>
              <w:t>规范</w:t>
            </w:r>
            <w:r>
              <w:rPr>
                <w:b w:val="0"/>
                <w:bCs w:val="0"/>
                <w:color w:val="FF0000"/>
                <w:kern w:val="0"/>
                <w:szCs w:val="21"/>
              </w:rPr>
              <w:t>章条编号</w:t>
            </w:r>
          </w:p>
        </w:tc>
        <w:tc>
          <w:tcPr>
            <w:tcW w:w="1602" w:type="pct"/>
            <w:shd w:val="clear" w:color="auto" w:fill="auto"/>
            <w:noWrap/>
            <w:vAlign w:val="center"/>
          </w:tcPr>
          <w:p w14:paraId="27E43204">
            <w:pPr>
              <w:widowControl/>
              <w:jc w:val="center"/>
              <w:rPr>
                <w:b w:val="0"/>
                <w:bCs w:val="0"/>
                <w:color w:val="FF0000"/>
                <w:kern w:val="0"/>
                <w:szCs w:val="21"/>
              </w:rPr>
            </w:pPr>
            <w:r>
              <w:rPr>
                <w:b w:val="0"/>
                <w:bCs w:val="0"/>
                <w:color w:val="FF0000"/>
                <w:kern w:val="0"/>
                <w:szCs w:val="21"/>
              </w:rPr>
              <w:t>意见内容</w:t>
            </w:r>
          </w:p>
        </w:tc>
        <w:tc>
          <w:tcPr>
            <w:tcW w:w="933" w:type="pct"/>
            <w:shd w:val="clear" w:color="auto" w:fill="auto"/>
            <w:noWrap/>
            <w:vAlign w:val="center"/>
          </w:tcPr>
          <w:p w14:paraId="0170F1CF">
            <w:pPr>
              <w:widowControl/>
              <w:jc w:val="center"/>
              <w:rPr>
                <w:b w:val="0"/>
                <w:bCs w:val="0"/>
                <w:color w:val="FF0000"/>
                <w:kern w:val="0"/>
                <w:szCs w:val="21"/>
              </w:rPr>
            </w:pPr>
            <w:r>
              <w:rPr>
                <w:b w:val="0"/>
                <w:bCs w:val="0"/>
                <w:color w:val="FF0000"/>
                <w:kern w:val="0"/>
                <w:szCs w:val="21"/>
              </w:rPr>
              <w:t>提出单位</w:t>
            </w:r>
          </w:p>
        </w:tc>
        <w:tc>
          <w:tcPr>
            <w:tcW w:w="1441" w:type="pct"/>
            <w:shd w:val="clear" w:color="auto" w:fill="auto"/>
            <w:noWrap/>
            <w:vAlign w:val="center"/>
          </w:tcPr>
          <w:p w14:paraId="79255954">
            <w:pPr>
              <w:widowControl/>
              <w:jc w:val="center"/>
              <w:rPr>
                <w:b w:val="0"/>
                <w:bCs w:val="0"/>
                <w:color w:val="FF0000"/>
                <w:kern w:val="0"/>
                <w:szCs w:val="21"/>
              </w:rPr>
            </w:pPr>
            <w:r>
              <w:rPr>
                <w:b w:val="0"/>
                <w:bCs w:val="0"/>
                <w:color w:val="FF0000"/>
                <w:kern w:val="0"/>
                <w:szCs w:val="21"/>
              </w:rPr>
              <w:t>处理意见</w:t>
            </w:r>
          </w:p>
        </w:tc>
      </w:tr>
      <w:tr w14:paraId="0D09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5DD4F8D3">
            <w:pPr>
              <w:pStyle w:val="302"/>
              <w:widowControl/>
              <w:numPr>
                <w:ilvl w:val="0"/>
                <w:numId w:val="12"/>
              </w:numPr>
              <w:ind w:firstLineChars="0"/>
              <w:jc w:val="center"/>
              <w:rPr>
                <w:b w:val="0"/>
                <w:bCs w:val="0"/>
                <w:color w:val="FF0000"/>
                <w:kern w:val="0"/>
                <w:szCs w:val="21"/>
              </w:rPr>
            </w:pPr>
          </w:p>
        </w:tc>
        <w:tc>
          <w:tcPr>
            <w:tcW w:w="562" w:type="pct"/>
            <w:shd w:val="clear" w:color="auto" w:fill="auto"/>
            <w:noWrap/>
            <w:vAlign w:val="center"/>
          </w:tcPr>
          <w:p w14:paraId="1EB177DF">
            <w:pPr>
              <w:widowControl/>
              <w:jc w:val="left"/>
              <w:rPr>
                <w:b w:val="0"/>
                <w:bCs w:val="0"/>
                <w:color w:val="FF0000"/>
                <w:kern w:val="0"/>
                <w:szCs w:val="21"/>
              </w:rPr>
            </w:pPr>
          </w:p>
        </w:tc>
        <w:tc>
          <w:tcPr>
            <w:tcW w:w="1602" w:type="pct"/>
            <w:shd w:val="clear" w:color="auto" w:fill="auto"/>
            <w:noWrap/>
            <w:vAlign w:val="center"/>
          </w:tcPr>
          <w:p w14:paraId="6FF3EDC1">
            <w:pPr>
              <w:widowControl/>
              <w:jc w:val="left"/>
              <w:rPr>
                <w:b w:val="0"/>
                <w:bCs w:val="0"/>
                <w:color w:val="FF0000"/>
                <w:kern w:val="0"/>
                <w:szCs w:val="21"/>
              </w:rPr>
            </w:pPr>
          </w:p>
        </w:tc>
        <w:tc>
          <w:tcPr>
            <w:tcW w:w="933" w:type="pct"/>
            <w:shd w:val="clear" w:color="auto" w:fill="auto"/>
            <w:noWrap/>
            <w:vAlign w:val="center"/>
          </w:tcPr>
          <w:p w14:paraId="111D8837">
            <w:pPr>
              <w:widowControl/>
              <w:jc w:val="left"/>
              <w:rPr>
                <w:b w:val="0"/>
                <w:bCs w:val="0"/>
                <w:color w:val="FF0000"/>
                <w:kern w:val="0"/>
                <w:szCs w:val="21"/>
              </w:rPr>
            </w:pPr>
          </w:p>
        </w:tc>
        <w:tc>
          <w:tcPr>
            <w:tcW w:w="1441" w:type="pct"/>
            <w:shd w:val="clear" w:color="auto" w:fill="auto"/>
            <w:noWrap/>
            <w:vAlign w:val="center"/>
          </w:tcPr>
          <w:p w14:paraId="4F86A4CC">
            <w:pPr>
              <w:widowControl/>
              <w:jc w:val="left"/>
              <w:rPr>
                <w:b w:val="0"/>
                <w:bCs w:val="0"/>
                <w:color w:val="FF0000"/>
                <w:kern w:val="0"/>
                <w:szCs w:val="21"/>
              </w:rPr>
            </w:pPr>
          </w:p>
        </w:tc>
      </w:tr>
      <w:tr w14:paraId="5952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0" w:type="pct"/>
            <w:shd w:val="clear" w:color="auto" w:fill="auto"/>
            <w:noWrap/>
            <w:vAlign w:val="center"/>
          </w:tcPr>
          <w:p w14:paraId="1F4750C4">
            <w:pPr>
              <w:pStyle w:val="302"/>
              <w:widowControl/>
              <w:numPr>
                <w:ilvl w:val="0"/>
                <w:numId w:val="12"/>
              </w:numPr>
              <w:ind w:firstLineChars="0"/>
              <w:jc w:val="center"/>
              <w:rPr>
                <w:b w:val="0"/>
                <w:bCs w:val="0"/>
                <w:color w:val="FF0000"/>
                <w:kern w:val="0"/>
                <w:szCs w:val="21"/>
              </w:rPr>
            </w:pPr>
          </w:p>
        </w:tc>
        <w:tc>
          <w:tcPr>
            <w:tcW w:w="562" w:type="pct"/>
            <w:shd w:val="clear" w:color="auto" w:fill="auto"/>
            <w:noWrap/>
            <w:vAlign w:val="center"/>
          </w:tcPr>
          <w:p w14:paraId="5B97CE9D">
            <w:pPr>
              <w:widowControl/>
              <w:jc w:val="left"/>
              <w:rPr>
                <w:b w:val="0"/>
                <w:bCs w:val="0"/>
                <w:color w:val="FF0000"/>
                <w:kern w:val="0"/>
                <w:szCs w:val="21"/>
              </w:rPr>
            </w:pPr>
          </w:p>
        </w:tc>
        <w:tc>
          <w:tcPr>
            <w:tcW w:w="1602" w:type="pct"/>
            <w:shd w:val="clear" w:color="auto" w:fill="auto"/>
            <w:noWrap/>
            <w:vAlign w:val="center"/>
          </w:tcPr>
          <w:p w14:paraId="4D1B6195">
            <w:pPr>
              <w:widowControl/>
              <w:jc w:val="left"/>
              <w:rPr>
                <w:b w:val="0"/>
                <w:bCs w:val="0"/>
                <w:color w:val="FF0000"/>
                <w:kern w:val="0"/>
                <w:szCs w:val="21"/>
              </w:rPr>
            </w:pPr>
          </w:p>
        </w:tc>
        <w:tc>
          <w:tcPr>
            <w:tcW w:w="933" w:type="pct"/>
            <w:shd w:val="clear" w:color="auto" w:fill="auto"/>
            <w:noWrap/>
            <w:vAlign w:val="center"/>
          </w:tcPr>
          <w:p w14:paraId="709774F3">
            <w:pPr>
              <w:widowControl/>
              <w:jc w:val="left"/>
              <w:rPr>
                <w:b w:val="0"/>
                <w:bCs w:val="0"/>
                <w:color w:val="FF0000"/>
                <w:kern w:val="0"/>
                <w:szCs w:val="21"/>
              </w:rPr>
            </w:pPr>
          </w:p>
        </w:tc>
        <w:tc>
          <w:tcPr>
            <w:tcW w:w="1441" w:type="pct"/>
            <w:shd w:val="clear" w:color="auto" w:fill="auto"/>
            <w:noWrap/>
            <w:vAlign w:val="center"/>
          </w:tcPr>
          <w:p w14:paraId="04C7B40C">
            <w:pPr>
              <w:widowControl/>
              <w:jc w:val="left"/>
              <w:rPr>
                <w:b w:val="0"/>
                <w:bCs w:val="0"/>
                <w:color w:val="FF0000"/>
                <w:kern w:val="0"/>
                <w:szCs w:val="21"/>
              </w:rPr>
            </w:pPr>
          </w:p>
        </w:tc>
      </w:tr>
    </w:tbl>
    <w:p w14:paraId="08202CBB">
      <w:pPr>
        <w:pStyle w:val="2"/>
        <w:spacing w:before="156" w:after="156"/>
        <w:ind w:firstLine="420" w:firstLineChars="200"/>
        <w:rPr>
          <w:rFonts w:hint="default" w:ascii="宋体" w:hAnsi="宋体" w:eastAsia="宋体" w:cs="宋体"/>
          <w:b w:val="0"/>
          <w:bCs w:val="0"/>
          <w:color w:val="FF0000"/>
          <w:sz w:val="21"/>
          <w:szCs w:val="21"/>
          <w:highlight w:val="none"/>
        </w:rPr>
      </w:pPr>
      <w:r>
        <w:rPr>
          <w:rFonts w:hint="eastAsia" w:ascii="宋体" w:hAnsi="宋体" w:eastAsia="宋体" w:cs="宋体"/>
          <w:b w:val="0"/>
          <w:bCs w:val="0"/>
          <w:color w:val="FF0000"/>
          <w:sz w:val="21"/>
          <w:szCs w:val="21"/>
          <w:highlight w:val="none"/>
          <w:lang w:val="en-US" w:eastAsia="zh-CN"/>
        </w:rPr>
        <w:t>7</w:t>
      </w:r>
      <w:r>
        <w:rPr>
          <w:rFonts w:hint="eastAsia" w:ascii="宋体" w:hAnsi="宋体" w:eastAsia="宋体" w:cs="宋体"/>
          <w:b w:val="0"/>
          <w:bCs w:val="0"/>
          <w:color w:val="FF0000"/>
          <w:sz w:val="21"/>
          <w:szCs w:val="21"/>
          <w:highlight w:val="none"/>
        </w:rPr>
        <w:t>）2024</w:t>
      </w:r>
      <w:r>
        <w:rPr>
          <w:rFonts w:hint="eastAsia" w:ascii="宋体" w:hAnsi="宋体" w:eastAsia="宋体" w:cs="宋体"/>
          <w:b w:val="0"/>
          <w:bCs w:val="0"/>
          <w:color w:val="FF0000"/>
          <w:sz w:val="21"/>
          <w:szCs w:val="21"/>
          <w:highlight w:val="none"/>
          <w:lang w:val="en-US" w:eastAsia="zh-CN"/>
        </w:rPr>
        <w:t>年3月底，主编单位修改了各方意见，形成</w:t>
      </w:r>
      <w:r>
        <w:rPr>
          <w:rFonts w:hint="eastAsia" w:ascii="宋体" w:hAnsi="宋体" w:eastAsia="宋体" w:cs="宋体"/>
          <w:b w:val="0"/>
          <w:bCs w:val="0"/>
          <w:color w:val="FF0000"/>
          <w:sz w:val="21"/>
          <w:szCs w:val="21"/>
          <w:highlight w:val="none"/>
        </w:rPr>
        <w:t>《</w:t>
      </w:r>
      <w:r>
        <w:rPr>
          <w:rFonts w:hint="eastAsia" w:ascii="宋体" w:hAnsi="宋体" w:eastAsia="宋体" w:cs="宋体"/>
          <w:b w:val="0"/>
          <w:bCs w:val="0"/>
          <w:color w:val="FF0000"/>
          <w:sz w:val="21"/>
          <w:szCs w:val="21"/>
          <w:highlight w:val="none"/>
          <w:lang w:val="en-US" w:eastAsia="zh-CN"/>
        </w:rPr>
        <w:t>XXXX</w:t>
      </w:r>
      <w:r>
        <w:rPr>
          <w:rFonts w:hint="eastAsia" w:ascii="宋体" w:hAnsi="宋体" w:eastAsia="宋体" w:cs="宋体"/>
          <w:b w:val="0"/>
          <w:bCs w:val="0"/>
          <w:color w:val="FF0000"/>
          <w:sz w:val="21"/>
          <w:szCs w:val="21"/>
          <w:highlight w:val="none"/>
        </w:rPr>
        <w:t>校准规范</w:t>
      </w:r>
      <w:r>
        <w:rPr>
          <w:rFonts w:hint="eastAsia" w:ascii="宋体" w:hAnsi="宋体" w:eastAsia="宋体" w:cs="宋体"/>
          <w:b w:val="0"/>
          <w:bCs w:val="0"/>
          <w:color w:val="FF0000"/>
          <w:sz w:val="21"/>
          <w:szCs w:val="21"/>
          <w:highlight w:val="none"/>
          <w:lang w:val="en-US" w:eastAsia="zh-CN"/>
        </w:rPr>
        <w:t>-报批稿</w:t>
      </w:r>
      <w:r>
        <w:rPr>
          <w:rFonts w:hint="eastAsia" w:ascii="宋体" w:hAnsi="宋体" w:eastAsia="宋体" w:cs="宋体"/>
          <w:b w:val="0"/>
          <w:bCs w:val="0"/>
          <w:color w:val="FF0000"/>
          <w:sz w:val="21"/>
          <w:szCs w:val="21"/>
          <w:highlight w:val="none"/>
        </w:rPr>
        <w:t>》</w:t>
      </w:r>
      <w:r>
        <w:rPr>
          <w:rFonts w:hint="eastAsia" w:ascii="宋体" w:hAnsi="宋体" w:eastAsia="宋体" w:cs="宋体"/>
          <w:b w:val="0"/>
          <w:bCs w:val="0"/>
          <w:color w:val="FF0000"/>
          <w:sz w:val="21"/>
          <w:szCs w:val="21"/>
          <w:highlight w:val="none"/>
          <w:lang w:val="en-US" w:eastAsia="zh-CN"/>
        </w:rPr>
        <w:t>，并与申报单、编制说明、验证报告、审查表、会议纪要等文件等，共同形成</w:t>
      </w:r>
      <w:r>
        <w:rPr>
          <w:rFonts w:hint="eastAsia" w:ascii="宋体" w:hAnsi="宋体" w:eastAsia="宋体" w:cs="宋体"/>
          <w:b w:val="0"/>
          <w:bCs w:val="0"/>
          <w:color w:val="FF0000"/>
          <w:sz w:val="21"/>
          <w:szCs w:val="21"/>
          <w:highlight w:val="none"/>
        </w:rPr>
        <w:t>《</w:t>
      </w:r>
      <w:r>
        <w:rPr>
          <w:rFonts w:hint="eastAsia" w:ascii="宋体" w:hAnsi="宋体" w:eastAsia="宋体" w:cs="宋体"/>
          <w:b w:val="0"/>
          <w:bCs w:val="0"/>
          <w:color w:val="FF0000"/>
          <w:sz w:val="21"/>
          <w:szCs w:val="21"/>
          <w:highlight w:val="none"/>
          <w:lang w:val="en-US" w:eastAsia="zh-CN"/>
        </w:rPr>
        <w:t>XXXX</w:t>
      </w:r>
      <w:r>
        <w:rPr>
          <w:rFonts w:hint="eastAsia" w:ascii="宋体" w:hAnsi="宋体" w:eastAsia="宋体" w:cs="宋体"/>
          <w:b w:val="0"/>
          <w:bCs w:val="0"/>
          <w:color w:val="FF0000"/>
          <w:sz w:val="21"/>
          <w:szCs w:val="21"/>
          <w:highlight w:val="none"/>
        </w:rPr>
        <w:t>校准规范》</w:t>
      </w:r>
      <w:r>
        <w:rPr>
          <w:rFonts w:hint="eastAsia" w:ascii="宋体" w:hAnsi="宋体" w:eastAsia="宋体" w:cs="宋体"/>
          <w:b w:val="0"/>
          <w:bCs w:val="0"/>
          <w:color w:val="FF0000"/>
          <w:sz w:val="21"/>
          <w:szCs w:val="21"/>
          <w:highlight w:val="none"/>
          <w:lang w:val="en-US" w:eastAsia="zh-CN"/>
        </w:rPr>
        <w:t>的报批材料，报送有色金属行业计量技术委员会。</w:t>
      </w:r>
    </w:p>
    <w:p w14:paraId="17155B34">
      <w:pPr>
        <w:pStyle w:val="2"/>
        <w:spacing w:before="156" w:after="156"/>
        <w:rPr>
          <w:b w:val="0"/>
          <w:bCs w:val="0"/>
        </w:rPr>
      </w:pPr>
      <w:r>
        <w:rPr>
          <w:rFonts w:hint="eastAsia"/>
          <w:b w:val="0"/>
          <w:bCs w:val="0"/>
        </w:rPr>
        <w:t>二、编制原则和依据</w:t>
      </w:r>
    </w:p>
    <w:p w14:paraId="6A5DD5A7">
      <w:pPr>
        <w:pStyle w:val="3"/>
        <w:spacing w:before="156" w:after="156"/>
        <w:rPr>
          <w:b w:val="0"/>
          <w:bCs w:val="0"/>
        </w:rPr>
      </w:pPr>
      <w:bookmarkStart w:id="12" w:name="_Toc464728925"/>
      <w:r>
        <w:rPr>
          <w:rFonts w:hint="eastAsia"/>
          <w:b w:val="0"/>
          <w:bCs w:val="0"/>
        </w:rPr>
        <w:t>（一）编制原则</w:t>
      </w:r>
      <w:bookmarkEnd w:id="12"/>
    </w:p>
    <w:p w14:paraId="6FDCA93A">
      <w:pPr>
        <w:spacing w:line="400" w:lineRule="exact"/>
        <w:ind w:firstLine="420" w:firstLineChars="200"/>
        <w:rPr>
          <w:szCs w:val="21"/>
        </w:rPr>
      </w:pPr>
      <w:bookmarkStart w:id="13" w:name="_Toc464728926"/>
      <w:r>
        <w:rPr>
          <w:rFonts w:hint="eastAsia"/>
          <w:szCs w:val="21"/>
        </w:rPr>
        <w:t>JJF 1071《国家计量校准规范编写规则》、JJF 1001-《通用计量术语及定义》和JJF 1059.1《测量不确定度评定与表示》共同构成支撑校准规范制修订工作的基础性系列规范。</w:t>
      </w:r>
    </w:p>
    <w:p w14:paraId="70A2C403">
      <w:pPr>
        <w:spacing w:line="400" w:lineRule="exact"/>
        <w:ind w:firstLine="420" w:firstLineChars="200"/>
        <w:rPr>
          <w:szCs w:val="21"/>
        </w:rPr>
      </w:pPr>
      <w:r>
        <w:rPr>
          <w:rFonts w:hint="eastAsia"/>
          <w:szCs w:val="21"/>
        </w:rPr>
        <w:t>本规范引用了JJG 34-2022指示表等相关内容。提出了对数显半径测量仪计量特性的要求，制定了基本原则和编制依据，可对数显半径测量仪进行校准，解决了目前没有统一的数显半径测量仪校准方法的难题。</w:t>
      </w:r>
    </w:p>
    <w:p w14:paraId="2CB40AD6">
      <w:pPr>
        <w:pStyle w:val="3"/>
        <w:spacing w:before="156" w:after="156"/>
        <w:rPr>
          <w:rFonts w:ascii="宋体" w:hAnsi="宋体"/>
          <w:b w:val="0"/>
          <w:bCs w:val="0"/>
        </w:rPr>
      </w:pPr>
      <w:r>
        <w:rPr>
          <w:rFonts w:hint="eastAsia"/>
          <w:b w:val="0"/>
          <w:bCs w:val="0"/>
        </w:rPr>
        <w:t>（二）确定主要内</w:t>
      </w:r>
      <w:bookmarkEnd w:id="13"/>
      <w:r>
        <w:rPr>
          <w:rFonts w:hint="eastAsia"/>
          <w:b w:val="0"/>
          <w:bCs w:val="0"/>
        </w:rPr>
        <w:t>容</w:t>
      </w:r>
    </w:p>
    <w:p w14:paraId="59F2A39E">
      <w:pPr>
        <w:pStyle w:val="4"/>
        <w:spacing w:before="156" w:after="156"/>
        <w:rPr>
          <w:b w:val="0"/>
          <w:bCs w:val="0"/>
        </w:rPr>
      </w:pPr>
      <w:bookmarkStart w:id="14" w:name="_Toc193860027"/>
      <w:bookmarkStart w:id="15" w:name="_Toc23837_WPSOffice_Level1"/>
      <w:bookmarkStart w:id="16" w:name="_Toc500258929"/>
      <w:bookmarkStart w:id="17" w:name="_Toc193860177"/>
      <w:bookmarkStart w:id="18" w:name="_Toc193860208"/>
      <w:bookmarkStart w:id="19" w:name="_Toc464728964"/>
      <w:r>
        <w:rPr>
          <w:rFonts w:hint="eastAsia"/>
          <w:b w:val="0"/>
          <w:bCs w:val="0"/>
        </w:rPr>
        <w:t>1范围</w:t>
      </w:r>
      <w:bookmarkEnd w:id="14"/>
      <w:bookmarkEnd w:id="15"/>
      <w:bookmarkEnd w:id="16"/>
      <w:bookmarkEnd w:id="17"/>
      <w:bookmarkEnd w:id="18"/>
    </w:p>
    <w:p w14:paraId="03B94CA2">
      <w:pPr>
        <w:spacing w:line="400" w:lineRule="exact"/>
        <w:ind w:firstLine="420" w:firstLineChars="200"/>
        <w:rPr>
          <w:rFonts w:hint="eastAsia" w:eastAsiaTheme="minorEastAsia"/>
          <w:kern w:val="0"/>
          <w:szCs w:val="21"/>
        </w:rPr>
      </w:pPr>
      <w:r>
        <w:rPr>
          <w:rFonts w:hint="eastAsia" w:eastAsiaTheme="minorEastAsia"/>
          <w:kern w:val="0"/>
          <w:szCs w:val="21"/>
        </w:rPr>
        <w:t>本规范适用于半径测量范围至 700mm的数显半径测量仪的校准。是材料加工过程、产品检测等环节尺寸公差（圆弧/圆角半径、深度等）测量的主要设备之一。</w:t>
      </w:r>
    </w:p>
    <w:p w14:paraId="7A3ACCC3">
      <w:pPr>
        <w:spacing w:line="400" w:lineRule="exact"/>
        <w:ind w:firstLine="420" w:firstLineChars="200"/>
        <w:rPr>
          <w:rFonts w:hint="eastAsia" w:eastAsiaTheme="minorEastAsia"/>
          <w:kern w:val="0"/>
          <w:szCs w:val="21"/>
          <w:lang w:val="en-US" w:eastAsia="zh-CN"/>
        </w:rPr>
      </w:pPr>
      <w:r>
        <w:rPr>
          <w:rFonts w:hint="eastAsia" w:eastAsiaTheme="minorEastAsia"/>
          <w:kern w:val="0"/>
          <w:szCs w:val="21"/>
          <w:lang w:val="en-US" w:eastAsia="zh-CN"/>
        </w:rPr>
        <w:t>根据讨论会专家意见，将适用范围明确为：本规范适用于半径测量范围（5-700）mm的数显半径测量仪的校准。</w:t>
      </w:r>
    </w:p>
    <w:p w14:paraId="33777817">
      <w:pPr>
        <w:pStyle w:val="4"/>
        <w:spacing w:before="156" w:after="156"/>
        <w:rPr>
          <w:kern w:val="0"/>
        </w:rPr>
      </w:pPr>
      <w:bookmarkStart w:id="20" w:name="_Toc193860209"/>
      <w:bookmarkStart w:id="21" w:name="_Toc193860178"/>
      <w:bookmarkStart w:id="22" w:name="_Toc193860028"/>
      <w:bookmarkStart w:id="23" w:name="_Toc500258930"/>
      <w:bookmarkStart w:id="24" w:name="_Toc7848_WPSOffice_Level1"/>
      <w:r>
        <w:rPr>
          <w:rFonts w:hint="eastAsia"/>
          <w:b w:val="0"/>
          <w:bCs w:val="0"/>
        </w:rPr>
        <w:t>2 引用文</w:t>
      </w:r>
      <w:bookmarkEnd w:id="20"/>
      <w:bookmarkEnd w:id="21"/>
      <w:bookmarkEnd w:id="22"/>
      <w:r>
        <w:rPr>
          <w:rFonts w:hint="eastAsia"/>
          <w:b w:val="0"/>
          <w:bCs w:val="0"/>
        </w:rPr>
        <w:t>件</w:t>
      </w:r>
      <w:bookmarkEnd w:id="23"/>
      <w:bookmarkEnd w:id="24"/>
    </w:p>
    <w:p w14:paraId="7EBFB1C9">
      <w:pPr>
        <w:spacing w:line="400" w:lineRule="exact"/>
        <w:ind w:left="420" w:leftChars="200" w:firstLine="0" w:firstLineChars="0"/>
        <w:rPr>
          <w:rFonts w:eastAsiaTheme="minorEastAsia"/>
          <w:kern w:val="0"/>
          <w:szCs w:val="21"/>
        </w:rPr>
      </w:pPr>
      <w:r>
        <w:rPr>
          <w:rFonts w:hint="eastAsia"/>
        </w:rPr>
        <w:t>针对数显指示表示值误差部分，参考了JJG 34-2022指示表检定规程中对指示表示值误差的表述</w:t>
      </w:r>
      <w:r>
        <w:rPr>
          <w:rFonts w:hint="eastAsia" w:eastAsiaTheme="minorEastAsia"/>
          <w:kern w:val="0"/>
          <w:szCs w:val="21"/>
        </w:rPr>
        <w:t>。</w:t>
      </w:r>
      <w:r>
        <w:rPr>
          <w:rFonts w:hint="eastAsia" w:eastAsiaTheme="minorEastAsia"/>
          <w:kern w:val="0"/>
          <w:szCs w:val="21"/>
          <w:lang w:val="en-US" w:eastAsia="zh-CN"/>
        </w:rPr>
        <w:t>针对计量特性半径示值误差和重复性部分，</w:t>
      </w:r>
      <w:r>
        <w:rPr>
          <w:rFonts w:hint="eastAsia" w:eastAsiaTheme="minorEastAsia"/>
          <w:kern w:val="0"/>
          <w:szCs w:val="21"/>
        </w:rPr>
        <w:t>参考了</w:t>
      </w:r>
      <w:r>
        <w:rPr>
          <w:rFonts w:hint="eastAsia"/>
          <w:szCs w:val="21"/>
        </w:rPr>
        <w:t>JJF（苏）277－2024《数显半径测量仪校准规范》。</w:t>
      </w:r>
    </w:p>
    <w:p w14:paraId="0D91CABB">
      <w:pPr>
        <w:pStyle w:val="4"/>
        <w:spacing w:before="156" w:after="156"/>
        <w:rPr>
          <w:b w:val="0"/>
          <w:bCs w:val="0"/>
        </w:rPr>
      </w:pPr>
      <w:bookmarkStart w:id="25" w:name="_Toc193619055"/>
      <w:bookmarkStart w:id="26" w:name="_Toc193860180"/>
      <w:bookmarkStart w:id="27" w:name="_Toc193619097"/>
      <w:bookmarkStart w:id="28" w:name="_Toc500258937"/>
      <w:bookmarkStart w:id="29" w:name="_Toc193860211"/>
      <w:bookmarkStart w:id="30" w:name="_Toc193618952"/>
      <w:bookmarkStart w:id="31" w:name="_Toc193860030"/>
      <w:bookmarkStart w:id="32" w:name="_Toc13054_WPSOffice_Level1"/>
      <w:r>
        <w:rPr>
          <w:rFonts w:hint="eastAsia"/>
          <w:b w:val="0"/>
          <w:bCs w:val="0"/>
        </w:rPr>
        <w:t>3 概述</w:t>
      </w:r>
      <w:bookmarkEnd w:id="25"/>
      <w:bookmarkEnd w:id="26"/>
      <w:bookmarkEnd w:id="27"/>
      <w:bookmarkEnd w:id="28"/>
      <w:bookmarkEnd w:id="29"/>
      <w:bookmarkEnd w:id="30"/>
      <w:bookmarkEnd w:id="31"/>
      <w:bookmarkEnd w:id="32"/>
    </w:p>
    <w:p w14:paraId="65DBBB6F">
      <w:pPr>
        <w:autoSpaceDE w:val="0"/>
        <w:autoSpaceDN w:val="0"/>
        <w:adjustRightInd w:val="0"/>
        <w:spacing w:line="400" w:lineRule="exact"/>
        <w:ind w:firstLine="420" w:firstLineChars="200"/>
      </w:pPr>
      <w:r>
        <w:rPr>
          <w:rFonts w:hint="eastAsia"/>
        </w:rPr>
        <w:t>本部分介绍了数显半径测量仪的结构等内容：数显半径测量仪是采用容栅位移传感器电子技术，以弓高弦长法原理，由数显指示表、指示表测量杆和测架两侧测杆组合，用于直接测量圆弧半径的试验仪器。不同的圆弧尺寸，对应不同的测架，每个测架对应一个跨距，一般为 10mm、20mm、30mm、60mm、100mm。结构图见正文图1。</w:t>
      </w:r>
    </w:p>
    <w:p w14:paraId="29792D68">
      <w:pPr>
        <w:autoSpaceDE w:val="0"/>
        <w:autoSpaceDN w:val="0"/>
        <w:adjustRightInd w:val="0"/>
        <w:spacing w:line="400" w:lineRule="exact"/>
        <w:ind w:firstLine="420" w:firstLineChars="200"/>
      </w:pPr>
      <w:r>
        <w:rPr>
          <w:rFonts w:hint="eastAsia"/>
        </w:rPr>
        <w:t>不同跨距对应的半径测量范围如下：</w:t>
      </w:r>
    </w:p>
    <w:p w14:paraId="2D3D73FF">
      <w:pPr>
        <w:autoSpaceDE w:val="0"/>
        <w:autoSpaceDN w:val="0"/>
        <w:adjustRightInd w:val="0"/>
        <w:jc w:val="center"/>
        <w:rPr>
          <w:rFonts w:hint="eastAsia"/>
        </w:rPr>
      </w:pPr>
      <w:r>
        <w:rPr>
          <w:rFonts w:hint="eastAsia"/>
        </w:rPr>
        <w:drawing>
          <wp:inline distT="0" distB="0" distL="114300" distR="114300">
            <wp:extent cx="2673350" cy="1459230"/>
            <wp:effectExtent l="0" t="0" r="8890" b="3810"/>
            <wp:docPr id="5" name="图片 5" descr="175030650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50306509524"/>
                    <pic:cNvPicPr>
                      <a:picLocks noChangeAspect="1"/>
                    </pic:cNvPicPr>
                  </pic:nvPicPr>
                  <pic:blipFill>
                    <a:blip r:embed="rId7"/>
                    <a:stretch>
                      <a:fillRect/>
                    </a:stretch>
                  </pic:blipFill>
                  <pic:spPr>
                    <a:xfrm>
                      <a:off x="0" y="0"/>
                      <a:ext cx="2673350" cy="1459230"/>
                    </a:xfrm>
                    <a:prstGeom prst="rect">
                      <a:avLst/>
                    </a:prstGeom>
                  </pic:spPr>
                </pic:pic>
              </a:graphicData>
            </a:graphic>
          </wp:inline>
        </w:drawing>
      </w:r>
    </w:p>
    <w:p w14:paraId="5D1BC778">
      <w:pPr>
        <w:spacing w:before="79" w:line="352" w:lineRule="auto"/>
        <w:ind w:left="10" w:firstLine="420" w:firstLineChars="200"/>
        <w:rPr>
          <w:rFonts w:hint="default" w:eastAsia="宋体"/>
          <w:lang w:val="en-US" w:eastAsia="zh-CN"/>
        </w:rPr>
      </w:pPr>
      <w:r>
        <w:rPr>
          <w:rFonts w:hint="eastAsia"/>
          <w:lang w:val="en-US" w:eastAsia="zh-CN"/>
        </w:rPr>
        <w:t>根据预审会专家意见，更改数显半径测量仪的表述为：</w:t>
      </w:r>
      <w:r>
        <w:rPr>
          <w:rFonts w:hint="eastAsia"/>
          <w:kern w:val="0"/>
        </w:rPr>
        <w:t>数显半径测量仪（以下简称测量仪）是采用容栅位移传感器电子技术，用于直接测量圆弧半径的试验仪器。</w:t>
      </w:r>
      <w:r>
        <w:rPr>
          <w:rFonts w:hint="eastAsia"/>
          <w:kern w:val="0"/>
          <w:lang w:val="en-US" w:eastAsia="zh-CN"/>
        </w:rPr>
        <w:t>测量仪</w:t>
      </w:r>
      <w:r>
        <w:rPr>
          <w:rFonts w:hint="eastAsia"/>
          <w:kern w:val="0"/>
        </w:rPr>
        <w:t>由数显指示表、指示表测量杆和测架两侧测杆组合</w:t>
      </w:r>
      <w:r>
        <w:rPr>
          <w:rFonts w:hint="eastAsia"/>
          <w:kern w:val="0"/>
          <w:lang w:val="en-US" w:eastAsia="zh-CN"/>
        </w:rPr>
        <w:t>而成</w:t>
      </w:r>
      <w:r>
        <w:rPr>
          <w:rFonts w:hint="eastAsia"/>
          <w:kern w:val="0"/>
        </w:rPr>
        <w:t>。不同的圆弧尺寸，对应不同的测架，每个测架对应一个跨距，一般为 10mm、20mm、30mm、60mm、100mm。</w:t>
      </w:r>
    </w:p>
    <w:p w14:paraId="47E03BD3">
      <w:pPr>
        <w:pStyle w:val="4"/>
        <w:spacing w:before="156" w:after="156"/>
        <w:rPr>
          <w:b w:val="0"/>
          <w:bCs w:val="0"/>
        </w:rPr>
      </w:pPr>
      <w:bookmarkStart w:id="33" w:name="_Toc193860212"/>
      <w:bookmarkStart w:id="34" w:name="_Toc500258938"/>
      <w:bookmarkStart w:id="35" w:name="_Toc19851_WPSOffice_Level1"/>
      <w:bookmarkStart w:id="36" w:name="_Toc193860181"/>
      <w:bookmarkStart w:id="37" w:name="_Toc193860031"/>
      <w:bookmarkStart w:id="38" w:name="_Toc193619098"/>
      <w:bookmarkStart w:id="39" w:name="_Toc193618953"/>
      <w:bookmarkStart w:id="40" w:name="_Toc193619056"/>
      <w:r>
        <w:rPr>
          <w:rFonts w:hint="eastAsia"/>
          <w:b w:val="0"/>
          <w:bCs w:val="0"/>
        </w:rPr>
        <w:t>4计量特性</w:t>
      </w:r>
      <w:bookmarkEnd w:id="33"/>
      <w:bookmarkEnd w:id="34"/>
      <w:bookmarkEnd w:id="35"/>
      <w:bookmarkEnd w:id="36"/>
      <w:bookmarkEnd w:id="37"/>
      <w:bookmarkEnd w:id="38"/>
      <w:bookmarkEnd w:id="39"/>
      <w:bookmarkEnd w:id="40"/>
      <w:bookmarkStart w:id="41" w:name="_Toc25829_WPSOffice_Level1"/>
    </w:p>
    <w:p w14:paraId="506B599D">
      <w:pPr>
        <w:spacing w:line="400" w:lineRule="exact"/>
        <w:ind w:firstLine="420" w:firstLineChars="200"/>
      </w:pPr>
      <w:r>
        <w:rPr>
          <w:rFonts w:hint="eastAsia" w:cstheme="majorBidi"/>
          <w:kern w:val="44"/>
        </w:rPr>
        <w:t>根据实际使用情况，并与</w:t>
      </w:r>
      <w:r>
        <w:rPr>
          <w:rFonts w:hint="eastAsia" w:cstheme="majorBidi"/>
          <w:kern w:val="44"/>
          <w:lang w:val="en-US" w:eastAsia="zh-CN"/>
        </w:rPr>
        <w:t>西安精科华创材料分析检测有限公司、西南铝业（集团）有限责任公司</w:t>
      </w:r>
      <w:r>
        <w:rPr>
          <w:rFonts w:hint="eastAsia"/>
          <w:szCs w:val="21"/>
        </w:rPr>
        <w:t>、设备生产厂家</w:t>
      </w:r>
      <w:r>
        <w:rPr>
          <w:rFonts w:hint="eastAsia" w:cstheme="majorBidi"/>
          <w:kern w:val="44"/>
        </w:rPr>
        <w:t>等单位沟通，确定了</w:t>
      </w:r>
      <w:r>
        <w:rPr>
          <w:rFonts w:hint="eastAsia"/>
        </w:rPr>
        <w:t>数显半径测量仪的计量特性有6个：</w:t>
      </w:r>
    </w:p>
    <w:p w14:paraId="204F23F5">
      <w:pPr>
        <w:spacing w:line="400" w:lineRule="exact"/>
        <w:rPr>
          <w:rFonts w:cstheme="majorBidi"/>
          <w:kern w:val="44"/>
        </w:rPr>
      </w:pPr>
      <w:bookmarkStart w:id="42" w:name="_Toc8914"/>
      <w:r>
        <w:rPr>
          <w:rFonts w:hint="eastAsia" w:cstheme="majorBidi"/>
          <w:kern w:val="44"/>
        </w:rPr>
        <w:t>4.1两端球形测头圆度</w:t>
      </w:r>
      <w:bookmarkEnd w:id="42"/>
    </w:p>
    <w:p w14:paraId="4673B803">
      <w:pPr>
        <w:spacing w:line="400" w:lineRule="exact"/>
        <w:ind w:firstLine="420" w:firstLineChars="200"/>
        <w:rPr>
          <w:rFonts w:cstheme="majorBidi"/>
          <w:kern w:val="44"/>
        </w:rPr>
      </w:pPr>
      <w:bookmarkStart w:id="43" w:name="_Toc27153"/>
      <w:r>
        <w:rPr>
          <w:rFonts w:hint="eastAsia" w:cstheme="majorBidi"/>
          <w:kern w:val="44"/>
        </w:rPr>
        <w:t>最大允许误差±0.03mm。</w:t>
      </w:r>
      <w:bookmarkEnd w:id="43"/>
      <w:r>
        <w:rPr>
          <w:rFonts w:hint="eastAsia" w:cstheme="majorBidi"/>
          <w:kern w:val="44"/>
        </w:rPr>
        <w:t>通过调研天目牌、英示牌等几家市场占有率较高的数显半径测量仪，对比其技术参数，测头直径大多为3mm，</w:t>
      </w:r>
      <w:r>
        <w:rPr>
          <w:rFonts w:hint="eastAsia" w:cstheme="majorBidi"/>
          <w:kern w:val="44"/>
          <w:lang w:val="en-US" w:eastAsia="zh-CN"/>
        </w:rPr>
        <w:t>半径1.5mm。</w:t>
      </w:r>
      <w:r>
        <w:rPr>
          <w:rFonts w:hint="eastAsia" w:cstheme="majorBidi"/>
          <w:b w:val="0"/>
          <w:bCs w:val="0"/>
          <w:kern w:val="44"/>
          <w:lang w:val="en-US" w:eastAsia="zh-CN"/>
        </w:rPr>
        <w:t>经西安汉唐分析检测有限公司和</w:t>
      </w:r>
      <w:r>
        <w:rPr>
          <w:rFonts w:hint="eastAsia" w:cstheme="majorBidi"/>
          <w:kern w:val="44"/>
          <w:lang w:val="en-US" w:eastAsia="zh-CN"/>
        </w:rPr>
        <w:t>西安精科华创材料分析检测有限公司</w:t>
      </w:r>
      <w:r>
        <w:rPr>
          <w:rFonts w:hint="eastAsia" w:cstheme="majorBidi"/>
          <w:b w:val="0"/>
          <w:bCs w:val="0"/>
          <w:kern w:val="44"/>
          <w:lang w:val="en-US" w:eastAsia="zh-CN"/>
        </w:rPr>
        <w:t>单位的实验室验证，结合经验</w:t>
      </w:r>
      <w:r>
        <w:rPr>
          <w:rFonts w:hint="eastAsia" w:cstheme="majorBidi"/>
          <w:kern w:val="44"/>
        </w:rPr>
        <w:t>确定了两端球形测头圆度最大允许误差为±0.03mm</w:t>
      </w:r>
      <w:r>
        <w:rPr>
          <w:rFonts w:hint="eastAsia" w:cstheme="majorBidi"/>
          <w:kern w:val="44"/>
          <w:lang w:eastAsia="zh-CN"/>
        </w:rPr>
        <w:t>，</w:t>
      </w:r>
      <w:r>
        <w:rPr>
          <w:rFonts w:hint="eastAsia" w:cstheme="majorBidi"/>
          <w:b w:val="0"/>
          <w:bCs w:val="0"/>
          <w:kern w:val="44"/>
          <w:lang w:val="en-US" w:eastAsia="zh-CN"/>
        </w:rPr>
        <w:t>该校准要求可以满足实验室使用规范。</w:t>
      </w:r>
    </w:p>
    <w:p w14:paraId="17AAAAA7">
      <w:pPr>
        <w:spacing w:line="400" w:lineRule="exact"/>
        <w:rPr>
          <w:rFonts w:cstheme="majorBidi"/>
          <w:kern w:val="44"/>
        </w:rPr>
      </w:pPr>
      <w:bookmarkStart w:id="44" w:name="_Toc5918"/>
      <w:r>
        <w:rPr>
          <w:rFonts w:hint="eastAsia" w:cstheme="majorBidi"/>
          <w:kern w:val="44"/>
        </w:rPr>
        <w:t>4.2两端球形测头球心间距偏差</w:t>
      </w:r>
      <w:bookmarkEnd w:id="44"/>
    </w:p>
    <w:p w14:paraId="48F44A7F">
      <w:pPr>
        <w:spacing w:line="400" w:lineRule="exact"/>
        <w:ind w:firstLine="420" w:firstLineChars="200"/>
        <w:rPr>
          <w:rFonts w:cstheme="majorBidi"/>
          <w:kern w:val="44"/>
        </w:rPr>
      </w:pPr>
      <w:bookmarkStart w:id="45" w:name="_Toc25327"/>
      <w:r>
        <w:rPr>
          <w:rFonts w:hint="eastAsia" w:cstheme="majorBidi"/>
          <w:kern w:val="44"/>
        </w:rPr>
        <w:t>最大允许误差±0.03mm。</w:t>
      </w:r>
      <w:bookmarkEnd w:id="45"/>
      <w:r>
        <w:rPr>
          <w:rFonts w:hint="eastAsia" w:cstheme="majorBidi"/>
          <w:kern w:val="44"/>
        </w:rPr>
        <w:t>通过调研天目牌、英示牌等几家市场占有率较高的数显半径测量仪，对比其技术参数，</w:t>
      </w:r>
      <w:r>
        <w:rPr>
          <w:rFonts w:hint="eastAsia" w:cstheme="majorBidi"/>
          <w:kern w:val="44"/>
          <w:lang w:val="en-US" w:eastAsia="zh-CN"/>
        </w:rPr>
        <w:t>两端球形测头球心间距（即跨距）为10</w:t>
      </w:r>
      <w:r>
        <w:rPr>
          <w:rFonts w:hint="eastAsia"/>
          <w:szCs w:val="21"/>
        </w:rPr>
        <w:t>mm</w:t>
      </w:r>
      <w:r>
        <w:rPr>
          <w:rFonts w:hint="eastAsia" w:cstheme="majorBidi"/>
          <w:kern w:val="44"/>
          <w:lang w:val="en-US" w:eastAsia="zh-CN"/>
        </w:rPr>
        <w:t>、20</w:t>
      </w:r>
      <w:r>
        <w:rPr>
          <w:rFonts w:hint="eastAsia"/>
          <w:szCs w:val="21"/>
        </w:rPr>
        <w:t>mm</w:t>
      </w:r>
      <w:r>
        <w:rPr>
          <w:rFonts w:hint="eastAsia" w:cstheme="majorBidi"/>
          <w:kern w:val="44"/>
          <w:lang w:val="en-US" w:eastAsia="zh-CN"/>
        </w:rPr>
        <w:t>、30</w:t>
      </w:r>
      <w:r>
        <w:rPr>
          <w:rFonts w:hint="eastAsia"/>
          <w:szCs w:val="21"/>
        </w:rPr>
        <w:t>mm</w:t>
      </w:r>
      <w:r>
        <w:rPr>
          <w:rFonts w:hint="eastAsia" w:cstheme="majorBidi"/>
          <w:kern w:val="44"/>
          <w:lang w:val="en-US" w:eastAsia="zh-CN"/>
        </w:rPr>
        <w:t>、60</w:t>
      </w:r>
      <w:r>
        <w:rPr>
          <w:rFonts w:hint="eastAsia"/>
          <w:szCs w:val="21"/>
        </w:rPr>
        <w:t>mm</w:t>
      </w:r>
      <w:r>
        <w:rPr>
          <w:rFonts w:hint="eastAsia" w:cstheme="majorBidi"/>
          <w:kern w:val="44"/>
          <w:lang w:val="en-US" w:eastAsia="zh-CN"/>
        </w:rPr>
        <w:t>、100</w:t>
      </w:r>
      <w:r>
        <w:rPr>
          <w:rFonts w:hint="eastAsia"/>
          <w:szCs w:val="21"/>
        </w:rPr>
        <w:t>mm，</w:t>
      </w:r>
      <w:r>
        <w:rPr>
          <w:rFonts w:hint="eastAsia" w:cstheme="majorBidi"/>
          <w:b w:val="0"/>
          <w:bCs w:val="0"/>
          <w:kern w:val="44"/>
          <w:lang w:val="en-US" w:eastAsia="zh-CN"/>
        </w:rPr>
        <w:t>并经实验室验证，结合经验</w:t>
      </w:r>
      <w:r>
        <w:rPr>
          <w:rFonts w:hint="eastAsia" w:cstheme="majorBidi"/>
          <w:kern w:val="44"/>
        </w:rPr>
        <w:t>确定了两端球形测头球心间距偏差最大允许误差为±0.03mm</w:t>
      </w:r>
      <w:r>
        <w:rPr>
          <w:rFonts w:hint="eastAsia" w:cstheme="majorBidi"/>
          <w:kern w:val="44"/>
          <w:lang w:eastAsia="zh-CN"/>
        </w:rPr>
        <w:t>，</w:t>
      </w:r>
      <w:r>
        <w:rPr>
          <w:rFonts w:hint="eastAsia" w:cstheme="majorBidi"/>
          <w:b w:val="0"/>
          <w:bCs w:val="0"/>
          <w:kern w:val="44"/>
          <w:lang w:val="en-US" w:eastAsia="zh-CN"/>
        </w:rPr>
        <w:t>该校准要求可以满足实验室使用规范</w:t>
      </w:r>
      <w:r>
        <w:rPr>
          <w:rFonts w:hint="eastAsia" w:cstheme="majorBidi"/>
          <w:kern w:val="44"/>
        </w:rPr>
        <w:t>。</w:t>
      </w:r>
    </w:p>
    <w:p w14:paraId="3D5045F5">
      <w:pPr>
        <w:spacing w:line="400" w:lineRule="exact"/>
        <w:rPr>
          <w:rFonts w:cstheme="majorBidi"/>
          <w:kern w:val="44"/>
        </w:rPr>
      </w:pPr>
      <w:bookmarkStart w:id="46" w:name="_Toc15571"/>
      <w:r>
        <w:rPr>
          <w:rFonts w:hint="eastAsia" w:cstheme="majorBidi"/>
          <w:kern w:val="44"/>
        </w:rPr>
        <w:t>4.3数显指示表示值误差</w:t>
      </w:r>
      <w:bookmarkEnd w:id="46"/>
    </w:p>
    <w:p w14:paraId="6B04F4CB">
      <w:pPr>
        <w:spacing w:line="400" w:lineRule="exact"/>
        <w:ind w:firstLine="420" w:firstLineChars="200"/>
      </w:pPr>
      <w:bookmarkStart w:id="47" w:name="_Toc4251"/>
      <w:r>
        <w:rPr>
          <w:rFonts w:hint="eastAsia" w:cstheme="majorBidi"/>
          <w:kern w:val="44"/>
        </w:rPr>
        <w:t>参考了</w:t>
      </w:r>
      <w:r>
        <w:rPr>
          <w:rFonts w:hint="eastAsia"/>
        </w:rPr>
        <w:t>JJG 34-2022指示表检定规程中对指示表示值误差的要求。</w:t>
      </w:r>
    </w:p>
    <w:p w14:paraId="52B08E51">
      <w:pPr>
        <w:ind w:firstLine="420" w:firstLineChars="200"/>
        <w:jc w:val="center"/>
      </w:pPr>
      <w:r>
        <w:rPr>
          <w:rFonts w:hint="eastAsia"/>
        </w:rPr>
        <w:drawing>
          <wp:inline distT="0" distB="0" distL="114300" distR="114300">
            <wp:extent cx="4518660" cy="3380105"/>
            <wp:effectExtent l="0" t="0" r="7620" b="3175"/>
            <wp:docPr id="4" name="图片 4" descr="175030566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0305663861"/>
                    <pic:cNvPicPr>
                      <a:picLocks noChangeAspect="1"/>
                    </pic:cNvPicPr>
                  </pic:nvPicPr>
                  <pic:blipFill>
                    <a:blip r:embed="rId8"/>
                    <a:stretch>
                      <a:fillRect/>
                    </a:stretch>
                  </pic:blipFill>
                  <pic:spPr>
                    <a:xfrm>
                      <a:off x="0" y="0"/>
                      <a:ext cx="4518660" cy="3380105"/>
                    </a:xfrm>
                    <a:prstGeom prst="rect">
                      <a:avLst/>
                    </a:prstGeom>
                  </pic:spPr>
                </pic:pic>
              </a:graphicData>
            </a:graphic>
          </wp:inline>
        </w:drawing>
      </w:r>
    </w:p>
    <w:bookmarkEnd w:id="47"/>
    <w:p w14:paraId="2003158D">
      <w:pPr>
        <w:spacing w:line="400" w:lineRule="exact"/>
        <w:rPr>
          <w:rFonts w:cstheme="majorBidi"/>
          <w:kern w:val="44"/>
        </w:rPr>
      </w:pPr>
      <w:bookmarkStart w:id="48" w:name="_Toc9882"/>
      <w:r>
        <w:rPr>
          <w:rFonts w:hint="eastAsia" w:cstheme="majorBidi"/>
          <w:kern w:val="44"/>
        </w:rPr>
        <w:t>4.4零位偏差</w:t>
      </w:r>
      <w:bookmarkEnd w:id="48"/>
    </w:p>
    <w:p w14:paraId="31F0389D">
      <w:pPr>
        <w:spacing w:line="400" w:lineRule="exact"/>
        <w:ind w:firstLine="420" w:firstLineChars="200"/>
        <w:rPr>
          <w:rFonts w:cstheme="majorBidi"/>
          <w:kern w:val="44"/>
        </w:rPr>
      </w:pPr>
      <w:bookmarkStart w:id="49" w:name="_Toc12007"/>
      <w:r>
        <w:rPr>
          <w:rFonts w:hint="eastAsia" w:cstheme="majorBidi"/>
          <w:kern w:val="44"/>
        </w:rPr>
        <w:t>最大允许误差±0.009mm。</w:t>
      </w:r>
      <w:bookmarkEnd w:id="49"/>
      <w:r>
        <w:rPr>
          <w:rFonts w:hint="eastAsia" w:cstheme="majorBidi"/>
          <w:kern w:val="44"/>
          <w:lang w:val="en-US" w:eastAsia="zh-CN"/>
        </w:rPr>
        <w:t>零位偏差所用计量标准器为0级平板，由《JJG117-2013平板》知，0级平板任意250×250局部工作面允许限为3.5微米，即0.0035mm，一般情况下计量标准的最大允许误差应为被校的1/3，</w:t>
      </w:r>
      <w:r>
        <w:rPr>
          <w:rFonts w:hint="eastAsia" w:cstheme="majorBidi"/>
          <w:b w:val="0"/>
          <w:bCs w:val="0"/>
          <w:kern w:val="44"/>
          <w:lang w:val="en-US" w:eastAsia="zh-CN"/>
        </w:rPr>
        <w:t>结合经验并经实验室验证，</w:t>
      </w:r>
      <w:r>
        <w:rPr>
          <w:rFonts w:hint="eastAsia" w:cstheme="majorBidi"/>
          <w:kern w:val="44"/>
        </w:rPr>
        <w:t>确定了零位偏差</w:t>
      </w:r>
      <w:r>
        <w:rPr>
          <w:rFonts w:hint="eastAsia" w:cstheme="majorBidi"/>
          <w:kern w:val="44"/>
          <w:lang w:val="en-US" w:eastAsia="zh-CN"/>
        </w:rPr>
        <w:t>的</w:t>
      </w:r>
      <w:r>
        <w:rPr>
          <w:rFonts w:hint="eastAsia" w:cstheme="majorBidi"/>
          <w:kern w:val="44"/>
        </w:rPr>
        <w:t>最大允许误差为±0.009mm</w:t>
      </w:r>
      <w:r>
        <w:rPr>
          <w:rFonts w:hint="eastAsia" w:cstheme="majorBidi"/>
          <w:kern w:val="44"/>
          <w:lang w:eastAsia="zh-CN"/>
        </w:rPr>
        <w:t>，</w:t>
      </w:r>
      <w:r>
        <w:rPr>
          <w:rFonts w:hint="eastAsia" w:cstheme="majorBidi"/>
          <w:b w:val="0"/>
          <w:bCs w:val="0"/>
          <w:kern w:val="44"/>
          <w:lang w:val="en-US" w:eastAsia="zh-CN"/>
        </w:rPr>
        <w:t>该校准要求可以满足实验室使用规范</w:t>
      </w:r>
      <w:r>
        <w:rPr>
          <w:rFonts w:hint="eastAsia" w:cstheme="majorBidi"/>
          <w:kern w:val="44"/>
        </w:rPr>
        <w:t>。</w:t>
      </w:r>
    </w:p>
    <w:p w14:paraId="1B4418C2">
      <w:pPr>
        <w:spacing w:line="400" w:lineRule="exact"/>
        <w:rPr>
          <w:rFonts w:cstheme="majorBidi"/>
          <w:kern w:val="44"/>
        </w:rPr>
      </w:pPr>
      <w:bookmarkStart w:id="50" w:name="_Toc28804"/>
      <w:r>
        <w:rPr>
          <w:rFonts w:hint="eastAsia" w:cstheme="majorBidi"/>
          <w:kern w:val="44"/>
        </w:rPr>
        <w:t>4.5半径示值误差</w:t>
      </w:r>
      <w:bookmarkEnd w:id="50"/>
    </w:p>
    <w:p w14:paraId="63F3B215">
      <w:pPr>
        <w:spacing w:line="400" w:lineRule="exact"/>
        <w:ind w:firstLine="420" w:firstLineChars="200"/>
        <w:rPr>
          <w:rFonts w:cstheme="majorBidi"/>
          <w:kern w:val="44"/>
        </w:rPr>
      </w:pPr>
      <w:bookmarkStart w:id="51" w:name="_Toc14126"/>
      <w:r>
        <w:rPr>
          <w:rFonts w:hint="eastAsia" w:cstheme="majorBidi"/>
          <w:kern w:val="44"/>
        </w:rPr>
        <w:t>最大允许误差±1%。</w:t>
      </w:r>
      <w:bookmarkEnd w:id="51"/>
      <w:r>
        <w:rPr>
          <w:rFonts w:hint="eastAsia" w:cstheme="majorBidi"/>
          <w:kern w:val="44"/>
          <w:lang w:val="en-US" w:eastAsia="zh-CN"/>
        </w:rPr>
        <w:t>通过调研多家厂商及设备使用单位，数显半径测量仪的半径误差</w:t>
      </w:r>
      <w:r>
        <w:rPr>
          <w:rFonts w:hint="eastAsia" w:cstheme="majorBidi"/>
          <w:kern w:val="44"/>
        </w:rPr>
        <w:t>技术参数大多为±0.01R，</w:t>
      </w:r>
      <w:r>
        <w:rPr>
          <w:rFonts w:hint="eastAsia" w:cstheme="majorBidi"/>
          <w:kern w:val="44"/>
          <w:lang w:val="en-US" w:eastAsia="zh-CN"/>
        </w:rPr>
        <w:t>即相对示值误差</w:t>
      </w:r>
      <w:r>
        <w:rPr>
          <w:rFonts w:hint="eastAsia" w:cstheme="majorBidi"/>
          <w:kern w:val="44"/>
        </w:rPr>
        <w:t>±</w:t>
      </w:r>
      <w:r>
        <w:rPr>
          <w:rFonts w:hint="eastAsia" w:cstheme="majorBidi"/>
          <w:kern w:val="44"/>
          <w:lang w:val="en-US" w:eastAsia="zh-CN"/>
        </w:rPr>
        <w:t>1%，结合实际使用需求，并经实验室验证，</w:t>
      </w:r>
      <w:r>
        <w:rPr>
          <w:rFonts w:hint="eastAsia" w:cstheme="majorBidi"/>
          <w:kern w:val="44"/>
        </w:rPr>
        <w:t>故确定</w:t>
      </w:r>
      <w:r>
        <w:rPr>
          <w:rFonts w:hint="eastAsia" w:cstheme="majorBidi"/>
          <w:kern w:val="44"/>
          <w:lang w:val="en-US" w:eastAsia="zh-CN"/>
        </w:rPr>
        <w:t>其</w:t>
      </w:r>
      <w:r>
        <w:rPr>
          <w:rFonts w:hint="eastAsia" w:cstheme="majorBidi"/>
          <w:kern w:val="44"/>
        </w:rPr>
        <w:t>最大允许误差</w:t>
      </w:r>
      <w:r>
        <w:rPr>
          <w:rFonts w:hint="eastAsia" w:cstheme="majorBidi"/>
          <w:kern w:val="44"/>
          <w:lang w:val="en-US" w:eastAsia="zh-CN"/>
        </w:rPr>
        <w:t>为</w:t>
      </w:r>
      <w:r>
        <w:rPr>
          <w:rFonts w:hint="eastAsia" w:cstheme="majorBidi"/>
          <w:kern w:val="44"/>
        </w:rPr>
        <w:t>±1%</w:t>
      </w:r>
      <w:r>
        <w:rPr>
          <w:rFonts w:hint="eastAsia" w:cstheme="majorBidi"/>
          <w:kern w:val="44"/>
          <w:lang w:eastAsia="zh-CN"/>
        </w:rPr>
        <w:t>，</w:t>
      </w:r>
      <w:r>
        <w:rPr>
          <w:rFonts w:hint="eastAsia" w:cstheme="majorBidi"/>
          <w:b w:val="0"/>
          <w:bCs w:val="0"/>
          <w:kern w:val="44"/>
          <w:lang w:val="en-US" w:eastAsia="zh-CN"/>
        </w:rPr>
        <w:t>该校准要求可以满足实验室使用规范</w:t>
      </w:r>
      <w:r>
        <w:rPr>
          <w:rFonts w:hint="eastAsia" w:cstheme="majorBidi"/>
          <w:kern w:val="44"/>
        </w:rPr>
        <w:t>。</w:t>
      </w:r>
    </w:p>
    <w:p w14:paraId="11CECEDB">
      <w:pPr>
        <w:spacing w:line="400" w:lineRule="exact"/>
        <w:rPr>
          <w:rFonts w:cstheme="majorBidi"/>
          <w:kern w:val="44"/>
        </w:rPr>
      </w:pPr>
      <w:bookmarkStart w:id="52" w:name="_Toc30005"/>
      <w:r>
        <w:rPr>
          <w:rFonts w:hint="eastAsia" w:cstheme="majorBidi"/>
          <w:kern w:val="44"/>
        </w:rPr>
        <w:t>4.6半径测量重复性</w:t>
      </w:r>
      <w:bookmarkEnd w:id="52"/>
    </w:p>
    <w:p w14:paraId="5D143E55">
      <w:pPr>
        <w:spacing w:line="400" w:lineRule="exact"/>
        <w:ind w:firstLine="480"/>
        <w:rPr>
          <w:rFonts w:cstheme="majorBidi"/>
          <w:kern w:val="44"/>
        </w:rPr>
      </w:pPr>
      <w:r>
        <w:rPr>
          <w:rFonts w:hint="eastAsia" w:cstheme="majorBidi"/>
          <w:kern w:val="44"/>
        </w:rPr>
        <w:t>重复性不超过</w:t>
      </w:r>
      <w:r>
        <w:rPr>
          <w:rFonts w:hint="eastAsia" w:cstheme="majorBidi"/>
          <w:kern w:val="44"/>
          <w:lang w:val="en-US" w:eastAsia="zh-CN"/>
        </w:rPr>
        <w:t>0.02mm</w:t>
      </w:r>
      <w:r>
        <w:rPr>
          <w:rFonts w:hint="eastAsia" w:cstheme="majorBidi"/>
          <w:kern w:val="44"/>
        </w:rPr>
        <w:t>。</w:t>
      </w:r>
      <w:r>
        <w:rPr>
          <w:rFonts w:hint="eastAsia" w:cstheme="majorBidi"/>
          <w:kern w:val="44"/>
          <w:lang w:val="en-US" w:eastAsia="zh-CN"/>
        </w:rPr>
        <w:t>结合实际使用需求，并经实验室验证，</w:t>
      </w:r>
      <w:r>
        <w:rPr>
          <w:rFonts w:hint="eastAsia" w:cstheme="majorBidi"/>
          <w:kern w:val="44"/>
        </w:rPr>
        <w:t>确定半径测量重复性</w:t>
      </w:r>
      <w:r>
        <w:rPr>
          <w:rFonts w:hint="eastAsia" w:cstheme="majorBidi"/>
          <w:kern w:val="44"/>
          <w:lang w:val="en-US" w:eastAsia="zh-CN"/>
        </w:rPr>
        <w:t>不超过0.02mm</w:t>
      </w:r>
      <w:r>
        <w:rPr>
          <w:rFonts w:hint="eastAsia" w:cstheme="majorBidi"/>
          <w:kern w:val="44"/>
          <w:lang w:eastAsia="zh-CN"/>
        </w:rPr>
        <w:t>，</w:t>
      </w:r>
      <w:r>
        <w:rPr>
          <w:rFonts w:hint="eastAsia" w:cstheme="majorBidi"/>
          <w:b w:val="0"/>
          <w:bCs w:val="0"/>
          <w:kern w:val="44"/>
          <w:lang w:val="en-US" w:eastAsia="zh-CN"/>
        </w:rPr>
        <w:t>该校准要求可以满足实验室使用规范</w:t>
      </w:r>
      <w:r>
        <w:rPr>
          <w:rFonts w:hint="eastAsia" w:cstheme="majorBidi"/>
          <w:kern w:val="44"/>
        </w:rPr>
        <w:t>。</w:t>
      </w:r>
    </w:p>
    <w:p w14:paraId="771F4A44">
      <w:pPr>
        <w:pStyle w:val="4"/>
        <w:spacing w:before="156" w:after="156"/>
        <w:rPr>
          <w:b w:val="0"/>
          <w:bCs w:val="0"/>
        </w:rPr>
      </w:pPr>
      <w:r>
        <w:rPr>
          <w:rFonts w:hint="eastAsia"/>
          <w:b w:val="0"/>
          <w:bCs w:val="0"/>
        </w:rPr>
        <w:t>5 校准条件</w:t>
      </w:r>
      <w:bookmarkEnd w:id="41"/>
      <w:bookmarkStart w:id="53" w:name="_Toc193860214"/>
      <w:bookmarkStart w:id="54" w:name="_Toc193860183"/>
      <w:bookmarkStart w:id="55" w:name="_Toc500258942"/>
      <w:bookmarkStart w:id="56" w:name="_Toc193860033"/>
    </w:p>
    <w:p w14:paraId="23952FC0">
      <w:pPr>
        <w:spacing w:line="400" w:lineRule="exact"/>
        <w:rPr>
          <w:rFonts w:cstheme="majorBidi"/>
          <w:kern w:val="44"/>
        </w:rPr>
      </w:pPr>
      <w:bookmarkStart w:id="57" w:name="_Toc161838411"/>
      <w:bookmarkStart w:id="58" w:name="_Toc533963948"/>
      <w:r>
        <w:rPr>
          <w:rFonts w:cstheme="majorBidi"/>
          <w:kern w:val="44"/>
        </w:rPr>
        <w:t>5.1 环境条件</w:t>
      </w:r>
      <w:bookmarkEnd w:id="57"/>
      <w:bookmarkEnd w:id="58"/>
    </w:p>
    <w:p w14:paraId="1EB89E86">
      <w:pPr>
        <w:spacing w:line="360" w:lineRule="auto"/>
        <w:ind w:firstLine="420" w:firstLineChars="200"/>
        <w:rPr>
          <w:rFonts w:eastAsiaTheme="minorEastAsia"/>
          <w:szCs w:val="21"/>
        </w:rPr>
      </w:pPr>
      <w:r>
        <w:rPr>
          <w:rFonts w:hint="eastAsia" w:eastAsiaTheme="minorEastAsia"/>
          <w:szCs w:val="21"/>
        </w:rPr>
        <w:t>校准前，实验室环境条件根据数显半径测量仪的说明书，可确定其温度、湿度、温度波动度应满足要求，为</w:t>
      </w:r>
      <w:r>
        <w:rPr>
          <w:rFonts w:hint="eastAsia"/>
        </w:rPr>
        <w:t>（</w:t>
      </w:r>
      <w:r>
        <w:t>2</w:t>
      </w:r>
      <w:r>
        <w:rPr>
          <w:rFonts w:hint="eastAsia"/>
        </w:rPr>
        <w:t>0</w:t>
      </w:r>
      <w:r>
        <w:t>±5</w:t>
      </w:r>
      <w:r>
        <w:rPr>
          <w:rFonts w:hint="eastAsia"/>
        </w:rPr>
        <w:t>）℃、相对湿度不大于</w:t>
      </w:r>
      <w:r>
        <w:t>80%</w:t>
      </w:r>
      <w:r>
        <w:rPr>
          <w:rFonts w:hint="eastAsia"/>
        </w:rPr>
        <w:t>。校准环境周围无腐蚀性介质，附近无影响实验结果的振源。校准前，数显半径测量仪与标准器平衡温度时间不少于2小时。</w:t>
      </w:r>
    </w:p>
    <w:p w14:paraId="52F9A687">
      <w:pPr>
        <w:spacing w:line="400" w:lineRule="exact"/>
        <w:rPr>
          <w:rFonts w:cstheme="majorBidi"/>
          <w:kern w:val="44"/>
        </w:rPr>
      </w:pPr>
      <w:bookmarkStart w:id="59" w:name="_Toc533963949"/>
      <w:bookmarkStart w:id="60" w:name="_Toc161838412"/>
      <w:r>
        <w:rPr>
          <w:rFonts w:cstheme="majorBidi"/>
          <w:kern w:val="44"/>
        </w:rPr>
        <w:t>5.2</w:t>
      </w:r>
      <w:bookmarkEnd w:id="59"/>
      <w:r>
        <w:rPr>
          <w:rFonts w:cstheme="majorBidi"/>
          <w:kern w:val="44"/>
        </w:rPr>
        <w:t xml:space="preserve"> 测量标准</w:t>
      </w:r>
      <w:bookmarkEnd w:id="60"/>
    </w:p>
    <w:p w14:paraId="5AE1B9D1">
      <w:pPr>
        <w:spacing w:line="324" w:lineRule="auto"/>
        <w:ind w:firstLine="420" w:firstLineChars="200"/>
        <w:outlineLvl w:val="1"/>
        <w:rPr>
          <w:rFonts w:hint="default" w:eastAsia="宋体"/>
          <w:kern w:val="0"/>
          <w:lang w:val="en-US" w:eastAsia="zh-CN"/>
        </w:rPr>
      </w:pPr>
      <w:r>
        <w:rPr>
          <w:bCs/>
          <w:color w:val="000000" w:themeColor="text1"/>
          <w14:textFill>
            <w14:solidFill>
              <w14:schemeClr w14:val="tx1"/>
            </w14:solidFill>
          </w14:textFill>
        </w:rPr>
        <w:t>测量标准的技术要求应符合</w:t>
      </w:r>
      <w:r>
        <w:rPr>
          <w:rFonts w:hint="eastAsia"/>
          <w:bCs/>
          <w:color w:val="000000" w:themeColor="text1"/>
          <w14:textFill>
            <w14:solidFill>
              <w14:schemeClr w14:val="tx1"/>
            </w14:solidFill>
          </w14:textFill>
        </w:rPr>
        <w:t>正文中</w:t>
      </w:r>
      <w:r>
        <w:rPr>
          <w:bCs/>
          <w:color w:val="000000" w:themeColor="text1"/>
          <w14:textFill>
            <w14:solidFill>
              <w14:schemeClr w14:val="tx1"/>
            </w14:solidFill>
          </w14:textFill>
        </w:rPr>
        <w:t>表1的规定</w:t>
      </w:r>
      <w:r>
        <w:rPr>
          <w:kern w:val="0"/>
        </w:rPr>
        <w:t>。</w:t>
      </w:r>
      <w:r>
        <w:rPr>
          <w:rFonts w:hint="eastAsia"/>
          <w:kern w:val="0"/>
        </w:rPr>
        <w:t>千分表检定仪的技术指标参考了JJG 34-2022指示表检定规程中的相关内容。</w:t>
      </w:r>
      <w:r>
        <w:rPr>
          <w:rFonts w:ascii="宋体" w:hAnsi="宋体" w:cs="宋体"/>
          <w:spacing w:val="4"/>
          <w:szCs w:val="21"/>
        </w:rPr>
        <w:t>圆弧标准件</w:t>
      </w:r>
      <w:r>
        <w:rPr>
          <w:rFonts w:hint="eastAsia" w:ascii="宋体" w:hAnsi="宋体" w:cs="宋体"/>
          <w:spacing w:val="4"/>
          <w:szCs w:val="21"/>
        </w:rPr>
        <w:t>和</w:t>
      </w:r>
      <w:r>
        <w:rPr>
          <w:rFonts w:ascii="宋体" w:hAnsi="宋体" w:cs="宋体"/>
          <w:spacing w:val="5"/>
          <w:szCs w:val="21"/>
        </w:rPr>
        <w:t>平板</w:t>
      </w:r>
      <w:r>
        <w:rPr>
          <w:rFonts w:hint="eastAsia"/>
          <w:kern w:val="0"/>
        </w:rPr>
        <w:t>的技术指标参考了</w:t>
      </w:r>
      <w:r>
        <w:rPr>
          <w:rFonts w:hint="eastAsia"/>
          <w:szCs w:val="21"/>
        </w:rPr>
        <w:t>JJF（苏）277－2024《数显半径测量仪校准规范》</w:t>
      </w:r>
      <w:r>
        <w:rPr>
          <w:rFonts w:hint="eastAsia"/>
          <w:kern w:val="0"/>
        </w:rPr>
        <w:t>中的相关内容。</w:t>
      </w:r>
    </w:p>
    <w:bookmarkEnd w:id="53"/>
    <w:bookmarkEnd w:id="54"/>
    <w:bookmarkEnd w:id="55"/>
    <w:bookmarkEnd w:id="56"/>
    <w:p w14:paraId="470973D1">
      <w:pPr>
        <w:pStyle w:val="4"/>
        <w:spacing w:before="156" w:after="156"/>
        <w:rPr>
          <w:b w:val="0"/>
          <w:bCs w:val="0"/>
        </w:rPr>
      </w:pPr>
      <w:bookmarkStart w:id="61" w:name="_Toc193860035"/>
      <w:bookmarkStart w:id="62" w:name="_Toc193619058"/>
      <w:bookmarkStart w:id="63" w:name="_Toc193860185"/>
      <w:bookmarkStart w:id="64" w:name="_Toc193618955"/>
      <w:bookmarkStart w:id="65" w:name="_Toc193619100"/>
      <w:bookmarkStart w:id="66" w:name="_Toc500258944"/>
      <w:bookmarkStart w:id="67" w:name="_Toc193860216"/>
      <w:bookmarkStart w:id="68" w:name="_Toc2741_WPSOffice_Level1"/>
      <w:r>
        <w:rPr>
          <w:rFonts w:hint="eastAsia"/>
          <w:b w:val="0"/>
          <w:bCs w:val="0"/>
        </w:rPr>
        <w:t>6 校准项目和校准方法</w:t>
      </w:r>
      <w:bookmarkEnd w:id="61"/>
      <w:bookmarkEnd w:id="62"/>
      <w:bookmarkEnd w:id="63"/>
      <w:bookmarkEnd w:id="64"/>
      <w:bookmarkEnd w:id="65"/>
      <w:bookmarkEnd w:id="66"/>
      <w:bookmarkEnd w:id="67"/>
      <w:bookmarkEnd w:id="68"/>
    </w:p>
    <w:p w14:paraId="26AFBADC">
      <w:pPr>
        <w:spacing w:line="324" w:lineRule="auto"/>
        <w:ind w:firstLine="420" w:firstLineChars="200"/>
        <w:outlineLvl w:val="1"/>
        <w:rPr>
          <w:bCs/>
          <w:color w:val="000000" w:themeColor="text1"/>
          <w14:textFill>
            <w14:solidFill>
              <w14:schemeClr w14:val="tx1"/>
            </w14:solidFill>
          </w14:textFill>
        </w:rPr>
      </w:pPr>
      <w:bookmarkStart w:id="69" w:name="_Toc500258945"/>
      <w:bookmarkStart w:id="70" w:name="_Toc22718_WPSOffice_Level2"/>
      <w:r>
        <w:rPr>
          <w:rFonts w:hint="eastAsia"/>
          <w:bCs/>
          <w:color w:val="000000" w:themeColor="text1"/>
          <w14:textFill>
            <w14:solidFill>
              <w14:schemeClr w14:val="tx1"/>
            </w14:solidFill>
          </w14:textFill>
        </w:rPr>
        <w:t>校准项目包含两端球形测头圆度、两端球形测头球心间距偏差、零位偏差、数显指示表</w:t>
      </w:r>
      <w:r>
        <w:rPr>
          <w:bCs/>
          <w:color w:val="000000" w:themeColor="text1"/>
          <w14:textFill>
            <w14:solidFill>
              <w14:schemeClr w14:val="tx1"/>
            </w14:solidFill>
          </w14:textFill>
        </w:rPr>
        <w:t>示值误差</w:t>
      </w:r>
      <w:r>
        <w:rPr>
          <w:rFonts w:hint="eastAsia"/>
          <w:bCs/>
          <w:color w:val="000000" w:themeColor="text1"/>
          <w14:textFill>
            <w14:solidFill>
              <w14:schemeClr w14:val="tx1"/>
            </w14:solidFill>
          </w14:textFill>
        </w:rPr>
        <w:t>、半径示值误差、半径测量</w:t>
      </w:r>
      <w:r>
        <w:rPr>
          <w:bCs/>
          <w:color w:val="000000" w:themeColor="text1"/>
          <w14:textFill>
            <w14:solidFill>
              <w14:schemeClr w14:val="tx1"/>
            </w14:solidFill>
          </w14:textFill>
        </w:rPr>
        <w:t>重复性</w:t>
      </w:r>
      <w:r>
        <w:rPr>
          <w:rFonts w:hint="eastAsia"/>
          <w:bCs/>
          <w:color w:val="000000" w:themeColor="text1"/>
          <w14:textFill>
            <w14:solidFill>
              <w14:schemeClr w14:val="tx1"/>
            </w14:solidFill>
          </w14:textFill>
        </w:rPr>
        <w:t>以及具体的校准方法。</w:t>
      </w:r>
    </w:p>
    <w:p w14:paraId="3EB46F33">
      <w:pPr>
        <w:spacing w:line="324" w:lineRule="auto"/>
        <w:ind w:firstLine="420" w:firstLineChars="200"/>
        <w:outlineLvl w:val="1"/>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两端球形测头圆度、两端球形测头球心间距偏差、数显指示表</w:t>
      </w:r>
      <w:r>
        <w:rPr>
          <w:bCs/>
          <w:color w:val="000000" w:themeColor="text1"/>
          <w14:textFill>
            <w14:solidFill>
              <w14:schemeClr w14:val="tx1"/>
            </w14:solidFill>
          </w14:textFill>
        </w:rPr>
        <w:t>示值误差</w:t>
      </w:r>
      <w:r>
        <w:rPr>
          <w:rFonts w:hint="eastAsia"/>
          <w:bCs/>
          <w:color w:val="000000" w:themeColor="text1"/>
          <w14:textFill>
            <w14:solidFill>
              <w14:schemeClr w14:val="tx1"/>
            </w14:solidFill>
          </w14:textFill>
        </w:rPr>
        <w:t>、零位偏差校准方法是依据西安汉唐分析检测有限公司的企业标准《数显半径测量仪校准规范》，并参考了JJF 1094-2002 测量仪器特性评定、JJG 58-2010半径样板检定规程、</w:t>
      </w:r>
      <w:r>
        <w:rPr>
          <w:rFonts w:hint="eastAsia"/>
          <w:kern w:val="0"/>
        </w:rPr>
        <w:t>JJG 34-2022指示表检定规程</w:t>
      </w:r>
      <w:r>
        <w:rPr>
          <w:rFonts w:hint="eastAsia"/>
          <w:bCs/>
          <w:color w:val="000000" w:themeColor="text1"/>
          <w14:textFill>
            <w14:solidFill>
              <w14:schemeClr w14:val="tx1"/>
            </w14:solidFill>
          </w14:textFill>
        </w:rPr>
        <w:t>等的要求，对以上校准方法进行编写。</w:t>
      </w:r>
    </w:p>
    <w:p w14:paraId="2424A204">
      <w:pPr>
        <w:spacing w:line="324" w:lineRule="auto"/>
        <w:ind w:firstLine="420" w:firstLineChars="200"/>
        <w:outlineLvl w:val="1"/>
        <w:rPr>
          <w:rFonts w:hint="default" w:cs="宋体"/>
          <w:b w:val="0"/>
          <w:bCs w:val="0"/>
          <w:color w:val="000000"/>
          <w:kern w:val="0"/>
          <w:szCs w:val="21"/>
          <w:highlight w:val="none"/>
          <w:lang w:val="en-US" w:eastAsia="zh-CN"/>
        </w:rPr>
      </w:pPr>
      <w:r>
        <w:rPr>
          <w:rFonts w:hint="eastAsia"/>
          <w:bCs/>
          <w:color w:val="000000" w:themeColor="text1"/>
          <w14:textFill>
            <w14:solidFill>
              <w14:schemeClr w14:val="tx1"/>
            </w14:solidFill>
          </w14:textFill>
        </w:rPr>
        <w:t>半径示值误差、半径测量</w:t>
      </w:r>
      <w:r>
        <w:rPr>
          <w:bCs/>
          <w:color w:val="000000" w:themeColor="text1"/>
          <w14:textFill>
            <w14:solidFill>
              <w14:schemeClr w14:val="tx1"/>
            </w14:solidFill>
          </w14:textFill>
        </w:rPr>
        <w:t>重复性</w:t>
      </w:r>
      <w:r>
        <w:rPr>
          <w:rFonts w:hint="eastAsia"/>
          <w:bCs/>
          <w:color w:val="000000" w:themeColor="text1"/>
          <w14:textFill>
            <w14:solidFill>
              <w14:schemeClr w14:val="tx1"/>
            </w14:solidFill>
          </w14:textFill>
        </w:rPr>
        <w:t>校准方法是依据</w:t>
      </w:r>
      <w:r>
        <w:rPr>
          <w:rFonts w:hint="eastAsia"/>
          <w:szCs w:val="21"/>
        </w:rPr>
        <w:t>JJF（苏）277－2024《数显半径测量仪校准规范》</w:t>
      </w:r>
      <w:r>
        <w:rPr>
          <w:rFonts w:hint="eastAsia"/>
          <w:kern w:val="0"/>
        </w:rPr>
        <w:t>中的相关内容</w:t>
      </w:r>
      <w:r>
        <w:rPr>
          <w:rFonts w:hint="eastAsia"/>
          <w:bCs/>
          <w:color w:val="000000" w:themeColor="text1"/>
          <w14:textFill>
            <w14:solidFill>
              <w14:schemeClr w14:val="tx1"/>
            </w14:solidFill>
          </w14:textFill>
        </w:rPr>
        <w:t>。</w:t>
      </w:r>
      <w:r>
        <w:rPr>
          <w:rFonts w:hint="eastAsia" w:eastAsiaTheme="minorEastAsia"/>
          <w:b w:val="0"/>
          <w:bCs w:val="0"/>
          <w:kern w:val="0"/>
          <w:szCs w:val="21"/>
          <w:highlight w:val="none"/>
          <w:lang w:val="en-US" w:eastAsia="zh-CN"/>
        </w:rPr>
        <w:t>根据专家意见，为了更</w:t>
      </w:r>
      <w:r>
        <w:rPr>
          <w:rFonts w:cs="宋体"/>
          <w:b w:val="0"/>
          <w:bCs w:val="0"/>
          <w:color w:val="000000"/>
          <w:kern w:val="0"/>
          <w:szCs w:val="21"/>
          <w:highlight w:val="none"/>
        </w:rPr>
        <w:t>准确</w:t>
      </w:r>
      <w:r>
        <w:rPr>
          <w:rFonts w:hint="eastAsia" w:cs="宋体"/>
          <w:b w:val="0"/>
          <w:bCs w:val="0"/>
          <w:color w:val="000000"/>
          <w:kern w:val="0"/>
          <w:szCs w:val="21"/>
          <w:highlight w:val="none"/>
          <w:lang w:val="en-US" w:eastAsia="zh-CN"/>
        </w:rPr>
        <w:t>地</w:t>
      </w:r>
      <w:r>
        <w:rPr>
          <w:rFonts w:cs="宋体"/>
          <w:b w:val="0"/>
          <w:bCs w:val="0"/>
          <w:color w:val="000000"/>
          <w:kern w:val="0"/>
          <w:szCs w:val="21"/>
          <w:highlight w:val="none"/>
        </w:rPr>
        <w:t>描述对</w:t>
      </w:r>
      <w:r>
        <w:rPr>
          <w:rFonts w:hint="eastAsia"/>
          <w:bCs/>
          <w:color w:val="000000" w:themeColor="text1"/>
          <w14:textFill>
            <w14:solidFill>
              <w14:schemeClr w14:val="tx1"/>
            </w14:solidFill>
          </w14:textFill>
        </w:rPr>
        <w:t>半径示值误差</w:t>
      </w:r>
      <w:r>
        <w:rPr>
          <w:rFonts w:cs="宋体"/>
          <w:b w:val="0"/>
          <w:bCs w:val="0"/>
          <w:color w:val="000000"/>
          <w:kern w:val="0"/>
          <w:szCs w:val="21"/>
          <w:highlight w:val="none"/>
        </w:rPr>
        <w:t>的测量方法</w:t>
      </w:r>
      <w:r>
        <w:rPr>
          <w:rFonts w:hint="eastAsia" w:cs="宋体"/>
          <w:b w:val="0"/>
          <w:bCs w:val="0"/>
          <w:color w:val="000000"/>
          <w:kern w:val="0"/>
          <w:szCs w:val="21"/>
          <w:highlight w:val="none"/>
        </w:rPr>
        <w:t>，</w:t>
      </w:r>
      <w:r>
        <w:rPr>
          <w:rFonts w:hint="eastAsia" w:cs="宋体"/>
          <w:b w:val="0"/>
          <w:bCs w:val="0"/>
          <w:color w:val="000000"/>
          <w:kern w:val="0"/>
          <w:szCs w:val="21"/>
          <w:highlight w:val="none"/>
          <w:lang w:val="en-US" w:eastAsia="zh-CN"/>
        </w:rPr>
        <w:t>明确了半径示值误差校准使用的平板为1级平板，并对圆弧半径标准块的表述进行了全文统一</w:t>
      </w:r>
      <w:r>
        <w:rPr>
          <w:rFonts w:hint="eastAsia" w:cs="宋体"/>
          <w:b w:val="0"/>
          <w:bCs w:val="0"/>
          <w:color w:val="000000"/>
          <w:kern w:val="0"/>
          <w:szCs w:val="21"/>
          <w:highlight w:val="none"/>
        </w:rPr>
        <w:t>。</w:t>
      </w:r>
      <w:r>
        <w:rPr>
          <w:rFonts w:hint="eastAsia" w:cs="宋体"/>
          <w:b w:val="0"/>
          <w:bCs w:val="0"/>
          <w:color w:val="000000"/>
          <w:kern w:val="0"/>
          <w:szCs w:val="21"/>
          <w:highlight w:val="none"/>
          <w:lang w:val="en-US" w:eastAsia="zh-CN"/>
        </w:rPr>
        <w:t>在半径测量重复性校准方法中，增加了对公式（2）中测量重复性s的释义。</w:t>
      </w:r>
    </w:p>
    <w:bookmarkEnd w:id="69"/>
    <w:bookmarkEnd w:id="70"/>
    <w:p w14:paraId="72A34651">
      <w:pPr>
        <w:pStyle w:val="4"/>
        <w:spacing w:before="156" w:after="156"/>
        <w:rPr>
          <w:b w:val="0"/>
          <w:bCs w:val="0"/>
        </w:rPr>
      </w:pPr>
      <w:bookmarkStart w:id="71" w:name="_Toc193619101"/>
      <w:bookmarkStart w:id="72" w:name="_Toc193860219"/>
      <w:bookmarkStart w:id="73" w:name="_Toc193618956"/>
      <w:bookmarkStart w:id="74" w:name="_Toc193619059"/>
      <w:bookmarkStart w:id="75" w:name="_Toc193860038"/>
      <w:bookmarkStart w:id="76" w:name="_Toc193860188"/>
      <w:bookmarkStart w:id="77" w:name="_Toc500258947"/>
      <w:bookmarkStart w:id="78" w:name="_Toc25466_WPSOffice_Level1"/>
      <w:r>
        <w:rPr>
          <w:rFonts w:hint="eastAsia"/>
          <w:b w:val="0"/>
          <w:bCs w:val="0"/>
        </w:rPr>
        <w:t>7 校准结果</w:t>
      </w:r>
      <w:bookmarkEnd w:id="71"/>
      <w:bookmarkEnd w:id="72"/>
      <w:bookmarkEnd w:id="73"/>
      <w:bookmarkEnd w:id="74"/>
      <w:bookmarkEnd w:id="75"/>
      <w:bookmarkEnd w:id="76"/>
      <w:r>
        <w:rPr>
          <w:rFonts w:hint="eastAsia"/>
          <w:b w:val="0"/>
          <w:bCs w:val="0"/>
        </w:rPr>
        <w:t>表达</w:t>
      </w:r>
      <w:bookmarkEnd w:id="77"/>
      <w:bookmarkEnd w:id="78"/>
    </w:p>
    <w:p w14:paraId="047269C3">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14:paraId="1B45C0C4">
      <w:pPr>
        <w:pStyle w:val="4"/>
        <w:spacing w:before="156" w:after="156"/>
        <w:rPr>
          <w:b w:val="0"/>
          <w:bCs w:val="0"/>
        </w:rPr>
      </w:pPr>
      <w:bookmarkStart w:id="79" w:name="_Toc5529"/>
      <w:bookmarkStart w:id="80" w:name="_Toc193860040"/>
      <w:bookmarkStart w:id="81" w:name="_Toc14803_WPSOffice_Level1"/>
      <w:bookmarkStart w:id="82" w:name="_Toc193860189"/>
      <w:bookmarkStart w:id="83" w:name="_Toc193860220"/>
      <w:bookmarkStart w:id="84" w:name="_Toc193860041"/>
      <w:r>
        <w:rPr>
          <w:rFonts w:hint="eastAsia"/>
          <w:b w:val="0"/>
          <w:bCs w:val="0"/>
        </w:rPr>
        <w:t>8 复校</w:t>
      </w:r>
      <w:bookmarkEnd w:id="79"/>
      <w:bookmarkEnd w:id="80"/>
      <w:bookmarkEnd w:id="81"/>
      <w:bookmarkEnd w:id="82"/>
      <w:bookmarkEnd w:id="83"/>
      <w:r>
        <w:rPr>
          <w:rFonts w:hint="eastAsia"/>
          <w:b w:val="0"/>
          <w:bCs w:val="0"/>
        </w:rPr>
        <w:t>时间间隔</w:t>
      </w:r>
    </w:p>
    <w:bookmarkEnd w:id="84"/>
    <w:p w14:paraId="6B568FFC">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复校时间间隔的长短取决于其使用情况，使用单位可根据实际使用情况自主决定复校的时间，建议复校时间间隔为1年。</w:t>
      </w:r>
    </w:p>
    <w:p w14:paraId="47BF5ADE">
      <w:pPr>
        <w:pStyle w:val="4"/>
        <w:spacing w:before="156" w:after="156"/>
        <w:rPr>
          <w:b w:val="0"/>
          <w:bCs w:val="0"/>
        </w:rPr>
      </w:pPr>
      <w:r>
        <w:rPr>
          <w:rFonts w:hint="eastAsia"/>
          <w:b w:val="0"/>
          <w:bCs w:val="0"/>
        </w:rPr>
        <w:t>9附录</w:t>
      </w:r>
    </w:p>
    <w:p w14:paraId="3F6D4216">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附录主要包含校准原始记录参考格式、校准证书内页参考格式、刻线机示值误差测量不确定度评定示例。</w:t>
      </w:r>
    </w:p>
    <w:p w14:paraId="241208E3">
      <w:pPr>
        <w:adjustRightInd w:val="0"/>
        <w:snapToGrid w:val="0"/>
        <w:spacing w:line="360" w:lineRule="auto"/>
        <w:ind w:firstLine="420" w:firstLineChars="200"/>
      </w:pPr>
      <w:r>
        <w:rPr>
          <w:rFonts w:hint="eastAsia"/>
        </w:rPr>
        <w:t>本规范设置了</w:t>
      </w:r>
      <w:r>
        <w:t>3</w:t>
      </w:r>
      <w:r>
        <w:rPr>
          <w:rFonts w:hint="eastAsia"/>
        </w:rPr>
        <w:t>个附录，便于校准时参考和规范。</w:t>
      </w:r>
    </w:p>
    <w:p w14:paraId="548F68A8">
      <w:pPr>
        <w:adjustRightInd w:val="0"/>
        <w:snapToGrid w:val="0"/>
        <w:spacing w:line="360" w:lineRule="auto"/>
        <w:ind w:firstLine="420" w:firstLineChars="200"/>
        <w:rPr>
          <w:rFonts w:hint="default" w:eastAsia="宋体"/>
          <w:lang w:val="en-US" w:eastAsia="zh-CN"/>
        </w:rPr>
      </w:pPr>
      <w:r>
        <w:rPr>
          <w:rFonts w:hint="eastAsia"/>
        </w:rPr>
        <w:t>附录A 校准原始记录参考格式</w:t>
      </w:r>
      <w:r>
        <w:rPr>
          <w:rFonts w:hint="eastAsia"/>
          <w:lang w:eastAsia="zh-CN"/>
        </w:rPr>
        <w:t>，</w:t>
      </w:r>
      <w:r>
        <w:rPr>
          <w:rFonts w:hint="eastAsia"/>
          <w:lang w:val="en-US" w:eastAsia="zh-CN"/>
        </w:rPr>
        <w:t>调整了原始记录参考格式，将“委托单位”、“证书编号”、“校准日期”、“校准依据”编制到原始记录的表格中。</w:t>
      </w:r>
    </w:p>
    <w:p w14:paraId="0F90B466">
      <w:pPr>
        <w:adjustRightInd w:val="0"/>
        <w:snapToGrid w:val="0"/>
        <w:spacing w:line="360" w:lineRule="auto"/>
        <w:ind w:firstLine="420" w:firstLineChars="200"/>
      </w:pPr>
      <w:r>
        <w:rPr>
          <w:rFonts w:hint="eastAsia"/>
        </w:rPr>
        <w:t>附录B 校准证书内页参考格式</w:t>
      </w:r>
    </w:p>
    <w:p w14:paraId="71742A3B">
      <w:pPr>
        <w:adjustRightInd w:val="0"/>
        <w:snapToGrid w:val="0"/>
        <w:spacing w:line="360" w:lineRule="auto"/>
        <w:ind w:firstLine="420" w:firstLineChars="200"/>
      </w:pPr>
      <w:r>
        <w:rPr>
          <w:rFonts w:hint="eastAsia"/>
        </w:rPr>
        <w:t>附录C 数显半径测量仪半径示值误差测量不确定度评定示例</w:t>
      </w:r>
    </w:p>
    <w:bookmarkEnd w:id="1"/>
    <w:bookmarkEnd w:id="19"/>
    <w:p w14:paraId="2CBEE874">
      <w:pPr>
        <w:pStyle w:val="2"/>
        <w:spacing w:before="156" w:after="156"/>
        <w:rPr>
          <w:b w:val="0"/>
          <w:bCs w:val="0"/>
        </w:rPr>
      </w:pPr>
      <w:bookmarkStart w:id="85" w:name="_Toc464728965"/>
      <w:r>
        <w:rPr>
          <w:rFonts w:hint="eastAsia"/>
          <w:b w:val="0"/>
          <w:bCs w:val="0"/>
        </w:rPr>
        <w:t>三、实践检测情况</w:t>
      </w:r>
    </w:p>
    <w:p w14:paraId="2D093664">
      <w:pPr>
        <w:adjustRightInd w:val="0"/>
        <w:spacing w:line="360" w:lineRule="auto"/>
        <w:ind w:firstLine="420" w:firstLineChars="200"/>
      </w:pPr>
      <w:r>
        <w:rPr>
          <w:rFonts w:hint="eastAsia"/>
        </w:rPr>
        <w:t>西安汉唐分析检测有限</w:t>
      </w:r>
      <w:r>
        <w:t>公司</w:t>
      </w:r>
      <w:r>
        <w:rPr>
          <w:rFonts w:hint="eastAsia"/>
        </w:rPr>
        <w:t>、</w:t>
      </w:r>
      <w:r>
        <w:rPr>
          <w:rFonts w:hint="eastAsia" w:cstheme="majorBidi"/>
          <w:kern w:val="44"/>
          <w:lang w:val="en-US" w:eastAsia="zh-CN"/>
        </w:rPr>
        <w:t>西安精科华创材料分析检测有限公司、西南铝业（集团）有限责任公司</w:t>
      </w:r>
      <w:r>
        <w:t>根据本规范</w:t>
      </w:r>
      <w:r>
        <w:rPr>
          <w:rFonts w:hint="eastAsia"/>
        </w:rPr>
        <w:t>的校准项目</w:t>
      </w:r>
      <w:r>
        <w:t>对</w:t>
      </w:r>
      <w:r>
        <w:rPr>
          <w:rFonts w:hint="eastAsia"/>
        </w:rPr>
        <w:t>数显半径测量仪</w:t>
      </w:r>
      <w:r>
        <w:t>进行了全计量特性的校准，内容详见校准报告。</w:t>
      </w:r>
    </w:p>
    <w:p w14:paraId="240821A9">
      <w:pPr>
        <w:pStyle w:val="2"/>
        <w:spacing w:before="156" w:after="156"/>
        <w:rPr>
          <w:b w:val="0"/>
          <w:bCs w:val="0"/>
        </w:rPr>
      </w:pPr>
      <w:r>
        <w:rPr>
          <w:rFonts w:hint="eastAsia"/>
          <w:b w:val="0"/>
          <w:bCs w:val="0"/>
        </w:rPr>
        <w:t>四、规范水平分析</w:t>
      </w:r>
      <w:bookmarkEnd w:id="85"/>
    </w:p>
    <w:p w14:paraId="73E07B86">
      <w:pPr>
        <w:adjustRightInd w:val="0"/>
        <w:spacing w:line="360" w:lineRule="auto"/>
        <w:ind w:firstLine="420" w:firstLineChars="200"/>
        <w:rPr>
          <w:rFonts w:ascii="宋体" w:hAnsi="宋体"/>
          <w:szCs w:val="21"/>
        </w:rPr>
      </w:pPr>
      <w:r>
        <w:t>目前，国家和各省检定规程和校准规范中，类似的校准规范如JJF(</w:t>
      </w:r>
      <w:r>
        <w:rPr>
          <w:rFonts w:hint="eastAsia"/>
        </w:rPr>
        <w:t>苏</w:t>
      </w:r>
      <w:r>
        <w:t>)</w:t>
      </w:r>
      <w:r>
        <w:rPr>
          <w:rFonts w:hint="eastAsia"/>
        </w:rPr>
        <w:t>277-</w:t>
      </w:r>
      <w:r>
        <w:t>20</w:t>
      </w:r>
      <w:r>
        <w:rPr>
          <w:rFonts w:hint="eastAsia"/>
        </w:rPr>
        <w:t>24</w:t>
      </w:r>
      <w:r>
        <w:t>《</w:t>
      </w:r>
      <w:r>
        <w:rPr>
          <w:rFonts w:hint="eastAsia"/>
        </w:rPr>
        <w:t>数显半径测量仪</w:t>
      </w:r>
      <w:r>
        <w:t>校准规范》</w:t>
      </w:r>
      <w:r>
        <w:rPr>
          <w:rFonts w:hint="eastAsia"/>
        </w:rPr>
        <w:t>只针对半径示值误差和重复性进行了校准，对</w:t>
      </w:r>
      <w:r>
        <w:rPr>
          <w:rFonts w:hint="eastAsia"/>
          <w:bCs/>
          <w:color w:val="000000" w:themeColor="text1"/>
          <w14:textFill>
            <w14:solidFill>
              <w14:schemeClr w14:val="tx1"/>
            </w14:solidFill>
          </w14:textFill>
        </w:rPr>
        <w:t>两端球形测头圆度、两端球形测头球心间距偏差、零位偏差、数显指示表</w:t>
      </w:r>
      <w:r>
        <w:rPr>
          <w:bCs/>
          <w:color w:val="000000" w:themeColor="text1"/>
          <w14:textFill>
            <w14:solidFill>
              <w14:schemeClr w14:val="tx1"/>
            </w14:solidFill>
          </w14:textFill>
        </w:rPr>
        <w:t>示值误差</w:t>
      </w:r>
      <w:r>
        <w:rPr>
          <w:rFonts w:hint="eastAsia"/>
        </w:rPr>
        <w:t>未进行校准，对于数显半径测量仪的</w:t>
      </w:r>
      <w:r>
        <w:t>校准和检定无统一</w:t>
      </w:r>
      <w:r>
        <w:rPr>
          <w:rFonts w:hint="eastAsia"/>
        </w:rPr>
        <w:t>、完整</w:t>
      </w:r>
      <w:r>
        <w:t>的</w:t>
      </w:r>
      <w:r>
        <w:rPr>
          <w:rFonts w:hint="eastAsia"/>
        </w:rPr>
        <w:t>校准</w:t>
      </w:r>
      <w:r>
        <w:t>依据</w:t>
      </w:r>
      <w:r>
        <w:rPr>
          <w:rFonts w:hint="eastAsia" w:ascii="宋体" w:hAnsi="宋体"/>
          <w:szCs w:val="21"/>
        </w:rPr>
        <w:t>。</w:t>
      </w:r>
    </w:p>
    <w:p w14:paraId="3ED0239E">
      <w:pPr>
        <w:adjustRightInd w:val="0"/>
        <w:spacing w:line="360" w:lineRule="auto"/>
        <w:ind w:firstLine="420" w:firstLineChars="200"/>
        <w:rPr>
          <w:rFonts w:ascii="宋体" w:hAnsi="宋体"/>
          <w:szCs w:val="21"/>
        </w:rPr>
      </w:pPr>
      <w:r>
        <w:rPr>
          <w:rFonts w:hint="eastAsia" w:ascii="宋体" w:hAnsi="宋体"/>
          <w:szCs w:val="21"/>
        </w:rPr>
        <w:t>目前国外没有相关技术规范，本规范水平达到国内先进水平。</w:t>
      </w:r>
      <w:r>
        <w:rPr>
          <w:rFonts w:hint="eastAsia"/>
          <w:szCs w:val="21"/>
        </w:rPr>
        <w:t>本规范的制定填补了有色金属行业数显半径测量仪的校准空白，属于国内首创，水平达到国内领先。</w:t>
      </w:r>
    </w:p>
    <w:p w14:paraId="71969F7F">
      <w:pPr>
        <w:pStyle w:val="2"/>
        <w:spacing w:before="156" w:after="156"/>
        <w:rPr>
          <w:b w:val="0"/>
          <w:bCs w:val="0"/>
        </w:rPr>
      </w:pPr>
      <w:r>
        <w:rPr>
          <w:rFonts w:hint="eastAsia"/>
          <w:b w:val="0"/>
          <w:bCs w:val="0"/>
        </w:rPr>
        <w:t>五、与有关的现行法律、法规和强制性国家标准的关系</w:t>
      </w:r>
    </w:p>
    <w:p w14:paraId="5EAA1460">
      <w:pPr>
        <w:pStyle w:val="58"/>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14:paraId="7EB53993">
      <w:pPr>
        <w:pStyle w:val="2"/>
        <w:spacing w:before="156" w:after="156"/>
        <w:rPr>
          <w:b w:val="0"/>
          <w:bCs w:val="0"/>
        </w:rPr>
      </w:pPr>
      <w:bookmarkStart w:id="86" w:name="_Toc464728973"/>
      <w:r>
        <w:rPr>
          <w:rFonts w:hint="eastAsia"/>
          <w:b w:val="0"/>
          <w:bCs w:val="0"/>
        </w:rPr>
        <w:t>六、规范中涉及的专利或知识产权说明</w:t>
      </w:r>
      <w:bookmarkEnd w:id="86"/>
    </w:p>
    <w:p w14:paraId="375FA81C">
      <w:pPr>
        <w:pStyle w:val="58"/>
        <w:spacing w:line="300" w:lineRule="auto"/>
        <w:ind w:firstLineChars="0"/>
        <w:contextualSpacing/>
        <w:rPr>
          <w:szCs w:val="21"/>
        </w:rPr>
      </w:pPr>
      <w:bookmarkStart w:id="87" w:name="_Toc464728974"/>
      <w:r>
        <w:rPr>
          <w:rFonts w:hint="eastAsia"/>
          <w:szCs w:val="21"/>
        </w:rPr>
        <w:t>无。</w:t>
      </w:r>
    </w:p>
    <w:p w14:paraId="0AED4B6C">
      <w:pPr>
        <w:pStyle w:val="2"/>
        <w:spacing w:before="156" w:after="156"/>
        <w:rPr>
          <w:b w:val="0"/>
          <w:bCs w:val="0"/>
        </w:rPr>
      </w:pPr>
      <w:r>
        <w:rPr>
          <w:rFonts w:hint="eastAsia"/>
          <w:b w:val="0"/>
          <w:bCs w:val="0"/>
        </w:rPr>
        <w:t>七、重大分歧意见的处理经过和依据</w:t>
      </w:r>
      <w:bookmarkEnd w:id="87"/>
    </w:p>
    <w:p w14:paraId="2D47E0F5">
      <w:pPr>
        <w:pStyle w:val="58"/>
        <w:spacing w:line="300" w:lineRule="auto"/>
        <w:ind w:firstLine="420"/>
        <w:contextualSpacing/>
        <w:rPr>
          <w:szCs w:val="21"/>
        </w:rPr>
      </w:pPr>
      <w:r>
        <w:rPr>
          <w:rFonts w:hint="eastAsia"/>
          <w:szCs w:val="21"/>
        </w:rPr>
        <w:t>无。</w:t>
      </w:r>
    </w:p>
    <w:p w14:paraId="3B45CFC8">
      <w:pPr>
        <w:pStyle w:val="2"/>
        <w:spacing w:before="156" w:after="156"/>
        <w:rPr>
          <w:b w:val="0"/>
          <w:bCs w:val="0"/>
        </w:rPr>
      </w:pPr>
      <w:r>
        <w:rPr>
          <w:rFonts w:hint="eastAsia"/>
          <w:b w:val="0"/>
          <w:bCs w:val="0"/>
        </w:rPr>
        <w:t>八、规范作为国家（或行业）计量技术规范的建议</w:t>
      </w:r>
    </w:p>
    <w:p w14:paraId="1DFE1A16">
      <w:pPr>
        <w:adjustRightInd w:val="0"/>
        <w:spacing w:line="360" w:lineRule="auto"/>
        <w:ind w:firstLine="420" w:firstLineChars="200"/>
        <w:rPr>
          <w:rFonts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14:paraId="0C71A495">
      <w:pPr>
        <w:pStyle w:val="2"/>
        <w:spacing w:before="156" w:after="156"/>
        <w:rPr>
          <w:b w:val="0"/>
          <w:bCs w:val="0"/>
        </w:rPr>
      </w:pPr>
      <w:bookmarkStart w:id="88" w:name="_Toc464728976"/>
      <w:r>
        <w:rPr>
          <w:rFonts w:hint="eastAsia"/>
          <w:b w:val="0"/>
          <w:bCs w:val="0"/>
        </w:rPr>
        <w:t>九、贯彻规范的要求和措施建议</w:t>
      </w:r>
      <w:bookmarkEnd w:id="88"/>
    </w:p>
    <w:p w14:paraId="2AC0D7F1">
      <w:pPr>
        <w:pStyle w:val="58"/>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0B4D075F">
      <w:pPr>
        <w:pStyle w:val="2"/>
        <w:spacing w:before="156" w:after="156"/>
        <w:rPr>
          <w:b w:val="0"/>
          <w:bCs w:val="0"/>
        </w:rPr>
      </w:pPr>
      <w:bookmarkStart w:id="89" w:name="_Toc464728977"/>
      <w:r>
        <w:rPr>
          <w:rFonts w:hint="eastAsia"/>
          <w:b w:val="0"/>
          <w:bCs w:val="0"/>
        </w:rPr>
        <w:t>十、废止现行有关规范的建议</w:t>
      </w:r>
      <w:bookmarkEnd w:id="89"/>
    </w:p>
    <w:p w14:paraId="6A7777C1">
      <w:pPr>
        <w:pStyle w:val="58"/>
        <w:spacing w:line="300" w:lineRule="auto"/>
        <w:ind w:firstLine="420"/>
        <w:contextualSpacing/>
        <w:rPr>
          <w:szCs w:val="21"/>
        </w:rPr>
      </w:pPr>
      <w:r>
        <w:rPr>
          <w:rFonts w:hint="eastAsia"/>
          <w:szCs w:val="21"/>
        </w:rPr>
        <w:t>无。</w:t>
      </w:r>
    </w:p>
    <w:p w14:paraId="5DEB540C">
      <w:pPr>
        <w:pStyle w:val="2"/>
        <w:spacing w:before="156" w:after="156"/>
        <w:rPr>
          <w:b w:val="0"/>
          <w:bCs w:val="0"/>
        </w:rPr>
      </w:pPr>
      <w:r>
        <w:rPr>
          <w:rFonts w:hint="eastAsia"/>
          <w:b w:val="0"/>
          <w:bCs w:val="0"/>
        </w:rPr>
        <w:t>十一、预期效果</w:t>
      </w:r>
    </w:p>
    <w:p w14:paraId="45ACFA99">
      <w:pPr>
        <w:ind w:firstLine="420" w:firstLineChars="200"/>
        <w:rPr>
          <w:rFonts w:ascii="宋体" w:hAnsi="宋体"/>
          <w:kern w:val="0"/>
          <w:szCs w:val="21"/>
        </w:rPr>
      </w:pPr>
      <w:r>
        <w:rPr>
          <w:rFonts w:hint="eastAsia" w:ascii="宋体" w:hAnsi="宋体"/>
          <w:kern w:val="0"/>
          <w:szCs w:val="21"/>
        </w:rPr>
        <w:t>本</w:t>
      </w:r>
      <w:r>
        <w:rPr>
          <w:rFonts w:ascii="宋体" w:hAnsi="宋体"/>
          <w:kern w:val="0"/>
          <w:szCs w:val="21"/>
        </w:rPr>
        <w:t>规范</w:t>
      </w:r>
      <w:r>
        <w:rPr>
          <w:rFonts w:hint="eastAsia" w:ascii="宋体" w:hAnsi="宋体"/>
          <w:kern w:val="0"/>
          <w:szCs w:val="21"/>
        </w:rPr>
        <w:t>发布后，能</w:t>
      </w:r>
      <w:r>
        <w:rPr>
          <w:rFonts w:ascii="宋体" w:hAnsi="宋体"/>
          <w:kern w:val="0"/>
          <w:szCs w:val="21"/>
        </w:rPr>
        <w:t>解决</w:t>
      </w:r>
      <w:r>
        <w:rPr>
          <w:rFonts w:hint="eastAsia" w:ascii="宋体" w:hAnsi="宋体"/>
          <w:kern w:val="0"/>
          <w:szCs w:val="21"/>
        </w:rPr>
        <w:t>数显半径测量仪</w:t>
      </w:r>
      <w:r>
        <w:rPr>
          <w:rFonts w:ascii="宋体" w:hAnsi="宋体"/>
          <w:kern w:val="0"/>
          <w:szCs w:val="21"/>
        </w:rPr>
        <w:t>校准方法不统一、校准方法差异化、计量标准技术指标不明确、校准点的选择不统一、校准方法未规定等问题，弥补</w:t>
      </w:r>
      <w:r>
        <w:rPr>
          <w:rFonts w:hint="eastAsia" w:ascii="宋体" w:hAnsi="宋体"/>
          <w:kern w:val="0"/>
          <w:szCs w:val="21"/>
        </w:rPr>
        <w:t>数显半径测量仪</w:t>
      </w:r>
      <w:r>
        <w:rPr>
          <w:rFonts w:ascii="宋体" w:hAnsi="宋体"/>
          <w:kern w:val="0"/>
          <w:szCs w:val="21"/>
        </w:rPr>
        <w:t>校准的空白，</w:t>
      </w:r>
      <w:r>
        <w:rPr>
          <w:rFonts w:hint="eastAsia" w:ascii="宋体" w:hAnsi="宋体"/>
          <w:kern w:val="0"/>
          <w:szCs w:val="21"/>
        </w:rPr>
        <w:t>为保证圆弧半径测试结果的准确可靠</w:t>
      </w:r>
      <w:r>
        <w:rPr>
          <w:rFonts w:ascii="宋体" w:hAnsi="宋体"/>
          <w:kern w:val="0"/>
          <w:szCs w:val="21"/>
        </w:rPr>
        <w:t>提供保证，从而提高</w:t>
      </w:r>
      <w:r>
        <w:rPr>
          <w:rFonts w:hint="eastAsia" w:ascii="宋体" w:hAnsi="宋体"/>
          <w:kern w:val="0"/>
          <w:szCs w:val="21"/>
        </w:rPr>
        <w:t>圆弧半径</w:t>
      </w:r>
      <w:r>
        <w:rPr>
          <w:rFonts w:ascii="宋体" w:hAnsi="宋体"/>
          <w:kern w:val="0"/>
          <w:szCs w:val="21"/>
        </w:rPr>
        <w:t>精度的准确性。</w:t>
      </w:r>
    </w:p>
    <w:p w14:paraId="63A9F9D7">
      <w:pPr>
        <w:pStyle w:val="2"/>
        <w:spacing w:before="156" w:after="156"/>
        <w:rPr>
          <w:b w:val="0"/>
          <w:bCs w:val="0"/>
        </w:rPr>
      </w:pPr>
      <w:r>
        <w:rPr>
          <w:rFonts w:hint="eastAsia"/>
          <w:b w:val="0"/>
          <w:bCs w:val="0"/>
        </w:rPr>
        <w:t>十一、其他应予说明的事项</w:t>
      </w:r>
    </w:p>
    <w:p w14:paraId="0E47403C">
      <w:pPr>
        <w:pStyle w:val="58"/>
        <w:spacing w:line="300" w:lineRule="auto"/>
        <w:ind w:firstLineChars="0"/>
        <w:contextualSpacing/>
        <w:rPr>
          <w:szCs w:val="21"/>
        </w:rPr>
      </w:pPr>
      <w:r>
        <w:rPr>
          <w:rFonts w:hint="eastAsia"/>
          <w:szCs w:val="21"/>
        </w:rPr>
        <w:t>无。</w:t>
      </w:r>
    </w:p>
    <w:p w14:paraId="377E61DF">
      <w:pPr>
        <w:pStyle w:val="58"/>
        <w:spacing w:line="300" w:lineRule="auto"/>
        <w:ind w:firstLineChars="0"/>
        <w:contextualSpacing/>
        <w:rPr>
          <w:szCs w:val="21"/>
        </w:rPr>
      </w:pPr>
    </w:p>
    <w:p w14:paraId="4CD69132">
      <w:pPr>
        <w:pStyle w:val="58"/>
        <w:spacing w:line="300" w:lineRule="auto"/>
        <w:ind w:firstLineChars="0"/>
        <w:contextualSpacing/>
        <w:jc w:val="right"/>
        <w:rPr>
          <w:rFonts w:ascii="Times New Roman" w:hAnsi="Times New Roman" w:eastAsia="黑体"/>
        </w:rPr>
      </w:pPr>
      <w:r>
        <w:rPr>
          <w:rFonts w:ascii="Times New Roman" w:hAnsi="Times New Roman" w:eastAsia="黑体"/>
        </w:rPr>
        <w:t xml:space="preserve"> </w:t>
      </w:r>
    </w:p>
    <w:p w14:paraId="17E56F33">
      <w:pPr>
        <w:pStyle w:val="58"/>
        <w:spacing w:line="300" w:lineRule="auto"/>
        <w:ind w:firstLineChars="0"/>
        <w:contextualSpacing/>
        <w:jc w:val="right"/>
        <w:rPr>
          <w:rFonts w:ascii="Times New Roman" w:hAnsi="Times New Roman" w:eastAsia="黑体"/>
        </w:rPr>
      </w:pPr>
    </w:p>
    <w:p w14:paraId="333D52C1">
      <w:pPr>
        <w:pStyle w:val="58"/>
        <w:spacing w:line="300" w:lineRule="auto"/>
        <w:ind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int="eastAsia" w:ascii="Times New Roman" w:hAnsi="Times New Roman"/>
          <w:szCs w:val="21"/>
        </w:rPr>
        <w:t>数显半径测量仪</w:t>
      </w:r>
      <w:r>
        <w:rPr>
          <w:rFonts w:ascii="Times New Roman" w:hAnsi="Times New Roman"/>
          <w:szCs w:val="21"/>
        </w:rPr>
        <w:t>校准规范</w:t>
      </w:r>
      <w:r>
        <w:rPr>
          <w:rFonts w:ascii="Times New Roman" w:hAnsi="Times New Roman" w:eastAsia="方正行楷简体"/>
          <w:szCs w:val="21"/>
        </w:rPr>
        <w:t xml:space="preserve">》编制组  </w:t>
      </w:r>
    </w:p>
    <w:p w14:paraId="445483C9">
      <w:pPr>
        <w:pStyle w:val="58"/>
        <w:spacing w:line="300" w:lineRule="auto"/>
        <w:ind w:firstLineChars="0"/>
        <w:contextualSpacing/>
        <w:jc w:val="right"/>
        <w:rPr>
          <w:szCs w:val="21"/>
        </w:rPr>
      </w:pPr>
      <w:r>
        <w:rPr>
          <w:rFonts w:ascii="Times New Roman" w:hAnsi="Times New Roman" w:eastAsia="方正行楷简体"/>
          <w:szCs w:val="21"/>
        </w:rPr>
        <w:t>202</w:t>
      </w:r>
      <w:r>
        <w:rPr>
          <w:rFonts w:hint="eastAsia" w:ascii="Times New Roman" w:hAnsi="Times New Roman" w:eastAsia="方正行楷简体"/>
          <w:szCs w:val="21"/>
          <w:lang w:val="en-US" w:eastAsia="zh-CN"/>
        </w:rPr>
        <w:t>6</w:t>
      </w:r>
      <w:r>
        <w:rPr>
          <w:rFonts w:ascii="Times New Roman" w:hAnsi="Times New Roman" w:eastAsia="方正行楷简体"/>
          <w:szCs w:val="21"/>
        </w:rPr>
        <w:t>年</w:t>
      </w:r>
      <w:r>
        <w:rPr>
          <w:rFonts w:hint="eastAsia" w:ascii="Times New Roman" w:hAnsi="Times New Roman" w:eastAsia="方正行楷简体"/>
          <w:szCs w:val="21"/>
          <w:lang w:val="en-US" w:eastAsia="zh-CN"/>
        </w:rPr>
        <w:t>3</w:t>
      </w:r>
      <w:r>
        <w:rPr>
          <w:rFonts w:ascii="Times New Roman" w:hAnsi="Times New Roman" w:eastAsia="方正行楷简体"/>
          <w:szCs w:val="21"/>
        </w:rPr>
        <w:t>月</w:t>
      </w:r>
      <w:r>
        <w:rPr>
          <w:rFonts w:hint="eastAsia" w:ascii="Times New Roman" w:hAnsi="Times New Roman" w:eastAsia="方正行楷简体"/>
          <w:szCs w:val="21"/>
          <w:lang w:val="en-US" w:eastAsia="zh-CN"/>
        </w:rPr>
        <w:t>13</w:t>
      </w:r>
      <w:bookmarkStart w:id="91" w:name="_GoBack"/>
      <w:bookmarkEnd w:id="91"/>
      <w:r>
        <w:rPr>
          <w:rFonts w:ascii="Times New Roman" w:hAnsi="Times New Roman" w:eastAsia="方正行楷简体"/>
          <w:szCs w:val="21"/>
        </w:rPr>
        <w:t>日</w:t>
      </w:r>
    </w:p>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6AE02">
    <w:pPr>
      <w:pStyle w:val="73"/>
      <w:jc w:val="center"/>
      <w:rPr>
        <w:rStyle w:val="45"/>
      </w:rPr>
    </w:pPr>
    <w:r>
      <w:fldChar w:fldCharType="begin"/>
    </w:r>
    <w:r>
      <w:rPr>
        <w:rStyle w:val="45"/>
      </w:rPr>
      <w:instrText xml:space="preserve">PAGE  </w:instrText>
    </w:r>
    <w:r>
      <w:fldChar w:fldCharType="separate"/>
    </w:r>
    <w:r>
      <w:rPr>
        <w:rStyle w:val="45"/>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0400">
    <w:pPr>
      <w:pStyle w:val="30"/>
      <w:jc w:val="both"/>
    </w:pPr>
  </w:p>
  <w:p w14:paraId="640672B8">
    <w:pPr>
      <w:pStyle w:val="30"/>
      <w:jc w:val="center"/>
      <w:rPr>
        <w:rFonts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10CC">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E413860"/>
    <w:multiLevelType w:val="multilevel"/>
    <w:tmpl w:val="2E41386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69374D"/>
    <w:multiLevelType w:val="multilevel"/>
    <w:tmpl w:val="3C69374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MmM4NGFhNmY3YzQ0YTgyZmE4Mzc3ODI5ODE3MjkifQ=="/>
  </w:docVars>
  <w:rsids>
    <w:rsidRoot w:val="00693668"/>
    <w:rsid w:val="000038F0"/>
    <w:rsid w:val="00004648"/>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4878"/>
    <w:rsid w:val="000971D5"/>
    <w:rsid w:val="000C1F88"/>
    <w:rsid w:val="000C772A"/>
    <w:rsid w:val="000F15FB"/>
    <w:rsid w:val="000F714B"/>
    <w:rsid w:val="00100912"/>
    <w:rsid w:val="00104CBC"/>
    <w:rsid w:val="001164A0"/>
    <w:rsid w:val="0012155C"/>
    <w:rsid w:val="00122AD8"/>
    <w:rsid w:val="00136813"/>
    <w:rsid w:val="0014120B"/>
    <w:rsid w:val="00150062"/>
    <w:rsid w:val="00151323"/>
    <w:rsid w:val="001527ED"/>
    <w:rsid w:val="001859F4"/>
    <w:rsid w:val="0019431C"/>
    <w:rsid w:val="001A4F75"/>
    <w:rsid w:val="001C13CE"/>
    <w:rsid w:val="001C7BB8"/>
    <w:rsid w:val="001D0501"/>
    <w:rsid w:val="001E0288"/>
    <w:rsid w:val="001E09C6"/>
    <w:rsid w:val="00235374"/>
    <w:rsid w:val="00244291"/>
    <w:rsid w:val="00247A7D"/>
    <w:rsid w:val="00255EB1"/>
    <w:rsid w:val="002732FF"/>
    <w:rsid w:val="00275F7A"/>
    <w:rsid w:val="00280BE9"/>
    <w:rsid w:val="002849BB"/>
    <w:rsid w:val="00291548"/>
    <w:rsid w:val="00293085"/>
    <w:rsid w:val="002977EC"/>
    <w:rsid w:val="002A1305"/>
    <w:rsid w:val="002D0634"/>
    <w:rsid w:val="002D2103"/>
    <w:rsid w:val="002E6C19"/>
    <w:rsid w:val="002F4E61"/>
    <w:rsid w:val="003012C4"/>
    <w:rsid w:val="00305CB9"/>
    <w:rsid w:val="00307A90"/>
    <w:rsid w:val="00314BA2"/>
    <w:rsid w:val="00322078"/>
    <w:rsid w:val="0032338B"/>
    <w:rsid w:val="0033057E"/>
    <w:rsid w:val="003318C1"/>
    <w:rsid w:val="00335FEC"/>
    <w:rsid w:val="0034125E"/>
    <w:rsid w:val="00352269"/>
    <w:rsid w:val="00366AF1"/>
    <w:rsid w:val="00373555"/>
    <w:rsid w:val="00397407"/>
    <w:rsid w:val="003B0148"/>
    <w:rsid w:val="003C2376"/>
    <w:rsid w:val="003C685D"/>
    <w:rsid w:val="003E10E7"/>
    <w:rsid w:val="003E237F"/>
    <w:rsid w:val="003F2C11"/>
    <w:rsid w:val="00400BF2"/>
    <w:rsid w:val="0040777C"/>
    <w:rsid w:val="00411DC2"/>
    <w:rsid w:val="00415481"/>
    <w:rsid w:val="004257BB"/>
    <w:rsid w:val="00425D1F"/>
    <w:rsid w:val="004265F2"/>
    <w:rsid w:val="004508BB"/>
    <w:rsid w:val="00455FE9"/>
    <w:rsid w:val="0046211B"/>
    <w:rsid w:val="00464019"/>
    <w:rsid w:val="00472194"/>
    <w:rsid w:val="00482AD2"/>
    <w:rsid w:val="0048362B"/>
    <w:rsid w:val="00497039"/>
    <w:rsid w:val="004A27E5"/>
    <w:rsid w:val="004B1DE2"/>
    <w:rsid w:val="004B3BD5"/>
    <w:rsid w:val="004C6FDF"/>
    <w:rsid w:val="004E1361"/>
    <w:rsid w:val="004E4C45"/>
    <w:rsid w:val="004E5080"/>
    <w:rsid w:val="00521FA9"/>
    <w:rsid w:val="0052761B"/>
    <w:rsid w:val="005305AE"/>
    <w:rsid w:val="00531FA0"/>
    <w:rsid w:val="00536268"/>
    <w:rsid w:val="00536BFA"/>
    <w:rsid w:val="005535AA"/>
    <w:rsid w:val="0055489A"/>
    <w:rsid w:val="00556AC4"/>
    <w:rsid w:val="005608DA"/>
    <w:rsid w:val="00567271"/>
    <w:rsid w:val="005709C3"/>
    <w:rsid w:val="0059121E"/>
    <w:rsid w:val="005B3A80"/>
    <w:rsid w:val="005B5BAB"/>
    <w:rsid w:val="005C0BE7"/>
    <w:rsid w:val="005C2448"/>
    <w:rsid w:val="005C769A"/>
    <w:rsid w:val="005E67C7"/>
    <w:rsid w:val="005F42DD"/>
    <w:rsid w:val="00601ADF"/>
    <w:rsid w:val="00606487"/>
    <w:rsid w:val="00623451"/>
    <w:rsid w:val="00624A40"/>
    <w:rsid w:val="00625140"/>
    <w:rsid w:val="00627726"/>
    <w:rsid w:val="00633572"/>
    <w:rsid w:val="00636E32"/>
    <w:rsid w:val="00637AB5"/>
    <w:rsid w:val="00644C6D"/>
    <w:rsid w:val="006510D6"/>
    <w:rsid w:val="00660A77"/>
    <w:rsid w:val="00667FDB"/>
    <w:rsid w:val="00670276"/>
    <w:rsid w:val="00672533"/>
    <w:rsid w:val="006738AA"/>
    <w:rsid w:val="006820CD"/>
    <w:rsid w:val="00683E68"/>
    <w:rsid w:val="00686643"/>
    <w:rsid w:val="0069243E"/>
    <w:rsid w:val="00693668"/>
    <w:rsid w:val="006B3185"/>
    <w:rsid w:val="006B43C4"/>
    <w:rsid w:val="006C188A"/>
    <w:rsid w:val="006C2258"/>
    <w:rsid w:val="006C2AF8"/>
    <w:rsid w:val="006D1B98"/>
    <w:rsid w:val="006D7E99"/>
    <w:rsid w:val="006E11F0"/>
    <w:rsid w:val="00707309"/>
    <w:rsid w:val="00724E03"/>
    <w:rsid w:val="00733C71"/>
    <w:rsid w:val="00735A75"/>
    <w:rsid w:val="007373AB"/>
    <w:rsid w:val="00740702"/>
    <w:rsid w:val="00743BA2"/>
    <w:rsid w:val="00743BAC"/>
    <w:rsid w:val="00746BAC"/>
    <w:rsid w:val="00750ED3"/>
    <w:rsid w:val="00764D0A"/>
    <w:rsid w:val="00765621"/>
    <w:rsid w:val="007901C0"/>
    <w:rsid w:val="007902D1"/>
    <w:rsid w:val="00796CF0"/>
    <w:rsid w:val="007A3BEE"/>
    <w:rsid w:val="007C15E3"/>
    <w:rsid w:val="007D5B84"/>
    <w:rsid w:val="007E56C9"/>
    <w:rsid w:val="00804BC8"/>
    <w:rsid w:val="00820F69"/>
    <w:rsid w:val="00824B04"/>
    <w:rsid w:val="00826DAA"/>
    <w:rsid w:val="008461B6"/>
    <w:rsid w:val="0085122B"/>
    <w:rsid w:val="00854EC4"/>
    <w:rsid w:val="0086056F"/>
    <w:rsid w:val="0086378F"/>
    <w:rsid w:val="008754EE"/>
    <w:rsid w:val="00876D87"/>
    <w:rsid w:val="008B22FC"/>
    <w:rsid w:val="008C672E"/>
    <w:rsid w:val="008E415E"/>
    <w:rsid w:val="008F5DCA"/>
    <w:rsid w:val="009052E4"/>
    <w:rsid w:val="009111C1"/>
    <w:rsid w:val="00913ED1"/>
    <w:rsid w:val="00930DB4"/>
    <w:rsid w:val="00933D2C"/>
    <w:rsid w:val="00946B7D"/>
    <w:rsid w:val="009513C5"/>
    <w:rsid w:val="009542EF"/>
    <w:rsid w:val="00954DA4"/>
    <w:rsid w:val="00956D1D"/>
    <w:rsid w:val="00967A11"/>
    <w:rsid w:val="00971240"/>
    <w:rsid w:val="00977A4A"/>
    <w:rsid w:val="009A12AB"/>
    <w:rsid w:val="009B4929"/>
    <w:rsid w:val="009C0597"/>
    <w:rsid w:val="009C2D10"/>
    <w:rsid w:val="009D79FA"/>
    <w:rsid w:val="009E3D09"/>
    <w:rsid w:val="009F420F"/>
    <w:rsid w:val="00A06113"/>
    <w:rsid w:val="00A11A21"/>
    <w:rsid w:val="00A12727"/>
    <w:rsid w:val="00A1378A"/>
    <w:rsid w:val="00A1497C"/>
    <w:rsid w:val="00A15577"/>
    <w:rsid w:val="00A3211C"/>
    <w:rsid w:val="00A363F7"/>
    <w:rsid w:val="00A40E4F"/>
    <w:rsid w:val="00A47FE2"/>
    <w:rsid w:val="00A56163"/>
    <w:rsid w:val="00A662E8"/>
    <w:rsid w:val="00A77511"/>
    <w:rsid w:val="00A7790F"/>
    <w:rsid w:val="00A8043A"/>
    <w:rsid w:val="00A8426B"/>
    <w:rsid w:val="00A86AF0"/>
    <w:rsid w:val="00A87866"/>
    <w:rsid w:val="00AC0924"/>
    <w:rsid w:val="00AD093B"/>
    <w:rsid w:val="00AE0B35"/>
    <w:rsid w:val="00AE47AC"/>
    <w:rsid w:val="00AF7111"/>
    <w:rsid w:val="00B056DA"/>
    <w:rsid w:val="00B05E25"/>
    <w:rsid w:val="00B07D3B"/>
    <w:rsid w:val="00B27476"/>
    <w:rsid w:val="00B369B6"/>
    <w:rsid w:val="00B43636"/>
    <w:rsid w:val="00B45E9C"/>
    <w:rsid w:val="00B53389"/>
    <w:rsid w:val="00B60FA7"/>
    <w:rsid w:val="00B614F2"/>
    <w:rsid w:val="00B706F7"/>
    <w:rsid w:val="00B7116A"/>
    <w:rsid w:val="00B75677"/>
    <w:rsid w:val="00B817F8"/>
    <w:rsid w:val="00B911AF"/>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3BDD"/>
    <w:rsid w:val="00C5550F"/>
    <w:rsid w:val="00C57BAB"/>
    <w:rsid w:val="00C66C85"/>
    <w:rsid w:val="00C70EA3"/>
    <w:rsid w:val="00C7537E"/>
    <w:rsid w:val="00C8056F"/>
    <w:rsid w:val="00C81A49"/>
    <w:rsid w:val="00C86EE5"/>
    <w:rsid w:val="00C9548E"/>
    <w:rsid w:val="00CA6E6C"/>
    <w:rsid w:val="00CB3949"/>
    <w:rsid w:val="00CB750D"/>
    <w:rsid w:val="00CB7CDF"/>
    <w:rsid w:val="00CC3C55"/>
    <w:rsid w:val="00CC3DDD"/>
    <w:rsid w:val="00CC491D"/>
    <w:rsid w:val="00CC52E3"/>
    <w:rsid w:val="00CD2D13"/>
    <w:rsid w:val="00CD759E"/>
    <w:rsid w:val="00CF3CAA"/>
    <w:rsid w:val="00D01726"/>
    <w:rsid w:val="00D16568"/>
    <w:rsid w:val="00D17115"/>
    <w:rsid w:val="00D23221"/>
    <w:rsid w:val="00D436F5"/>
    <w:rsid w:val="00D6471A"/>
    <w:rsid w:val="00D81C1D"/>
    <w:rsid w:val="00D85454"/>
    <w:rsid w:val="00D86648"/>
    <w:rsid w:val="00D903E4"/>
    <w:rsid w:val="00DA22D1"/>
    <w:rsid w:val="00DB4F65"/>
    <w:rsid w:val="00DD6769"/>
    <w:rsid w:val="00DD7D39"/>
    <w:rsid w:val="00DE144C"/>
    <w:rsid w:val="00E002FF"/>
    <w:rsid w:val="00E019C6"/>
    <w:rsid w:val="00E15312"/>
    <w:rsid w:val="00E179CE"/>
    <w:rsid w:val="00E22714"/>
    <w:rsid w:val="00E23465"/>
    <w:rsid w:val="00E31A7B"/>
    <w:rsid w:val="00E32480"/>
    <w:rsid w:val="00E71DCC"/>
    <w:rsid w:val="00E82471"/>
    <w:rsid w:val="00E911BC"/>
    <w:rsid w:val="00EB2994"/>
    <w:rsid w:val="00EC149D"/>
    <w:rsid w:val="00ED5F91"/>
    <w:rsid w:val="00EE5988"/>
    <w:rsid w:val="00F10C9E"/>
    <w:rsid w:val="00F32186"/>
    <w:rsid w:val="00F3447A"/>
    <w:rsid w:val="00F379EC"/>
    <w:rsid w:val="00F45BA8"/>
    <w:rsid w:val="00F507FB"/>
    <w:rsid w:val="00F5644A"/>
    <w:rsid w:val="00F7167F"/>
    <w:rsid w:val="00F71F31"/>
    <w:rsid w:val="00F80059"/>
    <w:rsid w:val="00F812C6"/>
    <w:rsid w:val="00F91E84"/>
    <w:rsid w:val="00FA4CA4"/>
    <w:rsid w:val="00FA6198"/>
    <w:rsid w:val="00FC7BF3"/>
    <w:rsid w:val="00FD235D"/>
    <w:rsid w:val="00FD7FCA"/>
    <w:rsid w:val="00FE0C1C"/>
    <w:rsid w:val="00FE17CA"/>
    <w:rsid w:val="00FE1932"/>
    <w:rsid w:val="00FE1A74"/>
    <w:rsid w:val="00FF5630"/>
    <w:rsid w:val="00FF6C68"/>
    <w:rsid w:val="02F703B0"/>
    <w:rsid w:val="04731467"/>
    <w:rsid w:val="05F125DB"/>
    <w:rsid w:val="066D6DCC"/>
    <w:rsid w:val="06716757"/>
    <w:rsid w:val="07DC0ED5"/>
    <w:rsid w:val="0904785D"/>
    <w:rsid w:val="09573966"/>
    <w:rsid w:val="0A781AE7"/>
    <w:rsid w:val="0CB9457A"/>
    <w:rsid w:val="0CCA0314"/>
    <w:rsid w:val="0D064911"/>
    <w:rsid w:val="0D8022CA"/>
    <w:rsid w:val="0DE11BD9"/>
    <w:rsid w:val="0E6513CA"/>
    <w:rsid w:val="0ECE75CD"/>
    <w:rsid w:val="0F9D3A7F"/>
    <w:rsid w:val="11471F43"/>
    <w:rsid w:val="11902A8A"/>
    <w:rsid w:val="13877F6B"/>
    <w:rsid w:val="13B1031D"/>
    <w:rsid w:val="14317D7D"/>
    <w:rsid w:val="146777C9"/>
    <w:rsid w:val="14FE0CE9"/>
    <w:rsid w:val="158E7867"/>
    <w:rsid w:val="162A7F08"/>
    <w:rsid w:val="16A67923"/>
    <w:rsid w:val="174C2AB4"/>
    <w:rsid w:val="17E64F25"/>
    <w:rsid w:val="18D93E46"/>
    <w:rsid w:val="1C803B53"/>
    <w:rsid w:val="1D671CC9"/>
    <w:rsid w:val="1E713A82"/>
    <w:rsid w:val="1F5A1A25"/>
    <w:rsid w:val="1F714057"/>
    <w:rsid w:val="1FAB00D4"/>
    <w:rsid w:val="1FD95F1B"/>
    <w:rsid w:val="208E75B3"/>
    <w:rsid w:val="218A16C9"/>
    <w:rsid w:val="21BE3478"/>
    <w:rsid w:val="21D04080"/>
    <w:rsid w:val="22423DCF"/>
    <w:rsid w:val="225C10E7"/>
    <w:rsid w:val="23A74BBD"/>
    <w:rsid w:val="23D43A72"/>
    <w:rsid w:val="277C51D7"/>
    <w:rsid w:val="27BD3A55"/>
    <w:rsid w:val="28A00A66"/>
    <w:rsid w:val="29846CB3"/>
    <w:rsid w:val="29E46257"/>
    <w:rsid w:val="2A4110A1"/>
    <w:rsid w:val="2AB85E2C"/>
    <w:rsid w:val="2C147130"/>
    <w:rsid w:val="2C281A12"/>
    <w:rsid w:val="2E772BB0"/>
    <w:rsid w:val="2F656952"/>
    <w:rsid w:val="2FBE527A"/>
    <w:rsid w:val="31B57A58"/>
    <w:rsid w:val="325F3B1A"/>
    <w:rsid w:val="34745E77"/>
    <w:rsid w:val="34CD5E22"/>
    <w:rsid w:val="36AE69D8"/>
    <w:rsid w:val="372B4853"/>
    <w:rsid w:val="386B205C"/>
    <w:rsid w:val="38B6063A"/>
    <w:rsid w:val="39E63C45"/>
    <w:rsid w:val="3A910669"/>
    <w:rsid w:val="3BFA1058"/>
    <w:rsid w:val="3E49149C"/>
    <w:rsid w:val="3EBA5BC3"/>
    <w:rsid w:val="3FE25D82"/>
    <w:rsid w:val="4125037A"/>
    <w:rsid w:val="414956DF"/>
    <w:rsid w:val="420E5348"/>
    <w:rsid w:val="425F603B"/>
    <w:rsid w:val="4286740D"/>
    <w:rsid w:val="43A67182"/>
    <w:rsid w:val="44100726"/>
    <w:rsid w:val="44347A9B"/>
    <w:rsid w:val="44CE02A0"/>
    <w:rsid w:val="456D3D97"/>
    <w:rsid w:val="45BC5246"/>
    <w:rsid w:val="45E87405"/>
    <w:rsid w:val="461A1258"/>
    <w:rsid w:val="46474D73"/>
    <w:rsid w:val="465C4787"/>
    <w:rsid w:val="473A498E"/>
    <w:rsid w:val="47552183"/>
    <w:rsid w:val="47CD5AA7"/>
    <w:rsid w:val="48211129"/>
    <w:rsid w:val="486B565D"/>
    <w:rsid w:val="48BE5C4B"/>
    <w:rsid w:val="49214E6F"/>
    <w:rsid w:val="4AE6291D"/>
    <w:rsid w:val="4AEA403C"/>
    <w:rsid w:val="4B8C5809"/>
    <w:rsid w:val="4B933E1A"/>
    <w:rsid w:val="4D432356"/>
    <w:rsid w:val="4E3430C7"/>
    <w:rsid w:val="4FA7278A"/>
    <w:rsid w:val="50011CA3"/>
    <w:rsid w:val="51051BD9"/>
    <w:rsid w:val="51442F7B"/>
    <w:rsid w:val="52A97DDB"/>
    <w:rsid w:val="55152B55"/>
    <w:rsid w:val="56154CA2"/>
    <w:rsid w:val="56A00E5A"/>
    <w:rsid w:val="57676F98"/>
    <w:rsid w:val="57C50E57"/>
    <w:rsid w:val="58DA5965"/>
    <w:rsid w:val="590A235B"/>
    <w:rsid w:val="5A931503"/>
    <w:rsid w:val="5A971C98"/>
    <w:rsid w:val="5AC42DA1"/>
    <w:rsid w:val="5AFA5C95"/>
    <w:rsid w:val="5C2C4E1D"/>
    <w:rsid w:val="5CDE078E"/>
    <w:rsid w:val="5DC655CC"/>
    <w:rsid w:val="5EE663CE"/>
    <w:rsid w:val="5F776EED"/>
    <w:rsid w:val="605176D9"/>
    <w:rsid w:val="61690122"/>
    <w:rsid w:val="62B34EBF"/>
    <w:rsid w:val="63F828E6"/>
    <w:rsid w:val="654D6460"/>
    <w:rsid w:val="6760797E"/>
    <w:rsid w:val="694F496D"/>
    <w:rsid w:val="69BC4907"/>
    <w:rsid w:val="6AB57C02"/>
    <w:rsid w:val="6AE574EF"/>
    <w:rsid w:val="6AF7022D"/>
    <w:rsid w:val="6B27051F"/>
    <w:rsid w:val="6B753BDA"/>
    <w:rsid w:val="6B770841"/>
    <w:rsid w:val="6D281A14"/>
    <w:rsid w:val="6E8A0C2B"/>
    <w:rsid w:val="6E9A1846"/>
    <w:rsid w:val="6EF60757"/>
    <w:rsid w:val="70757340"/>
    <w:rsid w:val="70A61265"/>
    <w:rsid w:val="70FA146A"/>
    <w:rsid w:val="710228B1"/>
    <w:rsid w:val="71EA47ED"/>
    <w:rsid w:val="73A7009A"/>
    <w:rsid w:val="73B95B2E"/>
    <w:rsid w:val="74130018"/>
    <w:rsid w:val="74D35BFF"/>
    <w:rsid w:val="77CE2BEC"/>
    <w:rsid w:val="78931FA4"/>
    <w:rsid w:val="78CE2872"/>
    <w:rsid w:val="78DB44BD"/>
    <w:rsid w:val="795C2ECE"/>
    <w:rsid w:val="7A033CD9"/>
    <w:rsid w:val="7AC757F1"/>
    <w:rsid w:val="7B207CB9"/>
    <w:rsid w:val="7D700DB4"/>
    <w:rsid w:val="7E7E02A4"/>
    <w:rsid w:val="7EF7251E"/>
    <w:rsid w:val="7F720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3"/>
    <w:next w:val="1"/>
    <w:autoRedefine/>
    <w:qFormat/>
    <w:uiPriority w:val="0"/>
  </w:style>
  <w:style w:type="paragraph" w:styleId="13">
    <w:name w:val="toc 5"/>
    <w:basedOn w:val="14"/>
    <w:next w:val="1"/>
    <w:autoRedefine/>
    <w:qFormat/>
    <w:uiPriority w:val="0"/>
  </w:style>
  <w:style w:type="paragraph" w:styleId="14">
    <w:name w:val="toc 4"/>
    <w:basedOn w:val="15"/>
    <w:next w:val="1"/>
    <w:autoRedefine/>
    <w:qFormat/>
    <w:uiPriority w:val="0"/>
  </w:style>
  <w:style w:type="paragraph" w:styleId="15">
    <w:name w:val="toc 3"/>
    <w:basedOn w:val="16"/>
    <w:next w:val="1"/>
    <w:autoRedefine/>
    <w:qFormat/>
    <w:uiPriority w:val="39"/>
  </w:style>
  <w:style w:type="paragraph" w:styleId="16">
    <w:name w:val="toc 2"/>
    <w:basedOn w:val="17"/>
    <w:next w:val="1"/>
    <w:autoRedefine/>
    <w:qFormat/>
    <w:uiPriority w:val="39"/>
  </w:style>
  <w:style w:type="paragraph" w:styleId="17">
    <w:name w:val="toc 1"/>
    <w:next w:val="1"/>
    <w:autoRedefine/>
    <w:qFormat/>
    <w:uiPriority w:val="39"/>
    <w:pPr>
      <w:jc w:val="both"/>
    </w:pPr>
    <w:rPr>
      <w:rFonts w:ascii="宋体" w:hAnsi="Times New Roman" w:eastAsia="宋体" w:cs="Times New Roman"/>
      <w:sz w:val="21"/>
      <w:lang w:val="en-US" w:eastAsia="zh-CN" w:bidi="ar-SA"/>
    </w:rPr>
  </w:style>
  <w:style w:type="paragraph" w:styleId="18">
    <w:name w:val="Normal Indent"/>
    <w:basedOn w:val="1"/>
    <w:qFormat/>
    <w:uiPriority w:val="0"/>
    <w:pPr>
      <w:ind w:firstLine="420"/>
    </w:pPr>
    <w:rPr>
      <w:szCs w:val="20"/>
    </w:rPr>
  </w:style>
  <w:style w:type="paragraph" w:styleId="19">
    <w:name w:val="caption"/>
    <w:basedOn w:val="1"/>
    <w:next w:val="1"/>
    <w:autoRedefine/>
    <w:qFormat/>
    <w:uiPriority w:val="0"/>
    <w:pPr>
      <w:spacing w:before="152" w:after="160"/>
    </w:pPr>
    <w:rPr>
      <w:rFonts w:ascii="Arial" w:hAnsi="Arial" w:eastAsia="黑体"/>
      <w:szCs w:val="20"/>
    </w:rPr>
  </w:style>
  <w:style w:type="paragraph" w:styleId="20">
    <w:name w:val="annotation text"/>
    <w:basedOn w:val="1"/>
    <w:link w:val="288"/>
    <w:autoRedefine/>
    <w:qFormat/>
    <w:uiPriority w:val="0"/>
    <w:pPr>
      <w:jc w:val="left"/>
    </w:pPr>
  </w:style>
  <w:style w:type="paragraph" w:styleId="21">
    <w:name w:val="Body Text"/>
    <w:basedOn w:val="1"/>
    <w:link w:val="283"/>
    <w:autoRedefine/>
    <w:qFormat/>
    <w:uiPriority w:val="0"/>
    <w:pPr>
      <w:spacing w:after="120"/>
    </w:pPr>
  </w:style>
  <w:style w:type="paragraph" w:styleId="22">
    <w:name w:val="Body Text Indent"/>
    <w:basedOn w:val="1"/>
    <w:link w:val="286"/>
    <w:autoRedefine/>
    <w:qFormat/>
    <w:uiPriority w:val="0"/>
    <w:pPr>
      <w:spacing w:line="360" w:lineRule="exact"/>
      <w:ind w:left="420" w:firstLine="480"/>
    </w:pPr>
    <w:rPr>
      <w:sz w:val="24"/>
      <w:szCs w:val="20"/>
    </w:rPr>
  </w:style>
  <w:style w:type="paragraph" w:styleId="23">
    <w:name w:val="HTML Address"/>
    <w:basedOn w:val="1"/>
    <w:autoRedefine/>
    <w:qFormat/>
    <w:uiPriority w:val="0"/>
    <w:rPr>
      <w:i/>
      <w:iCs/>
    </w:rPr>
  </w:style>
  <w:style w:type="paragraph" w:styleId="24">
    <w:name w:val="Plain Text"/>
    <w:basedOn w:val="1"/>
    <w:link w:val="280"/>
    <w:qFormat/>
    <w:uiPriority w:val="99"/>
    <w:rPr>
      <w:rFonts w:ascii="宋体" w:hAnsi="Courier New"/>
      <w:szCs w:val="21"/>
    </w:rPr>
  </w:style>
  <w:style w:type="paragraph" w:styleId="25">
    <w:name w:val="toc 8"/>
    <w:basedOn w:val="11"/>
    <w:next w:val="1"/>
    <w:autoRedefine/>
    <w:qFormat/>
    <w:uiPriority w:val="0"/>
  </w:style>
  <w:style w:type="paragraph" w:styleId="26">
    <w:name w:val="Date"/>
    <w:basedOn w:val="1"/>
    <w:next w:val="1"/>
    <w:link w:val="292"/>
    <w:autoRedefine/>
    <w:qFormat/>
    <w:uiPriority w:val="99"/>
    <w:pPr>
      <w:ind w:left="100" w:leftChars="2500"/>
    </w:pPr>
    <w:rPr>
      <w:sz w:val="24"/>
      <w:szCs w:val="20"/>
    </w:rPr>
  </w:style>
  <w:style w:type="paragraph" w:styleId="27">
    <w:name w:val="Body Text Indent 2"/>
    <w:basedOn w:val="1"/>
    <w:link w:val="291"/>
    <w:autoRedefine/>
    <w:qFormat/>
    <w:uiPriority w:val="0"/>
    <w:pPr>
      <w:spacing w:after="120" w:line="480" w:lineRule="auto"/>
      <w:ind w:left="420" w:leftChars="200"/>
    </w:pPr>
  </w:style>
  <w:style w:type="paragraph" w:styleId="28">
    <w:name w:val="endnote text"/>
    <w:basedOn w:val="1"/>
    <w:autoRedefine/>
    <w:qFormat/>
    <w:uiPriority w:val="0"/>
    <w:pPr>
      <w:snapToGrid w:val="0"/>
    </w:pPr>
  </w:style>
  <w:style w:type="paragraph" w:styleId="29">
    <w:name w:val="Balloon Text"/>
    <w:basedOn w:val="1"/>
    <w:link w:val="282"/>
    <w:qFormat/>
    <w:uiPriority w:val="0"/>
    <w:rPr>
      <w:sz w:val="18"/>
      <w:szCs w:val="18"/>
    </w:rPr>
  </w:style>
  <w:style w:type="paragraph" w:styleId="30">
    <w:name w:val="footer"/>
    <w:basedOn w:val="1"/>
    <w:link w:val="285"/>
    <w:qFormat/>
    <w:uiPriority w:val="0"/>
    <w:pPr>
      <w:tabs>
        <w:tab w:val="center" w:pos="4153"/>
        <w:tab w:val="right" w:pos="8306"/>
      </w:tabs>
      <w:snapToGrid w:val="0"/>
      <w:ind w:right="210" w:rightChars="100"/>
      <w:jc w:val="right"/>
    </w:pPr>
    <w:rPr>
      <w:sz w:val="18"/>
      <w:szCs w:val="18"/>
    </w:rPr>
  </w:style>
  <w:style w:type="paragraph" w:styleId="31">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309"/>
    <w:autoRedefine/>
    <w:qFormat/>
    <w:uiPriority w:val="0"/>
    <w:pPr>
      <w:snapToGrid w:val="0"/>
      <w:jc w:val="left"/>
    </w:pPr>
    <w:rPr>
      <w:sz w:val="18"/>
      <w:szCs w:val="18"/>
    </w:rPr>
  </w:style>
  <w:style w:type="paragraph" w:styleId="33">
    <w:name w:val="Body Text Indent 3"/>
    <w:basedOn w:val="1"/>
    <w:qFormat/>
    <w:uiPriority w:val="0"/>
    <w:pPr>
      <w:widowControl/>
      <w:spacing w:line="360" w:lineRule="auto"/>
      <w:ind w:firstLine="420"/>
    </w:pPr>
    <w:rPr>
      <w:rFonts w:hAnsi="宋体"/>
      <w:sz w:val="18"/>
    </w:rPr>
  </w:style>
  <w:style w:type="paragraph" w:styleId="34">
    <w:name w:val="toc 9"/>
    <w:basedOn w:val="25"/>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20"/>
    <w:next w:val="20"/>
    <w:link w:val="289"/>
    <w:qFormat/>
    <w:uiPriority w:val="0"/>
    <w:rPr>
      <w:b/>
      <w:bCs/>
    </w:rPr>
  </w:style>
  <w:style w:type="paragraph" w:styleId="40">
    <w:name w:val="Body Text First Indent"/>
    <w:basedOn w:val="21"/>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2"/>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Char"/>
    <w:link w:val="24"/>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Char"/>
    <w:link w:val="29"/>
    <w:qFormat/>
    <w:uiPriority w:val="0"/>
    <w:rPr>
      <w:kern w:val="2"/>
      <w:sz w:val="18"/>
      <w:szCs w:val="18"/>
    </w:rPr>
  </w:style>
  <w:style w:type="character" w:customStyle="1" w:styleId="283">
    <w:name w:val="正文文本 Char"/>
    <w:link w:val="21"/>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Char"/>
    <w:link w:val="30"/>
    <w:qFormat/>
    <w:uiPriority w:val="99"/>
    <w:rPr>
      <w:kern w:val="2"/>
      <w:sz w:val="18"/>
      <w:szCs w:val="18"/>
    </w:rPr>
  </w:style>
  <w:style w:type="character" w:customStyle="1" w:styleId="286">
    <w:name w:val="正文文本缩进 Char"/>
    <w:link w:val="22"/>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Char"/>
    <w:link w:val="20"/>
    <w:qFormat/>
    <w:uiPriority w:val="0"/>
    <w:rPr>
      <w:kern w:val="2"/>
      <w:sz w:val="21"/>
      <w:szCs w:val="24"/>
    </w:rPr>
  </w:style>
  <w:style w:type="character" w:customStyle="1" w:styleId="289">
    <w:name w:val="批注主题 Char"/>
    <w:link w:val="39"/>
    <w:qFormat/>
    <w:uiPriority w:val="0"/>
    <w:rPr>
      <w:b/>
      <w:bCs/>
      <w:kern w:val="2"/>
      <w:sz w:val="21"/>
      <w:szCs w:val="24"/>
    </w:rPr>
  </w:style>
  <w:style w:type="character" w:customStyle="1" w:styleId="290">
    <w:name w:val="页眉 Char"/>
    <w:link w:val="31"/>
    <w:qFormat/>
    <w:uiPriority w:val="99"/>
    <w:rPr>
      <w:kern w:val="2"/>
      <w:sz w:val="18"/>
      <w:szCs w:val="18"/>
    </w:rPr>
  </w:style>
  <w:style w:type="character" w:customStyle="1" w:styleId="291">
    <w:name w:val="正文文本缩进 2 Char"/>
    <w:link w:val="27"/>
    <w:qFormat/>
    <w:uiPriority w:val="0"/>
    <w:rPr>
      <w:kern w:val="2"/>
      <w:sz w:val="21"/>
      <w:szCs w:val="24"/>
    </w:rPr>
  </w:style>
  <w:style w:type="character" w:customStyle="1" w:styleId="292">
    <w:name w:val="日期 Char"/>
    <w:link w:val="26"/>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Char"/>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Char"/>
    <w:basedOn w:val="43"/>
    <w:link w:val="3"/>
    <w:autoRedefine/>
    <w:qFormat/>
    <w:uiPriority w:val="0"/>
    <w:rPr>
      <w:rFonts w:ascii="Arial" w:hAnsi="Arial" w:eastAsia="黑体" w:cs="Times New Roman"/>
      <w:b/>
      <w:bCs/>
      <w:kern w:val="2"/>
      <w:sz w:val="24"/>
      <w:szCs w:val="32"/>
    </w:rPr>
  </w:style>
  <w:style w:type="character" w:customStyle="1" w:styleId="307">
    <w:name w:val="标题 3 Char"/>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Char"/>
    <w:link w:val="38"/>
    <w:autoRedefine/>
    <w:qFormat/>
    <w:uiPriority w:val="0"/>
    <w:rPr>
      <w:rFonts w:ascii="Arial" w:hAnsi="Arial" w:eastAsia="宋体" w:cs="Arial"/>
      <w:b/>
      <w:bCs/>
      <w:kern w:val="2"/>
      <w:sz w:val="32"/>
      <w:szCs w:val="32"/>
    </w:rPr>
  </w:style>
  <w:style w:type="character" w:customStyle="1" w:styleId="309">
    <w:name w:val="脚注文本 Char"/>
    <w:link w:val="32"/>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22"/>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Char"/>
    <w:basedOn w:val="43"/>
    <w:link w:val="35"/>
    <w:autoRedefine/>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098F3-A5CB-42DB-AAEB-074A86DA4CA2}">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13</Pages>
  <Words>9728</Words>
  <Characters>10260</Characters>
  <Lines>64</Lines>
  <Paragraphs>18</Paragraphs>
  <TotalTime>0</TotalTime>
  <ScaleCrop>false</ScaleCrop>
  <LinksUpToDate>false</LinksUpToDate>
  <CharactersWithSpaces>10298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2022-01-09T10:10:00Z</dcterms:created>
  <dc:creator>Administrator.DESKTOP-ME924ED</dc:creator>
  <cp:lastModifiedBy>优雅时尚小匡者也</cp:lastModifiedBy>
  <cp:lastPrinted>2016-10-20T04:13:00Z</cp:lastPrinted>
  <dcterms:modified xsi:type="dcterms:W3CDTF">2026-03-12T06:40:46Z</dcterms:modified>
  <dc:title>编制说明</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5338902479F146C7ACC9B2AE2EFFC399_13</vt:lpwstr>
  </property>
  <property fmtid="{D5CDD505-2E9C-101B-9397-08002B2CF9AE}" pid="4" name="KSOTemplateDocerSaveRecord">
    <vt:lpwstr>eyJoZGlkIjoiMDNmNGJmMzU1YWQyYmMxOTdmZjI1ZTA2MDNiMjEzM2YiLCJ1c2VySWQiOiIyMzEzNTM3MjAifQ==</vt:lpwstr>
  </property>
</Properties>
</file>