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1E26D">
      <w:pPr>
        <w:pStyle w:val="98"/>
        <w:jc w:val="center"/>
        <w:rPr>
          <w:rFonts w:ascii="黑体" w:hAnsi="黑体" w:eastAsia="黑体"/>
          <w:sz w:val="24"/>
          <w:szCs w:val="24"/>
        </w:rPr>
      </w:pPr>
      <w:bookmarkStart w:id="0" w:name="_Toc464728891"/>
      <w:bookmarkStart w:id="1" w:name="SectionMark4"/>
    </w:p>
    <w:p w14:paraId="77F63EF7">
      <w:pPr>
        <w:pStyle w:val="98"/>
        <w:jc w:val="center"/>
        <w:rPr>
          <w:rFonts w:ascii="黑体" w:hAnsi="黑体" w:eastAsia="黑体"/>
          <w:sz w:val="24"/>
          <w:szCs w:val="24"/>
        </w:rPr>
      </w:pPr>
    </w:p>
    <w:p w14:paraId="5F54408D">
      <w:pPr>
        <w:pStyle w:val="98"/>
        <w:jc w:val="center"/>
        <w:rPr>
          <w:rFonts w:ascii="黑体" w:hAnsi="黑体" w:eastAsia="黑体"/>
          <w:sz w:val="24"/>
          <w:szCs w:val="24"/>
        </w:rPr>
      </w:pPr>
    </w:p>
    <w:p w14:paraId="7BC11414">
      <w:pPr>
        <w:pStyle w:val="98"/>
        <w:jc w:val="center"/>
        <w:rPr>
          <w:rFonts w:ascii="黑体" w:hAnsi="黑体" w:eastAsia="黑体"/>
          <w:sz w:val="24"/>
          <w:szCs w:val="24"/>
        </w:rPr>
      </w:pPr>
    </w:p>
    <w:p w14:paraId="7DBB8279">
      <w:pPr>
        <w:pStyle w:val="98"/>
        <w:jc w:val="center"/>
        <w:rPr>
          <w:rFonts w:ascii="黑体" w:hAnsi="黑体" w:eastAsia="黑体"/>
          <w:sz w:val="24"/>
          <w:szCs w:val="24"/>
        </w:rPr>
      </w:pPr>
    </w:p>
    <w:p w14:paraId="37C2E13E">
      <w:pPr>
        <w:pStyle w:val="98"/>
        <w:jc w:val="center"/>
        <w:rPr>
          <w:rFonts w:ascii="黑体" w:hAnsi="黑体" w:eastAsia="黑体"/>
          <w:sz w:val="24"/>
          <w:szCs w:val="24"/>
        </w:rPr>
      </w:pPr>
    </w:p>
    <w:p w14:paraId="299A7F8C">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608803D2">
                            <w:pPr>
                              <w:pStyle w:val="75"/>
                              <w:rPr>
                                <w:rFonts w:hAnsi="黑体" w:cs="黑体"/>
                                <w:sz w:val="44"/>
                                <w:szCs w:val="44"/>
                              </w:rPr>
                            </w:pPr>
                            <w:bookmarkStart w:id="87"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7"/>
                          <w:p w14:paraId="6A9BD3D2">
                            <w:pPr>
                              <w:pStyle w:val="75"/>
                              <w:rPr>
                                <w:rFonts w:hAnsi="黑体" w:cs="黑体"/>
                                <w:szCs w:val="52"/>
                              </w:rPr>
                            </w:pPr>
                            <w:r>
                              <w:rPr>
                                <w:rFonts w:hint="eastAsia"/>
                                <w:szCs w:val="52"/>
                              </w:rPr>
                              <w:t>接触（触针）式表面轮廓测量仪</w:t>
                            </w:r>
                            <w:r>
                              <w:rPr>
                                <w:rFonts w:hint="eastAsia" w:hAnsi="黑体" w:cs="黑体"/>
                                <w:szCs w:val="52"/>
                              </w:rPr>
                              <w:t>校准规范</w:t>
                            </w:r>
                          </w:p>
                          <w:p w14:paraId="2408652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608803D2">
                      <w:pPr>
                        <w:pStyle w:val="75"/>
                        <w:rPr>
                          <w:rFonts w:hAnsi="黑体" w:cs="黑体"/>
                          <w:sz w:val="44"/>
                          <w:szCs w:val="44"/>
                        </w:rPr>
                      </w:pPr>
                      <w:bookmarkStart w:id="87"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7"/>
                    <w:p w14:paraId="6A9BD3D2">
                      <w:pPr>
                        <w:pStyle w:val="75"/>
                        <w:rPr>
                          <w:rFonts w:hAnsi="黑体" w:cs="黑体"/>
                          <w:szCs w:val="52"/>
                        </w:rPr>
                      </w:pPr>
                      <w:r>
                        <w:rPr>
                          <w:rFonts w:hint="eastAsia"/>
                          <w:szCs w:val="52"/>
                        </w:rPr>
                        <w:t>接触（触针）式表面轮廓测量仪</w:t>
                      </w:r>
                      <w:r>
                        <w:rPr>
                          <w:rFonts w:hint="eastAsia" w:hAnsi="黑体" w:cs="黑体"/>
                          <w:szCs w:val="52"/>
                        </w:rPr>
                        <w:t>校准规范</w:t>
                      </w:r>
                    </w:p>
                    <w:p w14:paraId="2408652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21F2D312">
      <w:pPr>
        <w:pStyle w:val="98"/>
        <w:jc w:val="center"/>
        <w:rPr>
          <w:rFonts w:ascii="黑体" w:hAnsi="黑体" w:eastAsia="黑体"/>
          <w:sz w:val="24"/>
          <w:szCs w:val="24"/>
        </w:rPr>
      </w:pPr>
    </w:p>
    <w:p w14:paraId="3EF47BE8">
      <w:pPr>
        <w:pStyle w:val="98"/>
        <w:jc w:val="center"/>
        <w:rPr>
          <w:rFonts w:ascii="黑体" w:hAnsi="黑体" w:eastAsia="黑体"/>
          <w:sz w:val="24"/>
          <w:szCs w:val="24"/>
        </w:rPr>
      </w:pPr>
    </w:p>
    <w:p w14:paraId="6B963A58">
      <w:pPr>
        <w:pStyle w:val="98"/>
        <w:jc w:val="center"/>
        <w:rPr>
          <w:rFonts w:ascii="黑体" w:hAnsi="黑体" w:eastAsia="黑体"/>
          <w:sz w:val="24"/>
          <w:szCs w:val="24"/>
        </w:rPr>
      </w:pPr>
    </w:p>
    <w:p w14:paraId="6E32EC11">
      <w:pPr>
        <w:pStyle w:val="98"/>
        <w:jc w:val="center"/>
        <w:rPr>
          <w:rFonts w:ascii="黑体" w:hAnsi="黑体" w:eastAsia="黑体"/>
          <w:sz w:val="24"/>
          <w:szCs w:val="24"/>
        </w:rPr>
      </w:pPr>
    </w:p>
    <w:p w14:paraId="26E497DC">
      <w:pPr>
        <w:pStyle w:val="98"/>
        <w:jc w:val="center"/>
        <w:rPr>
          <w:rFonts w:ascii="黑体" w:hAnsi="黑体" w:eastAsia="黑体"/>
          <w:sz w:val="24"/>
          <w:szCs w:val="24"/>
        </w:rPr>
      </w:pPr>
    </w:p>
    <w:p w14:paraId="68A0B2EA">
      <w:pPr>
        <w:pStyle w:val="98"/>
        <w:jc w:val="center"/>
        <w:rPr>
          <w:rFonts w:ascii="黑体" w:hAnsi="黑体" w:eastAsia="黑体"/>
          <w:sz w:val="24"/>
          <w:szCs w:val="24"/>
        </w:rPr>
      </w:pPr>
    </w:p>
    <w:p w14:paraId="332E06D7">
      <w:pPr>
        <w:pStyle w:val="98"/>
        <w:jc w:val="center"/>
        <w:rPr>
          <w:rFonts w:ascii="黑体" w:hAnsi="黑体" w:eastAsia="黑体"/>
          <w:sz w:val="24"/>
          <w:szCs w:val="24"/>
        </w:rPr>
      </w:pPr>
    </w:p>
    <w:p w14:paraId="4B807534">
      <w:pPr>
        <w:pStyle w:val="98"/>
        <w:jc w:val="center"/>
        <w:rPr>
          <w:rFonts w:ascii="黑体" w:hAnsi="黑体" w:eastAsia="黑体"/>
          <w:sz w:val="24"/>
          <w:szCs w:val="24"/>
        </w:rPr>
      </w:pPr>
    </w:p>
    <w:p w14:paraId="5256763B">
      <w:pPr>
        <w:pStyle w:val="98"/>
        <w:jc w:val="center"/>
        <w:rPr>
          <w:rFonts w:ascii="黑体" w:hAnsi="黑体" w:eastAsia="黑体"/>
          <w:sz w:val="24"/>
          <w:szCs w:val="24"/>
        </w:rPr>
      </w:pPr>
    </w:p>
    <w:p w14:paraId="06CC22DD">
      <w:pPr>
        <w:pStyle w:val="98"/>
        <w:jc w:val="center"/>
        <w:rPr>
          <w:rFonts w:ascii="黑体" w:hAnsi="黑体" w:eastAsia="黑体"/>
          <w:sz w:val="24"/>
          <w:szCs w:val="24"/>
        </w:rPr>
      </w:pPr>
    </w:p>
    <w:p w14:paraId="4D3849FC">
      <w:pPr>
        <w:pStyle w:val="98"/>
        <w:jc w:val="center"/>
        <w:rPr>
          <w:rFonts w:ascii="黑体" w:hAnsi="黑体" w:eastAsia="黑体"/>
          <w:sz w:val="24"/>
          <w:szCs w:val="24"/>
        </w:rPr>
      </w:pPr>
    </w:p>
    <w:p w14:paraId="0DCE7B12">
      <w:pPr>
        <w:pStyle w:val="98"/>
        <w:jc w:val="center"/>
        <w:rPr>
          <w:rFonts w:ascii="黑体" w:hAnsi="黑体" w:eastAsia="黑体"/>
          <w:sz w:val="24"/>
          <w:szCs w:val="24"/>
        </w:rPr>
      </w:pPr>
    </w:p>
    <w:p w14:paraId="39657671">
      <w:pPr>
        <w:pStyle w:val="98"/>
        <w:jc w:val="center"/>
        <w:rPr>
          <w:rFonts w:ascii="黑体" w:hAnsi="黑体" w:eastAsia="黑体"/>
          <w:sz w:val="24"/>
          <w:szCs w:val="24"/>
        </w:rPr>
      </w:pPr>
    </w:p>
    <w:p w14:paraId="58FCA092">
      <w:pPr>
        <w:pStyle w:val="98"/>
        <w:jc w:val="center"/>
        <w:rPr>
          <w:rFonts w:ascii="黑体" w:hAnsi="黑体" w:eastAsia="黑体"/>
          <w:sz w:val="24"/>
          <w:szCs w:val="24"/>
        </w:rPr>
      </w:pPr>
    </w:p>
    <w:p w14:paraId="170043A0">
      <w:pPr>
        <w:pStyle w:val="98"/>
        <w:jc w:val="center"/>
        <w:rPr>
          <w:rFonts w:ascii="黑体" w:hAnsi="黑体" w:eastAsia="黑体"/>
          <w:sz w:val="24"/>
          <w:szCs w:val="24"/>
        </w:rPr>
      </w:pPr>
    </w:p>
    <w:p w14:paraId="32653B9C">
      <w:pPr>
        <w:pStyle w:val="98"/>
        <w:jc w:val="center"/>
        <w:rPr>
          <w:rFonts w:ascii="黑体" w:hAnsi="黑体" w:eastAsia="黑体"/>
          <w:sz w:val="24"/>
          <w:szCs w:val="24"/>
        </w:rPr>
      </w:pPr>
    </w:p>
    <w:p w14:paraId="4A4FB718">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16FEC5C0">
                            <w:pPr>
                              <w:pStyle w:val="67"/>
                              <w:spacing w:before="600"/>
                              <w:rPr>
                                <w:rFonts w:ascii="黑体" w:hAnsi="黑体" w:eastAsia="黑体"/>
                                <w:sz w:val="36"/>
                                <w:szCs w:val="36"/>
                              </w:rPr>
                            </w:pPr>
                            <w:r>
                              <w:rPr>
                                <w:rFonts w:hint="eastAsia" w:ascii="黑体" w:hAnsi="黑体" w:eastAsia="黑体"/>
                                <w:sz w:val="36"/>
                                <w:szCs w:val="36"/>
                                <w:lang w:val="en-US" w:eastAsia="zh-CN"/>
                              </w:rPr>
                              <w:t>审定</w:t>
                            </w:r>
                            <w:r>
                              <w:rPr>
                                <w:rFonts w:hint="eastAsia" w:ascii="黑体" w:hAnsi="黑体" w:eastAsia="黑体"/>
                                <w:sz w:val="36"/>
                                <w:szCs w:val="36"/>
                              </w:rPr>
                              <w:t>稿</w:t>
                            </w:r>
                          </w:p>
                          <w:p w14:paraId="14877258">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-X</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16FEC5C0">
                      <w:pPr>
                        <w:pStyle w:val="67"/>
                        <w:spacing w:before="600"/>
                        <w:rPr>
                          <w:rFonts w:ascii="黑体" w:hAnsi="黑体" w:eastAsia="黑体"/>
                          <w:sz w:val="36"/>
                          <w:szCs w:val="36"/>
                        </w:rPr>
                      </w:pPr>
                      <w:r>
                        <w:rPr>
                          <w:rFonts w:hint="eastAsia" w:ascii="黑体" w:hAnsi="黑体" w:eastAsia="黑体"/>
                          <w:sz w:val="36"/>
                          <w:szCs w:val="36"/>
                          <w:lang w:val="en-US" w:eastAsia="zh-CN"/>
                        </w:rPr>
                        <w:t>审定</w:t>
                      </w:r>
                      <w:r>
                        <w:rPr>
                          <w:rFonts w:hint="eastAsia" w:ascii="黑体" w:hAnsi="黑体" w:eastAsia="黑体"/>
                          <w:sz w:val="36"/>
                          <w:szCs w:val="36"/>
                        </w:rPr>
                        <w:t>稿</w:t>
                      </w:r>
                    </w:p>
                    <w:p w14:paraId="14877258">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-X</w:t>
                      </w:r>
                    </w:p>
                  </w:txbxContent>
                </v:textbox>
                <w10:anchorlock/>
              </v:rect>
            </w:pict>
          </mc:Fallback>
        </mc:AlternateContent>
      </w:r>
    </w:p>
    <w:p w14:paraId="0B5C38B4">
      <w:pPr>
        <w:pStyle w:val="98"/>
        <w:jc w:val="center"/>
        <w:rPr>
          <w:rFonts w:ascii="黑体" w:hAnsi="黑体" w:eastAsia="黑体"/>
          <w:sz w:val="24"/>
          <w:szCs w:val="24"/>
        </w:rPr>
      </w:pPr>
    </w:p>
    <w:p w14:paraId="58275C67">
      <w:pPr>
        <w:pStyle w:val="98"/>
        <w:jc w:val="center"/>
        <w:rPr>
          <w:rFonts w:ascii="黑体" w:hAnsi="黑体" w:eastAsia="黑体"/>
          <w:sz w:val="24"/>
          <w:szCs w:val="24"/>
        </w:rPr>
      </w:pPr>
    </w:p>
    <w:p w14:paraId="6542A050">
      <w:pPr>
        <w:pStyle w:val="98"/>
        <w:jc w:val="center"/>
        <w:rPr>
          <w:rFonts w:ascii="黑体" w:hAnsi="黑体" w:eastAsia="黑体"/>
          <w:sz w:val="24"/>
          <w:szCs w:val="24"/>
        </w:rPr>
      </w:pPr>
    </w:p>
    <w:p w14:paraId="1F5A04BB">
      <w:pPr>
        <w:pStyle w:val="98"/>
        <w:jc w:val="center"/>
        <w:rPr>
          <w:rFonts w:ascii="黑体" w:hAnsi="黑体" w:eastAsia="黑体"/>
          <w:sz w:val="24"/>
          <w:szCs w:val="24"/>
        </w:rPr>
      </w:pPr>
    </w:p>
    <w:p w14:paraId="48B440A7">
      <w:pPr>
        <w:pStyle w:val="98"/>
        <w:jc w:val="center"/>
        <w:rPr>
          <w:rFonts w:ascii="黑体" w:hAnsi="黑体" w:eastAsia="黑体"/>
          <w:sz w:val="24"/>
          <w:szCs w:val="24"/>
        </w:rPr>
      </w:pPr>
    </w:p>
    <w:p w14:paraId="2D5A6B13">
      <w:pPr>
        <w:pStyle w:val="98"/>
        <w:jc w:val="center"/>
        <w:rPr>
          <w:rFonts w:ascii="黑体" w:hAnsi="黑体" w:eastAsia="黑体"/>
          <w:sz w:val="24"/>
          <w:szCs w:val="24"/>
        </w:rPr>
      </w:pPr>
    </w:p>
    <w:p w14:paraId="3BEF0F81">
      <w:pPr>
        <w:pStyle w:val="98"/>
        <w:jc w:val="center"/>
        <w:rPr>
          <w:rFonts w:ascii="黑体" w:hAnsi="黑体" w:eastAsia="黑体"/>
          <w:sz w:val="24"/>
          <w:szCs w:val="24"/>
        </w:rPr>
      </w:pPr>
    </w:p>
    <w:p w14:paraId="4B8D8047">
      <w:pPr>
        <w:pStyle w:val="98"/>
        <w:jc w:val="center"/>
        <w:rPr>
          <w:rFonts w:ascii="黑体" w:hAnsi="黑体" w:eastAsia="黑体"/>
          <w:sz w:val="24"/>
          <w:szCs w:val="24"/>
        </w:rPr>
      </w:pPr>
    </w:p>
    <w:p w14:paraId="298C2156">
      <w:pPr>
        <w:pStyle w:val="98"/>
        <w:jc w:val="center"/>
        <w:rPr>
          <w:rFonts w:ascii="黑体" w:hAnsi="黑体" w:eastAsia="黑体"/>
          <w:sz w:val="24"/>
          <w:szCs w:val="24"/>
        </w:rPr>
      </w:pPr>
    </w:p>
    <w:p w14:paraId="6D76068F">
      <w:pPr>
        <w:pStyle w:val="98"/>
        <w:jc w:val="center"/>
        <w:rPr>
          <w:rFonts w:ascii="黑体" w:hAnsi="黑体" w:eastAsia="黑体"/>
          <w:sz w:val="24"/>
          <w:szCs w:val="24"/>
        </w:rPr>
      </w:pPr>
    </w:p>
    <w:p w14:paraId="4AAFE26B">
      <w:pPr>
        <w:pStyle w:val="98"/>
        <w:jc w:val="center"/>
        <w:rPr>
          <w:rFonts w:ascii="黑体" w:hAnsi="黑体" w:eastAsia="黑体"/>
          <w:sz w:val="24"/>
          <w:szCs w:val="24"/>
        </w:rPr>
      </w:pPr>
    </w:p>
    <w:p w14:paraId="685BB769">
      <w:pPr>
        <w:pStyle w:val="98"/>
        <w:jc w:val="center"/>
        <w:rPr>
          <w:rFonts w:ascii="黑体" w:hAnsi="黑体" w:eastAsia="黑体"/>
          <w:sz w:val="24"/>
          <w:szCs w:val="24"/>
        </w:rPr>
      </w:pPr>
    </w:p>
    <w:p w14:paraId="2BB7D6FD">
      <w:pPr>
        <w:pStyle w:val="98"/>
        <w:jc w:val="center"/>
        <w:rPr>
          <w:rFonts w:ascii="黑体" w:hAnsi="黑体" w:eastAsia="黑体"/>
          <w:sz w:val="24"/>
          <w:szCs w:val="24"/>
        </w:rPr>
      </w:pPr>
    </w:p>
    <w:p w14:paraId="06290375">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30F2720A">
                            <w:pPr>
                              <w:pStyle w:val="75"/>
                              <w:rPr>
                                <w:rFonts w:ascii="宋体" w:hAnsi="宋体" w:eastAsia="宋体" w:cs="宋体"/>
                                <w:spacing w:val="58"/>
                                <w:w w:val="120"/>
                                <w:kern w:val="2"/>
                                <w:sz w:val="28"/>
                                <w:szCs w:val="28"/>
                              </w:rPr>
                            </w:pPr>
                          </w:p>
                          <w:p w14:paraId="43EA398B">
                            <w:pPr>
                              <w:jc w:val="center"/>
                              <w:rPr>
                                <w:rFonts w:ascii="宋体" w:hAnsi="宋体" w:cs="宋体"/>
                                <w:spacing w:val="58"/>
                                <w:w w:val="120"/>
                                <w:sz w:val="28"/>
                                <w:szCs w:val="28"/>
                              </w:rPr>
                            </w:pPr>
                            <w:r>
                              <w:rPr>
                                <w:rFonts w:hint="eastAsia" w:ascii="宋体" w:hAnsi="宋体" w:cs="宋体"/>
                                <w:spacing w:val="58"/>
                                <w:w w:val="120"/>
                                <w:sz w:val="28"/>
                                <w:szCs w:val="28"/>
                              </w:rPr>
                              <w:t>接触（触针）式表面轮廓测量仪校准规范</w:t>
                            </w:r>
                          </w:p>
                          <w:p w14:paraId="1CB2C5A0">
                            <w:pPr>
                              <w:jc w:val="center"/>
                              <w:rPr>
                                <w:rFonts w:ascii="宋体" w:hAnsi="宋体" w:cs="宋体"/>
                                <w:sz w:val="28"/>
                                <w:szCs w:val="28"/>
                              </w:rPr>
                            </w:pPr>
                            <w:r>
                              <w:rPr>
                                <w:rFonts w:hint="eastAsia" w:ascii="宋体" w:hAnsi="宋体" w:cs="宋体"/>
                                <w:spacing w:val="58"/>
                                <w:w w:val="120"/>
                                <w:sz w:val="28"/>
                                <w:szCs w:val="28"/>
                              </w:rPr>
                              <w:t>编制组</w:t>
                            </w:r>
                          </w:p>
                          <w:p w14:paraId="4AEA2319">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30F2720A">
                      <w:pPr>
                        <w:pStyle w:val="75"/>
                        <w:rPr>
                          <w:rFonts w:ascii="宋体" w:hAnsi="宋体" w:eastAsia="宋体" w:cs="宋体"/>
                          <w:spacing w:val="58"/>
                          <w:w w:val="120"/>
                          <w:kern w:val="2"/>
                          <w:sz w:val="28"/>
                          <w:szCs w:val="28"/>
                        </w:rPr>
                      </w:pPr>
                    </w:p>
                    <w:p w14:paraId="43EA398B">
                      <w:pPr>
                        <w:jc w:val="center"/>
                        <w:rPr>
                          <w:rFonts w:ascii="宋体" w:hAnsi="宋体" w:cs="宋体"/>
                          <w:spacing w:val="58"/>
                          <w:w w:val="120"/>
                          <w:sz w:val="28"/>
                          <w:szCs w:val="28"/>
                        </w:rPr>
                      </w:pPr>
                      <w:r>
                        <w:rPr>
                          <w:rFonts w:hint="eastAsia" w:ascii="宋体" w:hAnsi="宋体" w:cs="宋体"/>
                          <w:spacing w:val="58"/>
                          <w:w w:val="120"/>
                          <w:sz w:val="28"/>
                          <w:szCs w:val="28"/>
                        </w:rPr>
                        <w:t>接触（触针）式表面轮廓测量仪校准规范</w:t>
                      </w:r>
                    </w:p>
                    <w:p w14:paraId="1CB2C5A0">
                      <w:pPr>
                        <w:jc w:val="center"/>
                        <w:rPr>
                          <w:rFonts w:ascii="宋体" w:hAnsi="宋体" w:cs="宋体"/>
                          <w:sz w:val="28"/>
                          <w:szCs w:val="28"/>
                        </w:rPr>
                      </w:pPr>
                      <w:r>
                        <w:rPr>
                          <w:rFonts w:hint="eastAsia" w:ascii="宋体" w:hAnsi="宋体" w:cs="宋体"/>
                          <w:spacing w:val="58"/>
                          <w:w w:val="120"/>
                          <w:sz w:val="28"/>
                          <w:szCs w:val="28"/>
                        </w:rPr>
                        <w:t>编制组</w:t>
                      </w:r>
                    </w:p>
                    <w:p w14:paraId="4AEA2319">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p>
    <w:p w14:paraId="71D4D2B0">
      <w:pPr>
        <w:pStyle w:val="98"/>
        <w:jc w:val="center"/>
        <w:rPr>
          <w:rFonts w:ascii="黑体" w:hAnsi="黑体" w:eastAsia="黑体"/>
          <w:sz w:val="24"/>
          <w:szCs w:val="24"/>
        </w:rPr>
      </w:pPr>
    </w:p>
    <w:p w14:paraId="0E02B084">
      <w:pPr>
        <w:pStyle w:val="98"/>
        <w:jc w:val="center"/>
        <w:rPr>
          <w:rFonts w:ascii="黑体" w:hAnsi="黑体" w:eastAsia="黑体"/>
          <w:sz w:val="24"/>
          <w:szCs w:val="24"/>
        </w:rPr>
      </w:pPr>
    </w:p>
    <w:p w14:paraId="706E40A4">
      <w:pPr>
        <w:pStyle w:val="98"/>
        <w:jc w:val="center"/>
        <w:rPr>
          <w:rFonts w:ascii="黑体" w:hAnsi="黑体" w:eastAsia="黑体"/>
          <w:sz w:val="24"/>
          <w:szCs w:val="24"/>
        </w:rPr>
      </w:pPr>
    </w:p>
    <w:p w14:paraId="69D8D02C">
      <w:pPr>
        <w:pStyle w:val="98"/>
        <w:jc w:val="center"/>
        <w:rPr>
          <w:rFonts w:ascii="黑体" w:hAnsi="黑体" w:eastAsia="黑体"/>
          <w:sz w:val="24"/>
          <w:szCs w:val="24"/>
        </w:rPr>
      </w:pPr>
    </w:p>
    <w:p w14:paraId="4CB3F297">
      <w:pPr>
        <w:pStyle w:val="98"/>
        <w:jc w:val="center"/>
        <w:rPr>
          <w:rFonts w:ascii="黑体" w:hAnsi="黑体" w:eastAsia="黑体"/>
          <w:sz w:val="24"/>
          <w:szCs w:val="24"/>
        </w:rPr>
      </w:pPr>
    </w:p>
    <w:p w14:paraId="413233EC">
      <w:pPr>
        <w:pStyle w:val="98"/>
        <w:jc w:val="center"/>
        <w:rPr>
          <w:rFonts w:ascii="黑体" w:hAnsi="黑体" w:eastAsia="黑体"/>
          <w:sz w:val="24"/>
          <w:szCs w:val="24"/>
        </w:rPr>
      </w:pPr>
    </w:p>
    <w:p w14:paraId="1C61B84C">
      <w:pPr>
        <w:pStyle w:val="98"/>
        <w:jc w:val="center"/>
        <w:rPr>
          <w:rFonts w:ascii="黑体" w:hAnsi="黑体" w:eastAsia="黑体"/>
          <w:sz w:val="24"/>
          <w:szCs w:val="24"/>
        </w:rPr>
      </w:pPr>
    </w:p>
    <w:p w14:paraId="399CDC87">
      <w:pPr>
        <w:pStyle w:val="2"/>
        <w:spacing w:before="156" w:after="156"/>
        <w:rPr>
          <w:b w:val="0"/>
          <w:bCs w:val="0"/>
        </w:rPr>
      </w:pPr>
      <w:r>
        <w:rPr>
          <w:rFonts w:hint="eastAsia"/>
          <w:b w:val="0"/>
          <w:bCs w:val="0"/>
        </w:rPr>
        <w:t>一、工作简况</w:t>
      </w:r>
      <w:bookmarkEnd w:id="0"/>
      <w:bookmarkStart w:id="2" w:name="_Toc464728896"/>
    </w:p>
    <w:p w14:paraId="6AED2B54">
      <w:pPr>
        <w:pStyle w:val="3"/>
        <w:spacing w:before="156" w:after="156"/>
        <w:rPr>
          <w:b w:val="0"/>
          <w:bCs w:val="0"/>
        </w:rPr>
      </w:pPr>
      <w:r>
        <w:rPr>
          <w:rFonts w:hint="eastAsia"/>
          <w:b w:val="0"/>
          <w:bCs w:val="0"/>
        </w:rPr>
        <w:t>1.立项目的</w:t>
      </w:r>
    </w:p>
    <w:p w14:paraId="404007CD">
      <w:pPr>
        <w:spacing w:line="400" w:lineRule="exact"/>
        <w:ind w:firstLine="555"/>
        <w:rPr>
          <w:rFonts w:hAnsi="宋体"/>
          <w:szCs w:val="21"/>
        </w:rPr>
      </w:pPr>
      <w:r>
        <w:rPr>
          <w:rFonts w:hint="eastAsia"/>
          <w:szCs w:val="21"/>
        </w:rPr>
        <w:t>轮廓仪一般由传感器、驱动箱、电子信号处理装置、计算机系统等组成。其以直线导轨为基础，触针沿工作表面运动，记录被测表面轮廓曲线，计算并评定被测轮廓的尺寸、角度、圆弧半径等二维形状、位置参数的测量仪器。仪器的触针在被测轮廓表面滑移，传感器通过锐利触针感受被测表面的几何形状变化，并转换成电信号。该信号经放大和处理，在转换成数字信号贮存在计算机系统的存贮器中。计算机对此原始轮廓的数字信号进行数字滤波，并计算其参数。轮廓仪可用于测量各种机械零件素线形状和截面轮廓形状</w:t>
      </w:r>
      <w:r>
        <w:rPr>
          <w:rFonts w:hAnsi="宋体"/>
          <w:szCs w:val="21"/>
        </w:rPr>
        <w:t>。为</w:t>
      </w:r>
      <w:r>
        <w:rPr>
          <w:rFonts w:hint="eastAsia" w:hAnsi="宋体"/>
          <w:szCs w:val="21"/>
        </w:rPr>
        <w:t>保证</w:t>
      </w:r>
      <w:r>
        <w:rPr>
          <w:rFonts w:hAnsi="宋体"/>
          <w:szCs w:val="21"/>
        </w:rPr>
        <w:t>激光标距刻线机</w:t>
      </w:r>
      <w:r>
        <w:rPr>
          <w:rFonts w:hint="eastAsia" w:hAnsi="宋体"/>
          <w:szCs w:val="21"/>
        </w:rPr>
        <w:t>测试结果的</w:t>
      </w:r>
      <w:r>
        <w:rPr>
          <w:rFonts w:hAnsi="宋体"/>
          <w:szCs w:val="21"/>
        </w:rPr>
        <w:t>准确可靠，需要对其进行</w:t>
      </w:r>
      <w:r>
        <w:rPr>
          <w:rFonts w:hint="eastAsia" w:hAnsi="宋体"/>
          <w:szCs w:val="21"/>
        </w:rPr>
        <w:t>校准</w:t>
      </w:r>
      <w:r>
        <w:rPr>
          <w:rFonts w:hAnsi="宋体"/>
          <w:szCs w:val="21"/>
        </w:rPr>
        <w:t>，保证其量值准确、可靠、有源可溯。</w:t>
      </w:r>
    </w:p>
    <w:p w14:paraId="0685A8EE">
      <w:pPr>
        <w:pStyle w:val="21"/>
        <w:spacing w:line="400" w:lineRule="exact"/>
        <w:ind w:firstLine="420" w:firstLineChars="200"/>
        <w:rPr>
          <w:rFonts w:hAnsi="宋体"/>
          <w:szCs w:val="21"/>
        </w:rPr>
      </w:pPr>
      <w:r>
        <w:rPr>
          <w:rFonts w:hAnsi="宋体"/>
          <w:szCs w:val="21"/>
        </w:rPr>
        <w:t>本规范重点解决了</w:t>
      </w:r>
      <w:r>
        <w:rPr>
          <w:rFonts w:hint="eastAsia" w:hAnsi="宋体"/>
          <w:szCs w:val="21"/>
        </w:rPr>
        <w:t>轮廓仪</w:t>
      </w:r>
      <w:r>
        <w:rPr>
          <w:rFonts w:hAnsi="宋体"/>
          <w:szCs w:val="21"/>
        </w:rPr>
        <w:t>校准方法不统一、校准方法差异化、计量标准技术指标不明确、校准点的选择不统一、</w:t>
      </w:r>
      <w:r>
        <w:rPr>
          <w:rFonts w:hint="eastAsia" w:hAnsi="宋体"/>
          <w:szCs w:val="21"/>
        </w:rPr>
        <w:t>轮廓仪</w:t>
      </w:r>
      <w:r>
        <w:rPr>
          <w:rFonts w:hAnsi="宋体"/>
          <w:szCs w:val="21"/>
        </w:rPr>
        <w:t>的校准方法未规定等问题，弥补</w:t>
      </w:r>
      <w:r>
        <w:rPr>
          <w:rFonts w:hint="eastAsia" w:hAnsi="宋体"/>
          <w:szCs w:val="21"/>
        </w:rPr>
        <w:t>轮廓仪</w:t>
      </w:r>
      <w:r>
        <w:rPr>
          <w:rFonts w:hAnsi="宋体"/>
          <w:szCs w:val="21"/>
        </w:rPr>
        <w:t>校准的空白，为</w:t>
      </w:r>
      <w:r>
        <w:rPr>
          <w:rFonts w:hint="eastAsia" w:hAnsi="宋体"/>
          <w:szCs w:val="21"/>
        </w:rPr>
        <w:t>进行</w:t>
      </w:r>
      <w:r>
        <w:rPr>
          <w:rFonts w:hAnsi="宋体"/>
          <w:szCs w:val="21"/>
        </w:rPr>
        <w:t>量值传递提供</w:t>
      </w:r>
      <w:r>
        <w:rPr>
          <w:rFonts w:hint="eastAsia" w:hAnsi="宋体"/>
          <w:szCs w:val="21"/>
        </w:rPr>
        <w:t>了有效</w:t>
      </w:r>
      <w:r>
        <w:rPr>
          <w:rFonts w:hAnsi="宋体"/>
          <w:szCs w:val="21"/>
        </w:rPr>
        <w:t>保证，</w:t>
      </w:r>
      <w:r>
        <w:rPr>
          <w:rFonts w:hint="eastAsia" w:hAnsi="宋体"/>
          <w:szCs w:val="21"/>
        </w:rPr>
        <w:t>进一步</w:t>
      </w:r>
      <w:r>
        <w:rPr>
          <w:rFonts w:hAnsi="宋体"/>
          <w:szCs w:val="21"/>
        </w:rPr>
        <w:t>提高</w:t>
      </w:r>
      <w:r>
        <w:rPr>
          <w:rFonts w:hint="eastAsia" w:hAnsi="宋体"/>
          <w:szCs w:val="21"/>
        </w:rPr>
        <w:t>了轮廓仪</w:t>
      </w:r>
      <w:r>
        <w:rPr>
          <w:rFonts w:hAnsi="宋体"/>
          <w:szCs w:val="21"/>
        </w:rPr>
        <w:t>的准确性。</w:t>
      </w:r>
    </w:p>
    <w:p w14:paraId="20CAC740">
      <w:pPr>
        <w:pStyle w:val="3"/>
        <w:spacing w:before="156" w:after="156"/>
        <w:rPr>
          <w:b w:val="0"/>
          <w:bCs w:val="0"/>
        </w:rPr>
      </w:pPr>
      <w:r>
        <w:rPr>
          <w:rFonts w:hint="eastAsia"/>
          <w:b w:val="0"/>
          <w:bCs w:val="0"/>
        </w:rPr>
        <w:t>2.任务来源</w:t>
      </w:r>
      <w:bookmarkEnd w:id="2"/>
    </w:p>
    <w:p w14:paraId="2650A6DE">
      <w:pPr>
        <w:pStyle w:val="35"/>
        <w:spacing w:after="0" w:line="400" w:lineRule="exact"/>
        <w:ind w:firstLine="420" w:firstLineChars="200"/>
        <w:rPr>
          <w:rFonts w:hAnsi="宋体"/>
          <w:szCs w:val="21"/>
        </w:rPr>
      </w:pPr>
      <w:r>
        <w:rPr>
          <w:rFonts w:hint="eastAsia" w:hAnsi="宋体"/>
          <w:szCs w:val="21"/>
        </w:rPr>
        <w:t>根据工业和信息化部《关于印发202X年行业计量技术规范制修订计划的通知》（工XXX［202X］XXX号）文的要求，行业计量技术规范《接触（触针）式表面轮廓测量仪校准规范》由西安汉唐分析检测有限公司负责起草。该项目计划编号为</w:t>
      </w:r>
      <w:r>
        <w:rPr>
          <w:rFonts w:hAnsi="宋体"/>
          <w:szCs w:val="21"/>
        </w:rPr>
        <w:t>JJF</w:t>
      </w:r>
      <w:r>
        <w:rPr>
          <w:rFonts w:hint="eastAsia" w:hAnsi="宋体"/>
          <w:szCs w:val="21"/>
        </w:rPr>
        <w:t>Z（有色金属）XXXX-2</w:t>
      </w:r>
      <w:r>
        <w:rPr>
          <w:rFonts w:hAnsi="宋体"/>
          <w:szCs w:val="21"/>
        </w:rPr>
        <w:t>02</w:t>
      </w:r>
      <w:r>
        <w:rPr>
          <w:rFonts w:hint="eastAsia" w:hAnsi="宋体"/>
          <w:szCs w:val="21"/>
        </w:rPr>
        <w:t>X。</w:t>
      </w:r>
    </w:p>
    <w:p w14:paraId="14173992">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rPr>
        <w:t>5年完成制定</w:t>
      </w:r>
      <w:r>
        <w:rPr>
          <w:szCs w:val="21"/>
        </w:rPr>
        <w:t>。</w:t>
      </w:r>
    </w:p>
    <w:p w14:paraId="407CEFB4">
      <w:pPr>
        <w:pStyle w:val="3"/>
        <w:spacing w:before="156" w:after="156"/>
        <w:rPr>
          <w:b w:val="0"/>
          <w:bCs w:val="0"/>
        </w:rPr>
      </w:pPr>
      <w:r>
        <w:rPr>
          <w:rFonts w:hint="eastAsia"/>
          <w:b w:val="0"/>
          <w:bCs w:val="0"/>
        </w:rPr>
        <w:t>3.项目编制组单位简况</w:t>
      </w:r>
    </w:p>
    <w:p w14:paraId="5997A610">
      <w:pPr>
        <w:pStyle w:val="4"/>
        <w:spacing w:before="156" w:after="156"/>
        <w:rPr>
          <w:b w:val="0"/>
          <w:bCs w:val="0"/>
        </w:rPr>
      </w:pPr>
      <w:r>
        <w:rPr>
          <w:rFonts w:hint="eastAsia"/>
          <w:b w:val="0"/>
          <w:bCs w:val="0"/>
        </w:rPr>
        <w:t>3.1编制组成员单位</w:t>
      </w:r>
    </w:p>
    <w:p w14:paraId="4589D2ED">
      <w:pPr>
        <w:widowControl/>
        <w:autoSpaceDE w:val="0"/>
        <w:autoSpaceDN w:val="0"/>
        <w:spacing w:line="400" w:lineRule="exact"/>
        <w:ind w:firstLine="420" w:firstLineChars="200"/>
        <w:rPr>
          <w:szCs w:val="21"/>
        </w:rPr>
      </w:pPr>
      <w:bookmarkStart w:id="3" w:name="_Toc464728900"/>
      <w:bookmarkStart w:id="4" w:name="_Toc462884344"/>
      <w:r>
        <w:rPr>
          <w:rFonts w:hint="eastAsia"/>
          <w:szCs w:val="21"/>
        </w:rPr>
        <w:t>本规范的编制组单位为：</w:t>
      </w:r>
      <w:r>
        <w:rPr>
          <w:rFonts w:hint="eastAsia" w:hAnsi="宋体"/>
          <w:szCs w:val="21"/>
        </w:rPr>
        <w:t>西安汉唐分析检测有限公司</w:t>
      </w:r>
      <w:r>
        <w:rPr>
          <w:rFonts w:hint="eastAsia"/>
          <w:szCs w:val="21"/>
        </w:rPr>
        <w:t>有限公司、青海大学、西安建筑科技大学、西南铝业（集团）有限责任公司、中铝洛阳铜业检测技术有限公司</w:t>
      </w:r>
      <w:r>
        <w:rPr>
          <w:szCs w:val="21"/>
        </w:rPr>
        <w:t>、广东省科学院新材料研究院、</w:t>
      </w:r>
      <w:r>
        <w:rPr>
          <w:rFonts w:hint="eastAsia" w:cs="Times New Roman"/>
          <w:lang w:val="en-US" w:eastAsia="zh-CN"/>
        </w:rPr>
        <w:t>有色金属技术经济研究院有限责任公司</w:t>
      </w:r>
      <w:r>
        <w:rPr>
          <w:rFonts w:hint="eastAsia"/>
          <w:szCs w:val="21"/>
        </w:rPr>
        <w:t>。</w:t>
      </w:r>
    </w:p>
    <w:p w14:paraId="35A2F108">
      <w:pPr>
        <w:pStyle w:val="4"/>
        <w:spacing w:before="156" w:after="156"/>
        <w:rPr>
          <w:b w:val="0"/>
          <w:bCs w:val="0"/>
        </w:rPr>
      </w:pPr>
      <w:r>
        <w:rPr>
          <w:rFonts w:hint="eastAsia"/>
          <w:b w:val="0"/>
          <w:bCs w:val="0"/>
        </w:rPr>
        <w:t>3.2 主编单位简介</w:t>
      </w:r>
    </w:p>
    <w:bookmarkEnd w:id="3"/>
    <w:bookmarkEnd w:id="4"/>
    <w:p w14:paraId="0411A109">
      <w:pPr>
        <w:spacing w:line="400" w:lineRule="exact"/>
        <w:ind w:firstLine="420" w:firstLineChars="200"/>
        <w:rPr>
          <w:szCs w:val="21"/>
        </w:rPr>
      </w:pPr>
      <w:r>
        <w:rPr>
          <w:rFonts w:hint="eastAsia"/>
          <w:szCs w:val="21"/>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14:paraId="479EC2E0">
      <w:pPr>
        <w:spacing w:line="360" w:lineRule="auto"/>
        <w:ind w:firstLine="420" w:firstLineChars="200"/>
        <w:rPr>
          <w:szCs w:val="21"/>
        </w:rPr>
      </w:pPr>
      <w:r>
        <w:rPr>
          <w:rFonts w:hint="eastAsia"/>
          <w:szCs w:val="21"/>
        </w:rPr>
        <w:t>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14:paraId="459446D8">
      <w:pPr>
        <w:spacing w:line="400" w:lineRule="exact"/>
        <w:ind w:firstLine="420" w:firstLineChars="200"/>
        <w:rPr>
          <w:color w:val="0000FF"/>
          <w:szCs w:val="21"/>
        </w:rPr>
      </w:pPr>
      <w:r>
        <w:rPr>
          <w:rFonts w:hint="eastAsia"/>
          <w:szCs w:val="21"/>
        </w:rPr>
        <w:t>近10年起草有色金属国家/行业规范共80余项、发表论文120余篇、授权专利30余项。先后荣获中国有色金属工业一等奖、二等奖20余次。</w:t>
      </w:r>
    </w:p>
    <w:p w14:paraId="11D6738D">
      <w:pPr>
        <w:spacing w:line="400" w:lineRule="exact"/>
        <w:ind w:firstLine="420" w:firstLineChars="200"/>
        <w:contextualSpacing/>
        <w:jc w:val="left"/>
        <w:rPr>
          <w:szCs w:val="21"/>
        </w:rPr>
      </w:pPr>
      <w:r>
        <w:rPr>
          <w:rFonts w:hint="eastAsia"/>
          <w:szCs w:val="21"/>
        </w:rPr>
        <w:t>本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0F028119">
      <w:pPr>
        <w:pStyle w:val="60"/>
        <w:numPr>
          <w:ilvl w:val="0"/>
          <w:numId w:val="0"/>
        </w:numPr>
        <w:spacing w:before="156" w:beforeLines="50" w:after="156" w:afterLines="50"/>
        <w:rPr>
          <w:color w:val="auto"/>
        </w:rPr>
      </w:pPr>
      <w:bookmarkStart w:id="5" w:name="_Toc464728901"/>
      <w:bookmarkStart w:id="6" w:name="_Toc462884345"/>
      <w:r>
        <w:rPr>
          <w:rFonts w:hint="eastAsia"/>
          <w:color w:val="auto"/>
        </w:rPr>
        <w:t>3.3成员单位简介</w:t>
      </w:r>
      <w:bookmarkEnd w:id="5"/>
      <w:bookmarkEnd w:id="6"/>
    </w:p>
    <w:p w14:paraId="5F6A2752">
      <w:pPr>
        <w:pStyle w:val="59"/>
        <w:numPr>
          <w:ilvl w:val="0"/>
          <w:numId w:val="0"/>
        </w:numPr>
        <w:spacing w:before="156" w:beforeLines="50" w:after="156" w:afterLines="50"/>
        <w:contextualSpacing/>
        <w:rPr>
          <w:szCs w:val="21"/>
        </w:rPr>
      </w:pPr>
      <w:r>
        <w:rPr>
          <w:rFonts w:hint="eastAsia"/>
        </w:rPr>
        <w:t>3.3.1</w:t>
      </w:r>
      <w:r>
        <w:rPr>
          <w:rFonts w:hint="eastAsia" w:ascii="Times New Roman"/>
        </w:rPr>
        <w:t xml:space="preserve">  </w:t>
      </w:r>
      <w:r>
        <w:rPr>
          <w:rFonts w:hint="eastAsia"/>
          <w:szCs w:val="21"/>
        </w:rPr>
        <w:t>青海大学</w:t>
      </w:r>
    </w:p>
    <w:p w14:paraId="6766E6E8">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青海大学是一所以工、农、医、管四大学科为主，其他学科协调发展的教学研究型大学。科研项目是支持开展高水平科学研究、产出一流学术成果、攻关关键核心技术、培养一流人才、实现高水平科技自立自强的重要依托。国家科技计划项目、青海省科技计划项目是我校科研项目和经费的主要来源。</w:t>
      </w:r>
    </w:p>
    <w:p w14:paraId="1DE2EE0D">
      <w:pPr>
        <w:spacing w:line="360" w:lineRule="auto"/>
        <w:ind w:firstLine="420" w:firstLineChars="200"/>
        <w:rPr>
          <w:szCs w:val="21"/>
        </w:rPr>
      </w:pPr>
      <w:r>
        <w:rPr>
          <w:rFonts w:hint="eastAsia" w:ascii="Times New Roman" w:hAnsi="Times New Roman" w:eastAsia="宋体" w:cs="Times New Roman"/>
          <w:szCs w:val="21"/>
        </w:rPr>
        <w:t>    2024年，获批各级各类项目149个，青海省帅才科学家项目2个。  2023年，获批各级各类项目668个，其中，国家社科基金项目6个、国家自然科学基金项目37个、青海省帅才科学家项目1个。2022年，获批各级各类项目451个，其中，国家社科基金项目8个、国家自然科学基金项目41个、国家重点研发计划项目4个、政府间国际科技创新合作项目1个、青海省帅才科学家项目1个。2021年，获批各级各类项目450个，其中，国家社科基金项目5个、国家自然科学基金项目48个、国家重点研发计划项目1个。</w:t>
      </w:r>
    </w:p>
    <w:p w14:paraId="6041248B">
      <w:pPr>
        <w:pStyle w:val="59"/>
        <w:numPr>
          <w:ilvl w:val="0"/>
          <w:numId w:val="0"/>
        </w:numPr>
        <w:spacing w:before="156" w:beforeLines="50" w:after="156" w:afterLines="50"/>
        <w:contextualSpacing/>
        <w:rPr>
          <w:szCs w:val="21"/>
        </w:rPr>
      </w:pPr>
      <w:r>
        <w:rPr>
          <w:rFonts w:hint="eastAsia"/>
        </w:rPr>
        <w:t>3.3.2</w:t>
      </w:r>
      <w:r>
        <w:rPr>
          <w:rFonts w:hint="eastAsia" w:ascii="Times New Roman"/>
        </w:rPr>
        <w:t xml:space="preserve">  </w:t>
      </w:r>
      <w:r>
        <w:rPr>
          <w:rFonts w:hint="eastAsia"/>
          <w:szCs w:val="21"/>
        </w:rPr>
        <w:t>西安建筑科技大学</w:t>
      </w:r>
    </w:p>
    <w:p w14:paraId="08CEDA0F">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学校是国务院首批批准有权授予博士、硕士和学士学位的单位。拥有原国家重点学科3个（结构工程、环境工程、建筑设计及其理论），连续两轮入选陕西省国家"双一流"培育高校，建筑学入选陕西省国家"双一流"培育学科。学校现有博士点13个，其中，一级学科博士学位授权点10个、博士专业学位授权点3个，博士后流动站8个；硕士点46个，其中，一级学科硕士学位授权点27个，硕士专业学位授权点19个。博士点涉及工学、管理学、交叉学科等3个学科门类，硕士点涉及工学、管理学、艺术学、理学、法学、哲学、文学、教育学、交叉学科等9个学科门类，基本涵盖学校所有本科专业。学校紧盯"双一流"建设目标，不断强化学科内涵建设，学科发展取得里程碑式的成绩，建筑学、土木工程、环境科学与工程3个学科在全国第五轮学科评估中取得重要突破，城乡规划学、风景园林学、管理科学与工程、材料科学与工程等4个学科取得预期成果，"建筑科技"学科链群优势更加彰显。4个学科入选教育部优先发展学科建议清单，明确建筑学力争进入世界一流学科行列。工程学、环境与生态学、材料科学、化学、生物学与生物化学、社会科学总论6个学科进入ESI全球排名前1%，其中工程学进入全球前1‰。建筑与建造环境学科进入QS世界大学学科排名前200名。6个学科入选"软科世界一流学科排名"榜单，13个学科入选"软科中国最好学科"榜单，建筑学始终位列"软科中国最好学科排名"前5%。</w:t>
      </w:r>
    </w:p>
    <w:p w14:paraId="35AC7611">
      <w:pPr>
        <w:spacing w:line="360" w:lineRule="auto"/>
        <w:ind w:firstLine="420" w:firstLineChars="200"/>
      </w:pPr>
      <w:r>
        <w:rPr>
          <w:rFonts w:hint="eastAsia" w:ascii="Times New Roman" w:hAnsi="Times New Roman" w:eastAsia="宋体" w:cs="Times New Roman"/>
          <w:szCs w:val="21"/>
          <w:lang w:val="en-US" w:eastAsia="zh-CN"/>
        </w:rPr>
        <w:t>学校现有22个学院，67个本科专业，其中，建筑学、城乡规划、风景园林、土木工程、城市地下空间工程、给排水科学与工程、环境工程、工程管理、材料科学与工程、材料成型及控制工程、环境设计、建筑环境与能源应用工程、建筑电气与智能化、文化产业管理、冶金工程、交通运输、历史建筑保护工程、工商管理、机械设计制造及其自动化、计算机科学与技术、信息管理与信息系统、自动化、雕塑、环境科学、视觉传达设计、工程力学、社会体育指导与管理27个专业入选国家级一流本科专业建设点，35个专业入选陕西省一流本科专业建设点。建筑学、土木工程、工程管理、城乡规划、建筑环境与能源应用工程、给排水科学与工程、环境工程、材料科学与工程、冶金工程、计算机科学与技术、功能材料、机械设计制造及其自动化、采矿工程、自动化、交通运输、矿物加工工程16个专业相继通过国家专业评估认证。</w:t>
      </w:r>
    </w:p>
    <w:p w14:paraId="7C7C621D">
      <w:pPr>
        <w:pStyle w:val="59"/>
        <w:numPr>
          <w:ilvl w:val="0"/>
          <w:numId w:val="0"/>
        </w:numPr>
        <w:spacing w:before="156" w:beforeLines="50" w:after="156" w:afterLines="50"/>
        <w:contextualSpacing/>
        <w:rPr>
          <w:szCs w:val="21"/>
        </w:rPr>
      </w:pPr>
      <w:r>
        <w:rPr>
          <w:rFonts w:hint="eastAsia"/>
        </w:rPr>
        <w:t>3.3.3</w:t>
      </w:r>
      <w:r>
        <w:rPr>
          <w:rFonts w:hint="eastAsia"/>
          <w:szCs w:val="21"/>
        </w:rPr>
        <w:t>西南铝业（集团）有限责任公司</w:t>
      </w:r>
    </w:p>
    <w:p w14:paraId="4E0118D2">
      <w:pPr>
        <w:spacing w:line="360" w:lineRule="auto"/>
        <w:ind w:firstLine="420" w:firstLineChars="200"/>
        <w:rPr>
          <w:szCs w:val="21"/>
        </w:rPr>
      </w:pPr>
      <w:r>
        <w:t> </w:t>
      </w:r>
      <w:r>
        <w:rPr>
          <w:rFonts w:hint="eastAsia"/>
          <w:szCs w:val="21"/>
        </w:rPr>
        <w:t>西南铝业（集团）有限责任公司（简称西南铝）是中铝集团、中铝高端核心铝加工企业，其前身是西南铝加工厂。经过近60年的发展，已成为我国综合实力最强的特大型铝加工企业之一，是我国航空航天和重点工程材料研发保障、高精尖铝材研发生产和出口的核心基地，正朝着制造业高端化、智能化、绿色化方向高质量发展！</w:t>
      </w:r>
    </w:p>
    <w:p w14:paraId="01A0F120">
      <w:pPr>
        <w:spacing w:line="360" w:lineRule="auto"/>
        <w:ind w:firstLine="420" w:firstLineChars="200"/>
        <w:rPr>
          <w:szCs w:val="21"/>
        </w:rPr>
      </w:pPr>
      <w:r>
        <w:rPr>
          <w:rFonts w:hint="eastAsia"/>
          <w:szCs w:val="21"/>
        </w:rPr>
        <w:t>西南铝荟萃了中国现代铝加工技术装备的精华，装备有以 3 万吨模锻压机为代表的“四大国宝”，以及高精铝及铝合金板带材热连轧生产线、冷连轧生产线、铝合金厚板生产线，形成了航空航天、重点工程、交通运输、金属包装、电子信息、通用工程用铝材等 6 大系列支柱产品。投产以来，先后为我国第一座高能加速器、“长征”系列火箭、“天宫”系列目标飞行器、 “神舟”系列飞船、“嫦娥”系列探月卫星、“天眼”、国产大飞机、C919 等数十项航空航天和国家重点建设工程提供了上千个品种的高性能、高品质关键铝材。产品畅销国内，出口五大洲、40 多个国家和地区。企业品牌影响力和美誉度不断提升，在行业内保持领先地位。</w:t>
      </w:r>
    </w:p>
    <w:p w14:paraId="4199D559">
      <w:pPr>
        <w:pStyle w:val="59"/>
        <w:numPr>
          <w:ilvl w:val="0"/>
          <w:numId w:val="0"/>
        </w:numPr>
        <w:spacing w:before="156" w:beforeLines="50" w:after="156" w:afterLines="50"/>
        <w:contextualSpacing/>
      </w:pPr>
      <w:r>
        <w:rPr>
          <w:rFonts w:hint="eastAsia"/>
        </w:rPr>
        <w:t>3.3.</w:t>
      </w:r>
      <w:r>
        <w:rPr>
          <w:rFonts w:hint="eastAsia"/>
          <w:lang w:val="en-US" w:eastAsia="zh-CN"/>
        </w:rPr>
        <w:t>4</w:t>
      </w:r>
      <w:r>
        <w:rPr>
          <w:rFonts w:hint="eastAsia"/>
        </w:rPr>
        <w:t>中铝洛阳铜业检测技术有限公司</w:t>
      </w:r>
    </w:p>
    <w:p w14:paraId="21F17EBE">
      <w:pPr>
        <w:pStyle w:val="58"/>
        <w:spacing w:line="360" w:lineRule="auto"/>
        <w:ind w:firstLine="420"/>
        <w:rPr>
          <w:rFonts w:ascii="Times New Roman" w:hAnsi="Times New Roman"/>
          <w:kern w:val="2"/>
          <w:szCs w:val="21"/>
        </w:rPr>
      </w:pPr>
      <w:r>
        <w:rPr>
          <w:rFonts w:ascii="Times New Roman" w:hAnsi="Times New Roman"/>
          <w:kern w:val="2"/>
          <w:szCs w:val="21"/>
        </w:rPr>
        <w:t>中铝洛阳铜业检测技术有限公司是集金属材料测试与研究于一体的综合性机构，主要从事有色金属与合金及矿冶产品的化学成份分析，金属材料及其制品微观组织、力学性能、物理性能、无损探伤、耐蚀性能的检测和研究，铜及铜合金产品的失效分析，同时还进行有色金属标准样品的研制与销售。</w:t>
      </w:r>
    </w:p>
    <w:p w14:paraId="5ABB4D0D">
      <w:pPr>
        <w:widowControl/>
        <w:shd w:val="clear" w:color="auto" w:fill="FFFFFF"/>
        <w:wordWrap w:val="0"/>
        <w:spacing w:line="360" w:lineRule="auto"/>
        <w:ind w:firstLine="420" w:firstLineChars="200"/>
        <w:rPr>
          <w:szCs w:val="21"/>
        </w:rPr>
      </w:pPr>
      <w:r>
        <w:rPr>
          <w:szCs w:val="21"/>
        </w:rPr>
        <w:t>作为国家工业和信息化部授权的“有色金属标准样品定点研制单位”，检测中心于2014年获得“标准物质/标准样品生产者”体系认证，是有色行业通过认可的机构。60多年来研制了近百套行业级铜及铜合金标准样品。研制严谨、仪器先进、质量稳定、定值准确，多次获中国有色金属工业科学技术奖。</w:t>
      </w:r>
    </w:p>
    <w:p w14:paraId="2801572E">
      <w:pPr>
        <w:widowControl/>
        <w:shd w:val="clear" w:color="auto" w:fill="FFFFFF"/>
        <w:wordWrap w:val="0"/>
        <w:spacing w:line="360" w:lineRule="auto"/>
        <w:ind w:firstLine="420" w:firstLineChars="200"/>
        <w:rPr>
          <w:szCs w:val="21"/>
        </w:rPr>
      </w:pPr>
      <w:r>
        <w:rPr>
          <w:szCs w:val="21"/>
        </w:rPr>
        <w:t>机构主持起草有：《铜及铜合金化学分析方法》、《铜及铜合金材料室温拉伸试验方法》、《铜及铜合金平均晶粒度测定方法》、《铜及铜合金导电率涡流测试方法》、《黄铜耐脱锌腐蚀性能的测定》、《铜氢脆检验方法》、《铜及铜合金加工材残余应力检验方法》、《铜及铜合金软化温度的测定》、《铜及铜合金板材超声波探伤方法》及《铜及铜合金棒材超声波探伤方法》等40多项国家/行业标准方法，编写有《铜及铜合金金相图谱》等8本专著</w:t>
      </w:r>
    </w:p>
    <w:p w14:paraId="02FCF3D6">
      <w:pPr>
        <w:pStyle w:val="59"/>
        <w:numPr>
          <w:ilvl w:val="0"/>
          <w:numId w:val="0"/>
        </w:numPr>
        <w:spacing w:before="156" w:beforeLines="50" w:after="156" w:afterLines="50"/>
        <w:contextualSpacing/>
      </w:pPr>
      <w:r>
        <w:rPr>
          <w:rFonts w:hint="eastAsia"/>
        </w:rPr>
        <w:t>3.3.</w:t>
      </w:r>
      <w:r>
        <w:rPr>
          <w:rFonts w:hint="eastAsia"/>
          <w:lang w:val="en-US" w:eastAsia="zh-CN"/>
        </w:rPr>
        <w:t>5</w:t>
      </w:r>
      <w:r>
        <w:t>广东省科学院新材料研究院</w:t>
      </w:r>
    </w:p>
    <w:p w14:paraId="558DDF97">
      <w:pPr>
        <w:pStyle w:val="58"/>
        <w:spacing w:line="360" w:lineRule="auto"/>
        <w:ind w:firstLine="420"/>
        <w:rPr>
          <w:rFonts w:ascii="Times New Roman" w:hAnsi="Times New Roman"/>
          <w:kern w:val="2"/>
          <w:szCs w:val="21"/>
        </w:rPr>
      </w:pPr>
      <w:r>
        <w:rPr>
          <w:rFonts w:hint="eastAsia" w:ascii="Times New Roman" w:hAnsi="Times New Roman"/>
          <w:kern w:val="2"/>
          <w:szCs w:val="21"/>
        </w:rPr>
        <w:t>广东省科学院新材料研究所隶属广东省科学院，为其骨干科研院所，公益二类事业单位。研究所主要围绕广东省战略新兴产业、重点传统产业和高端装备制造业及国家重大工程对产品开发及装备性能不断提升的需求，面向航空航天、海洋工程、先进装备制造、新能源汽车、机械、电力、矿山、轨道交通、医疗器械等领域，开展热（冷）喷涂技术、铝镁轻金属材料、真空镀膜技术、金属基复合材料、激光制造技术、高性能粉末冶金和表面分析检测技术的研究与应用。</w:t>
      </w:r>
    </w:p>
    <w:p w14:paraId="56EE17C9">
      <w:pPr>
        <w:pStyle w:val="58"/>
        <w:spacing w:line="360" w:lineRule="auto"/>
        <w:ind w:firstLine="420"/>
        <w:rPr>
          <w:rFonts w:hint="eastAsia" w:ascii="Times New Roman" w:hAnsi="Times New Roman"/>
          <w:kern w:val="2"/>
          <w:szCs w:val="21"/>
        </w:rPr>
      </w:pPr>
      <w:r>
        <w:rPr>
          <w:rFonts w:hint="eastAsia" w:ascii="Times New Roman" w:hAnsi="Times New Roman"/>
          <w:kern w:val="2"/>
          <w:szCs w:val="21"/>
        </w:rPr>
        <w:t>研究所建立了ISO9001质量体系，通过了GB/T 33250-2016科研机构知识产权管理体系认证、中国合格评定认可委员会CNAS资质认证，国家检验检测机构CMA资质认证。</w:t>
      </w:r>
    </w:p>
    <w:p w14:paraId="43A77ED2">
      <w:pPr>
        <w:pStyle w:val="59"/>
        <w:numPr>
          <w:ilvl w:val="0"/>
          <w:numId w:val="0"/>
        </w:numPr>
        <w:spacing w:before="156" w:beforeLines="50" w:after="156" w:afterLines="50"/>
        <w:contextualSpacing/>
        <w:rPr>
          <w:rFonts w:hint="eastAsia" w:cs="Times New Roman"/>
          <w:lang w:val="en-US" w:eastAsia="zh-CN"/>
        </w:rPr>
      </w:pPr>
      <w:r>
        <w:rPr>
          <w:rFonts w:hint="eastAsia" w:cs="Times New Roman"/>
          <w:lang w:val="en-US" w:eastAsia="zh-CN"/>
        </w:rPr>
        <w:t>3.3.6 有色金属技术经济研究院有限责任公司</w:t>
      </w:r>
    </w:p>
    <w:p w14:paraId="53075F62">
      <w:pPr>
        <w:pStyle w:val="58"/>
        <w:spacing w:line="360" w:lineRule="auto"/>
        <w:ind w:firstLine="420"/>
        <w:rPr>
          <w:rFonts w:hint="default" w:ascii="Times New Roman" w:hAnsi="Times New Roman" w:eastAsia="宋体" w:cs="Times New Roman"/>
          <w:kern w:val="2"/>
          <w:szCs w:val="21"/>
          <w:lang w:val="en-US" w:eastAsia="zh-CN"/>
        </w:rPr>
      </w:pPr>
      <w:r>
        <w:rPr>
          <w:rFonts w:hint="eastAsia" w:ascii="Times New Roman" w:hAnsi="Times New Roman" w:eastAsia="宋体" w:cs="Times New Roman"/>
          <w:kern w:val="2"/>
          <w:szCs w:val="21"/>
        </w:rPr>
        <w:t>有色金属技术经济研究院有限责任公司成立于1983年3月，与中国有色金属工业总公司同时经国家批准建立，最初名称为“中国有色金属总公司技术经济研究中心”，后改名“中国有色金属工业总公司技术经济研究院”，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775ABBDB">
      <w:pPr>
        <w:pStyle w:val="60"/>
        <w:numPr>
          <w:ilvl w:val="2"/>
          <w:numId w:val="0"/>
        </w:numPr>
        <w:spacing w:before="156" w:beforeLines="50" w:after="156" w:afterLines="50" w:line="240" w:lineRule="auto"/>
        <w:rPr>
          <w:rFonts w:ascii="Times New Roman" w:eastAsia="宋体"/>
          <w:color w:val="auto"/>
          <w:szCs w:val="21"/>
        </w:rPr>
      </w:pPr>
      <w:bookmarkStart w:id="7" w:name="_Toc462884347"/>
      <w:bookmarkStart w:id="8" w:name="_Toc464728903"/>
      <w:r>
        <w:rPr>
          <w:rFonts w:hint="eastAsia"/>
          <w:color w:val="auto"/>
        </w:rPr>
        <w:t>3.4</w:t>
      </w:r>
      <w:r>
        <w:rPr>
          <w:rFonts w:hint="eastAsia" w:ascii="Times New Roman" w:eastAsia="宋体"/>
          <w:color w:val="auto"/>
          <w:szCs w:val="21"/>
        </w:rPr>
        <w:t>各单位分工情况</w:t>
      </w:r>
    </w:p>
    <w:p w14:paraId="43DBB14C">
      <w:pPr>
        <w:pStyle w:val="59"/>
        <w:numPr>
          <w:ilvl w:val="3"/>
          <w:numId w:val="0"/>
        </w:numPr>
        <w:spacing w:before="156" w:beforeLines="50" w:after="156" w:afterLines="50"/>
        <w:ind w:left="2" w:firstLine="396" w:firstLineChars="200"/>
        <w:contextualSpacing/>
        <w:rPr>
          <w:rFonts w:ascii="宋体" w:hAnsi="宋体" w:eastAsia="宋体" w:cs="宋体"/>
          <w:color w:val="auto"/>
          <w:kern w:val="2"/>
          <w:szCs w:val="21"/>
        </w:rPr>
      </w:pPr>
      <w:r>
        <w:rPr>
          <w:rFonts w:hint="eastAsia" w:ascii="Times New Roman" w:hAnsi="Times New Roman" w:eastAsia="宋体"/>
          <w:szCs w:val="21"/>
        </w:rPr>
        <w:t>编制组依据各单位情况，对整个规范的起草进行了分工。西安汉唐分析检测有限公司（主编单位）</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000000" w:themeColor="text1"/>
          <w:kern w:val="2"/>
          <w:szCs w:val="21"/>
          <w14:textFill>
            <w14:solidFill>
              <w14:schemeClr w14:val="tx1"/>
            </w14:solidFill>
          </w14:textFill>
        </w:rPr>
        <w:t>收集，完成分析方法研究工作，撰写标准文稿、编制说明和研究报告</w:t>
      </w:r>
      <w:r>
        <w:rPr>
          <w:rFonts w:hint="eastAsia" w:ascii="宋体" w:hAnsi="宋体" w:eastAsia="宋体" w:cs="宋体"/>
          <w:color w:val="000000" w:themeColor="text1"/>
          <w:kern w:val="2"/>
          <w:szCs w:val="21"/>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有色金属技术经济研究院有限责任公司、</w:t>
      </w:r>
      <w:r>
        <w:rPr>
          <w:rFonts w:ascii="Times New Roman" w:hAnsi="Times New Roman" w:eastAsia="宋体"/>
          <w:color w:val="000000" w:themeColor="text1"/>
          <w:szCs w:val="21"/>
          <w14:textFill>
            <w14:solidFill>
              <w14:schemeClr w14:val="tx1"/>
            </w14:solidFill>
          </w14:textFill>
        </w:rPr>
        <w:t>西安汉唐分析检测有限公司</w:t>
      </w:r>
      <w:r>
        <w:rPr>
          <w:rFonts w:hint="eastAsia"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color w:val="000000" w:themeColor="text1"/>
          <w:szCs w:val="21"/>
          <w:lang w:val="en-US" w:eastAsia="zh-CN"/>
          <w14:textFill>
            <w14:solidFill>
              <w14:schemeClr w14:val="tx1"/>
            </w14:solidFill>
          </w14:textFill>
        </w:rPr>
        <w:t>青海大学</w:t>
      </w:r>
      <w:r>
        <w:rPr>
          <w:rFonts w:hint="eastAsia"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广东省科学院新材料研究院</w:t>
      </w:r>
      <w:r>
        <w:rPr>
          <w:rFonts w:hint="eastAsia" w:ascii="Times New Roman" w:hAnsi="Times New Roman" w:eastAsia="宋体"/>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中铝洛阳铜</w:t>
      </w:r>
      <w:r>
        <w:rPr>
          <w:rFonts w:hint="eastAsia" w:ascii="Times New Roman" w:hAnsi="Times New Roman" w:eastAsia="宋体" w:cs="Times New Roman"/>
          <w:color w:val="000000" w:themeColor="text1"/>
          <w:szCs w:val="21"/>
          <w:lang w:val="en-US" w:eastAsia="zh-CN"/>
          <w14:textFill>
            <w14:solidFill>
              <w14:schemeClr w14:val="tx1"/>
            </w14:solidFill>
          </w14:textFill>
        </w:rPr>
        <w:t>加工</w:t>
      </w:r>
      <w:r>
        <w:rPr>
          <w:rFonts w:hint="eastAsia" w:ascii="Times New Roman" w:hAnsi="Times New Roman" w:eastAsia="宋体" w:cs="Times New Roman"/>
          <w:color w:val="000000" w:themeColor="text1"/>
          <w:szCs w:val="21"/>
          <w14:textFill>
            <w14:solidFill>
              <w14:schemeClr w14:val="tx1"/>
            </w14:solidFill>
          </w14:textFill>
        </w:rPr>
        <w:t>有限公司</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西南铝业（集团）有限责任公司</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西安建筑科技大学</w:t>
      </w:r>
      <w:r>
        <w:rPr>
          <w:rFonts w:hint="eastAsia" w:ascii="Times New Roman" w:hAnsi="Times New Roman" w:eastAsia="宋体"/>
          <w:color w:val="000000" w:themeColor="text1"/>
          <w:szCs w:val="21"/>
          <w14:textFill>
            <w14:solidFill>
              <w14:schemeClr w14:val="tx1"/>
            </w14:solidFill>
          </w14:textFill>
        </w:rPr>
        <w:t>对规范内容提出具体修改意见</w:t>
      </w:r>
      <w:r>
        <w:rPr>
          <w:rFonts w:hint="eastAsia" w:ascii="Times New Roman" w:hAnsi="Times New Roman" w:eastAsia="宋体"/>
          <w:color w:val="FF0000"/>
          <w:szCs w:val="21"/>
        </w:rPr>
        <w:t>，</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14:paraId="40DD5ECF">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139"/>
        <w:gridCol w:w="1827"/>
        <w:gridCol w:w="4436"/>
      </w:tblGrid>
      <w:tr w14:paraId="12D5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4D5A16C2">
            <w:pPr>
              <w:spacing w:line="360" w:lineRule="auto"/>
              <w:jc w:val="center"/>
              <w:rPr>
                <w:szCs w:val="21"/>
              </w:rPr>
            </w:pPr>
            <w:r>
              <w:rPr>
                <w:rFonts w:hint="eastAsia"/>
                <w:szCs w:val="21"/>
              </w:rPr>
              <w:t>单位</w:t>
            </w:r>
          </w:p>
        </w:tc>
        <w:tc>
          <w:tcPr>
            <w:tcW w:w="595" w:type="pct"/>
          </w:tcPr>
          <w:p w14:paraId="39F74A8A">
            <w:pPr>
              <w:spacing w:line="360" w:lineRule="auto"/>
              <w:jc w:val="center"/>
              <w:rPr>
                <w:szCs w:val="21"/>
              </w:rPr>
            </w:pPr>
            <w:r>
              <w:rPr>
                <w:rFonts w:hint="eastAsia"/>
                <w:szCs w:val="21"/>
              </w:rPr>
              <w:t>人员</w:t>
            </w:r>
          </w:p>
        </w:tc>
        <w:tc>
          <w:tcPr>
            <w:tcW w:w="954" w:type="pct"/>
          </w:tcPr>
          <w:p w14:paraId="4CD25116">
            <w:pPr>
              <w:spacing w:line="360" w:lineRule="auto"/>
              <w:jc w:val="center"/>
              <w:rPr>
                <w:szCs w:val="21"/>
              </w:rPr>
            </w:pPr>
            <w:r>
              <w:rPr>
                <w:rFonts w:hint="eastAsia"/>
                <w:szCs w:val="21"/>
              </w:rPr>
              <w:t>职称</w:t>
            </w:r>
          </w:p>
        </w:tc>
        <w:tc>
          <w:tcPr>
            <w:tcW w:w="2317" w:type="pct"/>
          </w:tcPr>
          <w:p w14:paraId="05BA5B1D">
            <w:pPr>
              <w:spacing w:line="360" w:lineRule="auto"/>
              <w:jc w:val="center"/>
              <w:rPr>
                <w:szCs w:val="21"/>
              </w:rPr>
            </w:pPr>
            <w:r>
              <w:rPr>
                <w:rFonts w:hint="eastAsia"/>
                <w:szCs w:val="21"/>
              </w:rPr>
              <w:t>工作分工</w:t>
            </w:r>
          </w:p>
        </w:tc>
      </w:tr>
      <w:tr w14:paraId="09D1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restart"/>
            <w:vAlign w:val="center"/>
          </w:tcPr>
          <w:p w14:paraId="5F450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r>
              <w:rPr>
                <w:szCs w:val="21"/>
              </w:rPr>
              <w:t>西安汉唐分析检测有限公司</w:t>
            </w:r>
          </w:p>
        </w:tc>
        <w:tc>
          <w:tcPr>
            <w:tcW w:w="595" w:type="pct"/>
            <w:vAlign w:val="center"/>
          </w:tcPr>
          <w:p w14:paraId="6F5C5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房永强</w:t>
            </w:r>
          </w:p>
        </w:tc>
        <w:tc>
          <w:tcPr>
            <w:tcW w:w="954" w:type="pct"/>
            <w:vAlign w:val="center"/>
          </w:tcPr>
          <w:p w14:paraId="2740D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高工</w:t>
            </w:r>
          </w:p>
        </w:tc>
        <w:tc>
          <w:tcPr>
            <w:tcW w:w="2317" w:type="pct"/>
            <w:vMerge w:val="restart"/>
            <w:vAlign w:val="center"/>
          </w:tcPr>
          <w:p w14:paraId="481B5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规范起草编制，试验方案编订，实验数据分析，编制说明的撰写工作，会议纪要整理及规范的完善。</w:t>
            </w:r>
          </w:p>
        </w:tc>
      </w:tr>
      <w:tr w14:paraId="7504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continue"/>
            <w:shd w:val="clear" w:color="auto" w:fill="auto"/>
            <w:vAlign w:val="center"/>
          </w:tcPr>
          <w:p w14:paraId="71EA6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595" w:type="pct"/>
            <w:vAlign w:val="center"/>
          </w:tcPr>
          <w:p w14:paraId="1EB55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郑铱</w:t>
            </w:r>
          </w:p>
        </w:tc>
        <w:tc>
          <w:tcPr>
            <w:tcW w:w="954" w:type="pct"/>
            <w:vAlign w:val="center"/>
          </w:tcPr>
          <w:p w14:paraId="0DB80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工程师</w:t>
            </w:r>
          </w:p>
        </w:tc>
        <w:tc>
          <w:tcPr>
            <w:tcW w:w="2317" w:type="pct"/>
            <w:vMerge w:val="continue"/>
            <w:vAlign w:val="center"/>
          </w:tcPr>
          <w:p w14:paraId="7CFCF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p>
        </w:tc>
      </w:tr>
      <w:tr w14:paraId="7E56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continue"/>
            <w:shd w:val="clear" w:color="auto" w:fill="auto"/>
            <w:vAlign w:val="center"/>
          </w:tcPr>
          <w:p w14:paraId="1D84D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595" w:type="pct"/>
            <w:vAlign w:val="center"/>
          </w:tcPr>
          <w:p w14:paraId="451BC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朱路瑶</w:t>
            </w:r>
          </w:p>
        </w:tc>
        <w:tc>
          <w:tcPr>
            <w:tcW w:w="954" w:type="pct"/>
            <w:vAlign w:val="center"/>
          </w:tcPr>
          <w:p w14:paraId="4FA7A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助理工程师</w:t>
            </w:r>
          </w:p>
        </w:tc>
        <w:tc>
          <w:tcPr>
            <w:tcW w:w="2317" w:type="pct"/>
            <w:vMerge w:val="continue"/>
            <w:vAlign w:val="center"/>
          </w:tcPr>
          <w:p w14:paraId="544A2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p>
        </w:tc>
      </w:tr>
      <w:tr w14:paraId="1071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continue"/>
            <w:shd w:val="clear" w:color="auto" w:fill="auto"/>
            <w:vAlign w:val="center"/>
          </w:tcPr>
          <w:p w14:paraId="25B74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595" w:type="pct"/>
            <w:vAlign w:val="center"/>
          </w:tcPr>
          <w:p w14:paraId="47A90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lang w:val="en-US" w:eastAsia="zh-CN"/>
              </w:rPr>
              <w:t>卢枭</w:t>
            </w:r>
          </w:p>
        </w:tc>
        <w:tc>
          <w:tcPr>
            <w:tcW w:w="954" w:type="pct"/>
            <w:vAlign w:val="center"/>
          </w:tcPr>
          <w:p w14:paraId="2FCDC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助理工程师</w:t>
            </w:r>
          </w:p>
        </w:tc>
        <w:tc>
          <w:tcPr>
            <w:tcW w:w="2317" w:type="pct"/>
            <w:vMerge w:val="continue"/>
            <w:vAlign w:val="center"/>
          </w:tcPr>
          <w:p w14:paraId="798BE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p>
        </w:tc>
      </w:tr>
      <w:tr w14:paraId="7A76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restart"/>
            <w:vAlign w:val="center"/>
          </w:tcPr>
          <w:p w14:paraId="5AB6E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青海大学</w:t>
            </w:r>
          </w:p>
        </w:tc>
        <w:tc>
          <w:tcPr>
            <w:tcW w:w="595" w:type="pct"/>
            <w:vAlign w:val="center"/>
          </w:tcPr>
          <w:p w14:paraId="18582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lang w:val="en-US" w:eastAsia="zh-CN"/>
              </w:rPr>
              <w:t>何生成</w:t>
            </w:r>
          </w:p>
        </w:tc>
        <w:tc>
          <w:tcPr>
            <w:tcW w:w="954" w:type="pct"/>
            <w:vAlign w:val="center"/>
          </w:tcPr>
          <w:p w14:paraId="3EE91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教授</w:t>
            </w:r>
          </w:p>
        </w:tc>
        <w:tc>
          <w:tcPr>
            <w:tcW w:w="2317" w:type="pct"/>
            <w:vMerge w:val="restart"/>
            <w:vAlign w:val="center"/>
          </w:tcPr>
          <w:p w14:paraId="71D1D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规范实验数据分析及讨论，内容审阅并提出修改意见，会议纪要整理。</w:t>
            </w:r>
          </w:p>
        </w:tc>
      </w:tr>
      <w:tr w14:paraId="1808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Merge w:val="continue"/>
            <w:vAlign w:val="center"/>
          </w:tcPr>
          <w:p w14:paraId="7B102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p>
        </w:tc>
        <w:tc>
          <w:tcPr>
            <w:tcW w:w="595" w:type="pct"/>
            <w:vAlign w:val="center"/>
          </w:tcPr>
          <w:p w14:paraId="00A0B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赵淑桦</w:t>
            </w:r>
          </w:p>
        </w:tc>
        <w:tc>
          <w:tcPr>
            <w:tcW w:w="954" w:type="pct"/>
            <w:vAlign w:val="center"/>
          </w:tcPr>
          <w:p w14:paraId="36DF5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p>
        </w:tc>
        <w:tc>
          <w:tcPr>
            <w:tcW w:w="2317" w:type="pct"/>
            <w:vMerge w:val="continue"/>
            <w:vAlign w:val="center"/>
          </w:tcPr>
          <w:p w14:paraId="079C3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rPr>
            </w:pPr>
          </w:p>
        </w:tc>
      </w:tr>
      <w:tr w14:paraId="74BA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692BD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lang w:val="en-US" w:eastAsia="zh-CN"/>
              </w:rPr>
              <w:t>广东省科学院新材料研究院</w:t>
            </w:r>
          </w:p>
        </w:tc>
        <w:tc>
          <w:tcPr>
            <w:tcW w:w="595" w:type="pct"/>
            <w:vAlign w:val="center"/>
          </w:tcPr>
          <w:p w14:paraId="45A59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陈珊珊</w:t>
            </w:r>
          </w:p>
        </w:tc>
        <w:tc>
          <w:tcPr>
            <w:tcW w:w="954" w:type="pct"/>
            <w:vAlign w:val="center"/>
          </w:tcPr>
          <w:p w14:paraId="2E11E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317" w:type="pct"/>
            <w:vAlign w:val="center"/>
          </w:tcPr>
          <w:p w14:paraId="758F2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内容审阅并提出修改意见</w:t>
            </w:r>
          </w:p>
        </w:tc>
      </w:tr>
      <w:tr w14:paraId="4473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33" w:type="pct"/>
            <w:vAlign w:val="center"/>
          </w:tcPr>
          <w:p w14:paraId="19FB4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中铝洛阳铜</w:t>
            </w:r>
            <w:r>
              <w:rPr>
                <w:rFonts w:hint="eastAsia" w:ascii="Times New Roman" w:hAnsi="Times New Roman" w:eastAsia="宋体" w:cs="Times New Roman"/>
                <w:szCs w:val="21"/>
                <w:lang w:val="en-US" w:eastAsia="zh-CN"/>
              </w:rPr>
              <w:t>加工</w:t>
            </w:r>
            <w:r>
              <w:rPr>
                <w:rFonts w:hint="eastAsia" w:ascii="Times New Roman" w:hAnsi="Times New Roman" w:eastAsia="宋体" w:cs="Times New Roman"/>
                <w:szCs w:val="21"/>
              </w:rPr>
              <w:t>有限公司</w:t>
            </w:r>
          </w:p>
        </w:tc>
        <w:tc>
          <w:tcPr>
            <w:tcW w:w="595" w:type="pct"/>
            <w:vAlign w:val="center"/>
          </w:tcPr>
          <w:p w14:paraId="52222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韩跃伟</w:t>
            </w:r>
          </w:p>
        </w:tc>
        <w:tc>
          <w:tcPr>
            <w:tcW w:w="954" w:type="pct"/>
            <w:vAlign w:val="center"/>
          </w:tcPr>
          <w:p w14:paraId="3EA99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317" w:type="pct"/>
            <w:vAlign w:val="center"/>
          </w:tcPr>
          <w:p w14:paraId="5AD79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内容审阅并提出修改意见，规范二验工作</w:t>
            </w:r>
          </w:p>
        </w:tc>
      </w:tr>
      <w:tr w14:paraId="45A4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5078A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西南铝业（集团）有限责任公司</w:t>
            </w:r>
          </w:p>
        </w:tc>
        <w:tc>
          <w:tcPr>
            <w:tcW w:w="595" w:type="pct"/>
            <w:vAlign w:val="center"/>
          </w:tcPr>
          <w:p w14:paraId="0B0E1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胡森迪</w:t>
            </w:r>
          </w:p>
        </w:tc>
        <w:tc>
          <w:tcPr>
            <w:tcW w:w="954" w:type="pct"/>
            <w:vAlign w:val="center"/>
          </w:tcPr>
          <w:p w14:paraId="60E24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317" w:type="pct"/>
            <w:vAlign w:val="center"/>
          </w:tcPr>
          <w:p w14:paraId="79843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内容审阅并提出修改意见，规范二验</w:t>
            </w:r>
          </w:p>
        </w:tc>
      </w:tr>
      <w:tr w14:paraId="787B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17F84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有色金属技术经济研究院有限责任公司</w:t>
            </w:r>
          </w:p>
        </w:tc>
        <w:tc>
          <w:tcPr>
            <w:tcW w:w="595" w:type="pct"/>
            <w:vAlign w:val="center"/>
          </w:tcPr>
          <w:p w14:paraId="593D7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闫雁楠</w:t>
            </w:r>
          </w:p>
        </w:tc>
        <w:tc>
          <w:tcPr>
            <w:tcW w:w="954" w:type="pct"/>
            <w:vAlign w:val="center"/>
          </w:tcPr>
          <w:p w14:paraId="3B00C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szCs w:val="21"/>
                <w:lang w:val="en-US" w:eastAsia="zh-CN"/>
              </w:rPr>
              <w:t>工程师</w:t>
            </w:r>
          </w:p>
        </w:tc>
        <w:tc>
          <w:tcPr>
            <w:tcW w:w="2317" w:type="pct"/>
            <w:vAlign w:val="center"/>
          </w:tcPr>
          <w:p w14:paraId="3AD61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内容审阅并提出修改意见，规范二验工作</w:t>
            </w:r>
          </w:p>
        </w:tc>
      </w:tr>
      <w:tr w14:paraId="168E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vAlign w:val="center"/>
          </w:tcPr>
          <w:p w14:paraId="46B2C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西安建筑科技大学</w:t>
            </w:r>
          </w:p>
        </w:tc>
        <w:tc>
          <w:tcPr>
            <w:tcW w:w="595" w:type="pct"/>
            <w:vAlign w:val="center"/>
          </w:tcPr>
          <w:p w14:paraId="1FFCF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杨  帆</w:t>
            </w:r>
          </w:p>
        </w:tc>
        <w:tc>
          <w:tcPr>
            <w:tcW w:w="954" w:type="pct"/>
            <w:vAlign w:val="center"/>
          </w:tcPr>
          <w:p w14:paraId="7E73B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317" w:type="pct"/>
            <w:vAlign w:val="center"/>
          </w:tcPr>
          <w:p w14:paraId="33F78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实验方案讨论，内容审阅并提出修改意见</w:t>
            </w:r>
          </w:p>
        </w:tc>
      </w:tr>
    </w:tbl>
    <w:p w14:paraId="5AA74886">
      <w:pPr>
        <w:pStyle w:val="58"/>
        <w:ind w:firstLine="420"/>
      </w:pPr>
    </w:p>
    <w:p w14:paraId="46206BD9">
      <w:pPr>
        <w:pStyle w:val="58"/>
        <w:ind w:firstLine="420"/>
      </w:pPr>
    </w:p>
    <w:bookmarkEnd w:id="7"/>
    <w:bookmarkEnd w:id="8"/>
    <w:p w14:paraId="34C64045">
      <w:pPr>
        <w:pStyle w:val="4"/>
        <w:spacing w:before="156" w:after="156"/>
        <w:rPr>
          <w:b w:val="0"/>
          <w:bCs w:val="0"/>
        </w:rPr>
      </w:pPr>
      <w:bookmarkStart w:id="9" w:name="_Toc462884357"/>
      <w:bookmarkStart w:id="10" w:name="_Toc464728913"/>
      <w:r>
        <w:rPr>
          <w:rFonts w:hint="eastAsia"/>
          <w:b w:val="0"/>
          <w:bCs w:val="0"/>
        </w:rPr>
        <w:t>4.主要工作过程</w:t>
      </w:r>
      <w:bookmarkEnd w:id="9"/>
      <w:bookmarkEnd w:id="10"/>
    </w:p>
    <w:p w14:paraId="42B49015">
      <w:pPr>
        <w:spacing w:line="400" w:lineRule="exact"/>
        <w:ind w:firstLine="420" w:firstLineChars="200"/>
      </w:pPr>
      <w:bookmarkStart w:id="11" w:name="_Hlk134448643"/>
      <w:r>
        <w:rPr>
          <w:rFonts w:hint="eastAsia"/>
        </w:rPr>
        <w:t>西安汉唐分析检测有限公司计量检测中心于2025年6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27528B0C">
      <w:pPr>
        <w:spacing w:line="400" w:lineRule="exact"/>
        <w:ind w:firstLine="420" w:firstLineChars="200"/>
      </w:pPr>
      <w:r>
        <w:t>1</w:t>
      </w:r>
      <w:r>
        <w:rPr>
          <w:rFonts w:hint="eastAsia"/>
        </w:rPr>
        <w:t>）</w:t>
      </w:r>
      <w:r>
        <w:t>20</w:t>
      </w:r>
      <w:r>
        <w:rPr>
          <w:rFonts w:hint="eastAsia"/>
        </w:rPr>
        <w:t>24年</w:t>
      </w:r>
      <w:r>
        <w:t>8</w:t>
      </w:r>
      <w:r>
        <w:rPr>
          <w:rFonts w:hint="eastAsia"/>
        </w:rPr>
        <w:t>月成立了计量规范编制组，明确了编制组成员各自的工作内容和任务。</w:t>
      </w:r>
    </w:p>
    <w:p w14:paraId="290E3863">
      <w:pPr>
        <w:spacing w:line="400" w:lineRule="exact"/>
        <w:ind w:firstLine="420" w:firstLineChars="200"/>
      </w:pPr>
      <w:r>
        <w:t>2</w:t>
      </w:r>
      <w:r>
        <w:rPr>
          <w:rFonts w:hint="eastAsia"/>
        </w:rPr>
        <w:t>）</w:t>
      </w:r>
      <w:r>
        <w:t>20</w:t>
      </w:r>
      <w:r>
        <w:rPr>
          <w:rFonts w:hint="eastAsia"/>
        </w:rPr>
        <w:t>24年</w:t>
      </w:r>
      <w:r>
        <w:t>9</w:t>
      </w:r>
      <w:r>
        <w:rPr>
          <w:rFonts w:hint="eastAsia"/>
        </w:rPr>
        <w:t>月～2025年4月，编制组成员对《接触（触针）式表面轮廓测量仪校准规范》中的计量特性及校准方法进行了讨论，确定了校准项目和方法，在</w:t>
      </w:r>
      <w:r>
        <w:t>202</w:t>
      </w:r>
      <w:r>
        <w:rPr>
          <w:rFonts w:hint="eastAsia"/>
        </w:rPr>
        <w:t>5年4月形成了计量规范讨论稿。</w:t>
      </w:r>
    </w:p>
    <w:p w14:paraId="16589250">
      <w:pPr>
        <w:spacing w:line="400" w:lineRule="exact"/>
        <w:ind w:firstLine="420" w:firstLineChars="200"/>
        <w:rPr>
          <w:color w:val="FF0000"/>
          <w:szCs w:val="21"/>
        </w:rPr>
      </w:pPr>
      <w:r>
        <w:rPr>
          <w:rFonts w:hint="eastAsia"/>
        </w:rPr>
        <w:t>3）2025年6月19日~20日，在石河子市召开有色金属计量技术规范研讨会，</w:t>
      </w:r>
      <w:r>
        <w:rPr>
          <w:rFonts w:hint="eastAsia"/>
          <w:szCs w:val="21"/>
        </w:rPr>
        <w:t>会上对《</w:t>
      </w:r>
      <w:r>
        <w:rPr>
          <w:rFonts w:hint="eastAsia" w:hAnsi="宋体"/>
          <w:szCs w:val="21"/>
        </w:rPr>
        <w:t>接触（触针）式表面轮廓测量仪校准规范</w:t>
      </w:r>
      <w:r>
        <w:rPr>
          <w:rFonts w:hint="eastAsia"/>
          <w:szCs w:val="21"/>
        </w:rPr>
        <w:t>-讨论稿》进行了讨论，会上有来自不同单位的计量委员会委员、专家、代表就《</w:t>
      </w:r>
      <w:r>
        <w:rPr>
          <w:rFonts w:hint="eastAsia" w:hAnsi="宋体"/>
          <w:szCs w:val="21"/>
        </w:rPr>
        <w:t>接触（触针）式表面轮廓测量仪校准规范</w:t>
      </w:r>
      <w:r>
        <w:rPr>
          <w:rFonts w:hint="eastAsia"/>
          <w:szCs w:val="21"/>
        </w:rPr>
        <w:t>-讨论稿》中的校准项目，技术指标，校准方法等提出了修改建议和意见，同时，</w:t>
      </w:r>
      <w:r>
        <w:rPr>
          <w:rFonts w:hint="eastAsia"/>
        </w:rPr>
        <w:t>会上确定了项目的参编单位及一验、二验单位，明确了各项工作时间进度要求，具体内容见表1。修改后形成了</w:t>
      </w:r>
      <w:r>
        <w:rPr>
          <w:rFonts w:hint="eastAsia"/>
          <w:szCs w:val="21"/>
        </w:rPr>
        <w:t>《</w:t>
      </w:r>
      <w:r>
        <w:rPr>
          <w:rFonts w:hint="eastAsia" w:hAnsi="宋体"/>
          <w:szCs w:val="21"/>
        </w:rPr>
        <w:t>接触（触针）式表面轮廓测量仪校准规范</w:t>
      </w:r>
      <w:r>
        <w:rPr>
          <w:rFonts w:hint="eastAsia"/>
          <w:szCs w:val="21"/>
        </w:rPr>
        <w:t>-</w:t>
      </w:r>
      <w:r>
        <w:rPr>
          <w:rFonts w:hint="eastAsia"/>
        </w:rPr>
        <w:t>征求意见稿</w:t>
      </w:r>
      <w:r>
        <w:rPr>
          <w:rFonts w:hint="eastAsia"/>
          <w:szCs w:val="21"/>
        </w:rPr>
        <w:t>》。</w:t>
      </w:r>
    </w:p>
    <w:p w14:paraId="7648B318">
      <w:pPr>
        <w:spacing w:line="360" w:lineRule="auto"/>
        <w:ind w:firstLine="210" w:firstLineChars="100"/>
        <w:jc w:val="center"/>
        <w:rPr>
          <w:rFonts w:hint="eastAsia"/>
        </w:rPr>
      </w:pPr>
    </w:p>
    <w:p w14:paraId="0138C358">
      <w:pPr>
        <w:spacing w:line="360" w:lineRule="auto"/>
        <w:ind w:firstLine="210" w:firstLineChars="100"/>
        <w:jc w:val="center"/>
      </w:pPr>
      <w:r>
        <w:rPr>
          <w:rFonts w:hint="eastAsia"/>
        </w:rPr>
        <w:t>表2 《接触（触针）式表面轮廓测量仪校准规范-讨论稿》工作安排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3CF31671">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EA8B">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259D64A8">
            <w:pPr>
              <w:widowControl/>
              <w:ind w:firstLine="420" w:firstLineChars="200"/>
              <w:jc w:val="left"/>
            </w:pPr>
            <w:r>
              <w:t>西安汉唐分析检测有限公司</w:t>
            </w:r>
          </w:p>
        </w:tc>
      </w:tr>
      <w:tr w14:paraId="5B267B2D">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DF5D7">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D7ACF0B">
            <w:pPr>
              <w:spacing w:line="360" w:lineRule="auto"/>
              <w:ind w:firstLine="420" w:firstLineChars="200"/>
            </w:pPr>
            <w:r>
              <w:t>西安建筑科技大学、西安精科华创</w:t>
            </w:r>
          </w:p>
        </w:tc>
      </w:tr>
      <w:tr w14:paraId="610AEFC6">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9726D">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3D334796">
            <w:pPr>
              <w:spacing w:line="360" w:lineRule="auto"/>
              <w:ind w:firstLine="420" w:firstLineChars="200"/>
            </w:pPr>
            <w:r>
              <w:rPr>
                <w:rFonts w:hint="eastAsia"/>
                <w:szCs w:val="21"/>
              </w:rPr>
              <w:t>西南铝业（集团）有限责任公司、</w:t>
            </w:r>
            <w:r>
              <w:rPr>
                <w:szCs w:val="21"/>
              </w:rPr>
              <w:t>中铝洛阳铜业检测技术有限公司</w:t>
            </w:r>
          </w:p>
        </w:tc>
      </w:tr>
      <w:tr w14:paraId="0D9CCCD5">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B3E0">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35886616">
            <w:pPr>
              <w:spacing w:line="360" w:lineRule="auto"/>
              <w:ind w:firstLine="420" w:firstLineChars="200"/>
              <w:rPr>
                <w:rFonts w:hint="eastAsia"/>
              </w:rPr>
            </w:pPr>
            <w:r>
              <w:rPr>
                <w:rFonts w:hint="eastAsia"/>
              </w:rPr>
              <w:t>2025年10月完成试验验证，2026年6月完成规范报批</w:t>
            </w:r>
          </w:p>
          <w:p w14:paraId="054355E6">
            <w:pPr>
              <w:spacing w:line="360" w:lineRule="auto"/>
              <w:ind w:firstLine="420" w:firstLineChars="200"/>
            </w:pPr>
            <w:r>
              <w:rPr>
                <w:rFonts w:hint="eastAsia" w:cs="宋体"/>
                <w:color w:val="000000"/>
                <w:kern w:val="0"/>
                <w:szCs w:val="21"/>
              </w:rPr>
              <w:t>下述意见重大意见修改，格式修改不体现</w:t>
            </w:r>
          </w:p>
        </w:tc>
      </w:tr>
      <w:bookmarkEnd w:id="11"/>
    </w:tbl>
    <w:p w14:paraId="1232931A">
      <w:pPr>
        <w:spacing w:line="360" w:lineRule="auto"/>
        <w:ind w:firstLine="420" w:firstLineChars="200"/>
        <w:rPr>
          <w:rFonts w:hint="default"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4）</w:t>
      </w: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ascii="宋体" w:hAnsi="宋体" w:cs="宋体"/>
        </w:rPr>
        <w:t>向</w:t>
      </w:r>
      <w:r>
        <w:rPr>
          <w:rFonts w:hint="eastAsia"/>
        </w:rPr>
        <w:t>社会广泛征求意见，根据收到的意见进行修改，修改后形成</w:t>
      </w:r>
      <w:r>
        <w:rPr>
          <w:rFonts w:hint="eastAsia" w:eastAsiaTheme="minorEastAsia"/>
          <w:szCs w:val="21"/>
        </w:rPr>
        <w:t>《</w:t>
      </w:r>
      <w:r>
        <w:rPr>
          <w:rFonts w:hint="eastAsia" w:hAnsi="宋体" w:eastAsiaTheme="minorEastAsia"/>
          <w:color w:val="000000" w:themeColor="text1"/>
          <w:szCs w:val="21"/>
          <w:lang w:val="en-US" w:eastAsia="zh-CN"/>
          <w14:textFill>
            <w14:solidFill>
              <w14:schemeClr w14:val="tx1"/>
            </w14:solidFill>
          </w14:textFill>
        </w:rPr>
        <w:t>接触（触针）式表面轮廓测量仪</w:t>
      </w:r>
      <w:r>
        <w:rPr>
          <w:rFonts w:hint="eastAsia" w:hAnsi="宋体"/>
          <w:color w:val="000000" w:themeColor="text1"/>
          <w:szCs w:val="21"/>
          <w14:textFill>
            <w14:solidFill>
              <w14:schemeClr w14:val="tx1"/>
            </w14:solidFill>
          </w14:textFill>
        </w:rPr>
        <w:t>校准规范</w:t>
      </w:r>
      <w:r>
        <w:rPr>
          <w:rFonts w:hAnsi="宋体"/>
          <w:szCs w:val="21"/>
        </w:rPr>
        <w:t>-</w:t>
      </w:r>
      <w:r>
        <w:rPr>
          <w:rFonts w:hint="eastAsia" w:hAnsi="宋体"/>
          <w:szCs w:val="21"/>
        </w:rPr>
        <w:t>预审稿</w:t>
      </w:r>
      <w:r>
        <w:rPr>
          <w:rFonts w:hint="eastAsia" w:eastAsiaTheme="minorEastAsia"/>
          <w:szCs w:val="21"/>
        </w:rPr>
        <w:t>》征求意见文号</w:t>
      </w:r>
    </w:p>
    <w:p w14:paraId="3D024932">
      <w:pPr>
        <w:spacing w:line="360" w:lineRule="auto"/>
        <w:ind w:firstLine="420" w:firstLineChars="200"/>
        <w:rPr>
          <w:rFonts w:hint="eastAsia"/>
          <w:color w:val="000000" w:themeColor="text1"/>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5</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202</w:t>
      </w:r>
      <w:r>
        <w:rPr>
          <w:rFonts w:hint="eastAsia" w:eastAsiaTheme="minorEastAsia"/>
          <w:color w:val="000000" w:themeColor="text1"/>
          <w:lang w:val="en-US" w:eastAsia="zh-CN"/>
          <w14:textFill>
            <w14:solidFill>
              <w14:schemeClr w14:val="tx1"/>
            </w14:solidFill>
          </w14:textFill>
        </w:rPr>
        <w:t>5</w:t>
      </w:r>
      <w:r>
        <w:rPr>
          <w:rFonts w:hint="eastAsia" w:eastAsiaTheme="minorEastAsia"/>
          <w:color w:val="000000" w:themeColor="text1"/>
          <w14:textFill>
            <w14:solidFill>
              <w14:schemeClr w14:val="tx1"/>
            </w14:solidFill>
          </w14:textFill>
        </w:rPr>
        <w:t>年</w:t>
      </w:r>
      <w:r>
        <w:rPr>
          <w:rFonts w:eastAsiaTheme="minorEastAsia"/>
          <w:color w:val="000000" w:themeColor="text1"/>
          <w14:textFill>
            <w14:solidFill>
              <w14:schemeClr w14:val="tx1"/>
            </w14:solidFill>
          </w14:textFill>
        </w:rPr>
        <w:t>11</w:t>
      </w:r>
      <w:r>
        <w:rPr>
          <w:rFonts w:hint="eastAsia" w:eastAsiaTheme="minorEastAsia"/>
          <w:color w:val="000000" w:themeColor="text1"/>
          <w14:textFill>
            <w14:solidFill>
              <w14:schemeClr w14:val="tx1"/>
            </w14:solidFill>
          </w14:textFill>
        </w:rPr>
        <w:t>月在</w:t>
      </w:r>
      <w:r>
        <w:rPr>
          <w:rFonts w:hint="eastAsia" w:eastAsiaTheme="minorEastAsia"/>
          <w:color w:val="000000" w:themeColor="text1"/>
          <w:lang w:val="en-US" w:eastAsia="zh-CN"/>
          <w14:textFill>
            <w14:solidFill>
              <w14:schemeClr w14:val="tx1"/>
            </w14:solidFill>
          </w14:textFill>
        </w:rPr>
        <w:t>厦门</w:t>
      </w:r>
      <w:r>
        <w:rPr>
          <w:rFonts w:hint="eastAsia" w:eastAsiaTheme="minorEastAsia"/>
          <w:color w:val="000000" w:themeColor="text1"/>
          <w14:textFill>
            <w14:solidFill>
              <w14:schemeClr w14:val="tx1"/>
            </w14:solidFill>
          </w14:textFill>
        </w:rPr>
        <w:t>举行有色金属计量技术规范研讨会，</w:t>
      </w:r>
      <w:r>
        <w:rPr>
          <w:rFonts w:hint="eastAsia" w:eastAsiaTheme="minorEastAsia"/>
          <w:color w:val="000000" w:themeColor="text1"/>
          <w:szCs w:val="21"/>
          <w14:textFill>
            <w14:solidFill>
              <w14:schemeClr w14:val="tx1"/>
            </w14:solidFill>
          </w14:textFill>
        </w:rPr>
        <w:t>会上对《</w:t>
      </w:r>
      <w:r>
        <w:rPr>
          <w:rFonts w:hint="eastAsia" w:hAnsi="宋体" w:eastAsiaTheme="minorEastAsia"/>
          <w:color w:val="000000" w:themeColor="text1"/>
          <w:szCs w:val="21"/>
          <w:lang w:val="en-US" w:eastAsia="zh-CN"/>
          <w14:textFill>
            <w14:solidFill>
              <w14:schemeClr w14:val="tx1"/>
            </w14:solidFill>
          </w14:textFill>
        </w:rPr>
        <w:t>接触（触针）式表面轮廓测量仪</w:t>
      </w:r>
      <w:r>
        <w:rPr>
          <w:rFonts w:hint="eastAsia" w:hAnsi="宋体"/>
          <w:color w:val="000000" w:themeColor="text1"/>
          <w:szCs w:val="21"/>
          <w14:textFill>
            <w14:solidFill>
              <w14:schemeClr w14:val="tx1"/>
            </w14:solidFill>
          </w14:textFill>
        </w:rPr>
        <w:t>校准规范</w:t>
      </w:r>
      <w:r>
        <w:rPr>
          <w:rFonts w:hint="eastAsia" w:eastAsiaTheme="minorEastAsia"/>
          <w:color w:val="000000" w:themeColor="text1"/>
          <w:szCs w:val="21"/>
          <w14:textFill>
            <w14:solidFill>
              <w14:schemeClr w14:val="tx1"/>
            </w14:solidFill>
          </w14:textFill>
        </w:rPr>
        <w:t>》进行了</w:t>
      </w:r>
      <w:r>
        <w:rPr>
          <w:rFonts w:hint="eastAsia" w:eastAsiaTheme="minorEastAsia"/>
          <w:color w:val="000000" w:themeColor="text1"/>
          <w:szCs w:val="21"/>
          <w:lang w:val="en-US" w:eastAsia="zh-CN"/>
          <w14:textFill>
            <w14:solidFill>
              <w14:schemeClr w14:val="tx1"/>
            </w14:solidFill>
          </w14:textFill>
        </w:rPr>
        <w:t>预审</w:t>
      </w:r>
      <w:r>
        <w:rPr>
          <w:rFonts w:hint="eastAsia" w:eastAsiaTheme="minorEastAsia"/>
          <w:color w:val="000000" w:themeColor="text1"/>
          <w:szCs w:val="21"/>
          <w14:textFill>
            <w14:solidFill>
              <w14:schemeClr w14:val="tx1"/>
            </w14:solidFill>
          </w14:textFill>
        </w:rPr>
        <w:t>，会上有来自不同单位的计量委员会委员、专家、代表对《</w:t>
      </w:r>
      <w:r>
        <w:rPr>
          <w:rFonts w:hint="eastAsia" w:hAnsi="宋体" w:eastAsiaTheme="minorEastAsia"/>
          <w:color w:val="000000" w:themeColor="text1"/>
          <w:szCs w:val="21"/>
          <w:lang w:val="en-US" w:eastAsia="zh-CN"/>
          <w14:textFill>
            <w14:solidFill>
              <w14:schemeClr w14:val="tx1"/>
            </w14:solidFill>
          </w14:textFill>
        </w:rPr>
        <w:t>接触（触针）式表面轮廓测量仪</w:t>
      </w:r>
      <w:r>
        <w:rPr>
          <w:rFonts w:hint="eastAsia" w:hAnsi="宋体"/>
          <w:color w:val="000000" w:themeColor="text1"/>
          <w:szCs w:val="21"/>
          <w14:textFill>
            <w14:solidFill>
              <w14:schemeClr w14:val="tx1"/>
            </w14:solidFill>
          </w14:textFill>
        </w:rPr>
        <w:t>校准规范</w:t>
      </w:r>
      <w:r>
        <w:rPr>
          <w:rFonts w:hint="eastAsia" w:eastAsiaTheme="minorEastAsia"/>
          <w:color w:val="000000" w:themeColor="text1"/>
          <w:szCs w:val="21"/>
          <w14:textFill>
            <w14:solidFill>
              <w14:schemeClr w14:val="tx1"/>
            </w14:solidFill>
          </w14:textFill>
        </w:rPr>
        <w:t>》提出了修改建议和意见。</w:t>
      </w:r>
      <w:r>
        <w:rPr>
          <w:rFonts w:hint="eastAsia"/>
          <w:color w:val="000000" w:themeColor="text1"/>
          <w14:textFill>
            <w14:solidFill>
              <w14:schemeClr w14:val="tx1"/>
            </w14:solidFill>
          </w14:textFill>
        </w:rPr>
        <w:t>修改后形成</w:t>
      </w:r>
      <w:r>
        <w:rPr>
          <w:rFonts w:hint="eastAsia" w:eastAsiaTheme="minorEastAsia"/>
          <w:color w:val="000000" w:themeColor="text1"/>
          <w:szCs w:val="21"/>
          <w14:textFill>
            <w14:solidFill>
              <w14:schemeClr w14:val="tx1"/>
            </w14:solidFill>
          </w14:textFill>
        </w:rPr>
        <w:t>《</w:t>
      </w:r>
      <w:r>
        <w:rPr>
          <w:rFonts w:hint="eastAsia" w:hAnsi="宋体" w:eastAsiaTheme="minorEastAsia"/>
          <w:color w:val="000000" w:themeColor="text1"/>
          <w:szCs w:val="21"/>
          <w:lang w:val="en-US" w:eastAsia="zh-CN"/>
          <w14:textFill>
            <w14:solidFill>
              <w14:schemeClr w14:val="tx1"/>
            </w14:solidFill>
          </w14:textFill>
        </w:rPr>
        <w:t>接触（触针）式表面轮廓测量仪</w:t>
      </w:r>
      <w:r>
        <w:rPr>
          <w:rFonts w:hint="eastAsia" w:hAnsi="宋体"/>
          <w:color w:val="000000" w:themeColor="text1"/>
          <w:szCs w:val="21"/>
          <w14:textFill>
            <w14:solidFill>
              <w14:schemeClr w14:val="tx1"/>
            </w14:solidFill>
          </w14:textFill>
        </w:rPr>
        <w:t>校准规范-送审稿</w:t>
      </w:r>
      <w:r>
        <w:rPr>
          <w:rFonts w:hint="eastAsia" w:eastAsia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p w14:paraId="6A60C643">
      <w:pPr>
        <w:spacing w:line="360" w:lineRule="auto"/>
        <w:ind w:firstLine="210" w:firstLineChars="100"/>
        <w:jc w:val="center"/>
        <w:rPr>
          <w:color w:val="000000" w:themeColor="text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表3 </w:t>
      </w:r>
      <w:r>
        <w:rPr>
          <w:rFonts w:hint="eastAsia"/>
          <w:color w:val="000000" w:themeColor="text1"/>
          <w14:textFill>
            <w14:solidFill>
              <w14:schemeClr w14:val="tx1"/>
            </w14:solidFill>
          </w14:textFill>
        </w:rPr>
        <w:t>有色金属计量技术规范研讨会会议纪要（</w:t>
      </w:r>
      <w:r>
        <w:rPr>
          <w:rFonts w:hint="eastAsia"/>
          <w:color w:val="000000" w:themeColor="text1"/>
          <w:lang w:val="en-US" w:eastAsia="zh-CN"/>
          <w14:textFill>
            <w14:solidFill>
              <w14:schemeClr w14:val="tx1"/>
            </w14:solidFill>
          </w14:textFill>
        </w:rPr>
        <w:t>预审</w:t>
      </w:r>
      <w:r>
        <w:rPr>
          <w:rFonts w:hint="eastAsia"/>
          <w:color w:val="000000" w:themeColor="text1"/>
          <w14:textFill>
            <w14:solidFill>
              <w14:schemeClr w14:val="tx1"/>
            </w14:solidFill>
          </w14:textFill>
        </w:rPr>
        <w:t>稿）</w:t>
      </w:r>
    </w:p>
    <w:tbl>
      <w:tblPr>
        <w:tblStyle w:val="41"/>
        <w:tblW w:w="476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4"/>
        <w:gridCol w:w="2922"/>
        <w:gridCol w:w="1701"/>
        <w:gridCol w:w="2628"/>
      </w:tblGrid>
      <w:tr w14:paraId="24B0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0D5284F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561" w:type="pct"/>
            <w:shd w:val="clear" w:color="auto" w:fill="auto"/>
            <w:vAlign w:val="center"/>
          </w:tcPr>
          <w:p w14:paraId="08485380">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规范</w:t>
            </w:r>
            <w:r>
              <w:rPr>
                <w:color w:val="000000" w:themeColor="text1"/>
                <w:kern w:val="0"/>
                <w:szCs w:val="21"/>
                <w14:textFill>
                  <w14:solidFill>
                    <w14:schemeClr w14:val="tx1"/>
                  </w14:solidFill>
                </w14:textFill>
              </w:rPr>
              <w:t>章条编号</w:t>
            </w:r>
          </w:p>
        </w:tc>
        <w:tc>
          <w:tcPr>
            <w:tcW w:w="1603" w:type="pct"/>
            <w:shd w:val="clear" w:color="auto" w:fill="auto"/>
            <w:noWrap/>
            <w:vAlign w:val="center"/>
          </w:tcPr>
          <w:p w14:paraId="7AA15DA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意见内容</w:t>
            </w:r>
          </w:p>
        </w:tc>
        <w:tc>
          <w:tcPr>
            <w:tcW w:w="933" w:type="pct"/>
            <w:shd w:val="clear" w:color="auto" w:fill="auto"/>
            <w:noWrap/>
            <w:vAlign w:val="center"/>
          </w:tcPr>
          <w:p w14:paraId="0AB947C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提出单位</w:t>
            </w:r>
          </w:p>
        </w:tc>
        <w:tc>
          <w:tcPr>
            <w:tcW w:w="1441" w:type="pct"/>
            <w:shd w:val="clear" w:color="auto" w:fill="auto"/>
            <w:noWrap/>
            <w:vAlign w:val="center"/>
          </w:tcPr>
          <w:p w14:paraId="3A87DF4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处理意见</w:t>
            </w:r>
          </w:p>
        </w:tc>
      </w:tr>
      <w:tr w14:paraId="61CD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64D41D46">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61" w:type="pct"/>
            <w:shd w:val="clear" w:color="auto" w:fill="auto"/>
            <w:noWrap/>
            <w:vAlign w:val="center"/>
          </w:tcPr>
          <w:p w14:paraId="50307026">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4</w:t>
            </w:r>
          </w:p>
        </w:tc>
        <w:tc>
          <w:tcPr>
            <w:tcW w:w="1603" w:type="pct"/>
            <w:shd w:val="clear" w:color="auto" w:fill="auto"/>
            <w:noWrap/>
            <w:vAlign w:val="center"/>
          </w:tcPr>
          <w:p w14:paraId="3A5202DA">
            <w:pPr>
              <w:widowControl/>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删除了“各部分相互作用”描述</w:t>
            </w:r>
          </w:p>
        </w:tc>
        <w:tc>
          <w:tcPr>
            <w:tcW w:w="933" w:type="pct"/>
            <w:shd w:val="clear" w:color="auto" w:fill="auto"/>
            <w:noWrap/>
            <w:vAlign w:val="center"/>
          </w:tcPr>
          <w:p w14:paraId="5D51E33F">
            <w:pPr>
              <w:widowControl/>
              <w:jc w:val="center"/>
              <w:rPr>
                <w:color w:val="000000" w:themeColor="text1"/>
                <w:kern w:val="0"/>
                <w:szCs w:val="21"/>
                <w14:textFill>
                  <w14:solidFill>
                    <w14:schemeClr w14:val="tx1"/>
                  </w14:solidFill>
                </w14:textFill>
              </w:rPr>
            </w:pPr>
            <w:r>
              <w:rPr>
                <w:rFonts w:hint="eastAsia" w:ascii="Times New Roman" w:hAnsi="Times New Roman" w:eastAsia="宋体" w:cs="Times New Roman"/>
                <w:szCs w:val="21"/>
                <w:lang w:val="en-US" w:eastAsia="zh-CN"/>
              </w:rPr>
              <w:t>广东省科学院新材料研究院</w:t>
            </w:r>
          </w:p>
        </w:tc>
        <w:tc>
          <w:tcPr>
            <w:tcW w:w="1441" w:type="pct"/>
            <w:shd w:val="clear" w:color="auto" w:fill="auto"/>
            <w:noWrap/>
            <w:vAlign w:val="center"/>
          </w:tcPr>
          <w:p w14:paraId="0B8B888F">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采纳</w:t>
            </w:r>
          </w:p>
        </w:tc>
      </w:tr>
      <w:tr w14:paraId="564D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0788037A">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61" w:type="pct"/>
            <w:shd w:val="clear" w:color="auto" w:fill="auto"/>
            <w:noWrap/>
            <w:vAlign w:val="center"/>
          </w:tcPr>
          <w:p w14:paraId="407A5677">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4</w:t>
            </w:r>
          </w:p>
        </w:tc>
        <w:tc>
          <w:tcPr>
            <w:tcW w:w="1603" w:type="pct"/>
            <w:shd w:val="clear" w:color="auto" w:fill="auto"/>
            <w:noWrap/>
            <w:vAlign w:val="center"/>
          </w:tcPr>
          <w:p w14:paraId="53D620B4">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删除了“以上计量特性的最大允许误差校准时，有用户决定”。</w:t>
            </w:r>
          </w:p>
        </w:tc>
        <w:tc>
          <w:tcPr>
            <w:tcW w:w="933" w:type="pct"/>
            <w:shd w:val="clear" w:color="auto" w:fill="auto"/>
            <w:noWrap/>
            <w:vAlign w:val="center"/>
          </w:tcPr>
          <w:p w14:paraId="5D7341C3">
            <w:pPr>
              <w:widowControl/>
              <w:jc w:val="center"/>
              <w:rPr>
                <w:color w:val="000000" w:themeColor="text1"/>
                <w:kern w:val="0"/>
                <w:szCs w:val="21"/>
                <w14:textFill>
                  <w14:solidFill>
                    <w14:schemeClr w14:val="tx1"/>
                  </w14:solidFill>
                </w14:textFill>
              </w:rPr>
            </w:pPr>
            <w:r>
              <w:rPr>
                <w:rFonts w:hint="eastAsia" w:ascii="Times New Roman" w:hAnsi="Times New Roman" w:eastAsia="宋体" w:cs="Times New Roman"/>
                <w:szCs w:val="21"/>
              </w:rPr>
              <w:t>有色金属技术经济研究院有限责任公司</w:t>
            </w:r>
          </w:p>
        </w:tc>
        <w:tc>
          <w:tcPr>
            <w:tcW w:w="1441" w:type="pct"/>
            <w:shd w:val="clear" w:color="auto" w:fill="auto"/>
            <w:noWrap/>
            <w:vAlign w:val="center"/>
          </w:tcPr>
          <w:p w14:paraId="3DA805AB">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采纳</w:t>
            </w:r>
          </w:p>
        </w:tc>
      </w:tr>
      <w:tr w14:paraId="5DC1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5982A656">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61" w:type="pct"/>
            <w:shd w:val="clear" w:color="auto" w:fill="auto"/>
            <w:noWrap/>
            <w:vAlign w:val="center"/>
          </w:tcPr>
          <w:p w14:paraId="72F45FE8">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5.2</w:t>
            </w:r>
          </w:p>
        </w:tc>
        <w:tc>
          <w:tcPr>
            <w:tcW w:w="1603" w:type="pct"/>
            <w:shd w:val="clear" w:color="auto" w:fill="auto"/>
            <w:noWrap/>
            <w:vAlign w:val="center"/>
          </w:tcPr>
          <w:p w14:paraId="29C1FCF4">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表1的表述格式更改，增加一列测量标准的要求</w:t>
            </w:r>
          </w:p>
        </w:tc>
        <w:tc>
          <w:tcPr>
            <w:tcW w:w="933" w:type="pct"/>
            <w:shd w:val="clear" w:color="auto" w:fill="auto"/>
            <w:noWrap/>
            <w:vAlign w:val="center"/>
          </w:tcPr>
          <w:p w14:paraId="66C8ACC2">
            <w:pPr>
              <w:widowControl/>
              <w:jc w:val="center"/>
              <w:rPr>
                <w:color w:val="000000" w:themeColor="text1"/>
                <w:kern w:val="0"/>
                <w:szCs w:val="21"/>
                <w14:textFill>
                  <w14:solidFill>
                    <w14:schemeClr w14:val="tx1"/>
                  </w14:solidFill>
                </w14:textFill>
              </w:rPr>
            </w:pPr>
            <w:r>
              <w:rPr>
                <w:rFonts w:hint="eastAsia" w:ascii="Times New Roman" w:hAnsi="Times New Roman" w:eastAsia="宋体" w:cs="Times New Roman"/>
                <w:szCs w:val="21"/>
              </w:rPr>
              <w:t>中铝洛阳铜</w:t>
            </w:r>
            <w:r>
              <w:rPr>
                <w:rFonts w:hint="eastAsia" w:ascii="Times New Roman" w:hAnsi="Times New Roman" w:eastAsia="宋体" w:cs="Times New Roman"/>
                <w:szCs w:val="21"/>
                <w:lang w:val="en-US" w:eastAsia="zh-CN"/>
              </w:rPr>
              <w:t>加工</w:t>
            </w:r>
            <w:r>
              <w:rPr>
                <w:rFonts w:hint="eastAsia" w:ascii="Times New Roman" w:hAnsi="Times New Roman" w:eastAsia="宋体" w:cs="Times New Roman"/>
                <w:szCs w:val="21"/>
              </w:rPr>
              <w:t>有限公司</w:t>
            </w:r>
          </w:p>
        </w:tc>
        <w:tc>
          <w:tcPr>
            <w:tcW w:w="1441" w:type="pct"/>
            <w:shd w:val="clear" w:color="auto" w:fill="auto"/>
            <w:noWrap/>
            <w:vAlign w:val="center"/>
          </w:tcPr>
          <w:p w14:paraId="5065EA1C">
            <w:pPr>
              <w:widowControl/>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采纳</w:t>
            </w:r>
          </w:p>
        </w:tc>
      </w:tr>
      <w:tr w14:paraId="49D9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2D9B2E67">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61" w:type="pct"/>
            <w:shd w:val="clear" w:color="auto" w:fill="auto"/>
            <w:noWrap/>
            <w:vAlign w:val="center"/>
          </w:tcPr>
          <w:p w14:paraId="359183C0">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表1</w:t>
            </w:r>
          </w:p>
        </w:tc>
        <w:tc>
          <w:tcPr>
            <w:tcW w:w="1603" w:type="pct"/>
            <w:shd w:val="clear" w:color="auto" w:fill="auto"/>
            <w:noWrap/>
            <w:vAlign w:val="center"/>
          </w:tcPr>
          <w:p w14:paraId="035A525C">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 xml:space="preserve"> 序号与测量标准区分，序号分别对应测量标准。同被测量的不同校准项目合并为一个。</w:t>
            </w:r>
          </w:p>
        </w:tc>
        <w:tc>
          <w:tcPr>
            <w:tcW w:w="933" w:type="pct"/>
            <w:shd w:val="clear" w:color="auto" w:fill="auto"/>
            <w:noWrap/>
            <w:vAlign w:val="center"/>
          </w:tcPr>
          <w:p w14:paraId="6CF9C48B">
            <w:pPr>
              <w:widowControl/>
              <w:jc w:val="center"/>
              <w:rPr>
                <w:rFonts w:hint="eastAsia" w:ascii="Times New Roman" w:hAnsi="Times New Roman" w:eastAsia="宋体" w:cs="Times New Roman"/>
                <w:szCs w:val="21"/>
              </w:rPr>
            </w:pPr>
            <w:r>
              <w:rPr>
                <w:rFonts w:hint="eastAsia" w:ascii="Times New Roman" w:hAnsi="Times New Roman" w:eastAsia="宋体" w:cs="Times New Roman"/>
                <w:szCs w:val="21"/>
              </w:rPr>
              <w:t>有色金属技术经济研究院有限责任公司</w:t>
            </w:r>
          </w:p>
        </w:tc>
        <w:tc>
          <w:tcPr>
            <w:tcW w:w="1441" w:type="pct"/>
            <w:shd w:val="clear" w:color="auto" w:fill="auto"/>
            <w:noWrap/>
            <w:vAlign w:val="center"/>
          </w:tcPr>
          <w:p w14:paraId="5C9EC0FE">
            <w:pPr>
              <w:widowControl/>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采纳</w:t>
            </w:r>
          </w:p>
        </w:tc>
      </w:tr>
      <w:tr w14:paraId="37AF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309C7263">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61" w:type="pct"/>
            <w:shd w:val="clear" w:color="auto" w:fill="auto"/>
            <w:noWrap/>
            <w:vAlign w:val="center"/>
          </w:tcPr>
          <w:p w14:paraId="6A2C92F1">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6.2.3</w:t>
            </w:r>
          </w:p>
        </w:tc>
        <w:tc>
          <w:tcPr>
            <w:tcW w:w="1603" w:type="pct"/>
            <w:shd w:val="clear" w:color="auto" w:fill="auto"/>
            <w:noWrap/>
            <w:vAlign w:val="center"/>
          </w:tcPr>
          <w:p w14:paraId="0FF4D76E">
            <w:pPr>
              <w:widowControl/>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确定三段距离和位置</w:t>
            </w:r>
          </w:p>
        </w:tc>
        <w:tc>
          <w:tcPr>
            <w:tcW w:w="933" w:type="pct"/>
            <w:shd w:val="clear" w:color="auto" w:fill="auto"/>
            <w:noWrap/>
            <w:vAlign w:val="center"/>
          </w:tcPr>
          <w:p w14:paraId="6D213761">
            <w:pPr>
              <w:widowControl/>
              <w:jc w:val="center"/>
              <w:rPr>
                <w:rFonts w:hint="eastAsia" w:ascii="Times New Roman" w:hAnsi="Times New Roman" w:eastAsia="宋体" w:cs="Times New Roman"/>
                <w:szCs w:val="21"/>
              </w:rPr>
            </w:pPr>
            <w:r>
              <w:rPr>
                <w:rFonts w:hint="eastAsia" w:ascii="Times New Roman" w:hAnsi="Times New Roman" w:eastAsia="宋体" w:cs="Times New Roman"/>
                <w:szCs w:val="21"/>
              </w:rPr>
              <w:t>西南铝业（集团）有限责任公司</w:t>
            </w:r>
          </w:p>
        </w:tc>
        <w:tc>
          <w:tcPr>
            <w:tcW w:w="1441" w:type="pct"/>
            <w:shd w:val="clear" w:color="auto" w:fill="auto"/>
            <w:noWrap/>
            <w:vAlign w:val="center"/>
          </w:tcPr>
          <w:p w14:paraId="524198EE">
            <w:pPr>
              <w:widowControl/>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采纳</w:t>
            </w:r>
          </w:p>
        </w:tc>
      </w:tr>
    </w:tbl>
    <w:p w14:paraId="06438F34">
      <w:pPr>
        <w:spacing w:line="360" w:lineRule="auto"/>
        <w:ind w:firstLine="420" w:firstLineChars="200"/>
        <w:rPr>
          <w:rFonts w:hint="eastAsia"/>
          <w:color w:val="000000" w:themeColor="text1"/>
          <w14:textFill>
            <w14:solidFill>
              <w14:schemeClr w14:val="tx1"/>
            </w14:solidFill>
          </w14:textFill>
        </w:rPr>
      </w:pPr>
    </w:p>
    <w:p w14:paraId="2596FA41">
      <w:pPr>
        <w:spacing w:line="360" w:lineRule="auto"/>
        <w:ind w:firstLine="420" w:firstLineChars="200"/>
        <w:rPr>
          <w:rFonts w:eastAsiaTheme="minorEastAsia"/>
          <w:color w:val="FF0000"/>
          <w:szCs w:val="21"/>
        </w:rPr>
      </w:pPr>
      <w:r>
        <w:rPr>
          <w:rFonts w:hint="eastAsia" w:eastAsiaTheme="minorEastAsia"/>
          <w:color w:val="FF0000"/>
          <w:lang w:val="en-US" w:eastAsia="zh-CN"/>
        </w:rPr>
        <w:t>5</w:t>
      </w:r>
      <w:r>
        <w:rPr>
          <w:rFonts w:hint="eastAsia" w:eastAsiaTheme="minorEastAsia"/>
          <w:color w:val="FF0000"/>
        </w:rPr>
        <w:t>）</w:t>
      </w:r>
      <w:r>
        <w:rPr>
          <w:rFonts w:eastAsiaTheme="minorEastAsia"/>
          <w:color w:val="FF0000"/>
        </w:rPr>
        <w:t>202</w:t>
      </w:r>
      <w:r>
        <w:rPr>
          <w:rFonts w:hint="eastAsia" w:eastAsiaTheme="minorEastAsia"/>
          <w:color w:val="FF0000"/>
        </w:rPr>
        <w:t>4年3月在普洱举行有色金属计量技术规范审定会，</w:t>
      </w:r>
      <w:r>
        <w:rPr>
          <w:rFonts w:hint="eastAsia" w:eastAsiaTheme="minorEastAsia"/>
          <w:color w:val="FF0000"/>
          <w:szCs w:val="21"/>
        </w:rPr>
        <w:t>会上对《</w:t>
      </w:r>
      <w:r>
        <w:rPr>
          <w:rFonts w:hint="eastAsia" w:eastAsiaTheme="minorEastAsia"/>
          <w:color w:val="FF0000"/>
        </w:rPr>
        <w:t>XXX校准规范》</w:t>
      </w:r>
      <w:r>
        <w:rPr>
          <w:rFonts w:hint="eastAsia" w:eastAsiaTheme="minorEastAsia"/>
          <w:color w:val="FF0000"/>
          <w:szCs w:val="21"/>
        </w:rPr>
        <w:t>进行了审定，会上有来自不同单位的计量委员会委员、专家、代表对《</w:t>
      </w:r>
      <w:r>
        <w:rPr>
          <w:rFonts w:hint="eastAsia" w:eastAsiaTheme="minorEastAsia"/>
          <w:color w:val="FF0000"/>
        </w:rPr>
        <w:t>XXXX校准规范</w:t>
      </w:r>
      <w:r>
        <w:rPr>
          <w:rFonts w:hint="eastAsia" w:eastAsiaTheme="minorEastAsia"/>
          <w:color w:val="FF0000"/>
          <w:szCs w:val="21"/>
        </w:rPr>
        <w:t>》审定稿提出了修改建议和意见。</w:t>
      </w:r>
    </w:p>
    <w:p w14:paraId="50B0DD07">
      <w:pPr>
        <w:spacing w:line="360" w:lineRule="auto"/>
        <w:ind w:firstLine="210" w:firstLineChars="100"/>
        <w:jc w:val="center"/>
        <w:rPr>
          <w:color w:val="FF0000"/>
        </w:rPr>
      </w:pPr>
      <w:r>
        <w:rPr>
          <w:rFonts w:hint="eastAsia" w:eastAsiaTheme="minorEastAsia"/>
          <w:color w:val="FF0000"/>
          <w:szCs w:val="21"/>
        </w:rPr>
        <w:t xml:space="preserve">表3 </w:t>
      </w:r>
      <w:r>
        <w:rPr>
          <w:rFonts w:hint="eastAsia"/>
          <w:color w:val="FF0000"/>
        </w:rPr>
        <w:t>有色金属计量技术规范研讨会会议纪要（送审稿）</w:t>
      </w:r>
    </w:p>
    <w:tbl>
      <w:tblPr>
        <w:tblStyle w:val="41"/>
        <w:tblW w:w="476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4"/>
        <w:gridCol w:w="2922"/>
        <w:gridCol w:w="1701"/>
        <w:gridCol w:w="2628"/>
      </w:tblGrid>
      <w:tr w14:paraId="73D6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7109CCDE">
            <w:pPr>
              <w:widowControl/>
              <w:jc w:val="center"/>
              <w:rPr>
                <w:color w:val="FF0000"/>
                <w:kern w:val="0"/>
                <w:szCs w:val="21"/>
              </w:rPr>
            </w:pPr>
            <w:r>
              <w:rPr>
                <w:color w:val="FF0000"/>
                <w:kern w:val="0"/>
                <w:szCs w:val="21"/>
              </w:rPr>
              <w:t>序号</w:t>
            </w:r>
          </w:p>
        </w:tc>
        <w:tc>
          <w:tcPr>
            <w:tcW w:w="562" w:type="pct"/>
            <w:shd w:val="clear" w:color="auto" w:fill="auto"/>
            <w:vAlign w:val="center"/>
          </w:tcPr>
          <w:p w14:paraId="3CF41109">
            <w:pPr>
              <w:widowControl/>
              <w:jc w:val="center"/>
              <w:rPr>
                <w:color w:val="FF0000"/>
                <w:kern w:val="0"/>
                <w:szCs w:val="21"/>
              </w:rPr>
            </w:pPr>
            <w:r>
              <w:rPr>
                <w:rFonts w:hint="eastAsia"/>
                <w:color w:val="FF0000"/>
                <w:kern w:val="0"/>
                <w:szCs w:val="21"/>
              </w:rPr>
              <w:t>规范</w:t>
            </w:r>
            <w:r>
              <w:rPr>
                <w:color w:val="FF0000"/>
                <w:kern w:val="0"/>
                <w:szCs w:val="21"/>
              </w:rPr>
              <w:t>章条编号</w:t>
            </w:r>
          </w:p>
        </w:tc>
        <w:tc>
          <w:tcPr>
            <w:tcW w:w="1602" w:type="pct"/>
            <w:shd w:val="clear" w:color="auto" w:fill="auto"/>
            <w:noWrap/>
            <w:vAlign w:val="center"/>
          </w:tcPr>
          <w:p w14:paraId="5837A568">
            <w:pPr>
              <w:widowControl/>
              <w:jc w:val="center"/>
              <w:rPr>
                <w:color w:val="FF0000"/>
                <w:kern w:val="0"/>
                <w:szCs w:val="21"/>
              </w:rPr>
            </w:pPr>
            <w:r>
              <w:rPr>
                <w:color w:val="FF0000"/>
                <w:kern w:val="0"/>
                <w:szCs w:val="21"/>
              </w:rPr>
              <w:t>意见内容</w:t>
            </w:r>
          </w:p>
        </w:tc>
        <w:tc>
          <w:tcPr>
            <w:tcW w:w="933" w:type="pct"/>
            <w:shd w:val="clear" w:color="auto" w:fill="auto"/>
            <w:noWrap/>
            <w:vAlign w:val="center"/>
          </w:tcPr>
          <w:p w14:paraId="3D5190E1">
            <w:pPr>
              <w:widowControl/>
              <w:jc w:val="center"/>
              <w:rPr>
                <w:color w:val="FF0000"/>
                <w:kern w:val="0"/>
                <w:szCs w:val="21"/>
              </w:rPr>
            </w:pPr>
            <w:r>
              <w:rPr>
                <w:color w:val="FF0000"/>
                <w:kern w:val="0"/>
                <w:szCs w:val="21"/>
              </w:rPr>
              <w:t>提出单位</w:t>
            </w:r>
          </w:p>
        </w:tc>
        <w:tc>
          <w:tcPr>
            <w:tcW w:w="1441" w:type="pct"/>
            <w:shd w:val="clear" w:color="auto" w:fill="auto"/>
            <w:noWrap/>
            <w:vAlign w:val="center"/>
          </w:tcPr>
          <w:p w14:paraId="2DC2E839">
            <w:pPr>
              <w:widowControl/>
              <w:jc w:val="center"/>
              <w:rPr>
                <w:color w:val="FF0000"/>
                <w:kern w:val="0"/>
                <w:szCs w:val="21"/>
              </w:rPr>
            </w:pPr>
            <w:r>
              <w:rPr>
                <w:color w:val="FF0000"/>
                <w:kern w:val="0"/>
                <w:szCs w:val="21"/>
              </w:rPr>
              <w:t>处理意见</w:t>
            </w:r>
          </w:p>
        </w:tc>
      </w:tr>
      <w:tr w14:paraId="24E3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20F5AC6A">
            <w:pPr>
              <w:pStyle w:val="302"/>
              <w:widowControl/>
              <w:numPr>
                <w:ilvl w:val="0"/>
                <w:numId w:val="11"/>
              </w:numPr>
              <w:ind w:firstLineChars="0"/>
              <w:jc w:val="center"/>
              <w:rPr>
                <w:color w:val="FF0000"/>
                <w:kern w:val="0"/>
                <w:szCs w:val="21"/>
              </w:rPr>
            </w:pPr>
          </w:p>
        </w:tc>
        <w:tc>
          <w:tcPr>
            <w:tcW w:w="562" w:type="pct"/>
            <w:shd w:val="clear" w:color="auto" w:fill="auto"/>
            <w:noWrap/>
            <w:vAlign w:val="center"/>
          </w:tcPr>
          <w:p w14:paraId="00DDC432">
            <w:pPr>
              <w:widowControl/>
              <w:jc w:val="left"/>
              <w:rPr>
                <w:color w:val="FF0000"/>
                <w:kern w:val="0"/>
                <w:szCs w:val="21"/>
              </w:rPr>
            </w:pPr>
          </w:p>
        </w:tc>
        <w:tc>
          <w:tcPr>
            <w:tcW w:w="1602" w:type="pct"/>
            <w:shd w:val="clear" w:color="auto" w:fill="auto"/>
            <w:noWrap/>
            <w:vAlign w:val="center"/>
          </w:tcPr>
          <w:p w14:paraId="2BB92716">
            <w:pPr>
              <w:widowControl/>
              <w:jc w:val="left"/>
              <w:rPr>
                <w:color w:val="FF0000"/>
                <w:kern w:val="0"/>
                <w:szCs w:val="21"/>
              </w:rPr>
            </w:pPr>
          </w:p>
        </w:tc>
        <w:tc>
          <w:tcPr>
            <w:tcW w:w="933" w:type="pct"/>
            <w:shd w:val="clear" w:color="auto" w:fill="auto"/>
            <w:noWrap/>
            <w:vAlign w:val="center"/>
          </w:tcPr>
          <w:p w14:paraId="7E2E3E46">
            <w:pPr>
              <w:widowControl/>
              <w:jc w:val="left"/>
              <w:rPr>
                <w:color w:val="FF0000"/>
                <w:kern w:val="0"/>
                <w:szCs w:val="21"/>
              </w:rPr>
            </w:pPr>
          </w:p>
        </w:tc>
        <w:tc>
          <w:tcPr>
            <w:tcW w:w="1441" w:type="pct"/>
            <w:shd w:val="clear" w:color="auto" w:fill="auto"/>
            <w:noWrap/>
            <w:vAlign w:val="center"/>
          </w:tcPr>
          <w:p w14:paraId="7E7AD0B8">
            <w:pPr>
              <w:widowControl/>
              <w:jc w:val="left"/>
              <w:rPr>
                <w:color w:val="FF0000"/>
                <w:kern w:val="0"/>
                <w:szCs w:val="21"/>
              </w:rPr>
            </w:pPr>
          </w:p>
        </w:tc>
      </w:tr>
      <w:tr w14:paraId="3A5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391612F4">
            <w:pPr>
              <w:pStyle w:val="302"/>
              <w:widowControl/>
              <w:numPr>
                <w:ilvl w:val="0"/>
                <w:numId w:val="11"/>
              </w:numPr>
              <w:ind w:firstLineChars="0"/>
              <w:jc w:val="center"/>
              <w:rPr>
                <w:color w:val="FF0000"/>
                <w:kern w:val="0"/>
                <w:szCs w:val="21"/>
              </w:rPr>
            </w:pPr>
          </w:p>
        </w:tc>
        <w:tc>
          <w:tcPr>
            <w:tcW w:w="562" w:type="pct"/>
            <w:shd w:val="clear" w:color="auto" w:fill="auto"/>
            <w:noWrap/>
            <w:vAlign w:val="center"/>
          </w:tcPr>
          <w:p w14:paraId="4BC4057E">
            <w:pPr>
              <w:widowControl/>
              <w:jc w:val="left"/>
              <w:rPr>
                <w:color w:val="FF0000"/>
                <w:kern w:val="0"/>
                <w:szCs w:val="21"/>
              </w:rPr>
            </w:pPr>
          </w:p>
        </w:tc>
        <w:tc>
          <w:tcPr>
            <w:tcW w:w="1602" w:type="pct"/>
            <w:shd w:val="clear" w:color="auto" w:fill="auto"/>
            <w:noWrap/>
            <w:vAlign w:val="center"/>
          </w:tcPr>
          <w:p w14:paraId="23D6569B">
            <w:pPr>
              <w:widowControl/>
              <w:jc w:val="left"/>
              <w:rPr>
                <w:color w:val="FF0000"/>
                <w:kern w:val="0"/>
                <w:szCs w:val="21"/>
              </w:rPr>
            </w:pPr>
          </w:p>
        </w:tc>
        <w:tc>
          <w:tcPr>
            <w:tcW w:w="933" w:type="pct"/>
            <w:shd w:val="clear" w:color="auto" w:fill="auto"/>
            <w:noWrap/>
            <w:vAlign w:val="center"/>
          </w:tcPr>
          <w:p w14:paraId="08F26B58">
            <w:pPr>
              <w:widowControl/>
              <w:jc w:val="left"/>
              <w:rPr>
                <w:color w:val="FF0000"/>
                <w:kern w:val="0"/>
                <w:szCs w:val="21"/>
              </w:rPr>
            </w:pPr>
          </w:p>
        </w:tc>
        <w:tc>
          <w:tcPr>
            <w:tcW w:w="1441" w:type="pct"/>
            <w:shd w:val="clear" w:color="auto" w:fill="auto"/>
            <w:noWrap/>
            <w:vAlign w:val="center"/>
          </w:tcPr>
          <w:p w14:paraId="032C7D20">
            <w:pPr>
              <w:widowControl/>
              <w:jc w:val="left"/>
              <w:rPr>
                <w:color w:val="FF0000"/>
                <w:kern w:val="0"/>
                <w:szCs w:val="21"/>
              </w:rPr>
            </w:pPr>
          </w:p>
        </w:tc>
      </w:tr>
    </w:tbl>
    <w:p w14:paraId="3706E942">
      <w:pPr>
        <w:pStyle w:val="2"/>
        <w:spacing w:before="156" w:after="156"/>
        <w:ind w:firstLine="420" w:firstLineChars="200"/>
        <w:rPr>
          <w:rFonts w:ascii="宋体" w:hAnsi="宋体" w:eastAsia="宋体" w:cs="宋体"/>
          <w:b w:val="0"/>
          <w:bCs w:val="0"/>
          <w:color w:val="FF0000"/>
          <w:sz w:val="21"/>
          <w:szCs w:val="21"/>
        </w:rPr>
      </w:pPr>
      <w:r>
        <w:rPr>
          <w:rFonts w:hint="eastAsia" w:ascii="宋体" w:hAnsi="宋体" w:eastAsia="宋体" w:cs="宋体"/>
          <w:b w:val="0"/>
          <w:bCs w:val="0"/>
          <w:color w:val="FF0000"/>
          <w:sz w:val="21"/>
          <w:szCs w:val="21"/>
        </w:rPr>
        <w:t>7）2024年3月底，主编单位修改了各方意见，形成《XXXX校准规范-报批稿》，并与申报单、编制说明、验证报告、审查表、会议纪要等文件等，共同形成《XXXX校准规范》的报批材料，报送有色金属行业计量技术委员会。</w:t>
      </w:r>
    </w:p>
    <w:p w14:paraId="2D1DAD66">
      <w:pPr>
        <w:pStyle w:val="2"/>
        <w:spacing w:before="156" w:after="156"/>
        <w:rPr>
          <w:b w:val="0"/>
          <w:bCs w:val="0"/>
        </w:rPr>
      </w:pPr>
      <w:r>
        <w:rPr>
          <w:rFonts w:hint="eastAsia"/>
          <w:b w:val="0"/>
          <w:bCs w:val="0"/>
        </w:rPr>
        <w:t>二、编制原则和依据</w:t>
      </w:r>
    </w:p>
    <w:p w14:paraId="7CDBC6C9">
      <w:pPr>
        <w:pStyle w:val="3"/>
        <w:spacing w:before="156" w:after="156"/>
        <w:rPr>
          <w:b w:val="0"/>
          <w:bCs w:val="0"/>
        </w:rPr>
      </w:pPr>
      <w:bookmarkStart w:id="12" w:name="_Toc464728925"/>
      <w:r>
        <w:rPr>
          <w:rFonts w:hint="eastAsia"/>
          <w:b w:val="0"/>
          <w:bCs w:val="0"/>
        </w:rPr>
        <w:t>（一）编制原则</w:t>
      </w:r>
      <w:bookmarkEnd w:id="12"/>
    </w:p>
    <w:p w14:paraId="757DE41D">
      <w:pPr>
        <w:pStyle w:val="58"/>
        <w:spacing w:line="360" w:lineRule="auto"/>
        <w:ind w:firstLine="420"/>
        <w:rPr>
          <w:rFonts w:ascii="Times New Roman" w:cs="宋体"/>
          <w:szCs w:val="21"/>
        </w:rPr>
      </w:pPr>
      <w:bookmarkStart w:id="13" w:name="_Toc464728926"/>
      <w:r>
        <w:rPr>
          <w:rFonts w:hint="eastAsia" w:ascii="Times New Roman" w:cs="宋体"/>
          <w:szCs w:val="21"/>
        </w:rPr>
        <w:t>JJF 1071 《国家计量校准规范编写规则》、JJF 1001《通用计量术语及定义》和JJF 1059.1《测量不确定度评定与表示》共同构成支撑校准规范制修订工作的基础性系列规范</w:t>
      </w:r>
      <w:r>
        <w:rPr>
          <w:rFonts w:hint="eastAsia"/>
          <w:szCs w:val="21"/>
        </w:rPr>
        <w:t>。</w:t>
      </w:r>
    </w:p>
    <w:p w14:paraId="6718E324">
      <w:pPr>
        <w:spacing w:line="360" w:lineRule="auto"/>
        <w:ind w:firstLine="420" w:firstLineChars="200"/>
        <w:rPr>
          <w:szCs w:val="21"/>
        </w:rPr>
      </w:pPr>
      <w:r>
        <w:rPr>
          <w:rFonts w:hint="eastAsia" w:cs="宋体"/>
          <w:szCs w:val="21"/>
        </w:rPr>
        <w:t>本规范主要参考了GB/T 19600-2004《产品几何量技术规范（GPS）表面结构 轮廓法 接触（触针）式仪器的标称特性》和接触（触针）式仪器使用说明书</w:t>
      </w:r>
      <w:r>
        <w:rPr>
          <w:rFonts w:hint="eastAsia"/>
          <w:szCs w:val="21"/>
        </w:rPr>
        <w:t>。</w:t>
      </w:r>
    </w:p>
    <w:p w14:paraId="020BC74F">
      <w:pPr>
        <w:spacing w:line="360" w:lineRule="auto"/>
        <w:ind w:firstLine="200"/>
        <w:rPr>
          <w:szCs w:val="21"/>
        </w:rPr>
      </w:pPr>
      <w:r>
        <w:rPr>
          <w:szCs w:val="21"/>
        </w:rPr>
        <w:t>本规范引用下列文件</w:t>
      </w:r>
    </w:p>
    <w:p w14:paraId="5627EA05">
      <w:pPr>
        <w:spacing w:line="360" w:lineRule="auto"/>
        <w:ind w:firstLine="200"/>
        <w:rPr>
          <w:szCs w:val="21"/>
        </w:rPr>
      </w:pPr>
      <w:r>
        <w:rPr>
          <w:rFonts w:hint="eastAsia"/>
          <w:szCs w:val="21"/>
        </w:rPr>
        <w:t>GB/T 19067.1-2003产品几何技术规范（GPS）表面结构 轮廓法 测量标准 第1部分 实物测量标准</w:t>
      </w:r>
    </w:p>
    <w:p w14:paraId="0279AB23">
      <w:pPr>
        <w:spacing w:line="360" w:lineRule="auto"/>
        <w:ind w:firstLine="200"/>
        <w:rPr>
          <w:szCs w:val="21"/>
        </w:rPr>
      </w:pPr>
      <w:r>
        <w:rPr>
          <w:rFonts w:hint="eastAsia"/>
          <w:szCs w:val="21"/>
        </w:rPr>
        <w:t>GB/T 19600-2004产品几何技术规范（GPS）表面结构 轮廓法 接触（触针）式仪器的校准。</w:t>
      </w:r>
    </w:p>
    <w:p w14:paraId="378D3AF5">
      <w:pPr>
        <w:spacing w:line="360" w:lineRule="auto"/>
        <w:ind w:firstLine="200"/>
        <w:rPr>
          <w:szCs w:val="21"/>
        </w:rPr>
      </w:pPr>
      <w:r>
        <w:rPr>
          <w:rFonts w:hint="eastAsia"/>
          <w:szCs w:val="21"/>
        </w:rPr>
        <w:t>制定了基本原则和编制依据，可对接触（触针）式表面轮廓测量仪进行校准，解决了目前没有接触（触针）式表面轮廓测量仪校准方法的难题。</w:t>
      </w:r>
    </w:p>
    <w:p w14:paraId="28205A6E">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74701959">
      <w:pPr>
        <w:pStyle w:val="4"/>
        <w:spacing w:before="156" w:after="156"/>
        <w:rPr>
          <w:b w:val="0"/>
          <w:bCs w:val="0"/>
        </w:rPr>
      </w:pPr>
      <w:bookmarkStart w:id="14" w:name="_Toc193860027"/>
      <w:bookmarkStart w:id="15" w:name="_Toc193860208"/>
      <w:bookmarkStart w:id="16" w:name="_Toc193860177"/>
      <w:bookmarkStart w:id="17" w:name="_Toc500258929"/>
      <w:bookmarkStart w:id="18" w:name="_Toc23837_WPSOffice_Level1"/>
      <w:bookmarkStart w:id="19" w:name="_Toc464728964"/>
      <w:r>
        <w:rPr>
          <w:rFonts w:hint="eastAsia"/>
          <w:b w:val="0"/>
          <w:bCs w:val="0"/>
        </w:rPr>
        <w:t>1范围</w:t>
      </w:r>
      <w:bookmarkEnd w:id="14"/>
      <w:bookmarkEnd w:id="15"/>
      <w:bookmarkEnd w:id="16"/>
      <w:bookmarkEnd w:id="17"/>
      <w:bookmarkEnd w:id="18"/>
    </w:p>
    <w:p w14:paraId="187503AE">
      <w:pPr>
        <w:spacing w:line="400" w:lineRule="exact"/>
        <w:ind w:firstLine="420" w:firstLineChars="200"/>
        <w:rPr>
          <w:rFonts w:eastAsiaTheme="minorEastAsia"/>
          <w:kern w:val="0"/>
          <w:szCs w:val="21"/>
        </w:rPr>
      </w:pPr>
      <w:r>
        <w:t>本规范适用于以扫描法测量工件表面二维形状</w:t>
      </w:r>
      <w:r>
        <w:rPr>
          <w:rFonts w:hint="eastAsia"/>
        </w:rPr>
        <w:t>、</w:t>
      </w:r>
      <w:r>
        <w:t>位置参数的接触</w:t>
      </w:r>
      <w:r>
        <w:rPr>
          <w:rFonts w:hint="eastAsia"/>
        </w:rPr>
        <w:t>（触针）式表面轮廓测量仪（以下简称“轮廓仪”）的校准</w:t>
      </w:r>
      <w:r>
        <w:rPr>
          <w:rFonts w:hint="eastAsia" w:eastAsiaTheme="minorEastAsia"/>
          <w:kern w:val="0"/>
          <w:szCs w:val="21"/>
        </w:rPr>
        <w:t>。</w:t>
      </w:r>
    </w:p>
    <w:p w14:paraId="03B98CB8">
      <w:pPr>
        <w:pStyle w:val="4"/>
        <w:spacing w:before="156" w:after="156"/>
        <w:rPr>
          <w:b w:val="0"/>
          <w:bCs w:val="0"/>
        </w:rPr>
      </w:pPr>
      <w:bookmarkStart w:id="20" w:name="_Toc193860178"/>
      <w:bookmarkStart w:id="21" w:name="_Toc193860028"/>
      <w:bookmarkStart w:id="22" w:name="_Toc193860209"/>
      <w:bookmarkStart w:id="23" w:name="_Toc500258930"/>
      <w:bookmarkStart w:id="24" w:name="_Toc7848_WPSOffice_Level1"/>
      <w:r>
        <w:rPr>
          <w:rFonts w:hint="eastAsia"/>
          <w:b w:val="0"/>
          <w:bCs w:val="0"/>
        </w:rPr>
        <w:t>2 引用文</w:t>
      </w:r>
      <w:bookmarkEnd w:id="20"/>
      <w:bookmarkEnd w:id="21"/>
      <w:bookmarkEnd w:id="22"/>
      <w:r>
        <w:rPr>
          <w:rFonts w:hint="eastAsia"/>
          <w:b w:val="0"/>
          <w:bCs w:val="0"/>
        </w:rPr>
        <w:t>件</w:t>
      </w:r>
      <w:bookmarkEnd w:id="23"/>
      <w:bookmarkEnd w:id="24"/>
    </w:p>
    <w:p w14:paraId="524CBEB4">
      <w:pPr>
        <w:spacing w:line="360" w:lineRule="auto"/>
        <w:ind w:firstLine="200"/>
        <w:rPr>
          <w:szCs w:val="21"/>
        </w:rPr>
      </w:pPr>
      <w:r>
        <w:rPr>
          <w:szCs w:val="21"/>
        </w:rPr>
        <w:t>本规范引用下列文件</w:t>
      </w:r>
    </w:p>
    <w:p w14:paraId="0B60AB6A">
      <w:pPr>
        <w:spacing w:line="360" w:lineRule="auto"/>
        <w:ind w:firstLine="200"/>
        <w:rPr>
          <w:szCs w:val="21"/>
        </w:rPr>
      </w:pPr>
      <w:r>
        <w:rPr>
          <w:rFonts w:hint="eastAsia"/>
          <w:szCs w:val="21"/>
        </w:rPr>
        <w:t>GB/T 19067.1-2003产品几何技术规范（GPS）表面结构 轮廓法 测量标准 第1部分 实物测量标准</w:t>
      </w:r>
    </w:p>
    <w:p w14:paraId="2830D70F">
      <w:pPr>
        <w:spacing w:line="360" w:lineRule="auto"/>
        <w:ind w:firstLine="200"/>
        <w:rPr>
          <w:szCs w:val="21"/>
        </w:rPr>
      </w:pPr>
      <w:r>
        <w:rPr>
          <w:rFonts w:hint="eastAsia"/>
          <w:szCs w:val="21"/>
        </w:rPr>
        <w:t>GB/T 19600-2004产品几何技术规范（GPS）表面结构 轮廓法 接触（触针）式仪器的校准</w:t>
      </w:r>
      <w:r>
        <w:rPr>
          <w:rFonts w:hint="eastAsia" w:eastAsiaTheme="minorEastAsia"/>
          <w:kern w:val="0"/>
          <w:szCs w:val="21"/>
        </w:rPr>
        <w:t>。</w:t>
      </w:r>
    </w:p>
    <w:p w14:paraId="75B6DFA5">
      <w:pPr>
        <w:pStyle w:val="4"/>
        <w:spacing w:before="156" w:after="156"/>
        <w:rPr>
          <w:b w:val="0"/>
          <w:bCs w:val="0"/>
        </w:rPr>
      </w:pPr>
      <w:bookmarkStart w:id="25" w:name="_Toc193619055"/>
      <w:bookmarkStart w:id="26" w:name="_Toc193619097"/>
      <w:bookmarkStart w:id="27" w:name="_Toc193860211"/>
      <w:bookmarkStart w:id="28" w:name="_Toc500258937"/>
      <w:bookmarkStart w:id="29" w:name="_Toc193860030"/>
      <w:bookmarkStart w:id="30" w:name="_Toc193860180"/>
      <w:bookmarkStart w:id="31" w:name="_Toc193618952"/>
      <w:bookmarkStart w:id="32" w:name="_Toc13054_WPSOffice_Level1"/>
      <w:r>
        <w:rPr>
          <w:rFonts w:hint="eastAsia"/>
          <w:b w:val="0"/>
          <w:bCs w:val="0"/>
        </w:rPr>
        <w:t>3 概述</w:t>
      </w:r>
      <w:bookmarkEnd w:id="25"/>
      <w:bookmarkEnd w:id="26"/>
      <w:bookmarkEnd w:id="27"/>
      <w:bookmarkEnd w:id="28"/>
      <w:bookmarkEnd w:id="29"/>
      <w:bookmarkEnd w:id="30"/>
      <w:bookmarkEnd w:id="31"/>
      <w:bookmarkEnd w:id="32"/>
    </w:p>
    <w:p w14:paraId="5A98F96C">
      <w:pPr>
        <w:autoSpaceDE w:val="0"/>
        <w:autoSpaceDN w:val="0"/>
        <w:adjustRightInd w:val="0"/>
        <w:spacing w:line="360" w:lineRule="auto"/>
        <w:ind w:firstLine="420" w:firstLineChars="200"/>
        <w:rPr>
          <w:kern w:val="21"/>
          <w:szCs w:val="21"/>
        </w:rPr>
      </w:pPr>
      <w:r>
        <w:rPr>
          <w:rFonts w:hint="eastAsia"/>
        </w:rPr>
        <w:t>本部分介绍了轮廓仪的结构等内容：</w:t>
      </w:r>
      <w:bookmarkStart w:id="33" w:name="_Toc204923133"/>
      <w:r>
        <w:rPr>
          <w:kern w:val="21"/>
          <w:szCs w:val="21"/>
        </w:rPr>
        <w:t>轮廓仪一般由传感器</w:t>
      </w:r>
      <w:r>
        <w:rPr>
          <w:rFonts w:hint="eastAsia"/>
          <w:kern w:val="21"/>
          <w:szCs w:val="21"/>
        </w:rPr>
        <w:t>、</w:t>
      </w:r>
      <w:r>
        <w:rPr>
          <w:kern w:val="21"/>
          <w:szCs w:val="21"/>
        </w:rPr>
        <w:t>驱动箱</w:t>
      </w:r>
      <w:r>
        <w:rPr>
          <w:rFonts w:hint="eastAsia"/>
          <w:kern w:val="21"/>
          <w:szCs w:val="21"/>
        </w:rPr>
        <w:t>、</w:t>
      </w:r>
      <w:r>
        <w:rPr>
          <w:kern w:val="21"/>
          <w:szCs w:val="21"/>
        </w:rPr>
        <w:t>电子信号处理装置</w:t>
      </w:r>
      <w:r>
        <w:rPr>
          <w:rFonts w:hint="eastAsia"/>
          <w:kern w:val="21"/>
          <w:szCs w:val="21"/>
        </w:rPr>
        <w:t>、</w:t>
      </w:r>
      <w:r>
        <w:rPr>
          <w:kern w:val="21"/>
          <w:szCs w:val="21"/>
        </w:rPr>
        <w:t>计算机系统等组成</w:t>
      </w:r>
      <w:r>
        <w:rPr>
          <w:rFonts w:hint="eastAsia"/>
          <w:kern w:val="21"/>
          <w:szCs w:val="21"/>
        </w:rPr>
        <w:t>，</w:t>
      </w:r>
      <w:r>
        <w:rPr>
          <w:kern w:val="21"/>
          <w:szCs w:val="21"/>
        </w:rPr>
        <w:t>见图</w:t>
      </w:r>
      <w:r>
        <w:rPr>
          <w:rFonts w:hint="eastAsia"/>
          <w:kern w:val="21"/>
          <w:szCs w:val="21"/>
        </w:rPr>
        <w:t>1所示</w:t>
      </w:r>
      <w:r>
        <w:rPr>
          <w:kern w:val="21"/>
          <w:szCs w:val="21"/>
        </w:rPr>
        <w:t>。</w:t>
      </w:r>
      <w:r>
        <w:rPr>
          <w:rFonts w:hint="eastAsia"/>
          <w:kern w:val="21"/>
          <w:szCs w:val="21"/>
        </w:rPr>
        <w:t>其工作原理是：仪器的触针在被测轮廓表面滑移，传感器通过锐利触针感受被测表面的几何形状变化，并转换成电信号。该信号经放大和处理，再转换成数字信号贮存在计算机系统的存贮器中。计算机对此原始轮廓的数字信号进行数字滤波，并计算其参数。轮廓仪可用于测量各种机械零件素线形状和截面轮廓形状。如：凸出量、曲面曲率半径、直线度、平行度、倾斜度、角度等。</w:t>
      </w:r>
    </w:p>
    <w:p w14:paraId="36E998B7">
      <w:pPr>
        <w:ind w:firstLine="480"/>
        <w:rPr>
          <w:kern w:val="21"/>
          <w:szCs w:val="21"/>
        </w:rPr>
      </w:pPr>
      <w:r>
        <w:drawing>
          <wp:anchor distT="0" distB="0" distL="114300" distR="114300" simplePos="0" relativeHeight="251662336" behindDoc="0" locked="0" layoutInCell="1" allowOverlap="1">
            <wp:simplePos x="0" y="0"/>
            <wp:positionH relativeFrom="column">
              <wp:posOffset>236855</wp:posOffset>
            </wp:positionH>
            <wp:positionV relativeFrom="paragraph">
              <wp:posOffset>-289560</wp:posOffset>
            </wp:positionV>
            <wp:extent cx="5486400" cy="2087880"/>
            <wp:effectExtent l="0" t="0" r="0" b="762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0" cy="2087880"/>
                    </a:xfrm>
                    <a:prstGeom prst="rect">
                      <a:avLst/>
                    </a:prstGeom>
                    <a:noFill/>
                    <a:ln>
                      <a:noFill/>
                    </a:ln>
                  </pic:spPr>
                </pic:pic>
              </a:graphicData>
            </a:graphic>
          </wp:anchor>
        </w:drawing>
      </w:r>
    </w:p>
    <w:p w14:paraId="2E83B234">
      <w:pPr>
        <w:ind w:firstLine="480"/>
        <w:rPr>
          <w:kern w:val="21"/>
          <w:szCs w:val="21"/>
        </w:rPr>
      </w:pPr>
    </w:p>
    <w:p w14:paraId="16A15769">
      <w:pPr>
        <w:ind w:firstLine="480"/>
        <w:rPr>
          <w:kern w:val="21"/>
          <w:szCs w:val="21"/>
        </w:rPr>
      </w:pPr>
    </w:p>
    <w:p w14:paraId="7EB242FF">
      <w:pPr>
        <w:ind w:firstLine="480"/>
        <w:rPr>
          <w:kern w:val="21"/>
          <w:szCs w:val="21"/>
        </w:rPr>
      </w:pPr>
    </w:p>
    <w:p w14:paraId="70D98DD6">
      <w:pPr>
        <w:ind w:firstLine="480"/>
        <w:rPr>
          <w:kern w:val="21"/>
          <w:szCs w:val="21"/>
        </w:rPr>
      </w:pPr>
    </w:p>
    <w:p w14:paraId="6406B009">
      <w:pPr>
        <w:ind w:firstLine="480"/>
        <w:rPr>
          <w:kern w:val="21"/>
          <w:szCs w:val="21"/>
        </w:rPr>
      </w:pPr>
    </w:p>
    <w:p w14:paraId="45CBB2E8">
      <w:pPr>
        <w:ind w:firstLine="480"/>
        <w:rPr>
          <w:kern w:val="21"/>
          <w:szCs w:val="21"/>
        </w:rPr>
      </w:pPr>
    </w:p>
    <w:p w14:paraId="1D2E7DC5">
      <w:pPr>
        <w:ind w:firstLine="480"/>
        <w:jc w:val="center"/>
        <w:rPr>
          <w:rFonts w:eastAsia="黑体"/>
          <w:kern w:val="21"/>
          <w:szCs w:val="21"/>
        </w:rPr>
      </w:pPr>
    </w:p>
    <w:p w14:paraId="6BC1F37A">
      <w:pPr>
        <w:rPr>
          <w:rFonts w:eastAsia="黑体"/>
          <w:kern w:val="21"/>
          <w:szCs w:val="21"/>
        </w:rPr>
      </w:pPr>
    </w:p>
    <w:p w14:paraId="1AEE67CE">
      <w:pPr>
        <w:ind w:firstLine="480"/>
        <w:jc w:val="center"/>
        <w:rPr>
          <w:rFonts w:eastAsia="黑体"/>
          <w:kern w:val="21"/>
          <w:szCs w:val="21"/>
        </w:rPr>
      </w:pPr>
      <w:r>
        <w:rPr>
          <w:rFonts w:eastAsia="黑体"/>
          <w:kern w:val="21"/>
          <w:szCs w:val="21"/>
        </w:rPr>
        <w:t>图1 接触</w:t>
      </w:r>
      <w:r>
        <w:rPr>
          <w:rFonts w:hint="eastAsia" w:eastAsia="黑体"/>
          <w:kern w:val="21"/>
          <w:szCs w:val="21"/>
        </w:rPr>
        <w:t>（触针）式表面轮廓测量仪</w:t>
      </w:r>
    </w:p>
    <w:p w14:paraId="6AE74E43">
      <w:pPr>
        <w:ind w:firstLine="360"/>
        <w:jc w:val="center"/>
        <w:rPr>
          <w:sz w:val="18"/>
          <w:szCs w:val="18"/>
        </w:rPr>
      </w:pPr>
      <w:r>
        <w:rPr>
          <w:kern w:val="21"/>
          <w:sz w:val="18"/>
          <w:szCs w:val="18"/>
        </w:rPr>
        <w:t>1—底座    2—工作台</w:t>
      </w:r>
      <w:r>
        <w:rPr>
          <w:sz w:val="18"/>
          <w:szCs w:val="18"/>
        </w:rPr>
        <w:t xml:space="preserve">   3—触针  4—基准导轨</w:t>
      </w:r>
    </w:p>
    <w:p w14:paraId="4277D9EF">
      <w:pPr>
        <w:ind w:firstLine="360"/>
        <w:jc w:val="center"/>
        <w:rPr>
          <w:sz w:val="18"/>
          <w:szCs w:val="18"/>
        </w:rPr>
      </w:pPr>
      <w:r>
        <w:rPr>
          <w:sz w:val="18"/>
          <w:szCs w:val="18"/>
        </w:rPr>
        <w:t>5—立柱   6—驱动箱  7—传感器  8—计算机系统</w:t>
      </w:r>
    </w:p>
    <w:bookmarkEnd w:id="33"/>
    <w:p w14:paraId="7368412C">
      <w:pPr>
        <w:autoSpaceDE w:val="0"/>
        <w:autoSpaceDN w:val="0"/>
        <w:adjustRightInd w:val="0"/>
        <w:spacing w:line="400" w:lineRule="exact"/>
        <w:ind w:firstLine="420" w:firstLineChars="200"/>
        <w:rPr>
          <w:rFonts w:eastAsiaTheme="minorEastAsia"/>
          <w:color w:val="FF0000"/>
          <w:kern w:val="0"/>
          <w:szCs w:val="21"/>
        </w:rPr>
      </w:pPr>
    </w:p>
    <w:p w14:paraId="6339CC94">
      <w:pPr>
        <w:pStyle w:val="4"/>
        <w:spacing w:before="156" w:after="156"/>
        <w:rPr>
          <w:rFonts w:hint="eastAsia"/>
          <w:b w:val="0"/>
          <w:bCs w:val="0"/>
        </w:rPr>
      </w:pPr>
      <w:bookmarkStart w:id="34" w:name="_Toc19851_WPSOffice_Level1"/>
      <w:bookmarkStart w:id="35" w:name="_Toc500258938"/>
      <w:bookmarkStart w:id="36" w:name="_Toc193619056"/>
      <w:bookmarkStart w:id="37" w:name="_Toc193860212"/>
      <w:bookmarkStart w:id="38" w:name="_Toc193619098"/>
      <w:bookmarkStart w:id="39" w:name="_Toc193860031"/>
      <w:bookmarkStart w:id="40" w:name="_Toc193618953"/>
      <w:bookmarkStart w:id="41" w:name="_Toc193860181"/>
      <w:r>
        <w:rPr>
          <w:rFonts w:hint="eastAsia"/>
          <w:b w:val="0"/>
          <w:bCs w:val="0"/>
        </w:rPr>
        <w:t>4计量特性</w:t>
      </w:r>
      <w:bookmarkEnd w:id="34"/>
      <w:bookmarkEnd w:id="35"/>
      <w:bookmarkEnd w:id="36"/>
      <w:bookmarkEnd w:id="37"/>
      <w:bookmarkEnd w:id="38"/>
      <w:bookmarkEnd w:id="39"/>
      <w:bookmarkEnd w:id="40"/>
      <w:bookmarkEnd w:id="41"/>
      <w:bookmarkStart w:id="42" w:name="_Toc25829_WPSOffice_Level1"/>
      <w:bookmarkStart w:id="88" w:name="_GoBack"/>
      <w:bookmarkEnd w:id="88"/>
    </w:p>
    <w:p w14:paraId="6D8F6C5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表1 市面常见轮廓仪参数</w:t>
      </w:r>
    </w:p>
    <w:tbl>
      <w:tblPr>
        <w:tblStyle w:val="42"/>
        <w:tblW w:w="109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left w:w="108" w:type="dxa"/>
          <w:right w:w="108" w:type="dxa"/>
        </w:tblCellMar>
      </w:tblPr>
      <w:tblGrid>
        <w:gridCol w:w="949"/>
        <w:gridCol w:w="1077"/>
        <w:gridCol w:w="1111"/>
        <w:gridCol w:w="2509"/>
        <w:gridCol w:w="2346"/>
        <w:gridCol w:w="1630"/>
        <w:gridCol w:w="1285"/>
      </w:tblGrid>
      <w:tr w14:paraId="5A0621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tblHeader/>
          <w:jc w:val="center"/>
        </w:trPr>
        <w:tc>
          <w:tcPr>
            <w:tcW w:w="949" w:type="dxa"/>
            <w:tcBorders>
              <w:bottom w:val="single" w:color="auto" w:sz="12" w:space="0"/>
              <w:right w:val="single" w:color="auto" w:sz="12" w:space="0"/>
            </w:tcBorders>
            <w:vAlign w:val="center"/>
          </w:tcPr>
          <w:p w14:paraId="2D8E07D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bCs w:val="0"/>
                <w:sz w:val="21"/>
                <w:szCs w:val="21"/>
                <w:vertAlign w:val="baseline"/>
                <w:lang w:val="en-US" w:eastAsia="zh-CN"/>
              </w:rPr>
            </w:pPr>
            <w:r>
              <w:rPr>
                <w:rFonts w:hint="eastAsia"/>
                <w:b/>
                <w:bCs w:val="0"/>
                <w:sz w:val="21"/>
                <w:szCs w:val="21"/>
                <w:vertAlign w:val="baseline"/>
                <w:lang w:val="en-US" w:eastAsia="zh-CN"/>
              </w:rPr>
              <w:t>生产商</w:t>
            </w:r>
          </w:p>
        </w:tc>
        <w:tc>
          <w:tcPr>
            <w:tcW w:w="1077" w:type="dxa"/>
            <w:tcBorders>
              <w:left w:val="single" w:color="auto" w:sz="12" w:space="0"/>
              <w:bottom w:val="single" w:color="auto" w:sz="12" w:space="0"/>
              <w:right w:val="single" w:color="auto" w:sz="12" w:space="0"/>
            </w:tcBorders>
            <w:vAlign w:val="center"/>
          </w:tcPr>
          <w:p w14:paraId="0789909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静态测量力</w:t>
            </w:r>
          </w:p>
        </w:tc>
        <w:tc>
          <w:tcPr>
            <w:tcW w:w="1111" w:type="dxa"/>
            <w:tcBorders>
              <w:left w:val="single" w:color="auto" w:sz="12" w:space="0"/>
              <w:bottom w:val="single" w:color="auto" w:sz="12" w:space="0"/>
              <w:right w:val="single" w:color="auto" w:sz="12" w:space="0"/>
            </w:tcBorders>
            <w:vAlign w:val="center"/>
          </w:tcPr>
          <w:p w14:paraId="1DF84D5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基准导轨直线度</w:t>
            </w:r>
          </w:p>
        </w:tc>
        <w:tc>
          <w:tcPr>
            <w:tcW w:w="2509" w:type="dxa"/>
            <w:tcBorders>
              <w:left w:val="single" w:color="auto" w:sz="12" w:space="0"/>
              <w:bottom w:val="single" w:color="auto" w:sz="12" w:space="0"/>
              <w:right w:val="single" w:color="auto" w:sz="12" w:space="0"/>
            </w:tcBorders>
            <w:vAlign w:val="center"/>
          </w:tcPr>
          <w:p w14:paraId="286F520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轮廓垂直分量Z轴示值误差</w:t>
            </w:r>
          </w:p>
        </w:tc>
        <w:tc>
          <w:tcPr>
            <w:tcW w:w="2346" w:type="dxa"/>
            <w:tcBorders>
              <w:left w:val="single" w:color="auto" w:sz="12" w:space="0"/>
              <w:bottom w:val="single" w:color="auto" w:sz="12" w:space="0"/>
              <w:right w:val="single" w:color="auto" w:sz="12" w:space="0"/>
            </w:tcBorders>
            <w:vAlign w:val="center"/>
          </w:tcPr>
          <w:p w14:paraId="538F4C4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轮廓水平分量X轴示值误差</w:t>
            </w:r>
          </w:p>
        </w:tc>
        <w:tc>
          <w:tcPr>
            <w:tcW w:w="1630" w:type="dxa"/>
            <w:tcBorders>
              <w:left w:val="single" w:color="auto" w:sz="12" w:space="0"/>
              <w:bottom w:val="single" w:color="auto" w:sz="12" w:space="0"/>
              <w:right w:val="single" w:color="auto" w:sz="12" w:space="0"/>
            </w:tcBorders>
            <w:vAlign w:val="center"/>
          </w:tcPr>
          <w:p w14:paraId="2BBB548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半径测量示值误差</w:t>
            </w:r>
          </w:p>
        </w:tc>
        <w:tc>
          <w:tcPr>
            <w:tcW w:w="1285" w:type="dxa"/>
            <w:tcBorders>
              <w:left w:val="single" w:color="auto" w:sz="12" w:space="0"/>
              <w:bottom w:val="single" w:color="auto" w:sz="12" w:space="0"/>
            </w:tcBorders>
            <w:vAlign w:val="center"/>
          </w:tcPr>
          <w:p w14:paraId="3AC40AC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bCs w:val="0"/>
                <w:sz w:val="21"/>
                <w:szCs w:val="21"/>
                <w:vertAlign w:val="baseline"/>
                <w:lang w:val="en-US" w:eastAsia="zh-CN"/>
              </w:rPr>
            </w:pPr>
            <w:r>
              <w:rPr>
                <w:rFonts w:hint="eastAsia"/>
                <w:b/>
                <w:bCs w:val="0"/>
                <w:sz w:val="21"/>
                <w:szCs w:val="21"/>
                <w:vertAlign w:val="baseline"/>
                <w:lang w:val="en-US" w:eastAsia="zh-CN"/>
              </w:rPr>
              <w:t>角度测量示值误差</w:t>
            </w:r>
          </w:p>
        </w:tc>
      </w:tr>
      <w:tr w14:paraId="25ACD0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jc w:val="center"/>
        </w:trPr>
        <w:tc>
          <w:tcPr>
            <w:tcW w:w="949" w:type="dxa"/>
            <w:tcBorders>
              <w:top w:val="single" w:color="auto" w:sz="12" w:space="0"/>
              <w:tl2br w:val="nil"/>
              <w:tr2bl w:val="nil"/>
            </w:tcBorders>
            <w:vAlign w:val="center"/>
          </w:tcPr>
          <w:p w14:paraId="40287D8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中科普锐</w:t>
            </w:r>
          </w:p>
        </w:tc>
        <w:tc>
          <w:tcPr>
            <w:tcW w:w="1077" w:type="dxa"/>
            <w:tcBorders>
              <w:top w:val="single" w:color="auto" w:sz="12" w:space="0"/>
              <w:tl2br w:val="nil"/>
              <w:tr2bl w:val="nil"/>
            </w:tcBorders>
            <w:vAlign w:val="center"/>
          </w:tcPr>
          <w:p w14:paraId="32E9041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111" w:type="dxa"/>
            <w:tcBorders>
              <w:top w:val="single" w:color="auto" w:sz="12" w:space="0"/>
              <w:tl2br w:val="nil"/>
              <w:tr2bl w:val="nil"/>
            </w:tcBorders>
            <w:vAlign w:val="center"/>
          </w:tcPr>
          <w:p w14:paraId="1FF068F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≤0.5μm/100mm</w:t>
            </w:r>
          </w:p>
        </w:tc>
        <w:tc>
          <w:tcPr>
            <w:tcW w:w="2509" w:type="dxa"/>
            <w:tcBorders>
              <w:top w:val="single" w:color="auto" w:sz="12" w:space="0"/>
              <w:tl2br w:val="nil"/>
              <w:tr2bl w:val="nil"/>
            </w:tcBorders>
            <w:vAlign w:val="center"/>
          </w:tcPr>
          <w:p w14:paraId="6B03A5C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4"/>
                <w:sz w:val="21"/>
                <w:szCs w:val="21"/>
                <w:vertAlign w:val="baseline"/>
                <w:lang w:val="en-US" w:eastAsia="zh-CN"/>
              </w:rPr>
              <w:object>
                <v:shape id="_x0000_i1055" o:spt="75" alt="" type="#_x0000_t75" style="height:20pt;width:103.95pt;" o:ole="t" filled="f" o:preferrelative="t" stroked="f" coordsize="21600,21600">
                  <v:path/>
                  <v:fill on="f" focussize="0,0"/>
                  <v:stroke on="f"/>
                  <v:imagedata r:id="rId9" o:title=""/>
                  <o:lock v:ext="edit" aspectratio="t"/>
                  <w10:wrap type="none"/>
                  <w10:anchorlock/>
                </v:shape>
                <o:OLEObject Type="Embed" ProgID="Equation.KSEE3" ShapeID="_x0000_i1055" DrawAspect="Content" ObjectID="_1468075725" r:id="rId8">
                  <o:LockedField>false</o:LockedField>
                </o:OLEObject>
              </w:object>
            </w:r>
          </w:p>
        </w:tc>
        <w:tc>
          <w:tcPr>
            <w:tcW w:w="2346" w:type="dxa"/>
            <w:tcBorders>
              <w:top w:val="single" w:color="auto" w:sz="12" w:space="0"/>
              <w:tl2br w:val="nil"/>
              <w:tr2bl w:val="nil"/>
            </w:tcBorders>
            <w:vAlign w:val="center"/>
          </w:tcPr>
          <w:p w14:paraId="3511DDA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position w:val="-14"/>
                <w:sz w:val="21"/>
                <w:szCs w:val="21"/>
                <w:vertAlign w:val="baseline"/>
                <w:lang w:val="en-US" w:eastAsia="zh-CN"/>
              </w:rPr>
              <w:object>
                <v:shape id="_x0000_i1054" o:spt="75" type="#_x0000_t75" style="height:20pt;width:90pt;" o:ole="t" filled="f" o:preferrelative="t" stroked="f" coordsize="21600,21600">
                  <v:fill on="f" focussize="0,0"/>
                  <v:stroke on="f"/>
                  <v:imagedata r:id="rId11" o:title=""/>
                  <o:lock v:ext="edit" aspectratio="t"/>
                  <w10:wrap type="none"/>
                  <w10:anchorlock/>
                </v:shape>
                <o:OLEObject Type="Embed" ProgID="Equation.KSEE3" ShapeID="_x0000_i1054" DrawAspect="Content" ObjectID="_1468075726" r:id="rId10">
                  <o:LockedField>false</o:LockedField>
                </o:OLEObject>
              </w:object>
            </w:r>
          </w:p>
        </w:tc>
        <w:tc>
          <w:tcPr>
            <w:tcW w:w="1630" w:type="dxa"/>
            <w:tcBorders>
              <w:top w:val="single" w:color="auto" w:sz="12" w:space="0"/>
              <w:tl2br w:val="nil"/>
              <w:tr2bl w:val="nil"/>
            </w:tcBorders>
            <w:vAlign w:val="center"/>
          </w:tcPr>
          <w:p w14:paraId="494D6B7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24"/>
                <w:sz w:val="21"/>
                <w:szCs w:val="21"/>
                <w:vertAlign w:val="baseline"/>
                <w:lang w:val="en-US" w:eastAsia="zh-CN"/>
              </w:rPr>
              <w:object>
                <v:shape id="_x0000_i1056" o:spt="75" alt="" type="#_x0000_t75" style="height:31pt;width:81pt;" o:ole="t" filled="f" o:preferrelative="t" stroked="f" coordsize="21600,21600">
                  <v:path/>
                  <v:fill on="f" focussize="0,0"/>
                  <v:stroke on="f"/>
                  <v:imagedata r:id="rId13" o:title=""/>
                  <o:lock v:ext="edit" aspectratio="t"/>
                  <w10:wrap type="none"/>
                  <w10:anchorlock/>
                </v:shape>
                <o:OLEObject Type="Embed" ProgID="Equation.KSEE3" ShapeID="_x0000_i1056" DrawAspect="Content" ObjectID="_1468075727" r:id="rId12">
                  <o:LockedField>false</o:LockedField>
                </o:OLEObject>
              </w:object>
            </w:r>
          </w:p>
        </w:tc>
        <w:tc>
          <w:tcPr>
            <w:tcW w:w="1285" w:type="dxa"/>
            <w:tcBorders>
              <w:top w:val="single" w:color="auto" w:sz="12" w:space="0"/>
              <w:tl2br w:val="nil"/>
              <w:tr2bl w:val="nil"/>
            </w:tcBorders>
            <w:vAlign w:val="center"/>
          </w:tcPr>
          <w:p w14:paraId="555787D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≤1′</w:t>
            </w:r>
          </w:p>
        </w:tc>
      </w:tr>
      <w:tr w14:paraId="303C12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jc w:val="center"/>
        </w:trPr>
        <w:tc>
          <w:tcPr>
            <w:tcW w:w="949" w:type="dxa"/>
            <w:tcBorders>
              <w:tl2br w:val="nil"/>
              <w:tr2bl w:val="nil"/>
            </w:tcBorders>
            <w:vAlign w:val="center"/>
          </w:tcPr>
          <w:p w14:paraId="4450310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中图</w:t>
            </w:r>
          </w:p>
        </w:tc>
        <w:tc>
          <w:tcPr>
            <w:tcW w:w="1077" w:type="dxa"/>
            <w:tcBorders>
              <w:tl2br w:val="nil"/>
              <w:tr2bl w:val="nil"/>
            </w:tcBorders>
            <w:vAlign w:val="center"/>
          </w:tcPr>
          <w:p w14:paraId="69D2876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（10~150）mN</w:t>
            </w:r>
          </w:p>
        </w:tc>
        <w:tc>
          <w:tcPr>
            <w:tcW w:w="1111" w:type="dxa"/>
            <w:tcBorders>
              <w:tl2br w:val="nil"/>
              <w:tr2bl w:val="nil"/>
            </w:tcBorders>
            <w:vAlign w:val="center"/>
          </w:tcPr>
          <w:p w14:paraId="272CEA3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default" w:ascii="Times New Roman" w:hAnsi="Times New Roman" w:cs="Times New Roman"/>
                <w:b w:val="0"/>
                <w:bCs w:val="0"/>
                <w:sz w:val="21"/>
                <w:szCs w:val="21"/>
                <w:vertAlign w:val="baseline"/>
                <w:lang w:val="en-US" w:eastAsia="zh-CN"/>
              </w:rPr>
              <w:t>≤</w:t>
            </w:r>
            <w:r>
              <w:rPr>
                <w:rFonts w:hint="eastAsia" w:cs="Times New Roman"/>
                <w:b w:val="0"/>
                <w:bCs w:val="0"/>
                <w:sz w:val="21"/>
                <w:szCs w:val="21"/>
                <w:vertAlign w:val="baseline"/>
                <w:lang w:val="en-US" w:eastAsia="zh-CN"/>
              </w:rPr>
              <w:t>2</w:t>
            </w:r>
            <w:r>
              <w:rPr>
                <w:rFonts w:hint="default" w:ascii="Times New Roman" w:hAnsi="Times New Roman" w:cs="Times New Roman"/>
                <w:b w:val="0"/>
                <w:bCs w:val="0"/>
                <w:sz w:val="21"/>
                <w:szCs w:val="21"/>
                <w:vertAlign w:val="baseline"/>
                <w:lang w:val="en-US" w:eastAsia="zh-CN"/>
              </w:rPr>
              <w:t>μm/</w:t>
            </w:r>
            <w:r>
              <w:rPr>
                <w:rFonts w:hint="eastAsia" w:cs="Times New Roman"/>
                <w:b w:val="0"/>
                <w:bCs w:val="0"/>
                <w:sz w:val="21"/>
                <w:szCs w:val="21"/>
                <w:vertAlign w:val="baseline"/>
                <w:lang w:val="en-US" w:eastAsia="zh-CN"/>
              </w:rPr>
              <w:t>2</w:t>
            </w:r>
            <w:r>
              <w:rPr>
                <w:rFonts w:hint="default" w:ascii="Times New Roman" w:hAnsi="Times New Roman" w:cs="Times New Roman"/>
                <w:b w:val="0"/>
                <w:bCs w:val="0"/>
                <w:sz w:val="21"/>
                <w:szCs w:val="21"/>
                <w:vertAlign w:val="baseline"/>
                <w:lang w:val="en-US" w:eastAsia="zh-CN"/>
              </w:rPr>
              <w:t>00mm</w:t>
            </w:r>
          </w:p>
        </w:tc>
        <w:tc>
          <w:tcPr>
            <w:tcW w:w="2509" w:type="dxa"/>
            <w:tcBorders>
              <w:tl2br w:val="nil"/>
              <w:tr2bl w:val="nil"/>
            </w:tcBorders>
            <w:vAlign w:val="center"/>
          </w:tcPr>
          <w:p w14:paraId="20F2024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4"/>
                <w:sz w:val="21"/>
                <w:szCs w:val="21"/>
                <w:vertAlign w:val="baseline"/>
                <w:lang w:val="en-US" w:eastAsia="zh-CN"/>
              </w:rPr>
              <w:object>
                <v:shape id="_x0000_i1078" o:spt="75" type="#_x0000_t75" style="height:20pt;width:114pt;" o:ole="t" filled="f" o:preferrelative="t" stroked="f" coordsize="21600,21600">
                  <v:path/>
                  <v:fill on="f" focussize="0,0"/>
                  <v:stroke on="f"/>
                  <v:imagedata r:id="rId15" o:title=""/>
                  <o:lock v:ext="edit" aspectratio="t"/>
                  <w10:wrap type="none"/>
                  <w10:anchorlock/>
                </v:shape>
                <o:OLEObject Type="Embed" ProgID="Equation.KSEE3" ShapeID="_x0000_i1078" DrawAspect="Content" ObjectID="_1468075728" r:id="rId14">
                  <o:LockedField>false</o:LockedField>
                </o:OLEObject>
              </w:object>
            </w:r>
          </w:p>
        </w:tc>
        <w:tc>
          <w:tcPr>
            <w:tcW w:w="2346" w:type="dxa"/>
            <w:tcBorders>
              <w:tl2br w:val="nil"/>
              <w:tr2bl w:val="nil"/>
            </w:tcBorders>
            <w:vAlign w:val="center"/>
          </w:tcPr>
          <w:p w14:paraId="7200EA7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0"/>
                <w:sz w:val="21"/>
                <w:szCs w:val="21"/>
                <w:vertAlign w:val="baseline"/>
                <w:lang w:val="en-US" w:eastAsia="zh-CN"/>
              </w:rPr>
              <w:object>
                <v:shape id="_x0000_i1057" o:spt="75" alt="" type="#_x0000_t75" style="height:16pt;width:105pt;" o:ole="t" filled="f" o:preferrelative="t" stroked="f" coordsize="21600,21600">
                  <v:path/>
                  <v:fill on="f" focussize="0,0"/>
                  <v:stroke on="f"/>
                  <v:imagedata r:id="rId17" o:title=""/>
                  <o:lock v:ext="edit" aspectratio="t"/>
                  <w10:wrap type="none"/>
                  <w10:anchorlock/>
                </v:shape>
                <o:OLEObject Type="Embed" ProgID="Equation.KSEE3" ShapeID="_x0000_i1057" DrawAspect="Content" ObjectID="_1468075729" r:id="rId16">
                  <o:LockedField>false</o:LockedField>
                </o:OLEObject>
              </w:object>
            </w:r>
          </w:p>
        </w:tc>
        <w:tc>
          <w:tcPr>
            <w:tcW w:w="1630" w:type="dxa"/>
            <w:tcBorders>
              <w:tl2br w:val="nil"/>
              <w:tr2bl w:val="nil"/>
            </w:tcBorders>
            <w:vAlign w:val="center"/>
          </w:tcPr>
          <w:p w14:paraId="626755C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24"/>
                <w:sz w:val="21"/>
                <w:szCs w:val="21"/>
                <w:vertAlign w:val="baseline"/>
                <w:lang w:val="en-US" w:eastAsia="zh-CN"/>
              </w:rPr>
              <w:object>
                <v:shape id="_x0000_i1082" o:spt="75" type="#_x0000_t75" style="height:31pt;width:71pt;" o:ole="t" filled="f" o:preferrelative="t" stroked="f" coordsize="21600,21600">
                  <v:path/>
                  <v:fill on="f" focussize="0,0"/>
                  <v:stroke on="f"/>
                  <v:imagedata r:id="rId19" o:title=""/>
                  <o:lock v:ext="edit" aspectratio="t"/>
                  <w10:wrap type="none"/>
                  <w10:anchorlock/>
                </v:shape>
                <o:OLEObject Type="Embed" ProgID="Equation.KSEE3" ShapeID="_x0000_i1082" DrawAspect="Content" ObjectID="_1468075730" r:id="rId18">
                  <o:LockedField>false</o:LockedField>
                </o:OLEObject>
              </w:object>
            </w:r>
          </w:p>
        </w:tc>
        <w:tc>
          <w:tcPr>
            <w:tcW w:w="1285" w:type="dxa"/>
            <w:tcBorders>
              <w:tl2br w:val="nil"/>
              <w:tr2bl w:val="nil"/>
            </w:tcBorders>
            <w:vAlign w:val="center"/>
          </w:tcPr>
          <w:p w14:paraId="7B28B19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sz w:val="21"/>
                <w:szCs w:val="21"/>
                <w:vertAlign w:val="baseline"/>
                <w:lang w:val="en-US" w:eastAsia="zh-CN"/>
              </w:rPr>
              <w:t>≤±1′</w:t>
            </w:r>
          </w:p>
        </w:tc>
      </w:tr>
      <w:tr w14:paraId="7C64D7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jc w:val="center"/>
        </w:trPr>
        <w:tc>
          <w:tcPr>
            <w:tcW w:w="949" w:type="dxa"/>
            <w:tcBorders>
              <w:tl2br w:val="nil"/>
              <w:tr2bl w:val="nil"/>
            </w:tcBorders>
            <w:vAlign w:val="center"/>
          </w:tcPr>
          <w:p w14:paraId="768BDFB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三丰(CV-2100)</w:t>
            </w:r>
          </w:p>
        </w:tc>
        <w:tc>
          <w:tcPr>
            <w:tcW w:w="1077" w:type="dxa"/>
            <w:tcBorders>
              <w:tl2br w:val="nil"/>
              <w:tr2bl w:val="nil"/>
            </w:tcBorders>
            <w:vAlign w:val="center"/>
          </w:tcPr>
          <w:p w14:paraId="1E92AA5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(30±10)mN</w:t>
            </w:r>
          </w:p>
        </w:tc>
        <w:tc>
          <w:tcPr>
            <w:tcW w:w="1111" w:type="dxa"/>
            <w:tcBorders>
              <w:tl2br w:val="nil"/>
              <w:tr2bl w:val="nil"/>
            </w:tcBorders>
            <w:vAlign w:val="center"/>
          </w:tcPr>
          <w:p w14:paraId="141EC32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default" w:ascii="Times New Roman" w:hAnsi="Times New Roman" w:cs="Times New Roman"/>
                <w:b w:val="0"/>
                <w:bCs w:val="0"/>
                <w:sz w:val="21"/>
                <w:szCs w:val="21"/>
                <w:vertAlign w:val="baseline"/>
                <w:lang w:val="en-US" w:eastAsia="zh-CN"/>
              </w:rPr>
              <w:t>≤</w:t>
            </w:r>
            <w:r>
              <w:rPr>
                <w:rFonts w:hint="eastAsia" w:cs="Times New Roman"/>
                <w:b w:val="0"/>
                <w:bCs w:val="0"/>
                <w:sz w:val="21"/>
                <w:szCs w:val="21"/>
                <w:vertAlign w:val="baseline"/>
                <w:lang w:val="en-US" w:eastAsia="zh-CN"/>
              </w:rPr>
              <w:t>2.5</w:t>
            </w:r>
            <w:r>
              <w:rPr>
                <w:rFonts w:hint="default" w:ascii="Times New Roman" w:hAnsi="Times New Roman" w:cs="Times New Roman"/>
                <w:b w:val="0"/>
                <w:bCs w:val="0"/>
                <w:sz w:val="21"/>
                <w:szCs w:val="21"/>
                <w:vertAlign w:val="baseline"/>
                <w:lang w:val="en-US" w:eastAsia="zh-CN"/>
              </w:rPr>
              <w:t>μm/</w:t>
            </w:r>
            <w:r>
              <w:rPr>
                <w:rFonts w:hint="eastAsia" w:cs="Times New Roman"/>
                <w:b w:val="0"/>
                <w:bCs w:val="0"/>
                <w:sz w:val="21"/>
                <w:szCs w:val="21"/>
                <w:vertAlign w:val="baseline"/>
                <w:lang w:val="en-US" w:eastAsia="zh-CN"/>
              </w:rPr>
              <w:t>1</w:t>
            </w:r>
            <w:r>
              <w:rPr>
                <w:rFonts w:hint="default" w:ascii="Times New Roman" w:hAnsi="Times New Roman" w:cs="Times New Roman"/>
                <w:b w:val="0"/>
                <w:bCs w:val="0"/>
                <w:sz w:val="21"/>
                <w:szCs w:val="21"/>
                <w:vertAlign w:val="baseline"/>
                <w:lang w:val="en-US" w:eastAsia="zh-CN"/>
              </w:rPr>
              <w:t>00mm</w:t>
            </w:r>
          </w:p>
        </w:tc>
        <w:tc>
          <w:tcPr>
            <w:tcW w:w="2509" w:type="dxa"/>
            <w:tcBorders>
              <w:tl2br w:val="nil"/>
              <w:tr2bl w:val="nil"/>
            </w:tcBorders>
            <w:vAlign w:val="center"/>
          </w:tcPr>
          <w:p w14:paraId="376E86D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4"/>
                <w:sz w:val="21"/>
                <w:szCs w:val="21"/>
                <w:vertAlign w:val="baseline"/>
                <w:lang w:val="en-US" w:eastAsia="zh-CN"/>
              </w:rPr>
              <w:object>
                <v:shape id="_x0000_i1079" o:spt="75" type="#_x0000_t75" style="height:20pt;width:98pt;" o:ole="t" filled="f" o:preferrelative="t" stroked="f" coordsize="21600,21600">
                  <v:path/>
                  <v:fill on="f" focussize="0,0"/>
                  <v:stroke on="f"/>
                  <v:imagedata r:id="rId21" o:title=""/>
                  <o:lock v:ext="edit" aspectratio="t"/>
                  <w10:wrap type="none"/>
                  <w10:anchorlock/>
                </v:shape>
                <o:OLEObject Type="Embed" ProgID="Equation.KSEE3" ShapeID="_x0000_i1079" DrawAspect="Content" ObjectID="_1468075731" r:id="rId20">
                  <o:LockedField>false</o:LockedField>
                </o:OLEObject>
              </w:object>
            </w:r>
          </w:p>
        </w:tc>
        <w:tc>
          <w:tcPr>
            <w:tcW w:w="2346" w:type="dxa"/>
            <w:tcBorders>
              <w:tl2br w:val="nil"/>
              <w:tr2bl w:val="nil"/>
            </w:tcBorders>
            <w:vAlign w:val="center"/>
          </w:tcPr>
          <w:p w14:paraId="7BBBD54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0"/>
                <w:sz w:val="21"/>
                <w:szCs w:val="21"/>
                <w:vertAlign w:val="baseline"/>
                <w:lang w:val="en-US" w:eastAsia="zh-CN"/>
              </w:rPr>
              <w:object>
                <v:shape id="_x0000_i1060" o:spt="75" alt="" type="#_x0000_t75" style="height:16pt;width:98pt;" o:ole="t" filled="f" o:preferrelative="t" stroked="f" coordsize="21600,21600">
                  <v:path/>
                  <v:fill on="f" focussize="0,0"/>
                  <v:stroke on="f"/>
                  <v:imagedata r:id="rId23" o:title=""/>
                  <o:lock v:ext="edit" aspectratio="t"/>
                  <w10:wrap type="none"/>
                  <w10:anchorlock/>
                </v:shape>
                <o:OLEObject Type="Embed" ProgID="Equation.KSEE3" ShapeID="_x0000_i1060" DrawAspect="Content" ObjectID="_1468075732" r:id="rId22">
                  <o:LockedField>false</o:LockedField>
                </o:OLEObject>
              </w:object>
            </w:r>
          </w:p>
        </w:tc>
        <w:tc>
          <w:tcPr>
            <w:tcW w:w="1630" w:type="dxa"/>
            <w:tcBorders>
              <w:tl2br w:val="nil"/>
              <w:tr2bl w:val="nil"/>
            </w:tcBorders>
            <w:vAlign w:val="center"/>
          </w:tcPr>
          <w:p w14:paraId="207E640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eastAsia="zh-CN"/>
              </w:rPr>
            </w:pPr>
            <w:r>
              <w:rPr>
                <w:rFonts w:hint="eastAsia"/>
                <w:b w:val="0"/>
                <w:bCs w:val="0"/>
                <w:sz w:val="21"/>
                <w:szCs w:val="21"/>
                <w:vertAlign w:val="baseline"/>
                <w:lang w:val="en-US" w:eastAsia="zh-CN"/>
              </w:rPr>
              <w:t>/</w:t>
            </w:r>
          </w:p>
        </w:tc>
        <w:tc>
          <w:tcPr>
            <w:tcW w:w="1285" w:type="dxa"/>
            <w:tcBorders>
              <w:tl2br w:val="nil"/>
              <w:tr2bl w:val="nil"/>
            </w:tcBorders>
            <w:vAlign w:val="center"/>
          </w:tcPr>
          <w:p w14:paraId="1D0C526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r>
      <w:tr w14:paraId="24C0B1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jc w:val="center"/>
        </w:trPr>
        <w:tc>
          <w:tcPr>
            <w:tcW w:w="949" w:type="dxa"/>
            <w:tcBorders>
              <w:tl2br w:val="nil"/>
              <w:tr2bl w:val="nil"/>
            </w:tcBorders>
            <w:vAlign w:val="center"/>
          </w:tcPr>
          <w:p w14:paraId="1118FBB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sz w:val="21"/>
                <w:szCs w:val="21"/>
                <w:vertAlign w:val="baseline"/>
                <w:lang w:val="en-US" w:eastAsia="zh-CN"/>
              </w:rPr>
              <w:t>三丰(CV-3200-4)</w:t>
            </w:r>
          </w:p>
        </w:tc>
        <w:tc>
          <w:tcPr>
            <w:tcW w:w="1077" w:type="dxa"/>
            <w:tcBorders>
              <w:tl2br w:val="nil"/>
              <w:tr2bl w:val="nil"/>
            </w:tcBorders>
            <w:vAlign w:val="center"/>
          </w:tcPr>
          <w:p w14:paraId="338C1AD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sz w:val="21"/>
                <w:szCs w:val="21"/>
                <w:vertAlign w:val="baseline"/>
                <w:lang w:val="en-US" w:eastAsia="zh-CN"/>
              </w:rPr>
              <w:t>30mN</w:t>
            </w:r>
          </w:p>
        </w:tc>
        <w:tc>
          <w:tcPr>
            <w:tcW w:w="1111" w:type="dxa"/>
            <w:tcBorders>
              <w:tl2br w:val="nil"/>
              <w:tr2bl w:val="nil"/>
            </w:tcBorders>
            <w:vAlign w:val="center"/>
          </w:tcPr>
          <w:p w14:paraId="79E9BCF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default" w:ascii="Times New Roman" w:hAnsi="Times New Roman" w:cs="Times New Roman"/>
                <w:b w:val="0"/>
                <w:bCs w:val="0"/>
                <w:sz w:val="21"/>
                <w:szCs w:val="21"/>
                <w:vertAlign w:val="baseline"/>
                <w:lang w:val="en-US" w:eastAsia="zh-CN"/>
              </w:rPr>
              <w:t>≤0.</w:t>
            </w:r>
            <w:r>
              <w:rPr>
                <w:rFonts w:hint="eastAsia" w:cs="Times New Roman"/>
                <w:b w:val="0"/>
                <w:bCs w:val="0"/>
                <w:sz w:val="21"/>
                <w:szCs w:val="21"/>
                <w:vertAlign w:val="baseline"/>
                <w:lang w:val="en-US" w:eastAsia="zh-CN"/>
              </w:rPr>
              <w:t>08</w:t>
            </w:r>
            <w:r>
              <w:rPr>
                <w:rFonts w:hint="default" w:ascii="Times New Roman" w:hAnsi="Times New Roman" w:cs="Times New Roman"/>
                <w:b w:val="0"/>
                <w:bCs w:val="0"/>
                <w:sz w:val="21"/>
                <w:szCs w:val="21"/>
                <w:vertAlign w:val="baseline"/>
                <w:lang w:val="en-US" w:eastAsia="zh-CN"/>
              </w:rPr>
              <w:t>μm/100mm</w:t>
            </w:r>
          </w:p>
        </w:tc>
        <w:tc>
          <w:tcPr>
            <w:tcW w:w="2509" w:type="dxa"/>
            <w:tcBorders>
              <w:tl2br w:val="nil"/>
              <w:tr2bl w:val="nil"/>
            </w:tcBorders>
            <w:vAlign w:val="center"/>
          </w:tcPr>
          <w:p w14:paraId="42443DF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4"/>
                <w:sz w:val="21"/>
                <w:szCs w:val="21"/>
                <w:vertAlign w:val="baseline"/>
                <w:lang w:val="en-US" w:eastAsia="zh-CN"/>
              </w:rPr>
              <w:object>
                <v:shape id="_x0000_i1064" o:spt="75" alt="" type="#_x0000_t75" style="height:20pt;width:112pt;" o:ole="t" filled="f" o:preferrelative="t" stroked="f" coordsize="21600,21600">
                  <v:path/>
                  <v:fill on="f" focussize="0,0"/>
                  <v:stroke on="f"/>
                  <v:imagedata r:id="rId25" o:title=""/>
                  <o:lock v:ext="edit" aspectratio="t"/>
                  <w10:wrap type="none"/>
                  <w10:anchorlock/>
                </v:shape>
                <o:OLEObject Type="Embed" ProgID="Equation.KSEE3" ShapeID="_x0000_i1064" DrawAspect="Content" ObjectID="_1468075733" r:id="rId24">
                  <o:LockedField>false</o:LockedField>
                </o:OLEObject>
              </w:object>
            </w:r>
          </w:p>
        </w:tc>
        <w:tc>
          <w:tcPr>
            <w:tcW w:w="2346" w:type="dxa"/>
            <w:tcBorders>
              <w:tl2br w:val="nil"/>
              <w:tr2bl w:val="nil"/>
            </w:tcBorders>
            <w:vAlign w:val="center"/>
          </w:tcPr>
          <w:p w14:paraId="269369B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position w:val="-10"/>
                <w:sz w:val="21"/>
                <w:szCs w:val="21"/>
                <w:vertAlign w:val="baseline"/>
                <w:lang w:val="en-US" w:eastAsia="zh-CN"/>
              </w:rPr>
              <w:object>
                <v:shape id="_x0000_i1062" o:spt="75" alt="" type="#_x0000_t75" style="height:16pt;width:98pt;" o:ole="t" filled="f" o:preferrelative="t" stroked="f" coordsize="21600,21600">
                  <v:path/>
                  <v:fill on="f" focussize="0,0"/>
                  <v:stroke on="f"/>
                  <v:imagedata r:id="rId27" o:title=""/>
                  <o:lock v:ext="edit" aspectratio="t"/>
                  <w10:wrap type="none"/>
                  <w10:anchorlock/>
                </v:shape>
                <o:OLEObject Type="Embed" ProgID="Equation.KSEE3" ShapeID="_x0000_i1062" DrawAspect="Content" ObjectID="_1468075734" r:id="rId26">
                  <o:LockedField>false</o:LockedField>
                </o:OLEObject>
              </w:object>
            </w:r>
          </w:p>
        </w:tc>
        <w:tc>
          <w:tcPr>
            <w:tcW w:w="1630" w:type="dxa"/>
            <w:tcBorders>
              <w:tl2br w:val="nil"/>
              <w:tr2bl w:val="nil"/>
            </w:tcBorders>
            <w:vAlign w:val="center"/>
          </w:tcPr>
          <w:p w14:paraId="3A05B58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285" w:type="dxa"/>
            <w:tcBorders>
              <w:tl2br w:val="nil"/>
              <w:tr2bl w:val="nil"/>
            </w:tcBorders>
            <w:vAlign w:val="center"/>
          </w:tcPr>
          <w:p w14:paraId="0BF6CA6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r>
      <w:tr w14:paraId="3A3B98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left w:w="108" w:type="dxa"/>
            <w:right w:w="108" w:type="dxa"/>
          </w:tblCellMar>
        </w:tblPrEx>
        <w:trPr>
          <w:trHeight w:val="0" w:hRule="atLeast"/>
          <w:jc w:val="center"/>
        </w:trPr>
        <w:tc>
          <w:tcPr>
            <w:tcW w:w="949" w:type="dxa"/>
            <w:tcBorders>
              <w:tl2br w:val="nil"/>
              <w:tr2bl w:val="nil"/>
            </w:tcBorders>
            <w:vAlign w:val="center"/>
          </w:tcPr>
          <w:p w14:paraId="7957CC4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b w:val="0"/>
                <w:bCs w:val="0"/>
                <w:sz w:val="21"/>
                <w:szCs w:val="21"/>
                <w:vertAlign w:val="baseline"/>
                <w:lang w:val="en-US"/>
              </w:rPr>
            </w:pPr>
            <w:r>
              <w:rPr>
                <w:rFonts w:hint="eastAsia"/>
                <w:b w:val="0"/>
                <w:bCs w:val="0"/>
                <w:sz w:val="21"/>
                <w:szCs w:val="21"/>
                <w:vertAlign w:val="baseline"/>
                <w:lang w:val="en-US" w:eastAsia="zh-CN"/>
              </w:rPr>
              <w:t>三丰(CV-3200-4)</w:t>
            </w:r>
          </w:p>
        </w:tc>
        <w:tc>
          <w:tcPr>
            <w:tcW w:w="1077" w:type="dxa"/>
            <w:tcBorders>
              <w:tl2br w:val="nil"/>
              <w:tr2bl w:val="nil"/>
            </w:tcBorders>
            <w:vAlign w:val="center"/>
          </w:tcPr>
          <w:p w14:paraId="2056072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sz w:val="21"/>
                <w:szCs w:val="21"/>
                <w:vertAlign w:val="baseline"/>
                <w:lang w:val="en-US" w:eastAsia="zh-CN"/>
              </w:rPr>
              <w:t>30mN</w:t>
            </w:r>
          </w:p>
        </w:tc>
        <w:tc>
          <w:tcPr>
            <w:tcW w:w="1111" w:type="dxa"/>
            <w:tcBorders>
              <w:tl2br w:val="nil"/>
              <w:tr2bl w:val="nil"/>
            </w:tcBorders>
            <w:vAlign w:val="center"/>
          </w:tcPr>
          <w:p w14:paraId="228A971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default" w:ascii="Times New Roman" w:hAnsi="Times New Roman" w:cs="Times New Roman"/>
                <w:b w:val="0"/>
                <w:bCs w:val="0"/>
                <w:sz w:val="21"/>
                <w:szCs w:val="21"/>
                <w:vertAlign w:val="baseline"/>
                <w:lang w:val="en-US" w:eastAsia="zh-CN"/>
              </w:rPr>
              <w:t>≤</w:t>
            </w:r>
            <w:r>
              <w:rPr>
                <w:rFonts w:hint="eastAsia" w:cs="Times New Roman"/>
                <w:b w:val="0"/>
                <w:bCs w:val="0"/>
                <w:sz w:val="21"/>
                <w:szCs w:val="21"/>
                <w:vertAlign w:val="baseline"/>
                <w:lang w:val="en-US" w:eastAsia="zh-CN"/>
              </w:rPr>
              <w:t>2</w:t>
            </w:r>
            <w:r>
              <w:rPr>
                <w:rFonts w:hint="default" w:ascii="Times New Roman" w:hAnsi="Times New Roman" w:cs="Times New Roman"/>
                <w:b w:val="0"/>
                <w:bCs w:val="0"/>
                <w:sz w:val="21"/>
                <w:szCs w:val="21"/>
                <w:vertAlign w:val="baseline"/>
                <w:lang w:val="en-US" w:eastAsia="zh-CN"/>
              </w:rPr>
              <w:t>μm/</w:t>
            </w:r>
            <w:r>
              <w:rPr>
                <w:rFonts w:hint="eastAsia" w:cs="Times New Roman"/>
                <w:b w:val="0"/>
                <w:bCs w:val="0"/>
                <w:sz w:val="21"/>
                <w:szCs w:val="21"/>
                <w:vertAlign w:val="baseline"/>
                <w:lang w:val="en-US" w:eastAsia="zh-CN"/>
              </w:rPr>
              <w:t>2</w:t>
            </w:r>
            <w:r>
              <w:rPr>
                <w:rFonts w:hint="default" w:ascii="Times New Roman" w:hAnsi="Times New Roman" w:cs="Times New Roman"/>
                <w:b w:val="0"/>
                <w:bCs w:val="0"/>
                <w:sz w:val="21"/>
                <w:szCs w:val="21"/>
                <w:vertAlign w:val="baseline"/>
                <w:lang w:val="en-US" w:eastAsia="zh-CN"/>
              </w:rPr>
              <w:t>00mm</w:t>
            </w:r>
          </w:p>
        </w:tc>
        <w:tc>
          <w:tcPr>
            <w:tcW w:w="2509" w:type="dxa"/>
            <w:tcBorders>
              <w:tl2br w:val="nil"/>
              <w:tr2bl w:val="nil"/>
            </w:tcBorders>
            <w:vAlign w:val="center"/>
          </w:tcPr>
          <w:p w14:paraId="4C70A4B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rPr>
            </w:pPr>
            <w:r>
              <w:rPr>
                <w:rFonts w:hint="eastAsia"/>
                <w:b w:val="0"/>
                <w:bCs w:val="0"/>
                <w:position w:val="-14"/>
                <w:sz w:val="21"/>
                <w:szCs w:val="21"/>
                <w:vertAlign w:val="baseline"/>
                <w:lang w:val="en-US" w:eastAsia="zh-CN"/>
              </w:rPr>
              <w:object>
                <v:shape id="_x0000_i1065" o:spt="75" alt="" type="#_x0000_t75" style="height:20pt;width:112pt;" o:ole="t" filled="f" o:preferrelative="t" stroked="f" coordsize="21600,21600">
                  <v:path/>
                  <v:fill on="f" focussize="0,0"/>
                  <v:stroke on="f"/>
                  <v:imagedata r:id="rId29" o:title=""/>
                  <o:lock v:ext="edit" aspectratio="t"/>
                  <w10:wrap type="none"/>
                  <w10:anchorlock/>
                </v:shape>
                <o:OLEObject Type="Embed" ProgID="Equation.KSEE3" ShapeID="_x0000_i1065" DrawAspect="Content" ObjectID="_1468075735" r:id="rId28">
                  <o:LockedField>false</o:LockedField>
                </o:OLEObject>
              </w:object>
            </w:r>
          </w:p>
        </w:tc>
        <w:tc>
          <w:tcPr>
            <w:tcW w:w="2346" w:type="dxa"/>
            <w:tcBorders>
              <w:tl2br w:val="nil"/>
              <w:tr2bl w:val="nil"/>
            </w:tcBorders>
            <w:vAlign w:val="center"/>
          </w:tcPr>
          <w:p w14:paraId="4589B7D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21"/>
                <w:szCs w:val="21"/>
                <w:vertAlign w:val="baseline"/>
                <w:lang w:val="en-US" w:eastAsia="zh-CN"/>
              </w:rPr>
            </w:pPr>
            <w:r>
              <w:rPr>
                <w:rFonts w:hint="eastAsia"/>
                <w:b w:val="0"/>
                <w:bCs w:val="0"/>
                <w:position w:val="-10"/>
                <w:sz w:val="21"/>
                <w:szCs w:val="21"/>
                <w:vertAlign w:val="baseline"/>
                <w:lang w:val="en-US" w:eastAsia="zh-CN"/>
              </w:rPr>
              <w:object>
                <v:shape id="_x0000_i1063" o:spt="75" alt="" type="#_x0000_t75" style="height:16pt;width:96.95pt;" o:ole="t" filled="f" o:preferrelative="t" stroked="f" coordsize="21600,21600">
                  <v:path/>
                  <v:fill on="f" focussize="0,0"/>
                  <v:stroke on="f"/>
                  <v:imagedata r:id="rId31" o:title=""/>
                  <o:lock v:ext="edit" aspectratio="t"/>
                  <w10:wrap type="none"/>
                  <w10:anchorlock/>
                </v:shape>
                <o:OLEObject Type="Embed" ProgID="Equation.KSEE3" ShapeID="_x0000_i1063" DrawAspect="Content" ObjectID="_1468075736" r:id="rId30">
                  <o:LockedField>false</o:LockedField>
                </o:OLEObject>
              </w:object>
            </w:r>
          </w:p>
        </w:tc>
        <w:tc>
          <w:tcPr>
            <w:tcW w:w="1630" w:type="dxa"/>
            <w:tcBorders>
              <w:tl2br w:val="nil"/>
              <w:tr2bl w:val="nil"/>
            </w:tcBorders>
            <w:vAlign w:val="center"/>
          </w:tcPr>
          <w:p w14:paraId="5AD5BD4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285" w:type="dxa"/>
            <w:tcBorders>
              <w:tl2br w:val="nil"/>
              <w:tr2bl w:val="nil"/>
            </w:tcBorders>
            <w:vAlign w:val="center"/>
          </w:tcPr>
          <w:p w14:paraId="350BAE9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r>
    </w:tbl>
    <w:p w14:paraId="476E7B56">
      <w:pPr>
        <w:pStyle w:val="302"/>
        <w:numPr>
          <w:ilvl w:val="1"/>
          <w:numId w:val="12"/>
        </w:numPr>
        <w:spacing w:line="360" w:lineRule="auto"/>
        <w:ind w:left="0" w:firstLine="0" w:firstLineChars="0"/>
        <w:rPr>
          <w:kern w:val="21"/>
          <w:szCs w:val="21"/>
        </w:rPr>
      </w:pPr>
      <w:r>
        <w:rPr>
          <w:rFonts w:hint="eastAsia"/>
          <w:kern w:val="21"/>
          <w:szCs w:val="21"/>
        </w:rPr>
        <w:t>静态测量力</w:t>
      </w:r>
      <w:r>
        <w:rPr>
          <w:rFonts w:hint="eastAsia"/>
          <w:kern w:val="21"/>
          <w:szCs w:val="21"/>
          <w:lang w:val="en-US" w:eastAsia="zh-CN"/>
        </w:rPr>
        <w:t>误差</w:t>
      </w:r>
    </w:p>
    <w:p w14:paraId="70028CD2">
      <w:pPr>
        <w:pStyle w:val="302"/>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default" w:eastAsia="宋体"/>
          <w:kern w:val="21"/>
          <w:szCs w:val="21"/>
          <w:lang w:val="en-US" w:eastAsia="zh-CN"/>
        </w:rPr>
      </w:pPr>
      <w:r>
        <w:rPr>
          <w:rFonts w:hint="eastAsia"/>
          <w:kern w:val="21"/>
          <w:szCs w:val="21"/>
          <w:lang w:val="en-US" w:eastAsia="zh-CN"/>
        </w:rPr>
        <w:t>静态测量力</w:t>
      </w:r>
      <w:r>
        <w:rPr>
          <w:rFonts w:hint="eastAsia"/>
          <w:b w:val="0"/>
          <w:bCs w:val="0"/>
          <w:vertAlign w:val="baseline"/>
          <w:lang w:val="en-US" w:eastAsia="zh-CN"/>
        </w:rPr>
        <w:t>(30±10)mN</w:t>
      </w:r>
    </w:p>
    <w:p w14:paraId="53F4B50C">
      <w:pPr>
        <w:pStyle w:val="302"/>
        <w:numPr>
          <w:ilvl w:val="1"/>
          <w:numId w:val="12"/>
        </w:numPr>
        <w:spacing w:line="360" w:lineRule="auto"/>
        <w:ind w:left="0" w:firstLine="0" w:firstLineChars="0"/>
        <w:rPr>
          <w:kern w:val="21"/>
          <w:szCs w:val="21"/>
        </w:rPr>
      </w:pPr>
      <w:r>
        <w:rPr>
          <w:rFonts w:hint="eastAsia"/>
          <w:kern w:val="21"/>
          <w:szCs w:val="21"/>
        </w:rPr>
        <w:t>基准导轨直线度</w:t>
      </w:r>
    </w:p>
    <w:p w14:paraId="08DB992A">
      <w:pPr>
        <w:pStyle w:val="30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kern w:val="21"/>
          <w:szCs w:val="21"/>
          <w:lang w:val="en-US" w:eastAsia="zh-CN"/>
        </w:rPr>
      </w:pPr>
      <w:r>
        <w:rPr>
          <w:rFonts w:hint="eastAsia"/>
          <w:kern w:val="21"/>
          <w:szCs w:val="21"/>
          <w:lang w:val="en-US" w:eastAsia="zh-CN"/>
        </w:rPr>
        <w:t>基准导轨直线度</w:t>
      </w:r>
      <w:r>
        <w:rPr>
          <w:rFonts w:hint="default" w:ascii="Times New Roman" w:hAnsi="Times New Roman" w:cs="Times New Roman"/>
          <w:kern w:val="21"/>
          <w:szCs w:val="21"/>
          <w:lang w:val="en-US" w:eastAsia="zh-CN"/>
        </w:rPr>
        <w:t>≤</w:t>
      </w:r>
      <w:r>
        <w:rPr>
          <w:rFonts w:hint="eastAsia"/>
          <w:kern w:val="21"/>
          <w:szCs w:val="21"/>
          <w:lang w:val="en-US" w:eastAsia="zh-CN"/>
        </w:rPr>
        <w:t>2</w:t>
      </w:r>
      <w:r>
        <w:rPr>
          <w:rFonts w:hint="default"/>
          <w:kern w:val="21"/>
          <w:szCs w:val="21"/>
          <w:lang w:val="en-US" w:eastAsia="zh-CN"/>
        </w:rPr>
        <w:t>μm/</w:t>
      </w:r>
      <w:r>
        <w:rPr>
          <w:rFonts w:hint="eastAsia"/>
          <w:kern w:val="21"/>
          <w:szCs w:val="21"/>
          <w:lang w:val="en-US" w:eastAsia="zh-CN"/>
        </w:rPr>
        <w:t>2</w:t>
      </w:r>
      <w:r>
        <w:rPr>
          <w:rFonts w:hint="default"/>
          <w:kern w:val="21"/>
          <w:szCs w:val="21"/>
          <w:lang w:val="en-US" w:eastAsia="zh-CN"/>
        </w:rPr>
        <w:t>00mm</w:t>
      </w:r>
    </w:p>
    <w:p w14:paraId="110FDE6F">
      <w:pPr>
        <w:pStyle w:val="302"/>
        <w:numPr>
          <w:ilvl w:val="1"/>
          <w:numId w:val="12"/>
        </w:numPr>
        <w:spacing w:line="360" w:lineRule="auto"/>
        <w:ind w:left="0" w:firstLine="0" w:firstLineChars="0"/>
        <w:rPr>
          <w:kern w:val="21"/>
          <w:szCs w:val="21"/>
        </w:rPr>
      </w:pPr>
      <w:r>
        <w:rPr>
          <w:rFonts w:hint="eastAsia"/>
          <w:kern w:val="21"/>
          <w:szCs w:val="21"/>
        </w:rPr>
        <w:t>轮廓垂直分量（Z轴）示值误差</w:t>
      </w:r>
    </w:p>
    <w:p w14:paraId="2DCC7881">
      <w:pPr>
        <w:pStyle w:val="302"/>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kern w:val="21"/>
          <w:szCs w:val="21"/>
        </w:rPr>
      </w:pPr>
      <w:r>
        <w:rPr>
          <w:rFonts w:hint="eastAsia"/>
          <w:kern w:val="21"/>
          <w:szCs w:val="21"/>
        </w:rPr>
        <w:t>轮廓垂直分量（Z轴）示值误差</w:t>
      </w:r>
      <w:r>
        <w:rPr>
          <w:rFonts w:hint="eastAsia"/>
          <w:b w:val="0"/>
          <w:bCs w:val="0"/>
          <w:position w:val="-14"/>
          <w:vertAlign w:val="baseline"/>
          <w:lang w:val="en-US" w:eastAsia="zh-CN"/>
        </w:rPr>
        <w:object>
          <v:shape id="_x0000_i1080" o:spt="75" alt="" type="#_x0000_t75" style="height:20pt;width:112pt;" o:ole="t" filled="f" o:preferrelative="t" stroked="f" coordsize="21600,21600">
            <v:path/>
            <v:fill on="f" focussize="0,0"/>
            <v:stroke on="f"/>
            <v:imagedata r:id="rId33" o:title=""/>
            <o:lock v:ext="edit" aspectratio="t"/>
            <w10:wrap type="none"/>
            <w10:anchorlock/>
          </v:shape>
          <o:OLEObject Type="Embed" ProgID="Equation.KSEE3" ShapeID="_x0000_i1080" DrawAspect="Content" ObjectID="_1468075737" r:id="rId32">
            <o:LockedField>false</o:LockedField>
          </o:OLEObject>
        </w:object>
      </w:r>
    </w:p>
    <w:p w14:paraId="634DDFAE">
      <w:pPr>
        <w:pStyle w:val="302"/>
        <w:numPr>
          <w:ilvl w:val="1"/>
          <w:numId w:val="12"/>
        </w:numPr>
        <w:spacing w:line="360" w:lineRule="auto"/>
        <w:ind w:left="0" w:firstLine="0" w:firstLineChars="0"/>
        <w:rPr>
          <w:kern w:val="21"/>
          <w:szCs w:val="21"/>
        </w:rPr>
      </w:pPr>
      <w:r>
        <w:rPr>
          <w:rFonts w:hint="eastAsia"/>
          <w:kern w:val="21"/>
          <w:szCs w:val="21"/>
        </w:rPr>
        <w:t>轮廓水平分量（X轴）示值误差</w:t>
      </w:r>
    </w:p>
    <w:p w14:paraId="188AFD80">
      <w:pPr>
        <w:pStyle w:val="30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kern w:val="21"/>
          <w:szCs w:val="21"/>
          <w:lang w:val="en-US" w:eastAsia="zh-CN"/>
        </w:rPr>
      </w:pPr>
      <w:r>
        <w:rPr>
          <w:rFonts w:hint="eastAsia"/>
          <w:kern w:val="21"/>
          <w:szCs w:val="21"/>
          <w:lang w:val="en-US" w:eastAsia="zh-CN"/>
        </w:rPr>
        <w:t>轮廓水平分量（X轴）示值误差</w:t>
      </w:r>
      <w:r>
        <w:rPr>
          <w:rFonts w:hint="eastAsia"/>
          <w:b w:val="0"/>
          <w:bCs w:val="0"/>
          <w:position w:val="-10"/>
          <w:vertAlign w:val="baseline"/>
          <w:lang w:val="en-US" w:eastAsia="zh-CN"/>
        </w:rPr>
        <w:object>
          <v:shape id="_x0000_i1087" o:spt="75" type="#_x0000_t75" style="height:16pt;width:98pt;" o:ole="t" filled="f" o:preferrelative="t" stroked="f" coordsize="21600,21600">
            <v:path/>
            <v:fill on="f" focussize="0,0"/>
            <v:stroke on="f"/>
            <v:imagedata r:id="rId27" o:title=""/>
            <o:lock v:ext="edit" aspectratio="t"/>
            <w10:wrap type="none"/>
            <w10:anchorlock/>
          </v:shape>
          <o:OLEObject Type="Embed" ProgID="Equation.KSEE3" ShapeID="_x0000_i1087" DrawAspect="Content" ObjectID="_1468075738" r:id="rId34">
            <o:LockedField>false</o:LockedField>
          </o:OLEObject>
        </w:object>
      </w:r>
    </w:p>
    <w:p w14:paraId="6F8B1229">
      <w:pPr>
        <w:pStyle w:val="302"/>
        <w:numPr>
          <w:ilvl w:val="1"/>
          <w:numId w:val="12"/>
        </w:numPr>
        <w:spacing w:line="360" w:lineRule="auto"/>
        <w:ind w:left="0" w:firstLine="0" w:firstLineChars="0"/>
        <w:rPr>
          <w:kern w:val="21"/>
          <w:szCs w:val="21"/>
        </w:rPr>
      </w:pPr>
      <w:r>
        <w:rPr>
          <w:rFonts w:hint="eastAsia"/>
          <w:kern w:val="21"/>
          <w:szCs w:val="21"/>
        </w:rPr>
        <w:t>半径测量示值误差</w:t>
      </w:r>
    </w:p>
    <w:p w14:paraId="1932423D">
      <w:pPr>
        <w:pStyle w:val="30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kern w:val="21"/>
          <w:szCs w:val="21"/>
          <w:lang w:val="en-US" w:eastAsia="zh-CN"/>
        </w:rPr>
      </w:pPr>
      <w:r>
        <w:rPr>
          <w:rFonts w:hint="eastAsia"/>
          <w:kern w:val="21"/>
          <w:szCs w:val="21"/>
          <w:lang w:val="en-US" w:eastAsia="zh-CN"/>
        </w:rPr>
        <w:t>半径测量示值误差</w:t>
      </w:r>
      <w:r>
        <w:rPr>
          <w:rFonts w:hint="eastAsia"/>
          <w:b w:val="0"/>
          <w:bCs w:val="0"/>
          <w:position w:val="-24"/>
          <w:vertAlign w:val="baseline"/>
          <w:lang w:val="en-US" w:eastAsia="zh-CN"/>
        </w:rPr>
        <w:object>
          <v:shape id="_x0000_i1086" o:spt="75" type="#_x0000_t75" style="height:31pt;width:81pt;" o:ole="t" filled="f" o:preferrelative="t" stroked="f" coordsize="21600,21600">
            <v:path/>
            <v:fill on="f" focussize="0,0"/>
            <v:stroke on="f"/>
            <v:imagedata r:id="rId13" o:title=""/>
            <o:lock v:ext="edit" aspectratio="t"/>
            <w10:wrap type="none"/>
            <w10:anchorlock/>
          </v:shape>
          <o:OLEObject Type="Embed" ProgID="Equation.KSEE3" ShapeID="_x0000_i1086" DrawAspect="Content" ObjectID="_1468075739" r:id="rId35">
            <o:LockedField>false</o:LockedField>
          </o:OLEObject>
        </w:object>
      </w:r>
    </w:p>
    <w:p w14:paraId="15E4F078">
      <w:pPr>
        <w:pStyle w:val="302"/>
        <w:numPr>
          <w:ilvl w:val="1"/>
          <w:numId w:val="12"/>
        </w:numPr>
        <w:spacing w:line="360" w:lineRule="auto"/>
        <w:ind w:left="0" w:firstLine="0" w:firstLineChars="0"/>
        <w:rPr>
          <w:kern w:val="21"/>
          <w:szCs w:val="21"/>
        </w:rPr>
      </w:pPr>
      <w:r>
        <w:rPr>
          <w:rFonts w:hint="eastAsia"/>
          <w:kern w:val="21"/>
          <w:szCs w:val="21"/>
        </w:rPr>
        <w:t>半径测量重复性</w:t>
      </w:r>
    </w:p>
    <w:p w14:paraId="70067905">
      <w:pPr>
        <w:pStyle w:val="302"/>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default"/>
          <w:kern w:val="21"/>
          <w:szCs w:val="21"/>
          <w:lang w:val="en-US"/>
        </w:rPr>
      </w:pPr>
      <w:r>
        <w:rPr>
          <w:rFonts w:hint="eastAsia"/>
          <w:kern w:val="21"/>
          <w:szCs w:val="21"/>
        </w:rPr>
        <w:t>半径测量重复性</w:t>
      </w:r>
      <w:r>
        <w:rPr>
          <w:rFonts w:hint="default" w:ascii="Times New Roman" w:hAnsi="Times New Roman" w:cs="Times New Roman"/>
          <w:b w:val="0"/>
          <w:bCs w:val="0"/>
          <w:vertAlign w:val="baseline"/>
          <w:lang w:val="en-US" w:eastAsia="zh-CN"/>
        </w:rPr>
        <w:t>≤</w:t>
      </w:r>
      <w:r>
        <w:rPr>
          <w:rFonts w:hint="eastAsia" w:cs="Times New Roman"/>
          <w:b w:val="0"/>
          <w:bCs w:val="0"/>
          <w:vertAlign w:val="baseline"/>
          <w:lang w:val="en-US" w:eastAsia="zh-CN"/>
        </w:rPr>
        <w:t>0.5</w:t>
      </w:r>
      <w:r>
        <w:rPr>
          <w:rFonts w:hint="default" w:ascii="Times New Roman" w:hAnsi="Times New Roman" w:cs="Times New Roman"/>
          <w:b w:val="0"/>
          <w:bCs w:val="0"/>
          <w:vertAlign w:val="baseline"/>
          <w:lang w:val="en-US" w:eastAsia="zh-CN"/>
        </w:rPr>
        <w:t>μm</w:t>
      </w:r>
    </w:p>
    <w:p w14:paraId="2F537BCB">
      <w:pPr>
        <w:pStyle w:val="302"/>
        <w:numPr>
          <w:ilvl w:val="1"/>
          <w:numId w:val="12"/>
        </w:numPr>
        <w:spacing w:line="360" w:lineRule="auto"/>
        <w:ind w:left="0" w:firstLine="0" w:firstLineChars="0"/>
        <w:rPr>
          <w:kern w:val="21"/>
          <w:szCs w:val="21"/>
        </w:rPr>
      </w:pPr>
      <w:r>
        <w:rPr>
          <w:rFonts w:hint="eastAsia"/>
          <w:kern w:val="21"/>
          <w:szCs w:val="21"/>
        </w:rPr>
        <w:t>角度测量示值误差</w:t>
      </w:r>
    </w:p>
    <w:p w14:paraId="507003FF">
      <w:pPr>
        <w:pStyle w:val="302"/>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kern w:val="21"/>
          <w:szCs w:val="21"/>
        </w:rPr>
      </w:pPr>
      <w:r>
        <w:rPr>
          <w:rFonts w:hint="eastAsia"/>
          <w:kern w:val="21"/>
          <w:szCs w:val="21"/>
        </w:rPr>
        <w:t>角度测量示值误差</w:t>
      </w:r>
      <w:r>
        <w:rPr>
          <w:rFonts w:hint="default" w:ascii="Times New Roman" w:hAnsi="Times New Roman" w:cs="Times New Roman"/>
          <w:b w:val="0"/>
          <w:bCs w:val="0"/>
          <w:vertAlign w:val="baseline"/>
          <w:lang w:val="en-US" w:eastAsia="zh-CN"/>
        </w:rPr>
        <w:t>≤</w:t>
      </w:r>
      <w:r>
        <w:rPr>
          <w:rFonts w:hint="eastAsia"/>
          <w:b w:val="0"/>
          <w:bCs w:val="0"/>
          <w:vertAlign w:val="baseline"/>
          <w:lang w:val="en-US" w:eastAsia="zh-CN"/>
        </w:rPr>
        <w:t>±1′</w:t>
      </w:r>
    </w:p>
    <w:p w14:paraId="76BD658B">
      <w:pPr>
        <w:pStyle w:val="302"/>
        <w:numPr>
          <w:ilvl w:val="1"/>
          <w:numId w:val="12"/>
        </w:numPr>
        <w:spacing w:line="360" w:lineRule="auto"/>
        <w:ind w:left="0" w:firstLine="0" w:firstLineChars="0"/>
        <w:rPr>
          <w:kern w:val="21"/>
          <w:szCs w:val="21"/>
        </w:rPr>
      </w:pPr>
      <w:r>
        <w:rPr>
          <w:rFonts w:hint="eastAsia"/>
          <w:kern w:val="21"/>
          <w:szCs w:val="21"/>
        </w:rPr>
        <w:t>角度测量重复性</w:t>
      </w:r>
    </w:p>
    <w:p w14:paraId="6556F745">
      <w:pPr>
        <w:pStyle w:val="302"/>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kern w:val="21"/>
          <w:szCs w:val="21"/>
        </w:rPr>
      </w:pPr>
      <w:r>
        <w:rPr>
          <w:rFonts w:hint="eastAsia"/>
          <w:kern w:val="21"/>
          <w:szCs w:val="21"/>
        </w:rPr>
        <w:t>角度测量重复性</w:t>
      </w:r>
      <w:r>
        <w:rPr>
          <w:rFonts w:hint="default" w:ascii="Times New Roman" w:hAnsi="Times New Roman" w:cs="Times New Roman"/>
          <w:b w:val="0"/>
          <w:bCs w:val="0"/>
          <w:vertAlign w:val="baseline"/>
          <w:lang w:val="en-US" w:eastAsia="zh-CN"/>
        </w:rPr>
        <w:t>≤</w:t>
      </w:r>
      <w:r>
        <w:rPr>
          <w:rFonts w:hint="eastAsia"/>
          <w:b w:val="0"/>
          <w:bCs w:val="0"/>
          <w:vertAlign w:val="baseline"/>
          <w:lang w:val="en-US" w:eastAsia="zh-CN"/>
        </w:rPr>
        <w:t>±0.3′</w:t>
      </w:r>
    </w:p>
    <w:p w14:paraId="65F2AE77">
      <w:pPr>
        <w:pStyle w:val="4"/>
        <w:spacing w:before="156" w:after="156"/>
        <w:rPr>
          <w:b w:val="0"/>
          <w:bCs w:val="0"/>
        </w:rPr>
      </w:pPr>
      <w:r>
        <w:rPr>
          <w:rFonts w:hint="eastAsia"/>
          <w:b w:val="0"/>
          <w:bCs w:val="0"/>
        </w:rPr>
        <w:t>5 校准条件</w:t>
      </w:r>
      <w:bookmarkEnd w:id="42"/>
      <w:bookmarkStart w:id="43" w:name="_Toc193860183"/>
      <w:bookmarkStart w:id="44" w:name="_Toc193860033"/>
      <w:bookmarkStart w:id="45" w:name="_Toc193860214"/>
      <w:bookmarkStart w:id="46" w:name="_Toc500258942"/>
    </w:p>
    <w:p w14:paraId="37E957DB">
      <w:pPr>
        <w:spacing w:line="400" w:lineRule="exact"/>
        <w:rPr>
          <w:rFonts w:cstheme="majorBidi"/>
          <w:kern w:val="44"/>
        </w:rPr>
      </w:pPr>
      <w:bookmarkStart w:id="47" w:name="_Toc161838411"/>
      <w:bookmarkStart w:id="48" w:name="_Toc533963948"/>
      <w:r>
        <w:rPr>
          <w:rFonts w:cstheme="majorBidi"/>
          <w:kern w:val="44"/>
        </w:rPr>
        <w:t>5.1 环境条件</w:t>
      </w:r>
      <w:bookmarkEnd w:id="47"/>
      <w:bookmarkEnd w:id="48"/>
    </w:p>
    <w:p w14:paraId="6DFDA738">
      <w:pPr>
        <w:ind w:firstLine="480"/>
      </w:pPr>
      <w:r>
        <w:rPr>
          <w:rFonts w:hint="eastAsia"/>
          <w:lang w:val="en-US" w:eastAsia="zh-CN"/>
        </w:rPr>
        <w:t>环境</w:t>
      </w:r>
      <w:r>
        <w:rPr>
          <w:rFonts w:hint="eastAsia"/>
        </w:rPr>
        <w:t>温度应在（20±</w:t>
      </w:r>
      <w:r>
        <w:rPr>
          <w:rFonts w:hint="eastAsia"/>
          <w:lang w:val="en-US" w:eastAsia="zh-CN"/>
        </w:rPr>
        <w:t>2</w:t>
      </w:r>
      <w:r>
        <w:rPr>
          <w:rFonts w:hint="eastAsia"/>
        </w:rPr>
        <w:t>）℃范围内，相对湿度</w:t>
      </w:r>
      <w:r>
        <w:rPr>
          <w:rFonts w:hint="default" w:ascii="Times New Roman" w:hAnsi="Times New Roman" w:cs="Times New Roman"/>
          <w:lang w:val="en-US" w:eastAsia="zh-CN"/>
        </w:rPr>
        <w:t>≤</w:t>
      </w:r>
      <w:r>
        <w:rPr>
          <w:rFonts w:hint="eastAsia"/>
        </w:rPr>
        <w:t>65%</w:t>
      </w:r>
      <w:r>
        <w:rPr>
          <w:rFonts w:hint="eastAsia"/>
          <w:lang w:eastAsia="zh-CN"/>
        </w:rPr>
        <w:t>，</w:t>
      </w:r>
      <w:r>
        <w:rPr>
          <w:rFonts w:hint="eastAsia"/>
        </w:rPr>
        <w:t>无影响测量的灰尘、振动、气流、腐蚀性气体和较强磁场。</w:t>
      </w:r>
    </w:p>
    <w:p w14:paraId="295E4D16">
      <w:pPr>
        <w:spacing w:line="400" w:lineRule="exact"/>
        <w:rPr>
          <w:rFonts w:cstheme="majorBidi"/>
          <w:kern w:val="44"/>
        </w:rPr>
      </w:pPr>
      <w:bookmarkStart w:id="49" w:name="_Toc533963949"/>
      <w:bookmarkStart w:id="50" w:name="_Toc161838412"/>
      <w:r>
        <w:rPr>
          <w:rFonts w:cstheme="majorBidi"/>
          <w:kern w:val="44"/>
        </w:rPr>
        <w:t>5.2</w:t>
      </w:r>
      <w:bookmarkEnd w:id="49"/>
      <w:r>
        <w:rPr>
          <w:rFonts w:cstheme="majorBidi"/>
          <w:kern w:val="44"/>
        </w:rPr>
        <w:t xml:space="preserve"> 测量标准</w:t>
      </w:r>
      <w:bookmarkEnd w:id="50"/>
    </w:p>
    <w:p w14:paraId="383A73FE">
      <w:pPr>
        <w:spacing w:line="324" w:lineRule="auto"/>
        <w:ind w:firstLine="420" w:firstLineChars="200"/>
        <w:outlineLvl w:val="1"/>
        <w:rPr>
          <w:kern w:val="0"/>
        </w:rPr>
      </w:pPr>
      <w:r>
        <w:rPr>
          <w:bCs/>
          <w:color w:val="000000" w:themeColor="text1"/>
          <w14:textFill>
            <w14:solidFill>
              <w14:schemeClr w14:val="tx1"/>
            </w14:solidFill>
          </w14:textFill>
        </w:rPr>
        <w:t>测量标准的技术要求应符合</w:t>
      </w:r>
      <w:r>
        <w:rPr>
          <w:rFonts w:hint="eastAsia"/>
          <w:bCs/>
          <w:color w:val="000000" w:themeColor="text1"/>
          <w14:textFill>
            <w14:solidFill>
              <w14:schemeClr w14:val="tx1"/>
            </w14:solidFill>
          </w14:textFill>
        </w:rPr>
        <w:t>正文中</w:t>
      </w:r>
      <w:r>
        <w:rPr>
          <w:bCs/>
          <w:color w:val="000000" w:themeColor="text1"/>
          <w14:textFill>
            <w14:solidFill>
              <w14:schemeClr w14:val="tx1"/>
            </w14:solidFill>
          </w14:textFill>
        </w:rPr>
        <w:t>表</w:t>
      </w:r>
      <w:r>
        <w:rPr>
          <w:rFonts w:hint="eastAsia"/>
          <w:bCs/>
          <w:color w:val="000000" w:themeColor="text1"/>
          <w:lang w:val="en-US" w:eastAsia="zh-CN"/>
          <w14:textFill>
            <w14:solidFill>
              <w14:schemeClr w14:val="tx1"/>
            </w14:solidFill>
          </w14:textFill>
        </w:rPr>
        <w:t>2</w:t>
      </w:r>
      <w:r>
        <w:rPr>
          <w:bCs/>
          <w:color w:val="000000" w:themeColor="text1"/>
          <w14:textFill>
            <w14:solidFill>
              <w14:schemeClr w14:val="tx1"/>
            </w14:solidFill>
          </w14:textFill>
        </w:rPr>
        <w:t>的规定</w:t>
      </w:r>
      <w:r>
        <w:rPr>
          <w:kern w:val="0"/>
        </w:rPr>
        <w:t>。</w:t>
      </w:r>
    </w:p>
    <w:p w14:paraId="61FB50A8">
      <w:pPr>
        <w:ind w:firstLine="480"/>
        <w:jc w:val="center"/>
        <w:rPr>
          <w:rFonts w:eastAsia="黑体" w:cs="黑体"/>
          <w:szCs w:val="21"/>
        </w:rPr>
      </w:pPr>
      <w:bookmarkStart w:id="51" w:name="_Toc13515"/>
      <w:r>
        <w:rPr>
          <w:rFonts w:hint="eastAsia" w:eastAsia="黑体" w:cs="黑体"/>
          <w:szCs w:val="21"/>
        </w:rPr>
        <w:t>表</w:t>
      </w:r>
      <w:r>
        <w:rPr>
          <w:rFonts w:hint="eastAsia" w:eastAsia="黑体" w:cs="黑体"/>
          <w:szCs w:val="21"/>
          <w:lang w:val="en-US" w:eastAsia="zh-CN"/>
        </w:rPr>
        <w:t>2</w:t>
      </w:r>
      <w:r>
        <w:rPr>
          <w:rFonts w:hint="eastAsia" w:eastAsia="黑体" w:cs="黑体"/>
          <w:szCs w:val="21"/>
        </w:rPr>
        <w:t xml:space="preserve"> 校准项目和测量标准</w:t>
      </w:r>
      <w:bookmarkEnd w:id="51"/>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604"/>
        <w:gridCol w:w="1446"/>
        <w:gridCol w:w="4633"/>
      </w:tblGrid>
      <w:tr w14:paraId="78E2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single" w:color="auto" w:sz="12" w:space="0"/>
              <w:left w:val="single" w:color="auto" w:sz="12" w:space="0"/>
              <w:bottom w:val="single" w:color="auto" w:sz="12" w:space="0"/>
              <w:right w:val="single" w:color="auto" w:sz="12" w:space="0"/>
            </w:tcBorders>
            <w:vAlign w:val="center"/>
          </w:tcPr>
          <w:p w14:paraId="2FB45481">
            <w:pPr>
              <w:ind w:firstLine="0" w:firstLineChars="0"/>
              <w:jc w:val="center"/>
              <w:rPr>
                <w:sz w:val="21"/>
                <w:szCs w:val="21"/>
              </w:rPr>
            </w:pPr>
            <w:r>
              <w:rPr>
                <w:sz w:val="21"/>
                <w:szCs w:val="21"/>
              </w:rPr>
              <w:t>序号</w:t>
            </w:r>
          </w:p>
        </w:tc>
        <w:tc>
          <w:tcPr>
            <w:tcW w:w="2604" w:type="dxa"/>
            <w:tcBorders>
              <w:top w:val="single" w:color="auto" w:sz="12" w:space="0"/>
              <w:left w:val="single" w:color="auto" w:sz="12" w:space="0"/>
              <w:bottom w:val="single" w:color="auto" w:sz="12" w:space="0"/>
              <w:right w:val="single" w:color="auto" w:sz="12" w:space="0"/>
            </w:tcBorders>
            <w:shd w:val="clear" w:color="auto" w:fill="auto"/>
            <w:vAlign w:val="center"/>
          </w:tcPr>
          <w:p w14:paraId="54526937">
            <w:pPr>
              <w:ind w:firstLine="0" w:firstLineChars="0"/>
              <w:jc w:val="center"/>
              <w:rPr>
                <w:rFonts w:ascii="Times New Roman" w:hAnsi="Times New Roman" w:eastAsia="宋体" w:cs="Times New Roman"/>
                <w:kern w:val="2"/>
                <w:sz w:val="21"/>
                <w:szCs w:val="21"/>
                <w:lang w:val="en-US" w:eastAsia="zh-CN" w:bidi="ar-SA"/>
              </w:rPr>
            </w:pPr>
            <w:r>
              <w:rPr>
                <w:sz w:val="21"/>
                <w:szCs w:val="21"/>
              </w:rPr>
              <w:t>校准项目</w:t>
            </w:r>
          </w:p>
        </w:tc>
        <w:tc>
          <w:tcPr>
            <w:tcW w:w="0" w:type="auto"/>
            <w:tcBorders>
              <w:top w:val="single" w:color="auto" w:sz="12" w:space="0"/>
              <w:left w:val="single" w:color="auto" w:sz="12" w:space="0"/>
              <w:bottom w:val="single" w:color="auto" w:sz="12" w:space="0"/>
              <w:right w:val="single" w:color="auto" w:sz="12" w:space="0"/>
            </w:tcBorders>
            <w:shd w:val="clear" w:color="auto" w:fill="auto"/>
            <w:vAlign w:val="center"/>
          </w:tcPr>
          <w:p w14:paraId="41C0469A">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测量</w:t>
            </w:r>
            <w:r>
              <w:rPr>
                <w:sz w:val="21"/>
                <w:szCs w:val="21"/>
              </w:rPr>
              <w:t>标准</w:t>
            </w:r>
          </w:p>
        </w:tc>
        <w:tc>
          <w:tcPr>
            <w:tcW w:w="0" w:type="auto"/>
            <w:tcBorders>
              <w:top w:val="single" w:color="auto" w:sz="12" w:space="0"/>
              <w:left w:val="single" w:color="auto" w:sz="12" w:space="0"/>
              <w:bottom w:val="single" w:color="auto" w:sz="12" w:space="0"/>
              <w:right w:val="single" w:color="auto" w:sz="12" w:space="0"/>
            </w:tcBorders>
            <w:shd w:val="clear" w:color="auto" w:fill="auto"/>
            <w:vAlign w:val="center"/>
          </w:tcPr>
          <w:p w14:paraId="55F59747">
            <w:pPr>
              <w:ind w:firstLine="0" w:firstLineChars="0"/>
              <w:jc w:val="center"/>
              <w:rPr>
                <w:rFonts w:ascii="Times New Roman" w:hAnsi="Times New Roman" w:eastAsia="宋体" w:cs="Times New Roman"/>
                <w:kern w:val="2"/>
                <w:sz w:val="21"/>
                <w:szCs w:val="21"/>
                <w:lang w:val="en-US" w:eastAsia="zh-CN" w:bidi="ar-SA"/>
              </w:rPr>
            </w:pPr>
            <w:r>
              <w:rPr>
                <w:sz w:val="21"/>
                <w:szCs w:val="21"/>
              </w:rPr>
              <w:t>技术指标</w:t>
            </w:r>
          </w:p>
        </w:tc>
      </w:tr>
      <w:tr w14:paraId="3333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single" w:color="auto" w:sz="12" w:space="0"/>
              <w:left w:val="single" w:color="auto" w:sz="12" w:space="0"/>
              <w:bottom w:val="nil"/>
              <w:right w:val="nil"/>
            </w:tcBorders>
            <w:vAlign w:val="center"/>
          </w:tcPr>
          <w:p w14:paraId="5D4F2335">
            <w:pPr>
              <w:ind w:firstLine="0" w:firstLineChars="0"/>
              <w:jc w:val="center"/>
              <w:rPr>
                <w:sz w:val="21"/>
                <w:szCs w:val="21"/>
              </w:rPr>
            </w:pPr>
            <w:r>
              <w:rPr>
                <w:sz w:val="21"/>
                <w:szCs w:val="21"/>
              </w:rPr>
              <w:t>1</w:t>
            </w:r>
          </w:p>
        </w:tc>
        <w:tc>
          <w:tcPr>
            <w:tcW w:w="2604" w:type="dxa"/>
            <w:tcBorders>
              <w:top w:val="single" w:color="auto" w:sz="12" w:space="0"/>
              <w:left w:val="nil"/>
              <w:bottom w:val="nil"/>
              <w:right w:val="nil"/>
            </w:tcBorders>
            <w:shd w:val="clear" w:color="auto" w:fill="auto"/>
            <w:vAlign w:val="center"/>
          </w:tcPr>
          <w:p w14:paraId="61D067F1">
            <w:pPr>
              <w:ind w:firstLine="0" w:firstLineChars="0"/>
              <w:jc w:val="center"/>
              <w:rPr>
                <w:rFonts w:hint="eastAsia" w:ascii="Times New Roman" w:hAnsi="Times New Roman" w:eastAsia="宋体" w:cs="Times New Roman"/>
                <w:kern w:val="2"/>
                <w:sz w:val="21"/>
                <w:szCs w:val="21"/>
                <w:lang w:val="en-US" w:eastAsia="zh-CN" w:bidi="ar-SA"/>
              </w:rPr>
            </w:pPr>
            <w:r>
              <w:rPr>
                <w:sz w:val="21"/>
                <w:szCs w:val="21"/>
              </w:rPr>
              <w:t>静态测量力</w:t>
            </w:r>
            <w:r>
              <w:rPr>
                <w:rFonts w:hint="eastAsia"/>
                <w:sz w:val="21"/>
                <w:szCs w:val="21"/>
                <w:lang w:val="en-US" w:eastAsia="zh-CN"/>
              </w:rPr>
              <w:t>误差</w:t>
            </w:r>
          </w:p>
        </w:tc>
        <w:tc>
          <w:tcPr>
            <w:tcW w:w="0" w:type="auto"/>
            <w:tcBorders>
              <w:top w:val="single" w:color="auto" w:sz="12" w:space="0"/>
              <w:left w:val="nil"/>
              <w:bottom w:val="nil"/>
              <w:right w:val="nil"/>
            </w:tcBorders>
            <w:shd w:val="clear" w:color="auto" w:fill="auto"/>
            <w:vAlign w:val="center"/>
          </w:tcPr>
          <w:p w14:paraId="1C3C6546">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电子天平</w:t>
            </w:r>
          </w:p>
        </w:tc>
        <w:tc>
          <w:tcPr>
            <w:tcW w:w="0" w:type="auto"/>
            <w:tcBorders>
              <w:top w:val="single" w:color="auto" w:sz="12" w:space="0"/>
              <w:left w:val="nil"/>
              <w:bottom w:val="nil"/>
              <w:right w:val="single" w:color="auto" w:sz="12" w:space="0"/>
            </w:tcBorders>
            <w:shd w:val="clear" w:color="auto" w:fill="auto"/>
            <w:vAlign w:val="center"/>
          </w:tcPr>
          <w:p w14:paraId="767A362C">
            <w:pPr>
              <w:ind w:firstLine="0" w:firstLineChars="0"/>
              <w:jc w:val="center"/>
              <w:rPr>
                <w:rFonts w:ascii="Times New Roman" w:hAnsi="Times New Roman" w:eastAsia="宋体" w:cs="Times New Roman"/>
                <w:kern w:val="2"/>
                <w:sz w:val="21"/>
                <w:szCs w:val="21"/>
                <w:lang w:val="en-US" w:eastAsia="zh-CN" w:bidi="ar-SA"/>
              </w:rPr>
            </w:pPr>
            <w:r>
              <w:rPr>
                <w:sz w:val="21"/>
                <w:szCs w:val="21"/>
              </w:rPr>
              <w:t>分辨力</w:t>
            </w:r>
            <w:r>
              <w:rPr>
                <w:rFonts w:hint="eastAsia"/>
                <w:sz w:val="21"/>
                <w:szCs w:val="21"/>
              </w:rPr>
              <w:t>0.01g</w:t>
            </w:r>
          </w:p>
        </w:tc>
      </w:tr>
      <w:tr w14:paraId="7861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nil"/>
              <w:left w:val="single" w:color="auto" w:sz="12" w:space="0"/>
              <w:bottom w:val="nil"/>
              <w:right w:val="nil"/>
            </w:tcBorders>
            <w:vAlign w:val="center"/>
          </w:tcPr>
          <w:p w14:paraId="71781569">
            <w:pPr>
              <w:ind w:firstLine="0" w:firstLineChars="0"/>
              <w:jc w:val="center"/>
              <w:rPr>
                <w:sz w:val="21"/>
                <w:szCs w:val="21"/>
              </w:rPr>
            </w:pPr>
            <w:r>
              <w:rPr>
                <w:sz w:val="21"/>
                <w:szCs w:val="21"/>
              </w:rPr>
              <w:t>2</w:t>
            </w:r>
          </w:p>
        </w:tc>
        <w:tc>
          <w:tcPr>
            <w:tcW w:w="2604" w:type="dxa"/>
            <w:tcBorders>
              <w:top w:val="nil"/>
              <w:left w:val="nil"/>
              <w:bottom w:val="nil"/>
              <w:right w:val="nil"/>
            </w:tcBorders>
            <w:shd w:val="clear" w:color="auto" w:fill="auto"/>
            <w:vAlign w:val="center"/>
          </w:tcPr>
          <w:p w14:paraId="5D1055A0">
            <w:pPr>
              <w:ind w:firstLine="0" w:firstLineChars="0"/>
              <w:jc w:val="center"/>
              <w:rPr>
                <w:rFonts w:ascii="Times New Roman" w:hAnsi="Times New Roman" w:eastAsia="宋体" w:cs="Times New Roman"/>
                <w:kern w:val="2"/>
                <w:sz w:val="21"/>
                <w:szCs w:val="21"/>
                <w:lang w:val="en-US" w:eastAsia="zh-CN" w:bidi="ar-SA"/>
              </w:rPr>
            </w:pPr>
            <w:r>
              <w:rPr>
                <w:sz w:val="21"/>
                <w:szCs w:val="21"/>
              </w:rPr>
              <w:t>基准导轨直线度</w:t>
            </w:r>
          </w:p>
        </w:tc>
        <w:tc>
          <w:tcPr>
            <w:tcW w:w="0" w:type="auto"/>
            <w:tcBorders>
              <w:top w:val="nil"/>
              <w:left w:val="nil"/>
              <w:bottom w:val="nil"/>
              <w:right w:val="nil"/>
            </w:tcBorders>
            <w:shd w:val="clear" w:color="auto" w:fill="auto"/>
            <w:vAlign w:val="center"/>
          </w:tcPr>
          <w:p w14:paraId="26DF4B18">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平面平晶</w:t>
            </w:r>
          </w:p>
        </w:tc>
        <w:tc>
          <w:tcPr>
            <w:tcW w:w="0" w:type="auto"/>
            <w:tcBorders>
              <w:top w:val="nil"/>
              <w:left w:val="nil"/>
              <w:bottom w:val="nil"/>
              <w:right w:val="single" w:color="auto" w:sz="12" w:space="0"/>
            </w:tcBorders>
            <w:shd w:val="clear" w:color="auto" w:fill="auto"/>
            <w:vAlign w:val="center"/>
          </w:tcPr>
          <w:p w14:paraId="4834BE5C">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1级</w:t>
            </w:r>
          </w:p>
        </w:tc>
      </w:tr>
      <w:tr w14:paraId="77AD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nil"/>
              <w:left w:val="single" w:color="auto" w:sz="12" w:space="0"/>
              <w:bottom w:val="nil"/>
              <w:right w:val="nil"/>
            </w:tcBorders>
            <w:vAlign w:val="center"/>
          </w:tcPr>
          <w:p w14:paraId="3154ED82">
            <w:pPr>
              <w:ind w:firstLine="0" w:firstLineChars="0"/>
              <w:jc w:val="center"/>
              <w:rPr>
                <w:sz w:val="21"/>
                <w:szCs w:val="21"/>
              </w:rPr>
            </w:pPr>
            <w:r>
              <w:rPr>
                <w:rFonts w:hint="eastAsia"/>
                <w:sz w:val="21"/>
                <w:szCs w:val="21"/>
              </w:rPr>
              <w:t>3</w:t>
            </w:r>
          </w:p>
        </w:tc>
        <w:tc>
          <w:tcPr>
            <w:tcW w:w="2604" w:type="dxa"/>
            <w:vMerge w:val="restart"/>
            <w:tcBorders>
              <w:top w:val="nil"/>
              <w:left w:val="nil"/>
              <w:bottom w:val="nil"/>
              <w:right w:val="nil"/>
            </w:tcBorders>
            <w:shd w:val="clear" w:color="auto" w:fill="auto"/>
            <w:vAlign w:val="center"/>
          </w:tcPr>
          <w:p w14:paraId="2FFEC207">
            <w:pPr>
              <w:ind w:firstLine="0" w:firstLineChars="0"/>
              <w:jc w:val="center"/>
              <w:rPr>
                <w:rFonts w:ascii="Times New Roman" w:hAnsi="Times New Roman" w:eastAsia="宋体" w:cs="Times New Roman"/>
                <w:kern w:val="2"/>
                <w:sz w:val="21"/>
                <w:szCs w:val="21"/>
                <w:lang w:val="en-US" w:eastAsia="zh-CN" w:bidi="ar-SA"/>
              </w:rPr>
            </w:pPr>
            <w:r>
              <w:rPr>
                <w:sz w:val="21"/>
                <w:szCs w:val="21"/>
              </w:rPr>
              <w:t>轮廓垂直分量</w:t>
            </w:r>
            <w:r>
              <w:rPr>
                <w:rFonts w:hint="eastAsia"/>
                <w:sz w:val="21"/>
                <w:szCs w:val="21"/>
              </w:rPr>
              <w:t>（Z轴）示值误差</w:t>
            </w:r>
          </w:p>
        </w:tc>
        <w:tc>
          <w:tcPr>
            <w:tcW w:w="0" w:type="auto"/>
            <w:tcBorders>
              <w:top w:val="nil"/>
              <w:left w:val="nil"/>
              <w:bottom w:val="nil"/>
              <w:right w:val="nil"/>
            </w:tcBorders>
            <w:shd w:val="clear" w:color="auto" w:fill="auto"/>
            <w:vAlign w:val="center"/>
          </w:tcPr>
          <w:p w14:paraId="08DFB8EF">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量块</w:t>
            </w:r>
          </w:p>
        </w:tc>
        <w:tc>
          <w:tcPr>
            <w:tcW w:w="0" w:type="auto"/>
            <w:tcBorders>
              <w:top w:val="nil"/>
              <w:left w:val="nil"/>
              <w:bottom w:val="nil"/>
              <w:right w:val="single" w:color="auto" w:sz="12" w:space="0"/>
            </w:tcBorders>
            <w:shd w:val="clear" w:color="auto" w:fill="auto"/>
            <w:vAlign w:val="center"/>
          </w:tcPr>
          <w:p w14:paraId="50A0FC99">
            <w:pPr>
              <w:ind w:firstLine="0" w:firstLineChars="0"/>
              <w:jc w:val="center"/>
              <w:rPr>
                <w:sz w:val="21"/>
                <w:szCs w:val="21"/>
              </w:rPr>
            </w:pPr>
            <w:r>
              <w:rPr>
                <w:rFonts w:hint="eastAsia"/>
                <w:sz w:val="21"/>
                <w:szCs w:val="21"/>
              </w:rPr>
              <w:t>4等</w:t>
            </w:r>
          </w:p>
        </w:tc>
      </w:tr>
      <w:tr w14:paraId="351B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nil"/>
              <w:left w:val="single" w:color="auto" w:sz="12" w:space="0"/>
              <w:bottom w:val="nil"/>
              <w:right w:val="nil"/>
            </w:tcBorders>
            <w:vAlign w:val="center"/>
          </w:tcPr>
          <w:p w14:paraId="62A30E59">
            <w:pPr>
              <w:ind w:firstLine="0" w:firstLineChars="0"/>
              <w:jc w:val="center"/>
              <w:rPr>
                <w:rFonts w:hint="eastAsia" w:eastAsia="宋体"/>
                <w:sz w:val="21"/>
                <w:szCs w:val="21"/>
                <w:lang w:val="en-US" w:eastAsia="zh-CN"/>
              </w:rPr>
            </w:pPr>
            <w:r>
              <w:rPr>
                <w:rFonts w:hint="eastAsia"/>
                <w:sz w:val="21"/>
                <w:szCs w:val="21"/>
                <w:lang w:val="en-US" w:eastAsia="zh-CN"/>
              </w:rPr>
              <w:t>4</w:t>
            </w:r>
          </w:p>
        </w:tc>
        <w:tc>
          <w:tcPr>
            <w:tcW w:w="2604" w:type="dxa"/>
            <w:vMerge w:val="continue"/>
            <w:tcBorders>
              <w:top w:val="nil"/>
              <w:left w:val="nil"/>
              <w:bottom w:val="nil"/>
              <w:right w:val="nil"/>
            </w:tcBorders>
            <w:vAlign w:val="center"/>
          </w:tcPr>
          <w:p w14:paraId="26C3A63E">
            <w:pPr>
              <w:ind w:firstLine="0" w:firstLineChars="0"/>
              <w:jc w:val="center"/>
              <w:rPr>
                <w:sz w:val="21"/>
                <w:szCs w:val="21"/>
              </w:rPr>
            </w:pPr>
          </w:p>
        </w:tc>
        <w:tc>
          <w:tcPr>
            <w:tcW w:w="0" w:type="auto"/>
            <w:tcBorders>
              <w:top w:val="nil"/>
              <w:left w:val="nil"/>
              <w:bottom w:val="nil"/>
              <w:right w:val="nil"/>
            </w:tcBorders>
            <w:shd w:val="clear" w:color="auto" w:fill="auto"/>
            <w:vAlign w:val="center"/>
          </w:tcPr>
          <w:p w14:paraId="486DE58C">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平面平晶</w:t>
            </w:r>
          </w:p>
        </w:tc>
        <w:tc>
          <w:tcPr>
            <w:tcW w:w="0" w:type="auto"/>
            <w:tcBorders>
              <w:top w:val="nil"/>
              <w:left w:val="nil"/>
              <w:bottom w:val="nil"/>
              <w:right w:val="single" w:color="auto" w:sz="12" w:space="0"/>
            </w:tcBorders>
            <w:shd w:val="clear" w:color="auto" w:fill="auto"/>
            <w:vAlign w:val="center"/>
          </w:tcPr>
          <w:p w14:paraId="785EB8BE">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2级</w:t>
            </w:r>
          </w:p>
        </w:tc>
      </w:tr>
      <w:tr w14:paraId="1F80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top w:val="nil"/>
              <w:left w:val="single" w:color="auto" w:sz="12" w:space="0"/>
              <w:bottom w:val="nil"/>
              <w:right w:val="nil"/>
            </w:tcBorders>
            <w:vAlign w:val="center"/>
          </w:tcPr>
          <w:p w14:paraId="04BF7923">
            <w:pPr>
              <w:ind w:firstLine="0" w:firstLineChars="0"/>
              <w:jc w:val="center"/>
              <w:rPr>
                <w:rFonts w:hint="eastAsia" w:eastAsia="宋体"/>
                <w:sz w:val="21"/>
                <w:szCs w:val="21"/>
                <w:lang w:eastAsia="zh-CN"/>
              </w:rPr>
            </w:pPr>
            <w:r>
              <w:rPr>
                <w:rFonts w:hint="eastAsia"/>
                <w:sz w:val="21"/>
                <w:szCs w:val="21"/>
                <w:lang w:val="en-US" w:eastAsia="zh-CN"/>
              </w:rPr>
              <w:t>5</w:t>
            </w:r>
          </w:p>
        </w:tc>
        <w:tc>
          <w:tcPr>
            <w:tcW w:w="2604" w:type="dxa"/>
            <w:tcBorders>
              <w:top w:val="nil"/>
              <w:left w:val="nil"/>
              <w:bottom w:val="nil"/>
              <w:right w:val="nil"/>
            </w:tcBorders>
            <w:shd w:val="clear" w:color="auto" w:fill="auto"/>
            <w:vAlign w:val="center"/>
          </w:tcPr>
          <w:p w14:paraId="67827825">
            <w:pPr>
              <w:ind w:firstLine="0" w:firstLineChars="0"/>
              <w:jc w:val="center"/>
              <w:rPr>
                <w:rFonts w:ascii="Times New Roman" w:hAnsi="Times New Roman" w:eastAsia="宋体" w:cs="Times New Roman"/>
                <w:kern w:val="2"/>
                <w:sz w:val="21"/>
                <w:szCs w:val="21"/>
                <w:lang w:val="en-US" w:eastAsia="zh-CN" w:bidi="ar-SA"/>
              </w:rPr>
            </w:pPr>
            <w:r>
              <w:rPr>
                <w:sz w:val="21"/>
                <w:szCs w:val="21"/>
              </w:rPr>
              <w:t>轮廓水平分量</w:t>
            </w:r>
            <w:r>
              <w:rPr>
                <w:rFonts w:hint="eastAsia"/>
                <w:sz w:val="21"/>
                <w:szCs w:val="21"/>
              </w:rPr>
              <w:t>（X轴）示值误差</w:t>
            </w:r>
          </w:p>
        </w:tc>
        <w:tc>
          <w:tcPr>
            <w:tcW w:w="0" w:type="auto"/>
            <w:tcBorders>
              <w:top w:val="nil"/>
              <w:left w:val="nil"/>
              <w:bottom w:val="nil"/>
              <w:right w:val="nil"/>
            </w:tcBorders>
            <w:shd w:val="clear" w:color="auto" w:fill="auto"/>
            <w:vAlign w:val="center"/>
          </w:tcPr>
          <w:p w14:paraId="152BEE93">
            <w:pPr>
              <w:ind w:firstLine="0" w:firstLineChars="0"/>
              <w:jc w:val="center"/>
              <w:rPr>
                <w:rFonts w:ascii="Times New Roman" w:hAnsi="Times New Roman" w:eastAsia="宋体" w:cs="Times New Roman"/>
                <w:kern w:val="2"/>
                <w:sz w:val="21"/>
                <w:szCs w:val="21"/>
                <w:lang w:val="en-US" w:eastAsia="zh-CN" w:bidi="ar-SA"/>
              </w:rPr>
            </w:pPr>
            <w:r>
              <w:rPr>
                <w:sz w:val="21"/>
                <w:szCs w:val="21"/>
              </w:rPr>
              <w:t>激光干涉仪</w:t>
            </w:r>
          </w:p>
        </w:tc>
        <w:tc>
          <w:tcPr>
            <w:tcW w:w="0" w:type="auto"/>
            <w:tcBorders>
              <w:top w:val="nil"/>
              <w:left w:val="nil"/>
              <w:bottom w:val="nil"/>
              <w:right w:val="single" w:color="auto" w:sz="12" w:space="0"/>
            </w:tcBorders>
            <w:shd w:val="clear" w:color="auto" w:fill="auto"/>
            <w:vAlign w:val="center"/>
          </w:tcPr>
          <w:p w14:paraId="60914878">
            <w:pPr>
              <w:ind w:firstLine="0" w:firstLineChars="0"/>
              <w:jc w:val="center"/>
              <w:rPr>
                <w:rFonts w:ascii="Times New Roman" w:hAnsi="Times New Roman" w:eastAsia="宋体" w:cs="Times New Roman"/>
                <w:kern w:val="2"/>
                <w:sz w:val="21"/>
                <w:szCs w:val="21"/>
                <w:lang w:val="en-US" w:eastAsia="zh-CN" w:bidi="ar-SA"/>
              </w:rPr>
            </w:pPr>
            <w:r>
              <w:rPr>
                <w:sz w:val="21"/>
                <w:szCs w:val="21"/>
              </w:rPr>
              <w:t>MPE</w:t>
            </w:r>
            <w:r>
              <w:rPr>
                <w:rFonts w:hint="eastAsia"/>
                <w:sz w:val="21"/>
                <w:szCs w:val="21"/>
              </w:rPr>
              <w:t>：</w:t>
            </w:r>
            <w:r>
              <w:rPr>
                <w:sz w:val="21"/>
                <w:szCs w:val="21"/>
              </w:rPr>
              <w:t>±</w:t>
            </w:r>
            <w:r>
              <w:rPr>
                <w:rFonts w:hint="eastAsia"/>
                <w:sz w:val="21"/>
                <w:szCs w:val="21"/>
              </w:rPr>
              <w:t>（0.03+1.5</w:t>
            </w:r>
            <w:r>
              <w:rPr>
                <w:rFonts w:hint="eastAsia"/>
                <w:i/>
                <w:sz w:val="21"/>
                <w:szCs w:val="21"/>
              </w:rPr>
              <w:t>L</w:t>
            </w:r>
            <w:r>
              <w:rPr>
                <w:rFonts w:hint="eastAsia"/>
                <w:sz w:val="21"/>
                <w:szCs w:val="21"/>
              </w:rPr>
              <w:t>）</w:t>
            </w:r>
            <w:r>
              <w:rPr>
                <w:sz w:val="21"/>
                <w:szCs w:val="21"/>
              </w:rPr>
              <w:t>μm</w:t>
            </w:r>
          </w:p>
        </w:tc>
      </w:tr>
      <w:tr w14:paraId="4B8A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8" w:type="dxa"/>
            <w:tcBorders>
              <w:top w:val="nil"/>
              <w:left w:val="single" w:color="auto" w:sz="12" w:space="0"/>
              <w:bottom w:val="nil"/>
              <w:right w:val="nil"/>
            </w:tcBorders>
            <w:vAlign w:val="center"/>
          </w:tcPr>
          <w:p w14:paraId="1BD52E34">
            <w:pPr>
              <w:ind w:firstLine="0" w:firstLineChars="0"/>
              <w:jc w:val="center"/>
              <w:rPr>
                <w:rFonts w:hint="eastAsia" w:eastAsia="宋体"/>
                <w:sz w:val="21"/>
                <w:szCs w:val="21"/>
                <w:lang w:val="en-US" w:eastAsia="zh-CN"/>
              </w:rPr>
            </w:pPr>
            <w:r>
              <w:rPr>
                <w:rFonts w:hint="eastAsia"/>
                <w:sz w:val="21"/>
                <w:szCs w:val="21"/>
                <w:lang w:val="en-US" w:eastAsia="zh-CN"/>
              </w:rPr>
              <w:t>6</w:t>
            </w:r>
          </w:p>
        </w:tc>
        <w:tc>
          <w:tcPr>
            <w:tcW w:w="2604" w:type="dxa"/>
            <w:tcBorders>
              <w:top w:val="nil"/>
              <w:left w:val="nil"/>
              <w:bottom w:val="nil"/>
              <w:right w:val="nil"/>
            </w:tcBorders>
            <w:shd w:val="clear" w:color="auto" w:fill="auto"/>
            <w:vAlign w:val="center"/>
          </w:tcPr>
          <w:p w14:paraId="30B29508">
            <w:pPr>
              <w:ind w:firstLine="0" w:firstLineChars="0"/>
              <w:jc w:val="center"/>
              <w:rPr>
                <w:rFonts w:ascii="Times New Roman" w:hAnsi="Times New Roman" w:eastAsia="宋体" w:cs="Times New Roman"/>
                <w:kern w:val="2"/>
                <w:sz w:val="21"/>
                <w:szCs w:val="21"/>
                <w:lang w:val="en-US" w:eastAsia="zh-CN" w:bidi="ar-SA"/>
              </w:rPr>
            </w:pPr>
            <w:r>
              <w:rPr>
                <w:sz w:val="21"/>
                <w:szCs w:val="21"/>
              </w:rPr>
              <w:t>半径测量示值误差</w:t>
            </w:r>
            <w:r>
              <w:rPr>
                <w:rFonts w:hint="eastAsia"/>
                <w:sz w:val="21"/>
                <w:szCs w:val="21"/>
                <w:lang w:eastAsia="zh-CN"/>
              </w:rPr>
              <w:t>、</w:t>
            </w:r>
            <w:r>
              <w:rPr>
                <w:sz w:val="21"/>
                <w:szCs w:val="21"/>
              </w:rPr>
              <w:t>测量重复性</w:t>
            </w:r>
          </w:p>
        </w:tc>
        <w:tc>
          <w:tcPr>
            <w:tcW w:w="0" w:type="auto"/>
            <w:tcBorders>
              <w:top w:val="nil"/>
              <w:left w:val="nil"/>
              <w:bottom w:val="nil"/>
              <w:right w:val="nil"/>
            </w:tcBorders>
            <w:shd w:val="clear" w:color="auto" w:fill="auto"/>
            <w:vAlign w:val="center"/>
          </w:tcPr>
          <w:p w14:paraId="33E32D01">
            <w:pPr>
              <w:ind w:firstLine="0" w:firstLineChars="0"/>
              <w:jc w:val="center"/>
              <w:rPr>
                <w:rFonts w:ascii="Times New Roman" w:hAnsi="Times New Roman" w:eastAsia="宋体" w:cs="Times New Roman"/>
                <w:kern w:val="2"/>
                <w:sz w:val="21"/>
                <w:szCs w:val="21"/>
                <w:lang w:val="en-US" w:eastAsia="zh-CN" w:bidi="ar-SA"/>
              </w:rPr>
            </w:pPr>
            <w:r>
              <w:rPr>
                <w:sz w:val="21"/>
                <w:szCs w:val="21"/>
              </w:rPr>
              <w:t>标准球或标准半球</w:t>
            </w:r>
          </w:p>
        </w:tc>
        <w:tc>
          <w:tcPr>
            <w:tcW w:w="0" w:type="auto"/>
            <w:tcBorders>
              <w:top w:val="nil"/>
              <w:left w:val="nil"/>
              <w:bottom w:val="nil"/>
              <w:right w:val="single" w:color="auto" w:sz="12" w:space="0"/>
            </w:tcBorders>
            <w:shd w:val="clear" w:color="auto" w:fill="auto"/>
            <w:vAlign w:val="center"/>
          </w:tcPr>
          <w:p w14:paraId="764305AD">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w:t>
            </w:r>
            <w:r>
              <w:rPr>
                <w:rFonts w:hint="eastAsia"/>
                <w:i/>
                <w:sz w:val="21"/>
                <w:szCs w:val="21"/>
              </w:rPr>
              <w:t>R</w:t>
            </w:r>
            <w:r>
              <w:rPr>
                <w:rFonts w:hint="eastAsia"/>
                <w:sz w:val="21"/>
                <w:szCs w:val="21"/>
              </w:rPr>
              <w:t>10mm~</w:t>
            </w:r>
            <w:r>
              <w:rPr>
                <w:rFonts w:hint="eastAsia"/>
                <w:i/>
                <w:sz w:val="21"/>
                <w:szCs w:val="21"/>
              </w:rPr>
              <w:t>R</w:t>
            </w:r>
            <w:r>
              <w:rPr>
                <w:rFonts w:hint="eastAsia"/>
                <w:sz w:val="21"/>
                <w:szCs w:val="21"/>
              </w:rPr>
              <w:t>20mm和</w:t>
            </w:r>
            <w:r>
              <w:rPr>
                <w:rFonts w:hint="eastAsia"/>
                <w:i/>
                <w:sz w:val="21"/>
                <w:szCs w:val="21"/>
              </w:rPr>
              <w:t>R</w:t>
            </w:r>
            <w:r>
              <w:rPr>
                <w:rFonts w:hint="eastAsia"/>
                <w:sz w:val="21"/>
                <w:szCs w:val="21"/>
              </w:rPr>
              <w:t>70mm~</w:t>
            </w:r>
            <w:r>
              <w:rPr>
                <w:rFonts w:hint="eastAsia"/>
                <w:i/>
                <w:sz w:val="21"/>
                <w:szCs w:val="21"/>
              </w:rPr>
              <w:t>R</w:t>
            </w:r>
            <w:r>
              <w:rPr>
                <w:rFonts w:hint="eastAsia"/>
                <w:sz w:val="21"/>
                <w:szCs w:val="21"/>
              </w:rPr>
              <w:t>90mm各一个）</w:t>
            </w:r>
            <w:r>
              <w:rPr>
                <w:rFonts w:hint="eastAsia"/>
                <w:i/>
                <w:iCs/>
                <w:sz w:val="21"/>
                <w:szCs w:val="21"/>
                <w:lang w:val="en-US" w:eastAsia="zh-CN"/>
              </w:rPr>
              <w:t>U</w:t>
            </w:r>
            <w:r>
              <w:rPr>
                <w:rFonts w:hint="default" w:ascii="Times New Roman" w:hAnsi="Times New Roman" w:cs="Times New Roman"/>
                <w:i w:val="0"/>
                <w:iCs w:val="0"/>
                <w:sz w:val="21"/>
                <w:szCs w:val="21"/>
                <w:lang w:val="en-US" w:eastAsia="zh-CN"/>
              </w:rPr>
              <w:t>≤0.5μm</w:t>
            </w:r>
            <w:r>
              <w:rPr>
                <w:rFonts w:hint="eastAsia" w:ascii="Times New Roman" w:hAnsi="Times New Roman" w:cs="Times New Roman"/>
                <w:i w:val="0"/>
                <w:iCs w:val="0"/>
                <w:sz w:val="21"/>
                <w:szCs w:val="21"/>
                <w:lang w:val="en-US" w:eastAsia="zh-CN"/>
              </w:rPr>
              <w:t>，</w:t>
            </w:r>
            <w:r>
              <w:rPr>
                <w:rFonts w:hint="eastAsia" w:ascii="Times New Roman" w:hAnsi="Times New Roman" w:cs="Times New Roman"/>
                <w:i/>
                <w:iCs/>
                <w:sz w:val="21"/>
                <w:szCs w:val="21"/>
                <w:lang w:val="en-US" w:eastAsia="zh-CN"/>
              </w:rPr>
              <w:t>k</w:t>
            </w:r>
            <w:r>
              <w:rPr>
                <w:rFonts w:hint="eastAsia" w:ascii="Times New Roman" w:hAnsi="Times New Roman" w:cs="Times New Roman"/>
                <w:i w:val="0"/>
                <w:iCs w:val="0"/>
                <w:sz w:val="21"/>
                <w:szCs w:val="21"/>
                <w:lang w:val="en-US" w:eastAsia="zh-CN"/>
              </w:rPr>
              <w:t>=2</w:t>
            </w:r>
          </w:p>
        </w:tc>
      </w:tr>
      <w:tr w14:paraId="6C14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8" w:type="dxa"/>
            <w:tcBorders>
              <w:top w:val="nil"/>
              <w:left w:val="single" w:color="auto" w:sz="12" w:space="0"/>
              <w:bottom w:val="nil"/>
              <w:right w:val="nil"/>
            </w:tcBorders>
            <w:vAlign w:val="center"/>
          </w:tcPr>
          <w:p w14:paraId="0783C16B">
            <w:pPr>
              <w:ind w:firstLine="0" w:firstLineChars="0"/>
              <w:jc w:val="center"/>
              <w:rPr>
                <w:rFonts w:hint="eastAsia" w:eastAsia="宋体"/>
                <w:sz w:val="21"/>
                <w:szCs w:val="21"/>
                <w:lang w:val="en-US" w:eastAsia="zh-CN"/>
              </w:rPr>
            </w:pPr>
            <w:r>
              <w:rPr>
                <w:rFonts w:hint="eastAsia"/>
                <w:sz w:val="21"/>
                <w:szCs w:val="21"/>
                <w:lang w:val="en-US" w:eastAsia="zh-CN"/>
              </w:rPr>
              <w:t>7</w:t>
            </w:r>
          </w:p>
        </w:tc>
        <w:tc>
          <w:tcPr>
            <w:tcW w:w="2604" w:type="dxa"/>
            <w:tcBorders>
              <w:top w:val="nil"/>
              <w:left w:val="nil"/>
              <w:bottom w:val="nil"/>
              <w:right w:val="nil"/>
            </w:tcBorders>
            <w:shd w:val="clear" w:color="auto" w:fill="auto"/>
            <w:vAlign w:val="center"/>
          </w:tcPr>
          <w:p w14:paraId="4E4BF0B8">
            <w:pPr>
              <w:ind w:firstLine="0" w:firstLineChars="0"/>
              <w:jc w:val="center"/>
              <w:rPr>
                <w:rFonts w:ascii="Times New Roman" w:hAnsi="Times New Roman" w:eastAsia="宋体" w:cs="Times New Roman"/>
                <w:kern w:val="2"/>
                <w:sz w:val="21"/>
                <w:szCs w:val="21"/>
                <w:lang w:val="en-US" w:eastAsia="zh-CN" w:bidi="ar-SA"/>
              </w:rPr>
            </w:pPr>
            <w:r>
              <w:rPr>
                <w:sz w:val="21"/>
                <w:szCs w:val="21"/>
              </w:rPr>
              <w:t>角度测量示值误差</w:t>
            </w:r>
            <w:r>
              <w:rPr>
                <w:rFonts w:hint="eastAsia"/>
                <w:sz w:val="21"/>
                <w:szCs w:val="21"/>
                <w:lang w:eastAsia="zh-CN"/>
              </w:rPr>
              <w:t>、</w:t>
            </w:r>
            <w:r>
              <w:rPr>
                <w:sz w:val="21"/>
                <w:szCs w:val="21"/>
              </w:rPr>
              <w:t>测量重复性</w:t>
            </w:r>
          </w:p>
        </w:tc>
        <w:tc>
          <w:tcPr>
            <w:tcW w:w="0" w:type="auto"/>
            <w:tcBorders>
              <w:top w:val="nil"/>
              <w:left w:val="nil"/>
              <w:bottom w:val="nil"/>
              <w:right w:val="nil"/>
            </w:tcBorders>
            <w:shd w:val="clear" w:color="auto" w:fill="auto"/>
            <w:vAlign w:val="center"/>
          </w:tcPr>
          <w:p w14:paraId="7CFBDFD4">
            <w:pPr>
              <w:ind w:firstLine="0" w:firstLineChars="0"/>
              <w:jc w:val="center"/>
              <w:rPr>
                <w:rFonts w:ascii="Times New Roman" w:hAnsi="Times New Roman" w:eastAsia="宋体" w:cs="Times New Roman"/>
                <w:kern w:val="2"/>
                <w:sz w:val="21"/>
                <w:szCs w:val="21"/>
                <w:lang w:val="en-US" w:eastAsia="zh-CN" w:bidi="ar-SA"/>
              </w:rPr>
            </w:pPr>
            <w:r>
              <w:rPr>
                <w:sz w:val="21"/>
                <w:szCs w:val="21"/>
              </w:rPr>
              <w:t>棱体</w:t>
            </w:r>
          </w:p>
        </w:tc>
        <w:tc>
          <w:tcPr>
            <w:tcW w:w="0" w:type="auto"/>
            <w:tcBorders>
              <w:top w:val="nil"/>
              <w:left w:val="nil"/>
              <w:bottom w:val="nil"/>
              <w:right w:val="single" w:color="auto" w:sz="12" w:space="0"/>
            </w:tcBorders>
            <w:shd w:val="clear" w:color="auto" w:fill="auto"/>
            <w:vAlign w:val="center"/>
          </w:tcPr>
          <w:p w14:paraId="357EBA20">
            <w:pPr>
              <w:ind w:firstLine="0" w:firstLineChars="0"/>
              <w:jc w:val="center"/>
              <w:rPr>
                <w:rFonts w:ascii="Times New Roman" w:hAnsi="Times New Roman" w:eastAsia="宋体" w:cs="Times New Roman"/>
                <w:kern w:val="2"/>
                <w:sz w:val="21"/>
                <w:szCs w:val="21"/>
                <w:lang w:val="en-US" w:eastAsia="zh-CN" w:bidi="ar-SA"/>
              </w:rPr>
            </w:pPr>
            <w:r>
              <w:rPr>
                <w:sz w:val="21"/>
                <w:szCs w:val="21"/>
              </w:rPr>
              <w:t>四等</w:t>
            </w:r>
          </w:p>
        </w:tc>
      </w:tr>
      <w:tr w14:paraId="7FA5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0" w:type="auto"/>
            <w:gridSpan w:val="4"/>
            <w:tcBorders>
              <w:top w:val="nil"/>
              <w:left w:val="single" w:color="auto" w:sz="12" w:space="0"/>
              <w:bottom w:val="single" w:color="auto" w:sz="12" w:space="0"/>
              <w:right w:val="single" w:color="auto" w:sz="12" w:space="0"/>
            </w:tcBorders>
            <w:vAlign w:val="center"/>
          </w:tcPr>
          <w:p w14:paraId="62AA9C22">
            <w:pPr>
              <w:ind w:firstLine="0" w:firstLineChars="0"/>
              <w:jc w:val="left"/>
              <w:rPr>
                <w:rFonts w:asciiTheme="minorEastAsia" w:hAnsiTheme="minorEastAsia" w:eastAsiaTheme="minorEastAsia"/>
                <w:sz w:val="21"/>
                <w:szCs w:val="21"/>
              </w:rPr>
            </w:pPr>
            <w:r>
              <w:rPr>
                <w:rFonts w:hint="eastAsia" w:ascii="仿宋" w:hAnsi="仿宋" w:eastAsia="仿宋" w:cs="仿宋"/>
                <w:sz w:val="21"/>
                <w:szCs w:val="21"/>
              </w:rPr>
              <w:t>注：也可采用满足测量准确度要求的其他测量标准及其他设备进行校准</w:t>
            </w:r>
          </w:p>
        </w:tc>
      </w:tr>
    </w:tbl>
    <w:p w14:paraId="34E10D74">
      <w:pPr>
        <w:spacing w:line="324" w:lineRule="auto"/>
        <w:ind w:firstLine="420" w:firstLineChars="200"/>
        <w:outlineLvl w:val="1"/>
        <w:rPr>
          <w:szCs w:val="21"/>
        </w:rPr>
      </w:pPr>
      <w:r>
        <w:rPr>
          <w:rFonts w:hint="eastAsia"/>
          <w:szCs w:val="21"/>
        </w:rPr>
        <w:t>平面平晶技术指标参考了JJG 28-2019 《平晶》中4.2的相应要求。激光干涉仪的技术要求参考JJG 739-2005 《激光干涉仪》中5.2的相应要求。标准球和标准半球则根据溯源的实际尺寸使用。棱体的技术指标参考了JJG 283-2007《正多面棱体》中4.5的相应要求。</w:t>
      </w:r>
    </w:p>
    <w:bookmarkEnd w:id="43"/>
    <w:bookmarkEnd w:id="44"/>
    <w:bookmarkEnd w:id="45"/>
    <w:bookmarkEnd w:id="46"/>
    <w:p w14:paraId="1A3ECAEE">
      <w:pPr>
        <w:pStyle w:val="4"/>
        <w:spacing w:before="156" w:after="156"/>
        <w:rPr>
          <w:b w:val="0"/>
          <w:bCs w:val="0"/>
        </w:rPr>
      </w:pPr>
      <w:bookmarkStart w:id="52" w:name="_Toc2741_WPSOffice_Level1"/>
      <w:bookmarkStart w:id="53" w:name="_Toc500258944"/>
      <w:bookmarkStart w:id="54" w:name="_Toc193860216"/>
      <w:bookmarkStart w:id="55" w:name="_Toc193619100"/>
      <w:bookmarkStart w:id="56" w:name="_Toc193619058"/>
      <w:bookmarkStart w:id="57" w:name="_Toc193860185"/>
      <w:bookmarkStart w:id="58" w:name="_Toc193860035"/>
      <w:bookmarkStart w:id="59" w:name="_Toc193618955"/>
      <w:r>
        <w:rPr>
          <w:rFonts w:hint="eastAsia"/>
          <w:b w:val="0"/>
          <w:bCs w:val="0"/>
        </w:rPr>
        <w:t>6 校准项目和校准方法</w:t>
      </w:r>
      <w:bookmarkEnd w:id="52"/>
      <w:bookmarkEnd w:id="53"/>
      <w:bookmarkEnd w:id="54"/>
      <w:bookmarkEnd w:id="55"/>
      <w:bookmarkEnd w:id="56"/>
      <w:bookmarkEnd w:id="57"/>
      <w:bookmarkEnd w:id="58"/>
      <w:bookmarkEnd w:id="59"/>
    </w:p>
    <w:p w14:paraId="0E93CF85">
      <w:pPr>
        <w:pStyle w:val="302"/>
        <w:numPr>
          <w:ilvl w:val="0"/>
          <w:numId w:val="13"/>
        </w:numPr>
        <w:spacing w:line="400" w:lineRule="exact"/>
        <w:ind w:left="0" w:firstLine="0" w:firstLineChars="0"/>
        <w:outlineLvl w:val="1"/>
        <w:rPr>
          <w:szCs w:val="21"/>
        </w:rPr>
      </w:pPr>
      <w:bookmarkStart w:id="60" w:name="_Toc201932017"/>
      <w:bookmarkStart w:id="61" w:name="_Toc22718_WPSOffice_Level2"/>
      <w:bookmarkStart w:id="62" w:name="_Toc500258945"/>
      <w:r>
        <w:rPr>
          <w:rFonts w:hint="eastAsia"/>
          <w:szCs w:val="21"/>
        </w:rPr>
        <w:t>校准项目</w:t>
      </w:r>
      <w:bookmarkEnd w:id="60"/>
    </w:p>
    <w:p w14:paraId="5A74BBFF">
      <w:pPr>
        <w:pStyle w:val="302"/>
        <w:spacing w:line="400" w:lineRule="atLeast"/>
        <w:rPr>
          <w:sz w:val="21"/>
          <w:szCs w:val="21"/>
        </w:rPr>
      </w:pPr>
      <w:r>
        <w:rPr>
          <w:rFonts w:hint="eastAsia" w:ascii="Times New Roman" w:hAnsi="Times New Roman"/>
          <w:kern w:val="21"/>
          <w:sz w:val="21"/>
          <w:szCs w:val="21"/>
          <w:lang w:val="en-US" w:eastAsia="zh-CN"/>
        </w:rPr>
        <w:t>轮廓仪校准项目见表</w:t>
      </w:r>
      <w:r>
        <w:rPr>
          <w:rFonts w:hint="eastAsia"/>
          <w:kern w:val="21"/>
          <w:sz w:val="21"/>
          <w:szCs w:val="21"/>
          <w:lang w:val="en-US" w:eastAsia="zh-CN"/>
        </w:rPr>
        <w:t>2</w:t>
      </w:r>
      <w:r>
        <w:rPr>
          <w:rFonts w:hint="eastAsia"/>
          <w:sz w:val="21"/>
          <w:szCs w:val="21"/>
        </w:rPr>
        <w:t>。</w:t>
      </w:r>
    </w:p>
    <w:p w14:paraId="7E417643">
      <w:pPr>
        <w:pStyle w:val="302"/>
        <w:numPr>
          <w:ilvl w:val="0"/>
          <w:numId w:val="13"/>
        </w:numPr>
        <w:spacing w:line="400" w:lineRule="exact"/>
        <w:ind w:left="0" w:firstLine="0" w:firstLineChars="0"/>
        <w:outlineLvl w:val="1"/>
        <w:rPr>
          <w:szCs w:val="21"/>
        </w:rPr>
      </w:pPr>
      <w:bookmarkStart w:id="63" w:name="_Toc201932018"/>
      <w:r>
        <w:rPr>
          <w:rFonts w:hint="eastAsia"/>
          <w:szCs w:val="21"/>
        </w:rPr>
        <w:t>校准</w:t>
      </w:r>
      <w:bookmarkEnd w:id="63"/>
      <w:r>
        <w:rPr>
          <w:rFonts w:hint="eastAsia"/>
          <w:szCs w:val="21"/>
        </w:rPr>
        <w:t>方法</w:t>
      </w:r>
    </w:p>
    <w:p w14:paraId="3D05C73A">
      <w:pPr>
        <w:pStyle w:val="302"/>
        <w:numPr>
          <w:ilvl w:val="0"/>
          <w:numId w:val="14"/>
        </w:numPr>
        <w:spacing w:line="400" w:lineRule="exact"/>
        <w:ind w:firstLineChars="0"/>
        <w:outlineLvl w:val="1"/>
        <w:rPr>
          <w:szCs w:val="21"/>
        </w:rPr>
      </w:pPr>
      <w:r>
        <w:rPr>
          <w:szCs w:val="21"/>
        </w:rPr>
        <w:t>校准前准备</w:t>
      </w:r>
    </w:p>
    <w:p w14:paraId="6F2605F6">
      <w:pPr>
        <w:pStyle w:val="58"/>
        <w:spacing w:line="360" w:lineRule="auto"/>
        <w:ind w:firstLine="480"/>
        <w:rPr>
          <w:rFonts w:ascii="Times New Roman" w:hAnsi="Times New Roman"/>
          <w:kern w:val="21"/>
          <w:sz w:val="21"/>
          <w:szCs w:val="21"/>
        </w:rPr>
      </w:pPr>
      <w:bookmarkStart w:id="64" w:name="_Toc10967"/>
      <w:bookmarkStart w:id="65" w:name="_Toc21548"/>
      <w:bookmarkStart w:id="66" w:name="_Toc23104"/>
      <w:bookmarkStart w:id="67" w:name="_Toc15625"/>
      <w:r>
        <w:rPr>
          <w:rFonts w:hint="eastAsia" w:ascii="Times New Roman"/>
          <w:kern w:val="21"/>
          <w:sz w:val="21"/>
          <w:szCs w:val="21"/>
          <w:lang w:val="en-US" w:eastAsia="zh-CN"/>
        </w:rPr>
        <w:t>目力观察</w:t>
      </w:r>
      <w:r>
        <w:rPr>
          <w:rFonts w:hint="eastAsia" w:ascii="Times New Roman" w:hAnsi="Times New Roman"/>
          <w:kern w:val="21"/>
          <w:sz w:val="21"/>
          <w:szCs w:val="21"/>
        </w:rPr>
        <w:t>轮廓仪各活动部件运动应平稳、灵活，无卡滞、跳动和爬行等现象；</w:t>
      </w:r>
      <w:r>
        <w:rPr>
          <w:rFonts w:hint="eastAsia"/>
          <w:sz w:val="21"/>
          <w:szCs w:val="21"/>
        </w:rPr>
        <w:t>被校仪器及校准用测量标准及其他设备在室内连续平衡温度的时间不少于</w:t>
      </w:r>
      <w:r>
        <w:rPr>
          <w:rFonts w:ascii="Times New Roman"/>
          <w:sz w:val="21"/>
          <w:szCs w:val="21"/>
        </w:rPr>
        <w:t>1h</w:t>
      </w:r>
      <w:r>
        <w:rPr>
          <w:rFonts w:hint="eastAsia"/>
          <w:sz w:val="21"/>
          <w:szCs w:val="21"/>
        </w:rPr>
        <w:t>。</w:t>
      </w:r>
    </w:p>
    <w:p w14:paraId="3774861E">
      <w:pPr>
        <w:ind w:firstLine="480"/>
        <w:rPr>
          <w:szCs w:val="21"/>
        </w:rPr>
      </w:pPr>
      <w:r>
        <w:rPr>
          <w:rFonts w:hint="eastAsia"/>
          <w:szCs w:val="21"/>
        </w:rPr>
        <w:t>校准前，被校仪器连续通电预热时间不少于</w:t>
      </w:r>
      <w:r>
        <w:rPr>
          <w:szCs w:val="21"/>
        </w:rPr>
        <w:t>30min</w:t>
      </w:r>
      <w:r>
        <w:rPr>
          <w:rFonts w:hint="eastAsia"/>
          <w:szCs w:val="21"/>
        </w:rPr>
        <w:t>。</w:t>
      </w:r>
    </w:p>
    <w:bookmarkEnd w:id="64"/>
    <w:bookmarkEnd w:id="65"/>
    <w:bookmarkEnd w:id="66"/>
    <w:bookmarkEnd w:id="67"/>
    <w:p w14:paraId="069D25FF">
      <w:pPr>
        <w:numPr>
          <w:ilvl w:val="0"/>
          <w:numId w:val="15"/>
        </w:numPr>
        <w:autoSpaceDE w:val="0"/>
        <w:autoSpaceDN w:val="0"/>
        <w:adjustRightInd w:val="0"/>
        <w:spacing w:line="400" w:lineRule="exact"/>
        <w:jc w:val="left"/>
        <w:rPr>
          <w:szCs w:val="21"/>
        </w:rPr>
      </w:pPr>
      <w:r>
        <w:rPr>
          <w:szCs w:val="21"/>
        </w:rPr>
        <w:t>静态测量力</w:t>
      </w:r>
    </w:p>
    <w:p w14:paraId="435BB8A4">
      <w:pPr>
        <w:ind w:firstLine="480"/>
        <w:rPr>
          <w:szCs w:val="21"/>
        </w:rPr>
      </w:pPr>
      <w:r>
        <w:rPr>
          <w:rFonts w:hint="eastAsia"/>
          <w:szCs w:val="21"/>
        </w:rPr>
        <w:t>将触针针尖轻轻地压在电子天平上，调整传感器的高低位置，使传感器触针位移显示指向零位。读出电子天平的示值</w:t>
      </w:r>
      <w:r>
        <w:rPr>
          <w:rFonts w:hint="eastAsia"/>
          <w:i/>
          <w:szCs w:val="21"/>
        </w:rPr>
        <w:t>m</w:t>
      </w:r>
      <w:r>
        <w:rPr>
          <w:rFonts w:hint="eastAsia"/>
          <w:szCs w:val="21"/>
        </w:rPr>
        <w:t>，触针静态测量力</w:t>
      </w:r>
      <w:r>
        <w:rPr>
          <w:rFonts w:hint="eastAsia"/>
          <w:i/>
          <w:szCs w:val="21"/>
        </w:rPr>
        <w:t>F</w:t>
      </w:r>
      <w:r>
        <w:rPr>
          <w:rFonts w:hint="eastAsia"/>
          <w:szCs w:val="21"/>
        </w:rPr>
        <w:t>的计算见公式（1）。</w:t>
      </w:r>
    </w:p>
    <w:p w14:paraId="4245E580">
      <w:pPr>
        <w:jc w:val="right"/>
        <w:rPr>
          <w:szCs w:val="21"/>
        </w:rPr>
      </w:pPr>
      <w:r>
        <w:rPr>
          <w:position w:val="-10"/>
          <w:szCs w:val="21"/>
        </w:rPr>
        <w:object>
          <v:shape id="_x0000_i1025" o:spt="75" type="#_x0000_t75" style="height:19pt;width:93.05pt;" o:ole="t" filled="f" o:preferrelative="t" stroked="f" coordsize="21600,21600">
            <v:path/>
            <v:fill on="f" focussize="0,0"/>
            <v:stroke on="f" joinstyle="miter"/>
            <v:imagedata r:id="rId37" o:title=""/>
            <o:lock v:ext="edit" aspectratio="t"/>
            <w10:wrap type="none"/>
            <w10:anchorlock/>
          </v:shape>
          <o:OLEObject Type="Embed" ProgID="Equation.3" ShapeID="_x0000_i1025" DrawAspect="Content" ObjectID="_1468075740" r:id="rId36">
            <o:LockedField>false</o:LockedField>
          </o:OLEObject>
        </w:object>
      </w:r>
      <w:r>
        <w:rPr>
          <w:rFonts w:hint="eastAsia"/>
          <w:szCs w:val="21"/>
        </w:rPr>
        <w:t xml:space="preserve">                                  </w:t>
      </w:r>
      <w:r>
        <w:rPr>
          <w:szCs w:val="21"/>
        </w:rPr>
        <w:t>（</w:t>
      </w:r>
      <w:r>
        <w:rPr>
          <w:rFonts w:hint="eastAsia"/>
          <w:szCs w:val="21"/>
        </w:rPr>
        <w:t>1</w:t>
      </w:r>
      <w:r>
        <w:rPr>
          <w:szCs w:val="21"/>
        </w:rPr>
        <w:t>）</w:t>
      </w:r>
    </w:p>
    <w:p w14:paraId="1FE48035">
      <w:pPr>
        <w:ind w:firstLine="480"/>
        <w:rPr>
          <w:szCs w:val="21"/>
        </w:rPr>
      </w:pPr>
      <w:r>
        <w:rPr>
          <w:rFonts w:hint="eastAsia"/>
          <w:szCs w:val="21"/>
        </w:rPr>
        <w:t>式中：</w:t>
      </w:r>
    </w:p>
    <w:p w14:paraId="2A129D01">
      <w:pPr>
        <w:ind w:firstLine="480"/>
      </w:pPr>
      <w:r>
        <w:rPr>
          <w:position w:val="-4"/>
        </w:rPr>
        <w:object>
          <v:shape id="_x0000_i1026" o:spt="75" type="#_x0000_t75" style="height:12.9pt;width:12.9pt;" o:ole="t" filled="f" o:preferrelative="t" stroked="f" coordsize="21600,21600">
            <v:path/>
            <v:fill on="f" focussize="0,0"/>
            <v:stroke on="f" joinstyle="miter"/>
            <v:imagedata r:id="rId39" o:title=""/>
            <o:lock v:ext="edit" aspectratio="t"/>
            <w10:wrap type="none"/>
            <w10:anchorlock/>
          </v:shape>
          <o:OLEObject Type="Embed" ProgID="Equation.3" ShapeID="_x0000_i1026" DrawAspect="Content" ObjectID="_1468075741" r:id="rId38">
            <o:LockedField>false</o:LockedField>
          </o:OLEObject>
        </w:object>
      </w:r>
      <w:r>
        <w:t>—触针静态测量力，N；</w:t>
      </w:r>
    </w:p>
    <w:p w14:paraId="3446DC44">
      <w:pPr>
        <w:ind w:firstLine="480"/>
      </w:pPr>
      <w:r>
        <w:rPr>
          <w:position w:val="-6"/>
        </w:rPr>
        <w:object>
          <v:shape id="_x0000_i1027" o:spt="75" type="#_x0000_t75" style="height:11.55pt;width:12.9pt;" o:ole="t" filled="f" o:preferrelative="t" stroked="f" coordsize="21600,21600">
            <v:path/>
            <v:fill on="f" focussize="0,0"/>
            <v:stroke on="f" joinstyle="miter"/>
            <v:imagedata r:id="rId41" o:title=""/>
            <o:lock v:ext="edit" aspectratio="t"/>
            <w10:wrap type="none"/>
            <w10:anchorlock/>
          </v:shape>
          <o:OLEObject Type="Embed" ProgID="Equation.3" ShapeID="_x0000_i1027" DrawAspect="Content" ObjectID="_1468075742" r:id="rId40">
            <o:LockedField>false</o:LockedField>
          </o:OLEObject>
        </w:object>
      </w:r>
      <w:r>
        <w:t>—电子天平的示值，</w:t>
      </w:r>
      <w:r>
        <w:rPr>
          <w:rFonts w:hint="eastAsia" w:eastAsiaTheme="minorEastAsia"/>
        </w:rPr>
        <w:t>g</w:t>
      </w:r>
      <w:r>
        <w:t>；</w:t>
      </w:r>
    </w:p>
    <w:p w14:paraId="2F6DD78B">
      <w:pPr>
        <w:ind w:firstLine="480"/>
        <w:rPr>
          <w:rFonts w:hint="eastAsia"/>
        </w:rPr>
      </w:pPr>
      <w:r>
        <w:rPr>
          <w:position w:val="-10"/>
        </w:rPr>
        <w:object>
          <v:shape id="_x0000_i1028" o:spt="75" type="#_x0000_t75" style="height:12.9pt;width:11.55pt;" o:ole="t" filled="f" o:preferrelative="t" stroked="f" coordsize="21600,21600">
            <v:path/>
            <v:fill on="f" focussize="0,0"/>
            <v:stroke on="f" joinstyle="miter"/>
            <v:imagedata r:id="rId43" o:title=""/>
            <o:lock v:ext="edit" aspectratio="t"/>
            <w10:wrap type="none"/>
            <w10:anchorlock/>
          </v:shape>
          <o:OLEObject Type="Embed" ProgID="Equation.3" ShapeID="_x0000_i1028" DrawAspect="Content" ObjectID="_1468075743" r:id="rId42">
            <o:LockedField>false</o:LockedField>
          </o:OLEObject>
        </w:object>
      </w:r>
      <w:r>
        <w:t>—重力加速度，取</w:t>
      </w:r>
      <w:r>
        <w:rPr>
          <w:rFonts w:hint="eastAsia"/>
        </w:rPr>
        <w:t>9.8N/kg。</w:t>
      </w:r>
    </w:p>
    <w:p w14:paraId="63CF2A7D">
      <w:pPr>
        <w:ind w:firstLine="480"/>
        <w:rPr>
          <w:rFonts w:hint="default" w:eastAsia="宋体"/>
          <w:lang w:val="en-US" w:eastAsia="zh-CN"/>
        </w:rPr>
      </w:pPr>
      <w:r>
        <w:rPr>
          <w:rFonts w:hint="eastAsia"/>
          <w:lang w:val="en-US" w:eastAsia="zh-CN"/>
        </w:rPr>
        <w:t>力值的测量在计量方面主要集中在试验机的计量中，如JJG 139-2014中使用标准测力仪进行计量确认。但是对于轮廓测量仪的工作方式不适用，同时轮廓测量仪的测量力都是可调的，且测头接触面极小，论证后使高精度电子天平作为计量标准器进行计量确认。</w:t>
      </w:r>
    </w:p>
    <w:p w14:paraId="19FDCD65">
      <w:pPr>
        <w:numPr>
          <w:ilvl w:val="0"/>
          <w:numId w:val="15"/>
        </w:numPr>
        <w:spacing w:line="400" w:lineRule="exact"/>
      </w:pPr>
      <w:r>
        <w:t>基准导轨直线度</w:t>
      </w:r>
    </w:p>
    <w:p w14:paraId="291A2E12">
      <w:pPr>
        <w:pStyle w:val="302"/>
        <w:autoSpaceDE w:val="0"/>
        <w:autoSpaceDN w:val="0"/>
        <w:adjustRightInd w:val="0"/>
        <w:rPr>
          <w:szCs w:val="21"/>
        </w:rPr>
      </w:pPr>
      <w:r>
        <w:rPr>
          <w:rFonts w:hint="eastAsia"/>
          <w:szCs w:val="21"/>
        </w:rPr>
        <w:t>将工作面长度大于轮廓仪</w:t>
      </w:r>
      <w:r>
        <w:rPr>
          <w:szCs w:val="21"/>
        </w:rPr>
        <w:t>X</w:t>
      </w:r>
      <w:r>
        <w:rPr>
          <w:rFonts w:hint="eastAsia"/>
          <w:szCs w:val="21"/>
        </w:rPr>
        <w:t>轴测量范围的</w:t>
      </w:r>
      <w:r>
        <w:rPr>
          <w:szCs w:val="21"/>
        </w:rPr>
        <w:t>1</w:t>
      </w:r>
      <w:r>
        <w:rPr>
          <w:rFonts w:hint="eastAsia"/>
          <w:szCs w:val="21"/>
        </w:rPr>
        <w:t>级平晶水平放置在轮廓仪工作台上</w:t>
      </w:r>
      <w:r>
        <w:rPr>
          <w:szCs w:val="21"/>
        </w:rPr>
        <w:t>，</w:t>
      </w:r>
      <w:r>
        <w:rPr>
          <w:rFonts w:hint="eastAsia"/>
          <w:szCs w:val="21"/>
        </w:rPr>
        <w:t>调整轮廓仪垂直分辨力为最小值</w:t>
      </w:r>
      <w:r>
        <w:rPr>
          <w:szCs w:val="21"/>
        </w:rPr>
        <w:t>，</w:t>
      </w:r>
      <w:r>
        <w:rPr>
          <w:rFonts w:hint="eastAsia"/>
          <w:szCs w:val="21"/>
        </w:rPr>
        <w:t>轮廓仪滤波器选择高斯滤波器</w:t>
      </w:r>
      <w:r>
        <w:rPr>
          <w:szCs w:val="21"/>
        </w:rPr>
        <w:t>，</w:t>
      </w:r>
      <w:r>
        <w:rPr>
          <w:rFonts w:hint="eastAsia"/>
          <w:szCs w:val="21"/>
        </w:rPr>
        <w:t>且截止波长不大于</w:t>
      </w:r>
      <w:r>
        <w:rPr>
          <w:szCs w:val="21"/>
        </w:rPr>
        <w:t xml:space="preserve"> 0.5mm</w:t>
      </w:r>
      <w:r>
        <w:rPr>
          <w:rFonts w:hint="eastAsia"/>
          <w:szCs w:val="21"/>
        </w:rPr>
        <w:t>。</w:t>
      </w:r>
    </w:p>
    <w:p w14:paraId="1229CFFF">
      <w:pPr>
        <w:pStyle w:val="302"/>
        <w:autoSpaceDE w:val="0"/>
        <w:autoSpaceDN w:val="0"/>
        <w:adjustRightInd w:val="0"/>
        <w:rPr>
          <w:szCs w:val="21"/>
        </w:rPr>
      </w:pPr>
      <w:r>
        <w:rPr>
          <w:rFonts w:hint="eastAsia"/>
          <w:szCs w:val="21"/>
        </w:rPr>
        <w:t>在</w:t>
      </w:r>
      <w:r>
        <w:rPr>
          <w:szCs w:val="21"/>
        </w:rPr>
        <w:t>X</w:t>
      </w:r>
      <w:r>
        <w:rPr>
          <w:rFonts w:hint="eastAsia"/>
          <w:szCs w:val="21"/>
        </w:rPr>
        <w:t>轴测量范围内至少取三段测量平晶表面轮廓</w:t>
      </w:r>
      <w:r>
        <w:rPr>
          <w:szCs w:val="21"/>
        </w:rPr>
        <w:t>，</w:t>
      </w:r>
      <w:r>
        <w:rPr>
          <w:rFonts w:hint="eastAsia"/>
          <w:szCs w:val="21"/>
        </w:rPr>
        <w:t>用最小二乘法分别计算各段表面轮廓的直线度，取各段直线度中的最大值作为基准导轨的直线度。</w:t>
      </w:r>
    </w:p>
    <w:p w14:paraId="65D822AD">
      <w:pPr>
        <w:pStyle w:val="302"/>
        <w:rPr>
          <w:rFonts w:hint="eastAsia"/>
          <w:szCs w:val="21"/>
        </w:rPr>
      </w:pPr>
      <w:r>
        <w:rPr>
          <w:rFonts w:hint="eastAsia"/>
          <w:szCs w:val="21"/>
        </w:rPr>
        <w:t>以全行程表面轮廓的曲线图上最大值作为全行程基准导轨的直线度。</w:t>
      </w:r>
    </w:p>
    <w:p w14:paraId="58EF54E3">
      <w:pPr>
        <w:pStyle w:val="302"/>
        <w:rPr>
          <w:rFonts w:hint="default" w:eastAsia="宋体"/>
          <w:szCs w:val="21"/>
          <w:lang w:val="en-US" w:eastAsia="zh-CN"/>
        </w:rPr>
      </w:pPr>
      <w:r>
        <w:rPr>
          <w:rFonts w:hint="eastAsia"/>
          <w:szCs w:val="21"/>
          <w:lang w:val="en-US" w:eastAsia="zh-CN"/>
        </w:rPr>
        <w:t>轮廓测量仪通过在平面平晶移动采集坐标点，利用采集的一系列离散的二维坐标点，通过做小二乘法拟合出理想直线，通过实际坐标点与理想直线的偏差，得出直线度的误差。理论上，导轨直线度为0时，其在平面平晶的光滑平面上的移动曲线与理想直线轨迹重合。</w:t>
      </w:r>
    </w:p>
    <w:p w14:paraId="463043D6">
      <w:pPr>
        <w:numPr>
          <w:ilvl w:val="0"/>
          <w:numId w:val="15"/>
        </w:numPr>
        <w:spacing w:line="400" w:lineRule="exact"/>
        <w:rPr>
          <w:szCs w:val="21"/>
        </w:rPr>
      </w:pPr>
      <w:r>
        <w:rPr>
          <w:rFonts w:hint="eastAsia"/>
          <w:szCs w:val="21"/>
        </w:rPr>
        <w:t>轮廓垂直分量（Z轴）示值误差</w:t>
      </w:r>
    </w:p>
    <w:p w14:paraId="5B92AC08">
      <w:pPr>
        <w:autoSpaceDE w:val="0"/>
        <w:autoSpaceDN w:val="0"/>
        <w:adjustRightInd w:val="0"/>
        <w:ind w:firstLine="480"/>
        <w:rPr>
          <w:rFonts w:hint="eastAsia" w:eastAsia="宋体"/>
          <w:szCs w:val="21"/>
          <w:lang w:eastAsia="zh-CN"/>
        </w:rPr>
      </w:pPr>
      <w:r>
        <w:rPr>
          <w:rFonts w:hint="eastAsia"/>
          <w:szCs w:val="21"/>
        </w:rPr>
        <w:t>在传感器触针位移范围内选择</w:t>
      </w:r>
      <w:r>
        <w:rPr>
          <w:szCs w:val="21"/>
        </w:rPr>
        <w:t>5</w:t>
      </w:r>
      <w:r>
        <w:rPr>
          <w:rFonts w:hint="eastAsia"/>
          <w:szCs w:val="21"/>
        </w:rPr>
        <w:t>个大致均匀分布的测量点</w:t>
      </w:r>
      <w:r>
        <w:rPr>
          <w:rFonts w:hint="eastAsia"/>
          <w:i/>
          <w:szCs w:val="21"/>
        </w:rPr>
        <w:t>L</w:t>
      </w:r>
      <w:r>
        <w:rPr>
          <w:szCs w:val="21"/>
        </w:rPr>
        <w:t>，</w:t>
      </w:r>
      <w:r>
        <w:rPr>
          <w:rFonts w:hint="eastAsia"/>
          <w:szCs w:val="21"/>
        </w:rPr>
        <w:t>分别选取对应尺寸的</w:t>
      </w:r>
      <w:r>
        <w:rPr>
          <w:szCs w:val="21"/>
        </w:rPr>
        <w:t>4</w:t>
      </w:r>
      <w:r>
        <w:rPr>
          <w:rFonts w:hint="eastAsia"/>
          <w:szCs w:val="21"/>
        </w:rPr>
        <w:t>等量块。先把量块按尺寸由大到小平行并紧密接触地研合在平面平晶工作面上</w:t>
      </w:r>
      <w:r>
        <w:rPr>
          <w:szCs w:val="21"/>
        </w:rPr>
        <w:t>，</w:t>
      </w:r>
      <w:r>
        <w:rPr>
          <w:rFonts w:hint="eastAsia"/>
          <w:szCs w:val="21"/>
        </w:rPr>
        <w:t>然后将其置于轮廓仪工作台上。由大到小测量各量块表面轮廓</w:t>
      </w:r>
      <w:r>
        <w:rPr>
          <w:rFonts w:hint="eastAsia"/>
          <w:i/>
          <w:szCs w:val="21"/>
        </w:rPr>
        <w:t>D</w:t>
      </w:r>
      <w:r>
        <w:rPr>
          <w:rFonts w:hint="eastAsia"/>
          <w:szCs w:val="21"/>
        </w:rPr>
        <w:t>。测量值与量块实际值之差为各点示值误差，取其最大值为轮廓垂直分量（</w:t>
      </w:r>
      <w:r>
        <w:rPr>
          <w:szCs w:val="21"/>
        </w:rPr>
        <w:t>Z</w:t>
      </w:r>
      <w:r>
        <w:rPr>
          <w:rFonts w:hint="eastAsia"/>
          <w:szCs w:val="21"/>
        </w:rPr>
        <w:t>轴</w:t>
      </w:r>
      <w:r>
        <w:rPr>
          <w:szCs w:val="21"/>
        </w:rPr>
        <w:t>)</w:t>
      </w:r>
      <w:r>
        <w:rPr>
          <w:rFonts w:hint="eastAsia"/>
          <w:szCs w:val="21"/>
        </w:rPr>
        <w:t>示值误差，见公式（2）</w:t>
      </w:r>
      <w:r>
        <w:rPr>
          <w:rFonts w:hint="eastAsia"/>
          <w:szCs w:val="21"/>
          <w:lang w:eastAsia="zh-CN"/>
        </w:rPr>
        <w:t>。</w:t>
      </w:r>
    </w:p>
    <w:p w14:paraId="5FE94A2A">
      <w:pPr>
        <w:autoSpaceDE w:val="0"/>
        <w:autoSpaceDN w:val="0"/>
        <w:adjustRightInd w:val="0"/>
        <w:ind w:firstLine="480"/>
        <w:jc w:val="right"/>
        <w:rPr>
          <w:szCs w:val="21"/>
        </w:rPr>
      </w:pPr>
      <w:r>
        <w:rPr>
          <w:position w:val="-12"/>
          <w:szCs w:val="21"/>
        </w:rPr>
        <w:object>
          <v:shape id="_x0000_i1029" o:spt="75" type="#_x0000_t75" style="height:19pt;width:77.45pt;" o:ole="t" filled="f" o:preferrelative="t" stroked="f" coordsize="21600,21600">
            <v:path/>
            <v:fill on="f" focussize="0,0"/>
            <v:stroke on="f" joinstyle="miter"/>
            <v:imagedata r:id="rId45" o:title=""/>
            <o:lock v:ext="edit" aspectratio="t"/>
            <w10:wrap type="none"/>
            <w10:anchorlock/>
          </v:shape>
          <o:OLEObject Type="Embed" ProgID="Equation.3" ShapeID="_x0000_i1029" DrawAspect="Content" ObjectID="_1468075744" r:id="rId44">
            <o:LockedField>false</o:LockedField>
          </o:OLEObject>
        </w:object>
      </w:r>
      <w:r>
        <w:rPr>
          <w:rFonts w:hint="eastAsia"/>
          <w:szCs w:val="21"/>
        </w:rPr>
        <w:t xml:space="preserve">                               </w:t>
      </w:r>
      <w:r>
        <w:rPr>
          <w:szCs w:val="21"/>
        </w:rPr>
        <w:t>（</w:t>
      </w:r>
      <w:r>
        <w:rPr>
          <w:rFonts w:hint="eastAsia"/>
          <w:szCs w:val="21"/>
        </w:rPr>
        <w:t>2</w:t>
      </w:r>
      <w:r>
        <w:rPr>
          <w:szCs w:val="21"/>
        </w:rPr>
        <w:t>）</w:t>
      </w:r>
    </w:p>
    <w:p w14:paraId="33070B4B">
      <w:pPr>
        <w:autoSpaceDE w:val="0"/>
        <w:autoSpaceDN w:val="0"/>
        <w:adjustRightInd w:val="0"/>
        <w:ind w:firstLine="480"/>
        <w:rPr>
          <w:szCs w:val="21"/>
        </w:rPr>
      </w:pPr>
      <w:r>
        <w:rPr>
          <w:rFonts w:hint="eastAsia"/>
          <w:szCs w:val="21"/>
        </w:rPr>
        <w:t>式中：</w:t>
      </w:r>
    </w:p>
    <w:p w14:paraId="310DBC4D">
      <w:pPr>
        <w:autoSpaceDE w:val="0"/>
        <w:autoSpaceDN w:val="0"/>
        <w:adjustRightInd w:val="0"/>
        <w:ind w:firstLine="480"/>
      </w:pPr>
      <w:r>
        <w:rPr>
          <w:position w:val="-12"/>
        </w:rPr>
        <w:object>
          <v:shape id="_x0000_i1030" o:spt="75" type="#_x0000_t75" style="height:19pt;width:17pt;" o:ole="t" filled="f" o:preferrelative="t" stroked="f" coordsize="21600,21600">
            <v:path/>
            <v:fill on="f" focussize="0,0"/>
            <v:stroke on="f" joinstyle="miter"/>
            <v:imagedata r:id="rId47" o:title=""/>
            <o:lock v:ext="edit" aspectratio="t"/>
            <w10:wrap type="none"/>
            <w10:anchorlock/>
          </v:shape>
          <o:OLEObject Type="Embed" ProgID="Equation.3" ShapeID="_x0000_i1030" DrawAspect="Content" ObjectID="_1468075745" r:id="rId46">
            <o:LockedField>false</o:LockedField>
          </o:OLEObject>
        </w:object>
      </w:r>
      <w:r>
        <w:t>—各测量点的示值误差，</w:t>
      </w:r>
      <w:r>
        <w:rPr>
          <w:rFonts w:hint="eastAsia"/>
          <w:i/>
        </w:rPr>
        <w:t>i</w:t>
      </w:r>
      <w:r>
        <w:rPr>
          <w:rFonts w:hint="eastAsia"/>
        </w:rPr>
        <w:t>=1,2,3,4,5，mm；</w:t>
      </w:r>
    </w:p>
    <w:p w14:paraId="0A7FDE78">
      <w:pPr>
        <w:autoSpaceDE w:val="0"/>
        <w:autoSpaceDN w:val="0"/>
        <w:adjustRightInd w:val="0"/>
        <w:ind w:firstLine="480"/>
      </w:pPr>
      <w:r>
        <w:rPr>
          <w:position w:val="-12"/>
        </w:rPr>
        <w:object>
          <v:shape id="_x0000_i1031" o:spt="75" type="#_x0000_t75" style="height:19pt;width:14.95pt;" o:ole="t" filled="f" o:preferrelative="t" stroked="f" coordsize="21600,21600">
            <v:path/>
            <v:fill on="f" focussize="0,0"/>
            <v:stroke on="f" joinstyle="miter"/>
            <v:imagedata r:id="rId49" o:title=""/>
            <o:lock v:ext="edit" aspectratio="t"/>
            <w10:wrap type="none"/>
            <w10:anchorlock/>
          </v:shape>
          <o:OLEObject Type="Embed" ProgID="Equation.3" ShapeID="_x0000_i1031" DrawAspect="Content" ObjectID="_1468075746" r:id="rId48">
            <o:LockedField>false</o:LockedField>
          </o:OLEObject>
        </w:object>
      </w:r>
      <w:r>
        <w:t>—各测量点轮廓仪示值，</w:t>
      </w:r>
      <w:r>
        <w:rPr>
          <w:rFonts w:hint="eastAsia"/>
          <w:i/>
        </w:rPr>
        <w:t>i</w:t>
      </w:r>
      <w:r>
        <w:rPr>
          <w:rFonts w:hint="eastAsia"/>
        </w:rPr>
        <w:t>=1,2,3,4,5，mm；</w:t>
      </w:r>
    </w:p>
    <w:p w14:paraId="59A633BB">
      <w:pPr>
        <w:autoSpaceDE w:val="0"/>
        <w:autoSpaceDN w:val="0"/>
        <w:adjustRightInd w:val="0"/>
        <w:ind w:firstLine="480"/>
      </w:pPr>
      <w:r>
        <w:rPr>
          <w:position w:val="-12"/>
        </w:rPr>
        <w:object>
          <v:shape id="_x0000_i1032" o:spt="75" type="#_x0000_t75" style="height:19pt;width:12.9pt;" o:ole="t" filled="f" o:preferrelative="t" stroked="f" coordsize="21600,21600">
            <v:path/>
            <v:fill on="f" focussize="0,0"/>
            <v:stroke on="f" joinstyle="miter"/>
            <v:imagedata r:id="rId51" o:title=""/>
            <o:lock v:ext="edit" aspectratio="t"/>
            <w10:wrap type="none"/>
            <w10:anchorlock/>
          </v:shape>
          <o:OLEObject Type="Embed" ProgID="Equation.3" ShapeID="_x0000_i1032" DrawAspect="Content" ObjectID="_1468075747" r:id="rId50">
            <o:LockedField>false</o:LockedField>
          </o:OLEObject>
        </w:object>
      </w:r>
      <w:r>
        <w:t>—量块实际尺寸，</w:t>
      </w:r>
      <w:r>
        <w:rPr>
          <w:rFonts w:hint="eastAsia"/>
          <w:i/>
        </w:rPr>
        <w:t>i</w:t>
      </w:r>
      <w:r>
        <w:rPr>
          <w:rFonts w:hint="eastAsia"/>
        </w:rPr>
        <w:t>=1,2,3,4,5，mm。</w:t>
      </w:r>
    </w:p>
    <w:p w14:paraId="3F6EBED9">
      <w:pPr>
        <w:numPr>
          <w:ilvl w:val="0"/>
          <w:numId w:val="15"/>
        </w:numPr>
        <w:autoSpaceDE w:val="0"/>
        <w:autoSpaceDN w:val="0"/>
        <w:adjustRightInd w:val="0"/>
        <w:spacing w:line="400" w:lineRule="exact"/>
        <w:rPr>
          <w:szCs w:val="21"/>
        </w:rPr>
      </w:pPr>
      <w:r>
        <w:rPr>
          <w:rFonts w:hint="eastAsia"/>
          <w:szCs w:val="21"/>
        </w:rPr>
        <w:t>轮廓水平分量（X轴）示值误差</w:t>
      </w:r>
    </w:p>
    <w:p w14:paraId="34B89C5D">
      <w:pPr>
        <w:autoSpaceDE w:val="0"/>
        <w:autoSpaceDN w:val="0"/>
        <w:adjustRightInd w:val="0"/>
        <w:ind w:firstLine="480"/>
        <w:rPr>
          <w:szCs w:val="21"/>
        </w:rPr>
      </w:pPr>
      <w:r>
        <w:rPr>
          <w:rFonts w:hint="eastAsia"/>
          <w:szCs w:val="21"/>
        </w:rPr>
        <w:t>把激光干涉仪的靶镜固定在轮廓仪驱动箱与传感器连接件上，调整激光干涉仪的激光光束与轮廓仪基准导轨平行。在轮廓仪X轴测量范围内选取大致均匀分布的5个测量点</w:t>
      </w:r>
      <w:r>
        <w:rPr>
          <w:rFonts w:hint="eastAsia"/>
          <w:i/>
          <w:szCs w:val="21"/>
        </w:rPr>
        <w:t>e</w:t>
      </w:r>
      <w:r>
        <w:rPr>
          <w:rFonts w:hint="eastAsia"/>
          <w:szCs w:val="21"/>
        </w:rPr>
        <w:t>，读取各点轮廓仪示值与激光干涉仪示值，轮廓仪示值与激光干涉仪示值之差为各点轮廓水平分量（X轴）示值误差。取其最大值为轮廓水平分量（X轴）示值误差，见公式（</w:t>
      </w:r>
      <w:r>
        <w:rPr>
          <w:rFonts w:hint="eastAsia"/>
          <w:szCs w:val="21"/>
          <w:lang w:val="en-US" w:eastAsia="zh-CN"/>
        </w:rPr>
        <w:t>3</w:t>
      </w:r>
      <w:r>
        <w:rPr>
          <w:rFonts w:hint="eastAsia"/>
          <w:szCs w:val="21"/>
        </w:rPr>
        <w:t>）。</w:t>
      </w:r>
    </w:p>
    <w:p w14:paraId="02EAA8FD">
      <w:pPr>
        <w:autoSpaceDE w:val="0"/>
        <w:autoSpaceDN w:val="0"/>
        <w:adjustRightInd w:val="0"/>
        <w:ind w:firstLine="480"/>
        <w:jc w:val="right"/>
        <w:rPr>
          <w:szCs w:val="21"/>
        </w:rPr>
      </w:pPr>
      <w:r>
        <w:rPr>
          <w:position w:val="-12"/>
          <w:szCs w:val="21"/>
        </w:rPr>
        <w:object>
          <v:shape id="_x0000_i1033" o:spt="75" type="#_x0000_t75" style="height:19pt;width:72pt;" o:ole="t" filled="f" o:preferrelative="t" stroked="f" coordsize="21600,21600">
            <v:path/>
            <v:fill on="f" focussize="0,0"/>
            <v:stroke on="f" joinstyle="miter"/>
            <v:imagedata r:id="rId53" o:title=""/>
            <o:lock v:ext="edit" aspectratio="t"/>
            <w10:wrap type="none"/>
            <w10:anchorlock/>
          </v:shape>
          <o:OLEObject Type="Embed" ProgID="Equation.3" ShapeID="_x0000_i1033" DrawAspect="Content" ObjectID="_1468075748" r:id="rId52">
            <o:LockedField>false</o:LockedField>
          </o:OLEObject>
        </w:object>
      </w:r>
      <w:r>
        <w:rPr>
          <w:rFonts w:hint="eastAsia"/>
          <w:szCs w:val="21"/>
        </w:rPr>
        <w:t xml:space="preserve">                               </w:t>
      </w:r>
      <w:r>
        <w:rPr>
          <w:szCs w:val="21"/>
        </w:rPr>
        <w:t>（</w:t>
      </w:r>
      <w:r>
        <w:rPr>
          <w:rFonts w:hint="eastAsia"/>
          <w:szCs w:val="21"/>
          <w:lang w:val="en-US" w:eastAsia="zh-CN"/>
        </w:rPr>
        <w:t>3</w:t>
      </w:r>
      <w:r>
        <w:rPr>
          <w:szCs w:val="21"/>
        </w:rPr>
        <w:t>）</w:t>
      </w:r>
    </w:p>
    <w:p w14:paraId="2F0944FE">
      <w:pPr>
        <w:autoSpaceDE w:val="0"/>
        <w:autoSpaceDN w:val="0"/>
        <w:adjustRightInd w:val="0"/>
        <w:ind w:firstLine="480"/>
        <w:rPr>
          <w:szCs w:val="21"/>
        </w:rPr>
      </w:pPr>
      <w:r>
        <w:rPr>
          <w:rFonts w:hint="eastAsia"/>
          <w:szCs w:val="21"/>
        </w:rPr>
        <w:t>式中：</w:t>
      </w:r>
    </w:p>
    <w:p w14:paraId="20008E0F">
      <w:pPr>
        <w:autoSpaceDE w:val="0"/>
        <w:autoSpaceDN w:val="0"/>
        <w:adjustRightInd w:val="0"/>
        <w:ind w:firstLine="480"/>
      </w:pPr>
      <w:r>
        <w:rPr>
          <w:position w:val="-12"/>
        </w:rPr>
        <w:object>
          <v:shape id="_x0000_i1034" o:spt="75" type="#_x0000_t75" style="height:19pt;width:18.35pt;" o:ole="t" filled="f" o:preferrelative="t" stroked="f" coordsize="21600,21600">
            <v:path/>
            <v:fill on="f" focussize="0,0"/>
            <v:stroke on="f" joinstyle="miter"/>
            <v:imagedata r:id="rId55" o:title=""/>
            <o:lock v:ext="edit" aspectratio="t"/>
            <w10:wrap type="none"/>
            <w10:anchorlock/>
          </v:shape>
          <o:OLEObject Type="Embed" ProgID="Equation.3" ShapeID="_x0000_i1034" DrawAspect="Content" ObjectID="_1468075749" r:id="rId54">
            <o:LockedField>false</o:LockedField>
          </o:OLEObject>
        </w:object>
      </w:r>
      <w:r>
        <w:t>—各测量点示值误差，</w:t>
      </w:r>
      <w:r>
        <w:rPr>
          <w:rFonts w:hint="eastAsia"/>
          <w:i/>
        </w:rPr>
        <w:t>i</w:t>
      </w:r>
      <w:r>
        <w:rPr>
          <w:rFonts w:hint="eastAsia"/>
        </w:rPr>
        <w:t>=1,2,3,4,5，mm；</w:t>
      </w:r>
    </w:p>
    <w:p w14:paraId="2949377E">
      <w:pPr>
        <w:autoSpaceDE w:val="0"/>
        <w:autoSpaceDN w:val="0"/>
        <w:adjustRightInd w:val="0"/>
        <w:ind w:firstLine="480"/>
      </w:pPr>
      <w:r>
        <w:rPr>
          <w:position w:val="-12"/>
        </w:rPr>
        <w:object>
          <v:shape id="_x0000_i1035" o:spt="75" type="#_x0000_t75" style="height:19pt;width:11.55pt;" o:ole="t" filled="f" o:preferrelative="t" stroked="f" coordsize="21600,21600">
            <v:path/>
            <v:fill on="f" focussize="0,0"/>
            <v:stroke on="f" joinstyle="miter"/>
            <v:imagedata r:id="rId57" o:title=""/>
            <o:lock v:ext="edit" aspectratio="t"/>
            <w10:wrap type="none"/>
            <w10:anchorlock/>
          </v:shape>
          <o:OLEObject Type="Embed" ProgID="Equation.3" ShapeID="_x0000_i1035" DrawAspect="Content" ObjectID="_1468075750" r:id="rId56">
            <o:LockedField>false</o:LockedField>
          </o:OLEObject>
        </w:object>
      </w:r>
      <w:r>
        <w:t>—轮廓仪各点示值，</w:t>
      </w:r>
      <w:r>
        <w:rPr>
          <w:rFonts w:hint="eastAsia"/>
          <w:i/>
        </w:rPr>
        <w:t>i</w:t>
      </w:r>
      <w:r>
        <w:rPr>
          <w:rFonts w:hint="eastAsia"/>
        </w:rPr>
        <w:t>=1,2,3,4,5，mm；</w:t>
      </w:r>
    </w:p>
    <w:p w14:paraId="539F738A">
      <w:pPr>
        <w:autoSpaceDE w:val="0"/>
        <w:autoSpaceDN w:val="0"/>
        <w:adjustRightInd w:val="0"/>
        <w:ind w:firstLine="480"/>
      </w:pPr>
      <w:r>
        <w:rPr>
          <w:position w:val="-12"/>
        </w:rPr>
        <w:object>
          <v:shape id="_x0000_i1036" o:spt="75" type="#_x0000_t75" style="height:19pt;width:12.25pt;" o:ole="t" filled="f" o:preferrelative="t" stroked="f" coordsize="21600,21600">
            <v:path/>
            <v:fill on="f" focussize="0,0"/>
            <v:stroke on="f" joinstyle="miter"/>
            <v:imagedata r:id="rId59" o:title=""/>
            <o:lock v:ext="edit" aspectratio="t"/>
            <w10:wrap type="none"/>
            <w10:anchorlock/>
          </v:shape>
          <o:OLEObject Type="Embed" ProgID="Equation.3" ShapeID="_x0000_i1036" DrawAspect="Content" ObjectID="_1468075751" r:id="rId58">
            <o:LockedField>false</o:LockedField>
          </o:OLEObject>
        </w:object>
      </w:r>
      <w:r>
        <w:t>—激光干涉仪各点示值，</w:t>
      </w:r>
      <w:r>
        <w:rPr>
          <w:rFonts w:hint="eastAsia"/>
          <w:i/>
        </w:rPr>
        <w:t>i</w:t>
      </w:r>
      <w:r>
        <w:rPr>
          <w:rFonts w:hint="eastAsia"/>
        </w:rPr>
        <w:t>=1,2,3,4,5，mm。</w:t>
      </w:r>
    </w:p>
    <w:p w14:paraId="3E7F0A5E">
      <w:pPr>
        <w:numPr>
          <w:ilvl w:val="0"/>
          <w:numId w:val="15"/>
        </w:numPr>
        <w:autoSpaceDE w:val="0"/>
        <w:autoSpaceDN w:val="0"/>
        <w:adjustRightInd w:val="0"/>
        <w:spacing w:line="400" w:lineRule="exact"/>
        <w:rPr>
          <w:szCs w:val="21"/>
        </w:rPr>
      </w:pPr>
      <w:r>
        <w:rPr>
          <w:szCs w:val="21"/>
        </w:rPr>
        <w:t>半径测量示值误差</w:t>
      </w:r>
    </w:p>
    <w:p w14:paraId="15C8BAAF">
      <w:pPr>
        <w:autoSpaceDE w:val="0"/>
        <w:autoSpaceDN w:val="0"/>
        <w:adjustRightInd w:val="0"/>
        <w:ind w:firstLine="480"/>
        <w:rPr>
          <w:szCs w:val="21"/>
        </w:rPr>
      </w:pPr>
      <w:r>
        <w:rPr>
          <w:rFonts w:hint="eastAsia"/>
          <w:szCs w:val="21"/>
        </w:rPr>
        <w:t>将标准球或标准半球放置于轮廓仪工作台上，先调整标准球（标准半球）的位置，使触针滑行轨迹通过标准球（标准半球）的最高点，然后测量标准球表面轮廓半径。重复以上步骤，连续三次测量标准球表面轮廓半径</w:t>
      </w:r>
      <w:r>
        <w:rPr>
          <w:rFonts w:hint="eastAsia"/>
          <w:i/>
          <w:szCs w:val="21"/>
        </w:rPr>
        <w:t>R</w:t>
      </w:r>
      <w:r>
        <w:rPr>
          <w:rFonts w:hint="eastAsia"/>
          <w:szCs w:val="21"/>
        </w:rPr>
        <w:t>，三次测量平均值与标准球（标准半球）半径的实际值之差为半径测量示值误差，见公式（6）。</w:t>
      </w:r>
    </w:p>
    <w:p w14:paraId="0B407B46">
      <w:pPr>
        <w:autoSpaceDE w:val="0"/>
        <w:autoSpaceDN w:val="0"/>
        <w:adjustRightInd w:val="0"/>
        <w:ind w:firstLine="480"/>
        <w:jc w:val="right"/>
        <w:rPr>
          <w:szCs w:val="21"/>
        </w:rPr>
      </w:pPr>
      <w:r>
        <w:rPr>
          <w:position w:val="-24"/>
          <w:szCs w:val="21"/>
        </w:rPr>
        <w:object>
          <v:shape id="_x0000_i1037" o:spt="75" type="#_x0000_t75" style="height:48.9pt;width:103.9pt;" o:ole="t" filled="f" o:preferrelative="t" stroked="f" coordsize="21600,21600">
            <v:path/>
            <v:fill on="f" focussize="0,0"/>
            <v:stroke on="f" joinstyle="miter"/>
            <v:imagedata r:id="rId61" o:title=""/>
            <o:lock v:ext="edit" aspectratio="t"/>
            <w10:wrap type="none"/>
            <w10:anchorlock/>
          </v:shape>
          <o:OLEObject Type="Embed" ProgID="Equation.3" ShapeID="_x0000_i1037" DrawAspect="Content" ObjectID="_1468075752" r:id="rId60">
            <o:LockedField>false</o:LockedField>
          </o:OLEObject>
        </w:object>
      </w:r>
      <w:r>
        <w:rPr>
          <w:rFonts w:hint="eastAsia"/>
          <w:szCs w:val="21"/>
        </w:rPr>
        <w:t xml:space="preserve">                            </w:t>
      </w:r>
      <w:r>
        <w:rPr>
          <w:szCs w:val="21"/>
        </w:rPr>
        <w:t>（</w:t>
      </w:r>
      <w:r>
        <w:rPr>
          <w:rFonts w:hint="eastAsia"/>
          <w:szCs w:val="21"/>
          <w:lang w:val="en-US" w:eastAsia="zh-CN"/>
        </w:rPr>
        <w:t>4</w:t>
      </w:r>
      <w:r>
        <w:rPr>
          <w:szCs w:val="21"/>
        </w:rPr>
        <w:t>）</w:t>
      </w:r>
    </w:p>
    <w:p w14:paraId="01A20A9A">
      <w:pPr>
        <w:autoSpaceDE w:val="0"/>
        <w:autoSpaceDN w:val="0"/>
        <w:adjustRightInd w:val="0"/>
        <w:ind w:firstLine="480"/>
        <w:rPr>
          <w:szCs w:val="21"/>
        </w:rPr>
      </w:pPr>
      <w:r>
        <w:rPr>
          <w:rFonts w:hint="eastAsia"/>
          <w:szCs w:val="21"/>
        </w:rPr>
        <w:t>式中：</w:t>
      </w:r>
    </w:p>
    <w:p w14:paraId="3F229AEC">
      <w:pPr>
        <w:autoSpaceDE w:val="0"/>
        <w:autoSpaceDN w:val="0"/>
        <w:adjustRightInd w:val="0"/>
        <w:ind w:firstLine="480"/>
      </w:pPr>
      <w:r>
        <w:rPr>
          <w:position w:val="-10"/>
        </w:rPr>
        <w:object>
          <v:shape id="_x0000_i1038" o:spt="75" type="#_x0000_t75" style="height:18.35pt;width:15.6pt;" o:ole="t" filled="f" o:preferrelative="t" stroked="f" coordsize="21600,21600">
            <v:path/>
            <v:fill on="f" focussize="0,0"/>
            <v:stroke on="f" joinstyle="miter"/>
            <v:imagedata r:id="rId63" o:title=""/>
            <o:lock v:ext="edit" aspectratio="t"/>
            <w10:wrap type="none"/>
            <w10:anchorlock/>
          </v:shape>
          <o:OLEObject Type="Embed" ProgID="Equation.3" ShapeID="_x0000_i1038" DrawAspect="Content" ObjectID="_1468075753" r:id="rId62">
            <o:LockedField>false</o:LockedField>
          </o:OLEObject>
        </w:object>
      </w:r>
      <w:r>
        <w:t>—半径测量示值误差，mm；</w:t>
      </w:r>
    </w:p>
    <w:p w14:paraId="2FFB2ECC">
      <w:pPr>
        <w:autoSpaceDE w:val="0"/>
        <w:autoSpaceDN w:val="0"/>
        <w:adjustRightInd w:val="0"/>
        <w:ind w:firstLine="480"/>
      </w:pPr>
      <w:r>
        <w:rPr>
          <w:position w:val="-12"/>
        </w:rPr>
        <w:object>
          <v:shape id="_x0000_i1039" o:spt="75" type="#_x0000_t75" style="height:19pt;width:12.9pt;" o:ole="t" filled="f" o:preferrelative="t" stroked="f" coordsize="21600,21600">
            <v:path/>
            <v:fill on="f" focussize="0,0"/>
            <v:stroke on="f" joinstyle="miter"/>
            <v:imagedata r:id="rId65" o:title=""/>
            <o:lock v:ext="edit" aspectratio="t"/>
            <w10:wrap type="none"/>
            <w10:anchorlock/>
          </v:shape>
          <o:OLEObject Type="Embed" ProgID="Equation.3" ShapeID="_x0000_i1039" DrawAspect="Content" ObjectID="_1468075754" r:id="rId64">
            <o:LockedField>false</o:LockedField>
          </o:OLEObject>
        </w:object>
      </w:r>
      <w:r>
        <w:t>—三次测量标准球轮廓仪示值，</w:t>
      </w:r>
      <w:r>
        <w:rPr>
          <w:rFonts w:hint="eastAsia"/>
          <w:i/>
        </w:rPr>
        <w:t>i</w:t>
      </w:r>
      <w:r>
        <w:rPr>
          <w:rFonts w:hint="eastAsia"/>
        </w:rPr>
        <w:t>=1,2,3，mm；</w:t>
      </w:r>
    </w:p>
    <w:p w14:paraId="114D3065">
      <w:pPr>
        <w:autoSpaceDE w:val="0"/>
        <w:autoSpaceDN w:val="0"/>
        <w:adjustRightInd w:val="0"/>
        <w:ind w:firstLine="480"/>
      </w:pPr>
      <w:r>
        <w:rPr>
          <w:position w:val="-12"/>
        </w:rPr>
        <w:object>
          <v:shape id="_x0000_i1040" o:spt="75" type="#_x0000_t75" style="height:19pt;width:24.45pt;" o:ole="t" filled="f" o:preferrelative="t" stroked="f" coordsize="21600,21600">
            <v:path/>
            <v:fill on="f" focussize="0,0"/>
            <v:stroke on="f" joinstyle="miter"/>
            <v:imagedata r:id="rId67" o:title=""/>
            <o:lock v:ext="edit" aspectratio="t"/>
            <w10:wrap type="none"/>
            <w10:anchorlock/>
          </v:shape>
          <o:OLEObject Type="Embed" ProgID="Equation.3" ShapeID="_x0000_i1040" DrawAspect="Content" ObjectID="_1468075755" r:id="rId66">
            <o:LockedField>false</o:LockedField>
          </o:OLEObject>
        </w:object>
      </w:r>
      <w:r>
        <w:t>—标准球半径，mm。</w:t>
      </w:r>
    </w:p>
    <w:p w14:paraId="1EC487D6">
      <w:pPr>
        <w:autoSpaceDE w:val="0"/>
        <w:autoSpaceDN w:val="0"/>
        <w:adjustRightInd w:val="0"/>
        <w:ind w:firstLine="480"/>
        <w:rPr>
          <w:rFonts w:hint="default" w:eastAsia="宋体"/>
          <w:lang w:val="en-US" w:eastAsia="zh-CN"/>
        </w:rPr>
      </w:pPr>
      <w:r>
        <w:rPr>
          <w:rFonts w:hint="eastAsia"/>
          <w:lang w:val="en-US" w:eastAsia="zh-CN"/>
        </w:rPr>
        <w:t>半径测量示值误差的校准方法，参考了JJF 1064-2024《坐标测量机校准规范》中探测误差的计量方法，使用标准球对轮廓仪的半径测量示值误差进行计量。</w:t>
      </w:r>
    </w:p>
    <w:p w14:paraId="70C0516A">
      <w:pPr>
        <w:numPr>
          <w:ilvl w:val="0"/>
          <w:numId w:val="15"/>
        </w:numPr>
        <w:autoSpaceDE w:val="0"/>
        <w:autoSpaceDN w:val="0"/>
        <w:adjustRightInd w:val="0"/>
        <w:spacing w:line="400" w:lineRule="exact"/>
        <w:rPr>
          <w:szCs w:val="21"/>
        </w:rPr>
      </w:pPr>
      <w:r>
        <w:rPr>
          <w:rFonts w:hint="eastAsia"/>
          <w:szCs w:val="21"/>
        </w:rPr>
        <w:t>半径测量重复性</w:t>
      </w:r>
    </w:p>
    <w:p w14:paraId="55FFD66D">
      <w:pPr>
        <w:autoSpaceDE w:val="0"/>
        <w:autoSpaceDN w:val="0"/>
        <w:adjustRightInd w:val="0"/>
        <w:ind w:firstLine="480"/>
        <w:rPr>
          <w:szCs w:val="21"/>
        </w:rPr>
      </w:pPr>
      <w:r>
        <w:rPr>
          <w:rFonts w:hint="eastAsia"/>
          <w:szCs w:val="21"/>
        </w:rPr>
        <w:t>将标准球或标准半球放置于轮廓仪工作台上，调整触针滑行轨迹通过标准球（标准半球）的最高点，重复三次测量表面轮廓半径，按极差法计算实验标准差作为半径测量重复性，见公式（</w:t>
      </w:r>
      <w:r>
        <w:rPr>
          <w:rFonts w:hint="eastAsia"/>
          <w:szCs w:val="21"/>
          <w:lang w:val="en-US" w:eastAsia="zh-CN"/>
        </w:rPr>
        <w:t>5</w:t>
      </w:r>
      <w:r>
        <w:rPr>
          <w:rFonts w:hint="eastAsia"/>
          <w:szCs w:val="21"/>
        </w:rPr>
        <w:t>）。</w:t>
      </w:r>
    </w:p>
    <w:p w14:paraId="4FB44D1A">
      <w:pPr>
        <w:autoSpaceDE w:val="0"/>
        <w:autoSpaceDN w:val="0"/>
        <w:adjustRightInd w:val="0"/>
        <w:ind w:firstLine="480"/>
        <w:jc w:val="right"/>
        <w:rPr>
          <w:szCs w:val="21"/>
        </w:rPr>
      </w:pPr>
      <w:r>
        <w:rPr>
          <w:position w:val="-24"/>
          <w:szCs w:val="21"/>
        </w:rPr>
        <w:object>
          <v:shape id="_x0000_i1041" o:spt="75" type="#_x0000_t75" style="height:33.3pt;width:134.5pt;" o:ole="t" filled="f" o:preferrelative="t" stroked="f" coordsize="21600,21600">
            <v:path/>
            <v:fill on="f" focussize="0,0"/>
            <v:stroke on="f" joinstyle="miter"/>
            <v:imagedata r:id="rId69" o:title=""/>
            <o:lock v:ext="edit" aspectratio="t"/>
            <w10:wrap type="none"/>
            <w10:anchorlock/>
          </v:shape>
          <o:OLEObject Type="Embed" ProgID="Equation.3" ShapeID="_x0000_i1041" DrawAspect="Content" ObjectID="_1468075756" r:id="rId68">
            <o:LockedField>false</o:LockedField>
          </o:OLEObject>
        </w:object>
      </w:r>
      <w:r>
        <w:rPr>
          <w:rFonts w:hint="eastAsia"/>
          <w:szCs w:val="21"/>
        </w:rPr>
        <w:t xml:space="preserve">                            </w:t>
      </w:r>
      <w:r>
        <w:rPr>
          <w:szCs w:val="21"/>
        </w:rPr>
        <w:t>（</w:t>
      </w:r>
      <w:r>
        <w:rPr>
          <w:rFonts w:hint="eastAsia"/>
          <w:szCs w:val="21"/>
          <w:lang w:val="en-US" w:eastAsia="zh-CN"/>
        </w:rPr>
        <w:t>5</w:t>
      </w:r>
      <w:r>
        <w:rPr>
          <w:szCs w:val="21"/>
        </w:rPr>
        <w:t>）</w:t>
      </w:r>
    </w:p>
    <w:p w14:paraId="6DB14B1E">
      <w:pPr>
        <w:autoSpaceDE w:val="0"/>
        <w:autoSpaceDN w:val="0"/>
        <w:adjustRightInd w:val="0"/>
        <w:ind w:firstLine="480"/>
        <w:rPr>
          <w:szCs w:val="21"/>
        </w:rPr>
      </w:pPr>
      <w:r>
        <w:rPr>
          <w:szCs w:val="21"/>
        </w:rPr>
        <w:t>式中：</w:t>
      </w:r>
    </w:p>
    <w:p w14:paraId="4CBD3D7C">
      <w:pPr>
        <w:autoSpaceDE w:val="0"/>
        <w:autoSpaceDN w:val="0"/>
        <w:adjustRightInd w:val="0"/>
        <w:ind w:firstLine="480"/>
      </w:pPr>
      <w:r>
        <w:rPr>
          <w:position w:val="-10"/>
        </w:rPr>
        <w:object>
          <v:shape id="_x0000_i1042" o:spt="75" type="#_x0000_t75" style="height:18.35pt;width:17pt;" o:ole="t" filled="f" o:preferrelative="t" stroked="f" coordsize="21600,21600">
            <v:path/>
            <v:fill on="f" focussize="0,0"/>
            <v:stroke on="f" joinstyle="miter"/>
            <v:imagedata r:id="rId71" o:title=""/>
            <o:lock v:ext="edit" aspectratio="t"/>
            <w10:wrap type="none"/>
            <w10:anchorlock/>
          </v:shape>
          <o:OLEObject Type="Embed" ProgID="Equation.3" ShapeID="_x0000_i1042" DrawAspect="Content" ObjectID="_1468075757" r:id="rId70">
            <o:LockedField>false</o:LockedField>
          </o:OLEObject>
        </w:object>
      </w:r>
      <w:r>
        <w:t>—半径测量重复性，mm；</w:t>
      </w:r>
    </w:p>
    <w:p w14:paraId="1996B23C">
      <w:pPr>
        <w:tabs>
          <w:tab w:val="left" w:pos="510"/>
        </w:tabs>
        <w:autoSpaceDE w:val="0"/>
        <w:autoSpaceDN w:val="0"/>
        <w:adjustRightInd w:val="0"/>
        <w:ind w:firstLine="480"/>
      </w:pPr>
      <w:r>
        <w:rPr>
          <w:szCs w:val="21"/>
        </w:rPr>
        <w:tab/>
      </w:r>
      <w:r>
        <w:rPr>
          <w:position w:val="-12"/>
        </w:rPr>
        <w:object>
          <v:shape id="_x0000_i1043" o:spt="75" type="#_x0000_t75" style="height:19pt;width:42.8pt;" o:ole="t" filled="f" o:preferrelative="t" stroked="f" coordsize="21600,21600">
            <v:path/>
            <v:fill on="f" focussize="0,0"/>
            <v:stroke on="f" joinstyle="miter"/>
            <v:imagedata r:id="rId73" o:title=""/>
            <o:lock v:ext="edit" aspectratio="t"/>
            <w10:wrap type="none"/>
            <w10:anchorlock/>
          </v:shape>
          <o:OLEObject Type="Embed" ProgID="Equation.3" ShapeID="_x0000_i1043" DrawAspect="Content" ObjectID="_1468075758" r:id="rId72">
            <o:LockedField>false</o:LockedField>
          </o:OLEObject>
        </w:object>
      </w:r>
      <w:r>
        <w:t>—三次测量最大值，mm；</w:t>
      </w:r>
    </w:p>
    <w:p w14:paraId="112903DE">
      <w:pPr>
        <w:tabs>
          <w:tab w:val="left" w:pos="510"/>
        </w:tabs>
        <w:autoSpaceDE w:val="0"/>
        <w:autoSpaceDN w:val="0"/>
        <w:adjustRightInd w:val="0"/>
        <w:ind w:firstLine="480"/>
        <w:rPr>
          <w:szCs w:val="21"/>
        </w:rPr>
      </w:pPr>
      <w:r>
        <w:rPr>
          <w:position w:val="-12"/>
        </w:rPr>
        <w:object>
          <v:shape id="_x0000_i1044" o:spt="75" type="#_x0000_t75" style="height:19pt;width:42.1pt;" o:ole="t" filled="f" o:preferrelative="t" stroked="f" coordsize="21600,21600">
            <v:path/>
            <v:fill on="f" focussize="0,0"/>
            <v:stroke on="f" joinstyle="miter"/>
            <v:imagedata r:id="rId75" o:title=""/>
            <o:lock v:ext="edit" aspectratio="t"/>
            <w10:wrap type="none"/>
            <w10:anchorlock/>
          </v:shape>
          <o:OLEObject Type="Embed" ProgID="Equation.3" ShapeID="_x0000_i1044" DrawAspect="Content" ObjectID="_1468075759" r:id="rId74">
            <o:LockedField>false</o:LockedField>
          </o:OLEObject>
        </w:object>
      </w:r>
      <w:r>
        <w:t>—三次测量最小值，mm。</w:t>
      </w:r>
    </w:p>
    <w:p w14:paraId="57A7F985">
      <w:pPr>
        <w:numPr>
          <w:ilvl w:val="0"/>
          <w:numId w:val="15"/>
        </w:numPr>
        <w:autoSpaceDE w:val="0"/>
        <w:autoSpaceDN w:val="0"/>
        <w:adjustRightInd w:val="0"/>
        <w:spacing w:line="400" w:lineRule="exact"/>
        <w:rPr>
          <w:szCs w:val="21"/>
        </w:rPr>
      </w:pPr>
      <w:r>
        <w:rPr>
          <w:rFonts w:hint="eastAsia"/>
          <w:szCs w:val="21"/>
        </w:rPr>
        <w:t>角度测量示值误差</w:t>
      </w:r>
    </w:p>
    <w:p w14:paraId="2A4688FD">
      <w:pPr>
        <w:autoSpaceDE w:val="0"/>
        <w:autoSpaceDN w:val="0"/>
        <w:adjustRightInd w:val="0"/>
        <w:ind w:firstLine="480"/>
        <w:rPr>
          <w:szCs w:val="21"/>
        </w:rPr>
      </w:pPr>
      <w:r>
        <w:rPr>
          <w:rFonts w:hint="eastAsia"/>
          <w:szCs w:val="21"/>
        </w:rPr>
        <w:t>将四等棱体放置于轮廓仪工作台上，先调整棱体的侧边平行于触针滑行方向，然后测量棱体各相邻工作面的角值。重复以上步骤，连续三次测量棱体其中各相邻工作面的角值</w:t>
      </w:r>
      <w:r>
        <w:rPr>
          <w:position w:val="-10"/>
          <w:szCs w:val="21"/>
        </w:rPr>
        <w:object>
          <v:shape id="_x0000_i1045" o:spt="75" type="#_x0000_t75" style="height:18.35pt;width:14.25pt;" o:ole="t" filled="f" o:preferrelative="t" stroked="f" coordsize="21600,21600">
            <v:path/>
            <v:fill on="f" focussize="0,0"/>
            <v:stroke on="f" joinstyle="miter"/>
            <v:imagedata r:id="rId77" o:title=""/>
            <o:lock v:ext="edit" aspectratio="t"/>
            <w10:wrap type="none"/>
            <w10:anchorlock/>
          </v:shape>
          <o:OLEObject Type="Embed" ProgID="Equation.3" ShapeID="_x0000_i1045" DrawAspect="Content" ObjectID="_1468075760" r:id="rId76">
            <o:LockedField>false</o:LockedField>
          </o:OLEObject>
        </w:object>
      </w:r>
      <w:r>
        <w:rPr>
          <w:rFonts w:hint="eastAsia"/>
          <w:szCs w:val="21"/>
        </w:rPr>
        <w:t>，三次测量平均角值与棱体工作角标称角值之差为各角度测量示值误差，取其最大值为角度测量示值误差，见公式（</w:t>
      </w:r>
      <w:r>
        <w:rPr>
          <w:rFonts w:hint="eastAsia"/>
          <w:szCs w:val="21"/>
          <w:lang w:val="en-US" w:eastAsia="zh-CN"/>
        </w:rPr>
        <w:t>6</w:t>
      </w:r>
      <w:r>
        <w:rPr>
          <w:rFonts w:hint="eastAsia"/>
          <w:szCs w:val="21"/>
        </w:rPr>
        <w:t>）。</w:t>
      </w:r>
    </w:p>
    <w:p w14:paraId="6E8DD038">
      <w:pPr>
        <w:autoSpaceDE w:val="0"/>
        <w:autoSpaceDN w:val="0"/>
        <w:adjustRightInd w:val="0"/>
        <w:ind w:firstLine="480"/>
        <w:jc w:val="right"/>
        <w:rPr>
          <w:szCs w:val="21"/>
        </w:rPr>
      </w:pPr>
      <w:r>
        <w:rPr>
          <w:position w:val="-24"/>
          <w:szCs w:val="21"/>
        </w:rPr>
        <w:object>
          <v:shape id="_x0000_i1046" o:spt="75" type="#_x0000_t75" style="height:48.9pt;width:93.05pt;" o:ole="t" filled="f" o:preferrelative="t" stroked="f" coordsize="21600,21600">
            <v:path/>
            <v:fill on="f" focussize="0,0"/>
            <v:stroke on="f" joinstyle="miter"/>
            <v:imagedata r:id="rId79" o:title=""/>
            <o:lock v:ext="edit" aspectratio="t"/>
            <w10:wrap type="none"/>
            <w10:anchorlock/>
          </v:shape>
          <o:OLEObject Type="Embed" ProgID="Equation.3" ShapeID="_x0000_i1046" DrawAspect="Content" ObjectID="_1468075761" r:id="rId78">
            <o:LockedField>false</o:LockedField>
          </o:OLEObject>
        </w:object>
      </w:r>
      <w:r>
        <w:rPr>
          <w:rFonts w:hint="eastAsia"/>
          <w:szCs w:val="21"/>
        </w:rPr>
        <w:t xml:space="preserve">                              </w:t>
      </w:r>
      <w:r>
        <w:rPr>
          <w:szCs w:val="21"/>
        </w:rPr>
        <w:t>（</w:t>
      </w:r>
      <w:r>
        <w:rPr>
          <w:rFonts w:hint="eastAsia"/>
          <w:szCs w:val="21"/>
          <w:lang w:val="en-US" w:eastAsia="zh-CN"/>
        </w:rPr>
        <w:t>6</w:t>
      </w:r>
      <w:r>
        <w:rPr>
          <w:szCs w:val="21"/>
        </w:rPr>
        <w:t>）</w:t>
      </w:r>
    </w:p>
    <w:p w14:paraId="0C5F2F0F">
      <w:pPr>
        <w:autoSpaceDE w:val="0"/>
        <w:autoSpaceDN w:val="0"/>
        <w:adjustRightInd w:val="0"/>
        <w:ind w:firstLine="480"/>
        <w:rPr>
          <w:szCs w:val="21"/>
        </w:rPr>
      </w:pPr>
      <w:r>
        <w:rPr>
          <w:szCs w:val="21"/>
        </w:rPr>
        <w:t>式中：</w:t>
      </w:r>
    </w:p>
    <w:p w14:paraId="0E6C65A4">
      <w:pPr>
        <w:autoSpaceDE w:val="0"/>
        <w:autoSpaceDN w:val="0"/>
        <w:adjustRightInd w:val="0"/>
        <w:ind w:firstLine="480"/>
      </w:pPr>
      <w:r>
        <w:rPr>
          <w:position w:val="-14"/>
        </w:rPr>
        <w:object>
          <v:shape id="_x0000_i1047" o:spt="75" type="#_x0000_t75" style="height:20.4pt;width:12.9pt;" o:ole="t" filled="f" o:preferrelative="t" stroked="f" coordsize="21600,21600">
            <v:path/>
            <v:fill on="f" focussize="0,0"/>
            <v:stroke on="f" joinstyle="miter"/>
            <v:imagedata r:id="rId81" o:title=""/>
            <o:lock v:ext="edit" aspectratio="t"/>
            <w10:wrap type="none"/>
            <w10:anchorlock/>
          </v:shape>
          <o:OLEObject Type="Embed" ProgID="Equation.3" ShapeID="_x0000_i1047" DrawAspect="Content" ObjectID="_1468075762" r:id="rId80">
            <o:LockedField>false</o:LockedField>
          </o:OLEObject>
        </w:object>
      </w:r>
      <w:r>
        <w:t>—</w:t>
      </w:r>
      <w:r>
        <w:rPr>
          <w:rFonts w:hint="eastAsia"/>
        </w:rPr>
        <w:t>各</w:t>
      </w:r>
      <w:r>
        <w:t>相邻工作面角度测量示值误差，j</w:t>
      </w:r>
      <w:r>
        <w:rPr>
          <w:rFonts w:hint="eastAsia"/>
        </w:rPr>
        <w:t>=1,2,3,4，…，</w:t>
      </w:r>
      <w:r>
        <w:t>′；</w:t>
      </w:r>
    </w:p>
    <w:p w14:paraId="6C63313C">
      <w:pPr>
        <w:autoSpaceDE w:val="0"/>
        <w:autoSpaceDN w:val="0"/>
        <w:adjustRightInd w:val="0"/>
        <w:ind w:firstLine="480"/>
      </w:pPr>
      <w:r>
        <w:rPr>
          <w:position w:val="-12"/>
        </w:rPr>
        <w:object>
          <v:shape id="_x0000_i1048" o:spt="75" type="#_x0000_t75" style="height:19pt;width:17pt;" o:ole="t" filled="f" o:preferrelative="t" stroked="f" coordsize="21600,21600">
            <v:path/>
            <v:fill on="f" focussize="0,0"/>
            <v:stroke on="f" joinstyle="miter"/>
            <v:imagedata r:id="rId83" o:title=""/>
            <o:lock v:ext="edit" aspectratio="t"/>
            <w10:wrap type="none"/>
            <w10:anchorlock/>
          </v:shape>
          <o:OLEObject Type="Embed" ProgID="Equation.3" ShapeID="_x0000_i1048" DrawAspect="Content" ObjectID="_1468075763" r:id="rId82">
            <o:LockedField>false</o:LockedField>
          </o:OLEObject>
        </w:object>
      </w:r>
      <w:r>
        <w:t>—</w:t>
      </w:r>
      <w:r>
        <w:rPr>
          <w:rFonts w:hint="eastAsia"/>
        </w:rPr>
        <w:t>各</w:t>
      </w:r>
      <w:r>
        <w:t>相邻工作面角度三次测量值，j</w:t>
      </w:r>
      <w:r>
        <w:rPr>
          <w:rFonts w:hint="eastAsia"/>
        </w:rPr>
        <w:t>=1,2,3,4，…，</w:t>
      </w:r>
      <w:r>
        <w:rPr>
          <w:i/>
        </w:rPr>
        <w:t>i</w:t>
      </w:r>
      <w:r>
        <w:rPr>
          <w:rFonts w:hint="eastAsia"/>
        </w:rPr>
        <w:t>=1,2,3，′；</w:t>
      </w:r>
    </w:p>
    <w:p w14:paraId="23F641B7">
      <w:pPr>
        <w:autoSpaceDE w:val="0"/>
        <w:autoSpaceDN w:val="0"/>
        <w:adjustRightInd w:val="0"/>
        <w:ind w:firstLine="480"/>
      </w:pPr>
      <w:r>
        <w:rPr>
          <w:position w:val="-12"/>
        </w:rPr>
        <w:object>
          <v:shape id="_x0000_i1049" o:spt="75" type="#_x0000_t75" style="height:19pt;width:12.9pt;" o:ole="t" filled="f" o:preferrelative="t" stroked="f" coordsize="21600,21600">
            <v:path/>
            <v:fill on="f" focussize="0,0"/>
            <v:stroke on="f" joinstyle="miter"/>
            <v:imagedata r:id="rId85" o:title=""/>
            <o:lock v:ext="edit" aspectratio="t"/>
            <w10:wrap type="none"/>
            <w10:anchorlock/>
          </v:shape>
          <o:OLEObject Type="Embed" ProgID="Equation.3" ShapeID="_x0000_i1049" DrawAspect="Content" ObjectID="_1468075764" r:id="rId84">
            <o:LockedField>false</o:LockedField>
          </o:OLEObject>
        </w:object>
      </w:r>
      <w:r>
        <w:t>—相邻工作面标称值，′。</w:t>
      </w:r>
    </w:p>
    <w:p w14:paraId="6C639A80">
      <w:pPr>
        <w:numPr>
          <w:ilvl w:val="0"/>
          <w:numId w:val="15"/>
        </w:numPr>
        <w:autoSpaceDE w:val="0"/>
        <w:autoSpaceDN w:val="0"/>
        <w:adjustRightInd w:val="0"/>
        <w:spacing w:line="400" w:lineRule="exact"/>
        <w:rPr>
          <w:szCs w:val="21"/>
        </w:rPr>
      </w:pPr>
      <w:r>
        <w:rPr>
          <w:rFonts w:hint="eastAsia"/>
          <w:szCs w:val="21"/>
        </w:rPr>
        <w:t>角度测量重复性</w:t>
      </w:r>
    </w:p>
    <w:p w14:paraId="2CE75677">
      <w:pPr>
        <w:autoSpaceDE w:val="0"/>
        <w:autoSpaceDN w:val="0"/>
        <w:adjustRightInd w:val="0"/>
        <w:ind w:firstLine="480"/>
        <w:rPr>
          <w:szCs w:val="21"/>
        </w:rPr>
      </w:pPr>
      <w:r>
        <w:rPr>
          <w:rFonts w:hint="eastAsia"/>
          <w:szCs w:val="21"/>
        </w:rPr>
        <w:t>将四等棱体放置于轮廓仪工作台上，调整棱体的侧边平行于触针滑行方向，对四等棱体任一工作角重复测量三次，按极差法计算实验标准偏差作为角度测量重复性，见公式（</w:t>
      </w:r>
      <w:r>
        <w:rPr>
          <w:rFonts w:hint="eastAsia"/>
          <w:szCs w:val="21"/>
          <w:lang w:val="en-US" w:eastAsia="zh-CN"/>
        </w:rPr>
        <w:t>7</w:t>
      </w:r>
      <w:r>
        <w:rPr>
          <w:rFonts w:hint="eastAsia"/>
          <w:szCs w:val="21"/>
        </w:rPr>
        <w:t>）。</w:t>
      </w:r>
    </w:p>
    <w:p w14:paraId="168FAF62">
      <w:pPr>
        <w:autoSpaceDE w:val="0"/>
        <w:autoSpaceDN w:val="0"/>
        <w:adjustRightInd w:val="0"/>
        <w:ind w:firstLine="480"/>
        <w:jc w:val="right"/>
        <w:rPr>
          <w:szCs w:val="21"/>
        </w:rPr>
      </w:pPr>
      <w:r>
        <w:rPr>
          <w:position w:val="-24"/>
          <w:szCs w:val="21"/>
        </w:rPr>
        <w:object>
          <v:shape id="_x0000_i1050" o:spt="75" type="#_x0000_t75" style="height:33.3pt;width:135.15pt;" o:ole="t" filled="f" o:preferrelative="t" stroked="f" coordsize="21600,21600">
            <v:path/>
            <v:fill on="f" focussize="0,0"/>
            <v:stroke on="f" joinstyle="miter"/>
            <v:imagedata r:id="rId87" o:title=""/>
            <o:lock v:ext="edit" aspectratio="t"/>
            <w10:wrap type="none"/>
            <w10:anchorlock/>
          </v:shape>
          <o:OLEObject Type="Embed" ProgID="Equation.3" ShapeID="_x0000_i1050" DrawAspect="Content" ObjectID="_1468075765" r:id="rId86">
            <o:LockedField>false</o:LockedField>
          </o:OLEObject>
        </w:object>
      </w:r>
      <w:r>
        <w:rPr>
          <w:rFonts w:hint="eastAsia"/>
          <w:szCs w:val="21"/>
        </w:rPr>
        <w:t xml:space="preserve">                          </w:t>
      </w:r>
      <w:r>
        <w:rPr>
          <w:szCs w:val="21"/>
        </w:rPr>
        <w:t>（</w:t>
      </w:r>
      <w:r>
        <w:rPr>
          <w:rFonts w:hint="eastAsia"/>
          <w:szCs w:val="21"/>
          <w:lang w:val="en-US" w:eastAsia="zh-CN"/>
        </w:rPr>
        <w:t>7</w:t>
      </w:r>
      <w:r>
        <w:rPr>
          <w:szCs w:val="21"/>
        </w:rPr>
        <w:t>）</w:t>
      </w:r>
    </w:p>
    <w:p w14:paraId="41C5ADCA">
      <w:pPr>
        <w:autoSpaceDE w:val="0"/>
        <w:autoSpaceDN w:val="0"/>
        <w:adjustRightInd w:val="0"/>
        <w:ind w:firstLine="480"/>
        <w:rPr>
          <w:szCs w:val="21"/>
        </w:rPr>
      </w:pPr>
      <w:r>
        <w:rPr>
          <w:szCs w:val="21"/>
        </w:rPr>
        <w:t>式中：</w:t>
      </w:r>
    </w:p>
    <w:p w14:paraId="6636F579">
      <w:pPr>
        <w:autoSpaceDE w:val="0"/>
        <w:autoSpaceDN w:val="0"/>
        <w:adjustRightInd w:val="0"/>
        <w:ind w:firstLine="480"/>
      </w:pPr>
      <w:r>
        <w:rPr>
          <w:position w:val="-12"/>
        </w:rPr>
        <w:object>
          <v:shape id="_x0000_i1051" o:spt="75" type="#_x0000_t75" style="height:19pt;width:15.6pt;" o:ole="t" filled="f" o:preferrelative="t" stroked="f" coordsize="21600,21600">
            <v:path/>
            <v:fill on="f" focussize="0,0"/>
            <v:stroke on="f" joinstyle="miter"/>
            <v:imagedata r:id="rId89" o:title=""/>
            <o:lock v:ext="edit" aspectratio="t"/>
            <w10:wrap type="none"/>
            <w10:anchorlock/>
          </v:shape>
          <o:OLEObject Type="Embed" ProgID="Equation.3" ShapeID="_x0000_i1051" DrawAspect="Content" ObjectID="_1468075766" r:id="rId88">
            <o:LockedField>false</o:LockedField>
          </o:OLEObject>
        </w:object>
      </w:r>
      <w:r>
        <w:t>—半径测量重复性，mm；</w:t>
      </w:r>
    </w:p>
    <w:p w14:paraId="041AC195">
      <w:pPr>
        <w:tabs>
          <w:tab w:val="left" w:pos="510"/>
        </w:tabs>
        <w:autoSpaceDE w:val="0"/>
        <w:autoSpaceDN w:val="0"/>
        <w:adjustRightInd w:val="0"/>
        <w:ind w:firstLine="480"/>
      </w:pPr>
      <w:r>
        <w:rPr>
          <w:szCs w:val="21"/>
        </w:rPr>
        <w:tab/>
      </w:r>
      <w:r>
        <w:rPr>
          <w:position w:val="-12"/>
        </w:rPr>
        <w:object>
          <v:shape id="_x0000_i1052" o:spt="75" type="#_x0000_t75" style="height:19pt;width:44.85pt;" o:ole="t" filled="f" o:preferrelative="t" stroked="f" coordsize="21600,21600">
            <v:path/>
            <v:fill on="f" focussize="0,0"/>
            <v:stroke on="f" joinstyle="miter"/>
            <v:imagedata r:id="rId91" o:title=""/>
            <o:lock v:ext="edit" aspectratio="t"/>
            <w10:wrap type="none"/>
            <w10:anchorlock/>
          </v:shape>
          <o:OLEObject Type="Embed" ProgID="Equation.3" ShapeID="_x0000_i1052" DrawAspect="Content" ObjectID="_1468075767" r:id="rId90">
            <o:LockedField>false</o:LockedField>
          </o:OLEObject>
        </w:object>
      </w:r>
      <w:r>
        <w:t>—三次测量最大值，mm；</w:t>
      </w:r>
    </w:p>
    <w:p w14:paraId="68BE4227">
      <w:pPr>
        <w:tabs>
          <w:tab w:val="left" w:pos="510"/>
        </w:tabs>
        <w:autoSpaceDE w:val="0"/>
        <w:autoSpaceDN w:val="0"/>
        <w:adjustRightInd w:val="0"/>
        <w:ind w:firstLine="480"/>
        <w:rPr>
          <w:szCs w:val="21"/>
        </w:rPr>
      </w:pPr>
      <w:r>
        <w:rPr>
          <w:position w:val="-12"/>
        </w:rPr>
        <w:object>
          <v:shape id="_x0000_i1053" o:spt="75" type="#_x0000_t75" style="height:19pt;width:42.8pt;" o:ole="t" filled="f" o:preferrelative="t" stroked="f" coordsize="21600,21600">
            <v:path/>
            <v:fill on="f" focussize="0,0"/>
            <v:stroke on="f" joinstyle="miter"/>
            <v:imagedata r:id="rId93" o:title=""/>
            <o:lock v:ext="edit" aspectratio="t"/>
            <w10:wrap type="none"/>
            <w10:anchorlock/>
          </v:shape>
          <o:OLEObject Type="Embed" ProgID="Equation.3" ShapeID="_x0000_i1053" DrawAspect="Content" ObjectID="_1468075768" r:id="rId92">
            <o:LockedField>false</o:LockedField>
          </o:OLEObject>
        </w:object>
      </w:r>
      <w:r>
        <w:t>—三次测量最小值，mm。</w:t>
      </w:r>
    </w:p>
    <w:bookmarkEnd w:id="61"/>
    <w:bookmarkEnd w:id="62"/>
    <w:p w14:paraId="4A6DF5C0">
      <w:pPr>
        <w:pStyle w:val="4"/>
        <w:spacing w:before="156" w:after="156"/>
        <w:rPr>
          <w:b w:val="0"/>
          <w:bCs w:val="0"/>
        </w:rPr>
      </w:pPr>
      <w:bookmarkStart w:id="68" w:name="_Toc193860219"/>
      <w:bookmarkStart w:id="69" w:name="_Toc193619101"/>
      <w:bookmarkStart w:id="70" w:name="_Toc193618956"/>
      <w:bookmarkStart w:id="71" w:name="_Toc193860188"/>
      <w:bookmarkStart w:id="72" w:name="_Toc193860038"/>
      <w:bookmarkStart w:id="73" w:name="_Toc193619059"/>
      <w:bookmarkStart w:id="74" w:name="_Toc25466_WPSOffice_Level1"/>
      <w:bookmarkStart w:id="75" w:name="_Toc500258947"/>
      <w:r>
        <w:rPr>
          <w:rFonts w:hint="eastAsia"/>
          <w:b w:val="0"/>
          <w:bCs w:val="0"/>
        </w:rPr>
        <w:t>7 校准结果</w:t>
      </w:r>
      <w:bookmarkEnd w:id="68"/>
      <w:bookmarkEnd w:id="69"/>
      <w:bookmarkEnd w:id="70"/>
      <w:bookmarkEnd w:id="71"/>
      <w:bookmarkEnd w:id="72"/>
      <w:bookmarkEnd w:id="73"/>
      <w:r>
        <w:rPr>
          <w:rFonts w:hint="eastAsia"/>
          <w:b w:val="0"/>
          <w:bCs w:val="0"/>
        </w:rPr>
        <w:t>表达</w:t>
      </w:r>
      <w:bookmarkEnd w:id="74"/>
      <w:bookmarkEnd w:id="75"/>
    </w:p>
    <w:p w14:paraId="62862ACB">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08E058EC">
      <w:pPr>
        <w:pStyle w:val="4"/>
        <w:spacing w:before="156" w:after="156"/>
        <w:rPr>
          <w:b w:val="0"/>
          <w:bCs w:val="0"/>
        </w:rPr>
      </w:pPr>
      <w:bookmarkStart w:id="76" w:name="_Toc5529"/>
      <w:bookmarkStart w:id="77" w:name="_Toc193860040"/>
      <w:bookmarkStart w:id="78" w:name="_Toc14803_WPSOffice_Level1"/>
      <w:bookmarkStart w:id="79" w:name="_Toc193860220"/>
      <w:bookmarkStart w:id="80" w:name="_Toc193860189"/>
      <w:bookmarkStart w:id="81" w:name="_Toc193860041"/>
      <w:r>
        <w:rPr>
          <w:rFonts w:hint="eastAsia"/>
          <w:b w:val="0"/>
          <w:bCs w:val="0"/>
        </w:rPr>
        <w:t>8 复校</w:t>
      </w:r>
      <w:bookmarkEnd w:id="76"/>
      <w:bookmarkEnd w:id="77"/>
      <w:bookmarkEnd w:id="78"/>
      <w:bookmarkEnd w:id="79"/>
      <w:bookmarkEnd w:id="80"/>
      <w:r>
        <w:rPr>
          <w:rFonts w:hint="eastAsia"/>
          <w:b w:val="0"/>
          <w:bCs w:val="0"/>
        </w:rPr>
        <w:t>时间间隔</w:t>
      </w:r>
    </w:p>
    <w:bookmarkEnd w:id="81"/>
    <w:p w14:paraId="290BDE42">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14:paraId="6AD705C8">
      <w:pPr>
        <w:pStyle w:val="4"/>
        <w:spacing w:before="156" w:after="156"/>
        <w:rPr>
          <w:b w:val="0"/>
          <w:bCs w:val="0"/>
        </w:rPr>
      </w:pPr>
      <w:r>
        <w:rPr>
          <w:rFonts w:hint="eastAsia"/>
          <w:b w:val="0"/>
          <w:bCs w:val="0"/>
        </w:rPr>
        <w:t>9附录</w:t>
      </w:r>
    </w:p>
    <w:p w14:paraId="5982CC64">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附录主要包含校准原始记录参考格式、校准证书内页参考格式、刻线机示值误差测量不确定度评定示例。</w:t>
      </w:r>
    </w:p>
    <w:p w14:paraId="154467E7">
      <w:pPr>
        <w:adjustRightInd w:val="0"/>
        <w:snapToGrid w:val="0"/>
        <w:spacing w:line="360" w:lineRule="auto"/>
        <w:ind w:firstLine="420" w:firstLineChars="200"/>
      </w:pPr>
      <w:r>
        <w:rPr>
          <w:rFonts w:hint="eastAsia"/>
        </w:rPr>
        <w:t>本规范设置了</w:t>
      </w:r>
      <w:r>
        <w:t>3</w:t>
      </w:r>
      <w:r>
        <w:rPr>
          <w:rFonts w:hint="eastAsia"/>
        </w:rPr>
        <w:t>个附录，便于校准时参考和规范。</w:t>
      </w:r>
    </w:p>
    <w:p w14:paraId="1DF0CC5D">
      <w:pPr>
        <w:adjustRightInd w:val="0"/>
        <w:snapToGrid w:val="0"/>
        <w:spacing w:line="360" w:lineRule="auto"/>
        <w:ind w:firstLine="420" w:firstLineChars="200"/>
      </w:pPr>
      <w:r>
        <w:rPr>
          <w:rFonts w:hint="eastAsia"/>
        </w:rPr>
        <w:t>附录A校准记录参考格式</w:t>
      </w:r>
    </w:p>
    <w:p w14:paraId="252EB0AD">
      <w:pPr>
        <w:adjustRightInd w:val="0"/>
        <w:snapToGrid w:val="0"/>
        <w:spacing w:line="360" w:lineRule="auto"/>
        <w:ind w:firstLine="420" w:firstLineChars="200"/>
      </w:pPr>
      <w:r>
        <w:rPr>
          <w:rFonts w:hint="eastAsia"/>
        </w:rPr>
        <w:t>附录B校准证书内页参考格式</w:t>
      </w:r>
    </w:p>
    <w:p w14:paraId="09DA967D">
      <w:pPr>
        <w:adjustRightInd w:val="0"/>
        <w:snapToGrid w:val="0"/>
        <w:spacing w:line="360" w:lineRule="auto"/>
        <w:ind w:firstLine="420" w:firstLineChars="200"/>
      </w:pPr>
      <w:r>
        <w:rPr>
          <w:rFonts w:hint="eastAsia"/>
        </w:rPr>
        <w:t>附录C轮廓仪示值误差测量不确定度评定示例</w:t>
      </w:r>
    </w:p>
    <w:bookmarkEnd w:id="1"/>
    <w:bookmarkEnd w:id="19"/>
    <w:p w14:paraId="42989149">
      <w:pPr>
        <w:pStyle w:val="2"/>
        <w:spacing w:before="156" w:after="156"/>
        <w:rPr>
          <w:b w:val="0"/>
          <w:bCs w:val="0"/>
        </w:rPr>
      </w:pPr>
      <w:bookmarkStart w:id="82" w:name="_Toc464728965"/>
      <w:r>
        <w:rPr>
          <w:rFonts w:hint="eastAsia"/>
          <w:b w:val="0"/>
          <w:bCs w:val="0"/>
        </w:rPr>
        <w:t>三、实践检测情况</w:t>
      </w:r>
    </w:p>
    <w:p w14:paraId="42E53E92">
      <w:pPr>
        <w:adjustRightInd w:val="0"/>
        <w:spacing w:line="360" w:lineRule="auto"/>
        <w:ind w:firstLine="420" w:firstLineChars="200"/>
      </w:pPr>
      <w:r>
        <w:rPr>
          <w:rFonts w:hint="eastAsia"/>
        </w:rPr>
        <w:t>XXX</w:t>
      </w:r>
      <w:r>
        <w:t>公司</w:t>
      </w:r>
      <w:r>
        <w:rPr>
          <w:rFonts w:hint="eastAsia"/>
        </w:rPr>
        <w:t>、XXX公司、XX公司</w:t>
      </w:r>
      <w:r>
        <w:t>根据本规范</w:t>
      </w:r>
      <w:r>
        <w:rPr>
          <w:rFonts w:hint="eastAsia"/>
        </w:rPr>
        <w:t>的校准项目</w:t>
      </w:r>
      <w:r>
        <w:t>对</w:t>
      </w:r>
      <w:r>
        <w:rPr>
          <w:rFonts w:hint="eastAsia"/>
        </w:rPr>
        <w:t>XXX</w:t>
      </w:r>
      <w:r>
        <w:t>进行了全计量特性的校准，内容详见校准报告。</w:t>
      </w:r>
    </w:p>
    <w:p w14:paraId="2F2433CA">
      <w:pPr>
        <w:pStyle w:val="2"/>
        <w:spacing w:before="156" w:after="156"/>
        <w:rPr>
          <w:b w:val="0"/>
          <w:bCs w:val="0"/>
        </w:rPr>
      </w:pPr>
      <w:r>
        <w:rPr>
          <w:rFonts w:hint="eastAsia"/>
          <w:b w:val="0"/>
          <w:bCs w:val="0"/>
        </w:rPr>
        <w:t>四、规范水平分析</w:t>
      </w:r>
      <w:bookmarkEnd w:id="82"/>
    </w:p>
    <w:p w14:paraId="4293ED62">
      <w:pPr>
        <w:adjustRightInd w:val="0"/>
        <w:spacing w:line="360" w:lineRule="auto"/>
        <w:ind w:firstLine="420" w:firstLineChars="200"/>
        <w:rPr>
          <w:rFonts w:ascii="宋体" w:hAnsi="宋体"/>
          <w:szCs w:val="21"/>
        </w:rPr>
      </w:pPr>
      <w:r>
        <w:rPr>
          <w:rFonts w:hint="eastAsia"/>
          <w:szCs w:val="21"/>
        </w:rPr>
        <w:t>国内对轮廓仪的校准方法研究有JJF（冀）3012-2021《触针式电动轮廓仪校准规范》、JJF（鲁）127-2022《接触（触针式）表面轮廓测量仪校准规范》，本规范的提出在校准方法上提供了更为准确的解释和描述，符合实际校准工作要求。本次所提出的轮廓仪校准规范望能开展对轮廓仪的校准工作，确保校准方法的合理性以及试验结果的可信度，填补有色金属行业以及计量行业领域空白，促进轮廓仪在有色金属行业中更合理、更准确的应用</w:t>
      </w:r>
      <w:r>
        <w:rPr>
          <w:rFonts w:hint="eastAsia" w:ascii="宋体" w:hAnsi="宋体"/>
          <w:szCs w:val="21"/>
        </w:rPr>
        <w:t>。</w:t>
      </w:r>
    </w:p>
    <w:p w14:paraId="6A2F28BD">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本规范的制定填补了有色金属行业XXX的校准空白，属于国内首创，水平达到国内领先/国际一般/国际先进。</w:t>
      </w:r>
      <w:r>
        <w:rPr>
          <w:rFonts w:hint="eastAsia"/>
          <w:color w:val="0000FF"/>
          <w:szCs w:val="21"/>
        </w:rPr>
        <w:t>（水平应与审查意见一致）</w:t>
      </w:r>
    </w:p>
    <w:p w14:paraId="025B9146">
      <w:pPr>
        <w:pStyle w:val="2"/>
        <w:spacing w:before="156" w:after="156"/>
        <w:rPr>
          <w:b w:val="0"/>
          <w:bCs w:val="0"/>
        </w:rPr>
      </w:pPr>
      <w:r>
        <w:rPr>
          <w:rFonts w:hint="eastAsia"/>
          <w:b w:val="0"/>
          <w:bCs w:val="0"/>
        </w:rPr>
        <w:t>五、与有关的现行法律、法规和强制性国家标准的关系</w:t>
      </w:r>
    </w:p>
    <w:p w14:paraId="35E72029">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169BD8D9">
      <w:pPr>
        <w:pStyle w:val="2"/>
        <w:spacing w:before="156" w:after="156"/>
        <w:rPr>
          <w:b w:val="0"/>
          <w:bCs w:val="0"/>
        </w:rPr>
      </w:pPr>
      <w:bookmarkStart w:id="83" w:name="_Toc464728973"/>
      <w:r>
        <w:rPr>
          <w:rFonts w:hint="eastAsia"/>
          <w:b w:val="0"/>
          <w:bCs w:val="0"/>
        </w:rPr>
        <w:t>六、规范中涉及的专利或知识产权说明</w:t>
      </w:r>
      <w:bookmarkEnd w:id="83"/>
    </w:p>
    <w:p w14:paraId="564323E4">
      <w:pPr>
        <w:pStyle w:val="58"/>
        <w:spacing w:line="300" w:lineRule="auto"/>
        <w:ind w:firstLineChars="0"/>
        <w:contextualSpacing/>
        <w:rPr>
          <w:szCs w:val="21"/>
        </w:rPr>
      </w:pPr>
      <w:bookmarkStart w:id="84" w:name="_Toc464728974"/>
      <w:r>
        <w:rPr>
          <w:rFonts w:hint="eastAsia"/>
          <w:szCs w:val="21"/>
        </w:rPr>
        <w:t>无。</w:t>
      </w:r>
    </w:p>
    <w:p w14:paraId="2CD92D53">
      <w:pPr>
        <w:pStyle w:val="2"/>
        <w:spacing w:before="156" w:after="156"/>
        <w:rPr>
          <w:b w:val="0"/>
          <w:bCs w:val="0"/>
        </w:rPr>
      </w:pPr>
      <w:r>
        <w:rPr>
          <w:rFonts w:hint="eastAsia"/>
          <w:b w:val="0"/>
          <w:bCs w:val="0"/>
        </w:rPr>
        <w:t>七、重大分歧意见的处理经过和依据</w:t>
      </w:r>
      <w:bookmarkEnd w:id="84"/>
    </w:p>
    <w:p w14:paraId="3F63A1FB">
      <w:pPr>
        <w:pStyle w:val="58"/>
        <w:spacing w:line="300" w:lineRule="auto"/>
        <w:ind w:firstLine="420"/>
        <w:contextualSpacing/>
        <w:rPr>
          <w:szCs w:val="21"/>
        </w:rPr>
      </w:pPr>
      <w:r>
        <w:rPr>
          <w:rFonts w:hint="eastAsia"/>
          <w:szCs w:val="21"/>
        </w:rPr>
        <w:t>无。</w:t>
      </w:r>
    </w:p>
    <w:p w14:paraId="37CB4016">
      <w:pPr>
        <w:pStyle w:val="2"/>
        <w:spacing w:before="156" w:after="156"/>
        <w:rPr>
          <w:b w:val="0"/>
          <w:bCs w:val="0"/>
        </w:rPr>
      </w:pPr>
      <w:r>
        <w:rPr>
          <w:rFonts w:hint="eastAsia"/>
          <w:b w:val="0"/>
          <w:bCs w:val="0"/>
        </w:rPr>
        <w:t>八、规范作为国家（或行业）计量技术规范的建议</w:t>
      </w:r>
    </w:p>
    <w:p w14:paraId="1AB6CA4A">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55904DFC">
      <w:pPr>
        <w:pStyle w:val="2"/>
        <w:spacing w:before="156" w:after="156"/>
        <w:rPr>
          <w:b w:val="0"/>
          <w:bCs w:val="0"/>
        </w:rPr>
      </w:pPr>
      <w:bookmarkStart w:id="85" w:name="_Toc464728976"/>
      <w:r>
        <w:rPr>
          <w:rFonts w:hint="eastAsia"/>
          <w:b w:val="0"/>
          <w:bCs w:val="0"/>
        </w:rPr>
        <w:t>九、贯彻规范的要求和措施建议</w:t>
      </w:r>
      <w:bookmarkEnd w:id="85"/>
    </w:p>
    <w:p w14:paraId="78D9DD36">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3462BD17">
      <w:pPr>
        <w:pStyle w:val="2"/>
        <w:spacing w:before="156" w:after="156"/>
        <w:rPr>
          <w:b w:val="0"/>
          <w:bCs w:val="0"/>
        </w:rPr>
      </w:pPr>
      <w:bookmarkStart w:id="86" w:name="_Toc464728977"/>
      <w:r>
        <w:rPr>
          <w:rFonts w:hint="eastAsia"/>
          <w:b w:val="0"/>
          <w:bCs w:val="0"/>
        </w:rPr>
        <w:t>十、废止现行有关规范的建议</w:t>
      </w:r>
      <w:bookmarkEnd w:id="86"/>
    </w:p>
    <w:p w14:paraId="658EB8F7">
      <w:pPr>
        <w:pStyle w:val="58"/>
        <w:spacing w:line="300" w:lineRule="auto"/>
        <w:ind w:firstLine="420"/>
        <w:contextualSpacing/>
        <w:rPr>
          <w:szCs w:val="21"/>
        </w:rPr>
      </w:pPr>
      <w:r>
        <w:rPr>
          <w:rFonts w:hint="eastAsia"/>
          <w:szCs w:val="21"/>
        </w:rPr>
        <w:t>无。</w:t>
      </w:r>
    </w:p>
    <w:p w14:paraId="6EBE9B58">
      <w:pPr>
        <w:pStyle w:val="2"/>
        <w:spacing w:before="156" w:after="156"/>
        <w:rPr>
          <w:b w:val="0"/>
          <w:bCs w:val="0"/>
        </w:rPr>
      </w:pPr>
      <w:r>
        <w:rPr>
          <w:rFonts w:hint="eastAsia"/>
          <w:b w:val="0"/>
          <w:bCs w:val="0"/>
        </w:rPr>
        <w:t>十一、预期效果</w:t>
      </w:r>
    </w:p>
    <w:p w14:paraId="52E4A30A">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rPr>
        <w:t>XXX</w:t>
      </w:r>
      <w:r>
        <w:rPr>
          <w:rFonts w:ascii="宋体" w:hAnsi="宋体"/>
          <w:kern w:val="0"/>
          <w:szCs w:val="21"/>
        </w:rPr>
        <w:t>校准方法不统一、校准方法差异化、计量标准技术指标不明确、校准点的选择不统一、</w:t>
      </w:r>
      <w:r>
        <w:rPr>
          <w:rFonts w:hint="eastAsia" w:ascii="宋体" w:hAnsi="宋体"/>
          <w:kern w:val="0"/>
          <w:szCs w:val="21"/>
        </w:rPr>
        <w:t>XXX</w:t>
      </w:r>
      <w:r>
        <w:rPr>
          <w:rFonts w:ascii="宋体" w:hAnsi="宋体"/>
          <w:kern w:val="0"/>
          <w:szCs w:val="21"/>
        </w:rPr>
        <w:t>的校准方法未规定等问题，弥补</w:t>
      </w:r>
      <w:r>
        <w:rPr>
          <w:rFonts w:hint="eastAsia" w:ascii="宋体" w:hAnsi="宋体"/>
          <w:kern w:val="0"/>
          <w:szCs w:val="21"/>
        </w:rPr>
        <w:t>XXXX</w:t>
      </w:r>
      <w:r>
        <w:rPr>
          <w:rFonts w:ascii="宋体" w:hAnsi="宋体"/>
          <w:kern w:val="0"/>
          <w:szCs w:val="21"/>
        </w:rPr>
        <w:t>校准的空白，</w:t>
      </w:r>
      <w:r>
        <w:rPr>
          <w:rFonts w:hint="eastAsia" w:ascii="宋体" w:hAnsi="宋体"/>
          <w:kern w:val="0"/>
          <w:szCs w:val="21"/>
        </w:rPr>
        <w:t>为保证XXXX测试结果的准确可靠</w:t>
      </w:r>
      <w:r>
        <w:rPr>
          <w:rFonts w:ascii="宋体" w:hAnsi="宋体"/>
          <w:kern w:val="0"/>
          <w:szCs w:val="21"/>
        </w:rPr>
        <w:t>提供保证，从而提高刻线精度的准确性。</w:t>
      </w:r>
    </w:p>
    <w:p w14:paraId="1F5CD586">
      <w:pPr>
        <w:pStyle w:val="2"/>
        <w:spacing w:before="156" w:after="156"/>
        <w:rPr>
          <w:b w:val="0"/>
          <w:bCs w:val="0"/>
        </w:rPr>
      </w:pPr>
      <w:r>
        <w:rPr>
          <w:rFonts w:hint="eastAsia"/>
          <w:b w:val="0"/>
          <w:bCs w:val="0"/>
        </w:rPr>
        <w:t>十一、其他应予说明的事项</w:t>
      </w:r>
    </w:p>
    <w:p w14:paraId="66B400C9">
      <w:pPr>
        <w:pStyle w:val="58"/>
        <w:spacing w:line="300" w:lineRule="auto"/>
        <w:ind w:firstLineChars="0"/>
        <w:contextualSpacing/>
        <w:rPr>
          <w:szCs w:val="21"/>
        </w:rPr>
      </w:pPr>
      <w:r>
        <w:rPr>
          <w:rFonts w:hint="eastAsia"/>
          <w:szCs w:val="21"/>
        </w:rPr>
        <w:t>无。</w:t>
      </w:r>
    </w:p>
    <w:p w14:paraId="10FF3D6C">
      <w:pPr>
        <w:pStyle w:val="58"/>
        <w:spacing w:line="300" w:lineRule="auto"/>
        <w:ind w:firstLineChars="0"/>
        <w:contextualSpacing/>
        <w:rPr>
          <w:szCs w:val="21"/>
        </w:rPr>
      </w:pPr>
    </w:p>
    <w:p w14:paraId="4695A106">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45365DCB">
      <w:pPr>
        <w:pStyle w:val="58"/>
        <w:spacing w:line="300" w:lineRule="auto"/>
        <w:ind w:firstLineChars="0"/>
        <w:contextualSpacing/>
        <w:jc w:val="right"/>
        <w:rPr>
          <w:rFonts w:ascii="Times New Roman" w:hAnsi="Times New Roman" w:eastAsia="黑体"/>
        </w:rPr>
      </w:pPr>
    </w:p>
    <w:p w14:paraId="7C03025D">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rPr>
        <w:t>接触（触针）式表面轮廓测量仪</w:t>
      </w:r>
      <w:r>
        <w:rPr>
          <w:rFonts w:ascii="Times New Roman" w:hAnsi="Times New Roman"/>
          <w:szCs w:val="21"/>
        </w:rPr>
        <w:t>校准规范</w:t>
      </w:r>
      <w:r>
        <w:rPr>
          <w:rFonts w:ascii="Times New Roman" w:hAnsi="Times New Roman" w:eastAsia="方正行楷简体"/>
          <w:szCs w:val="21"/>
        </w:rPr>
        <w:t xml:space="preserve">》编制组  </w:t>
      </w:r>
    </w:p>
    <w:p w14:paraId="3A3917FC">
      <w:pPr>
        <w:pStyle w:val="58"/>
        <w:spacing w:line="300" w:lineRule="auto"/>
        <w:ind w:firstLineChars="0"/>
        <w:contextualSpacing/>
        <w:jc w:val="right"/>
        <w:rPr>
          <w:szCs w:val="21"/>
        </w:rPr>
      </w:pPr>
      <w:r>
        <w:rPr>
          <w:rFonts w:ascii="Times New Roman" w:hAnsi="Times New Roman" w:eastAsia="方正行楷简体"/>
          <w:szCs w:val="21"/>
        </w:rPr>
        <w:t>202</w:t>
      </w:r>
      <w:r>
        <w:rPr>
          <w:rFonts w:hint="eastAsia" w:ascii="Times New Roman" w:hAnsi="Times New Roman" w:eastAsia="方正行楷简体"/>
          <w:szCs w:val="21"/>
        </w:rPr>
        <w:t>5</w:t>
      </w:r>
      <w:r>
        <w:rPr>
          <w:rFonts w:ascii="Times New Roman" w:hAnsi="Times New Roman" w:eastAsia="方正行楷简体"/>
          <w:szCs w:val="21"/>
        </w:rPr>
        <w:t>年</w:t>
      </w:r>
      <w:r>
        <w:rPr>
          <w:rFonts w:hint="eastAsia" w:ascii="Times New Roman" w:hAnsi="Times New Roman" w:eastAsia="方正行楷简体"/>
          <w:szCs w:val="21"/>
        </w:rPr>
        <w:t>X</w:t>
      </w:r>
      <w:r>
        <w:rPr>
          <w:rFonts w:ascii="Times New Roman" w:hAnsi="Times New Roman" w:eastAsia="方正行楷简体"/>
          <w:szCs w:val="21"/>
        </w:rPr>
        <w:t>月</w:t>
      </w:r>
      <w:r>
        <w:rPr>
          <w:rFonts w:hint="eastAsia" w:ascii="Times New Roman" w:hAnsi="Times New Roman" w:eastAsia="方正行楷简体"/>
          <w:szCs w:val="21"/>
        </w:rPr>
        <w:t>X</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2137">
    <w:pPr>
      <w:pStyle w:val="73"/>
      <w:jc w:val="center"/>
      <w:rPr>
        <w:rStyle w:val="45"/>
      </w:rPr>
    </w:pPr>
    <w:r>
      <w:fldChar w:fldCharType="begin"/>
    </w:r>
    <w:r>
      <w:rPr>
        <w:rStyle w:val="45"/>
      </w:rPr>
      <w:instrText xml:space="preserve">PAGE  </w:instrText>
    </w:r>
    <w:r>
      <w:fldChar w:fldCharType="separate"/>
    </w:r>
    <w:r>
      <w:rPr>
        <w:rStyle w:val="45"/>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EEA9">
    <w:pPr>
      <w:pStyle w:val="30"/>
      <w:jc w:val="both"/>
    </w:pPr>
  </w:p>
  <w:p w14:paraId="51BCD2D5">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B4D3">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973E57"/>
    <w:multiLevelType w:val="multilevel"/>
    <w:tmpl w:val="00973E57"/>
    <w:lvl w:ilvl="0" w:tentative="0">
      <w:start w:val="1"/>
      <w:numFmt w:val="decimal"/>
      <w:suff w:val="space"/>
      <w:lvlText w:val="6.%1"/>
      <w:lvlJc w:val="left"/>
      <w:pPr>
        <w:ind w:left="420" w:hanging="4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E3028A"/>
    <w:multiLevelType w:val="multilevel"/>
    <w:tmpl w:val="14E3028A"/>
    <w:lvl w:ilvl="0" w:tentative="0">
      <w:start w:val="1"/>
      <w:numFmt w:val="decimal"/>
      <w:lvlText w:val="2.%1"/>
      <w:lvlJc w:val="left"/>
      <w:pPr>
        <w:ind w:left="420" w:hanging="420"/>
      </w:pPr>
      <w:rPr>
        <w:rFonts w:hint="default"/>
      </w:rPr>
    </w:lvl>
    <w:lvl w:ilvl="1" w:tentative="0">
      <w:start w:val="1"/>
      <w:numFmt w:val="decimal"/>
      <w:lvlText w:val="4.%2"/>
      <w:lvlJc w:val="left"/>
      <w:pPr>
        <w:ind w:left="420" w:hanging="420"/>
      </w:pPr>
      <w:rPr>
        <w:rFonts w:hint="eastAsia"/>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413860"/>
    <w:multiLevelType w:val="multilevel"/>
    <w:tmpl w:val="2E4138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B91B78"/>
    <w:multiLevelType w:val="multilevel"/>
    <w:tmpl w:val="62B91B78"/>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E612EC"/>
    <w:multiLevelType w:val="multilevel"/>
    <w:tmpl w:val="6BE612EC"/>
    <w:lvl w:ilvl="0" w:tentative="0">
      <w:start w:val="2"/>
      <w:numFmt w:val="decimal"/>
      <w:lvlText w:val="6.2.%1"/>
      <w:lvlJc w:val="left"/>
      <w:pPr>
        <w:ind w:left="420" w:hanging="420"/>
      </w:pPr>
      <w:rPr>
        <w:rFonts w:hint="eastAsia"/>
        <w:sz w:val="21"/>
        <w:szCs w:val="21"/>
        <w:lang w:eastAsia="zh-C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2"/>
  </w:num>
  <w:num w:numId="12">
    <w:abstractNumId w:val="11"/>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0F77"/>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0172"/>
    <w:rsid w:val="001859F4"/>
    <w:rsid w:val="0019431C"/>
    <w:rsid w:val="001A06A8"/>
    <w:rsid w:val="001A4F75"/>
    <w:rsid w:val="001C13CE"/>
    <w:rsid w:val="001C7BB8"/>
    <w:rsid w:val="001D03B7"/>
    <w:rsid w:val="001D0501"/>
    <w:rsid w:val="001E0288"/>
    <w:rsid w:val="001E09C6"/>
    <w:rsid w:val="00235374"/>
    <w:rsid w:val="00244291"/>
    <w:rsid w:val="00247A7D"/>
    <w:rsid w:val="00255EB1"/>
    <w:rsid w:val="00266942"/>
    <w:rsid w:val="002732FF"/>
    <w:rsid w:val="00275F7A"/>
    <w:rsid w:val="00280BE9"/>
    <w:rsid w:val="002849BB"/>
    <w:rsid w:val="00291548"/>
    <w:rsid w:val="00293085"/>
    <w:rsid w:val="002977EC"/>
    <w:rsid w:val="002A1305"/>
    <w:rsid w:val="002B5A0A"/>
    <w:rsid w:val="002D0634"/>
    <w:rsid w:val="002D2103"/>
    <w:rsid w:val="002E6C19"/>
    <w:rsid w:val="002F4E61"/>
    <w:rsid w:val="003012C4"/>
    <w:rsid w:val="003037B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67543"/>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0B5"/>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2D88"/>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B7D2A"/>
    <w:rsid w:val="006C188A"/>
    <w:rsid w:val="006C2258"/>
    <w:rsid w:val="006C2AF8"/>
    <w:rsid w:val="006D1B98"/>
    <w:rsid w:val="006D7E99"/>
    <w:rsid w:val="006E11F0"/>
    <w:rsid w:val="006E4CB0"/>
    <w:rsid w:val="00707309"/>
    <w:rsid w:val="00724E03"/>
    <w:rsid w:val="00733C71"/>
    <w:rsid w:val="00735A75"/>
    <w:rsid w:val="007373AB"/>
    <w:rsid w:val="00740702"/>
    <w:rsid w:val="00743BA2"/>
    <w:rsid w:val="00743BAC"/>
    <w:rsid w:val="00745C76"/>
    <w:rsid w:val="00746BAC"/>
    <w:rsid w:val="00750ED3"/>
    <w:rsid w:val="00764D0A"/>
    <w:rsid w:val="00765621"/>
    <w:rsid w:val="007901C0"/>
    <w:rsid w:val="007902D1"/>
    <w:rsid w:val="00796CF0"/>
    <w:rsid w:val="007A3BEE"/>
    <w:rsid w:val="007C15E3"/>
    <w:rsid w:val="007C2681"/>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815E5"/>
    <w:rsid w:val="009A12AB"/>
    <w:rsid w:val="009A174B"/>
    <w:rsid w:val="009A46E8"/>
    <w:rsid w:val="009A75DA"/>
    <w:rsid w:val="009B4929"/>
    <w:rsid w:val="009C0597"/>
    <w:rsid w:val="009C2D10"/>
    <w:rsid w:val="009D1928"/>
    <w:rsid w:val="009D79FA"/>
    <w:rsid w:val="009E3D09"/>
    <w:rsid w:val="009E7EB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19A1"/>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320"/>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A5D5E"/>
    <w:rsid w:val="00DB4F65"/>
    <w:rsid w:val="00DD2916"/>
    <w:rsid w:val="00DD6769"/>
    <w:rsid w:val="00DD7D39"/>
    <w:rsid w:val="00DE144C"/>
    <w:rsid w:val="00DE76A1"/>
    <w:rsid w:val="00E002FF"/>
    <w:rsid w:val="00E019C6"/>
    <w:rsid w:val="00E06601"/>
    <w:rsid w:val="00E15312"/>
    <w:rsid w:val="00E179CE"/>
    <w:rsid w:val="00E22714"/>
    <w:rsid w:val="00E23465"/>
    <w:rsid w:val="00E31A7B"/>
    <w:rsid w:val="00E32480"/>
    <w:rsid w:val="00E71DCC"/>
    <w:rsid w:val="00E74412"/>
    <w:rsid w:val="00E82471"/>
    <w:rsid w:val="00E911BC"/>
    <w:rsid w:val="00EA2C4C"/>
    <w:rsid w:val="00EB2994"/>
    <w:rsid w:val="00EC149D"/>
    <w:rsid w:val="00ED5F91"/>
    <w:rsid w:val="00EE4F5E"/>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4731467"/>
    <w:rsid w:val="05F125DB"/>
    <w:rsid w:val="06716757"/>
    <w:rsid w:val="07DC0ED5"/>
    <w:rsid w:val="0904785D"/>
    <w:rsid w:val="09573966"/>
    <w:rsid w:val="0A781AE7"/>
    <w:rsid w:val="0C89173A"/>
    <w:rsid w:val="0CB9457A"/>
    <w:rsid w:val="0CCA0314"/>
    <w:rsid w:val="0D064911"/>
    <w:rsid w:val="0D8022CA"/>
    <w:rsid w:val="0E6513CA"/>
    <w:rsid w:val="0F9D3A7F"/>
    <w:rsid w:val="11471F43"/>
    <w:rsid w:val="13877F6B"/>
    <w:rsid w:val="13B1031D"/>
    <w:rsid w:val="14317D7D"/>
    <w:rsid w:val="14FE0CE9"/>
    <w:rsid w:val="158E7867"/>
    <w:rsid w:val="162A7F08"/>
    <w:rsid w:val="16A67923"/>
    <w:rsid w:val="174C2AB4"/>
    <w:rsid w:val="17E64F25"/>
    <w:rsid w:val="1C803B53"/>
    <w:rsid w:val="1CFF6DB4"/>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E46257"/>
    <w:rsid w:val="2A4110A1"/>
    <w:rsid w:val="2AB85E2C"/>
    <w:rsid w:val="2C147130"/>
    <w:rsid w:val="2C281A12"/>
    <w:rsid w:val="2CFD7AA9"/>
    <w:rsid w:val="2E772BB0"/>
    <w:rsid w:val="2F656952"/>
    <w:rsid w:val="2FBE527A"/>
    <w:rsid w:val="31B57A58"/>
    <w:rsid w:val="325F3B1A"/>
    <w:rsid w:val="34745E77"/>
    <w:rsid w:val="34CD5E22"/>
    <w:rsid w:val="36926AAE"/>
    <w:rsid w:val="36AE69D8"/>
    <w:rsid w:val="37A81AF9"/>
    <w:rsid w:val="38B6063A"/>
    <w:rsid w:val="39E63C45"/>
    <w:rsid w:val="3A910669"/>
    <w:rsid w:val="3BFA1058"/>
    <w:rsid w:val="3E7F1423"/>
    <w:rsid w:val="3EBA5BC3"/>
    <w:rsid w:val="3FE25D82"/>
    <w:rsid w:val="414956DF"/>
    <w:rsid w:val="420E5348"/>
    <w:rsid w:val="425F603B"/>
    <w:rsid w:val="4286740D"/>
    <w:rsid w:val="43A67182"/>
    <w:rsid w:val="44100726"/>
    <w:rsid w:val="44347A9B"/>
    <w:rsid w:val="44CE02A0"/>
    <w:rsid w:val="45651463"/>
    <w:rsid w:val="456D3D97"/>
    <w:rsid w:val="45D43D9B"/>
    <w:rsid w:val="45E87405"/>
    <w:rsid w:val="46474D73"/>
    <w:rsid w:val="465C4787"/>
    <w:rsid w:val="473A498E"/>
    <w:rsid w:val="47552183"/>
    <w:rsid w:val="48211129"/>
    <w:rsid w:val="48BE5C4B"/>
    <w:rsid w:val="49214E6F"/>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8DA5965"/>
    <w:rsid w:val="590A235B"/>
    <w:rsid w:val="5A931503"/>
    <w:rsid w:val="5A971C98"/>
    <w:rsid w:val="5AC42DA1"/>
    <w:rsid w:val="5AFA5C95"/>
    <w:rsid w:val="5CDE078E"/>
    <w:rsid w:val="5DC655CC"/>
    <w:rsid w:val="5F776EED"/>
    <w:rsid w:val="605176D9"/>
    <w:rsid w:val="61690122"/>
    <w:rsid w:val="62B34EBF"/>
    <w:rsid w:val="63F828E6"/>
    <w:rsid w:val="64DF4A2F"/>
    <w:rsid w:val="654D6460"/>
    <w:rsid w:val="665723A3"/>
    <w:rsid w:val="6760797E"/>
    <w:rsid w:val="694F496D"/>
    <w:rsid w:val="69BC4907"/>
    <w:rsid w:val="6AB57C02"/>
    <w:rsid w:val="6AE574EF"/>
    <w:rsid w:val="6AEA2AA0"/>
    <w:rsid w:val="6AF7022D"/>
    <w:rsid w:val="6B27051F"/>
    <w:rsid w:val="6B753BDA"/>
    <w:rsid w:val="6B770841"/>
    <w:rsid w:val="6D281A14"/>
    <w:rsid w:val="6E8A0C2B"/>
    <w:rsid w:val="6E8E1FBF"/>
    <w:rsid w:val="6E9A1846"/>
    <w:rsid w:val="6EF60757"/>
    <w:rsid w:val="70757340"/>
    <w:rsid w:val="70A61265"/>
    <w:rsid w:val="70FA146A"/>
    <w:rsid w:val="710228B1"/>
    <w:rsid w:val="73A7009A"/>
    <w:rsid w:val="73B95B2E"/>
    <w:rsid w:val="74130018"/>
    <w:rsid w:val="74D35BFF"/>
    <w:rsid w:val="77CE2BEC"/>
    <w:rsid w:val="78931FA4"/>
    <w:rsid w:val="78B1277C"/>
    <w:rsid w:val="78CE2872"/>
    <w:rsid w:val="78DB44BD"/>
    <w:rsid w:val="795C2ECE"/>
    <w:rsid w:val="7AC757F1"/>
    <w:rsid w:val="7B207CB9"/>
    <w:rsid w:val="7D700DB4"/>
    <w:rsid w:val="7E996AAF"/>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99"/>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customXml" Target="../customXml/item2.xml"/><Relationship Id="rId95" Type="http://schemas.openxmlformats.org/officeDocument/2006/relationships/numbering" Target="numbering.xml"/><Relationship Id="rId94" Type="http://schemas.openxmlformats.org/officeDocument/2006/relationships/customXml" Target="../customXml/item1.xml"/><Relationship Id="rId93" Type="http://schemas.openxmlformats.org/officeDocument/2006/relationships/image" Target="media/image43.wmf"/><Relationship Id="rId92" Type="http://schemas.openxmlformats.org/officeDocument/2006/relationships/oleObject" Target="embeddings/oleObject44.bin"/><Relationship Id="rId91" Type="http://schemas.openxmlformats.org/officeDocument/2006/relationships/image" Target="media/image42.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1.wmf"/><Relationship Id="rId88" Type="http://schemas.openxmlformats.org/officeDocument/2006/relationships/oleObject" Target="embeddings/oleObject42.bin"/><Relationship Id="rId87" Type="http://schemas.openxmlformats.org/officeDocument/2006/relationships/image" Target="media/image40.wmf"/><Relationship Id="rId86" Type="http://schemas.openxmlformats.org/officeDocument/2006/relationships/oleObject" Target="embeddings/oleObject41.bin"/><Relationship Id="rId85" Type="http://schemas.openxmlformats.org/officeDocument/2006/relationships/image" Target="media/image39.wmf"/><Relationship Id="rId84" Type="http://schemas.openxmlformats.org/officeDocument/2006/relationships/oleObject" Target="embeddings/oleObject40.bin"/><Relationship Id="rId83" Type="http://schemas.openxmlformats.org/officeDocument/2006/relationships/image" Target="media/image38.wmf"/><Relationship Id="rId82" Type="http://schemas.openxmlformats.org/officeDocument/2006/relationships/oleObject" Target="embeddings/oleObject39.bin"/><Relationship Id="rId81" Type="http://schemas.openxmlformats.org/officeDocument/2006/relationships/image" Target="media/image37.wmf"/><Relationship Id="rId80" Type="http://schemas.openxmlformats.org/officeDocument/2006/relationships/oleObject" Target="embeddings/oleObject38.bin"/><Relationship Id="rId8" Type="http://schemas.openxmlformats.org/officeDocument/2006/relationships/oleObject" Target="embeddings/oleObject1.bin"/><Relationship Id="rId79" Type="http://schemas.openxmlformats.org/officeDocument/2006/relationships/image" Target="media/image36.wmf"/><Relationship Id="rId78" Type="http://schemas.openxmlformats.org/officeDocument/2006/relationships/oleObject" Target="embeddings/oleObject37.bin"/><Relationship Id="rId77" Type="http://schemas.openxmlformats.org/officeDocument/2006/relationships/image" Target="media/image35.wmf"/><Relationship Id="rId76" Type="http://schemas.openxmlformats.org/officeDocument/2006/relationships/oleObject" Target="embeddings/oleObject36.bin"/><Relationship Id="rId75" Type="http://schemas.openxmlformats.org/officeDocument/2006/relationships/image" Target="media/image34.wmf"/><Relationship Id="rId74" Type="http://schemas.openxmlformats.org/officeDocument/2006/relationships/oleObject" Target="embeddings/oleObject35.bin"/><Relationship Id="rId73" Type="http://schemas.openxmlformats.org/officeDocument/2006/relationships/image" Target="media/image33.wmf"/><Relationship Id="rId72" Type="http://schemas.openxmlformats.org/officeDocument/2006/relationships/oleObject" Target="embeddings/oleObject34.bin"/><Relationship Id="rId71" Type="http://schemas.openxmlformats.org/officeDocument/2006/relationships/image" Target="media/image32.wmf"/><Relationship Id="rId70" Type="http://schemas.openxmlformats.org/officeDocument/2006/relationships/oleObject" Target="embeddings/oleObject33.bin"/><Relationship Id="rId7" Type="http://schemas.openxmlformats.org/officeDocument/2006/relationships/image" Target="media/image1.png"/><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image" Target="media/image30.wmf"/><Relationship Id="rId66" Type="http://schemas.openxmlformats.org/officeDocument/2006/relationships/oleObject" Target="embeddings/oleObject31.bin"/><Relationship Id="rId65" Type="http://schemas.openxmlformats.org/officeDocument/2006/relationships/image" Target="media/image29.wmf"/><Relationship Id="rId64" Type="http://schemas.openxmlformats.org/officeDocument/2006/relationships/oleObject" Target="embeddings/oleObject30.bin"/><Relationship Id="rId63" Type="http://schemas.openxmlformats.org/officeDocument/2006/relationships/image" Target="media/image28.wmf"/><Relationship Id="rId62" Type="http://schemas.openxmlformats.org/officeDocument/2006/relationships/oleObject" Target="embeddings/oleObject29.bin"/><Relationship Id="rId61" Type="http://schemas.openxmlformats.org/officeDocument/2006/relationships/image" Target="media/image27.wmf"/><Relationship Id="rId60" Type="http://schemas.openxmlformats.org/officeDocument/2006/relationships/oleObject" Target="embeddings/oleObject28.bin"/><Relationship Id="rId6" Type="http://schemas.openxmlformats.org/officeDocument/2006/relationships/theme" Target="theme/theme1.xml"/><Relationship Id="rId59" Type="http://schemas.openxmlformats.org/officeDocument/2006/relationships/image" Target="media/image26.wmf"/><Relationship Id="rId58" Type="http://schemas.openxmlformats.org/officeDocument/2006/relationships/oleObject" Target="embeddings/oleObject27.bin"/><Relationship Id="rId57" Type="http://schemas.openxmlformats.org/officeDocument/2006/relationships/image" Target="media/image25.wmf"/><Relationship Id="rId56" Type="http://schemas.openxmlformats.org/officeDocument/2006/relationships/oleObject" Target="embeddings/oleObject26.bin"/><Relationship Id="rId55" Type="http://schemas.openxmlformats.org/officeDocument/2006/relationships/image" Target="media/image24.wmf"/><Relationship Id="rId54" Type="http://schemas.openxmlformats.org/officeDocument/2006/relationships/oleObject" Target="embeddings/oleObject25.bin"/><Relationship Id="rId53" Type="http://schemas.openxmlformats.org/officeDocument/2006/relationships/image" Target="media/image23.wmf"/><Relationship Id="rId52" Type="http://schemas.openxmlformats.org/officeDocument/2006/relationships/oleObject" Target="embeddings/oleObject24.bin"/><Relationship Id="rId51" Type="http://schemas.openxmlformats.org/officeDocument/2006/relationships/image" Target="media/image22.wmf"/><Relationship Id="rId50" Type="http://schemas.openxmlformats.org/officeDocument/2006/relationships/oleObject" Target="embeddings/oleObject23.bin"/><Relationship Id="rId5" Type="http://schemas.openxmlformats.org/officeDocument/2006/relationships/footer" Target="footer2.xml"/><Relationship Id="rId49" Type="http://schemas.openxmlformats.org/officeDocument/2006/relationships/image" Target="media/image21.wmf"/><Relationship Id="rId48" Type="http://schemas.openxmlformats.org/officeDocument/2006/relationships/oleObject" Target="embeddings/oleObject22.bin"/><Relationship Id="rId47" Type="http://schemas.openxmlformats.org/officeDocument/2006/relationships/image" Target="media/image20.wmf"/><Relationship Id="rId46" Type="http://schemas.openxmlformats.org/officeDocument/2006/relationships/oleObject" Target="embeddings/oleObject21.bin"/><Relationship Id="rId45" Type="http://schemas.openxmlformats.org/officeDocument/2006/relationships/image" Target="media/image19.wmf"/><Relationship Id="rId44" Type="http://schemas.openxmlformats.org/officeDocument/2006/relationships/oleObject" Target="embeddings/oleObject20.bin"/><Relationship Id="rId43" Type="http://schemas.openxmlformats.org/officeDocument/2006/relationships/image" Target="media/image18.wmf"/><Relationship Id="rId42" Type="http://schemas.openxmlformats.org/officeDocument/2006/relationships/oleObject" Target="embeddings/oleObject19.bin"/><Relationship Id="rId41" Type="http://schemas.openxmlformats.org/officeDocument/2006/relationships/image" Target="media/image17.wmf"/><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7.bin"/><Relationship Id="rId37" Type="http://schemas.openxmlformats.org/officeDocument/2006/relationships/image" Target="media/image15.wmf"/><Relationship Id="rId36" Type="http://schemas.openxmlformats.org/officeDocument/2006/relationships/oleObject" Target="embeddings/oleObject16.bin"/><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C33F5-90EE-4A6E-BEFB-38AF562FB6A0}">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15</Pages>
  <Words>10181</Words>
  <Characters>10769</Characters>
  <Lines>83</Lines>
  <Paragraphs>23</Paragraphs>
  <TotalTime>0</TotalTime>
  <ScaleCrop>false</ScaleCrop>
  <LinksUpToDate>false</LinksUpToDate>
  <CharactersWithSpaces>11068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Administrator.DESKTOP-ME924ED</dc:creator>
  <cp:lastModifiedBy>第四域</cp:lastModifiedBy>
  <cp:lastPrinted>2016-10-20T04:13:00Z</cp:lastPrinted>
  <dcterms:modified xsi:type="dcterms:W3CDTF">2026-03-16T12:00:06Z</dcterms:modified>
  <dc:title>编制说明</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5338902479F146C7ACC9B2AE2EFFC399_13</vt:lpwstr>
  </property>
  <property fmtid="{D5CDD505-2E9C-101B-9397-08002B2CF9AE}" pid="4" name="KSOTemplateDocerSaveRecord">
    <vt:lpwstr>eyJoZGlkIjoiYmZiMjI2ZTkzM2E1YjlhMTA3MjRmYjUyYTZhYWJkN2IiLCJ1c2VySWQiOiI5NDUzMTk0ODkifQ==</vt:lpwstr>
  </property>
</Properties>
</file>