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FF7B7">
      <w:pPr>
        <w:jc w:val="center"/>
        <w:rPr>
          <w:rFonts w:ascii="宋体" w:hAnsi="宋体"/>
          <w:b/>
          <w:bCs/>
          <w:sz w:val="18"/>
          <w:szCs w:val="18"/>
        </w:rPr>
      </w:pPr>
    </w:p>
    <w:p w14:paraId="048F13E1">
      <w:pPr>
        <w:jc w:val="center"/>
        <w:rPr>
          <w:rFonts w:ascii="宋体" w:hAnsi="宋体"/>
          <w:b/>
          <w:bCs/>
          <w:sz w:val="18"/>
          <w:szCs w:val="18"/>
        </w:rPr>
      </w:pPr>
    </w:p>
    <w:p w14:paraId="19D0BABB">
      <w:pPr>
        <w:jc w:val="center"/>
        <w:outlineLvl w:val="0"/>
        <w:rPr>
          <w:rFonts w:hint="eastAsia" w:ascii="黑体" w:hAnsi="黑体" w:eastAsia="黑体" w:cs="黑体"/>
          <w:b/>
          <w:bCs/>
          <w:sz w:val="32"/>
          <w:szCs w:val="32"/>
          <w:lang w:val="en-US" w:eastAsia="zh-CN"/>
        </w:rPr>
      </w:pPr>
      <w:r>
        <w:rPr>
          <w:rFonts w:hint="eastAsia" w:ascii="黑体" w:hAnsi="黑体" w:eastAsia="黑体" w:cs="黑体"/>
          <w:b/>
          <w:bCs/>
          <w:sz w:val="32"/>
          <w:szCs w:val="32"/>
        </w:rPr>
        <w:t>《火法炼铅系统氧化锌烟尘回收技术要求》</w:t>
      </w:r>
    </w:p>
    <w:p w14:paraId="09F04928">
      <w:pPr>
        <w:jc w:val="center"/>
        <w:outlineLvl w:val="0"/>
        <w:rPr>
          <w:rFonts w:ascii="黑体" w:hAnsi="黑体" w:eastAsia="黑体" w:cs="黑体"/>
          <w:b/>
          <w:bCs/>
          <w:sz w:val="32"/>
          <w:szCs w:val="32"/>
        </w:rPr>
      </w:pPr>
      <w:r>
        <w:rPr>
          <w:rFonts w:hint="eastAsia" w:ascii="黑体" w:hAnsi="黑体" w:eastAsia="黑体" w:cs="黑体"/>
          <w:b/>
          <w:bCs/>
          <w:sz w:val="32"/>
          <w:szCs w:val="32"/>
        </w:rPr>
        <w:t>编制说明</w:t>
      </w:r>
    </w:p>
    <w:p w14:paraId="03F1BA3A">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val="en-US" w:eastAsia="zh-CN"/>
        </w:rPr>
        <w:t>送审</w:t>
      </w:r>
      <w:r>
        <w:rPr>
          <w:rFonts w:hint="eastAsia" w:ascii="黑体" w:hAnsi="黑体" w:eastAsia="黑体" w:cs="黑体"/>
          <w:b/>
          <w:bCs/>
          <w:sz w:val="32"/>
          <w:szCs w:val="32"/>
        </w:rPr>
        <w:t>稿）</w:t>
      </w:r>
    </w:p>
    <w:p w14:paraId="23CBFF72">
      <w:pPr>
        <w:jc w:val="center"/>
        <w:rPr>
          <w:rFonts w:ascii="宋体" w:hAnsi="宋体"/>
          <w:b/>
          <w:bCs/>
          <w:sz w:val="18"/>
          <w:szCs w:val="18"/>
        </w:rPr>
      </w:pPr>
    </w:p>
    <w:p w14:paraId="0C22D67D">
      <w:pPr>
        <w:jc w:val="center"/>
        <w:rPr>
          <w:rFonts w:ascii="宋体" w:hAnsi="宋体"/>
          <w:b/>
          <w:bCs/>
          <w:sz w:val="18"/>
          <w:szCs w:val="18"/>
        </w:rPr>
      </w:pPr>
    </w:p>
    <w:p w14:paraId="062977C4">
      <w:pPr>
        <w:jc w:val="center"/>
        <w:rPr>
          <w:rFonts w:ascii="宋体" w:hAnsi="宋体"/>
          <w:b/>
          <w:bCs/>
          <w:sz w:val="18"/>
          <w:szCs w:val="18"/>
        </w:rPr>
      </w:pPr>
    </w:p>
    <w:p w14:paraId="132FAB66">
      <w:pPr>
        <w:jc w:val="center"/>
        <w:rPr>
          <w:rFonts w:ascii="宋体" w:hAnsi="宋体"/>
          <w:b/>
          <w:bCs/>
          <w:sz w:val="18"/>
          <w:szCs w:val="18"/>
        </w:rPr>
      </w:pPr>
    </w:p>
    <w:p w14:paraId="4DD00111">
      <w:pPr>
        <w:jc w:val="center"/>
        <w:rPr>
          <w:rFonts w:ascii="宋体" w:hAnsi="宋体"/>
          <w:b/>
          <w:bCs/>
          <w:sz w:val="18"/>
          <w:szCs w:val="18"/>
        </w:rPr>
      </w:pPr>
    </w:p>
    <w:p w14:paraId="66D0AAE5">
      <w:pPr>
        <w:jc w:val="center"/>
        <w:rPr>
          <w:rFonts w:ascii="宋体" w:hAnsi="宋体"/>
          <w:b/>
          <w:bCs/>
          <w:sz w:val="18"/>
          <w:szCs w:val="18"/>
        </w:rPr>
      </w:pPr>
    </w:p>
    <w:p w14:paraId="443DE4AB">
      <w:pPr>
        <w:jc w:val="center"/>
        <w:rPr>
          <w:rFonts w:ascii="宋体" w:hAnsi="宋体"/>
          <w:b/>
          <w:bCs/>
          <w:sz w:val="18"/>
          <w:szCs w:val="18"/>
        </w:rPr>
      </w:pPr>
    </w:p>
    <w:p w14:paraId="03B8BA6D">
      <w:pPr>
        <w:jc w:val="center"/>
        <w:rPr>
          <w:rFonts w:ascii="宋体" w:hAnsi="宋体"/>
          <w:b/>
          <w:bCs/>
          <w:sz w:val="18"/>
          <w:szCs w:val="18"/>
        </w:rPr>
      </w:pPr>
    </w:p>
    <w:p w14:paraId="1B9C4B7D">
      <w:pPr>
        <w:jc w:val="center"/>
        <w:rPr>
          <w:rFonts w:ascii="宋体" w:hAnsi="宋体"/>
          <w:b/>
          <w:bCs/>
          <w:sz w:val="18"/>
          <w:szCs w:val="18"/>
        </w:rPr>
      </w:pPr>
    </w:p>
    <w:p w14:paraId="2FE79677">
      <w:pPr>
        <w:jc w:val="center"/>
        <w:rPr>
          <w:rFonts w:ascii="宋体" w:hAnsi="宋体"/>
          <w:b/>
          <w:bCs/>
          <w:sz w:val="18"/>
          <w:szCs w:val="18"/>
        </w:rPr>
      </w:pPr>
    </w:p>
    <w:p w14:paraId="48B8F1CA">
      <w:pPr>
        <w:jc w:val="center"/>
        <w:rPr>
          <w:rFonts w:ascii="宋体" w:hAnsi="宋体"/>
          <w:b/>
          <w:bCs/>
          <w:sz w:val="18"/>
          <w:szCs w:val="18"/>
        </w:rPr>
      </w:pPr>
    </w:p>
    <w:p w14:paraId="47F82890">
      <w:pPr>
        <w:jc w:val="center"/>
        <w:rPr>
          <w:rFonts w:ascii="宋体" w:hAnsi="宋体"/>
          <w:b/>
          <w:bCs/>
          <w:sz w:val="18"/>
          <w:szCs w:val="18"/>
        </w:rPr>
      </w:pPr>
    </w:p>
    <w:p w14:paraId="1E378CC0">
      <w:pPr>
        <w:jc w:val="center"/>
        <w:rPr>
          <w:rFonts w:ascii="宋体" w:hAnsi="宋体"/>
          <w:b/>
          <w:bCs/>
          <w:sz w:val="18"/>
          <w:szCs w:val="18"/>
        </w:rPr>
      </w:pPr>
    </w:p>
    <w:p w14:paraId="0BBF3335">
      <w:pPr>
        <w:jc w:val="center"/>
        <w:rPr>
          <w:rFonts w:ascii="宋体" w:hAnsi="宋体"/>
          <w:b/>
          <w:bCs/>
          <w:sz w:val="18"/>
          <w:szCs w:val="18"/>
        </w:rPr>
      </w:pPr>
    </w:p>
    <w:p w14:paraId="16CCBF5C">
      <w:pPr>
        <w:jc w:val="center"/>
        <w:rPr>
          <w:rFonts w:ascii="宋体" w:hAnsi="宋体"/>
          <w:b/>
          <w:bCs/>
          <w:sz w:val="18"/>
          <w:szCs w:val="18"/>
        </w:rPr>
      </w:pPr>
    </w:p>
    <w:p w14:paraId="3119B16E">
      <w:pPr>
        <w:jc w:val="center"/>
        <w:rPr>
          <w:rFonts w:ascii="宋体" w:hAnsi="宋体"/>
          <w:b/>
          <w:bCs/>
          <w:sz w:val="18"/>
          <w:szCs w:val="18"/>
        </w:rPr>
      </w:pPr>
    </w:p>
    <w:p w14:paraId="7D93BB82">
      <w:pPr>
        <w:jc w:val="center"/>
        <w:rPr>
          <w:rFonts w:ascii="宋体" w:hAnsi="宋体"/>
          <w:b/>
          <w:bCs/>
          <w:sz w:val="18"/>
          <w:szCs w:val="18"/>
        </w:rPr>
      </w:pPr>
    </w:p>
    <w:p w14:paraId="1699FEBE">
      <w:pPr>
        <w:jc w:val="center"/>
        <w:rPr>
          <w:rFonts w:ascii="宋体" w:hAnsi="宋体"/>
          <w:b/>
          <w:bCs/>
          <w:sz w:val="18"/>
          <w:szCs w:val="18"/>
        </w:rPr>
      </w:pPr>
    </w:p>
    <w:p w14:paraId="12CEDC20">
      <w:pPr>
        <w:jc w:val="center"/>
        <w:rPr>
          <w:rFonts w:ascii="宋体" w:hAnsi="宋体"/>
          <w:b/>
          <w:bCs/>
          <w:sz w:val="18"/>
          <w:szCs w:val="18"/>
        </w:rPr>
      </w:pPr>
    </w:p>
    <w:p w14:paraId="22ECE153">
      <w:pPr>
        <w:jc w:val="center"/>
        <w:rPr>
          <w:rFonts w:ascii="宋体" w:hAnsi="宋体"/>
          <w:b/>
          <w:bCs/>
          <w:sz w:val="18"/>
          <w:szCs w:val="18"/>
        </w:rPr>
      </w:pPr>
    </w:p>
    <w:p w14:paraId="5AA1B175">
      <w:pPr>
        <w:jc w:val="center"/>
        <w:rPr>
          <w:rFonts w:ascii="宋体" w:hAnsi="宋体"/>
          <w:b/>
          <w:bCs/>
          <w:sz w:val="18"/>
          <w:szCs w:val="18"/>
        </w:rPr>
      </w:pPr>
    </w:p>
    <w:p w14:paraId="671CF602">
      <w:pPr>
        <w:jc w:val="center"/>
        <w:rPr>
          <w:rFonts w:ascii="宋体" w:hAnsi="宋体"/>
          <w:b/>
          <w:bCs/>
          <w:sz w:val="18"/>
          <w:szCs w:val="18"/>
        </w:rPr>
      </w:pPr>
    </w:p>
    <w:p w14:paraId="5055A938">
      <w:pPr>
        <w:jc w:val="center"/>
        <w:rPr>
          <w:rFonts w:ascii="宋体" w:hAnsi="宋体"/>
          <w:b/>
          <w:bCs/>
          <w:sz w:val="18"/>
          <w:szCs w:val="18"/>
        </w:rPr>
      </w:pPr>
    </w:p>
    <w:p w14:paraId="79EEC2DE">
      <w:pPr>
        <w:jc w:val="center"/>
        <w:rPr>
          <w:rFonts w:ascii="宋体" w:hAnsi="宋体"/>
          <w:b/>
          <w:bCs/>
          <w:sz w:val="18"/>
          <w:szCs w:val="18"/>
        </w:rPr>
      </w:pPr>
    </w:p>
    <w:p w14:paraId="4AA6B856">
      <w:pPr>
        <w:jc w:val="center"/>
        <w:rPr>
          <w:rFonts w:ascii="宋体" w:hAnsi="宋体"/>
          <w:b/>
          <w:bCs/>
          <w:sz w:val="18"/>
          <w:szCs w:val="18"/>
        </w:rPr>
      </w:pPr>
    </w:p>
    <w:p w14:paraId="18DC46CB">
      <w:pPr>
        <w:jc w:val="center"/>
        <w:rPr>
          <w:rFonts w:ascii="宋体" w:hAnsi="宋体"/>
          <w:b/>
          <w:bCs/>
          <w:sz w:val="18"/>
          <w:szCs w:val="18"/>
        </w:rPr>
      </w:pPr>
    </w:p>
    <w:p w14:paraId="0E393497">
      <w:pPr>
        <w:jc w:val="center"/>
        <w:rPr>
          <w:rFonts w:ascii="宋体" w:hAnsi="宋体"/>
          <w:b/>
          <w:bCs/>
          <w:sz w:val="18"/>
          <w:szCs w:val="18"/>
        </w:rPr>
      </w:pPr>
    </w:p>
    <w:p w14:paraId="603C49DE">
      <w:pPr>
        <w:jc w:val="center"/>
        <w:rPr>
          <w:rFonts w:ascii="宋体" w:hAnsi="宋体"/>
          <w:b/>
          <w:bCs/>
          <w:sz w:val="18"/>
          <w:szCs w:val="18"/>
        </w:rPr>
      </w:pPr>
    </w:p>
    <w:p w14:paraId="6D084914">
      <w:pPr>
        <w:jc w:val="center"/>
        <w:outlineLvl w:val="0"/>
        <w:rPr>
          <w:rFonts w:ascii="黑体" w:hAnsi="黑体" w:eastAsia="黑体" w:cs="黑体"/>
          <w:b/>
          <w:bCs/>
          <w:sz w:val="32"/>
          <w:szCs w:val="32"/>
        </w:rPr>
      </w:pPr>
      <w:r>
        <w:rPr>
          <w:rFonts w:hint="eastAsia" w:ascii="黑体" w:hAnsi="黑体" w:eastAsia="黑体" w:cs="黑体"/>
          <w:b/>
          <w:bCs/>
          <w:sz w:val="32"/>
          <w:szCs w:val="32"/>
        </w:rPr>
        <w:t>《火法炼铅系统氧化锌烟尘回收技术要求》</w:t>
      </w:r>
    </w:p>
    <w:p w14:paraId="30B1BCF3">
      <w:pPr>
        <w:jc w:val="center"/>
        <w:outlineLvl w:val="0"/>
        <w:rPr>
          <w:rFonts w:ascii="黑体" w:hAnsi="黑体" w:eastAsia="黑体" w:cs="黑体"/>
          <w:b/>
          <w:bCs/>
          <w:sz w:val="32"/>
          <w:szCs w:val="32"/>
        </w:rPr>
      </w:pPr>
      <w:r>
        <w:rPr>
          <w:rFonts w:hint="eastAsia" w:ascii="黑体" w:hAnsi="黑体" w:eastAsia="黑体" w:cs="黑体"/>
          <w:b/>
          <w:bCs/>
          <w:sz w:val="32"/>
          <w:szCs w:val="32"/>
        </w:rPr>
        <w:t>编制组</w:t>
      </w:r>
    </w:p>
    <w:p w14:paraId="081D73D8">
      <w:pPr>
        <w:jc w:val="center"/>
        <w:outlineLvl w:val="0"/>
        <w:rPr>
          <w:rFonts w:ascii="宋体" w:hAnsi="宋体"/>
          <w:b/>
          <w:bCs/>
          <w:sz w:val="18"/>
          <w:szCs w:val="18"/>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6</w:t>
      </w:r>
      <w:r>
        <w:rPr>
          <w:rFonts w:hint="eastAsia" w:ascii="黑体" w:hAnsi="黑体" w:eastAsia="黑体" w:cs="黑体"/>
          <w:b/>
          <w:bCs/>
          <w:sz w:val="32"/>
          <w:szCs w:val="32"/>
        </w:rPr>
        <w:t>年</w:t>
      </w:r>
      <w:r>
        <w:rPr>
          <w:rFonts w:hint="eastAsia" w:ascii="黑体" w:hAnsi="黑体" w:eastAsia="黑体" w:cs="黑体"/>
          <w:b/>
          <w:bCs/>
          <w:sz w:val="32"/>
          <w:szCs w:val="32"/>
          <w:lang w:val="en-US" w:eastAsia="zh-CN"/>
        </w:rPr>
        <w:t>03</w:t>
      </w:r>
      <w:r>
        <w:rPr>
          <w:rFonts w:hint="eastAsia" w:ascii="黑体" w:hAnsi="黑体" w:eastAsia="黑体" w:cs="黑体"/>
          <w:b/>
          <w:bCs/>
          <w:sz w:val="32"/>
          <w:szCs w:val="32"/>
        </w:rPr>
        <w:t>月</w:t>
      </w:r>
      <w:r>
        <w:rPr>
          <w:rFonts w:hint="eastAsia" w:ascii="黑体" w:hAnsi="黑体" w:eastAsia="黑体" w:cs="黑体"/>
          <w:b/>
          <w:bCs/>
          <w:sz w:val="32"/>
          <w:szCs w:val="32"/>
          <w:lang w:val="en-US" w:eastAsia="zh-CN"/>
        </w:rPr>
        <w:t>05</w:t>
      </w:r>
      <w:r>
        <w:rPr>
          <w:rFonts w:hint="eastAsia" w:ascii="黑体" w:hAnsi="黑体" w:eastAsia="黑体" w:cs="黑体"/>
          <w:b/>
          <w:bCs/>
          <w:sz w:val="32"/>
          <w:szCs w:val="32"/>
        </w:rPr>
        <w:t>日</w:t>
      </w:r>
    </w:p>
    <w:p w14:paraId="6377BE81">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eastAsia="zh-CN"/>
        </w:rPr>
        <w:t>火法炼铅系统氧化锌烟尘回收技术要求</w:t>
      </w:r>
      <w:r>
        <w:rPr>
          <w:rFonts w:hint="eastAsia" w:ascii="黑体" w:hAnsi="黑体" w:eastAsia="黑体" w:cs="黑体"/>
          <w:b/>
          <w:bCs/>
          <w:sz w:val="32"/>
          <w:szCs w:val="32"/>
        </w:rPr>
        <w:t>》</w:t>
      </w:r>
    </w:p>
    <w:p w14:paraId="245E1EAF">
      <w:pPr>
        <w:jc w:val="center"/>
        <w:outlineLvl w:val="0"/>
        <w:rPr>
          <w:rFonts w:ascii="黑体" w:hAnsi="黑体" w:eastAsia="黑体" w:cs="黑体"/>
          <w:b/>
          <w:bCs/>
          <w:sz w:val="32"/>
          <w:szCs w:val="32"/>
        </w:rPr>
      </w:pPr>
      <w:r>
        <w:rPr>
          <w:rFonts w:hint="eastAsia" w:ascii="黑体" w:hAnsi="黑体" w:eastAsia="黑体" w:cs="黑体"/>
          <w:b/>
          <w:bCs/>
          <w:sz w:val="32"/>
          <w:szCs w:val="32"/>
        </w:rPr>
        <w:t>编制说明</w:t>
      </w:r>
    </w:p>
    <w:p w14:paraId="5E49EF7A">
      <w:pPr>
        <w:jc w:val="center"/>
        <w:outlineLvl w:val="0"/>
        <w:rPr>
          <w:rFonts w:ascii="黑体" w:hAnsi="黑体" w:eastAsia="黑体" w:cs="黑体"/>
          <w:b/>
          <w:bCs/>
          <w:sz w:val="32"/>
          <w:szCs w:val="32"/>
        </w:rPr>
      </w:pPr>
      <w:r>
        <w:rPr>
          <w:rFonts w:hint="eastAsia" w:ascii="黑体" w:hAnsi="黑体" w:eastAsia="黑体" w:cs="黑体"/>
          <w:b/>
          <w:bCs/>
          <w:sz w:val="32"/>
          <w:szCs w:val="32"/>
        </w:rPr>
        <w:t>（</w:t>
      </w:r>
      <w:r>
        <w:rPr>
          <w:rFonts w:hint="eastAsia" w:ascii="黑体" w:hAnsi="黑体" w:eastAsia="黑体" w:cs="黑体"/>
          <w:b/>
          <w:bCs/>
          <w:sz w:val="32"/>
          <w:szCs w:val="32"/>
          <w:lang w:val="en-US" w:eastAsia="zh-CN"/>
        </w:rPr>
        <w:t>送审</w:t>
      </w:r>
      <w:r>
        <w:rPr>
          <w:rFonts w:hint="eastAsia" w:ascii="黑体" w:hAnsi="黑体" w:eastAsia="黑体" w:cs="黑体"/>
          <w:b/>
          <w:bCs/>
          <w:sz w:val="32"/>
          <w:szCs w:val="32"/>
        </w:rPr>
        <w:t>稿）</w:t>
      </w:r>
    </w:p>
    <w:p w14:paraId="5B00B622">
      <w:pPr>
        <w:numPr>
          <w:ilvl w:val="0"/>
          <w:numId w:val="3"/>
        </w:num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工作简况</w:t>
      </w:r>
    </w:p>
    <w:p w14:paraId="5B62B440">
      <w:pPr>
        <w:numPr>
          <w:ilvl w:val="0"/>
          <w:numId w:val="4"/>
        </w:numPr>
        <w:snapToGrid w:val="0"/>
        <w:spacing w:before="156" w:beforeLines="50" w:after="156" w:afterLines="50" w:line="360" w:lineRule="auto"/>
        <w:outlineLvl w:val="0"/>
        <w:rPr>
          <w:rFonts w:ascii="黑体" w:hAnsi="黑体" w:eastAsia="黑体" w:cs="黑体"/>
          <w:sz w:val="24"/>
          <w:szCs w:val="24"/>
        </w:rPr>
      </w:pPr>
      <w:bookmarkStart w:id="0" w:name="_Toc66798673"/>
      <w:r>
        <w:rPr>
          <w:rFonts w:hint="eastAsia" w:ascii="黑体" w:hAnsi="黑体" w:eastAsia="黑体" w:cs="黑体"/>
          <w:sz w:val="24"/>
          <w:szCs w:val="24"/>
        </w:rPr>
        <w:t>项目</w:t>
      </w:r>
      <w:r>
        <w:rPr>
          <w:rFonts w:ascii="黑体" w:hAnsi="黑体" w:eastAsia="黑体" w:cs="黑体"/>
          <w:sz w:val="24"/>
          <w:szCs w:val="24"/>
        </w:rPr>
        <w:t>必要性</w:t>
      </w:r>
      <w:r>
        <w:rPr>
          <w:rFonts w:hint="eastAsia" w:ascii="黑体" w:hAnsi="黑体" w:eastAsia="黑体" w:cs="黑体"/>
          <w:sz w:val="24"/>
          <w:szCs w:val="24"/>
        </w:rPr>
        <w:t>简述</w:t>
      </w:r>
      <w:bookmarkEnd w:id="0"/>
    </w:p>
    <w:p w14:paraId="5E2B21D7">
      <w:pPr>
        <w:snapToGrid w:val="0"/>
        <w:spacing w:line="360" w:lineRule="auto"/>
        <w:jc w:val="left"/>
        <w:rPr>
          <w:rFonts w:hint="default" w:ascii="黑体" w:hAnsi="黑体" w:eastAsia="黑体" w:cs="宋体"/>
          <w:sz w:val="24"/>
          <w:szCs w:val="24"/>
          <w:lang w:val="en-US" w:eastAsia="zh-CN"/>
        </w:rPr>
      </w:pPr>
      <w:r>
        <w:rPr>
          <w:rFonts w:hint="eastAsia" w:ascii="黑体" w:hAnsi="黑体" w:eastAsia="黑体" w:cs="宋体"/>
          <w:sz w:val="24"/>
          <w:szCs w:val="24"/>
          <w:lang w:val="en-US" w:eastAsia="zh-CN"/>
        </w:rPr>
        <w:t xml:space="preserve">1.1 </w:t>
      </w:r>
      <w:r>
        <w:rPr>
          <w:rFonts w:hint="default" w:ascii="黑体" w:hAnsi="黑体" w:eastAsia="黑体" w:cs="宋体"/>
          <w:sz w:val="24"/>
          <w:szCs w:val="24"/>
          <w:lang w:val="en-US" w:eastAsia="zh-CN"/>
        </w:rPr>
        <w:t>行业现状与资源挑战</w:t>
      </w:r>
    </w:p>
    <w:p w14:paraId="4F96FF48">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随着全球经济一体化进程加快，新能源、高端制造等战略性新兴产业蓬勃发展，对金属资源的需求持续攀升。然而，金属原矿作为不可再生资源，经过长期高强度开采，储量逐年锐减，供需矛盾日益凸显，二次资源回收利用已成为缓解资源短缺压力的关键路径。在铅锌冶炼行业中，火法炼铅系统产生的氧化锌烟尘是极具价值的含锌二次资源，我国每年火法炼铅过程中产出的氧化锌烟尘规模已达数十万吨。这类烟尘不仅富集锌元素，还伴生铅、铟、锗等多种稀贵金属，综合回收价值极高。</w:t>
      </w:r>
    </w:p>
    <w:p w14:paraId="1B2AB13B">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但需注意的是，氧化锌烟尘普遍夹带氟、氯、砷等有害杂质，这些元素不仅会干扰有价金属的高效回收，还会引发后续一系列技术与环保问题，给行业发展带来严峻挑战。</w:t>
      </w:r>
    </w:p>
    <w:p w14:paraId="25D5BDA9">
      <w:pPr>
        <w:snapToGrid w:val="0"/>
        <w:spacing w:line="360" w:lineRule="auto"/>
        <w:jc w:val="left"/>
        <w:rPr>
          <w:rFonts w:hint="default" w:ascii="黑体" w:hAnsi="黑体" w:eastAsia="黑体" w:cs="宋体"/>
          <w:sz w:val="24"/>
          <w:szCs w:val="24"/>
          <w:lang w:val="en-US" w:eastAsia="zh-CN"/>
        </w:rPr>
      </w:pPr>
      <w:r>
        <w:rPr>
          <w:rFonts w:hint="eastAsia" w:ascii="黑体" w:hAnsi="黑体" w:eastAsia="黑体" w:cs="宋体"/>
          <w:sz w:val="24"/>
          <w:szCs w:val="24"/>
          <w:lang w:val="en-US" w:eastAsia="zh-CN"/>
        </w:rPr>
        <w:t>1.</w:t>
      </w:r>
      <w:r>
        <w:rPr>
          <w:rFonts w:hint="default" w:ascii="黑体" w:hAnsi="黑体" w:eastAsia="黑体" w:cs="宋体"/>
          <w:sz w:val="24"/>
          <w:szCs w:val="24"/>
          <w:lang w:val="en-US" w:eastAsia="zh-CN"/>
        </w:rPr>
        <w:t>2</w:t>
      </w:r>
      <w:r>
        <w:rPr>
          <w:rFonts w:hint="eastAsia" w:ascii="黑体" w:hAnsi="黑体" w:eastAsia="黑体" w:cs="宋体"/>
          <w:sz w:val="24"/>
          <w:szCs w:val="24"/>
          <w:lang w:val="en-US" w:eastAsia="zh-CN"/>
        </w:rPr>
        <w:t xml:space="preserve"> </w:t>
      </w:r>
      <w:r>
        <w:rPr>
          <w:rFonts w:hint="default" w:ascii="黑体" w:hAnsi="黑体" w:eastAsia="黑体" w:cs="宋体"/>
          <w:sz w:val="24"/>
          <w:szCs w:val="24"/>
          <w:lang w:val="en-US" w:eastAsia="zh-CN"/>
        </w:rPr>
        <w:t>技术瓶颈与环保压力</w:t>
      </w:r>
    </w:p>
    <w:p w14:paraId="75E6B301">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技术</w:t>
      </w:r>
      <w:r>
        <w:rPr>
          <w:rFonts w:hint="eastAsia" w:ascii="宋体" w:hAnsi="宋体" w:cs="宋体"/>
          <w:b/>
          <w:bCs/>
          <w:sz w:val="24"/>
          <w:szCs w:val="24"/>
          <w:lang w:val="en-US" w:eastAsia="zh-CN"/>
        </w:rPr>
        <w:t>水平</w:t>
      </w:r>
      <w:r>
        <w:rPr>
          <w:rFonts w:hint="default" w:ascii="宋体" w:hAnsi="宋体" w:cs="宋体"/>
          <w:b/>
          <w:bCs/>
          <w:sz w:val="24"/>
          <w:szCs w:val="24"/>
          <w:lang w:val="en-US" w:eastAsia="zh-CN"/>
        </w:rPr>
        <w:t>参差不齐</w:t>
      </w:r>
    </w:p>
    <w:p w14:paraId="3F4F73E3">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当前国内氧化锌烟尘回收行业尚未形成统一的技术规范，各企业技术装备水平差异显著，导致有价金属回收利用率差距较大，部分中小企业因采用传统粗放式工艺，金属回收率较行业先进水平低15</w:t>
      </w:r>
      <w:r>
        <w:rPr>
          <w:rFonts w:hint="eastAsia" w:ascii="宋体" w:hAnsi="宋体" w:cs="宋体"/>
          <w:sz w:val="24"/>
          <w:szCs w:val="24"/>
          <w:lang w:val="en-US" w:eastAsia="zh-CN"/>
        </w:rPr>
        <w:t>～</w:t>
      </w:r>
      <w:r>
        <w:rPr>
          <w:rFonts w:hint="default" w:ascii="宋体" w:hAnsi="宋体" w:cs="宋体"/>
          <w:sz w:val="24"/>
          <w:szCs w:val="24"/>
          <w:lang w:val="en-US" w:eastAsia="zh-CN"/>
        </w:rPr>
        <w:t>20%，大量有价资源被浪费，同时过高的物耗、能耗推高了生产成本，严重制约企业盈利能力。</w:t>
      </w:r>
    </w:p>
    <w:p w14:paraId="51F6B434">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有害元素处理难题</w:t>
      </w:r>
    </w:p>
    <w:p w14:paraId="76FEEEB3">
      <w:pPr>
        <w:adjustRightInd w:val="0"/>
        <w:snapToGrid w:val="0"/>
        <w:spacing w:line="360" w:lineRule="auto"/>
        <w:ind w:firstLine="480" w:firstLineChars="200"/>
        <w:rPr>
          <w:rFonts w:hint="eastAsia" w:ascii="宋体" w:hAnsi="宋体" w:cs="宋体"/>
          <w:sz w:val="24"/>
          <w:szCs w:val="24"/>
          <w:lang w:val="en-US" w:eastAsia="zh-CN"/>
        </w:rPr>
      </w:pPr>
      <w:r>
        <w:rPr>
          <w:rFonts w:hint="default" w:ascii="宋体" w:hAnsi="宋体" w:cs="宋体"/>
          <w:sz w:val="24"/>
          <w:szCs w:val="24"/>
          <w:lang w:val="en-US" w:eastAsia="zh-CN"/>
        </w:rPr>
        <w:t>有害元素的高效脱除是氧化锌烟尘回收的核心技术瓶颈</w:t>
      </w:r>
      <w:r>
        <w:rPr>
          <w:rFonts w:hint="eastAsia" w:ascii="宋体" w:hAnsi="宋体" w:cs="宋体"/>
          <w:sz w:val="24"/>
          <w:szCs w:val="24"/>
          <w:lang w:val="en-US" w:eastAsia="zh-CN"/>
        </w:rPr>
        <w:t>：</w:t>
      </w:r>
    </w:p>
    <w:p w14:paraId="6785C6C8">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氟、氯元素在冶炼过程中易形成腐蚀性介质，会严重侵蚀反应釜</w:t>
      </w:r>
      <w:r>
        <w:rPr>
          <w:rFonts w:hint="eastAsia" w:ascii="宋体" w:hAnsi="宋体" w:cs="宋体"/>
          <w:sz w:val="24"/>
          <w:szCs w:val="24"/>
          <w:lang w:val="en-US" w:eastAsia="zh-CN"/>
        </w:rPr>
        <w:t>（槽）</w:t>
      </w:r>
      <w:r>
        <w:rPr>
          <w:rFonts w:hint="default" w:ascii="宋体" w:hAnsi="宋体" w:cs="宋体"/>
          <w:sz w:val="24"/>
          <w:szCs w:val="24"/>
          <w:lang w:val="en-US" w:eastAsia="zh-CN"/>
        </w:rPr>
        <w:t>、管道等核心设备，缩短设备使用寿命，大幅增加设备维护成本与生产安全风险；</w:t>
      </w:r>
    </w:p>
    <w:p w14:paraId="564E9C35">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砷元素在湿法回收流程中易转化为剧毒的砷化合物，不仅危害操作人员健康，还会对后续溶液净化工序造成干扰，需投入高额成本进行深度脱除，进一步压缩企业利润空间。</w:t>
      </w:r>
    </w:p>
    <w:p w14:paraId="4AA90385">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3、</w:t>
      </w:r>
      <w:r>
        <w:rPr>
          <w:rFonts w:hint="default" w:ascii="宋体" w:hAnsi="宋体" w:cs="宋体"/>
          <w:b/>
          <w:bCs/>
          <w:sz w:val="24"/>
          <w:szCs w:val="24"/>
          <w:lang w:val="en-US" w:eastAsia="zh-CN"/>
        </w:rPr>
        <w:t>环保合规性不足</w:t>
      </w:r>
    </w:p>
    <w:p w14:paraId="649B757B">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由于缺乏统一的技术标准与管控要求，行业内氟、氯脱除效率波动大（40</w:t>
      </w:r>
      <w:r>
        <w:rPr>
          <w:rFonts w:hint="eastAsia" w:ascii="宋体" w:hAnsi="宋体" w:cs="宋体"/>
          <w:sz w:val="24"/>
          <w:szCs w:val="24"/>
          <w:lang w:val="en-US" w:eastAsia="zh-CN"/>
        </w:rPr>
        <w:t>～</w:t>
      </w:r>
      <w:r>
        <w:rPr>
          <w:rFonts w:hint="default" w:ascii="宋体" w:hAnsi="宋体" w:cs="宋体"/>
          <w:sz w:val="24"/>
          <w:szCs w:val="24"/>
          <w:lang w:val="en-US" w:eastAsia="zh-CN"/>
        </w:rPr>
        <w:t>90%），导致尾气中有害气体排放浓度超标、废水处理难度增加，难以稳定满足GB 25466《铅锌工业污染物排放标准》的严格要求。随着环保督察力度不断加大，部分环保不达标的企业面临停产整改风险，行业合规压力持续攀升。</w:t>
      </w:r>
    </w:p>
    <w:p w14:paraId="165769A8">
      <w:pPr>
        <w:snapToGrid w:val="0"/>
        <w:spacing w:line="360" w:lineRule="auto"/>
        <w:jc w:val="left"/>
        <w:rPr>
          <w:rFonts w:hint="default" w:ascii="黑体" w:hAnsi="黑体" w:eastAsia="黑体" w:cs="宋体"/>
          <w:sz w:val="24"/>
          <w:szCs w:val="24"/>
          <w:lang w:val="en-US" w:eastAsia="zh-CN"/>
        </w:rPr>
      </w:pPr>
      <w:r>
        <w:rPr>
          <w:rFonts w:hint="eastAsia" w:ascii="黑体" w:hAnsi="黑体" w:eastAsia="黑体" w:cs="宋体"/>
          <w:sz w:val="24"/>
          <w:szCs w:val="24"/>
          <w:lang w:val="en-US" w:eastAsia="zh-CN"/>
        </w:rPr>
        <w:t xml:space="preserve">1.3 </w:t>
      </w:r>
      <w:r>
        <w:rPr>
          <w:rFonts w:hint="default" w:ascii="黑体" w:hAnsi="黑体" w:eastAsia="黑体" w:cs="宋体"/>
          <w:sz w:val="24"/>
          <w:szCs w:val="24"/>
          <w:lang w:val="en-US" w:eastAsia="zh-CN"/>
        </w:rPr>
        <w:t>标准化需求与行业推动</w:t>
      </w:r>
      <w:r>
        <w:rPr>
          <w:rFonts w:hint="eastAsia" w:ascii="黑体" w:hAnsi="黑体" w:eastAsia="黑体" w:cs="宋体"/>
          <w:sz w:val="24"/>
          <w:szCs w:val="24"/>
          <w:lang w:val="en-US" w:eastAsia="zh-CN"/>
        </w:rPr>
        <w:t>价值</w:t>
      </w:r>
    </w:p>
    <w:p w14:paraId="2617FADD">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助力资源高效利用</w:t>
      </w:r>
    </w:p>
    <w:p w14:paraId="27B95C6D">
      <w:pPr>
        <w:adjustRightInd w:val="0"/>
        <w:snapToGrid w:val="0"/>
        <w:spacing w:line="360" w:lineRule="auto"/>
        <w:ind w:firstLine="482" w:firstLineChars="200"/>
        <w:rPr>
          <w:rFonts w:hint="default" w:ascii="宋体" w:hAnsi="宋体" w:cs="宋体"/>
          <w:b/>
          <w:bCs/>
          <w:sz w:val="24"/>
          <w:szCs w:val="24"/>
          <w:lang w:val="en-US" w:eastAsia="zh-CN"/>
        </w:rPr>
      </w:pPr>
    </w:p>
    <w:p w14:paraId="258C1318">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制定统一的回收标准，可通过规范关键工艺参数（如酸浸终点酸度、中性浸出pH值、反应温度与时间等），明确各环节操作要求，推动行业形成标准化生产模式，有效提升锌、铟、锗等有价金属的综合回收率，实现资源最大化利用，缓解我国对进口金属资源的依赖。</w:t>
      </w:r>
    </w:p>
    <w:p w14:paraId="39F9AFCA">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w:t>
      </w:r>
      <w:r>
        <w:rPr>
          <w:rFonts w:hint="default" w:ascii="宋体" w:hAnsi="宋体" w:cs="宋体"/>
          <w:b/>
          <w:bCs/>
          <w:sz w:val="24"/>
          <w:szCs w:val="24"/>
          <w:lang w:val="en-US" w:eastAsia="zh-CN"/>
        </w:rPr>
        <w:t>引导技术升级迭代</w:t>
      </w:r>
    </w:p>
    <w:p w14:paraId="2297925F">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标准的制定可依托国内外先进技术实践，如两段逆流酸浸、富氧浸出、高效除杂剂应用等成熟工艺，建立技术门槛，引导行业淘汰落后产能，倒逼中小企业进行技术改造与升级，推动行业整体技术水平提升，提升产业核心竞争力。</w:t>
      </w:r>
    </w:p>
    <w:p w14:paraId="3AB4D5F6">
      <w:pPr>
        <w:snapToGrid w:val="0"/>
        <w:spacing w:line="360" w:lineRule="auto"/>
        <w:jc w:val="left"/>
        <w:rPr>
          <w:rFonts w:hint="default" w:ascii="黑体" w:hAnsi="黑体" w:eastAsia="黑体" w:cs="宋体"/>
          <w:sz w:val="24"/>
          <w:szCs w:val="24"/>
          <w:lang w:val="en-US" w:eastAsia="zh-CN"/>
        </w:rPr>
      </w:pPr>
      <w:r>
        <w:rPr>
          <w:rFonts w:hint="eastAsia" w:ascii="黑体" w:hAnsi="黑体" w:eastAsia="黑体" w:cs="宋体"/>
          <w:sz w:val="24"/>
          <w:szCs w:val="24"/>
          <w:lang w:val="en-US" w:eastAsia="zh-CN"/>
        </w:rPr>
        <w:t xml:space="preserve">1.4 </w:t>
      </w:r>
      <w:r>
        <w:rPr>
          <w:rFonts w:hint="default" w:ascii="黑体" w:hAnsi="黑体" w:eastAsia="黑体" w:cs="宋体"/>
          <w:sz w:val="24"/>
          <w:szCs w:val="24"/>
          <w:lang w:val="en-US" w:eastAsia="zh-CN"/>
        </w:rPr>
        <w:t>政策与市场</w:t>
      </w:r>
      <w:r>
        <w:rPr>
          <w:rFonts w:hint="eastAsia" w:ascii="黑体" w:hAnsi="黑体" w:eastAsia="黑体" w:cs="宋体"/>
          <w:sz w:val="24"/>
          <w:szCs w:val="24"/>
          <w:lang w:val="en-US" w:eastAsia="zh-CN"/>
        </w:rPr>
        <w:t>双重</w:t>
      </w:r>
      <w:r>
        <w:rPr>
          <w:rFonts w:hint="default" w:ascii="黑体" w:hAnsi="黑体" w:eastAsia="黑体" w:cs="宋体"/>
          <w:sz w:val="24"/>
          <w:szCs w:val="24"/>
          <w:lang w:val="en-US" w:eastAsia="zh-CN"/>
        </w:rPr>
        <w:t>驱动</w:t>
      </w:r>
    </w:p>
    <w:p w14:paraId="600DA798">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1、</w:t>
      </w:r>
      <w:r>
        <w:rPr>
          <w:rFonts w:hint="default" w:ascii="宋体" w:hAnsi="宋体" w:cs="宋体"/>
          <w:b/>
          <w:bCs/>
          <w:sz w:val="24"/>
          <w:szCs w:val="24"/>
          <w:lang w:val="en-US" w:eastAsia="zh-CN"/>
        </w:rPr>
        <w:t>契合国家战略导向</w:t>
      </w:r>
    </w:p>
    <w:p w14:paraId="7CBF20F4">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氧化锌烟尘高效回收标准化工作，精准契合《中国制造2025》中“绿色制造、循环发展”的核心要求，同时响应《“十四五”循环经济发展规划》中关于加强二次资源回收利用体系建设的部署，是推动有色金属行业绿色低碳转型的重要举措，具有明确的政策导向性与战略价值。</w:t>
      </w:r>
    </w:p>
    <w:p w14:paraId="46B9EF6D">
      <w:pPr>
        <w:adjustRightInd w:val="0"/>
        <w:snapToGrid w:val="0"/>
        <w:spacing w:line="360" w:lineRule="auto"/>
        <w:ind w:firstLine="482" w:firstLineChars="200"/>
        <w:rPr>
          <w:rFonts w:hint="default" w:ascii="宋体" w:hAnsi="宋体" w:cs="宋体"/>
          <w:b/>
          <w:bCs/>
          <w:sz w:val="24"/>
          <w:szCs w:val="24"/>
          <w:lang w:val="en-US" w:eastAsia="zh-CN"/>
        </w:rPr>
      </w:pPr>
      <w:r>
        <w:rPr>
          <w:rFonts w:hint="eastAsia" w:ascii="宋体" w:hAnsi="宋体" w:cs="宋体"/>
          <w:b/>
          <w:bCs/>
          <w:sz w:val="24"/>
          <w:szCs w:val="24"/>
          <w:lang w:val="en-US" w:eastAsia="zh-CN"/>
        </w:rPr>
        <w:t>2、赋能</w:t>
      </w:r>
      <w:r>
        <w:rPr>
          <w:rFonts w:hint="default" w:ascii="宋体" w:hAnsi="宋体" w:cs="宋体"/>
          <w:b/>
          <w:bCs/>
          <w:sz w:val="24"/>
          <w:szCs w:val="24"/>
          <w:lang w:val="en-US" w:eastAsia="zh-CN"/>
        </w:rPr>
        <w:t>企业降本增效</w:t>
      </w:r>
    </w:p>
    <w:p w14:paraId="46D06F74">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标准化技术体系可帮助企业精准选择适配的回收工艺，减少工艺试错成本，通过提升金属回收率、降低能耗物耗与设备维护成本，显著改善企业经济效益，增强产品在市场中的竞争力，为企业可持续发展奠定基础。</w:t>
      </w:r>
    </w:p>
    <w:p w14:paraId="29716BC1">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综上所述，制定氧化锌烟尘回收相关标准已迫在眉睫。该标准的出台，不仅能够为企业提供清晰的工艺选择依据与操作规范，有效解决行业内资源浪费、技术混乱、环保不达标的突出问题，还能搭建产学研协同创新平台，引导科研院校聚焦行业关键技术瓶颈开展攻关，加速先进技术成果的产业化转化。最终将推动铅锌冶炼行业形成“资源-回收-再利用”的良性循环，助力行业实现绿色、高效、可持续发展，为我国有色金属工业高质量发展提供有力支撑。</w:t>
      </w:r>
    </w:p>
    <w:p w14:paraId="577E2277">
      <w:pPr>
        <w:numPr>
          <w:ilvl w:val="0"/>
          <w:numId w:val="4"/>
        </w:numPr>
        <w:tabs>
          <w:tab w:val="left" w:pos="3108"/>
        </w:tabs>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任务来源</w:t>
      </w:r>
      <w:r>
        <w:rPr>
          <w:rFonts w:hint="eastAsia" w:ascii="黑体" w:hAnsi="黑体" w:eastAsia="黑体" w:cs="黑体"/>
          <w:sz w:val="24"/>
          <w:szCs w:val="24"/>
          <w:lang w:eastAsia="zh-CN"/>
        </w:rPr>
        <w:tab/>
      </w:r>
    </w:p>
    <w:p w14:paraId="1D1AC188">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rPr>
        <w:t>根据202</w:t>
      </w:r>
      <w:r>
        <w:rPr>
          <w:rFonts w:hint="eastAsia" w:ascii="宋体" w:hAnsi="宋体" w:cs="宋体"/>
          <w:sz w:val="24"/>
          <w:szCs w:val="24"/>
          <w:lang w:val="en-US" w:eastAsia="zh-CN"/>
        </w:rPr>
        <w:t>4</w:t>
      </w:r>
      <w:r>
        <w:rPr>
          <w:rFonts w:hint="eastAsia" w:ascii="宋体" w:hAnsi="宋体" w:cs="宋体"/>
          <w:sz w:val="24"/>
          <w:szCs w:val="24"/>
        </w:rPr>
        <w:t>年0</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16</w:t>
      </w:r>
      <w:r>
        <w:rPr>
          <w:rFonts w:hint="eastAsia" w:ascii="宋体" w:hAnsi="宋体" w:cs="宋体"/>
          <w:sz w:val="24"/>
          <w:szCs w:val="24"/>
        </w:rPr>
        <w:t>日全国有色金属标准化技术委员会《关于征集2024年度全国有色金属标准化技术委员会 年会论证标准项目计划的通知》（有色标委【202</w:t>
      </w: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val="en-US" w:eastAsia="zh-CN"/>
        </w:rPr>
        <w:t>90</w:t>
      </w:r>
      <w:r>
        <w:rPr>
          <w:rFonts w:hint="eastAsia" w:ascii="宋体" w:hAnsi="宋体" w:cs="宋体"/>
          <w:sz w:val="24"/>
          <w:szCs w:val="24"/>
        </w:rPr>
        <w:t>号）要求，云南驰宏锌锗股份有限公司牵头，呼伦贝尔驰宏矿业有限公司组织起草了《</w:t>
      </w:r>
      <w:r>
        <w:rPr>
          <w:rFonts w:hint="default" w:ascii="宋体" w:hAnsi="宋体" w:cs="宋体"/>
          <w:sz w:val="24"/>
          <w:szCs w:val="24"/>
          <w:lang w:val="en-US" w:eastAsia="zh-CN"/>
        </w:rPr>
        <w:t>火法炼铅系统氧化锌烟尘回收技术要求</w:t>
      </w:r>
      <w:r>
        <w:rPr>
          <w:rFonts w:hint="eastAsia" w:ascii="宋体" w:hAnsi="宋体" w:cs="宋体"/>
          <w:sz w:val="24"/>
          <w:szCs w:val="24"/>
        </w:rPr>
        <w:t>》，经专家会议评审，成功立项。</w:t>
      </w:r>
    </w:p>
    <w:p w14:paraId="405A3EE8">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根</w:t>
      </w:r>
      <w:r>
        <w:rPr>
          <w:rFonts w:hint="eastAsia" w:ascii="宋体" w:hAnsi="宋体" w:cs="宋体"/>
          <w:sz w:val="24"/>
          <w:szCs w:val="24"/>
          <w:lang w:val="en-US" w:eastAsia="zh-CN"/>
        </w:rPr>
        <w:t>据《关于转发2025年第一批有色金属国行团标准制（修）订项目计划及征集起草单位的通知-有色标委〔2025〕27号》，下达修编任务，计划标准号为</w:t>
      </w:r>
      <w:r>
        <w:rPr>
          <w:rFonts w:hint="default" w:ascii="宋体" w:hAnsi="宋体" w:cs="宋体"/>
          <w:sz w:val="24"/>
          <w:szCs w:val="24"/>
          <w:lang w:val="en-US" w:eastAsia="zh-CN"/>
        </w:rPr>
        <w:t>2025-017-T/CNIA</w:t>
      </w:r>
      <w:r>
        <w:rPr>
          <w:rFonts w:hint="eastAsia" w:ascii="宋体" w:hAnsi="宋体" w:cs="宋体"/>
          <w:sz w:val="24"/>
          <w:szCs w:val="24"/>
          <w:lang w:val="en-US" w:eastAsia="zh-CN"/>
        </w:rPr>
        <w:t>，项目周期为18个月，完成期限为2026年9月。标准主要起草单位为：云南驰宏锌锗股份有限公司、呼伦贝尔驰宏矿业有限公司、昆明有色冶金设计研究院股份公司、昆明理工大学、东北大学，技术归口为全国有色金属标准化技术委员会。</w:t>
      </w:r>
    </w:p>
    <w:p w14:paraId="740C5E65">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rPr>
        <w:t>根据全国有色金属标准化技术委员会相关要求，云南驰宏锌锗股份有限公司牵头，呼伦贝尔驰宏矿业有限公司组织开展《</w:t>
      </w:r>
      <w:r>
        <w:rPr>
          <w:rFonts w:hint="default" w:ascii="宋体" w:hAnsi="宋体" w:cs="宋体"/>
          <w:sz w:val="24"/>
          <w:szCs w:val="24"/>
          <w:lang w:val="en-US" w:eastAsia="zh-CN"/>
        </w:rPr>
        <w:t>火法炼铅系统氧化锌烟尘回收技术要求</w:t>
      </w:r>
      <w:r>
        <w:rPr>
          <w:rFonts w:hint="eastAsia" w:ascii="宋体" w:hAnsi="宋体" w:cs="宋体"/>
          <w:sz w:val="24"/>
          <w:szCs w:val="24"/>
        </w:rPr>
        <w:t>》行业标准的制定工作。</w:t>
      </w:r>
      <w:r>
        <w:rPr>
          <w:rFonts w:hint="default" w:ascii="宋体" w:hAnsi="宋体" w:cs="宋体"/>
          <w:sz w:val="24"/>
          <w:szCs w:val="24"/>
          <w:lang w:val="en-US" w:eastAsia="zh-CN"/>
        </w:rPr>
        <w:t>该项目旨在填补国内在火法炼铅系统氧化锌烟尘回收领域标准的空白，规范行业生产和技术操作。</w:t>
      </w:r>
    </w:p>
    <w:p w14:paraId="7AB43FF3">
      <w:p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（三）主要参加单位和工作成员及其所做的工作</w:t>
      </w:r>
    </w:p>
    <w:p w14:paraId="68D6268E">
      <w:pPr>
        <w:snapToGrid w:val="0"/>
        <w:spacing w:before="156" w:beforeLines="50" w:after="156" w:afterLines="50" w:line="360" w:lineRule="auto"/>
        <w:outlineLvl w:val="0"/>
        <w:rPr>
          <w:rFonts w:hint="eastAsia" w:ascii="黑体" w:hAnsi="黑体" w:eastAsia="黑体" w:cs="宋体"/>
          <w:sz w:val="24"/>
          <w:szCs w:val="24"/>
        </w:rPr>
      </w:pPr>
      <w:r>
        <w:rPr>
          <w:rFonts w:hint="eastAsia" w:ascii="黑体" w:hAnsi="黑体" w:eastAsia="黑体" w:cs="宋体"/>
          <w:sz w:val="24"/>
          <w:szCs w:val="24"/>
        </w:rPr>
        <w:t>3.1 主要参加单位工作情况</w:t>
      </w:r>
    </w:p>
    <w:p w14:paraId="5C29BCB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本文件主起草单位云南驰宏锌锗股份有限公司、呼伦贝尔驰宏矿业有限公司在标准的编制过程中，积极组织召开关于标准起草的工作会议，布置了标准起草、数据收集等相关工作。</w:t>
      </w:r>
    </w:p>
    <w:p w14:paraId="3B115A46">
      <w:pPr>
        <w:snapToGrid w:val="0"/>
        <w:spacing w:line="360" w:lineRule="auto"/>
        <w:ind w:firstLine="480" w:firstLineChars="200"/>
        <w:rPr>
          <w:rFonts w:ascii="宋体" w:hAnsi="宋体" w:cs="宋体"/>
          <w:sz w:val="24"/>
          <w:szCs w:val="24"/>
        </w:rPr>
      </w:pPr>
      <w:r>
        <w:rPr>
          <w:rFonts w:hint="eastAsia"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04</w:t>
      </w:r>
      <w:r>
        <w:rPr>
          <w:rFonts w:hint="eastAsia" w:ascii="宋体" w:hAnsi="宋体" w:cs="宋体"/>
          <w:sz w:val="24"/>
          <w:szCs w:val="24"/>
        </w:rPr>
        <w:t>月，呼伦贝尔驰宏矿业有限公司编制《</w:t>
      </w:r>
      <w:r>
        <w:rPr>
          <w:rFonts w:hint="default" w:ascii="宋体" w:hAnsi="宋体" w:cs="宋体"/>
          <w:sz w:val="24"/>
          <w:szCs w:val="24"/>
          <w:lang w:val="en-US" w:eastAsia="zh-CN"/>
        </w:rPr>
        <w:t>火法炼铅系统氧化锌烟尘回收技术要求</w:t>
      </w:r>
      <w:r>
        <w:rPr>
          <w:rFonts w:hint="eastAsia" w:ascii="宋体" w:hAnsi="宋体" w:cs="宋体"/>
          <w:sz w:val="24"/>
          <w:szCs w:val="24"/>
        </w:rPr>
        <w:t>》有色金属协会标准任务落实书，对标准的起草任务进行确定，成立了标准编制组，确定了时间进度安排和主要内容等。</w:t>
      </w:r>
    </w:p>
    <w:p w14:paraId="0D126F2F">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云南驰宏资源综合利用有限公司等企业在标准编制过程中，积极配合主编单位开展大量调研工作，为标准文件的编写贡献了切实可行且极具针对性的修改建议，协助了解各单位</w:t>
      </w:r>
      <w:r>
        <w:rPr>
          <w:rFonts w:hint="default" w:ascii="宋体" w:hAnsi="宋体" w:cs="宋体"/>
          <w:sz w:val="24"/>
          <w:szCs w:val="24"/>
          <w:lang w:val="en-US" w:eastAsia="zh-CN"/>
        </w:rPr>
        <w:t>火法炼铅系统氧化锌烟尘</w:t>
      </w:r>
      <w:r>
        <w:rPr>
          <w:rFonts w:hint="eastAsia" w:ascii="宋体" w:hAnsi="宋体" w:cs="宋体"/>
          <w:sz w:val="24"/>
          <w:szCs w:val="24"/>
          <w:lang w:val="en-US" w:eastAsia="zh-CN"/>
        </w:rPr>
        <w:t>回收</w:t>
      </w:r>
      <w:r>
        <w:rPr>
          <w:rFonts w:hint="eastAsia" w:ascii="宋体" w:hAnsi="宋体" w:cs="宋体"/>
          <w:sz w:val="24"/>
          <w:szCs w:val="24"/>
        </w:rPr>
        <w:t>现状等，针对标准文本提出诸多修改意见，为标准文件内容的确定打下了坚实的基础。</w:t>
      </w:r>
    </w:p>
    <w:p w14:paraId="5ACC00DA">
      <w:pPr>
        <w:adjustRightInd w:val="0"/>
        <w:snapToGrid w:val="0"/>
        <w:spacing w:line="360" w:lineRule="auto"/>
        <w:ind w:firstLine="480" w:firstLineChars="200"/>
        <w:rPr>
          <w:rFonts w:hint="eastAsia" w:ascii="宋体" w:hAnsi="宋体" w:cs="宋体"/>
          <w:sz w:val="24"/>
          <w:szCs w:val="24"/>
          <w:lang w:val="en-US" w:eastAsia="zh-CN"/>
        </w:rPr>
      </w:pPr>
      <w:r>
        <w:rPr>
          <w:rFonts w:hint="default" w:ascii="宋体" w:hAnsi="宋体" w:cs="宋体"/>
          <w:sz w:val="24"/>
          <w:szCs w:val="24"/>
          <w:lang w:val="en-US" w:eastAsia="zh-CN"/>
        </w:rPr>
        <w:t>呼伦贝尔驰宏矿业有限公司积极配合牵头单位，参与标准的起草和讨论工作。公司凭借丰富的生产实践经验，对标准中的技术指标和工艺要求提出了许多宝贵的建议，确保标准具有实际可操作性。</w:t>
      </w:r>
    </w:p>
    <w:p w14:paraId="2D6F6C83">
      <w:pPr>
        <w:snapToGrid w:val="0"/>
        <w:spacing w:before="156" w:beforeLines="50" w:after="156" w:afterLines="50" w:line="360" w:lineRule="auto"/>
        <w:outlineLvl w:val="0"/>
        <w:rPr>
          <w:rFonts w:ascii="黑体" w:hAnsi="黑体" w:eastAsia="黑体" w:cs="宋体"/>
          <w:sz w:val="24"/>
          <w:szCs w:val="24"/>
        </w:rPr>
      </w:pPr>
      <w:r>
        <w:rPr>
          <w:rFonts w:ascii="黑体" w:hAnsi="黑体" w:eastAsia="黑体" w:cs="宋体"/>
          <w:sz w:val="24"/>
          <w:szCs w:val="24"/>
        </w:rPr>
        <w:t>3</w:t>
      </w:r>
      <w:r>
        <w:rPr>
          <w:rFonts w:hint="eastAsia" w:ascii="黑体" w:hAnsi="黑体" w:eastAsia="黑体" w:cs="宋体"/>
          <w:sz w:val="24"/>
          <w:szCs w:val="24"/>
        </w:rPr>
        <w:t>.2 主起草单位技术基础</w:t>
      </w:r>
    </w:p>
    <w:p w14:paraId="25FE2EC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云南驰宏锌锗股份有限公司由中铝集团控股的上市公司，公司成立于2000年7月，注册资本1,667,560,890元人民币，现有员工10014人，是一户以铅、锌产业为主，集地质勘探、采矿、选矿、冶金、化工、深加工、贸易和科研为一体的央企控股A股上市公司。</w:t>
      </w:r>
    </w:p>
    <w:p w14:paraId="0D4B0FF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驰宏锌锗前身云南会泽铅锌矿，始成立于1951年1月，是我国“一五”计划156个重点建设项目之一，也是中国最早从氧化铅锌矿中提取锗用于国防尖端工业建设的企业，为“两弹一星”的成功研制做出过贡献。经过60多年的传承与创新发展，驰宏锌锗现已发展成为在国内的云南、四川、内蒙古、黑龙江、西藏、香港以及国外的加拿大、澳大利亚、玻利维亚等地拥有40家分子公司的集团化、国际化企业，资源品种覆盖铅、锌、锗、银、金、铟、铜、钼等多种有色金属。截止2015年末，驰宏锌锗资产总额逾330亿元，位列全国铅锌行业之首，具备年采矿300万吨、选矿450万吨、冶炼产能35万吨，综合回收金、银、锗、镉、铋、锑、铟等伴生金属1100余吨，主要装备、环保和工艺技术处于“国内一流、国际先进”水平，综合竞争力名列国内同行业前茅。</w:t>
      </w:r>
    </w:p>
    <w:p w14:paraId="46EC26C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驰宏锌锗积极顺应产业发展导向，努力发展绿色循环经济，构建了“风险地质勘探——矿山无废开采——冶炼清洁生产——“三废”循环利用——稀贵金属综合回收——产品精深加工”全产业链发展模式。驰宏锌锗具有冶金行业专业乙级、建筑行业专业丙级资质，拥有“富氧顶吹-侧吹还原和奥斯迈特粗铅熔炼技术”、“湿法炼锌—深度净化—长周期电积”专有知识产权，“隐伏矿体定位预测方法”、“矿山膏体胶结充填采矿技术”等数十项核心技术，拥有省级实验研究平台3个，有效授权专利100余件。</w:t>
      </w:r>
    </w:p>
    <w:p w14:paraId="7576FAA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呼伦贝尔驰宏矿业有限公司于2007年6月9日成立，占地1300余亩，注册资本金32.15亿元，现有员工922名，管理人员占10%、专业技术人员占14%、操作维修类占76%，硕士学历占1%、本科学历占27%、专科学历占38%、中专学历占33%、初中学历占1%。</w:t>
      </w:r>
    </w:p>
    <w:p w14:paraId="07EF4556">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呼伦贝尔驰宏矿业有限公司设计规模为年产铅6万吨、锌14万吨、硫酸16万吨，综合回收稀贵金属产品，年产值50亿元。主要经营多金属探矿、开采、选矿、冶炼、深加工及伴生有价金属综合回收、国内外贸易及投资等业务。铅系统设计采用</w:t>
      </w:r>
      <w:r>
        <w:rPr>
          <w:rFonts w:ascii="宋体" w:hAnsi="宋体" w:cs="宋体"/>
          <w:sz w:val="24"/>
          <w:szCs w:val="24"/>
        </w:rPr>
        <w:t>Ausmelt炉</w:t>
      </w:r>
      <w:r>
        <w:rPr>
          <w:rFonts w:hint="eastAsia" w:ascii="宋体" w:hAnsi="宋体" w:cs="宋体"/>
          <w:sz w:val="24"/>
          <w:szCs w:val="24"/>
        </w:rPr>
        <w:t>富氧顶吹氧化+富氧侧吹还原熔炼工艺。</w:t>
      </w:r>
      <w:r>
        <w:rPr>
          <w:rFonts w:ascii="宋体" w:hAnsi="宋体" w:cs="宋体"/>
          <w:sz w:val="24"/>
          <w:szCs w:val="24"/>
        </w:rPr>
        <w:t>锌冶炼系统采用</w:t>
      </w:r>
      <w:r>
        <w:rPr>
          <w:rFonts w:hint="eastAsia" w:ascii="宋体" w:hAnsi="宋体" w:cs="宋体"/>
          <w:sz w:val="24"/>
          <w:szCs w:val="24"/>
        </w:rPr>
        <w:t>具有</w:t>
      </w:r>
      <w:r>
        <w:rPr>
          <w:rFonts w:ascii="宋体" w:hAnsi="宋体" w:cs="宋体"/>
          <w:sz w:val="24"/>
          <w:szCs w:val="24"/>
        </w:rPr>
        <w:t>自有知识产权、世界先进的二段氧压浸出技术，该技术是国家发改委认定未来锌冶炼所用的标杆型技术，锌浸出率可达98%以上，与传统浸出工艺浸出率相比高出</w:t>
      </w:r>
      <w:r>
        <w:rPr>
          <w:rFonts w:hint="eastAsia" w:ascii="宋体" w:hAnsi="宋体" w:cs="宋体"/>
          <w:sz w:val="24"/>
          <w:szCs w:val="24"/>
        </w:rPr>
        <w:t>10～</w:t>
      </w:r>
      <w:r>
        <w:rPr>
          <w:rFonts w:ascii="宋体" w:hAnsi="宋体" w:cs="宋体"/>
          <w:sz w:val="24"/>
          <w:szCs w:val="24"/>
        </w:rPr>
        <w:t>18个百分点，该技术与传统的沸腾焙烧工艺相比，生产过程中没有二氧化硫气体产生，有利于环境保护，并具有较强的原料适应性及较高的金属回收率。</w:t>
      </w:r>
      <w:r>
        <w:rPr>
          <w:rFonts w:hint="eastAsia" w:ascii="宋体" w:hAnsi="宋体" w:cs="宋体"/>
          <w:sz w:val="24"/>
          <w:szCs w:val="24"/>
        </w:rPr>
        <w:t>2019年新建14000t/a锌铅合金粉喷吹生产线。</w:t>
      </w:r>
    </w:p>
    <w:p w14:paraId="2307C41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呼伦贝尔驰宏矿业有限公司2018年组织开展了高新技术企业的申报工作，2018年年底被内蒙古自治区第一批认定为“高新技术企业”。2019年组织开展了国家实验室的认证工作，2019年10月获得CNAS的认证证书。呼伦贝尔驰宏矿业有限公司现有授权专利有</w:t>
      </w:r>
      <w:r>
        <w:rPr>
          <w:rFonts w:ascii="宋体" w:hAnsi="宋体" w:cs="宋体"/>
          <w:sz w:val="24"/>
          <w:szCs w:val="24"/>
        </w:rPr>
        <w:t>38</w:t>
      </w:r>
      <w:r>
        <w:rPr>
          <w:rFonts w:hint="eastAsia" w:ascii="宋体" w:hAnsi="宋体" w:cs="宋体"/>
          <w:sz w:val="24"/>
          <w:szCs w:val="24"/>
        </w:rPr>
        <w:t>项，实用新型专利</w:t>
      </w:r>
      <w:r>
        <w:rPr>
          <w:rFonts w:ascii="宋体" w:hAnsi="宋体" w:cs="宋体"/>
          <w:sz w:val="24"/>
          <w:szCs w:val="24"/>
        </w:rPr>
        <w:t>29</w:t>
      </w:r>
      <w:r>
        <w:rPr>
          <w:rFonts w:hint="eastAsia" w:ascii="宋体" w:hAnsi="宋体" w:cs="宋体"/>
          <w:sz w:val="24"/>
          <w:szCs w:val="24"/>
        </w:rPr>
        <w:t>项，发明专利</w:t>
      </w:r>
      <w:r>
        <w:rPr>
          <w:rFonts w:ascii="宋体" w:hAnsi="宋体" w:cs="宋体"/>
          <w:sz w:val="24"/>
          <w:szCs w:val="24"/>
        </w:rPr>
        <w:t>8</w:t>
      </w:r>
      <w:r>
        <w:rPr>
          <w:rFonts w:hint="eastAsia" w:ascii="宋体" w:hAnsi="宋体" w:cs="宋体"/>
          <w:sz w:val="24"/>
          <w:szCs w:val="24"/>
        </w:rPr>
        <w:t>项，外观设计专利1项。2015年成立了研发中心，现有车间级实验室3个，先后与昆明理工大学、东北大学、昆明冶金研究院、湖南有色研究院等多家单位建立科研企联合体，开展产、学、研技术攻关工作和高新技术产品的引进、开发，为铅锌冶炼技术的革新奠定了坚实的基础，为高素质、高技术、高水平科研人才的培养创造了良好的条件。</w:t>
      </w:r>
    </w:p>
    <w:p w14:paraId="35EB3E1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云南驰宏资源综合利用有限公司由国有控股的A股上市公司云南驰宏锌锗股份有限公司与彝良驰宏矿业有限公司共同出资设立，公司成立于2015年8月25日，注册资本25.9亿元。位于曲靖市经济技术开发区宁州路1号，占地面积1406亩。是一户以铅锌冶炼为主，集冶金、化工、深加工和科研为一体的企业。</w:t>
      </w:r>
    </w:p>
    <w:p w14:paraId="66AAC81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云南驰宏资源综合利用有限公司设计产能为：年产电铅10万吨、电锌10万吨、粗铅8万吨、硫酸28万吨、1.6㎡阴阳极板2.4万片、3.2㎡阴阳极板3.2万片、金150千克、银180吨、镉、铋、锑400余吨等稀贵金属的综合生产能力，同时具有利用余热年发电5200万千瓦时，附产硫酸铵化肥14000T/a的生产能力。</w:t>
      </w:r>
    </w:p>
    <w:p w14:paraId="5C1F5DF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云南驰宏资源综合利用有限公司拥有34项自主知识产权，15项省级以上科技成果，具备较强的科技创新能力。公司自2016年起连续5年实现正利润，成为驰宏锌锗冶炼企业的名片，公司先后被云南省政府、曲靖市政府授予“高新技术企业”“节水标杆型企业”“绿色工厂”“曲靖市企业技术中心”“云南省2021年工业企业铅冶炼能效领跑者”、“云南省质量标杆企业”等荣誉称号。</w:t>
      </w:r>
    </w:p>
    <w:p w14:paraId="7BD93638">
      <w:pPr>
        <w:snapToGrid w:val="0"/>
        <w:spacing w:before="156" w:beforeLines="50" w:after="156" w:afterLines="50" w:line="360" w:lineRule="auto"/>
        <w:outlineLvl w:val="0"/>
        <w:rPr>
          <w:rFonts w:ascii="黑体" w:hAnsi="黑体" w:eastAsia="黑体" w:cs="宋体"/>
          <w:sz w:val="24"/>
          <w:szCs w:val="24"/>
        </w:rPr>
      </w:pPr>
      <w:r>
        <w:rPr>
          <w:rFonts w:ascii="黑体" w:hAnsi="黑体" w:eastAsia="黑体" w:cs="宋体"/>
          <w:sz w:val="24"/>
          <w:szCs w:val="24"/>
        </w:rPr>
        <w:t>3</w:t>
      </w:r>
      <w:r>
        <w:rPr>
          <w:rFonts w:hint="eastAsia" w:ascii="黑体" w:hAnsi="黑体" w:eastAsia="黑体" w:cs="宋体"/>
          <w:sz w:val="24"/>
          <w:szCs w:val="24"/>
        </w:rPr>
        <w:t>.3 主要工作成员所负责的工作情况</w:t>
      </w:r>
    </w:p>
    <w:p w14:paraId="4B0F6928">
      <w:pPr>
        <w:snapToGrid w:val="0"/>
        <w:spacing w:line="360" w:lineRule="auto"/>
        <w:ind w:firstLine="480" w:firstLineChars="200"/>
        <w:rPr>
          <w:rFonts w:ascii="宋体" w:hAnsi="宋体" w:cs="宋体"/>
          <w:sz w:val="24"/>
          <w:szCs w:val="24"/>
        </w:rPr>
      </w:pPr>
      <w:r>
        <w:rPr>
          <w:rFonts w:hint="eastAsia" w:ascii="宋体" w:hAnsi="宋体" w:cs="宋体"/>
          <w:sz w:val="24"/>
          <w:szCs w:val="24"/>
        </w:rPr>
        <w:t>本文件主要起草人及工作职责见表1：</w:t>
      </w:r>
    </w:p>
    <w:p w14:paraId="5DFFFBC5">
      <w:pPr>
        <w:snapToGrid w:val="0"/>
        <w:spacing w:line="360" w:lineRule="auto"/>
        <w:jc w:val="center"/>
        <w:rPr>
          <w:rFonts w:hint="eastAsia" w:ascii="宋体" w:hAnsi="宋体" w:cs="宋体"/>
          <w:b/>
          <w:bCs/>
          <w:sz w:val="24"/>
          <w:szCs w:val="24"/>
        </w:rPr>
      </w:pPr>
      <w:r>
        <w:rPr>
          <w:rFonts w:hint="eastAsia" w:ascii="宋体" w:hAnsi="宋体" w:cs="宋体"/>
          <w:b/>
          <w:bCs/>
          <w:sz w:val="24"/>
          <w:szCs w:val="24"/>
        </w:rPr>
        <w:t>表1 本文件主要起草人及工作职责</w:t>
      </w:r>
    </w:p>
    <w:tbl>
      <w:tblPr>
        <w:tblStyle w:val="16"/>
        <w:tblW w:w="94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937"/>
        <w:gridCol w:w="2883"/>
        <w:gridCol w:w="4923"/>
      </w:tblGrid>
      <w:tr w14:paraId="6751F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1" w:type="dxa"/>
            <w:tcBorders>
              <w:tl2br w:val="nil"/>
              <w:tr2bl w:val="nil"/>
            </w:tcBorders>
            <w:vAlign w:val="center"/>
          </w:tcPr>
          <w:p w14:paraId="09EEAF9E">
            <w:pPr>
              <w:jc w:val="center"/>
              <w:rPr>
                <w:rFonts w:ascii="宋体" w:hAnsi="宋体" w:cs="宋体"/>
                <w:b/>
                <w:bCs/>
                <w:szCs w:val="21"/>
              </w:rPr>
            </w:pPr>
            <w:r>
              <w:rPr>
                <w:rFonts w:hint="eastAsia" w:ascii="宋体" w:hAnsi="宋体" w:cs="宋体"/>
                <w:b/>
                <w:bCs/>
                <w:szCs w:val="21"/>
              </w:rPr>
              <w:t>序号</w:t>
            </w:r>
          </w:p>
        </w:tc>
        <w:tc>
          <w:tcPr>
            <w:tcW w:w="937" w:type="dxa"/>
            <w:tcBorders>
              <w:tl2br w:val="nil"/>
              <w:tr2bl w:val="nil"/>
            </w:tcBorders>
            <w:vAlign w:val="center"/>
          </w:tcPr>
          <w:p w14:paraId="3C74B1C6">
            <w:pPr>
              <w:jc w:val="center"/>
              <w:rPr>
                <w:rFonts w:ascii="宋体" w:hAnsi="宋体" w:cs="宋体"/>
                <w:b/>
                <w:bCs/>
                <w:szCs w:val="21"/>
              </w:rPr>
            </w:pPr>
            <w:r>
              <w:rPr>
                <w:rFonts w:hint="eastAsia" w:ascii="宋体" w:hAnsi="宋体" w:cs="宋体"/>
                <w:b/>
                <w:bCs/>
                <w:szCs w:val="21"/>
              </w:rPr>
              <w:t>姓  名</w:t>
            </w:r>
          </w:p>
        </w:tc>
        <w:tc>
          <w:tcPr>
            <w:tcW w:w="2883" w:type="dxa"/>
            <w:tcBorders>
              <w:tl2br w:val="nil"/>
              <w:tr2bl w:val="nil"/>
            </w:tcBorders>
            <w:vAlign w:val="center"/>
          </w:tcPr>
          <w:p w14:paraId="4AB14883">
            <w:pPr>
              <w:jc w:val="center"/>
              <w:rPr>
                <w:rFonts w:ascii="宋体" w:hAnsi="宋体" w:cs="宋体"/>
                <w:b/>
                <w:bCs/>
                <w:szCs w:val="21"/>
              </w:rPr>
            </w:pPr>
            <w:r>
              <w:rPr>
                <w:rFonts w:hint="eastAsia" w:ascii="宋体" w:hAnsi="宋体" w:cs="宋体"/>
                <w:b/>
                <w:bCs/>
                <w:szCs w:val="21"/>
              </w:rPr>
              <w:t>所属单位</w:t>
            </w:r>
          </w:p>
        </w:tc>
        <w:tc>
          <w:tcPr>
            <w:tcW w:w="4923" w:type="dxa"/>
            <w:tcBorders>
              <w:tl2br w:val="nil"/>
              <w:tr2bl w:val="nil"/>
            </w:tcBorders>
            <w:vAlign w:val="center"/>
          </w:tcPr>
          <w:p w14:paraId="798299D6">
            <w:pPr>
              <w:jc w:val="center"/>
              <w:rPr>
                <w:rFonts w:ascii="宋体" w:hAnsi="宋体" w:cs="宋体"/>
                <w:b/>
                <w:bCs/>
                <w:szCs w:val="21"/>
              </w:rPr>
            </w:pPr>
            <w:r>
              <w:rPr>
                <w:rFonts w:hint="eastAsia" w:ascii="宋体" w:hAnsi="宋体" w:cs="宋体"/>
                <w:b/>
                <w:bCs/>
                <w:szCs w:val="21"/>
              </w:rPr>
              <w:t>工作职责</w:t>
            </w:r>
          </w:p>
        </w:tc>
      </w:tr>
      <w:tr w14:paraId="23914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tcBorders>
              <w:tl2br w:val="nil"/>
              <w:tr2bl w:val="nil"/>
            </w:tcBorders>
            <w:vAlign w:val="center"/>
          </w:tcPr>
          <w:p w14:paraId="7AA7B16B">
            <w:pPr>
              <w:jc w:val="center"/>
              <w:rPr>
                <w:rFonts w:ascii="宋体" w:hAnsi="宋体" w:cs="宋体"/>
                <w:szCs w:val="21"/>
              </w:rPr>
            </w:pPr>
            <w:r>
              <w:rPr>
                <w:rFonts w:hint="eastAsia" w:ascii="宋体" w:hAnsi="宋体" w:cs="宋体"/>
                <w:szCs w:val="21"/>
              </w:rPr>
              <w:t>1</w:t>
            </w:r>
          </w:p>
        </w:tc>
        <w:tc>
          <w:tcPr>
            <w:tcW w:w="937" w:type="dxa"/>
            <w:tcBorders>
              <w:tl2br w:val="nil"/>
              <w:tr2bl w:val="nil"/>
            </w:tcBorders>
            <w:vAlign w:val="center"/>
          </w:tcPr>
          <w:p w14:paraId="21347E47">
            <w:pPr>
              <w:jc w:val="center"/>
              <w:rPr>
                <w:rFonts w:ascii="宋体" w:hAnsi="宋体" w:cs="宋体"/>
                <w:szCs w:val="21"/>
              </w:rPr>
            </w:pPr>
            <w:r>
              <w:rPr>
                <w:rFonts w:hint="eastAsia" w:ascii="宋体" w:hAnsi="宋体" w:cs="宋体"/>
                <w:szCs w:val="21"/>
              </w:rPr>
              <w:t>谢庭芳</w:t>
            </w:r>
          </w:p>
        </w:tc>
        <w:tc>
          <w:tcPr>
            <w:tcW w:w="2883" w:type="dxa"/>
            <w:tcBorders>
              <w:tl2br w:val="nil"/>
              <w:tr2bl w:val="nil"/>
            </w:tcBorders>
            <w:vAlign w:val="center"/>
          </w:tcPr>
          <w:p w14:paraId="58DBD1F6">
            <w:pPr>
              <w:jc w:val="center"/>
              <w:rPr>
                <w:rFonts w:ascii="宋体" w:hAnsi="宋体" w:cs="宋体"/>
                <w:szCs w:val="21"/>
              </w:rPr>
            </w:pPr>
            <w:r>
              <w:rPr>
                <w:rFonts w:hint="eastAsia" w:ascii="宋体" w:hAnsi="宋体" w:cs="宋体"/>
                <w:szCs w:val="21"/>
              </w:rPr>
              <w:t>呼伦贝尔驰宏矿业有限公司</w:t>
            </w:r>
          </w:p>
        </w:tc>
        <w:tc>
          <w:tcPr>
            <w:tcW w:w="4923" w:type="dxa"/>
            <w:tcBorders>
              <w:tl2br w:val="nil"/>
              <w:tr2bl w:val="nil"/>
            </w:tcBorders>
            <w:vAlign w:val="center"/>
          </w:tcPr>
          <w:p w14:paraId="01C36180">
            <w:pPr>
              <w:rPr>
                <w:rFonts w:ascii="宋体" w:hAnsi="宋体" w:cs="宋体"/>
                <w:szCs w:val="21"/>
              </w:rPr>
            </w:pPr>
            <w:r>
              <w:rPr>
                <w:rFonts w:hint="eastAsia" w:ascii="宋体" w:hAnsi="宋体" w:cs="宋体"/>
                <w:szCs w:val="21"/>
              </w:rPr>
              <w:t>标准文本内容总体审核</w:t>
            </w:r>
          </w:p>
        </w:tc>
      </w:tr>
      <w:tr w14:paraId="235CF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vAlign w:val="center"/>
          </w:tcPr>
          <w:p w14:paraId="16631EAE">
            <w:pPr>
              <w:jc w:val="center"/>
              <w:rPr>
                <w:rFonts w:ascii="宋体" w:hAnsi="宋体" w:cs="宋体"/>
                <w:szCs w:val="21"/>
              </w:rPr>
            </w:pPr>
            <w:r>
              <w:rPr>
                <w:rFonts w:hint="eastAsia" w:ascii="宋体" w:hAnsi="宋体" w:cs="宋体"/>
                <w:szCs w:val="21"/>
              </w:rPr>
              <w:t>2</w:t>
            </w:r>
          </w:p>
        </w:tc>
        <w:tc>
          <w:tcPr>
            <w:tcW w:w="937" w:type="dxa"/>
            <w:tcBorders>
              <w:tl2br w:val="nil"/>
              <w:tr2bl w:val="nil"/>
            </w:tcBorders>
            <w:vAlign w:val="center"/>
          </w:tcPr>
          <w:p w14:paraId="5C4FCA1B">
            <w:pPr>
              <w:jc w:val="center"/>
              <w:rPr>
                <w:rFonts w:ascii="宋体" w:hAnsi="宋体" w:cs="宋体"/>
                <w:szCs w:val="21"/>
              </w:rPr>
            </w:pPr>
            <w:r>
              <w:rPr>
                <w:rFonts w:hint="eastAsia" w:ascii="宋体" w:hAnsi="宋体" w:cs="宋体"/>
                <w:szCs w:val="21"/>
              </w:rPr>
              <w:t>伍贺东</w:t>
            </w:r>
          </w:p>
        </w:tc>
        <w:tc>
          <w:tcPr>
            <w:tcW w:w="2883" w:type="dxa"/>
            <w:tcBorders>
              <w:tl2br w:val="nil"/>
              <w:tr2bl w:val="nil"/>
            </w:tcBorders>
            <w:vAlign w:val="center"/>
          </w:tcPr>
          <w:p w14:paraId="54590041">
            <w:pPr>
              <w:jc w:val="center"/>
              <w:rPr>
                <w:rFonts w:ascii="宋体" w:hAnsi="宋体" w:cs="宋体"/>
                <w:szCs w:val="21"/>
              </w:rPr>
            </w:pPr>
            <w:r>
              <w:rPr>
                <w:rFonts w:hint="eastAsia" w:ascii="宋体" w:hAnsi="宋体" w:cs="宋体"/>
                <w:szCs w:val="21"/>
              </w:rPr>
              <w:t>呼伦贝尔驰宏矿业有限公司</w:t>
            </w:r>
          </w:p>
        </w:tc>
        <w:tc>
          <w:tcPr>
            <w:tcW w:w="4923" w:type="dxa"/>
            <w:tcBorders>
              <w:tl2br w:val="nil"/>
              <w:tr2bl w:val="nil"/>
            </w:tcBorders>
            <w:vAlign w:val="center"/>
          </w:tcPr>
          <w:p w14:paraId="1F5216B3">
            <w:pPr>
              <w:rPr>
                <w:rFonts w:ascii="宋体" w:hAnsi="宋体" w:cs="宋体"/>
                <w:szCs w:val="21"/>
              </w:rPr>
            </w:pPr>
            <w:r>
              <w:rPr>
                <w:rFonts w:hint="eastAsia" w:ascii="宋体" w:hAnsi="宋体" w:cs="宋体"/>
                <w:szCs w:val="21"/>
              </w:rPr>
              <w:t>标准文本主要内容编写，规范标准格式</w:t>
            </w:r>
          </w:p>
        </w:tc>
      </w:tr>
      <w:tr w14:paraId="0DBA5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vAlign w:val="center"/>
          </w:tcPr>
          <w:p w14:paraId="7107860D">
            <w:pPr>
              <w:jc w:val="center"/>
              <w:rPr>
                <w:rFonts w:ascii="宋体" w:hAnsi="宋体" w:cs="宋体"/>
                <w:szCs w:val="21"/>
              </w:rPr>
            </w:pPr>
            <w:r>
              <w:rPr>
                <w:rFonts w:hint="eastAsia" w:ascii="宋体" w:hAnsi="宋体" w:cs="宋体"/>
                <w:szCs w:val="21"/>
              </w:rPr>
              <w:t>3</w:t>
            </w:r>
          </w:p>
        </w:tc>
        <w:tc>
          <w:tcPr>
            <w:tcW w:w="937" w:type="dxa"/>
            <w:tcBorders>
              <w:tl2br w:val="nil"/>
              <w:tr2bl w:val="nil"/>
            </w:tcBorders>
            <w:vAlign w:val="center"/>
          </w:tcPr>
          <w:p w14:paraId="0C66E958">
            <w:pPr>
              <w:jc w:val="center"/>
              <w:rPr>
                <w:rFonts w:ascii="宋体" w:hAnsi="宋体" w:cs="宋体"/>
                <w:szCs w:val="21"/>
              </w:rPr>
            </w:pPr>
            <w:r>
              <w:rPr>
                <w:rFonts w:hint="eastAsia" w:ascii="Times New Roman"/>
                <w:lang w:val="en-US" w:eastAsia="zh-CN"/>
              </w:rPr>
              <w:t>梁    爽</w:t>
            </w:r>
          </w:p>
        </w:tc>
        <w:tc>
          <w:tcPr>
            <w:tcW w:w="2883" w:type="dxa"/>
            <w:tcBorders>
              <w:tl2br w:val="nil"/>
              <w:tr2bl w:val="nil"/>
            </w:tcBorders>
            <w:vAlign w:val="center"/>
          </w:tcPr>
          <w:p w14:paraId="26ACC8BC">
            <w:pPr>
              <w:jc w:val="center"/>
              <w:rPr>
                <w:rFonts w:ascii="宋体" w:hAnsi="宋体" w:cs="宋体"/>
                <w:szCs w:val="21"/>
              </w:rPr>
            </w:pPr>
            <w:r>
              <w:rPr>
                <w:rFonts w:hint="eastAsia" w:ascii="宋体" w:hAnsi="宋体" w:cs="宋体"/>
                <w:szCs w:val="21"/>
              </w:rPr>
              <w:t>呼伦贝尔驰宏矿业有限公司</w:t>
            </w:r>
          </w:p>
        </w:tc>
        <w:tc>
          <w:tcPr>
            <w:tcW w:w="4923" w:type="dxa"/>
            <w:tcBorders>
              <w:tl2br w:val="nil"/>
              <w:tr2bl w:val="nil"/>
            </w:tcBorders>
            <w:vAlign w:val="center"/>
          </w:tcPr>
          <w:p w14:paraId="6DE0984E">
            <w:pPr>
              <w:rPr>
                <w:rFonts w:ascii="宋体" w:hAnsi="宋体" w:cs="宋体"/>
                <w:szCs w:val="21"/>
              </w:rPr>
            </w:pPr>
            <w:r>
              <w:rPr>
                <w:rFonts w:hint="eastAsia" w:ascii="宋体" w:hAnsi="宋体" w:cs="宋体"/>
                <w:szCs w:val="21"/>
              </w:rPr>
              <w:t>标准文本主要内容编写，规范标准格式</w:t>
            </w:r>
          </w:p>
        </w:tc>
      </w:tr>
      <w:tr w14:paraId="4054F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vAlign w:val="center"/>
          </w:tcPr>
          <w:p w14:paraId="24CD982D">
            <w:pPr>
              <w:jc w:val="center"/>
              <w:rPr>
                <w:rFonts w:hint="eastAsia" w:ascii="宋体" w:hAnsi="宋体" w:cs="宋体" w:eastAsiaTheme="minorEastAsia"/>
                <w:szCs w:val="21"/>
                <w:lang w:val="en-US" w:eastAsia="zh-CN"/>
              </w:rPr>
            </w:pPr>
            <w:r>
              <w:rPr>
                <w:rFonts w:hint="eastAsia" w:ascii="宋体" w:hAnsi="宋体" w:cs="宋体"/>
                <w:szCs w:val="21"/>
                <w:lang w:val="en-US" w:eastAsia="zh-CN"/>
              </w:rPr>
              <w:t>4</w:t>
            </w:r>
          </w:p>
        </w:tc>
        <w:tc>
          <w:tcPr>
            <w:tcW w:w="937" w:type="dxa"/>
            <w:tcBorders>
              <w:tl2br w:val="nil"/>
              <w:tr2bl w:val="nil"/>
            </w:tcBorders>
            <w:vAlign w:val="center"/>
          </w:tcPr>
          <w:p w14:paraId="1E92A353">
            <w:pPr>
              <w:jc w:val="center"/>
              <w:rPr>
                <w:rFonts w:hint="default" w:ascii="Times New Roman"/>
                <w:lang w:val="en-US" w:eastAsia="zh-CN"/>
              </w:rPr>
            </w:pPr>
            <w:r>
              <w:rPr>
                <w:rFonts w:hint="eastAsia" w:ascii="Times New Roman"/>
                <w:lang w:val="en-US" w:eastAsia="zh-CN"/>
              </w:rPr>
              <w:t>刘立阳</w:t>
            </w:r>
          </w:p>
        </w:tc>
        <w:tc>
          <w:tcPr>
            <w:tcW w:w="2883" w:type="dxa"/>
            <w:tcBorders>
              <w:tl2br w:val="nil"/>
              <w:tr2bl w:val="nil"/>
            </w:tcBorders>
            <w:shd w:val="clear" w:color="auto" w:fill="auto"/>
            <w:vAlign w:val="center"/>
          </w:tcPr>
          <w:p w14:paraId="7CB7C84E">
            <w:pPr>
              <w:jc w:val="center"/>
              <w:rPr>
                <w:rFonts w:hint="eastAsia" w:ascii="宋体" w:hAnsi="宋体" w:cs="宋体" w:eastAsiaTheme="minorEastAsia"/>
                <w:kern w:val="2"/>
                <w:sz w:val="21"/>
                <w:szCs w:val="21"/>
                <w:lang w:val="en-US" w:eastAsia="zh-CN" w:bidi="ar-SA"/>
              </w:rPr>
            </w:pPr>
            <w:r>
              <w:rPr>
                <w:rFonts w:hint="eastAsia" w:ascii="宋体" w:hAnsi="宋体" w:cs="宋体"/>
                <w:szCs w:val="21"/>
              </w:rPr>
              <w:t>呼伦贝尔驰宏矿业有限公司</w:t>
            </w:r>
          </w:p>
        </w:tc>
        <w:tc>
          <w:tcPr>
            <w:tcW w:w="4923" w:type="dxa"/>
            <w:tcBorders>
              <w:tl2br w:val="nil"/>
              <w:tr2bl w:val="nil"/>
            </w:tcBorders>
            <w:shd w:val="clear" w:color="auto" w:fill="auto"/>
            <w:vAlign w:val="center"/>
          </w:tcPr>
          <w:p w14:paraId="19B4D9DA">
            <w:pPr>
              <w:rPr>
                <w:rFonts w:hint="eastAsia" w:ascii="宋体" w:hAnsi="宋体" w:cs="宋体" w:eastAsiaTheme="minorEastAsia"/>
                <w:kern w:val="2"/>
                <w:sz w:val="21"/>
                <w:szCs w:val="21"/>
                <w:lang w:val="en-US" w:eastAsia="zh-CN" w:bidi="ar-SA"/>
              </w:rPr>
            </w:pPr>
            <w:r>
              <w:rPr>
                <w:rFonts w:hint="eastAsia" w:ascii="宋体" w:hAnsi="宋体" w:cs="宋体"/>
                <w:szCs w:val="21"/>
              </w:rPr>
              <w:t>标准编制整体工作统筹、组织</w:t>
            </w:r>
          </w:p>
        </w:tc>
      </w:tr>
      <w:tr w14:paraId="364BC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vAlign w:val="center"/>
          </w:tcPr>
          <w:p w14:paraId="063048B9">
            <w:pPr>
              <w:jc w:val="center"/>
              <w:rPr>
                <w:rFonts w:hint="eastAsia" w:ascii="宋体" w:hAnsi="宋体" w:cs="宋体" w:eastAsiaTheme="minorEastAsia"/>
                <w:szCs w:val="21"/>
                <w:lang w:eastAsia="zh-CN"/>
              </w:rPr>
            </w:pPr>
            <w:r>
              <w:rPr>
                <w:rFonts w:hint="eastAsia" w:ascii="宋体" w:hAnsi="宋体" w:cs="宋体"/>
                <w:szCs w:val="21"/>
                <w:lang w:val="en-US" w:eastAsia="zh-CN"/>
              </w:rPr>
              <w:t>5</w:t>
            </w:r>
          </w:p>
        </w:tc>
        <w:tc>
          <w:tcPr>
            <w:tcW w:w="937" w:type="dxa"/>
            <w:tcBorders>
              <w:tl2br w:val="nil"/>
              <w:tr2bl w:val="nil"/>
            </w:tcBorders>
            <w:vAlign w:val="center"/>
          </w:tcPr>
          <w:p w14:paraId="26079C53">
            <w:pPr>
              <w:jc w:val="center"/>
              <w:rPr>
                <w:rFonts w:hint="eastAsia" w:ascii="宋体" w:hAnsi="宋体" w:cs="宋体" w:eastAsiaTheme="minorEastAsia"/>
                <w:szCs w:val="21"/>
                <w:lang w:eastAsia="zh-CN"/>
              </w:rPr>
            </w:pPr>
            <w:r>
              <w:rPr>
                <w:rFonts w:hint="eastAsia" w:ascii="宋体" w:hAnsi="宋体" w:cs="宋体"/>
                <w:szCs w:val="21"/>
                <w:lang w:val="en-US" w:eastAsia="zh-CN"/>
              </w:rPr>
              <w:t>刘黎波</w:t>
            </w:r>
          </w:p>
        </w:tc>
        <w:tc>
          <w:tcPr>
            <w:tcW w:w="2883" w:type="dxa"/>
            <w:tcBorders>
              <w:tl2br w:val="nil"/>
              <w:tr2bl w:val="nil"/>
            </w:tcBorders>
            <w:vAlign w:val="center"/>
          </w:tcPr>
          <w:p w14:paraId="1A20B144">
            <w:pPr>
              <w:jc w:val="center"/>
              <w:rPr>
                <w:rFonts w:ascii="宋体" w:hAnsi="宋体" w:cs="宋体"/>
                <w:szCs w:val="21"/>
              </w:rPr>
            </w:pPr>
            <w:r>
              <w:rPr>
                <w:rFonts w:hint="eastAsia" w:ascii="宋体" w:hAnsi="宋体" w:cs="宋体"/>
                <w:szCs w:val="21"/>
              </w:rPr>
              <w:t>呼伦贝尔驰宏矿业有限公司</w:t>
            </w:r>
          </w:p>
        </w:tc>
        <w:tc>
          <w:tcPr>
            <w:tcW w:w="4923" w:type="dxa"/>
            <w:tcBorders>
              <w:tl2br w:val="nil"/>
              <w:tr2bl w:val="nil"/>
            </w:tcBorders>
            <w:vAlign w:val="center"/>
          </w:tcPr>
          <w:p w14:paraId="2EA585F5">
            <w:pPr>
              <w:rPr>
                <w:rFonts w:ascii="宋体" w:hAnsi="宋体" w:cs="宋体"/>
                <w:szCs w:val="21"/>
              </w:rPr>
            </w:pPr>
            <w:r>
              <w:rPr>
                <w:rFonts w:hint="eastAsia" w:ascii="宋体" w:hAnsi="宋体" w:cs="宋体"/>
                <w:szCs w:val="21"/>
              </w:rPr>
              <w:t>标准编制整体工作统筹、组织</w:t>
            </w:r>
          </w:p>
        </w:tc>
      </w:tr>
      <w:tr w14:paraId="4B632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vAlign w:val="center"/>
          </w:tcPr>
          <w:p w14:paraId="3A652564">
            <w:pPr>
              <w:jc w:val="center"/>
              <w:rPr>
                <w:rFonts w:hint="eastAsia" w:ascii="宋体" w:hAnsi="宋体" w:cs="宋体" w:eastAsiaTheme="minorEastAsia"/>
                <w:szCs w:val="21"/>
                <w:lang w:eastAsia="zh-CN"/>
              </w:rPr>
            </w:pPr>
            <w:r>
              <w:rPr>
                <w:rFonts w:hint="eastAsia" w:ascii="宋体" w:hAnsi="宋体" w:cs="宋体"/>
                <w:szCs w:val="21"/>
                <w:lang w:val="en-US" w:eastAsia="zh-CN"/>
              </w:rPr>
              <w:t>6</w:t>
            </w:r>
          </w:p>
        </w:tc>
        <w:tc>
          <w:tcPr>
            <w:tcW w:w="937" w:type="dxa"/>
            <w:tcBorders>
              <w:tl2br w:val="nil"/>
              <w:tr2bl w:val="nil"/>
            </w:tcBorders>
            <w:shd w:val="clear" w:color="auto" w:fill="auto"/>
            <w:vAlign w:val="center"/>
          </w:tcPr>
          <w:p w14:paraId="3099D000">
            <w:pPr>
              <w:jc w:val="center"/>
              <w:rPr>
                <w:rFonts w:hint="eastAsia" w:ascii="宋体" w:hAnsi="宋体" w:cs="宋体" w:eastAsiaTheme="minorEastAsia"/>
                <w:kern w:val="2"/>
                <w:sz w:val="21"/>
                <w:szCs w:val="21"/>
                <w:lang w:val="en-US" w:eastAsia="zh-CN" w:bidi="ar-SA"/>
              </w:rPr>
            </w:pPr>
            <w:r>
              <w:rPr>
                <w:rFonts w:hint="eastAsia" w:ascii="Times New Roman"/>
                <w:lang w:val="en-US" w:eastAsia="zh-CN"/>
              </w:rPr>
              <w:t>马    静</w:t>
            </w:r>
          </w:p>
        </w:tc>
        <w:tc>
          <w:tcPr>
            <w:tcW w:w="2883" w:type="dxa"/>
            <w:tcBorders>
              <w:tl2br w:val="nil"/>
              <w:tr2bl w:val="nil"/>
            </w:tcBorders>
            <w:shd w:val="clear" w:color="auto" w:fill="auto"/>
            <w:vAlign w:val="center"/>
          </w:tcPr>
          <w:p w14:paraId="656C09FD">
            <w:pPr>
              <w:jc w:val="center"/>
              <w:rPr>
                <w:rFonts w:hint="eastAsia" w:ascii="宋体" w:hAnsi="宋体" w:cs="宋体" w:eastAsiaTheme="minorEastAsia"/>
                <w:kern w:val="2"/>
                <w:sz w:val="21"/>
                <w:szCs w:val="21"/>
                <w:lang w:val="en-US" w:eastAsia="zh-CN" w:bidi="ar-SA"/>
              </w:rPr>
            </w:pPr>
            <w:r>
              <w:rPr>
                <w:rFonts w:hint="eastAsia" w:ascii="宋体" w:hAnsi="宋体" w:cs="宋体"/>
                <w:szCs w:val="21"/>
              </w:rPr>
              <w:t>呼伦贝尔驰宏矿业有限公司</w:t>
            </w:r>
          </w:p>
        </w:tc>
        <w:tc>
          <w:tcPr>
            <w:tcW w:w="4923" w:type="dxa"/>
            <w:tcBorders>
              <w:tl2br w:val="nil"/>
              <w:tr2bl w:val="nil"/>
            </w:tcBorders>
            <w:shd w:val="clear" w:color="auto" w:fill="auto"/>
            <w:vAlign w:val="center"/>
          </w:tcPr>
          <w:p w14:paraId="460DBDC9">
            <w:pPr>
              <w:rPr>
                <w:rFonts w:hint="eastAsia" w:ascii="宋体" w:hAnsi="宋体" w:cs="宋体" w:eastAsiaTheme="minorEastAsia"/>
                <w:kern w:val="2"/>
                <w:sz w:val="21"/>
                <w:szCs w:val="21"/>
                <w:lang w:val="en-US" w:eastAsia="zh-CN" w:bidi="ar-SA"/>
              </w:rPr>
            </w:pPr>
            <w:r>
              <w:rPr>
                <w:rFonts w:hint="eastAsia" w:ascii="宋体" w:hAnsi="宋体" w:cs="宋体"/>
                <w:szCs w:val="21"/>
              </w:rPr>
              <w:t>标准文本主要内容编写，规范标准格式</w:t>
            </w:r>
          </w:p>
        </w:tc>
      </w:tr>
      <w:tr w14:paraId="54F98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Borders>
              <w:tl2br w:val="nil"/>
              <w:tr2bl w:val="nil"/>
            </w:tcBorders>
            <w:vAlign w:val="center"/>
          </w:tcPr>
          <w:p w14:paraId="29AD5CE6">
            <w:pPr>
              <w:jc w:val="center"/>
              <w:rPr>
                <w:rFonts w:hint="default" w:ascii="宋体" w:hAnsi="宋体" w:cs="宋体" w:eastAsiaTheme="minorEastAsia"/>
                <w:szCs w:val="21"/>
                <w:lang w:val="en-US" w:eastAsia="zh-CN"/>
              </w:rPr>
            </w:pPr>
            <w:r>
              <w:rPr>
                <w:rFonts w:hint="eastAsia" w:ascii="宋体" w:hAnsi="宋体" w:cs="宋体"/>
                <w:szCs w:val="21"/>
                <w:lang w:val="en-US" w:eastAsia="zh-CN"/>
              </w:rPr>
              <w:t>7</w:t>
            </w:r>
          </w:p>
        </w:tc>
        <w:tc>
          <w:tcPr>
            <w:tcW w:w="937" w:type="dxa"/>
            <w:tcBorders>
              <w:tl2br w:val="nil"/>
              <w:tr2bl w:val="nil"/>
            </w:tcBorders>
            <w:vAlign w:val="center"/>
          </w:tcPr>
          <w:p w14:paraId="4B0BF78B">
            <w:pPr>
              <w:jc w:val="center"/>
              <w:rPr>
                <w:rFonts w:ascii="宋体" w:hAnsi="宋体" w:cs="宋体"/>
                <w:szCs w:val="21"/>
              </w:rPr>
            </w:pPr>
            <w:r>
              <w:rPr>
                <w:rFonts w:hint="eastAsia" w:ascii="宋体" w:hAnsi="宋体" w:cs="宋体"/>
                <w:szCs w:val="21"/>
              </w:rPr>
              <w:t>章怡萌</w:t>
            </w:r>
          </w:p>
        </w:tc>
        <w:tc>
          <w:tcPr>
            <w:tcW w:w="2883" w:type="dxa"/>
            <w:tcBorders>
              <w:tl2br w:val="nil"/>
              <w:tr2bl w:val="nil"/>
            </w:tcBorders>
            <w:vAlign w:val="center"/>
          </w:tcPr>
          <w:p w14:paraId="347D044E">
            <w:pPr>
              <w:jc w:val="center"/>
              <w:rPr>
                <w:rFonts w:ascii="宋体" w:hAnsi="宋体" w:cs="宋体"/>
                <w:szCs w:val="21"/>
              </w:rPr>
            </w:pPr>
            <w:r>
              <w:rPr>
                <w:rFonts w:hint="eastAsia" w:ascii="宋体" w:hAnsi="宋体" w:cs="宋体"/>
                <w:szCs w:val="21"/>
              </w:rPr>
              <w:t>呼伦贝尔驰宏矿业有限公司</w:t>
            </w:r>
          </w:p>
        </w:tc>
        <w:tc>
          <w:tcPr>
            <w:tcW w:w="4923" w:type="dxa"/>
            <w:tcBorders>
              <w:tl2br w:val="nil"/>
              <w:tr2bl w:val="nil"/>
            </w:tcBorders>
            <w:vAlign w:val="center"/>
          </w:tcPr>
          <w:p w14:paraId="0C710D51">
            <w:pPr>
              <w:rPr>
                <w:rFonts w:ascii="宋体" w:hAnsi="宋体" w:cs="宋体"/>
                <w:szCs w:val="21"/>
              </w:rPr>
            </w:pPr>
            <w:r>
              <w:rPr>
                <w:rFonts w:hint="eastAsia" w:ascii="宋体" w:hAnsi="宋体" w:cs="宋体"/>
                <w:szCs w:val="21"/>
              </w:rPr>
              <w:t>标准文本规范标准格式、对外联络及调研组织协调</w:t>
            </w:r>
          </w:p>
        </w:tc>
      </w:tr>
    </w:tbl>
    <w:p w14:paraId="28365F03">
      <w:p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（四）主要工作过程</w:t>
      </w:r>
    </w:p>
    <w:p w14:paraId="0E3E3BEC">
      <w:pPr>
        <w:snapToGrid w:val="0"/>
        <w:spacing w:before="156" w:beforeLines="50" w:line="360" w:lineRule="auto"/>
        <w:outlineLvl w:val="0"/>
        <w:rPr>
          <w:rFonts w:hint="eastAsia" w:ascii="黑体" w:hAnsi="黑体" w:eastAsia="黑体" w:cs="黑体"/>
          <w:sz w:val="24"/>
          <w:szCs w:val="24"/>
        </w:rPr>
      </w:pPr>
      <w:r>
        <w:rPr>
          <w:rFonts w:hint="eastAsia" w:ascii="黑体" w:hAnsi="黑体" w:eastAsia="黑体" w:cs="黑体"/>
          <w:sz w:val="24"/>
          <w:szCs w:val="24"/>
        </w:rPr>
        <w:t>1 立项阶段</w:t>
      </w:r>
    </w:p>
    <w:p w14:paraId="0A7C22D4">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2024年10月，云南驰宏锌锗股份有限公司向全国有色金属标准化技术委员会提交《火法炼铅系统氧化锌烟尘回收技术要求》标准项目建议书、标准草案及立项说明等材料。经专家论证，项目符合行业发展需求，同意立项开展后续工作。</w:t>
      </w:r>
    </w:p>
    <w:p w14:paraId="489D3A60">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2025年04月，根据《关于转发2025年第一批有色金属国行团标准制（修）订项目计划及征集起草单位的通知-有色标委〔2025〕27号》，全国有色金属标准化技术委员会下达《火法炼铅系统氧化锌烟尘回收技术要求》有色金属协会推荐性行团体标准的任务，计划标准号为</w:t>
      </w:r>
      <w:r>
        <w:rPr>
          <w:rFonts w:hint="default" w:ascii="宋体" w:hAnsi="宋体" w:cs="宋体"/>
          <w:sz w:val="24"/>
          <w:szCs w:val="24"/>
          <w:lang w:val="en-US" w:eastAsia="zh-CN"/>
        </w:rPr>
        <w:t>2025-017-T/CNIA</w:t>
      </w:r>
      <w:r>
        <w:rPr>
          <w:rFonts w:hint="eastAsia" w:ascii="宋体" w:hAnsi="宋体" w:cs="宋体"/>
          <w:sz w:val="24"/>
          <w:szCs w:val="24"/>
          <w:lang w:val="en-US" w:eastAsia="zh-CN"/>
        </w:rPr>
        <w:t>，项目周期为18个月，完成期限为2026年9月，技术归口单位为全国有色金属标准化技术委员会。</w:t>
      </w:r>
    </w:p>
    <w:p w14:paraId="002C1B96">
      <w:pPr>
        <w:snapToGrid w:val="0"/>
        <w:spacing w:before="156" w:beforeLines="50" w:line="360" w:lineRule="auto"/>
        <w:outlineLvl w:val="0"/>
        <w:rPr>
          <w:rFonts w:ascii="黑体" w:hAnsi="黑体" w:eastAsia="黑体" w:cs="黑体"/>
          <w:sz w:val="24"/>
          <w:szCs w:val="24"/>
        </w:rPr>
      </w:pPr>
      <w:r>
        <w:rPr>
          <w:rFonts w:hint="eastAsia" w:ascii="黑体" w:hAnsi="黑体" w:eastAsia="黑体" w:cs="黑体"/>
          <w:sz w:val="24"/>
          <w:szCs w:val="24"/>
        </w:rPr>
        <w:t>2 起草阶段</w:t>
      </w:r>
    </w:p>
    <w:p w14:paraId="2C13244C">
      <w:pPr>
        <w:snapToGrid w:val="0"/>
        <w:spacing w:before="156" w:beforeLines="50" w:line="360" w:lineRule="auto"/>
        <w:outlineLvl w:val="0"/>
        <w:rPr>
          <w:rFonts w:hint="eastAsia" w:ascii="黑体" w:hAnsi="黑体" w:eastAsia="黑体" w:cs="黑体"/>
          <w:sz w:val="24"/>
          <w:szCs w:val="24"/>
        </w:rPr>
      </w:pPr>
      <w:r>
        <w:rPr>
          <w:rFonts w:hint="eastAsia" w:ascii="黑体" w:hAnsi="黑体" w:eastAsia="黑体" w:cs="黑体"/>
          <w:sz w:val="24"/>
          <w:szCs w:val="24"/>
        </w:rPr>
        <w:t>2.1 召开编制组动员大会</w:t>
      </w:r>
    </w:p>
    <w:p w14:paraId="310A4F2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项目正式立项后，为保障标准编制工作的专业性、科学性与高效性，第一时间完成标准编制组的组建工作。标准编制组精心集结了跨领域专业人才队伍，成员涵盖冶金工艺、化学分析检测、标准化体系建设等多个核心领域，均具备丰富的行业实践经验与深厚的专业技术积淀，为后续工作的高质量推进奠定了坚实的人才基础。</w:t>
      </w:r>
    </w:p>
    <w:p w14:paraId="52825D7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为确保标准内容的全面性、前沿性与适用性，编制组启动了系统性的资料收集与调研工作。一方面，通过多渠道、全方位收集国内外相关资料，具体包括行业权威研究报告、重点企业生产运行数据、已发布实施的国家及行业相关标准文本、学术研究文献等，对当前氧化锌烟尘回收领域的技术发展现状、行业痛点难点及标准规范缺口进行全面梳理；另一方面，开展针对性调研，选取多家采用不同工艺路线（如火法富集、湿法浸出、焙烧转型等）处理氧化锌烟尘的代表性企业，详细了解实际生产中的技术需求、操作难点及标准化诉求，为标准条款的科学设定积累了详实的实践数据支撑。</w:t>
      </w:r>
    </w:p>
    <w:p w14:paraId="20D7652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在完成资料收集与实地调研工作后，编制组定期组织召开内部专题研讨会议，对收集到的各类资料、调研数据进行系统化梳理、深入分析与交叉验证。会议重点围绕标准的核心定位、适用范围、技术指标设定原则、框架体系构建等关键问题展开充分研讨，逐步明确了标准的基本框架、章节结构及各章节核心内容。经过多轮讨论、修改与完善，最终形成《火法炼铅系统氧化锌烟尘回收技术要求》标准草案初稿，为后续标准的征求意见、审查定稿等工作奠定了重要基础。</w:t>
      </w:r>
    </w:p>
    <w:p w14:paraId="104FD0D4">
      <w:pPr>
        <w:snapToGrid w:val="0"/>
        <w:spacing w:before="156" w:beforeLines="50" w:line="360" w:lineRule="auto"/>
        <w:outlineLvl w:val="0"/>
        <w:rPr>
          <w:rFonts w:hint="eastAsia" w:ascii="黑体" w:hAnsi="黑体" w:eastAsia="黑体" w:cs="黑体"/>
          <w:sz w:val="24"/>
          <w:szCs w:val="24"/>
        </w:rPr>
      </w:pPr>
      <w:r>
        <w:rPr>
          <w:rFonts w:hint="eastAsia" w:ascii="黑体" w:hAnsi="黑体" w:eastAsia="黑体" w:cs="黑体"/>
          <w:sz w:val="24"/>
          <w:szCs w:val="24"/>
        </w:rPr>
        <w:t>2.2  编制征求意见稿</w:t>
      </w:r>
    </w:p>
    <w:p w14:paraId="233ED27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11</w:t>
      </w:r>
      <w:r>
        <w:rPr>
          <w:rFonts w:hint="eastAsia" w:ascii="宋体" w:hAnsi="宋体" w:cs="宋体"/>
          <w:sz w:val="24"/>
          <w:szCs w:val="24"/>
        </w:rPr>
        <w:t>月，云</w:t>
      </w:r>
      <w:r>
        <w:rPr>
          <w:rFonts w:hint="eastAsia" w:hAnsi="宋体" w:eastAsia="宋体" w:cs="宋体"/>
          <w:sz w:val="24"/>
          <w:szCs w:val="24"/>
        </w:rPr>
        <w:t>南驰宏锌锗股份有限公司</w:t>
      </w:r>
      <w:r>
        <w:rPr>
          <w:rFonts w:hint="eastAsia" w:ascii="宋体" w:hAnsi="宋体" w:cs="宋体"/>
          <w:sz w:val="24"/>
          <w:szCs w:val="24"/>
        </w:rPr>
        <w:t>标准编制组对标准草案初稿进行内部审核与修改，并邀请行业内权威专家召开研讨会，就标准草案的技术内容、工艺流程、质量要求等进行深入讨论。根据专家意见，对标准草案进行完善，明确各项技术指标和要求，形成《火法炼铅系统氧化锌烟尘回收技术要求》（征求意见稿）。</w:t>
      </w:r>
    </w:p>
    <w:p w14:paraId="63AB45A0">
      <w:pPr>
        <w:pStyle w:val="27"/>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highlight w:val="none"/>
        </w:rPr>
        <w:t>2025年</w:t>
      </w:r>
      <w:r>
        <w:rPr>
          <w:rFonts w:hint="eastAsia" w:hAnsi="宋体" w:cs="宋体"/>
          <w:sz w:val="24"/>
          <w:szCs w:val="24"/>
          <w:highlight w:val="none"/>
          <w:lang w:val="en-US" w:eastAsia="zh-CN"/>
        </w:rPr>
        <w:t>05</w:t>
      </w:r>
      <w:r>
        <w:rPr>
          <w:rFonts w:hint="eastAsia" w:hAnsi="宋体" w:cs="宋体"/>
          <w:sz w:val="24"/>
          <w:szCs w:val="24"/>
          <w:highlight w:val="none"/>
        </w:rPr>
        <w:t>月，</w:t>
      </w:r>
      <w:r>
        <w:rPr>
          <w:rFonts w:hint="eastAsia" w:hAnsi="宋体" w:cs="宋体"/>
          <w:sz w:val="24"/>
          <w:szCs w:val="24"/>
        </w:rPr>
        <w:t>云南驰宏锌锗股份有限公司标准编制组在行业内广泛征求意见，收集各单位反馈，进一步优化标准内容，形成《</w:t>
      </w:r>
      <w:r>
        <w:rPr>
          <w:rFonts w:hint="eastAsia" w:ascii="宋体" w:hAnsi="宋体" w:cs="宋体"/>
          <w:sz w:val="24"/>
          <w:szCs w:val="24"/>
        </w:rPr>
        <w:t>火法炼铅系统氧化锌烟尘回收技术要求</w:t>
      </w:r>
      <w:r>
        <w:rPr>
          <w:rFonts w:hint="eastAsia" w:hAnsi="宋体" w:cs="宋体"/>
          <w:sz w:val="24"/>
          <w:szCs w:val="24"/>
        </w:rPr>
        <w:t>》</w:t>
      </w:r>
      <w:r>
        <w:rPr>
          <w:rFonts w:hint="eastAsia" w:hAnsi="宋体" w:cs="宋体"/>
          <w:sz w:val="24"/>
          <w:szCs w:val="24"/>
          <w:lang w:val="en-US" w:eastAsia="zh-CN"/>
        </w:rPr>
        <w:t>讨论</w:t>
      </w:r>
      <w:r>
        <w:rPr>
          <w:rFonts w:hint="eastAsia" w:hAnsi="宋体" w:cs="宋体"/>
          <w:sz w:val="24"/>
          <w:szCs w:val="24"/>
        </w:rPr>
        <w:t>稿。</w:t>
      </w:r>
    </w:p>
    <w:p w14:paraId="3AB8A767">
      <w:pPr>
        <w:pStyle w:val="27"/>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highlight w:val="none"/>
        </w:rPr>
        <w:t>2025年</w:t>
      </w:r>
      <w:r>
        <w:rPr>
          <w:rFonts w:hint="eastAsia" w:hAnsi="宋体" w:cs="宋体"/>
          <w:sz w:val="24"/>
          <w:szCs w:val="24"/>
          <w:highlight w:val="none"/>
          <w:lang w:val="en-US" w:eastAsia="zh-CN"/>
        </w:rPr>
        <w:t>05</w:t>
      </w:r>
      <w:r>
        <w:rPr>
          <w:rFonts w:hint="eastAsia" w:hAnsi="宋体" w:cs="宋体"/>
          <w:sz w:val="24"/>
          <w:szCs w:val="24"/>
          <w:highlight w:val="none"/>
        </w:rPr>
        <w:t>月，</w:t>
      </w:r>
      <w:r>
        <w:rPr>
          <w:rFonts w:hint="eastAsia" w:hAnsi="宋体" w:cs="宋体"/>
          <w:sz w:val="24"/>
          <w:szCs w:val="24"/>
        </w:rPr>
        <w:t>云南驰宏锌锗股份有限公司标准编制组</w:t>
      </w:r>
      <w:r>
        <w:rPr>
          <w:rFonts w:hint="eastAsia" w:hAnsi="宋体" w:cs="宋体"/>
          <w:sz w:val="24"/>
          <w:szCs w:val="24"/>
          <w:lang w:val="en-US" w:eastAsia="zh-CN"/>
        </w:rPr>
        <w:t>根据</w:t>
      </w:r>
      <w:r>
        <w:rPr>
          <w:rFonts w:hint="eastAsia" w:hAnsi="宋体" w:cs="宋体"/>
          <w:sz w:val="24"/>
          <w:szCs w:val="24"/>
        </w:rPr>
        <w:t>《</w:t>
      </w:r>
      <w:r>
        <w:rPr>
          <w:rFonts w:hint="eastAsia" w:ascii="宋体" w:hAnsi="宋体" w:cs="宋体"/>
          <w:sz w:val="24"/>
          <w:szCs w:val="24"/>
        </w:rPr>
        <w:t>火法炼铅系统氧化锌烟尘回收技术要求</w:t>
      </w:r>
      <w:r>
        <w:rPr>
          <w:rFonts w:hint="eastAsia" w:hAnsi="宋体" w:cs="宋体"/>
          <w:sz w:val="24"/>
          <w:szCs w:val="24"/>
        </w:rPr>
        <w:t>》</w:t>
      </w:r>
      <w:r>
        <w:rPr>
          <w:rFonts w:hint="eastAsia" w:hAnsi="宋体" w:cs="宋体"/>
          <w:sz w:val="24"/>
          <w:szCs w:val="24"/>
          <w:lang w:val="en-US" w:eastAsia="zh-CN"/>
        </w:rPr>
        <w:t>讨论</w:t>
      </w:r>
      <w:r>
        <w:rPr>
          <w:rFonts w:hint="eastAsia" w:hAnsi="宋体" w:cs="宋体"/>
          <w:sz w:val="24"/>
          <w:szCs w:val="24"/>
        </w:rPr>
        <w:t>稿</w:t>
      </w:r>
      <w:r>
        <w:rPr>
          <w:rFonts w:hint="eastAsia" w:hAnsi="宋体" w:cs="宋体"/>
          <w:sz w:val="24"/>
          <w:szCs w:val="24"/>
          <w:lang w:val="en-US" w:eastAsia="zh-CN"/>
        </w:rPr>
        <w:t>在山西运城标准会议修编过程中，在会议上通过研讨，再次优</w:t>
      </w:r>
      <w:r>
        <w:rPr>
          <w:rFonts w:hint="eastAsia" w:hAnsi="宋体" w:cs="宋体"/>
          <w:sz w:val="24"/>
          <w:szCs w:val="24"/>
        </w:rPr>
        <w:t>化标准内容，形成《</w:t>
      </w:r>
      <w:r>
        <w:rPr>
          <w:rFonts w:hint="eastAsia" w:ascii="宋体" w:hAnsi="宋体" w:cs="宋体"/>
          <w:sz w:val="24"/>
          <w:szCs w:val="24"/>
        </w:rPr>
        <w:t>火法炼铅系统氧化锌烟尘回收技术要求</w:t>
      </w:r>
      <w:r>
        <w:rPr>
          <w:rFonts w:hint="eastAsia" w:hAnsi="宋体" w:cs="宋体"/>
          <w:sz w:val="24"/>
          <w:szCs w:val="24"/>
        </w:rPr>
        <w:t>》</w:t>
      </w:r>
      <w:r>
        <w:rPr>
          <w:rFonts w:hint="eastAsia" w:hAnsi="宋体" w:cs="宋体"/>
          <w:sz w:val="24"/>
          <w:szCs w:val="24"/>
          <w:lang w:val="en-US" w:eastAsia="zh-CN"/>
        </w:rPr>
        <w:t>预审</w:t>
      </w:r>
      <w:r>
        <w:rPr>
          <w:rFonts w:hint="eastAsia" w:hAnsi="宋体" w:cs="宋体"/>
          <w:sz w:val="24"/>
          <w:szCs w:val="24"/>
        </w:rPr>
        <w:t>稿</w:t>
      </w:r>
      <w:r>
        <w:rPr>
          <w:rFonts w:hint="eastAsia" w:hAnsi="宋体" w:cs="宋体"/>
          <w:sz w:val="24"/>
          <w:szCs w:val="24"/>
          <w:lang w:eastAsia="zh-CN"/>
        </w:rPr>
        <w:t>（</w:t>
      </w:r>
      <w:r>
        <w:rPr>
          <w:rFonts w:hint="eastAsia" w:hAnsi="宋体" w:cs="宋体"/>
          <w:sz w:val="24"/>
          <w:szCs w:val="24"/>
          <w:lang w:val="en-US" w:eastAsia="zh-CN"/>
        </w:rPr>
        <w:t>初稿</w:t>
      </w:r>
      <w:r>
        <w:rPr>
          <w:rFonts w:hint="eastAsia" w:hAnsi="宋体" w:cs="宋体"/>
          <w:sz w:val="24"/>
          <w:szCs w:val="24"/>
          <w:lang w:eastAsia="zh-CN"/>
        </w:rPr>
        <w:t>）</w:t>
      </w:r>
      <w:r>
        <w:rPr>
          <w:rFonts w:hint="eastAsia" w:hAnsi="宋体" w:cs="宋体"/>
          <w:sz w:val="24"/>
          <w:szCs w:val="24"/>
        </w:rPr>
        <w:t>。</w:t>
      </w:r>
    </w:p>
    <w:p w14:paraId="39B77E89">
      <w:pPr>
        <w:pStyle w:val="27"/>
        <w:tabs>
          <w:tab w:val="center" w:pos="4201"/>
          <w:tab w:val="right" w:leader="dot" w:pos="9298"/>
        </w:tabs>
        <w:adjustRightInd w:val="0"/>
        <w:snapToGrid w:val="0"/>
        <w:spacing w:line="360" w:lineRule="auto"/>
        <w:ind w:firstLine="420"/>
        <w:rPr>
          <w:rFonts w:hint="eastAsia" w:hAnsi="宋体" w:cs="宋体"/>
          <w:sz w:val="24"/>
          <w:szCs w:val="24"/>
        </w:rPr>
      </w:pPr>
      <w:r>
        <w:rPr>
          <w:rFonts w:hint="eastAsia" w:hAnsi="宋体" w:cs="宋体"/>
          <w:sz w:val="24"/>
          <w:szCs w:val="24"/>
        </w:rPr>
        <w:t>2025年</w:t>
      </w:r>
      <w:r>
        <w:rPr>
          <w:rFonts w:hint="eastAsia" w:hAnsi="宋体" w:cs="宋体"/>
          <w:sz w:val="24"/>
          <w:szCs w:val="24"/>
          <w:lang w:val="en-US" w:eastAsia="zh-CN"/>
        </w:rPr>
        <w:t>10-11</w:t>
      </w:r>
      <w:r>
        <w:rPr>
          <w:rFonts w:hint="eastAsia" w:hAnsi="宋体" w:cs="宋体"/>
          <w:sz w:val="24"/>
          <w:szCs w:val="24"/>
        </w:rPr>
        <w:t>月，云南驰宏锌锗股份有限公司标准编制组在行业内广泛征求意见，收集各单位反馈，进一步优化标准内容，形成《</w:t>
      </w:r>
      <w:r>
        <w:rPr>
          <w:rFonts w:hint="eastAsia" w:ascii="宋体" w:hAnsi="宋体" w:cs="宋体"/>
          <w:sz w:val="24"/>
          <w:szCs w:val="24"/>
        </w:rPr>
        <w:t>火法炼铅系统氧化锌烟尘回收技术要求</w:t>
      </w:r>
      <w:r>
        <w:rPr>
          <w:rFonts w:hint="eastAsia" w:hAnsi="宋体" w:cs="宋体"/>
          <w:sz w:val="24"/>
          <w:szCs w:val="24"/>
        </w:rPr>
        <w:t>》</w:t>
      </w:r>
      <w:r>
        <w:rPr>
          <w:rFonts w:hint="eastAsia" w:hAnsi="宋体" w:cs="宋体"/>
          <w:sz w:val="24"/>
          <w:szCs w:val="24"/>
          <w:lang w:val="en-US" w:eastAsia="zh-CN"/>
        </w:rPr>
        <w:t>预审</w:t>
      </w:r>
      <w:r>
        <w:rPr>
          <w:rFonts w:hint="eastAsia" w:hAnsi="宋体" w:cs="宋体"/>
          <w:sz w:val="24"/>
          <w:szCs w:val="24"/>
        </w:rPr>
        <w:t>稿</w:t>
      </w:r>
      <w:r>
        <w:rPr>
          <w:rFonts w:hint="eastAsia" w:hAnsi="宋体" w:cs="宋体"/>
          <w:sz w:val="24"/>
          <w:szCs w:val="24"/>
          <w:lang w:eastAsia="zh-CN"/>
        </w:rPr>
        <w:t>（</w:t>
      </w:r>
      <w:r>
        <w:rPr>
          <w:rFonts w:hint="eastAsia" w:hAnsi="宋体" w:cs="宋体"/>
          <w:sz w:val="24"/>
          <w:szCs w:val="24"/>
          <w:lang w:val="en-US" w:eastAsia="zh-CN"/>
        </w:rPr>
        <w:t>上会稿</w:t>
      </w:r>
      <w:r>
        <w:rPr>
          <w:rFonts w:hint="eastAsia" w:hAnsi="宋体" w:cs="宋体"/>
          <w:sz w:val="24"/>
          <w:szCs w:val="24"/>
          <w:lang w:eastAsia="zh-CN"/>
        </w:rPr>
        <w:t>）</w:t>
      </w:r>
      <w:r>
        <w:rPr>
          <w:rFonts w:hint="eastAsia" w:hAnsi="宋体" w:cs="宋体"/>
          <w:sz w:val="24"/>
          <w:szCs w:val="24"/>
        </w:rPr>
        <w:t>。</w:t>
      </w:r>
    </w:p>
    <w:p w14:paraId="131FAC9A">
      <w:pPr>
        <w:pStyle w:val="27"/>
        <w:tabs>
          <w:tab w:val="center" w:pos="4201"/>
          <w:tab w:val="right" w:leader="dot" w:pos="9298"/>
        </w:tabs>
        <w:adjustRightInd w:val="0"/>
        <w:snapToGrid w:val="0"/>
        <w:spacing w:line="360" w:lineRule="auto"/>
        <w:ind w:firstLine="420"/>
        <w:rPr>
          <w:rFonts w:hint="eastAsia" w:hAnsi="宋体" w:cs="宋体"/>
          <w:sz w:val="24"/>
          <w:szCs w:val="24"/>
          <w:lang w:val="en-US" w:eastAsia="zh-CN"/>
        </w:rPr>
      </w:pPr>
      <w:r>
        <w:rPr>
          <w:rFonts w:hint="eastAsia" w:hAnsi="宋体" w:cs="宋体"/>
          <w:sz w:val="24"/>
          <w:szCs w:val="24"/>
          <w:highlight w:val="none"/>
        </w:rPr>
        <w:t>202</w:t>
      </w:r>
      <w:r>
        <w:rPr>
          <w:rFonts w:hint="eastAsia" w:hAnsi="宋体" w:cs="宋体"/>
          <w:sz w:val="24"/>
          <w:szCs w:val="24"/>
          <w:highlight w:val="none"/>
          <w:lang w:val="en-US" w:eastAsia="zh-CN"/>
        </w:rPr>
        <w:t>5</w:t>
      </w:r>
      <w:r>
        <w:rPr>
          <w:rFonts w:hint="eastAsia" w:hAnsi="宋体" w:cs="宋体"/>
          <w:sz w:val="24"/>
          <w:szCs w:val="24"/>
          <w:highlight w:val="none"/>
        </w:rPr>
        <w:t>年</w:t>
      </w:r>
      <w:r>
        <w:rPr>
          <w:rFonts w:hint="eastAsia" w:hAnsi="宋体" w:cs="宋体"/>
          <w:sz w:val="24"/>
          <w:szCs w:val="24"/>
          <w:highlight w:val="none"/>
          <w:lang w:val="en-US" w:eastAsia="zh-CN"/>
        </w:rPr>
        <w:t>12月-2026年01</w:t>
      </w:r>
      <w:r>
        <w:rPr>
          <w:rFonts w:hint="eastAsia" w:hAnsi="宋体" w:cs="宋体"/>
          <w:sz w:val="24"/>
          <w:szCs w:val="24"/>
          <w:highlight w:val="none"/>
        </w:rPr>
        <w:t>月，</w:t>
      </w:r>
      <w:r>
        <w:rPr>
          <w:rFonts w:hint="eastAsia" w:hAnsi="宋体" w:cs="宋体"/>
          <w:sz w:val="24"/>
          <w:szCs w:val="24"/>
        </w:rPr>
        <w:t>云南驰宏锌锗股份有限公司标准编制组</w:t>
      </w:r>
      <w:r>
        <w:rPr>
          <w:rFonts w:hint="eastAsia" w:hAnsi="宋体" w:cs="宋体"/>
          <w:sz w:val="24"/>
          <w:szCs w:val="24"/>
          <w:lang w:val="en-US" w:eastAsia="zh-CN"/>
        </w:rPr>
        <w:t>根据</w:t>
      </w:r>
      <w:r>
        <w:rPr>
          <w:rFonts w:hint="eastAsia" w:hAnsi="宋体" w:cs="宋体"/>
          <w:sz w:val="24"/>
          <w:szCs w:val="24"/>
        </w:rPr>
        <w:t>《</w:t>
      </w:r>
      <w:r>
        <w:rPr>
          <w:rFonts w:hint="eastAsia" w:ascii="宋体" w:hAnsi="宋体" w:cs="宋体"/>
          <w:sz w:val="24"/>
          <w:szCs w:val="24"/>
        </w:rPr>
        <w:t>火法炼铅系统氧化锌烟尘回收技术要求</w:t>
      </w:r>
      <w:r>
        <w:rPr>
          <w:rFonts w:hint="eastAsia" w:hAnsi="宋体" w:cs="宋体"/>
          <w:sz w:val="24"/>
          <w:szCs w:val="24"/>
        </w:rPr>
        <w:t>》</w:t>
      </w:r>
      <w:r>
        <w:rPr>
          <w:rFonts w:hint="eastAsia" w:hAnsi="宋体" w:cs="宋体"/>
          <w:sz w:val="24"/>
          <w:szCs w:val="24"/>
          <w:lang w:val="en-US" w:eastAsia="zh-CN"/>
        </w:rPr>
        <w:t>预审</w:t>
      </w:r>
      <w:r>
        <w:rPr>
          <w:rFonts w:hint="eastAsia" w:hAnsi="宋体" w:cs="宋体"/>
          <w:sz w:val="24"/>
          <w:szCs w:val="24"/>
        </w:rPr>
        <w:t>稿</w:t>
      </w:r>
      <w:r>
        <w:rPr>
          <w:rFonts w:hint="eastAsia" w:hAnsi="宋体" w:cs="宋体"/>
          <w:sz w:val="24"/>
          <w:szCs w:val="24"/>
          <w:lang w:eastAsia="zh-CN"/>
        </w:rPr>
        <w:t>（</w:t>
      </w:r>
      <w:r>
        <w:rPr>
          <w:rFonts w:hint="eastAsia" w:hAnsi="宋体" w:cs="宋体"/>
          <w:sz w:val="24"/>
          <w:szCs w:val="24"/>
          <w:lang w:val="en-US" w:eastAsia="zh-CN"/>
        </w:rPr>
        <w:t>上会稿</w:t>
      </w:r>
      <w:r>
        <w:rPr>
          <w:rFonts w:hint="eastAsia" w:hAnsi="宋体" w:cs="宋体"/>
          <w:sz w:val="24"/>
          <w:szCs w:val="24"/>
          <w:lang w:eastAsia="zh-CN"/>
        </w:rPr>
        <w:t>）</w:t>
      </w:r>
      <w:r>
        <w:rPr>
          <w:rFonts w:hint="eastAsia" w:hAnsi="宋体" w:cs="宋体"/>
          <w:sz w:val="24"/>
          <w:szCs w:val="24"/>
          <w:lang w:val="en-US" w:eastAsia="zh-CN"/>
        </w:rPr>
        <w:t>在福建厦门标准会议修编过程中，在会议上通过研讨，针对与会专家意见对</w:t>
      </w:r>
      <w:r>
        <w:rPr>
          <w:rFonts w:hint="eastAsia" w:hAnsi="宋体" w:cs="宋体"/>
          <w:sz w:val="24"/>
          <w:szCs w:val="24"/>
        </w:rPr>
        <w:t>标准</w:t>
      </w:r>
      <w:r>
        <w:rPr>
          <w:rFonts w:hint="eastAsia" w:hAnsi="宋体" w:cs="宋体"/>
          <w:sz w:val="24"/>
          <w:szCs w:val="24"/>
          <w:lang w:val="en-US" w:eastAsia="zh-CN"/>
        </w:rPr>
        <w:t>部分</w:t>
      </w:r>
      <w:r>
        <w:rPr>
          <w:rFonts w:hint="eastAsia" w:hAnsi="宋体" w:cs="宋体"/>
          <w:sz w:val="24"/>
          <w:szCs w:val="24"/>
        </w:rPr>
        <w:t>内容</w:t>
      </w:r>
      <w:r>
        <w:rPr>
          <w:rFonts w:hint="eastAsia" w:hAnsi="宋体" w:cs="宋体"/>
          <w:sz w:val="24"/>
          <w:szCs w:val="24"/>
          <w:lang w:val="en-US" w:eastAsia="zh-CN"/>
        </w:rPr>
        <w:t>进行修订</w:t>
      </w:r>
      <w:r>
        <w:rPr>
          <w:rFonts w:hint="eastAsia" w:hAnsi="宋体" w:cs="宋体"/>
          <w:sz w:val="24"/>
          <w:szCs w:val="24"/>
        </w:rPr>
        <w:t>，形成《</w:t>
      </w:r>
      <w:r>
        <w:rPr>
          <w:rFonts w:hint="eastAsia" w:ascii="宋体" w:hAnsi="宋体" w:cs="宋体"/>
          <w:sz w:val="24"/>
          <w:szCs w:val="24"/>
        </w:rPr>
        <w:t>火法炼铅系统氧化锌烟尘回收技术要求</w:t>
      </w:r>
      <w:r>
        <w:rPr>
          <w:rFonts w:hint="eastAsia" w:hAnsi="宋体" w:cs="宋体"/>
          <w:sz w:val="24"/>
          <w:szCs w:val="24"/>
        </w:rPr>
        <w:t>》</w:t>
      </w:r>
      <w:r>
        <w:rPr>
          <w:rFonts w:hint="eastAsia" w:hAnsi="宋体" w:cs="宋体"/>
          <w:sz w:val="24"/>
          <w:szCs w:val="24"/>
          <w:lang w:val="en-US" w:eastAsia="zh-CN"/>
        </w:rPr>
        <w:t>送审稿</w:t>
      </w:r>
      <w:r>
        <w:rPr>
          <w:rFonts w:hint="eastAsia" w:hAnsi="宋体" w:cs="宋体"/>
          <w:sz w:val="24"/>
          <w:szCs w:val="24"/>
          <w:lang w:eastAsia="zh-CN"/>
        </w:rPr>
        <w:t>（</w:t>
      </w:r>
      <w:r>
        <w:rPr>
          <w:rFonts w:hint="eastAsia" w:hAnsi="宋体" w:cs="宋体"/>
          <w:sz w:val="24"/>
          <w:szCs w:val="24"/>
          <w:lang w:val="en-US" w:eastAsia="zh-CN"/>
        </w:rPr>
        <w:t>征求意见稿</w:t>
      </w:r>
      <w:r>
        <w:rPr>
          <w:rFonts w:hint="eastAsia" w:hAnsi="宋体" w:cs="宋体"/>
          <w:sz w:val="24"/>
          <w:szCs w:val="24"/>
          <w:lang w:eastAsia="zh-CN"/>
        </w:rPr>
        <w:t>）</w:t>
      </w:r>
      <w:r>
        <w:rPr>
          <w:rFonts w:hint="eastAsia" w:hAnsi="宋体" w:cs="宋体"/>
          <w:sz w:val="24"/>
          <w:szCs w:val="24"/>
        </w:rPr>
        <w:t>。</w:t>
      </w:r>
    </w:p>
    <w:p w14:paraId="1EB196EC">
      <w:pPr>
        <w:numPr>
          <w:ilvl w:val="0"/>
          <w:numId w:val="3"/>
        </w:numPr>
        <w:snapToGrid w:val="0"/>
        <w:spacing w:before="156" w:beforeLines="50" w:after="156" w:afterLines="50" w:line="360" w:lineRule="auto"/>
        <w:outlineLvl w:val="0"/>
        <w:rPr>
          <w:rFonts w:hint="eastAsia" w:ascii="黑体" w:hAnsi="黑体" w:eastAsia="黑体" w:cs="黑体"/>
          <w:sz w:val="24"/>
          <w:szCs w:val="24"/>
        </w:rPr>
      </w:pPr>
      <w:r>
        <w:rPr>
          <w:rFonts w:hint="eastAsia" w:ascii="黑体" w:hAnsi="黑体" w:eastAsia="黑体" w:cs="黑体"/>
          <w:sz w:val="24"/>
          <w:szCs w:val="24"/>
        </w:rPr>
        <w:t>标准编制原则</w:t>
      </w:r>
    </w:p>
    <w:p w14:paraId="3FC706E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本标准的制定遵循 “统一性、协调性、适用性、一致性、规范性” 原则，以先进性、科学性、合理性和可操作性为导向，依据 GB/T 1.1-2020《标准化工作导则 第1部分：标准化文件的结构和起草规则》进行起草。旨在统一火法炼铅系统所产氧化锌烟尘回收的技术要求，规范行业操作，提高资源回收利用率，促进铅锌冶炼行业可持续发展。</w:t>
      </w:r>
    </w:p>
    <w:p w14:paraId="62E9D7D7">
      <w:pPr>
        <w:numPr>
          <w:ilvl w:val="0"/>
          <w:numId w:val="3"/>
        </w:numPr>
        <w:snapToGrid w:val="0"/>
        <w:spacing w:before="156" w:beforeLines="50" w:after="156" w:afterLines="50" w:line="360" w:lineRule="auto"/>
        <w:outlineLvl w:val="0"/>
        <w:rPr>
          <w:rFonts w:hint="eastAsia" w:ascii="黑体" w:hAnsi="黑体" w:eastAsia="黑体" w:cs="黑体"/>
          <w:sz w:val="24"/>
          <w:szCs w:val="24"/>
        </w:rPr>
      </w:pPr>
      <w:r>
        <w:rPr>
          <w:rFonts w:hint="eastAsia" w:ascii="黑体" w:hAnsi="黑体" w:eastAsia="黑体" w:cs="黑体"/>
          <w:sz w:val="24"/>
          <w:szCs w:val="24"/>
        </w:rPr>
        <w:t>确定内容的主要依据</w:t>
      </w:r>
    </w:p>
    <w:p w14:paraId="1CF20442">
      <w:pPr>
        <w:snapToGrid w:val="0"/>
        <w:spacing w:before="156" w:beforeLines="50" w:line="360" w:lineRule="auto"/>
        <w:outlineLvl w:val="0"/>
        <w:rPr>
          <w:rFonts w:hint="eastAsia" w:ascii="黑体" w:hAnsi="黑体" w:eastAsia="黑体" w:cs="黑体"/>
          <w:sz w:val="24"/>
          <w:szCs w:val="24"/>
        </w:rPr>
      </w:pPr>
      <w:r>
        <w:rPr>
          <w:rFonts w:hint="eastAsia" w:ascii="黑体" w:hAnsi="黑体" w:eastAsia="黑体" w:cs="黑体"/>
          <w:sz w:val="24"/>
          <w:szCs w:val="24"/>
        </w:rPr>
        <w:t>（一）主要内容</w:t>
      </w:r>
    </w:p>
    <w:p w14:paraId="72D6AA4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本标准涵盖火法炼铅系统氧化锌烟尘回收的术语和定义</w:t>
      </w:r>
      <w:r>
        <w:rPr>
          <w:rFonts w:hint="eastAsia" w:ascii="Times New Roman"/>
          <w:sz w:val="24"/>
          <w:szCs w:val="24"/>
        </w:rPr>
        <w:t>，</w:t>
      </w:r>
      <w:r>
        <w:rPr>
          <w:rFonts w:hint="eastAsia" w:ascii="Times New Roman" w:hAnsi="Times New Roman" w:eastAsia="宋体" w:cs="Times New Roman"/>
          <w:sz w:val="24"/>
          <w:szCs w:val="24"/>
        </w:rPr>
        <w:t>氧化锌烟尘中有害元素除杂和有价元素回收技术要求</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污染控制要求</w:t>
      </w:r>
      <w:r>
        <w:rPr>
          <w:rFonts w:hint="eastAsia" w:ascii="Times New Roman"/>
          <w:sz w:val="24"/>
          <w:szCs w:val="24"/>
        </w:rPr>
        <w:t>及安全要求</w:t>
      </w:r>
      <w:r>
        <w:rPr>
          <w:rFonts w:hint="eastAsia" w:ascii="宋体" w:hAnsi="宋体" w:cs="宋体"/>
          <w:sz w:val="24"/>
          <w:szCs w:val="24"/>
        </w:rPr>
        <w:t>。阐述了有价元素回收和有害元素除杂的工艺方法和技术参数，明确了回收过程中的资源利用、环境保护和安全生产要求。</w:t>
      </w:r>
    </w:p>
    <w:p w14:paraId="43E29797">
      <w:pPr>
        <w:snapToGrid w:val="0"/>
        <w:spacing w:before="156" w:beforeLines="50" w:line="360" w:lineRule="auto"/>
        <w:outlineLvl w:val="0"/>
        <w:rPr>
          <w:rFonts w:hint="eastAsia" w:ascii="黑体" w:hAnsi="黑体" w:eastAsia="黑体" w:cs="黑体"/>
          <w:sz w:val="24"/>
          <w:szCs w:val="24"/>
        </w:rPr>
      </w:pPr>
      <w:r>
        <w:rPr>
          <w:rFonts w:hint="eastAsia" w:ascii="黑体" w:hAnsi="黑体" w:eastAsia="黑体" w:cs="黑体"/>
          <w:sz w:val="24"/>
          <w:szCs w:val="24"/>
        </w:rPr>
        <w:t>（二）确定内容的主要原则、依据</w:t>
      </w:r>
    </w:p>
    <w:p w14:paraId="010FE7C4">
      <w:pPr>
        <w:snapToGrid w:val="0"/>
        <w:spacing w:before="156" w:beforeLines="50" w:line="360" w:lineRule="auto"/>
        <w:outlineLvl w:val="0"/>
        <w:rPr>
          <w:rFonts w:hint="eastAsia" w:ascii="黑体" w:hAnsi="黑体" w:eastAsia="黑体" w:cs="黑体"/>
          <w:sz w:val="24"/>
          <w:szCs w:val="24"/>
        </w:rPr>
      </w:pPr>
      <w:r>
        <w:rPr>
          <w:rFonts w:ascii="黑体" w:hAnsi="黑体" w:eastAsia="黑体" w:cs="黑体"/>
          <w:sz w:val="24"/>
          <w:szCs w:val="24"/>
        </w:rPr>
        <w:t>2</w:t>
      </w:r>
      <w:r>
        <w:rPr>
          <w:rFonts w:hint="eastAsia" w:ascii="黑体" w:hAnsi="黑体" w:eastAsia="黑体" w:cs="黑体"/>
          <w:sz w:val="24"/>
          <w:szCs w:val="24"/>
        </w:rPr>
        <w:t>.1</w:t>
      </w:r>
      <w:r>
        <w:rPr>
          <w:rFonts w:ascii="黑体" w:hAnsi="黑体" w:eastAsia="黑体" w:cs="黑体"/>
          <w:sz w:val="24"/>
          <w:szCs w:val="24"/>
        </w:rPr>
        <w:t xml:space="preserve">  </w:t>
      </w:r>
      <w:r>
        <w:rPr>
          <w:rFonts w:hint="eastAsia" w:ascii="黑体" w:hAnsi="黑体" w:eastAsia="黑体" w:cs="黑体"/>
          <w:sz w:val="24"/>
          <w:szCs w:val="24"/>
        </w:rPr>
        <w:t>编制原则</w:t>
      </w:r>
    </w:p>
    <w:p w14:paraId="2E52FD04">
      <w:pPr>
        <w:adjustRightInd w:val="0"/>
        <w:snapToGrid w:val="0"/>
        <w:spacing w:line="360" w:lineRule="auto"/>
        <w:ind w:firstLine="480" w:firstLineChars="200"/>
        <w:rPr>
          <w:rFonts w:hint="eastAsia" w:ascii="宋体" w:hAnsi="宋体"/>
          <w:sz w:val="24"/>
          <w:szCs w:val="24"/>
          <w:lang w:eastAsia="zh-CN"/>
        </w:rPr>
      </w:pPr>
      <w:r>
        <w:rPr>
          <w:rFonts w:hint="eastAsia" w:ascii="宋体" w:hAnsi="宋体"/>
          <w:sz w:val="24"/>
          <w:szCs w:val="24"/>
        </w:rPr>
        <w:t>本文件起草单位自接受起草任务后，成立了标准编制组负责收集</w:t>
      </w:r>
      <w:r>
        <w:rPr>
          <w:rFonts w:hint="eastAsia" w:ascii="宋体" w:hAnsi="宋体" w:cs="宋体"/>
          <w:sz w:val="24"/>
          <w:szCs w:val="24"/>
        </w:rPr>
        <w:t>国内外相关标准、技术文献和企业生产资料</w:t>
      </w:r>
      <w:r>
        <w:rPr>
          <w:rFonts w:hint="eastAsia" w:ascii="宋体" w:hAnsi="宋体"/>
          <w:sz w:val="24"/>
          <w:szCs w:val="24"/>
        </w:rPr>
        <w:t>等资料，</w:t>
      </w:r>
      <w:r>
        <w:rPr>
          <w:rFonts w:hint="eastAsia" w:ascii="宋体" w:hAnsi="宋体" w:cs="宋体"/>
          <w:sz w:val="24"/>
          <w:szCs w:val="24"/>
        </w:rPr>
        <w:t>充分借鉴</w:t>
      </w:r>
      <w:r>
        <w:rPr>
          <w:rFonts w:hint="default" w:ascii="宋体" w:hAnsi="宋体" w:cs="宋体"/>
          <w:sz w:val="24"/>
          <w:szCs w:val="24"/>
        </w:rPr>
        <w:t>铅锌冶炼行业技术发展现状及</w:t>
      </w:r>
      <w:r>
        <w:rPr>
          <w:rFonts w:hint="eastAsia" w:ascii="宋体" w:hAnsi="宋体" w:cs="宋体"/>
          <w:sz w:val="24"/>
          <w:szCs w:val="24"/>
        </w:rPr>
        <w:t>火法炼铅系统</w:t>
      </w:r>
      <w:r>
        <w:rPr>
          <w:rFonts w:hint="default" w:ascii="宋体" w:hAnsi="宋体" w:cs="宋体"/>
          <w:sz w:val="24"/>
          <w:szCs w:val="24"/>
        </w:rPr>
        <w:t>氧化锌烟尘回收的工艺特点</w:t>
      </w:r>
      <w:r>
        <w:rPr>
          <w:rFonts w:hint="eastAsia" w:ascii="宋体" w:hAnsi="宋体" w:cs="宋体"/>
          <w:sz w:val="24"/>
          <w:szCs w:val="24"/>
        </w:rPr>
        <w:t>，</w:t>
      </w:r>
      <w:r>
        <w:rPr>
          <w:rFonts w:hint="eastAsia" w:ascii="宋体" w:hAnsi="宋体"/>
          <w:sz w:val="24"/>
          <w:szCs w:val="24"/>
        </w:rPr>
        <w:t>初步确定了</w:t>
      </w:r>
      <w:r>
        <w:rPr>
          <w:rFonts w:hint="eastAsia" w:ascii="宋体" w:hAnsi="宋体" w:cs="宋体"/>
          <w:sz w:val="24"/>
          <w:szCs w:val="24"/>
        </w:rPr>
        <w:t>《火法炼铅系统氧化锌烟尘回收技术要求》</w:t>
      </w:r>
      <w:r>
        <w:rPr>
          <w:rFonts w:hint="eastAsia" w:ascii="宋体" w:hAnsi="宋体"/>
          <w:sz w:val="24"/>
          <w:szCs w:val="24"/>
        </w:rPr>
        <w:t>标准起草所遵循的基本原则和编制依据</w:t>
      </w:r>
      <w:r>
        <w:rPr>
          <w:rFonts w:hint="eastAsia" w:ascii="宋体" w:hAnsi="宋体"/>
          <w:sz w:val="24"/>
          <w:szCs w:val="24"/>
          <w:lang w:eastAsia="zh-CN"/>
        </w:rPr>
        <w:t>：</w:t>
      </w:r>
    </w:p>
    <w:p w14:paraId="61B4EC76">
      <w:pPr>
        <w:numPr>
          <w:ilvl w:val="0"/>
          <w:numId w:val="5"/>
        </w:numPr>
        <w:adjustRightInd w:val="0"/>
        <w:snapToGrid w:val="0"/>
        <w:spacing w:line="360" w:lineRule="auto"/>
        <w:ind w:firstLine="482" w:firstLineChars="200"/>
        <w:rPr>
          <w:rFonts w:hint="default" w:ascii="宋体" w:hAnsi="宋体" w:cs="宋体"/>
          <w:b/>
          <w:bCs/>
          <w:sz w:val="24"/>
          <w:szCs w:val="24"/>
        </w:rPr>
      </w:pPr>
      <w:r>
        <w:rPr>
          <w:rFonts w:hint="default" w:ascii="宋体" w:hAnsi="宋体" w:cs="宋体"/>
          <w:b/>
          <w:bCs/>
          <w:sz w:val="24"/>
          <w:szCs w:val="24"/>
        </w:rPr>
        <w:t>合规性与规范性原则</w:t>
      </w:r>
    </w:p>
    <w:p w14:paraId="6D201BAF">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1）</w:t>
      </w:r>
      <w:r>
        <w:rPr>
          <w:rFonts w:hint="default" w:ascii="宋体" w:hAnsi="宋体" w:cs="宋体"/>
          <w:b/>
          <w:bCs/>
          <w:sz w:val="24"/>
          <w:szCs w:val="24"/>
        </w:rPr>
        <w:t>法规依据</w:t>
      </w:r>
    </w:p>
    <w:p w14:paraId="5A44858F">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符合《中华人民共和国循环经济促进法》</w:t>
      </w:r>
      <w:r>
        <w:rPr>
          <w:rFonts w:hint="eastAsia" w:ascii="宋体" w:hAnsi="宋体" w:cs="宋体"/>
          <w:sz w:val="24"/>
          <w:szCs w:val="24"/>
          <w:lang w:eastAsia="zh-CN"/>
        </w:rPr>
        <w:t>、</w:t>
      </w:r>
      <w:r>
        <w:rPr>
          <w:rFonts w:hint="default" w:ascii="宋体" w:hAnsi="宋体" w:cs="宋体"/>
          <w:sz w:val="24"/>
          <w:szCs w:val="24"/>
        </w:rPr>
        <w:t>《中华人民共和国固体废物污染环境防治法》等法规要求，响应《中国制造2025》绿色制造体系部署。</w:t>
      </w:r>
    </w:p>
    <w:p w14:paraId="0A36563A">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2）</w:t>
      </w:r>
      <w:r>
        <w:rPr>
          <w:rFonts w:hint="default" w:ascii="宋体" w:hAnsi="宋体" w:cs="宋体"/>
          <w:b/>
          <w:bCs/>
          <w:sz w:val="24"/>
          <w:szCs w:val="24"/>
        </w:rPr>
        <w:t>标准框架</w:t>
      </w:r>
    </w:p>
    <w:p w14:paraId="59FE9586">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严格遵循GB/T 1.1-2020《标准化工作导则</w:t>
      </w:r>
      <w:r>
        <w:rPr>
          <w:rFonts w:hint="eastAsia" w:ascii="宋体" w:hAnsi="宋体" w:cs="宋体"/>
          <w:sz w:val="24"/>
          <w:szCs w:val="24"/>
          <w:lang w:val="en-US" w:eastAsia="zh-CN"/>
        </w:rPr>
        <w:t xml:space="preserve"> </w:t>
      </w:r>
      <w:r>
        <w:rPr>
          <w:rFonts w:hint="eastAsia" w:ascii="宋体" w:hAnsi="宋体" w:cs="宋体"/>
          <w:sz w:val="24"/>
          <w:szCs w:val="24"/>
        </w:rPr>
        <w:t>第1部分：标准化文件的结构和起草规则</w:t>
      </w:r>
      <w:r>
        <w:rPr>
          <w:rFonts w:hint="default" w:ascii="宋体" w:hAnsi="宋体" w:cs="宋体"/>
          <w:sz w:val="24"/>
          <w:szCs w:val="24"/>
        </w:rPr>
        <w:t>》的结构规则，</w:t>
      </w:r>
      <w:r>
        <w:rPr>
          <w:rFonts w:hint="eastAsia" w:ascii="宋体" w:hAnsi="宋体" w:cs="宋体"/>
          <w:sz w:val="24"/>
          <w:szCs w:val="24"/>
        </w:rPr>
        <w:t>保证标准的规范性和可读性</w:t>
      </w:r>
      <w:r>
        <w:rPr>
          <w:rFonts w:hint="eastAsia" w:ascii="宋体" w:hAnsi="宋体" w:cs="宋体"/>
          <w:sz w:val="24"/>
          <w:szCs w:val="24"/>
          <w:lang w:eastAsia="zh-CN"/>
        </w:rPr>
        <w:t>，</w:t>
      </w:r>
      <w:r>
        <w:rPr>
          <w:rFonts w:hint="default" w:ascii="宋体" w:hAnsi="宋体" w:cs="宋体"/>
          <w:sz w:val="24"/>
          <w:szCs w:val="24"/>
        </w:rPr>
        <w:t>确保术语定义、技术条款的表述清晰、无歧义。</w:t>
      </w:r>
    </w:p>
    <w:p w14:paraId="637EC51C">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3）</w:t>
      </w:r>
      <w:r>
        <w:rPr>
          <w:rFonts w:hint="default" w:ascii="宋体" w:hAnsi="宋体" w:cs="宋体"/>
          <w:b/>
          <w:bCs/>
          <w:sz w:val="24"/>
          <w:szCs w:val="24"/>
        </w:rPr>
        <w:t>环保合规</w:t>
      </w:r>
    </w:p>
    <w:p w14:paraId="21B2469B">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污染物排放指标与GB 25466《铅、锌工业污染物排放标准》、GB 18597《危险废物贮存污染控制标准》等</w:t>
      </w:r>
      <w:r>
        <w:rPr>
          <w:rFonts w:hint="eastAsia" w:ascii="宋体" w:hAnsi="宋体" w:cs="宋体"/>
          <w:sz w:val="24"/>
          <w:szCs w:val="24"/>
          <w:lang w:val="en-US" w:eastAsia="zh-CN"/>
        </w:rPr>
        <w:t>国家</w:t>
      </w:r>
      <w:r>
        <w:rPr>
          <w:rFonts w:hint="default" w:ascii="宋体" w:hAnsi="宋体" w:cs="宋体"/>
          <w:sz w:val="24"/>
          <w:szCs w:val="24"/>
        </w:rPr>
        <w:t>标准</w:t>
      </w:r>
      <w:r>
        <w:rPr>
          <w:rFonts w:hint="eastAsia" w:ascii="宋体" w:hAnsi="宋体" w:cs="宋体"/>
          <w:sz w:val="24"/>
          <w:szCs w:val="24"/>
          <w:lang w:val="en-US" w:eastAsia="zh-CN"/>
        </w:rPr>
        <w:t>有效</w:t>
      </w:r>
      <w:r>
        <w:rPr>
          <w:rFonts w:hint="default" w:ascii="宋体" w:hAnsi="宋体" w:cs="宋体"/>
          <w:sz w:val="24"/>
          <w:szCs w:val="24"/>
        </w:rPr>
        <w:t>衔接。</w:t>
      </w:r>
    </w:p>
    <w:p w14:paraId="0DB41206">
      <w:pPr>
        <w:numPr>
          <w:ilvl w:val="0"/>
          <w:numId w:val="5"/>
        </w:numPr>
        <w:adjustRightInd w:val="0"/>
        <w:snapToGrid w:val="0"/>
        <w:spacing w:line="360" w:lineRule="auto"/>
        <w:ind w:left="0" w:leftChars="0" w:firstLine="482" w:firstLineChars="200"/>
        <w:rPr>
          <w:rFonts w:hint="default" w:ascii="宋体" w:hAnsi="宋体" w:cs="宋体"/>
          <w:b/>
          <w:bCs/>
          <w:sz w:val="24"/>
          <w:szCs w:val="24"/>
        </w:rPr>
      </w:pPr>
      <w:r>
        <w:rPr>
          <w:rFonts w:hint="default" w:ascii="宋体" w:hAnsi="宋体" w:cs="宋体"/>
          <w:b/>
          <w:bCs/>
          <w:sz w:val="24"/>
          <w:szCs w:val="24"/>
        </w:rPr>
        <w:t>技术先进性与创新性</w:t>
      </w:r>
      <w:r>
        <w:rPr>
          <w:rFonts w:hint="eastAsia" w:ascii="宋体" w:hAnsi="宋体" w:cs="宋体"/>
          <w:b/>
          <w:bCs/>
          <w:sz w:val="24"/>
          <w:szCs w:val="24"/>
          <w:lang w:val="en-US" w:eastAsia="zh-CN"/>
        </w:rPr>
        <w:t>原则</w:t>
      </w:r>
    </w:p>
    <w:p w14:paraId="7D9A21E6">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1）</w:t>
      </w:r>
      <w:r>
        <w:rPr>
          <w:rFonts w:hint="default" w:ascii="宋体" w:hAnsi="宋体" w:cs="宋体"/>
          <w:b/>
          <w:bCs/>
          <w:sz w:val="24"/>
          <w:szCs w:val="24"/>
        </w:rPr>
        <w:t>工艺先进性</w:t>
      </w:r>
    </w:p>
    <w:p w14:paraId="09D2B61C">
      <w:pPr>
        <w:adjustRightInd w:val="0"/>
        <w:snapToGrid w:val="0"/>
        <w:spacing w:line="360" w:lineRule="auto"/>
        <w:ind w:firstLine="480" w:firstLineChars="200"/>
        <w:rPr>
          <w:rFonts w:hint="eastAsia" w:ascii="宋体" w:hAnsi="宋体" w:cs="宋体"/>
          <w:sz w:val="24"/>
          <w:szCs w:val="24"/>
          <w:lang w:val="en-US" w:eastAsia="zh-CN"/>
        </w:rPr>
      </w:pPr>
      <w:r>
        <w:rPr>
          <w:rFonts w:hint="default" w:ascii="宋体" w:hAnsi="宋体" w:cs="宋体"/>
          <w:sz w:val="24"/>
          <w:szCs w:val="24"/>
        </w:rPr>
        <w:t>采纳行业领先技术（如“二段</w:t>
      </w:r>
      <w:r>
        <w:rPr>
          <w:rFonts w:hint="eastAsia" w:ascii="宋体" w:hAnsi="宋体" w:cs="宋体"/>
          <w:sz w:val="24"/>
          <w:szCs w:val="24"/>
          <w:lang w:val="en-US" w:eastAsia="zh-CN"/>
        </w:rPr>
        <w:t>逆流酸浸</w:t>
      </w:r>
      <w:r>
        <w:rPr>
          <w:rFonts w:hint="default"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富氧浸出</w:t>
      </w:r>
      <w:r>
        <w:rPr>
          <w:rFonts w:hint="eastAsia" w:ascii="宋体" w:hAnsi="宋体" w:cs="宋体"/>
          <w:sz w:val="24"/>
          <w:szCs w:val="24"/>
          <w:lang w:eastAsia="zh-CN"/>
        </w:rPr>
        <w:t>”、</w:t>
      </w:r>
      <w:r>
        <w:rPr>
          <w:rFonts w:hint="default" w:ascii="宋体" w:hAnsi="宋体" w:cs="宋体"/>
          <w:sz w:val="24"/>
          <w:szCs w:val="24"/>
        </w:rPr>
        <w:t>“多段逆向净化”</w:t>
      </w:r>
      <w:r>
        <w:rPr>
          <w:rFonts w:hint="eastAsia" w:ascii="宋体" w:hAnsi="宋体" w:cs="宋体"/>
          <w:sz w:val="24"/>
          <w:szCs w:val="24"/>
          <w:lang w:val="en-US" w:eastAsia="zh-CN"/>
        </w:rPr>
        <w:t>等</w:t>
      </w:r>
      <w:r>
        <w:rPr>
          <w:rFonts w:hint="default" w:ascii="宋体" w:hAnsi="宋体" w:cs="宋体"/>
          <w:sz w:val="24"/>
          <w:szCs w:val="24"/>
        </w:rPr>
        <w:t>工艺），推动淘汰落后</w:t>
      </w:r>
      <w:r>
        <w:rPr>
          <w:rFonts w:hint="eastAsia" w:ascii="宋体" w:hAnsi="宋体" w:cs="宋体"/>
          <w:sz w:val="24"/>
          <w:szCs w:val="24"/>
          <w:lang w:val="en-US" w:eastAsia="zh-CN"/>
        </w:rPr>
        <w:t>工艺；</w:t>
      </w:r>
    </w:p>
    <w:p w14:paraId="3BC3ECCB">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明确关键指标</w:t>
      </w:r>
      <w:r>
        <w:rPr>
          <w:rFonts w:hint="eastAsia" w:ascii="宋体" w:hAnsi="宋体" w:cs="宋体"/>
          <w:sz w:val="24"/>
          <w:szCs w:val="24"/>
          <w:lang w:val="en-US" w:eastAsia="zh-CN"/>
        </w:rPr>
        <w:t>限值</w:t>
      </w:r>
      <w:r>
        <w:rPr>
          <w:rFonts w:hint="default" w:ascii="宋体" w:hAnsi="宋体" w:cs="宋体"/>
          <w:sz w:val="24"/>
          <w:szCs w:val="24"/>
        </w:rPr>
        <w:t>（如单宁沉锗</w:t>
      </w:r>
      <w:r>
        <w:rPr>
          <w:rFonts w:hint="eastAsia" w:ascii="宋体" w:hAnsi="宋体" w:cs="宋体"/>
          <w:sz w:val="24"/>
          <w:szCs w:val="24"/>
          <w:lang w:val="en-US" w:eastAsia="zh-CN"/>
        </w:rPr>
        <w:t>沉锗</w:t>
      </w:r>
      <w:r>
        <w:rPr>
          <w:rFonts w:hint="default" w:ascii="宋体" w:hAnsi="宋体" w:cs="宋体"/>
          <w:sz w:val="24"/>
          <w:szCs w:val="24"/>
        </w:rPr>
        <w:t>率≥95%、</w:t>
      </w:r>
      <w:r>
        <w:rPr>
          <w:rFonts w:hint="eastAsia"/>
          <w:sz w:val="24"/>
          <w:szCs w:val="24"/>
        </w:rPr>
        <w:t>中性浸出-两段酸浸对应浸出率≥90%</w:t>
      </w:r>
      <w:r>
        <w:rPr>
          <w:rFonts w:hint="default" w:ascii="宋体" w:hAnsi="宋体" w:cs="宋体"/>
          <w:sz w:val="24"/>
          <w:szCs w:val="24"/>
        </w:rPr>
        <w:t>），高于现行行业平均水平。</w:t>
      </w:r>
    </w:p>
    <w:p w14:paraId="0DC73600">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2）</w:t>
      </w:r>
      <w:r>
        <w:rPr>
          <w:rFonts w:hint="default" w:ascii="宋体" w:hAnsi="宋体" w:cs="宋体"/>
          <w:b/>
          <w:bCs/>
          <w:sz w:val="24"/>
          <w:szCs w:val="24"/>
        </w:rPr>
        <w:t>创新导向</w:t>
      </w:r>
    </w:p>
    <w:p w14:paraId="356BB1B2">
      <w:pPr>
        <w:adjustRightInd w:val="0"/>
        <w:snapToGrid w:val="0"/>
        <w:spacing w:line="360" w:lineRule="auto"/>
        <w:ind w:firstLine="480" w:firstLineChars="200"/>
        <w:rPr>
          <w:rFonts w:hint="eastAsia" w:ascii="宋体" w:hAnsi="宋体" w:cs="宋体" w:eastAsiaTheme="minorEastAsia"/>
          <w:sz w:val="24"/>
          <w:szCs w:val="24"/>
          <w:lang w:eastAsia="zh-CN"/>
        </w:rPr>
      </w:pPr>
      <w:r>
        <w:rPr>
          <w:rFonts w:hint="default" w:ascii="宋体" w:hAnsi="宋体" w:cs="宋体"/>
          <w:sz w:val="24"/>
          <w:szCs w:val="24"/>
        </w:rPr>
        <w:t>引入“二段</w:t>
      </w:r>
      <w:r>
        <w:rPr>
          <w:rFonts w:hint="eastAsia" w:ascii="宋体" w:hAnsi="宋体" w:cs="宋体"/>
          <w:sz w:val="24"/>
          <w:szCs w:val="24"/>
          <w:lang w:val="en-US" w:eastAsia="zh-CN"/>
        </w:rPr>
        <w:t>逆流酸浸</w:t>
      </w:r>
      <w:r>
        <w:rPr>
          <w:rFonts w:hint="default" w:ascii="宋体" w:hAnsi="宋体" w:cs="宋体"/>
          <w:sz w:val="24"/>
          <w:szCs w:val="24"/>
        </w:rPr>
        <w:t>”</w:t>
      </w:r>
      <w:r>
        <w:rPr>
          <w:rFonts w:hint="eastAsia" w:ascii="宋体" w:hAnsi="宋体" w:cs="宋体"/>
          <w:sz w:val="24"/>
          <w:szCs w:val="24"/>
          <w:lang w:eastAsia="zh-CN"/>
        </w:rPr>
        <w:t>、“</w:t>
      </w:r>
      <w:r>
        <w:rPr>
          <w:rFonts w:hint="eastAsia" w:ascii="宋体" w:hAnsi="宋体" w:cs="宋体"/>
          <w:sz w:val="24"/>
          <w:szCs w:val="24"/>
          <w:lang w:val="en-US" w:eastAsia="zh-CN"/>
        </w:rPr>
        <w:t>富氧浸出</w:t>
      </w:r>
      <w:r>
        <w:rPr>
          <w:rFonts w:hint="eastAsia" w:ascii="宋体" w:hAnsi="宋体" w:cs="宋体"/>
          <w:sz w:val="24"/>
          <w:szCs w:val="24"/>
          <w:lang w:eastAsia="zh-CN"/>
        </w:rPr>
        <w:t>”、</w:t>
      </w:r>
      <w:r>
        <w:rPr>
          <w:rFonts w:hint="default" w:ascii="宋体" w:hAnsi="宋体" w:cs="宋体"/>
          <w:sz w:val="24"/>
          <w:szCs w:val="24"/>
        </w:rPr>
        <w:t>“多段逆向净化”等</w:t>
      </w:r>
      <w:r>
        <w:rPr>
          <w:rFonts w:hint="eastAsia" w:ascii="宋体" w:hAnsi="宋体" w:cs="宋体"/>
          <w:sz w:val="24"/>
          <w:szCs w:val="24"/>
          <w:lang w:val="en-US" w:eastAsia="zh-CN"/>
        </w:rPr>
        <w:t>先进</w:t>
      </w:r>
      <w:r>
        <w:rPr>
          <w:rFonts w:hint="default" w:ascii="宋体" w:hAnsi="宋体" w:cs="宋体"/>
          <w:sz w:val="24"/>
          <w:szCs w:val="24"/>
        </w:rPr>
        <w:t>技术，提升</w:t>
      </w:r>
      <w:r>
        <w:rPr>
          <w:rFonts w:hint="eastAsia" w:ascii="宋体" w:hAnsi="宋体" w:cs="宋体"/>
          <w:sz w:val="24"/>
          <w:szCs w:val="24"/>
          <w:lang w:val="en-US" w:eastAsia="zh-CN"/>
        </w:rPr>
        <w:t>锌、</w:t>
      </w:r>
      <w:r>
        <w:rPr>
          <w:rFonts w:hint="default" w:ascii="宋体" w:hAnsi="宋体" w:cs="宋体"/>
          <w:sz w:val="24"/>
          <w:szCs w:val="24"/>
        </w:rPr>
        <w:t>铟、锗</w:t>
      </w:r>
      <w:r>
        <w:rPr>
          <w:rFonts w:hint="eastAsia" w:ascii="宋体" w:hAnsi="宋体" w:cs="宋体"/>
          <w:sz w:val="24"/>
          <w:szCs w:val="24"/>
          <w:lang w:val="en-US" w:eastAsia="zh-CN"/>
        </w:rPr>
        <w:t>等有价元素</w:t>
      </w:r>
      <w:r>
        <w:rPr>
          <w:rFonts w:hint="default" w:ascii="宋体" w:hAnsi="宋体" w:cs="宋体"/>
          <w:sz w:val="24"/>
          <w:szCs w:val="24"/>
        </w:rPr>
        <w:t>回收率</w:t>
      </w:r>
      <w:r>
        <w:rPr>
          <w:rFonts w:hint="eastAsia" w:ascii="宋体" w:hAnsi="宋体" w:cs="宋体"/>
          <w:sz w:val="24"/>
          <w:szCs w:val="24"/>
          <w:lang w:eastAsia="zh-CN"/>
        </w:rPr>
        <w:t>。</w:t>
      </w:r>
    </w:p>
    <w:p w14:paraId="798A28F2">
      <w:pPr>
        <w:numPr>
          <w:ilvl w:val="0"/>
          <w:numId w:val="5"/>
        </w:numPr>
        <w:adjustRightInd w:val="0"/>
        <w:snapToGrid w:val="0"/>
        <w:spacing w:line="360" w:lineRule="auto"/>
        <w:ind w:left="0" w:leftChars="0" w:firstLine="482" w:firstLineChars="200"/>
        <w:rPr>
          <w:rFonts w:hint="default" w:ascii="宋体" w:hAnsi="宋体" w:cs="宋体"/>
          <w:b/>
          <w:bCs/>
          <w:sz w:val="24"/>
          <w:szCs w:val="24"/>
        </w:rPr>
      </w:pPr>
      <w:r>
        <w:rPr>
          <w:rFonts w:hint="default" w:ascii="宋体" w:hAnsi="宋体" w:cs="宋体"/>
          <w:b/>
          <w:bCs/>
          <w:sz w:val="24"/>
          <w:szCs w:val="24"/>
        </w:rPr>
        <w:t>可操作性与经济性</w:t>
      </w:r>
      <w:r>
        <w:rPr>
          <w:rFonts w:hint="eastAsia" w:ascii="宋体" w:hAnsi="宋体" w:cs="宋体"/>
          <w:b/>
          <w:bCs/>
          <w:sz w:val="24"/>
          <w:szCs w:val="24"/>
          <w:lang w:val="en-US" w:eastAsia="zh-CN"/>
        </w:rPr>
        <w:t>原则</w:t>
      </w:r>
    </w:p>
    <w:p w14:paraId="3B31E5F3">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1）</w:t>
      </w:r>
      <w:r>
        <w:rPr>
          <w:rFonts w:hint="default" w:ascii="宋体" w:hAnsi="宋体" w:cs="宋体"/>
          <w:b/>
          <w:bCs/>
          <w:sz w:val="24"/>
          <w:szCs w:val="24"/>
        </w:rPr>
        <w:t>参数精细化</w:t>
      </w:r>
    </w:p>
    <w:p w14:paraId="6AF8731A">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依据行业技术发展水平和实际生据，科学确定各项技术指标、参数取值范围和工艺路线：</w:t>
      </w:r>
    </w:p>
    <w:p w14:paraId="7D682F20">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量化</w:t>
      </w:r>
      <w:r>
        <w:rPr>
          <w:rFonts w:hint="eastAsia" w:ascii="宋体" w:hAnsi="宋体" w:cs="宋体"/>
          <w:sz w:val="24"/>
          <w:szCs w:val="24"/>
          <w:lang w:val="en-US" w:eastAsia="zh-CN"/>
        </w:rPr>
        <w:t>技术指标和</w:t>
      </w:r>
      <w:r>
        <w:rPr>
          <w:rFonts w:hint="default" w:ascii="宋体" w:hAnsi="宋体" w:cs="宋体"/>
          <w:sz w:val="24"/>
          <w:szCs w:val="24"/>
          <w:lang w:val="en-US" w:eastAsia="zh-CN"/>
        </w:rPr>
        <w:t>工艺参数范围（如</w:t>
      </w:r>
      <w:r>
        <w:rPr>
          <w:rFonts w:hint="eastAsia" w:ascii="宋体" w:hAnsi="宋体" w:cs="宋体"/>
          <w:sz w:val="24"/>
          <w:szCs w:val="24"/>
          <w:lang w:val="en-US" w:eastAsia="zh-CN"/>
        </w:rPr>
        <w:t>两段逆流酸浸：一段酸浸终点酸1 g/L～2 g/L，二段酸浸终点酸70 g/L～80 g/</w:t>
      </w:r>
      <w:r>
        <w:rPr>
          <w:rFonts w:hint="default" w:ascii="宋体" w:hAnsi="宋体" w:cs="宋体"/>
          <w:sz w:val="24"/>
          <w:szCs w:val="24"/>
          <w:lang w:val="en-US" w:eastAsia="zh-CN"/>
        </w:rPr>
        <w:t>），避免企业因模糊条款增加试错成本。</w:t>
      </w:r>
    </w:p>
    <w:p w14:paraId="00263DAE">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区分</w:t>
      </w:r>
      <w:r>
        <w:rPr>
          <w:rFonts w:hint="eastAsia" w:ascii="宋体" w:hAnsi="宋体" w:cs="宋体"/>
          <w:sz w:val="24"/>
          <w:szCs w:val="24"/>
          <w:lang w:val="en-US" w:eastAsia="zh-CN"/>
        </w:rPr>
        <w:t>工艺路线【如预处理脱氟氯工艺：路线（1）多膛炉或回转窑焙烧的氟脱除率≥85%，氯脱除率≥75%；路线（2）碱洗洗滤的氟脱除率≥60%，氯脱除率≥80</w:t>
      </w:r>
      <w:r>
        <w:rPr>
          <w:rFonts w:hint="default" w:ascii="宋体" w:hAnsi="宋体" w:cs="宋体"/>
          <w:sz w:val="24"/>
          <w:szCs w:val="24"/>
          <w:lang w:val="en-US" w:eastAsia="zh-CN"/>
        </w:rPr>
        <w:t>%</w:t>
      </w:r>
      <w:r>
        <w:rPr>
          <w:rFonts w:hint="eastAsia" w:ascii="宋体" w:hAnsi="宋体" w:cs="宋体"/>
          <w:sz w:val="24"/>
          <w:szCs w:val="24"/>
          <w:lang w:val="en-US" w:eastAsia="zh-CN"/>
        </w:rPr>
        <w:t>】</w:t>
      </w:r>
      <w:r>
        <w:rPr>
          <w:rFonts w:hint="default" w:ascii="宋体" w:hAnsi="宋体" w:cs="宋体"/>
          <w:sz w:val="24"/>
          <w:szCs w:val="24"/>
          <w:lang w:val="en-US" w:eastAsia="zh-CN"/>
        </w:rPr>
        <w:t>，适配不同规模企业设备条件。</w:t>
      </w:r>
    </w:p>
    <w:p w14:paraId="488732D6">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2）</w:t>
      </w:r>
      <w:r>
        <w:rPr>
          <w:rFonts w:hint="default" w:ascii="宋体" w:hAnsi="宋体" w:cs="宋体"/>
          <w:b/>
          <w:bCs/>
          <w:sz w:val="24"/>
          <w:szCs w:val="24"/>
        </w:rPr>
        <w:t>降本增效</w:t>
      </w:r>
    </w:p>
    <w:p w14:paraId="2A7FA983">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通过标准化</w:t>
      </w:r>
      <w:r>
        <w:rPr>
          <w:rFonts w:hint="eastAsia" w:ascii="宋体" w:hAnsi="宋体" w:cs="宋体"/>
          <w:sz w:val="24"/>
          <w:szCs w:val="24"/>
          <w:lang w:val="en-US" w:eastAsia="zh-CN"/>
        </w:rPr>
        <w:t>操作，有效降低辅料单耗</w:t>
      </w:r>
      <w:r>
        <w:rPr>
          <w:rFonts w:hint="default" w:ascii="宋体" w:hAnsi="宋体" w:cs="宋体"/>
          <w:sz w:val="24"/>
          <w:szCs w:val="24"/>
          <w:lang w:val="en-US" w:eastAsia="zh-CN"/>
        </w:rPr>
        <w:t>。</w:t>
      </w:r>
    </w:p>
    <w:p w14:paraId="395C6B32">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lang w:val="en-US" w:eastAsia="zh-CN"/>
        </w:rPr>
        <w:t>明确</w:t>
      </w:r>
      <w:r>
        <w:rPr>
          <w:rFonts w:hint="eastAsia" w:ascii="宋体" w:hAnsi="宋体" w:cs="宋体"/>
          <w:sz w:val="24"/>
          <w:szCs w:val="24"/>
          <w:lang w:val="en-US" w:eastAsia="zh-CN"/>
        </w:rPr>
        <w:t>铅渣</w:t>
      </w:r>
      <w:r>
        <w:rPr>
          <w:rFonts w:hint="default" w:ascii="宋体" w:hAnsi="宋体" w:cs="宋体"/>
          <w:sz w:val="24"/>
          <w:szCs w:val="24"/>
          <w:lang w:val="en-US" w:eastAsia="zh-CN"/>
        </w:rPr>
        <w:t>返回炼铅系统，实现铅、银闭环回收，减少原料外购</w:t>
      </w:r>
      <w:r>
        <w:rPr>
          <w:rFonts w:hint="eastAsia" w:ascii="宋体" w:hAnsi="宋体" w:cs="宋体"/>
          <w:sz w:val="24"/>
          <w:szCs w:val="24"/>
          <w:lang w:val="en-US" w:eastAsia="zh-CN"/>
        </w:rPr>
        <w:t>和处理成本。</w:t>
      </w:r>
    </w:p>
    <w:p w14:paraId="2794B99F">
      <w:pPr>
        <w:adjustRightInd w:val="0"/>
        <w:snapToGrid w:val="0"/>
        <w:spacing w:line="360" w:lineRule="auto"/>
        <w:ind w:firstLine="482" w:firstLineChars="200"/>
        <w:rPr>
          <w:rFonts w:hint="eastAsia" w:ascii="宋体" w:hAnsi="宋体" w:cs="宋体" w:eastAsiaTheme="minorEastAsia"/>
          <w:b/>
          <w:bCs/>
          <w:sz w:val="24"/>
          <w:szCs w:val="24"/>
          <w:lang w:val="en-US" w:eastAsia="zh-CN"/>
        </w:rPr>
      </w:pPr>
      <w:r>
        <w:rPr>
          <w:rFonts w:hint="eastAsia" w:ascii="宋体" w:hAnsi="宋体" w:cs="宋体"/>
          <w:b/>
          <w:bCs/>
          <w:sz w:val="24"/>
          <w:szCs w:val="24"/>
          <w:lang w:val="en-US" w:eastAsia="zh-CN"/>
        </w:rPr>
        <w:t>4、</w:t>
      </w:r>
      <w:r>
        <w:rPr>
          <w:rFonts w:hint="default" w:ascii="宋体" w:hAnsi="宋体" w:cs="宋体"/>
          <w:b/>
          <w:bCs/>
          <w:sz w:val="24"/>
          <w:szCs w:val="24"/>
        </w:rPr>
        <w:t>行业协调性与普适性</w:t>
      </w:r>
      <w:r>
        <w:rPr>
          <w:rFonts w:hint="eastAsia" w:ascii="宋体" w:hAnsi="宋体" w:cs="宋体"/>
          <w:b/>
          <w:bCs/>
          <w:sz w:val="24"/>
          <w:szCs w:val="24"/>
          <w:lang w:val="en-US" w:eastAsia="zh-CN"/>
        </w:rPr>
        <w:t>原则</w:t>
      </w:r>
    </w:p>
    <w:p w14:paraId="3EF5523F">
      <w:pPr>
        <w:adjustRightInd w:val="0"/>
        <w:snapToGrid w:val="0"/>
        <w:spacing w:line="360" w:lineRule="auto"/>
        <w:ind w:firstLine="480" w:firstLineChars="200"/>
        <w:rPr>
          <w:rFonts w:hint="eastAsia" w:ascii="宋体" w:hAnsi="宋体" w:cs="宋体" w:eastAsiaTheme="minorEastAsia"/>
          <w:b/>
          <w:bCs/>
          <w:sz w:val="24"/>
          <w:szCs w:val="24"/>
          <w:lang w:val="en-US" w:eastAsia="zh-CN"/>
        </w:rPr>
      </w:pPr>
      <w:r>
        <w:rPr>
          <w:rFonts w:hint="eastAsia" w:ascii="宋体" w:hAnsi="宋体" w:cs="宋体"/>
          <w:sz w:val="24"/>
          <w:szCs w:val="24"/>
        </w:rPr>
        <w:t>结合国内铅锌冶炼企业的实际生产情况，综合考虑产数不同企业的工艺配置、设备类型和操作条件，确保标准的合理性和实用性</w:t>
      </w:r>
      <w:r>
        <w:rPr>
          <w:rFonts w:hint="eastAsia" w:ascii="宋体" w:hAnsi="宋体" w:cs="宋体"/>
          <w:sz w:val="24"/>
          <w:szCs w:val="24"/>
          <w:lang w:eastAsia="zh-CN"/>
        </w:rPr>
        <w:t>：</w:t>
      </w:r>
    </w:p>
    <w:p w14:paraId="73A45D12">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1）工艺</w:t>
      </w:r>
      <w:r>
        <w:rPr>
          <w:rFonts w:hint="default" w:ascii="宋体" w:hAnsi="宋体" w:cs="宋体"/>
          <w:b/>
          <w:bCs/>
          <w:sz w:val="24"/>
          <w:szCs w:val="24"/>
        </w:rPr>
        <w:t>协同</w:t>
      </w:r>
    </w:p>
    <w:p w14:paraId="436D1001">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兼容火法炼铅主流工</w:t>
      </w:r>
      <w:r>
        <w:rPr>
          <w:rFonts w:hint="eastAsia" w:ascii="宋体" w:hAnsi="宋体" w:cs="宋体"/>
          <w:sz w:val="24"/>
          <w:szCs w:val="24"/>
          <w:lang w:val="en-US" w:eastAsia="zh-CN"/>
        </w:rPr>
        <w:t>艺</w:t>
      </w:r>
      <w:r>
        <w:rPr>
          <w:rFonts w:hint="default" w:ascii="宋体" w:hAnsi="宋体" w:cs="宋体"/>
          <w:sz w:val="24"/>
          <w:szCs w:val="24"/>
          <w:lang w:val="en-US" w:eastAsia="zh-CN"/>
        </w:rPr>
        <w:t>，覆盖烟化炉</w:t>
      </w:r>
      <w:r>
        <w:rPr>
          <w:rFonts w:hint="eastAsia" w:ascii="宋体" w:hAnsi="宋体" w:cs="宋体"/>
          <w:sz w:val="24"/>
          <w:szCs w:val="24"/>
          <w:lang w:val="en-US" w:eastAsia="zh-CN"/>
        </w:rPr>
        <w:t>、</w:t>
      </w:r>
      <w:r>
        <w:rPr>
          <w:rFonts w:hint="eastAsia"/>
          <w:sz w:val="24"/>
          <w:szCs w:val="24"/>
        </w:rPr>
        <w:t>回转窑</w:t>
      </w:r>
      <w:r>
        <w:rPr>
          <w:rFonts w:hint="default" w:ascii="宋体" w:hAnsi="宋体" w:cs="宋体"/>
          <w:sz w:val="24"/>
          <w:szCs w:val="24"/>
          <w:lang w:val="en-US" w:eastAsia="zh-CN"/>
        </w:rPr>
        <w:t>等烟尘来源。</w:t>
      </w:r>
    </w:p>
    <w:p w14:paraId="7062FE1B">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2）</w:t>
      </w:r>
      <w:r>
        <w:rPr>
          <w:rFonts w:hint="default" w:ascii="宋体" w:hAnsi="宋体" w:cs="宋体"/>
          <w:b/>
          <w:bCs/>
          <w:sz w:val="24"/>
          <w:szCs w:val="24"/>
        </w:rPr>
        <w:t>普适适用</w:t>
      </w:r>
    </w:p>
    <w:p w14:paraId="717E071F">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区分富锗、富铟、富铟锗三类</w:t>
      </w:r>
      <w:r>
        <w:rPr>
          <w:rFonts w:hint="eastAsia" w:ascii="宋体" w:hAnsi="宋体" w:cs="宋体"/>
          <w:sz w:val="24"/>
          <w:szCs w:val="24"/>
          <w:lang w:val="en-US" w:eastAsia="zh-CN"/>
        </w:rPr>
        <w:t>氧化锌</w:t>
      </w:r>
      <w:r>
        <w:rPr>
          <w:rFonts w:hint="default" w:ascii="宋体" w:hAnsi="宋体" w:cs="宋体"/>
          <w:sz w:val="24"/>
          <w:szCs w:val="24"/>
          <w:lang w:val="en-US" w:eastAsia="zh-CN"/>
        </w:rPr>
        <w:t>烟尘的差异化工序，满足不同成分烟尘处理需求。</w:t>
      </w:r>
    </w:p>
    <w:p w14:paraId="1A4DF706">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明确</w:t>
      </w:r>
      <w:r>
        <w:rPr>
          <w:rFonts w:hint="default" w:ascii="宋体" w:hAnsi="宋体" w:cs="宋体"/>
          <w:sz w:val="24"/>
          <w:szCs w:val="24"/>
          <w:lang w:val="en-US" w:eastAsia="zh-CN"/>
        </w:rPr>
        <w:t>碱洗/焙烧双路线脱氟氯，适应水资源丰富或能源优势区域企业的选择。</w:t>
      </w:r>
    </w:p>
    <w:p w14:paraId="619E49A4">
      <w:pPr>
        <w:adjustRightInd w:val="0"/>
        <w:snapToGrid w:val="0"/>
        <w:spacing w:line="360" w:lineRule="auto"/>
        <w:ind w:firstLine="482" w:firstLineChars="200"/>
        <w:rPr>
          <w:rFonts w:hint="eastAsia" w:ascii="宋体" w:hAnsi="宋体" w:cs="宋体" w:eastAsiaTheme="minorEastAsia"/>
          <w:b/>
          <w:bCs/>
          <w:sz w:val="24"/>
          <w:szCs w:val="24"/>
          <w:lang w:val="en-US" w:eastAsia="zh-CN"/>
        </w:rPr>
      </w:pPr>
      <w:r>
        <w:rPr>
          <w:rFonts w:hint="eastAsia" w:ascii="宋体" w:hAnsi="宋体" w:cs="宋体"/>
          <w:b/>
          <w:bCs/>
          <w:sz w:val="24"/>
          <w:szCs w:val="24"/>
          <w:lang w:val="en-US" w:eastAsia="zh-CN"/>
        </w:rPr>
        <w:t>5、</w:t>
      </w:r>
      <w:r>
        <w:rPr>
          <w:rFonts w:hint="default" w:ascii="宋体" w:hAnsi="宋体" w:cs="宋体"/>
          <w:b/>
          <w:bCs/>
          <w:sz w:val="24"/>
          <w:szCs w:val="24"/>
        </w:rPr>
        <w:t>资源循环可持续性</w:t>
      </w:r>
      <w:r>
        <w:rPr>
          <w:rFonts w:hint="eastAsia" w:ascii="宋体" w:hAnsi="宋体" w:cs="宋体"/>
          <w:b/>
          <w:bCs/>
          <w:sz w:val="24"/>
          <w:szCs w:val="24"/>
          <w:lang w:val="en-US" w:eastAsia="zh-CN"/>
        </w:rPr>
        <w:t>原则</w:t>
      </w:r>
    </w:p>
    <w:p w14:paraId="29EEC4CB">
      <w:pPr>
        <w:adjustRightInd w:val="0"/>
        <w:snapToGrid w:val="0"/>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要求沉锗后液返回湿法炼锌主流程</w:t>
      </w:r>
      <w:r>
        <w:rPr>
          <w:rFonts w:hint="eastAsia" w:ascii="宋体" w:hAnsi="宋体" w:cs="宋体"/>
          <w:sz w:val="24"/>
          <w:szCs w:val="24"/>
          <w:lang w:val="en-US" w:eastAsia="zh-CN"/>
        </w:rPr>
        <w:t>（标准草案图1所示）</w:t>
      </w:r>
      <w:r>
        <w:rPr>
          <w:rFonts w:hint="default" w:ascii="宋体" w:hAnsi="宋体" w:cs="宋体"/>
          <w:sz w:val="24"/>
          <w:szCs w:val="24"/>
          <w:lang w:val="en-US" w:eastAsia="zh-CN"/>
        </w:rPr>
        <w:t>，实现锌、镉二次回收。</w:t>
      </w:r>
    </w:p>
    <w:p w14:paraId="64E01B46">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要求铅渣返回铅系统，</w:t>
      </w:r>
      <w:r>
        <w:rPr>
          <w:rFonts w:hint="default" w:ascii="宋体" w:hAnsi="宋体" w:cs="宋体"/>
          <w:sz w:val="24"/>
          <w:szCs w:val="24"/>
          <w:lang w:val="en-US" w:eastAsia="zh-CN"/>
        </w:rPr>
        <w:t>推动“冶炼渣-氧化锌烟尘-</w:t>
      </w:r>
      <w:r>
        <w:rPr>
          <w:rFonts w:hint="eastAsia" w:ascii="宋体" w:hAnsi="宋体" w:cs="宋体"/>
          <w:sz w:val="24"/>
          <w:szCs w:val="24"/>
          <w:lang w:val="en-US" w:eastAsia="zh-CN"/>
        </w:rPr>
        <w:t>铅渣</w:t>
      </w:r>
      <w:r>
        <w:rPr>
          <w:rFonts w:hint="default" w:ascii="宋体" w:hAnsi="宋体" w:cs="宋体"/>
          <w:sz w:val="24"/>
          <w:szCs w:val="24"/>
          <w:lang w:val="en-US" w:eastAsia="zh-CN"/>
        </w:rPr>
        <w:t>”</w:t>
      </w:r>
      <w:r>
        <w:rPr>
          <w:rFonts w:hint="eastAsia" w:ascii="宋体" w:hAnsi="宋体" w:cs="宋体"/>
          <w:sz w:val="24"/>
          <w:szCs w:val="24"/>
          <w:lang w:val="en-US" w:eastAsia="zh-CN"/>
        </w:rPr>
        <w:t>铅元素有效</w:t>
      </w:r>
      <w:r>
        <w:rPr>
          <w:rFonts w:hint="default" w:ascii="宋体" w:hAnsi="宋体" w:cs="宋体"/>
          <w:sz w:val="24"/>
          <w:szCs w:val="24"/>
          <w:lang w:val="en-US" w:eastAsia="zh-CN"/>
        </w:rPr>
        <w:t>闭环</w:t>
      </w:r>
      <w:r>
        <w:rPr>
          <w:rFonts w:hint="eastAsia" w:ascii="宋体" w:hAnsi="宋体" w:cs="宋体"/>
          <w:sz w:val="24"/>
          <w:szCs w:val="24"/>
          <w:lang w:val="en-US" w:eastAsia="zh-CN"/>
        </w:rPr>
        <w:t>和回收</w:t>
      </w:r>
      <w:r>
        <w:rPr>
          <w:rFonts w:hint="default" w:ascii="宋体" w:hAnsi="宋体" w:cs="宋体"/>
          <w:sz w:val="24"/>
          <w:szCs w:val="24"/>
          <w:lang w:val="en-US" w:eastAsia="zh-CN"/>
        </w:rPr>
        <w:t>。</w:t>
      </w:r>
    </w:p>
    <w:p w14:paraId="2C58DC44">
      <w:pPr>
        <w:snapToGrid w:val="0"/>
        <w:spacing w:before="156" w:beforeLines="50" w:line="360" w:lineRule="auto"/>
        <w:outlineLvl w:val="0"/>
        <w:rPr>
          <w:rFonts w:hint="eastAsia" w:ascii="黑体" w:hAnsi="黑体" w:eastAsia="黑体" w:cs="黑体"/>
          <w:sz w:val="24"/>
          <w:szCs w:val="24"/>
        </w:rPr>
      </w:pPr>
      <w:r>
        <w:rPr>
          <w:rFonts w:ascii="黑体" w:hAnsi="黑体" w:eastAsia="黑体" w:cs="黑体"/>
          <w:sz w:val="24"/>
          <w:szCs w:val="24"/>
        </w:rPr>
        <w:t>2</w:t>
      </w:r>
      <w:r>
        <w:rPr>
          <w:rFonts w:hint="eastAsia" w:ascii="黑体" w:hAnsi="黑体" w:eastAsia="黑体" w:cs="黑体"/>
          <w:sz w:val="24"/>
          <w:szCs w:val="24"/>
        </w:rPr>
        <w:t>.2</w:t>
      </w:r>
      <w:r>
        <w:rPr>
          <w:rFonts w:ascii="黑体" w:hAnsi="黑体" w:eastAsia="黑体" w:cs="黑体"/>
          <w:sz w:val="24"/>
          <w:szCs w:val="24"/>
        </w:rPr>
        <w:t xml:space="preserve">  </w:t>
      </w:r>
      <w:r>
        <w:rPr>
          <w:rFonts w:hint="eastAsia" w:ascii="黑体" w:hAnsi="黑体" w:eastAsia="黑体" w:cs="黑体"/>
          <w:sz w:val="24"/>
          <w:szCs w:val="24"/>
        </w:rPr>
        <w:t>确定标准主要内容的依据</w:t>
      </w:r>
    </w:p>
    <w:p w14:paraId="0D7AE6C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通过对国内外相关技术资料的检索和分析，发现目前针对火法炼铅系统氧化锌烟尘回收的标准尚属空白。本标准主要依据国内多家铅锌冶炼企业的生产实践数据、技术经验，以及相关科研成果和理论研究进行制定。参考了国内其他有色金属回收标准和相关环保、安全标准，结合氧化锌烟尘的特性，确定了适用于该领域的回收技术要求。</w:t>
      </w:r>
    </w:p>
    <w:p w14:paraId="7E74EA23">
      <w:pPr>
        <w:snapToGrid w:val="0"/>
        <w:spacing w:before="156" w:beforeLines="50" w:line="360" w:lineRule="auto"/>
        <w:outlineLvl w:val="0"/>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三</w:t>
      </w:r>
      <w:r>
        <w:rPr>
          <w:rFonts w:hint="eastAsia" w:ascii="黑体" w:hAnsi="黑体" w:eastAsia="黑体" w:cs="黑体"/>
          <w:sz w:val="24"/>
          <w:szCs w:val="24"/>
        </w:rPr>
        <w:t>）标准文本的主要内容</w:t>
      </w:r>
    </w:p>
    <w:p w14:paraId="4DA5E295">
      <w:pPr>
        <w:numPr>
          <w:ilvl w:val="0"/>
          <w:numId w:val="6"/>
        </w:numPr>
        <w:snapToGrid w:val="0"/>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范围</w:t>
      </w:r>
    </w:p>
    <w:p w14:paraId="140AD62C">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本部分明确标准的适用范围和技术边界，具体包括：</w:t>
      </w:r>
    </w:p>
    <w:p w14:paraId="6CE65078">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适用对象：铅锌冶炼企业火法炼铅系统产生的氧化锌烟尘（含锌、铅、铟、锗等有价金属及氟、氯、砷等有害元素）</w:t>
      </w:r>
      <w:r>
        <w:rPr>
          <w:rFonts w:hint="eastAsia" w:ascii="宋体" w:hAnsi="宋体" w:cs="宋体"/>
          <w:sz w:val="24"/>
          <w:szCs w:val="24"/>
          <w:lang w:val="en-US" w:eastAsia="zh-CN"/>
        </w:rPr>
        <w:t>中有价元素的回收</w:t>
      </w:r>
      <w:r>
        <w:rPr>
          <w:rFonts w:hint="default" w:ascii="宋体" w:hAnsi="宋体" w:cs="宋体"/>
          <w:sz w:val="24"/>
          <w:szCs w:val="24"/>
        </w:rPr>
        <w:t>。</w:t>
      </w:r>
    </w:p>
    <w:p w14:paraId="666D35B4">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技术范畴：</w:t>
      </w:r>
    </w:p>
    <w:p w14:paraId="7193FDAB">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有害元素（氟、氯、砷、锑）的脱除工艺及指标；</w:t>
      </w:r>
    </w:p>
    <w:p w14:paraId="1DF9F87E">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有价金属（锌</w:t>
      </w:r>
      <w:r>
        <w:rPr>
          <w:rFonts w:hint="eastAsia" w:ascii="宋体" w:hAnsi="宋体" w:cs="宋体"/>
          <w:sz w:val="24"/>
          <w:szCs w:val="24"/>
          <w:lang w:eastAsia="zh-CN"/>
        </w:rPr>
        <w:t>、</w:t>
      </w:r>
      <w:r>
        <w:rPr>
          <w:rFonts w:hint="eastAsia" w:ascii="宋体" w:hAnsi="宋体" w:cs="宋体"/>
          <w:sz w:val="24"/>
          <w:szCs w:val="24"/>
          <w:lang w:val="en-US" w:eastAsia="zh-CN"/>
        </w:rPr>
        <w:t>镉</w:t>
      </w:r>
      <w:r>
        <w:rPr>
          <w:rFonts w:hint="default" w:ascii="宋体" w:hAnsi="宋体" w:cs="宋体"/>
          <w:sz w:val="24"/>
          <w:szCs w:val="24"/>
        </w:rPr>
        <w:t>、铟、锗、铅、银）的回收技术路线；</w:t>
      </w:r>
    </w:p>
    <w:p w14:paraId="0F0814ED">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烟尘贮存、工艺流程、污染控制及安全要求。</w:t>
      </w:r>
    </w:p>
    <w:p w14:paraId="3801C2EC">
      <w:pPr>
        <w:numPr>
          <w:ilvl w:val="0"/>
          <w:numId w:val="6"/>
        </w:numPr>
        <w:snapToGrid w:val="0"/>
        <w:spacing w:line="360" w:lineRule="auto"/>
        <w:ind w:left="0" w:leftChars="0"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规范性引用文件</w:t>
      </w:r>
    </w:p>
    <w:p w14:paraId="406ACF9E">
      <w:pPr>
        <w:adjustRightInd w:val="0"/>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本章列出标准正文中被引用且执行时不可或缺的国家、行业文件，具体包括：</w:t>
      </w:r>
    </w:p>
    <w:p w14:paraId="46C4304C">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GB</w:t>
      </w:r>
      <w:r>
        <w:rPr>
          <w:rFonts w:hint="eastAsia" w:ascii="宋体" w:hAnsi="宋体" w:cs="宋体"/>
          <w:sz w:val="24"/>
          <w:szCs w:val="24"/>
        </w:rPr>
        <w:t xml:space="preserve"> </w:t>
      </w:r>
      <w:r>
        <w:rPr>
          <w:rFonts w:hint="default" w:ascii="宋体" w:hAnsi="宋体" w:cs="宋体"/>
          <w:sz w:val="24"/>
          <w:szCs w:val="24"/>
        </w:rPr>
        <w:t>8978</w:t>
      </w:r>
      <w:r>
        <w:rPr>
          <w:rFonts w:hint="eastAsia" w:ascii="宋体" w:hAnsi="宋体" w:cs="宋体"/>
          <w:sz w:val="24"/>
          <w:szCs w:val="24"/>
        </w:rPr>
        <w:t xml:space="preserve">  </w:t>
      </w:r>
      <w:r>
        <w:rPr>
          <w:rFonts w:hint="default" w:ascii="宋体" w:hAnsi="宋体" w:cs="宋体"/>
          <w:sz w:val="24"/>
          <w:szCs w:val="24"/>
        </w:rPr>
        <w:t>污水综合排放标准</w:t>
      </w:r>
    </w:p>
    <w:p w14:paraId="59B9776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GB 12348  工业企业厂界环境噪声排放标准</w:t>
      </w:r>
    </w:p>
    <w:p w14:paraId="6FF382D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GB 15562.2  环境保护图形标志 固体废物贮存（处置）场</w:t>
      </w:r>
    </w:p>
    <w:p w14:paraId="426F2BE3">
      <w:pPr>
        <w:adjustRightInd w:val="0"/>
        <w:snapToGrid w:val="0"/>
        <w:spacing w:line="360" w:lineRule="auto"/>
        <w:ind w:firstLine="480" w:firstLineChars="200"/>
        <w:rPr>
          <w:rFonts w:hint="eastAsia" w:ascii="宋体" w:hAnsi="宋体" w:cs="宋体"/>
          <w:sz w:val="24"/>
          <w:szCs w:val="24"/>
        </w:rPr>
      </w:pPr>
      <w:r>
        <w:rPr>
          <w:rFonts w:hint="default" w:ascii="宋体" w:hAnsi="宋体" w:cs="宋体"/>
          <w:sz w:val="24"/>
          <w:szCs w:val="24"/>
        </w:rPr>
        <w:t>GB</w:t>
      </w:r>
      <w:r>
        <w:rPr>
          <w:rFonts w:hint="eastAsia" w:ascii="宋体" w:hAnsi="宋体" w:cs="宋体"/>
          <w:sz w:val="24"/>
          <w:szCs w:val="24"/>
        </w:rPr>
        <w:t xml:space="preserve"> </w:t>
      </w:r>
      <w:r>
        <w:rPr>
          <w:rFonts w:hint="default" w:ascii="宋体" w:hAnsi="宋体" w:cs="宋体"/>
          <w:sz w:val="24"/>
          <w:szCs w:val="24"/>
        </w:rPr>
        <w:t>16297</w:t>
      </w:r>
      <w:r>
        <w:rPr>
          <w:rFonts w:hint="eastAsia" w:ascii="宋体" w:hAnsi="宋体" w:cs="宋体"/>
          <w:sz w:val="24"/>
          <w:szCs w:val="24"/>
        </w:rPr>
        <w:t xml:space="preserve">  </w:t>
      </w:r>
      <w:r>
        <w:rPr>
          <w:rFonts w:hint="default" w:ascii="宋体" w:hAnsi="宋体" w:cs="宋体"/>
          <w:sz w:val="24"/>
          <w:szCs w:val="24"/>
        </w:rPr>
        <w:t>大气污染物综合排放标准</w:t>
      </w:r>
    </w:p>
    <w:p w14:paraId="46842899">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GB 18597</w:t>
      </w:r>
      <w:r>
        <w:rPr>
          <w:rFonts w:hint="eastAsia" w:ascii="宋体" w:hAnsi="宋体" w:cs="宋体"/>
          <w:sz w:val="24"/>
          <w:szCs w:val="24"/>
        </w:rPr>
        <w:t xml:space="preserve">  </w:t>
      </w:r>
      <w:r>
        <w:rPr>
          <w:rFonts w:hint="default" w:ascii="宋体" w:hAnsi="宋体" w:cs="宋体"/>
          <w:sz w:val="24"/>
          <w:szCs w:val="24"/>
        </w:rPr>
        <w:t>危险废物贮存污染控制标准</w:t>
      </w:r>
    </w:p>
    <w:p w14:paraId="4ED70430">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GB</w:t>
      </w:r>
      <w:r>
        <w:rPr>
          <w:rFonts w:hint="eastAsia" w:ascii="宋体" w:hAnsi="宋体" w:cs="宋体"/>
          <w:sz w:val="24"/>
          <w:szCs w:val="24"/>
          <w:lang w:val="en-US" w:eastAsia="zh-CN"/>
        </w:rPr>
        <w:t xml:space="preserve"> </w:t>
      </w:r>
      <w:r>
        <w:rPr>
          <w:rFonts w:hint="default" w:ascii="宋体" w:hAnsi="宋体" w:cs="宋体"/>
          <w:sz w:val="24"/>
          <w:szCs w:val="24"/>
        </w:rPr>
        <w:t>25466</w:t>
      </w:r>
      <w:r>
        <w:rPr>
          <w:rFonts w:hint="eastAsia" w:ascii="宋体" w:hAnsi="宋体" w:cs="宋体"/>
          <w:sz w:val="24"/>
          <w:szCs w:val="24"/>
        </w:rPr>
        <w:t xml:space="preserve">  </w:t>
      </w:r>
      <w:r>
        <w:rPr>
          <w:rFonts w:hint="default" w:ascii="宋体" w:hAnsi="宋体" w:cs="宋体"/>
          <w:sz w:val="24"/>
          <w:szCs w:val="24"/>
        </w:rPr>
        <w:t>铅、锌工业污染物排放标准</w:t>
      </w:r>
    </w:p>
    <w:p w14:paraId="4E3D380A">
      <w:pPr>
        <w:adjustRightInd w:val="0"/>
        <w:snapToGri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rPr>
        <w:t>GB 25466.1</w:t>
      </w:r>
      <w:r>
        <w:rPr>
          <w:rFonts w:hint="eastAsia" w:ascii="宋体" w:hAnsi="宋体" w:cs="宋体"/>
          <w:sz w:val="24"/>
          <w:szCs w:val="24"/>
          <w:lang w:val="en-US" w:eastAsia="zh-CN"/>
        </w:rPr>
        <w:t xml:space="preserve">  </w:t>
      </w:r>
      <w:r>
        <w:rPr>
          <w:rFonts w:hint="eastAsia" w:ascii="宋体" w:hAnsi="宋体" w:cs="宋体"/>
          <w:sz w:val="24"/>
          <w:szCs w:val="24"/>
        </w:rPr>
        <w:t>铅、锌工业大气污染物排放标准</w:t>
      </w:r>
    </w:p>
    <w:p w14:paraId="74BDBE67">
      <w:pPr>
        <w:numPr>
          <w:ilvl w:val="0"/>
          <w:numId w:val="6"/>
        </w:numPr>
        <w:snapToGrid w:val="0"/>
        <w:spacing w:line="360" w:lineRule="auto"/>
        <w:ind w:left="0" w:leftChars="0" w:firstLine="482" w:firstLineChars="200"/>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术语和定义</w:t>
      </w:r>
    </w:p>
    <w:p w14:paraId="2008E04C">
      <w:pPr>
        <w:adjustRightInd w:val="0"/>
        <w:snapToGrid w:val="0"/>
        <w:spacing w:line="360" w:lineRule="auto"/>
        <w:ind w:firstLine="480" w:firstLineChars="200"/>
        <w:rPr>
          <w:rFonts w:hint="eastAsia" w:ascii="宋体" w:hAnsi="宋体" w:cs="宋体"/>
          <w:sz w:val="24"/>
          <w:szCs w:val="24"/>
          <w:lang w:val="en-US" w:eastAsia="zh-CN"/>
        </w:rPr>
      </w:pPr>
      <w:bookmarkStart w:id="1" w:name="_Toc2143"/>
      <w:r>
        <w:rPr>
          <w:rFonts w:hint="eastAsia" w:ascii="宋体" w:hAnsi="宋体" w:cs="宋体"/>
          <w:sz w:val="24"/>
          <w:szCs w:val="24"/>
          <w:lang w:val="en-US" w:eastAsia="zh-CN"/>
        </w:rPr>
        <w:t>对“氧化锌烟尘”、“回收”2个专用术语给出定义，便于全文统一理解。</w:t>
      </w:r>
    </w:p>
    <w:p w14:paraId="4D2CBE4C">
      <w:pPr>
        <w:numPr>
          <w:ilvl w:val="0"/>
          <w:numId w:val="5"/>
        </w:numPr>
        <w:snapToGrid w:val="0"/>
        <w:spacing w:line="360" w:lineRule="auto"/>
        <w:ind w:left="0" w:leftChars="0" w:firstLine="482" w:firstLineChars="200"/>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氧化锌烟尘中有害元素除杂和有价元素回收技术要求</w:t>
      </w:r>
      <w:bookmarkEnd w:id="1"/>
    </w:p>
    <w:p w14:paraId="057BB27F">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本部分为核心技术章节，系统规定了火法炼铅系统氧化锌烟尘中两类</w:t>
      </w:r>
      <w:r>
        <w:rPr>
          <w:rFonts w:hint="eastAsia" w:ascii="宋体" w:hAnsi="宋体" w:cs="宋体"/>
          <w:sz w:val="24"/>
          <w:szCs w:val="24"/>
          <w:lang w:val="en-US" w:eastAsia="zh-CN"/>
        </w:rPr>
        <w:t>元素的</w:t>
      </w:r>
      <w:r>
        <w:rPr>
          <w:rFonts w:hint="default" w:ascii="宋体" w:hAnsi="宋体" w:cs="宋体"/>
          <w:sz w:val="24"/>
          <w:szCs w:val="24"/>
        </w:rPr>
        <w:t>处理规范</w:t>
      </w:r>
      <w:r>
        <w:rPr>
          <w:rFonts w:hint="eastAsia" w:ascii="宋体" w:hAnsi="宋体" w:cs="宋体"/>
          <w:sz w:val="24"/>
          <w:szCs w:val="24"/>
          <w:lang w:eastAsia="zh-CN"/>
        </w:rPr>
        <w:t>，</w:t>
      </w:r>
      <w:r>
        <w:rPr>
          <w:rFonts w:hint="eastAsia" w:ascii="宋体" w:hAnsi="宋体" w:cs="宋体"/>
          <w:sz w:val="24"/>
          <w:szCs w:val="24"/>
          <w:lang w:val="en-US" w:eastAsia="zh-CN"/>
        </w:rPr>
        <w:t>即常见</w:t>
      </w:r>
      <w:r>
        <w:rPr>
          <w:rFonts w:hint="default" w:ascii="宋体" w:hAnsi="宋体" w:cs="宋体"/>
          <w:sz w:val="24"/>
          <w:szCs w:val="24"/>
        </w:rPr>
        <w:t>有害元素（氟、氯、砷、锑）的脱除和有价金属（锌、</w:t>
      </w:r>
      <w:r>
        <w:rPr>
          <w:rFonts w:hint="eastAsia" w:ascii="宋体" w:hAnsi="宋体" w:cs="宋体"/>
          <w:sz w:val="24"/>
          <w:szCs w:val="24"/>
          <w:lang w:val="en-US" w:eastAsia="zh-CN"/>
        </w:rPr>
        <w:t>镉</w:t>
      </w:r>
      <w:r>
        <w:rPr>
          <w:rFonts w:hint="default" w:ascii="宋体" w:hAnsi="宋体" w:cs="宋体"/>
          <w:sz w:val="24"/>
          <w:szCs w:val="24"/>
        </w:rPr>
        <w:t>、铟、锗、铅、银）的回收工艺。</w:t>
      </w:r>
      <w:r>
        <w:rPr>
          <w:rFonts w:hint="eastAsia" w:ascii="宋体" w:hAnsi="宋体" w:cs="宋体"/>
          <w:sz w:val="24"/>
          <w:szCs w:val="24"/>
          <w:lang w:val="en-US" w:eastAsia="zh-CN"/>
        </w:rPr>
        <w:t>同时，</w:t>
      </w:r>
      <w:r>
        <w:rPr>
          <w:rFonts w:hint="default" w:ascii="宋体" w:hAnsi="宋体" w:cs="宋体"/>
          <w:sz w:val="24"/>
          <w:szCs w:val="24"/>
        </w:rPr>
        <w:t>标准针对富锗</w:t>
      </w:r>
      <w:r>
        <w:rPr>
          <w:rFonts w:hint="eastAsia" w:ascii="宋体" w:hAnsi="宋体" w:cs="宋体"/>
          <w:sz w:val="24"/>
          <w:szCs w:val="24"/>
          <w:lang w:val="en-US" w:eastAsia="zh-CN"/>
        </w:rPr>
        <w:t>氧化锌</w:t>
      </w:r>
      <w:r>
        <w:rPr>
          <w:rFonts w:hint="default" w:ascii="宋体" w:hAnsi="宋体" w:cs="宋体"/>
          <w:sz w:val="24"/>
          <w:szCs w:val="24"/>
        </w:rPr>
        <w:t>烟尘（图1）</w:t>
      </w:r>
      <w:r>
        <w:rPr>
          <w:rFonts w:hint="eastAsia" w:ascii="宋体" w:hAnsi="宋体" w:cs="宋体"/>
          <w:sz w:val="24"/>
          <w:szCs w:val="24"/>
          <w:lang w:eastAsia="zh-CN"/>
        </w:rPr>
        <w:t>、</w:t>
      </w:r>
      <w:r>
        <w:rPr>
          <w:rFonts w:hint="default" w:ascii="宋体" w:hAnsi="宋体" w:cs="宋体"/>
          <w:sz w:val="24"/>
          <w:szCs w:val="24"/>
        </w:rPr>
        <w:t>富铟</w:t>
      </w:r>
      <w:r>
        <w:rPr>
          <w:rFonts w:hint="eastAsia" w:ascii="宋体" w:hAnsi="宋体" w:cs="宋体"/>
          <w:sz w:val="24"/>
          <w:szCs w:val="24"/>
          <w:lang w:val="en-US" w:eastAsia="zh-CN"/>
        </w:rPr>
        <w:t>氧化锌</w:t>
      </w:r>
      <w:r>
        <w:rPr>
          <w:rFonts w:hint="default" w:ascii="宋体" w:hAnsi="宋体" w:cs="宋体"/>
          <w:sz w:val="24"/>
          <w:szCs w:val="24"/>
        </w:rPr>
        <w:t>烟尘（图2）</w:t>
      </w:r>
      <w:r>
        <w:rPr>
          <w:rFonts w:hint="eastAsia" w:ascii="宋体" w:hAnsi="宋体" w:cs="宋体"/>
          <w:sz w:val="24"/>
          <w:szCs w:val="24"/>
          <w:lang w:eastAsia="zh-CN"/>
        </w:rPr>
        <w:t>、</w:t>
      </w:r>
      <w:r>
        <w:rPr>
          <w:rFonts w:hint="eastAsia" w:ascii="宋体" w:hAnsi="宋体" w:cs="宋体"/>
          <w:sz w:val="24"/>
          <w:szCs w:val="24"/>
          <w:lang w:val="en-US" w:eastAsia="zh-CN"/>
        </w:rPr>
        <w:t>富铟锗氧化锌烟尘</w:t>
      </w:r>
      <w:r>
        <w:rPr>
          <w:rFonts w:hint="default" w:ascii="宋体" w:hAnsi="宋体" w:cs="宋体"/>
          <w:sz w:val="24"/>
          <w:szCs w:val="24"/>
        </w:rPr>
        <w:t>（图</w:t>
      </w:r>
      <w:r>
        <w:rPr>
          <w:rFonts w:hint="eastAsia" w:ascii="宋体" w:hAnsi="宋体" w:cs="宋体"/>
          <w:sz w:val="24"/>
          <w:szCs w:val="24"/>
          <w:lang w:val="en-US" w:eastAsia="zh-CN"/>
        </w:rPr>
        <w:t>3</w:t>
      </w:r>
      <w:r>
        <w:rPr>
          <w:rFonts w:hint="default" w:ascii="宋体" w:hAnsi="宋体" w:cs="宋体"/>
          <w:sz w:val="24"/>
          <w:szCs w:val="24"/>
        </w:rPr>
        <w:t>）分别制定差异化</w:t>
      </w:r>
      <w:r>
        <w:rPr>
          <w:rFonts w:hint="eastAsia" w:ascii="宋体" w:hAnsi="宋体" w:cs="宋体"/>
          <w:sz w:val="24"/>
          <w:szCs w:val="24"/>
          <w:lang w:val="en-US" w:eastAsia="zh-CN"/>
        </w:rPr>
        <w:t>回收工艺</w:t>
      </w:r>
      <w:r>
        <w:rPr>
          <w:rFonts w:hint="default" w:ascii="宋体" w:hAnsi="宋体" w:cs="宋体"/>
          <w:sz w:val="24"/>
          <w:szCs w:val="24"/>
        </w:rPr>
        <w:t>流程，确保技术要求的适用性和可操作性。</w:t>
      </w:r>
    </w:p>
    <w:p w14:paraId="55290677">
      <w:pPr>
        <w:numPr>
          <w:ilvl w:val="0"/>
          <w:numId w:val="0"/>
        </w:numPr>
        <w:snapToGrid w:val="0"/>
        <w:spacing w:line="360" w:lineRule="auto"/>
        <w:ind w:left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4.1 氧化锌烟尘中有害元素除杂和有价元素回收技术</w:t>
      </w:r>
    </w:p>
    <w:p w14:paraId="44AB3648">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4.1.1 两类元素</w:t>
      </w:r>
    </w:p>
    <w:p w14:paraId="63CE8760">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本部分明确区分氧化锌烟尘中的两类元素：</w:t>
      </w:r>
    </w:p>
    <w:p w14:paraId="473E3EAF">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有害元素：需通过除杂工艺脱除（氟、氯、砷、锑）；</w:t>
      </w:r>
    </w:p>
    <w:p w14:paraId="283543A6">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有价元素：需通过回收工艺提取（锌、镉、铟、锗、铅、银）</w:t>
      </w:r>
    </w:p>
    <w:p w14:paraId="5B1B2303">
      <w:pPr>
        <w:adjustRightInd w:val="0"/>
        <w:snapToGrid w:val="0"/>
        <w:spacing w:line="360" w:lineRule="auto"/>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4.1.2 元素归类</w:t>
      </w:r>
    </w:p>
    <w:p w14:paraId="1E657AFF">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根据化学性质及回收路径，对元素进行系统分类：</w:t>
      </w:r>
    </w:p>
    <w:p w14:paraId="3A0A0C59">
      <w:pPr>
        <w:adjustRightInd w:val="0"/>
        <w:snapToGrid w:val="0"/>
        <w:spacing w:line="360" w:lineRule="auto"/>
        <w:jc w:val="center"/>
        <w:rPr>
          <w:rFonts w:hint="default" w:ascii="宋体" w:hAnsi="宋体" w:cs="宋体"/>
          <w:b/>
          <w:bCs/>
          <w:sz w:val="24"/>
          <w:szCs w:val="24"/>
        </w:rPr>
      </w:pPr>
      <w:r>
        <w:rPr>
          <w:rFonts w:hint="eastAsia" w:ascii="宋体" w:hAnsi="宋体" w:cs="宋体"/>
          <w:b/>
          <w:bCs/>
          <w:sz w:val="24"/>
          <w:szCs w:val="24"/>
        </w:rPr>
        <w:t>表</w:t>
      </w:r>
      <w:r>
        <w:rPr>
          <w:rFonts w:hint="eastAsia" w:ascii="宋体" w:hAnsi="宋体" w:cs="宋体"/>
          <w:b/>
          <w:bCs/>
          <w:sz w:val="24"/>
          <w:szCs w:val="24"/>
          <w:lang w:val="en-US" w:eastAsia="zh-CN"/>
        </w:rPr>
        <w:t>2</w:t>
      </w:r>
      <w:r>
        <w:rPr>
          <w:rFonts w:hint="eastAsia" w:ascii="宋体" w:hAnsi="宋体" w:cs="宋体"/>
          <w:b/>
          <w:bCs/>
          <w:sz w:val="24"/>
          <w:szCs w:val="24"/>
        </w:rPr>
        <w:t xml:space="preserve"> </w:t>
      </w:r>
      <w:r>
        <w:rPr>
          <w:rFonts w:hint="eastAsia" w:ascii="宋体" w:hAnsi="宋体" w:cs="宋体"/>
          <w:b/>
          <w:bCs/>
          <w:sz w:val="24"/>
          <w:szCs w:val="24"/>
          <w:lang w:val="en-US" w:eastAsia="zh-CN"/>
        </w:rPr>
        <w:t>元素系统分类一览表</w:t>
      </w:r>
    </w:p>
    <w:tbl>
      <w:tblPr>
        <w:tblStyle w:val="1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020"/>
        <w:gridCol w:w="3452"/>
        <w:gridCol w:w="4044"/>
      </w:tblGrid>
      <w:tr w14:paraId="33FEA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blHeader/>
          <w:jc w:val="center"/>
        </w:trPr>
        <w:tc>
          <w:tcPr>
            <w:tcW w:w="1061" w:type="pct"/>
            <w:tcBorders>
              <w:tl2br w:val="nil"/>
              <w:tr2bl w:val="nil"/>
            </w:tcBorders>
            <w:shd w:val="clear" w:color="auto" w:fill="FFFFFF"/>
            <w:noWrap/>
            <w:tcMar>
              <w:top w:w="72" w:type="dxa"/>
              <w:left w:w="156" w:type="dxa"/>
              <w:bottom w:w="72" w:type="dxa"/>
              <w:right w:w="156" w:type="dxa"/>
            </w:tcMar>
            <w:vAlign w:val="center"/>
          </w:tcPr>
          <w:p w14:paraId="74172115">
            <w:pPr>
              <w:keepNext w:val="0"/>
              <w:keepLines w:val="0"/>
              <w:widowControl/>
              <w:suppressLineNumbers w:val="0"/>
              <w:jc w:val="center"/>
              <w:rPr>
                <w:rFonts w:hint="default" w:ascii="Segoe UI" w:hAnsi="Segoe UI" w:eastAsia="Segoe UI" w:cs="Segoe UI"/>
                <w:b/>
                <w:bCs/>
                <w:i w:val="0"/>
                <w:iCs w:val="0"/>
                <w:caps w:val="0"/>
                <w:spacing w:val="0"/>
                <w:sz w:val="19"/>
                <w:szCs w:val="19"/>
              </w:rPr>
            </w:pPr>
            <w:r>
              <w:rPr>
                <w:rStyle w:val="19"/>
                <w:rFonts w:hint="default" w:ascii="Segoe UI" w:hAnsi="Segoe UI" w:eastAsia="Segoe UI" w:cs="Segoe UI"/>
                <w:i w:val="0"/>
                <w:iCs w:val="0"/>
                <w:caps w:val="0"/>
                <w:spacing w:val="0"/>
                <w:kern w:val="0"/>
                <w:sz w:val="19"/>
                <w:szCs w:val="19"/>
                <w:lang w:val="en-US" w:eastAsia="zh-CN" w:bidi="ar"/>
              </w:rPr>
              <w:t>类别</w:t>
            </w:r>
          </w:p>
        </w:tc>
        <w:tc>
          <w:tcPr>
            <w:tcW w:w="1813" w:type="pct"/>
            <w:tcBorders>
              <w:tl2br w:val="nil"/>
              <w:tr2bl w:val="nil"/>
            </w:tcBorders>
            <w:shd w:val="clear" w:color="auto" w:fill="FFFFFF"/>
            <w:noWrap/>
            <w:tcMar>
              <w:top w:w="72" w:type="dxa"/>
              <w:left w:w="156" w:type="dxa"/>
              <w:bottom w:w="72" w:type="dxa"/>
              <w:right w:w="156" w:type="dxa"/>
            </w:tcMar>
            <w:vAlign w:val="center"/>
          </w:tcPr>
          <w:p w14:paraId="6587235E">
            <w:pPr>
              <w:keepNext w:val="0"/>
              <w:keepLines w:val="0"/>
              <w:widowControl/>
              <w:suppressLineNumbers w:val="0"/>
              <w:jc w:val="center"/>
              <w:rPr>
                <w:rFonts w:hint="default" w:ascii="Segoe UI" w:hAnsi="Segoe UI" w:eastAsia="Segoe UI" w:cs="Segoe UI"/>
                <w:b/>
                <w:bCs/>
                <w:i w:val="0"/>
                <w:iCs w:val="0"/>
                <w:caps w:val="0"/>
                <w:spacing w:val="0"/>
                <w:sz w:val="19"/>
                <w:szCs w:val="19"/>
              </w:rPr>
            </w:pPr>
            <w:r>
              <w:rPr>
                <w:rStyle w:val="19"/>
                <w:rFonts w:hint="default" w:ascii="Segoe UI" w:hAnsi="Segoe UI" w:eastAsia="Segoe UI" w:cs="Segoe UI"/>
                <w:i w:val="0"/>
                <w:iCs w:val="0"/>
                <w:caps w:val="0"/>
                <w:spacing w:val="0"/>
                <w:kern w:val="0"/>
                <w:sz w:val="19"/>
                <w:szCs w:val="19"/>
                <w:lang w:val="en-US" w:eastAsia="zh-CN" w:bidi="ar"/>
              </w:rPr>
              <w:t>元素</w:t>
            </w:r>
          </w:p>
        </w:tc>
        <w:tc>
          <w:tcPr>
            <w:tcW w:w="2124" w:type="pct"/>
            <w:tcBorders>
              <w:tl2br w:val="nil"/>
              <w:tr2bl w:val="nil"/>
            </w:tcBorders>
            <w:shd w:val="clear" w:color="auto" w:fill="FFFFFF"/>
            <w:noWrap/>
            <w:tcMar>
              <w:top w:w="72" w:type="dxa"/>
              <w:left w:w="156" w:type="dxa"/>
              <w:bottom w:w="72" w:type="dxa"/>
              <w:right w:w="156" w:type="dxa"/>
            </w:tcMar>
            <w:vAlign w:val="center"/>
          </w:tcPr>
          <w:p w14:paraId="3842357C">
            <w:pPr>
              <w:keepNext w:val="0"/>
              <w:keepLines w:val="0"/>
              <w:widowControl/>
              <w:suppressLineNumbers w:val="0"/>
              <w:jc w:val="center"/>
              <w:rPr>
                <w:rFonts w:hint="default" w:ascii="Segoe UI" w:hAnsi="Segoe UI" w:eastAsia="Segoe UI" w:cs="Segoe UI"/>
                <w:b/>
                <w:bCs/>
                <w:i w:val="0"/>
                <w:iCs w:val="0"/>
                <w:caps w:val="0"/>
                <w:spacing w:val="0"/>
                <w:sz w:val="19"/>
                <w:szCs w:val="19"/>
              </w:rPr>
            </w:pPr>
            <w:r>
              <w:rPr>
                <w:rStyle w:val="19"/>
                <w:rFonts w:hint="default" w:ascii="Segoe UI" w:hAnsi="Segoe UI" w:eastAsia="Segoe UI" w:cs="Segoe UI"/>
                <w:i w:val="0"/>
                <w:iCs w:val="0"/>
                <w:caps w:val="0"/>
                <w:spacing w:val="0"/>
                <w:kern w:val="0"/>
                <w:sz w:val="19"/>
                <w:szCs w:val="19"/>
                <w:lang w:val="en-US" w:eastAsia="zh-CN" w:bidi="ar"/>
              </w:rPr>
              <w:t>化学特性关联</w:t>
            </w:r>
          </w:p>
        </w:tc>
      </w:tr>
      <w:tr w14:paraId="605A4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jc w:val="center"/>
        </w:trPr>
        <w:tc>
          <w:tcPr>
            <w:tcW w:w="1061" w:type="pct"/>
            <w:vMerge w:val="restart"/>
            <w:tcBorders>
              <w:tl2br w:val="nil"/>
              <w:tr2bl w:val="nil"/>
            </w:tcBorders>
            <w:shd w:val="clear" w:color="auto" w:fill="FFFFFF"/>
            <w:tcMar>
              <w:top w:w="72" w:type="dxa"/>
              <w:left w:w="156" w:type="dxa"/>
              <w:bottom w:w="72" w:type="dxa"/>
              <w:right w:w="156" w:type="dxa"/>
            </w:tcMar>
            <w:vAlign w:val="center"/>
          </w:tcPr>
          <w:p w14:paraId="52C9340F">
            <w:pPr>
              <w:keepNext w:val="0"/>
              <w:keepLines w:val="0"/>
              <w:widowControl/>
              <w:suppressLineNumbers w:val="0"/>
              <w:jc w:val="center"/>
              <w:rPr>
                <w:rFonts w:hint="default" w:ascii="Segoe UI" w:hAnsi="Segoe UI" w:eastAsia="Segoe UI" w:cs="Segoe UI"/>
                <w:i w:val="0"/>
                <w:iCs w:val="0"/>
                <w:caps w:val="0"/>
                <w:spacing w:val="3"/>
                <w:sz w:val="19"/>
                <w:szCs w:val="19"/>
              </w:rPr>
            </w:pPr>
            <w:r>
              <w:rPr>
                <w:rStyle w:val="19"/>
                <w:rFonts w:hint="default" w:ascii="Segoe UI" w:hAnsi="Segoe UI" w:eastAsia="Segoe UI" w:cs="Segoe UI"/>
                <w:i w:val="0"/>
                <w:iCs w:val="0"/>
                <w:caps w:val="0"/>
                <w:spacing w:val="3"/>
                <w:kern w:val="0"/>
                <w:sz w:val="19"/>
                <w:szCs w:val="19"/>
                <w:lang w:val="en-US" w:eastAsia="zh-CN" w:bidi="ar"/>
              </w:rPr>
              <w:t>有害元素</w:t>
            </w:r>
          </w:p>
        </w:tc>
        <w:tc>
          <w:tcPr>
            <w:tcW w:w="1813" w:type="pct"/>
            <w:tcBorders>
              <w:tl2br w:val="nil"/>
              <w:tr2bl w:val="nil"/>
            </w:tcBorders>
            <w:shd w:val="clear" w:color="auto" w:fill="FFFFFF"/>
            <w:tcMar>
              <w:top w:w="72" w:type="dxa"/>
              <w:left w:w="156" w:type="dxa"/>
              <w:bottom w:w="72" w:type="dxa"/>
              <w:right w:w="156" w:type="dxa"/>
            </w:tcMar>
            <w:vAlign w:val="center"/>
          </w:tcPr>
          <w:p w14:paraId="22351401">
            <w:pPr>
              <w:keepNext w:val="0"/>
              <w:keepLines w:val="0"/>
              <w:widowControl/>
              <w:suppressLineNumbers w:val="0"/>
              <w:jc w:val="center"/>
              <w:rPr>
                <w:rFonts w:hint="default" w:ascii="Segoe UI" w:hAnsi="Segoe UI" w:eastAsia="Segoe UI" w:cs="Segoe UI"/>
                <w:i w:val="0"/>
                <w:iCs w:val="0"/>
                <w:caps w:val="0"/>
                <w:spacing w:val="3"/>
                <w:sz w:val="19"/>
                <w:szCs w:val="19"/>
              </w:rPr>
            </w:pPr>
            <w:r>
              <w:rPr>
                <w:rFonts w:hint="default" w:ascii="Segoe UI" w:hAnsi="Segoe UI" w:eastAsia="Segoe UI" w:cs="Segoe UI"/>
                <w:i w:val="0"/>
                <w:iCs w:val="0"/>
                <w:caps w:val="0"/>
                <w:spacing w:val="3"/>
                <w:kern w:val="0"/>
                <w:sz w:val="19"/>
                <w:szCs w:val="19"/>
                <w:lang w:val="en-US" w:eastAsia="zh-CN" w:bidi="ar"/>
              </w:rPr>
              <w:t>氟、氯（第一类）</w:t>
            </w:r>
          </w:p>
        </w:tc>
        <w:tc>
          <w:tcPr>
            <w:tcW w:w="2124" w:type="pct"/>
            <w:tcBorders>
              <w:tl2br w:val="nil"/>
              <w:tr2bl w:val="nil"/>
            </w:tcBorders>
            <w:shd w:val="clear" w:color="auto" w:fill="FFFFFF"/>
            <w:tcMar>
              <w:top w:w="72" w:type="dxa"/>
              <w:left w:w="156" w:type="dxa"/>
              <w:bottom w:w="72" w:type="dxa"/>
              <w:right w:w="156" w:type="dxa"/>
            </w:tcMar>
            <w:vAlign w:val="center"/>
          </w:tcPr>
          <w:p w14:paraId="1D7AAEC4">
            <w:pPr>
              <w:keepNext w:val="0"/>
              <w:keepLines w:val="0"/>
              <w:widowControl/>
              <w:suppressLineNumbers w:val="0"/>
              <w:jc w:val="center"/>
              <w:rPr>
                <w:rFonts w:hint="default" w:ascii="Segoe UI" w:hAnsi="Segoe UI" w:eastAsia="Segoe UI" w:cs="Segoe UI"/>
                <w:i w:val="0"/>
                <w:iCs w:val="0"/>
                <w:caps w:val="0"/>
                <w:spacing w:val="3"/>
                <w:sz w:val="19"/>
                <w:szCs w:val="19"/>
              </w:rPr>
            </w:pPr>
            <w:r>
              <w:rPr>
                <w:rFonts w:hint="default" w:ascii="Segoe UI" w:hAnsi="Segoe UI" w:eastAsia="Segoe UI" w:cs="Segoe UI"/>
                <w:i w:val="0"/>
                <w:iCs w:val="0"/>
                <w:caps w:val="0"/>
                <w:spacing w:val="3"/>
                <w:kern w:val="0"/>
                <w:sz w:val="19"/>
                <w:szCs w:val="19"/>
                <w:lang w:val="en-US" w:eastAsia="zh-CN" w:bidi="ar"/>
              </w:rPr>
              <w:t>同属卤族元素（ⅦA）</w:t>
            </w:r>
          </w:p>
        </w:tc>
      </w:tr>
      <w:tr w14:paraId="2FB24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jc w:val="center"/>
        </w:trPr>
        <w:tc>
          <w:tcPr>
            <w:tcW w:w="1061" w:type="pct"/>
            <w:vMerge w:val="continue"/>
            <w:tcBorders>
              <w:tl2br w:val="nil"/>
              <w:tr2bl w:val="nil"/>
            </w:tcBorders>
            <w:shd w:val="clear" w:color="auto" w:fill="FFFFFF"/>
            <w:tcMar>
              <w:top w:w="72" w:type="dxa"/>
              <w:left w:w="156" w:type="dxa"/>
              <w:bottom w:w="72" w:type="dxa"/>
              <w:right w:w="156" w:type="dxa"/>
            </w:tcMar>
            <w:vAlign w:val="center"/>
          </w:tcPr>
          <w:p w14:paraId="6005E84E">
            <w:pPr>
              <w:jc w:val="center"/>
              <w:rPr>
                <w:rFonts w:hint="default" w:ascii="Segoe UI" w:hAnsi="Segoe UI" w:eastAsia="Segoe UI" w:cs="Segoe UI"/>
                <w:i w:val="0"/>
                <w:iCs w:val="0"/>
                <w:caps w:val="0"/>
                <w:spacing w:val="3"/>
                <w:sz w:val="19"/>
                <w:szCs w:val="19"/>
              </w:rPr>
            </w:pPr>
          </w:p>
        </w:tc>
        <w:tc>
          <w:tcPr>
            <w:tcW w:w="1813" w:type="pct"/>
            <w:tcBorders>
              <w:tl2br w:val="nil"/>
              <w:tr2bl w:val="nil"/>
            </w:tcBorders>
            <w:shd w:val="clear" w:color="auto" w:fill="FFFFFF"/>
            <w:tcMar>
              <w:top w:w="72" w:type="dxa"/>
              <w:left w:w="156" w:type="dxa"/>
              <w:bottom w:w="72" w:type="dxa"/>
              <w:right w:w="156" w:type="dxa"/>
            </w:tcMar>
            <w:vAlign w:val="center"/>
          </w:tcPr>
          <w:p w14:paraId="005EDEAF">
            <w:pPr>
              <w:keepNext w:val="0"/>
              <w:keepLines w:val="0"/>
              <w:widowControl/>
              <w:suppressLineNumbers w:val="0"/>
              <w:jc w:val="center"/>
              <w:rPr>
                <w:rFonts w:hint="default" w:ascii="Segoe UI" w:hAnsi="Segoe UI" w:eastAsia="Segoe UI" w:cs="Segoe UI"/>
                <w:i w:val="0"/>
                <w:iCs w:val="0"/>
                <w:caps w:val="0"/>
                <w:spacing w:val="3"/>
                <w:sz w:val="19"/>
                <w:szCs w:val="19"/>
              </w:rPr>
            </w:pPr>
            <w:r>
              <w:rPr>
                <w:rFonts w:hint="default" w:ascii="Segoe UI" w:hAnsi="Segoe UI" w:eastAsia="Segoe UI" w:cs="Segoe UI"/>
                <w:i w:val="0"/>
                <w:iCs w:val="0"/>
                <w:caps w:val="0"/>
                <w:spacing w:val="3"/>
                <w:kern w:val="0"/>
                <w:sz w:val="19"/>
                <w:szCs w:val="19"/>
                <w:lang w:val="en-US" w:eastAsia="zh-CN" w:bidi="ar"/>
              </w:rPr>
              <w:t>砷、锑（第二类）</w:t>
            </w:r>
          </w:p>
        </w:tc>
        <w:tc>
          <w:tcPr>
            <w:tcW w:w="2124" w:type="pct"/>
            <w:tcBorders>
              <w:tl2br w:val="nil"/>
              <w:tr2bl w:val="nil"/>
            </w:tcBorders>
            <w:shd w:val="clear" w:color="auto" w:fill="FFFFFF"/>
            <w:tcMar>
              <w:top w:w="72" w:type="dxa"/>
              <w:left w:w="156" w:type="dxa"/>
              <w:bottom w:w="72" w:type="dxa"/>
              <w:right w:w="156" w:type="dxa"/>
            </w:tcMar>
            <w:vAlign w:val="center"/>
          </w:tcPr>
          <w:p w14:paraId="0D0A063C">
            <w:pPr>
              <w:keepNext w:val="0"/>
              <w:keepLines w:val="0"/>
              <w:widowControl/>
              <w:suppressLineNumbers w:val="0"/>
              <w:jc w:val="center"/>
              <w:rPr>
                <w:rFonts w:hint="default" w:ascii="Segoe UI" w:hAnsi="Segoe UI" w:eastAsia="Segoe UI" w:cs="Segoe UI"/>
                <w:i w:val="0"/>
                <w:iCs w:val="0"/>
                <w:caps w:val="0"/>
                <w:spacing w:val="3"/>
                <w:sz w:val="19"/>
                <w:szCs w:val="19"/>
              </w:rPr>
            </w:pPr>
            <w:r>
              <w:rPr>
                <w:rFonts w:hint="default" w:ascii="Segoe UI" w:hAnsi="Segoe UI" w:eastAsia="Segoe UI" w:cs="Segoe UI"/>
                <w:i w:val="0"/>
                <w:iCs w:val="0"/>
                <w:caps w:val="0"/>
                <w:spacing w:val="3"/>
                <w:kern w:val="0"/>
                <w:sz w:val="19"/>
                <w:szCs w:val="19"/>
                <w:lang w:val="en-US" w:eastAsia="zh-CN" w:bidi="ar"/>
              </w:rPr>
              <w:t>同属氮族元素（ⅤA）</w:t>
            </w:r>
          </w:p>
        </w:tc>
      </w:tr>
      <w:tr w14:paraId="5E9E3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61" w:type="pct"/>
            <w:vMerge w:val="restart"/>
            <w:tcBorders>
              <w:tl2br w:val="nil"/>
              <w:tr2bl w:val="nil"/>
            </w:tcBorders>
            <w:shd w:val="clear" w:color="auto" w:fill="FFFFFF"/>
            <w:tcMar>
              <w:top w:w="72" w:type="dxa"/>
              <w:left w:w="156" w:type="dxa"/>
              <w:bottom w:w="72" w:type="dxa"/>
              <w:right w:w="156" w:type="dxa"/>
            </w:tcMar>
            <w:vAlign w:val="center"/>
          </w:tcPr>
          <w:p w14:paraId="742F469C">
            <w:pPr>
              <w:keepNext w:val="0"/>
              <w:keepLines w:val="0"/>
              <w:widowControl/>
              <w:suppressLineNumbers w:val="0"/>
              <w:jc w:val="center"/>
              <w:rPr>
                <w:rFonts w:hint="default" w:ascii="Segoe UI" w:hAnsi="Segoe UI" w:eastAsia="Segoe UI" w:cs="Segoe UI"/>
                <w:i w:val="0"/>
                <w:iCs w:val="0"/>
                <w:caps w:val="0"/>
                <w:spacing w:val="3"/>
                <w:sz w:val="19"/>
                <w:szCs w:val="19"/>
              </w:rPr>
            </w:pPr>
            <w:r>
              <w:rPr>
                <w:rStyle w:val="19"/>
                <w:rFonts w:hint="default" w:ascii="Segoe UI" w:hAnsi="Segoe UI" w:eastAsia="Segoe UI" w:cs="Segoe UI"/>
                <w:i w:val="0"/>
                <w:iCs w:val="0"/>
                <w:caps w:val="0"/>
                <w:spacing w:val="3"/>
                <w:kern w:val="0"/>
                <w:sz w:val="19"/>
                <w:szCs w:val="19"/>
                <w:lang w:val="en-US" w:eastAsia="zh-CN" w:bidi="ar"/>
              </w:rPr>
              <w:t>有价元素</w:t>
            </w:r>
          </w:p>
        </w:tc>
        <w:tc>
          <w:tcPr>
            <w:tcW w:w="1813" w:type="pct"/>
            <w:tcBorders>
              <w:tl2br w:val="nil"/>
              <w:tr2bl w:val="nil"/>
            </w:tcBorders>
            <w:shd w:val="clear" w:color="auto" w:fill="FFFFFF"/>
            <w:tcMar>
              <w:top w:w="72" w:type="dxa"/>
              <w:left w:w="156" w:type="dxa"/>
              <w:bottom w:w="72" w:type="dxa"/>
              <w:right w:w="156" w:type="dxa"/>
            </w:tcMar>
            <w:vAlign w:val="center"/>
          </w:tcPr>
          <w:p w14:paraId="13D1914B">
            <w:pPr>
              <w:keepNext w:val="0"/>
              <w:keepLines w:val="0"/>
              <w:widowControl/>
              <w:suppressLineNumbers w:val="0"/>
              <w:jc w:val="center"/>
              <w:rPr>
                <w:rFonts w:hint="default" w:ascii="Segoe UI" w:hAnsi="Segoe UI" w:eastAsia="Segoe UI" w:cs="Segoe UI"/>
                <w:i w:val="0"/>
                <w:iCs w:val="0"/>
                <w:caps w:val="0"/>
                <w:spacing w:val="3"/>
                <w:sz w:val="19"/>
                <w:szCs w:val="19"/>
              </w:rPr>
            </w:pPr>
            <w:r>
              <w:rPr>
                <w:rFonts w:hint="default" w:ascii="Segoe UI" w:hAnsi="Segoe UI" w:eastAsia="Segoe UI" w:cs="Segoe UI"/>
                <w:i w:val="0"/>
                <w:iCs w:val="0"/>
                <w:caps w:val="0"/>
                <w:spacing w:val="3"/>
                <w:kern w:val="0"/>
                <w:sz w:val="19"/>
                <w:szCs w:val="19"/>
                <w:lang w:val="en-US" w:eastAsia="zh-CN" w:bidi="ar"/>
              </w:rPr>
              <w:t>锌、镉（第一类）</w:t>
            </w:r>
          </w:p>
        </w:tc>
        <w:tc>
          <w:tcPr>
            <w:tcW w:w="2124" w:type="pct"/>
            <w:tcBorders>
              <w:tl2br w:val="nil"/>
              <w:tr2bl w:val="nil"/>
            </w:tcBorders>
            <w:shd w:val="clear" w:color="auto" w:fill="FFFFFF"/>
            <w:tcMar>
              <w:top w:w="72" w:type="dxa"/>
              <w:left w:w="156" w:type="dxa"/>
              <w:bottom w:w="72" w:type="dxa"/>
              <w:right w:w="156" w:type="dxa"/>
            </w:tcMar>
            <w:vAlign w:val="center"/>
          </w:tcPr>
          <w:p w14:paraId="6B38018B">
            <w:pPr>
              <w:keepNext w:val="0"/>
              <w:keepLines w:val="0"/>
              <w:widowControl/>
              <w:suppressLineNumbers w:val="0"/>
              <w:jc w:val="center"/>
              <w:rPr>
                <w:rFonts w:hint="default" w:ascii="Segoe UI" w:hAnsi="Segoe UI" w:eastAsia="Segoe UI" w:cs="Segoe UI"/>
                <w:i w:val="0"/>
                <w:iCs w:val="0"/>
                <w:caps w:val="0"/>
                <w:spacing w:val="3"/>
                <w:sz w:val="19"/>
                <w:szCs w:val="19"/>
              </w:rPr>
            </w:pPr>
            <w:r>
              <w:rPr>
                <w:rFonts w:hint="default" w:ascii="Segoe UI" w:hAnsi="Segoe UI" w:eastAsia="Segoe UI" w:cs="Segoe UI"/>
                <w:i w:val="0"/>
                <w:iCs w:val="0"/>
                <w:caps w:val="0"/>
                <w:spacing w:val="3"/>
                <w:kern w:val="0"/>
                <w:sz w:val="19"/>
                <w:szCs w:val="19"/>
                <w:lang w:val="en-US" w:eastAsia="zh-CN" w:bidi="ar"/>
              </w:rPr>
              <w:t>同属ⅡB族元素</w:t>
            </w:r>
          </w:p>
        </w:tc>
      </w:tr>
      <w:tr w14:paraId="740C3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jc w:val="center"/>
        </w:trPr>
        <w:tc>
          <w:tcPr>
            <w:tcW w:w="1061" w:type="pct"/>
            <w:vMerge w:val="continue"/>
            <w:tcBorders>
              <w:tl2br w:val="nil"/>
              <w:tr2bl w:val="nil"/>
            </w:tcBorders>
            <w:shd w:val="clear" w:color="auto" w:fill="FFFFFF"/>
            <w:tcMar>
              <w:top w:w="72" w:type="dxa"/>
              <w:left w:w="156" w:type="dxa"/>
              <w:bottom w:w="72" w:type="dxa"/>
              <w:right w:w="156" w:type="dxa"/>
            </w:tcMar>
            <w:vAlign w:val="center"/>
          </w:tcPr>
          <w:p w14:paraId="00077A2F">
            <w:pPr>
              <w:rPr>
                <w:rFonts w:hint="default" w:ascii="Segoe UI" w:hAnsi="Segoe UI" w:eastAsia="Segoe UI" w:cs="Segoe UI"/>
                <w:i w:val="0"/>
                <w:iCs w:val="0"/>
                <w:caps w:val="0"/>
                <w:spacing w:val="3"/>
                <w:sz w:val="19"/>
                <w:szCs w:val="19"/>
              </w:rPr>
            </w:pPr>
          </w:p>
        </w:tc>
        <w:tc>
          <w:tcPr>
            <w:tcW w:w="1813" w:type="pct"/>
            <w:tcBorders>
              <w:tl2br w:val="nil"/>
              <w:tr2bl w:val="nil"/>
            </w:tcBorders>
            <w:shd w:val="clear" w:color="auto" w:fill="FFFFFF"/>
            <w:tcMar>
              <w:top w:w="72" w:type="dxa"/>
              <w:left w:w="156" w:type="dxa"/>
              <w:bottom w:w="72" w:type="dxa"/>
              <w:right w:w="156" w:type="dxa"/>
            </w:tcMar>
            <w:vAlign w:val="center"/>
          </w:tcPr>
          <w:p w14:paraId="39BC2160">
            <w:pPr>
              <w:keepNext w:val="0"/>
              <w:keepLines w:val="0"/>
              <w:widowControl/>
              <w:suppressLineNumbers w:val="0"/>
              <w:jc w:val="center"/>
              <w:rPr>
                <w:rFonts w:hint="default" w:ascii="Segoe UI" w:hAnsi="Segoe UI" w:eastAsia="Segoe UI" w:cs="Segoe UI"/>
                <w:i w:val="0"/>
                <w:iCs w:val="0"/>
                <w:caps w:val="0"/>
                <w:spacing w:val="3"/>
                <w:sz w:val="19"/>
                <w:szCs w:val="19"/>
              </w:rPr>
            </w:pPr>
            <w:r>
              <w:rPr>
                <w:rFonts w:hint="default" w:ascii="Segoe UI" w:hAnsi="Segoe UI" w:eastAsia="Segoe UI" w:cs="Segoe UI"/>
                <w:i w:val="0"/>
                <w:iCs w:val="0"/>
                <w:caps w:val="0"/>
                <w:spacing w:val="3"/>
                <w:kern w:val="0"/>
                <w:sz w:val="19"/>
                <w:szCs w:val="19"/>
                <w:lang w:val="en-US" w:eastAsia="zh-CN" w:bidi="ar"/>
              </w:rPr>
              <w:t>铟（第二类）</w:t>
            </w:r>
          </w:p>
        </w:tc>
        <w:tc>
          <w:tcPr>
            <w:tcW w:w="2124" w:type="pct"/>
            <w:tcBorders>
              <w:tl2br w:val="nil"/>
              <w:tr2bl w:val="nil"/>
            </w:tcBorders>
            <w:shd w:val="clear" w:color="auto" w:fill="FFFFFF"/>
            <w:tcMar>
              <w:top w:w="72" w:type="dxa"/>
              <w:left w:w="156" w:type="dxa"/>
              <w:bottom w:w="72" w:type="dxa"/>
              <w:right w:w="156" w:type="dxa"/>
            </w:tcMar>
            <w:vAlign w:val="center"/>
          </w:tcPr>
          <w:p w14:paraId="6A93D225">
            <w:pPr>
              <w:keepNext w:val="0"/>
              <w:keepLines w:val="0"/>
              <w:widowControl/>
              <w:suppressLineNumbers w:val="0"/>
              <w:jc w:val="center"/>
              <w:rPr>
                <w:rFonts w:hint="default" w:ascii="Segoe UI" w:hAnsi="Segoe UI" w:eastAsia="Segoe UI" w:cs="Segoe UI"/>
                <w:i w:val="0"/>
                <w:iCs w:val="0"/>
                <w:caps w:val="0"/>
                <w:spacing w:val="3"/>
                <w:sz w:val="19"/>
                <w:szCs w:val="19"/>
              </w:rPr>
            </w:pPr>
            <w:r>
              <w:rPr>
                <w:rFonts w:hint="default" w:ascii="Segoe UI" w:hAnsi="Segoe UI" w:eastAsia="Segoe UI" w:cs="Segoe UI"/>
                <w:i w:val="0"/>
                <w:iCs w:val="0"/>
                <w:caps w:val="0"/>
                <w:spacing w:val="3"/>
                <w:kern w:val="0"/>
                <w:sz w:val="19"/>
                <w:szCs w:val="19"/>
                <w:lang w:val="en-US" w:eastAsia="zh-CN" w:bidi="ar"/>
              </w:rPr>
              <w:t>稀贵金属</w:t>
            </w:r>
          </w:p>
        </w:tc>
      </w:tr>
      <w:tr w14:paraId="398B9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jc w:val="center"/>
        </w:trPr>
        <w:tc>
          <w:tcPr>
            <w:tcW w:w="1061" w:type="pct"/>
            <w:vMerge w:val="continue"/>
            <w:tcBorders>
              <w:tl2br w:val="nil"/>
              <w:tr2bl w:val="nil"/>
            </w:tcBorders>
            <w:shd w:val="clear" w:color="auto" w:fill="FFFFFF"/>
            <w:tcMar>
              <w:top w:w="72" w:type="dxa"/>
              <w:left w:w="156" w:type="dxa"/>
              <w:bottom w:w="72" w:type="dxa"/>
              <w:right w:w="156" w:type="dxa"/>
            </w:tcMar>
            <w:vAlign w:val="center"/>
          </w:tcPr>
          <w:p w14:paraId="022DF739">
            <w:pPr>
              <w:rPr>
                <w:rFonts w:hint="default" w:ascii="Segoe UI" w:hAnsi="Segoe UI" w:eastAsia="Segoe UI" w:cs="Segoe UI"/>
                <w:i w:val="0"/>
                <w:iCs w:val="0"/>
                <w:caps w:val="0"/>
                <w:spacing w:val="3"/>
                <w:sz w:val="19"/>
                <w:szCs w:val="19"/>
              </w:rPr>
            </w:pPr>
          </w:p>
        </w:tc>
        <w:tc>
          <w:tcPr>
            <w:tcW w:w="1813" w:type="pct"/>
            <w:tcBorders>
              <w:tl2br w:val="nil"/>
              <w:tr2bl w:val="nil"/>
            </w:tcBorders>
            <w:shd w:val="clear" w:color="auto" w:fill="FFFFFF"/>
            <w:tcMar>
              <w:top w:w="72" w:type="dxa"/>
              <w:left w:w="156" w:type="dxa"/>
              <w:bottom w:w="72" w:type="dxa"/>
              <w:right w:w="156" w:type="dxa"/>
            </w:tcMar>
            <w:vAlign w:val="center"/>
          </w:tcPr>
          <w:p w14:paraId="065585AD">
            <w:pPr>
              <w:keepNext w:val="0"/>
              <w:keepLines w:val="0"/>
              <w:widowControl/>
              <w:suppressLineNumbers w:val="0"/>
              <w:jc w:val="center"/>
              <w:rPr>
                <w:rFonts w:hint="default" w:ascii="Segoe UI" w:hAnsi="Segoe UI" w:eastAsia="Segoe UI" w:cs="Segoe UI"/>
                <w:i w:val="0"/>
                <w:iCs w:val="0"/>
                <w:caps w:val="0"/>
                <w:spacing w:val="3"/>
                <w:sz w:val="19"/>
                <w:szCs w:val="19"/>
              </w:rPr>
            </w:pPr>
            <w:r>
              <w:rPr>
                <w:rFonts w:hint="default" w:ascii="Segoe UI" w:hAnsi="Segoe UI" w:eastAsia="Segoe UI" w:cs="Segoe UI"/>
                <w:i w:val="0"/>
                <w:iCs w:val="0"/>
                <w:caps w:val="0"/>
                <w:spacing w:val="3"/>
                <w:kern w:val="0"/>
                <w:sz w:val="19"/>
                <w:szCs w:val="19"/>
                <w:lang w:val="en-US" w:eastAsia="zh-CN" w:bidi="ar"/>
              </w:rPr>
              <w:t>锗（第三类）</w:t>
            </w:r>
          </w:p>
        </w:tc>
        <w:tc>
          <w:tcPr>
            <w:tcW w:w="2124" w:type="pct"/>
            <w:tcBorders>
              <w:tl2br w:val="nil"/>
              <w:tr2bl w:val="nil"/>
            </w:tcBorders>
            <w:shd w:val="clear" w:color="auto" w:fill="FFFFFF"/>
            <w:tcMar>
              <w:top w:w="72" w:type="dxa"/>
              <w:left w:w="156" w:type="dxa"/>
              <w:bottom w:w="72" w:type="dxa"/>
              <w:right w:w="156" w:type="dxa"/>
            </w:tcMar>
            <w:vAlign w:val="center"/>
          </w:tcPr>
          <w:p w14:paraId="63A749B7">
            <w:pPr>
              <w:keepNext w:val="0"/>
              <w:keepLines w:val="0"/>
              <w:widowControl/>
              <w:suppressLineNumbers w:val="0"/>
              <w:jc w:val="center"/>
              <w:rPr>
                <w:rFonts w:hint="default" w:ascii="Segoe UI" w:hAnsi="Segoe UI" w:eastAsia="Segoe UI" w:cs="Segoe UI"/>
                <w:i w:val="0"/>
                <w:iCs w:val="0"/>
                <w:caps w:val="0"/>
                <w:spacing w:val="3"/>
                <w:sz w:val="19"/>
                <w:szCs w:val="19"/>
              </w:rPr>
            </w:pPr>
            <w:r>
              <w:rPr>
                <w:rFonts w:hint="default" w:ascii="Segoe UI" w:hAnsi="Segoe UI" w:eastAsia="Segoe UI" w:cs="Segoe UI"/>
                <w:i w:val="0"/>
                <w:iCs w:val="0"/>
                <w:caps w:val="0"/>
                <w:spacing w:val="3"/>
                <w:kern w:val="0"/>
                <w:sz w:val="19"/>
                <w:szCs w:val="19"/>
                <w:lang w:val="en-US" w:eastAsia="zh-CN" w:bidi="ar"/>
              </w:rPr>
              <w:t>稀散金属</w:t>
            </w:r>
          </w:p>
        </w:tc>
      </w:tr>
      <w:tr w14:paraId="114ED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jc w:val="center"/>
        </w:trPr>
        <w:tc>
          <w:tcPr>
            <w:tcW w:w="1061" w:type="pct"/>
            <w:vMerge w:val="continue"/>
            <w:tcBorders>
              <w:tl2br w:val="nil"/>
              <w:tr2bl w:val="nil"/>
            </w:tcBorders>
            <w:shd w:val="clear" w:color="auto" w:fill="FFFFFF"/>
            <w:tcMar>
              <w:top w:w="72" w:type="dxa"/>
              <w:left w:w="156" w:type="dxa"/>
              <w:bottom w:w="72" w:type="dxa"/>
              <w:right w:w="156" w:type="dxa"/>
            </w:tcMar>
            <w:vAlign w:val="center"/>
          </w:tcPr>
          <w:p w14:paraId="46AEA44C">
            <w:pPr>
              <w:rPr>
                <w:rFonts w:hint="default" w:ascii="Segoe UI" w:hAnsi="Segoe UI" w:eastAsia="Segoe UI" w:cs="Segoe UI"/>
                <w:i w:val="0"/>
                <w:iCs w:val="0"/>
                <w:caps w:val="0"/>
                <w:spacing w:val="3"/>
                <w:sz w:val="19"/>
                <w:szCs w:val="19"/>
              </w:rPr>
            </w:pPr>
          </w:p>
        </w:tc>
        <w:tc>
          <w:tcPr>
            <w:tcW w:w="1813" w:type="pct"/>
            <w:tcBorders>
              <w:tl2br w:val="nil"/>
              <w:tr2bl w:val="nil"/>
            </w:tcBorders>
            <w:shd w:val="clear" w:color="auto" w:fill="FFFFFF"/>
            <w:tcMar>
              <w:top w:w="72" w:type="dxa"/>
              <w:left w:w="156" w:type="dxa"/>
              <w:bottom w:w="72" w:type="dxa"/>
              <w:right w:w="156" w:type="dxa"/>
            </w:tcMar>
            <w:vAlign w:val="center"/>
          </w:tcPr>
          <w:p w14:paraId="4E9DB46D">
            <w:pPr>
              <w:keepNext w:val="0"/>
              <w:keepLines w:val="0"/>
              <w:widowControl/>
              <w:suppressLineNumbers w:val="0"/>
              <w:jc w:val="center"/>
              <w:rPr>
                <w:rFonts w:hint="default" w:ascii="Segoe UI" w:hAnsi="Segoe UI" w:eastAsia="Segoe UI" w:cs="Segoe UI"/>
                <w:i w:val="0"/>
                <w:iCs w:val="0"/>
                <w:caps w:val="0"/>
                <w:spacing w:val="3"/>
                <w:sz w:val="19"/>
                <w:szCs w:val="19"/>
              </w:rPr>
            </w:pPr>
            <w:r>
              <w:rPr>
                <w:rFonts w:hint="default" w:ascii="Segoe UI" w:hAnsi="Segoe UI" w:eastAsia="Segoe UI" w:cs="Segoe UI"/>
                <w:i w:val="0"/>
                <w:iCs w:val="0"/>
                <w:caps w:val="0"/>
                <w:spacing w:val="3"/>
                <w:kern w:val="0"/>
                <w:sz w:val="19"/>
                <w:szCs w:val="19"/>
                <w:lang w:val="en-US" w:eastAsia="zh-CN" w:bidi="ar"/>
              </w:rPr>
              <w:t>铅、银（第四类）</w:t>
            </w:r>
          </w:p>
        </w:tc>
        <w:tc>
          <w:tcPr>
            <w:tcW w:w="2124" w:type="pct"/>
            <w:tcBorders>
              <w:tl2br w:val="nil"/>
              <w:tr2bl w:val="nil"/>
            </w:tcBorders>
            <w:shd w:val="clear" w:color="auto" w:fill="FFFFFF"/>
            <w:tcMar>
              <w:top w:w="72" w:type="dxa"/>
              <w:left w:w="156" w:type="dxa"/>
              <w:bottom w:w="72" w:type="dxa"/>
              <w:right w:w="156" w:type="dxa"/>
            </w:tcMar>
            <w:vAlign w:val="center"/>
          </w:tcPr>
          <w:p w14:paraId="6DCE7F04">
            <w:pPr>
              <w:keepNext w:val="0"/>
              <w:keepLines w:val="0"/>
              <w:widowControl/>
              <w:suppressLineNumbers w:val="0"/>
              <w:jc w:val="center"/>
              <w:rPr>
                <w:rFonts w:hint="default" w:ascii="Segoe UI" w:hAnsi="Segoe UI" w:eastAsia="Segoe UI" w:cs="Segoe UI"/>
                <w:i w:val="0"/>
                <w:iCs w:val="0"/>
                <w:caps w:val="0"/>
                <w:spacing w:val="3"/>
                <w:sz w:val="19"/>
                <w:szCs w:val="19"/>
              </w:rPr>
            </w:pPr>
            <w:r>
              <w:rPr>
                <w:rFonts w:hint="default" w:ascii="Segoe UI" w:hAnsi="Segoe UI" w:eastAsia="Segoe UI" w:cs="Segoe UI"/>
                <w:i w:val="0"/>
                <w:iCs w:val="0"/>
                <w:caps w:val="0"/>
                <w:spacing w:val="3"/>
                <w:kern w:val="0"/>
                <w:sz w:val="19"/>
                <w:szCs w:val="19"/>
                <w:lang w:val="en-US" w:eastAsia="zh-CN" w:bidi="ar"/>
              </w:rPr>
              <w:t>重金属及贵金属</w:t>
            </w:r>
          </w:p>
        </w:tc>
      </w:tr>
    </w:tbl>
    <w:p w14:paraId="41F2EC99">
      <w:pPr>
        <w:adjustRightInd w:val="0"/>
        <w:snapToGrid w:val="0"/>
        <w:spacing w:line="360" w:lineRule="auto"/>
        <w:ind w:firstLine="420" w:firstLineChars="200"/>
        <w:rPr>
          <w:rFonts w:hint="default" w:ascii="宋体" w:hAnsi="宋体" w:cs="宋体"/>
          <w:szCs w:val="21"/>
        </w:rPr>
      </w:pPr>
    </w:p>
    <w:p w14:paraId="54E72B15">
      <w:pPr>
        <w:numPr>
          <w:ilvl w:val="0"/>
          <w:numId w:val="0"/>
        </w:numPr>
        <w:snapToGrid w:val="0"/>
        <w:spacing w:line="360" w:lineRule="auto"/>
        <w:ind w:leftChars="200"/>
        <w:rPr>
          <w:rFonts w:hint="default" w:ascii="宋体" w:hAnsi="宋体" w:cs="宋体"/>
          <w:b/>
          <w:bCs/>
          <w:sz w:val="24"/>
          <w:szCs w:val="24"/>
          <w:lang w:val="en-US" w:eastAsia="zh-CN"/>
        </w:rPr>
      </w:pPr>
      <w:r>
        <w:rPr>
          <w:rFonts w:hint="eastAsia" w:ascii="宋体" w:hAnsi="宋体" w:cs="宋体"/>
          <w:b/>
          <w:bCs/>
          <w:sz w:val="24"/>
          <w:szCs w:val="24"/>
          <w:lang w:val="en-US" w:eastAsia="zh-CN"/>
        </w:rPr>
        <w:t>4.1.3 有害元素除杂工艺</w:t>
      </w:r>
    </w:p>
    <w:p w14:paraId="6DFB1679">
      <w:pPr>
        <w:numPr>
          <w:ilvl w:val="0"/>
          <w:numId w:val="0"/>
        </w:numPr>
        <w:snapToGrid w:val="0"/>
        <w:spacing w:line="360" w:lineRule="auto"/>
        <w:ind w:leftChars="200"/>
        <w:rPr>
          <w:rFonts w:hint="eastAsia" w:ascii="宋体" w:hAnsi="宋体" w:cs="宋体"/>
          <w:b/>
          <w:bCs/>
          <w:sz w:val="24"/>
          <w:szCs w:val="24"/>
          <w:lang w:val="en-US" w:eastAsia="zh-CN"/>
        </w:rPr>
      </w:pPr>
      <w:r>
        <w:rPr>
          <w:rFonts w:hint="eastAsia" w:ascii="宋体" w:hAnsi="宋体" w:cs="宋体"/>
          <w:b/>
          <w:bCs/>
          <w:sz w:val="24"/>
          <w:szCs w:val="24"/>
          <w:lang w:val="en-US" w:eastAsia="zh-CN"/>
        </w:rPr>
        <w:t>1）第一类为氟、氯</w:t>
      </w:r>
    </w:p>
    <w:p w14:paraId="42E45495">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sz w:val="24"/>
          <w:szCs w:val="24"/>
          <w:lang w:val="en-US" w:eastAsia="zh-CN"/>
        </w:rPr>
        <w:t>A、</w:t>
      </w:r>
      <w:r>
        <w:rPr>
          <w:rFonts w:hint="default" w:hAnsi="Times New Roman" w:cs="Times New Roman"/>
          <w:sz w:val="24"/>
          <w:szCs w:val="24"/>
          <w:lang w:val="en-US" w:eastAsia="zh-CN"/>
        </w:rPr>
        <w:t>化学特性与危害</w:t>
      </w:r>
    </w:p>
    <w:p w14:paraId="0B83A30B">
      <w:pPr>
        <w:pStyle w:val="27"/>
        <w:tabs>
          <w:tab w:val="center" w:pos="4201"/>
          <w:tab w:val="right" w:leader="dot" w:pos="9298"/>
        </w:tabs>
        <w:spacing w:line="360" w:lineRule="auto"/>
        <w:rPr>
          <w:rFonts w:hint="default" w:hAnsi="Times New Roman" w:cs="Times New Roman"/>
          <w:sz w:val="24"/>
          <w:szCs w:val="24"/>
          <w:lang w:val="en-US" w:eastAsia="zh-CN"/>
        </w:rPr>
      </w:pPr>
      <w:r>
        <w:rPr>
          <w:rFonts w:hint="default" w:hAnsi="Times New Roman" w:cs="Times New Roman"/>
          <w:sz w:val="24"/>
          <w:szCs w:val="24"/>
          <w:lang w:val="en-US" w:eastAsia="zh-CN"/>
        </w:rPr>
        <w:t>氟（F）、氯（Cl）化学性质活泼，易与金属形成可溶性盐（如ZnF₂、PbCl₂）。</w:t>
      </w:r>
    </w:p>
    <w:p w14:paraId="1CFA70FE">
      <w:pPr>
        <w:pStyle w:val="27"/>
        <w:tabs>
          <w:tab w:val="center" w:pos="4201"/>
          <w:tab w:val="right" w:leader="dot" w:pos="9298"/>
        </w:tabs>
        <w:spacing w:line="360" w:lineRule="auto"/>
        <w:rPr>
          <w:rFonts w:hint="default" w:hAnsi="Times New Roman" w:cs="Times New Roman"/>
          <w:sz w:val="24"/>
          <w:szCs w:val="24"/>
          <w:lang w:val="en-US" w:eastAsia="zh-CN"/>
        </w:rPr>
      </w:pPr>
      <w:r>
        <w:rPr>
          <w:rFonts w:hint="default" w:hAnsi="Times New Roman" w:cs="Times New Roman"/>
          <w:sz w:val="24"/>
          <w:szCs w:val="24"/>
          <w:lang w:val="en-US" w:eastAsia="zh-CN"/>
        </w:rPr>
        <w:t>在湿法冶炼过程中，氟、氯会腐蚀不锈钢设备</w:t>
      </w:r>
      <w:r>
        <w:rPr>
          <w:rFonts w:hint="eastAsia" w:hAnsi="Times New Roman" w:cs="Times New Roman"/>
          <w:sz w:val="24"/>
          <w:szCs w:val="24"/>
          <w:lang w:val="en-US" w:eastAsia="zh-CN"/>
        </w:rPr>
        <w:t>【</w:t>
      </w:r>
      <w:r>
        <w:rPr>
          <w:rFonts w:hint="default" w:hAnsi="Times New Roman" w:cs="Times New Roman"/>
          <w:sz w:val="24"/>
          <w:szCs w:val="24"/>
          <w:lang w:val="en-US" w:eastAsia="zh-CN"/>
        </w:rPr>
        <w:t>如反应釜</w:t>
      </w:r>
      <w:r>
        <w:rPr>
          <w:rFonts w:hint="eastAsia" w:hAnsi="Times New Roman" w:cs="Times New Roman"/>
          <w:sz w:val="24"/>
          <w:szCs w:val="24"/>
          <w:lang w:val="en-US" w:eastAsia="zh-CN"/>
        </w:rPr>
        <w:t>（槽）</w:t>
      </w:r>
      <w:r>
        <w:rPr>
          <w:rFonts w:hint="default" w:hAnsi="Times New Roman" w:cs="Times New Roman"/>
          <w:sz w:val="24"/>
          <w:szCs w:val="24"/>
          <w:lang w:val="en-US" w:eastAsia="zh-CN"/>
        </w:rPr>
        <w:t>、管道</w:t>
      </w:r>
      <w:r>
        <w:rPr>
          <w:rFonts w:hint="eastAsia" w:hAnsi="Times New Roman" w:cs="Times New Roman"/>
          <w:sz w:val="24"/>
          <w:szCs w:val="24"/>
          <w:lang w:val="en-US" w:eastAsia="zh-CN"/>
        </w:rPr>
        <w:t>】</w:t>
      </w:r>
      <w:r>
        <w:rPr>
          <w:rFonts w:hint="default" w:hAnsi="Times New Roman" w:cs="Times New Roman"/>
          <w:sz w:val="24"/>
          <w:szCs w:val="24"/>
          <w:lang w:val="en-US" w:eastAsia="zh-CN"/>
        </w:rPr>
        <w:t>，尤其在高酸高温条件下，加速设备失效，增加维护成本。</w:t>
      </w:r>
    </w:p>
    <w:p w14:paraId="70B4120A">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sz w:val="24"/>
          <w:szCs w:val="24"/>
          <w:lang w:val="en-US" w:eastAsia="zh-CN"/>
        </w:rPr>
        <w:t>B、</w:t>
      </w:r>
      <w:r>
        <w:rPr>
          <w:rFonts w:hint="default" w:hAnsi="Times New Roman" w:cs="Times New Roman"/>
          <w:sz w:val="24"/>
          <w:szCs w:val="24"/>
          <w:lang w:val="en-US" w:eastAsia="zh-CN"/>
        </w:rPr>
        <w:t>脱除工艺</w:t>
      </w:r>
    </w:p>
    <w:p w14:paraId="265E3F91">
      <w:pPr>
        <w:pStyle w:val="27"/>
        <w:tabs>
          <w:tab w:val="center" w:pos="4201"/>
          <w:tab w:val="right" w:leader="dot" w:pos="9298"/>
        </w:tabs>
        <w:spacing w:line="360" w:lineRule="auto"/>
        <w:rPr>
          <w:rFonts w:hint="default" w:hAnsi="Times New Roman" w:eastAsia="宋体" w:cs="Times New Roman"/>
          <w:sz w:val="24"/>
          <w:szCs w:val="24"/>
          <w:lang w:val="en-US" w:eastAsia="zh-CN"/>
        </w:rPr>
      </w:pPr>
      <w:r>
        <w:rPr>
          <w:rFonts w:hint="eastAsia"/>
          <w:sz w:val="24"/>
          <w:szCs w:val="24"/>
          <w:lang w:val="en-US" w:eastAsia="zh-CN"/>
        </w:rPr>
        <w:t>针对</w:t>
      </w:r>
      <w:r>
        <w:rPr>
          <w:rFonts w:hint="eastAsia"/>
          <w:sz w:val="24"/>
          <w:szCs w:val="24"/>
        </w:rPr>
        <w:t>氧化锌烟尘</w:t>
      </w:r>
      <w:r>
        <w:rPr>
          <w:rFonts w:hint="eastAsia"/>
          <w:sz w:val="24"/>
          <w:szCs w:val="24"/>
          <w:lang w:val="en-US" w:eastAsia="zh-CN"/>
        </w:rPr>
        <w:t>中氟氯，应采用</w:t>
      </w:r>
      <w:r>
        <w:rPr>
          <w:rFonts w:hint="eastAsia"/>
          <w:sz w:val="24"/>
          <w:szCs w:val="24"/>
        </w:rPr>
        <w:t>预处理工艺</w:t>
      </w:r>
      <w:r>
        <w:rPr>
          <w:rFonts w:hint="eastAsia"/>
          <w:sz w:val="24"/>
          <w:szCs w:val="24"/>
          <w:lang w:eastAsia="zh-CN"/>
        </w:rPr>
        <w:t>，</w:t>
      </w:r>
      <w:r>
        <w:rPr>
          <w:rFonts w:hint="eastAsia"/>
          <w:sz w:val="24"/>
          <w:szCs w:val="24"/>
          <w:lang w:val="en-US" w:eastAsia="zh-CN"/>
        </w:rPr>
        <w:t>即：</w:t>
      </w:r>
    </w:p>
    <w:p w14:paraId="224EA4F9">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sz w:val="24"/>
          <w:szCs w:val="24"/>
        </w:rPr>
        <w:t>火法（多膛炉或回转窑焙烧）</w:t>
      </w:r>
      <w:r>
        <w:rPr>
          <w:rFonts w:hint="default" w:hAnsi="Times New Roman" w:cs="Times New Roman"/>
          <w:sz w:val="24"/>
          <w:szCs w:val="24"/>
          <w:lang w:val="en-US" w:eastAsia="zh-CN"/>
        </w:rPr>
        <w:t>：通过多膛炉或回转窑使氟、氯以气态（HF、HCl）形式逸出，</w:t>
      </w:r>
      <w:r>
        <w:rPr>
          <w:rFonts w:hint="eastAsia" w:hAnsi="Times New Roman" w:cs="Times New Roman"/>
          <w:sz w:val="24"/>
          <w:szCs w:val="24"/>
          <w:lang w:val="en-US" w:eastAsia="zh-CN"/>
        </w:rPr>
        <w:t>产出</w:t>
      </w:r>
      <w:r>
        <w:rPr>
          <w:rFonts w:hint="default" w:hAnsi="Times New Roman" w:cs="Times New Roman"/>
          <w:sz w:val="24"/>
          <w:szCs w:val="24"/>
          <w:lang w:val="en-US" w:eastAsia="zh-CN"/>
        </w:rPr>
        <w:t>高氟氯烟尘可外售。</w:t>
      </w:r>
    </w:p>
    <w:p w14:paraId="1503F645">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sz w:val="24"/>
          <w:szCs w:val="24"/>
        </w:rPr>
        <w:t>湿法（碱洗）</w:t>
      </w:r>
      <w:r>
        <w:rPr>
          <w:rFonts w:hint="default" w:hAnsi="Times New Roman" w:cs="Times New Roman"/>
          <w:sz w:val="24"/>
          <w:szCs w:val="24"/>
          <w:lang w:val="en-US" w:eastAsia="zh-CN"/>
        </w:rPr>
        <w:t>：采用</w:t>
      </w:r>
      <w:r>
        <w:rPr>
          <w:rFonts w:hint="eastAsia" w:hAnsi="Times New Roman" w:cs="Times New Roman"/>
          <w:sz w:val="24"/>
          <w:szCs w:val="24"/>
          <w:lang w:val="en-US" w:eastAsia="zh-CN"/>
        </w:rPr>
        <w:t>碱液</w:t>
      </w:r>
      <w:r>
        <w:rPr>
          <w:rFonts w:hint="default" w:hAnsi="Times New Roman" w:cs="Times New Roman"/>
          <w:sz w:val="24"/>
          <w:szCs w:val="24"/>
          <w:lang w:val="en-US" w:eastAsia="zh-CN"/>
        </w:rPr>
        <w:t>溶液中和吸附，</w:t>
      </w:r>
      <w:r>
        <w:rPr>
          <w:rFonts w:hint="eastAsia" w:hAnsi="Times New Roman" w:cs="Times New Roman"/>
          <w:sz w:val="24"/>
          <w:szCs w:val="24"/>
          <w:lang w:val="en-US" w:eastAsia="zh-CN"/>
        </w:rPr>
        <w:t>氟氯进入溶液</w:t>
      </w:r>
      <w:r>
        <w:rPr>
          <w:rFonts w:hint="default" w:hAnsi="Times New Roman" w:cs="Times New Roman"/>
          <w:sz w:val="24"/>
          <w:szCs w:val="24"/>
          <w:lang w:val="en-US" w:eastAsia="zh-CN"/>
        </w:rPr>
        <w:t>，</w:t>
      </w:r>
      <w:r>
        <w:rPr>
          <w:rFonts w:hint="eastAsia" w:hAnsi="Times New Roman" w:cs="Times New Roman"/>
          <w:sz w:val="24"/>
          <w:szCs w:val="24"/>
          <w:lang w:val="en-US" w:eastAsia="zh-CN"/>
        </w:rPr>
        <w:t>产出高氟氯废水送水处理</w:t>
      </w:r>
      <w:r>
        <w:rPr>
          <w:rFonts w:hint="default" w:hAnsi="Times New Roman" w:cs="Times New Roman"/>
          <w:sz w:val="24"/>
          <w:szCs w:val="24"/>
          <w:lang w:val="en-US" w:eastAsia="zh-CN"/>
        </w:rPr>
        <w:t>。</w:t>
      </w:r>
    </w:p>
    <w:p w14:paraId="6E0FF0A2">
      <w:pPr>
        <w:numPr>
          <w:ilvl w:val="0"/>
          <w:numId w:val="0"/>
        </w:numPr>
        <w:snapToGrid w:val="0"/>
        <w:spacing w:line="360" w:lineRule="auto"/>
        <w:ind w:leftChars="200"/>
        <w:rPr>
          <w:rFonts w:hint="eastAsia" w:ascii="宋体" w:hAnsi="宋体" w:cs="宋体"/>
          <w:b/>
          <w:bCs/>
          <w:sz w:val="24"/>
          <w:szCs w:val="24"/>
          <w:lang w:val="en-US" w:eastAsia="zh-CN"/>
        </w:rPr>
      </w:pPr>
      <w:r>
        <w:rPr>
          <w:rFonts w:hint="eastAsia" w:ascii="宋体" w:hAnsi="宋体" w:cs="宋体"/>
          <w:b/>
          <w:bCs/>
          <w:sz w:val="24"/>
          <w:szCs w:val="24"/>
          <w:lang w:val="en-US" w:eastAsia="zh-CN"/>
        </w:rPr>
        <w:t>2）第二类为砷、锑</w:t>
      </w:r>
    </w:p>
    <w:p w14:paraId="67F589B2">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sz w:val="24"/>
          <w:szCs w:val="24"/>
          <w:lang w:val="en-US" w:eastAsia="zh-CN"/>
        </w:rPr>
        <w:t>A、</w:t>
      </w:r>
      <w:r>
        <w:rPr>
          <w:rFonts w:hint="default" w:hAnsi="Times New Roman" w:cs="Times New Roman"/>
          <w:sz w:val="24"/>
          <w:szCs w:val="24"/>
          <w:lang w:val="en-US" w:eastAsia="zh-CN"/>
        </w:rPr>
        <w:t>化学特性与危害</w:t>
      </w:r>
    </w:p>
    <w:p w14:paraId="72139ABA">
      <w:pPr>
        <w:pStyle w:val="27"/>
        <w:tabs>
          <w:tab w:val="center" w:pos="4201"/>
          <w:tab w:val="right" w:leader="dot" w:pos="9298"/>
        </w:tabs>
        <w:spacing w:line="360" w:lineRule="auto"/>
        <w:rPr>
          <w:rFonts w:hint="default" w:hAnsi="Times New Roman" w:cs="Times New Roman"/>
          <w:sz w:val="24"/>
          <w:szCs w:val="24"/>
          <w:lang w:val="en-US" w:eastAsia="zh-CN"/>
        </w:rPr>
      </w:pPr>
      <w:r>
        <w:rPr>
          <w:rFonts w:hint="default" w:hAnsi="Times New Roman" w:cs="Times New Roman"/>
          <w:sz w:val="24"/>
          <w:szCs w:val="24"/>
          <w:lang w:val="en-US" w:eastAsia="zh-CN"/>
        </w:rPr>
        <w:t>砷（As）、锑（Sb）</w:t>
      </w:r>
      <w:r>
        <w:rPr>
          <w:rFonts w:hint="eastAsia" w:hAnsi="Times New Roman" w:cs="Times New Roman"/>
          <w:sz w:val="24"/>
          <w:szCs w:val="24"/>
          <w:lang w:val="en-US" w:eastAsia="zh-CN"/>
        </w:rPr>
        <w:t>在氧化锌烟尘中以</w:t>
      </w:r>
      <w:r>
        <w:rPr>
          <w:rFonts w:hint="default" w:hAnsi="Times New Roman" w:cs="Times New Roman"/>
          <w:sz w:val="24"/>
          <w:szCs w:val="24"/>
          <w:lang w:val="en-US" w:eastAsia="zh-CN"/>
        </w:rPr>
        <w:t>As₂O₃、Sb₂O₃</w:t>
      </w:r>
      <w:r>
        <w:rPr>
          <w:rFonts w:hint="eastAsia" w:hAnsi="Times New Roman" w:cs="Times New Roman"/>
          <w:sz w:val="24"/>
          <w:szCs w:val="24"/>
          <w:lang w:val="en-US" w:eastAsia="zh-CN"/>
        </w:rPr>
        <w:t>形式存在（属于</w:t>
      </w:r>
      <w:r>
        <w:rPr>
          <w:rFonts w:hint="default" w:hAnsi="Times New Roman" w:cs="Times New Roman"/>
          <w:sz w:val="24"/>
          <w:szCs w:val="24"/>
          <w:lang w:val="en-US" w:eastAsia="zh-CN"/>
        </w:rPr>
        <w:t>毒性化合物）</w:t>
      </w:r>
      <w:r>
        <w:rPr>
          <w:rFonts w:hint="eastAsia" w:hAnsi="Times New Roman" w:cs="Times New Roman"/>
          <w:sz w:val="24"/>
          <w:szCs w:val="24"/>
          <w:lang w:val="en-US" w:eastAsia="zh-CN"/>
        </w:rPr>
        <w:t>，进入湿法炼锌生产过程可能会产生AsH</w:t>
      </w:r>
      <w:r>
        <w:rPr>
          <w:rFonts w:hint="eastAsia" w:hAnsi="Times New Roman" w:cs="Times New Roman"/>
          <w:sz w:val="24"/>
          <w:szCs w:val="24"/>
          <w:vertAlign w:val="subscript"/>
          <w:lang w:val="en-US" w:eastAsia="zh-CN"/>
        </w:rPr>
        <w:t>3</w:t>
      </w:r>
      <w:r>
        <w:rPr>
          <w:rFonts w:hint="eastAsia" w:hAnsi="Times New Roman" w:cs="Times New Roman"/>
          <w:sz w:val="24"/>
          <w:szCs w:val="24"/>
          <w:lang w:val="en-US" w:eastAsia="zh-CN"/>
        </w:rPr>
        <w:t>、</w:t>
      </w:r>
      <w:r>
        <w:rPr>
          <w:rFonts w:hint="default" w:hAnsi="Times New Roman" w:cs="Times New Roman"/>
          <w:sz w:val="24"/>
          <w:szCs w:val="24"/>
          <w:lang w:val="en-US" w:eastAsia="zh-CN"/>
        </w:rPr>
        <w:t>Sb</w:t>
      </w:r>
      <w:r>
        <w:rPr>
          <w:rFonts w:hint="eastAsia" w:hAnsi="Times New Roman" w:cs="Times New Roman"/>
          <w:sz w:val="24"/>
          <w:szCs w:val="24"/>
          <w:lang w:val="en-US" w:eastAsia="zh-CN"/>
        </w:rPr>
        <w:t>H</w:t>
      </w:r>
      <w:r>
        <w:rPr>
          <w:rFonts w:hint="eastAsia" w:hAnsi="Times New Roman" w:cs="Times New Roman"/>
          <w:sz w:val="24"/>
          <w:szCs w:val="24"/>
          <w:vertAlign w:val="subscript"/>
          <w:lang w:val="en-US" w:eastAsia="zh-CN"/>
        </w:rPr>
        <w:t>3</w:t>
      </w:r>
      <w:r>
        <w:rPr>
          <w:rFonts w:hint="default" w:hAnsi="Times New Roman" w:cs="Times New Roman"/>
          <w:sz w:val="24"/>
          <w:szCs w:val="24"/>
          <w:lang w:val="en-US" w:eastAsia="zh-CN"/>
        </w:rPr>
        <w:t>，危害操作健康且干扰后续金属回收。</w:t>
      </w:r>
    </w:p>
    <w:p w14:paraId="3F18E4DD">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sz w:val="24"/>
          <w:szCs w:val="24"/>
          <w:lang w:val="en-US" w:eastAsia="zh-CN"/>
        </w:rPr>
        <w:t>B、</w:t>
      </w:r>
      <w:r>
        <w:rPr>
          <w:rFonts w:hint="default" w:hAnsi="Times New Roman" w:cs="Times New Roman"/>
          <w:sz w:val="24"/>
          <w:szCs w:val="24"/>
          <w:lang w:val="en-US" w:eastAsia="zh-CN"/>
        </w:rPr>
        <w:t>脱除工艺</w:t>
      </w:r>
    </w:p>
    <w:p w14:paraId="56C75AAF">
      <w:pPr>
        <w:pStyle w:val="27"/>
        <w:tabs>
          <w:tab w:val="center" w:pos="4201"/>
          <w:tab w:val="right" w:leader="dot" w:pos="9298"/>
        </w:tabs>
        <w:spacing w:line="360" w:lineRule="auto"/>
        <w:rPr>
          <w:rFonts w:hint="eastAsia"/>
          <w:sz w:val="24"/>
          <w:szCs w:val="24"/>
          <w:lang w:eastAsia="zh-CN"/>
        </w:rPr>
      </w:pPr>
      <w:r>
        <w:rPr>
          <w:rFonts w:hint="eastAsia"/>
          <w:sz w:val="24"/>
          <w:szCs w:val="24"/>
          <w:lang w:val="en-US" w:eastAsia="zh-CN"/>
        </w:rPr>
        <w:t>针对</w:t>
      </w:r>
      <w:r>
        <w:rPr>
          <w:rFonts w:hint="eastAsia"/>
          <w:sz w:val="24"/>
          <w:szCs w:val="24"/>
        </w:rPr>
        <w:t>氧化锌烟尘</w:t>
      </w:r>
      <w:r>
        <w:rPr>
          <w:rFonts w:hint="eastAsia"/>
          <w:sz w:val="24"/>
          <w:szCs w:val="24"/>
          <w:lang w:val="en-US" w:eastAsia="zh-CN"/>
        </w:rPr>
        <w:t>中</w:t>
      </w:r>
      <w:r>
        <w:rPr>
          <w:rFonts w:hint="eastAsia"/>
          <w:sz w:val="24"/>
          <w:szCs w:val="24"/>
        </w:rPr>
        <w:t>砷、锑</w:t>
      </w:r>
      <w:r>
        <w:rPr>
          <w:rFonts w:hint="eastAsia"/>
          <w:sz w:val="24"/>
          <w:szCs w:val="24"/>
          <w:lang w:eastAsia="zh-CN"/>
        </w:rPr>
        <w:t>，</w:t>
      </w:r>
      <w:r>
        <w:rPr>
          <w:rFonts w:hint="eastAsia"/>
          <w:sz w:val="24"/>
          <w:szCs w:val="24"/>
          <w:lang w:val="en-US" w:eastAsia="zh-CN"/>
        </w:rPr>
        <w:t>应</w:t>
      </w:r>
      <w:r>
        <w:rPr>
          <w:rFonts w:hint="eastAsia"/>
          <w:sz w:val="24"/>
          <w:szCs w:val="24"/>
        </w:rPr>
        <w:t>采用氧化水解法，即</w:t>
      </w:r>
      <w:r>
        <w:rPr>
          <w:rFonts w:hint="eastAsia"/>
          <w:sz w:val="24"/>
          <w:szCs w:val="24"/>
          <w:lang w:eastAsia="zh-CN"/>
        </w:rPr>
        <w:t>：</w:t>
      </w:r>
    </w:p>
    <w:p w14:paraId="3975575E">
      <w:pPr>
        <w:pStyle w:val="27"/>
        <w:tabs>
          <w:tab w:val="center" w:pos="4201"/>
          <w:tab w:val="right" w:leader="dot" w:pos="9298"/>
        </w:tabs>
        <w:spacing w:line="360" w:lineRule="auto"/>
        <w:rPr>
          <w:rFonts w:hint="default" w:ascii="宋体" w:hAnsi="宋体" w:cs="宋体"/>
          <w:sz w:val="24"/>
          <w:szCs w:val="24"/>
          <w:lang w:val="en-US" w:eastAsia="zh-CN"/>
        </w:rPr>
      </w:pPr>
      <w:r>
        <w:rPr>
          <w:rFonts w:hint="eastAsia"/>
          <w:sz w:val="24"/>
          <w:szCs w:val="24"/>
        </w:rPr>
        <w:t>通过铁的氧化水解与砷、锑形成复盐以吸附共沉淀方式脱除，同步亦可脱除部分溶液中氟</w:t>
      </w:r>
      <w:r>
        <w:rPr>
          <w:rFonts w:hint="eastAsia"/>
          <w:sz w:val="24"/>
          <w:szCs w:val="24"/>
          <w:lang w:eastAsia="zh-CN"/>
        </w:rPr>
        <w:t>、</w:t>
      </w:r>
      <w:r>
        <w:rPr>
          <w:rFonts w:hint="eastAsia"/>
          <w:sz w:val="24"/>
          <w:szCs w:val="24"/>
        </w:rPr>
        <w:t>氯；或者其它经济有效的先进脱除方法。</w:t>
      </w:r>
    </w:p>
    <w:p w14:paraId="36A4863B">
      <w:pPr>
        <w:numPr>
          <w:ilvl w:val="0"/>
          <w:numId w:val="0"/>
        </w:numPr>
        <w:snapToGrid w:val="0"/>
        <w:spacing w:line="360" w:lineRule="auto"/>
        <w:ind w:leftChars="200"/>
        <w:rPr>
          <w:rFonts w:hint="default" w:ascii="宋体" w:hAnsi="宋体" w:cs="宋体"/>
          <w:b/>
          <w:bCs/>
          <w:sz w:val="24"/>
          <w:szCs w:val="24"/>
          <w:lang w:val="en-US" w:eastAsia="zh-CN"/>
        </w:rPr>
      </w:pPr>
      <w:r>
        <w:rPr>
          <w:rFonts w:hint="eastAsia" w:ascii="宋体" w:hAnsi="宋体" w:cs="宋体"/>
          <w:b/>
          <w:bCs/>
          <w:sz w:val="24"/>
          <w:szCs w:val="24"/>
          <w:lang w:val="en-US" w:eastAsia="zh-CN"/>
        </w:rPr>
        <w:t>4.1.4 有价元素回收工艺</w:t>
      </w:r>
    </w:p>
    <w:p w14:paraId="718D266A">
      <w:pPr>
        <w:numPr>
          <w:ilvl w:val="0"/>
          <w:numId w:val="0"/>
        </w:numPr>
        <w:snapToGrid w:val="0"/>
        <w:spacing w:line="360" w:lineRule="auto"/>
        <w:ind w:leftChars="200"/>
        <w:rPr>
          <w:rFonts w:hint="eastAsia" w:ascii="宋体" w:hAnsi="宋体" w:cs="宋体"/>
          <w:b/>
          <w:bCs/>
          <w:sz w:val="24"/>
          <w:szCs w:val="24"/>
          <w:lang w:val="en-US" w:eastAsia="zh-CN"/>
        </w:rPr>
      </w:pPr>
      <w:r>
        <w:rPr>
          <w:rFonts w:hint="eastAsia" w:ascii="宋体" w:hAnsi="宋体" w:cs="宋体"/>
          <w:b/>
          <w:bCs/>
          <w:sz w:val="24"/>
          <w:szCs w:val="24"/>
          <w:lang w:val="en-US" w:eastAsia="zh-CN"/>
        </w:rPr>
        <w:t>1）第一类锌、镉</w:t>
      </w:r>
    </w:p>
    <w:p w14:paraId="365681DE">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sz w:val="24"/>
          <w:szCs w:val="24"/>
          <w:lang w:val="en-US" w:eastAsia="zh-CN"/>
        </w:rPr>
        <w:t>A、</w:t>
      </w:r>
      <w:r>
        <w:rPr>
          <w:rFonts w:hint="default" w:hAnsi="Times New Roman" w:cs="Times New Roman"/>
          <w:sz w:val="24"/>
          <w:szCs w:val="24"/>
          <w:lang w:val="en-US" w:eastAsia="zh-CN"/>
        </w:rPr>
        <w:t>化学特性与价值</w:t>
      </w:r>
    </w:p>
    <w:p w14:paraId="5CC0278F">
      <w:pPr>
        <w:pStyle w:val="27"/>
        <w:tabs>
          <w:tab w:val="center" w:pos="4201"/>
          <w:tab w:val="right" w:leader="dot" w:pos="9298"/>
        </w:tabs>
        <w:spacing w:line="360" w:lineRule="auto"/>
        <w:rPr>
          <w:rFonts w:hint="default" w:hAnsi="Times New Roman" w:cs="Times New Roman"/>
          <w:sz w:val="24"/>
          <w:szCs w:val="24"/>
        </w:rPr>
      </w:pPr>
      <w:r>
        <w:rPr>
          <w:rFonts w:hint="default" w:hAnsi="Times New Roman" w:cs="Times New Roman"/>
          <w:sz w:val="24"/>
          <w:szCs w:val="24"/>
        </w:rPr>
        <w:t>锌（Zn）、镉（Cd）</w:t>
      </w:r>
      <w:r>
        <w:rPr>
          <w:rFonts w:hint="eastAsia" w:hAnsi="Times New Roman" w:cs="Times New Roman"/>
          <w:sz w:val="24"/>
          <w:szCs w:val="24"/>
          <w:lang w:val="en-US" w:eastAsia="zh-CN"/>
        </w:rPr>
        <w:t>在氧化锌烟尘中主要以</w:t>
      </w:r>
      <w:r>
        <w:rPr>
          <w:rFonts w:hint="default" w:hAnsi="Times New Roman" w:cs="Times New Roman"/>
          <w:sz w:val="24"/>
          <w:szCs w:val="24"/>
        </w:rPr>
        <w:t>Zn</w:t>
      </w:r>
      <w:r>
        <w:rPr>
          <w:rFonts w:hint="eastAsia" w:hAnsi="Times New Roman" w:cs="Times New Roman"/>
          <w:sz w:val="24"/>
          <w:szCs w:val="24"/>
          <w:lang w:val="en-US" w:eastAsia="zh-CN"/>
        </w:rPr>
        <w:t>O</w:t>
      </w:r>
      <w:r>
        <w:rPr>
          <w:rFonts w:hint="default" w:hAnsi="Times New Roman" w:cs="Times New Roman"/>
          <w:sz w:val="24"/>
          <w:szCs w:val="24"/>
        </w:rPr>
        <w:t>、CdO</w:t>
      </w:r>
      <w:r>
        <w:rPr>
          <w:rFonts w:hint="eastAsia" w:hAnsi="Times New Roman" w:cs="Times New Roman"/>
          <w:sz w:val="24"/>
          <w:szCs w:val="24"/>
          <w:lang w:val="en-US" w:eastAsia="zh-CN"/>
        </w:rPr>
        <w:t>形式存在，进入湿法炼锌生产过程酸性浸出后转化为</w:t>
      </w:r>
      <w:r>
        <w:rPr>
          <w:rFonts w:hint="default" w:hAnsi="Times New Roman" w:cs="Times New Roman"/>
          <w:sz w:val="24"/>
          <w:szCs w:val="24"/>
        </w:rPr>
        <w:t>硫酸盐（ZnSO₄、CdSO₄）形式溶于</w:t>
      </w:r>
      <w:r>
        <w:rPr>
          <w:rFonts w:hint="eastAsia" w:hAnsi="Times New Roman" w:cs="Times New Roman"/>
          <w:sz w:val="24"/>
          <w:szCs w:val="24"/>
          <w:lang w:val="en-US" w:eastAsia="zh-CN"/>
        </w:rPr>
        <w:t>酸性浸出</w:t>
      </w:r>
      <w:r>
        <w:rPr>
          <w:rFonts w:hint="default" w:hAnsi="Times New Roman" w:cs="Times New Roman"/>
          <w:sz w:val="24"/>
          <w:szCs w:val="24"/>
        </w:rPr>
        <w:t>液。</w:t>
      </w:r>
    </w:p>
    <w:p w14:paraId="68E20777">
      <w:pPr>
        <w:pStyle w:val="27"/>
        <w:tabs>
          <w:tab w:val="center" w:pos="4201"/>
          <w:tab w:val="right" w:leader="dot" w:pos="9298"/>
        </w:tabs>
        <w:spacing w:line="360" w:lineRule="auto"/>
        <w:rPr>
          <w:rFonts w:hint="eastAsia" w:hAnsi="Times New Roman" w:cs="Times New Roman"/>
          <w:sz w:val="24"/>
          <w:szCs w:val="24"/>
          <w:lang w:val="en-US" w:eastAsia="zh-CN"/>
        </w:rPr>
      </w:pPr>
      <w:r>
        <w:rPr>
          <w:rFonts w:hint="eastAsia" w:hAnsi="Times New Roman" w:cs="Times New Roman"/>
          <w:sz w:val="24"/>
          <w:szCs w:val="24"/>
          <w:lang w:val="en-US" w:eastAsia="zh-CN"/>
        </w:rPr>
        <w:t>锌主要用于钢材镀锌防腐、制作锌合金，同时应用于电池、橡胶、医药等工业与民生领域。</w:t>
      </w:r>
    </w:p>
    <w:p w14:paraId="111DDA70">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sz w:val="24"/>
          <w:szCs w:val="24"/>
          <w:lang w:val="en-US" w:eastAsia="zh-CN"/>
        </w:rPr>
        <w:t>镉多用于制造镍镉电池、颜料、塑料稳定剂，也用于合金、电镀等工业场景，因毒性强使用受到严格管控。</w:t>
      </w:r>
    </w:p>
    <w:p w14:paraId="769BB78C">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sz w:val="24"/>
          <w:szCs w:val="24"/>
          <w:lang w:val="en-US" w:eastAsia="zh-CN"/>
        </w:rPr>
        <w:t>B、</w:t>
      </w:r>
      <w:r>
        <w:rPr>
          <w:rFonts w:hint="default" w:hAnsi="Times New Roman" w:cs="Times New Roman"/>
          <w:sz w:val="24"/>
          <w:szCs w:val="24"/>
          <w:lang w:val="en-US" w:eastAsia="zh-CN"/>
        </w:rPr>
        <w:t>回收工艺</w:t>
      </w:r>
    </w:p>
    <w:p w14:paraId="7171C5D1">
      <w:pPr>
        <w:pStyle w:val="27"/>
        <w:tabs>
          <w:tab w:val="center" w:pos="4201"/>
          <w:tab w:val="right" w:leader="dot" w:pos="9298"/>
        </w:tabs>
        <w:spacing w:line="360" w:lineRule="auto"/>
        <w:rPr>
          <w:rFonts w:hint="eastAsia"/>
          <w:sz w:val="24"/>
          <w:szCs w:val="24"/>
          <w:lang w:val="en-US" w:eastAsia="zh-CN"/>
        </w:rPr>
      </w:pPr>
      <w:r>
        <w:rPr>
          <w:rFonts w:hint="eastAsia"/>
          <w:sz w:val="24"/>
          <w:szCs w:val="24"/>
          <w:lang w:val="en-US" w:eastAsia="zh-CN"/>
        </w:rPr>
        <w:t>针对</w:t>
      </w:r>
      <w:r>
        <w:rPr>
          <w:rFonts w:hint="eastAsia"/>
          <w:sz w:val="24"/>
          <w:szCs w:val="24"/>
        </w:rPr>
        <w:t>氧化锌烟尘</w:t>
      </w:r>
      <w:r>
        <w:rPr>
          <w:rFonts w:hint="eastAsia"/>
          <w:sz w:val="24"/>
          <w:szCs w:val="24"/>
          <w:lang w:val="en-US" w:eastAsia="zh-CN"/>
        </w:rPr>
        <w:t>中</w:t>
      </w:r>
      <w:r>
        <w:rPr>
          <w:rFonts w:hint="eastAsia"/>
          <w:sz w:val="24"/>
          <w:szCs w:val="24"/>
        </w:rPr>
        <w:t>锌、镉</w:t>
      </w:r>
      <w:r>
        <w:rPr>
          <w:rFonts w:hint="eastAsia"/>
          <w:sz w:val="24"/>
          <w:szCs w:val="24"/>
          <w:lang w:eastAsia="zh-CN"/>
        </w:rPr>
        <w:t>，</w:t>
      </w:r>
      <w:r>
        <w:rPr>
          <w:rFonts w:hint="eastAsia"/>
          <w:sz w:val="24"/>
          <w:szCs w:val="24"/>
        </w:rPr>
        <w:t>应采用酸浸工艺（硫酸盐体系，两段逆流浸出为最佳选择）</w:t>
      </w:r>
      <w:r>
        <w:rPr>
          <w:rFonts w:hint="eastAsia"/>
          <w:sz w:val="24"/>
          <w:szCs w:val="24"/>
          <w:lang w:eastAsia="zh-CN"/>
        </w:rPr>
        <w:t>，</w:t>
      </w:r>
      <w:r>
        <w:rPr>
          <w:rFonts w:hint="eastAsia"/>
          <w:sz w:val="24"/>
          <w:szCs w:val="24"/>
          <w:lang w:val="en-US" w:eastAsia="zh-CN"/>
        </w:rPr>
        <w:t>即：</w:t>
      </w:r>
    </w:p>
    <w:p w14:paraId="14695262">
      <w:pPr>
        <w:pStyle w:val="27"/>
        <w:tabs>
          <w:tab w:val="center" w:pos="4201"/>
          <w:tab w:val="right" w:leader="dot" w:pos="9298"/>
        </w:tabs>
        <w:spacing w:line="360" w:lineRule="auto"/>
        <w:rPr>
          <w:rFonts w:hint="eastAsia"/>
          <w:sz w:val="24"/>
          <w:szCs w:val="24"/>
        </w:rPr>
      </w:pPr>
      <w:r>
        <w:rPr>
          <w:rFonts w:hint="eastAsia"/>
          <w:sz w:val="24"/>
          <w:szCs w:val="24"/>
        </w:rPr>
        <w:t>锌、镉均以硫酸盐形式进入浸出液，</w:t>
      </w:r>
      <w:r>
        <w:rPr>
          <w:rFonts w:hint="eastAsia"/>
          <w:sz w:val="24"/>
          <w:szCs w:val="24"/>
          <w:lang w:val="en-US" w:eastAsia="zh-CN"/>
        </w:rPr>
        <w:t>后续</w:t>
      </w:r>
      <w:r>
        <w:rPr>
          <w:rFonts w:hint="eastAsia"/>
          <w:sz w:val="24"/>
          <w:szCs w:val="24"/>
        </w:rPr>
        <w:t>回收铟、锗后溶液</w:t>
      </w:r>
      <w:r>
        <w:rPr>
          <w:rFonts w:hint="eastAsia"/>
          <w:sz w:val="24"/>
          <w:szCs w:val="24"/>
          <w:lang w:val="en-US" w:eastAsia="zh-CN"/>
        </w:rPr>
        <w:t>则</w:t>
      </w:r>
      <w:r>
        <w:rPr>
          <w:rFonts w:hint="eastAsia"/>
          <w:sz w:val="24"/>
          <w:szCs w:val="24"/>
        </w:rPr>
        <w:t>返回湿法炼锌主流程回收锌、镉。</w:t>
      </w:r>
    </w:p>
    <w:p w14:paraId="16613351">
      <w:pPr>
        <w:numPr>
          <w:ilvl w:val="0"/>
          <w:numId w:val="0"/>
        </w:numPr>
        <w:snapToGrid w:val="0"/>
        <w:spacing w:line="360" w:lineRule="auto"/>
        <w:ind w:leftChars="200"/>
        <w:rPr>
          <w:rFonts w:hint="eastAsia" w:ascii="宋体" w:hAnsi="宋体" w:cs="宋体"/>
          <w:b/>
          <w:bCs/>
          <w:sz w:val="24"/>
          <w:szCs w:val="24"/>
          <w:lang w:val="en-US" w:eastAsia="zh-CN"/>
        </w:rPr>
      </w:pPr>
      <w:r>
        <w:rPr>
          <w:rFonts w:hint="eastAsia" w:ascii="宋体" w:hAnsi="宋体" w:cs="宋体"/>
          <w:b/>
          <w:bCs/>
          <w:sz w:val="24"/>
          <w:szCs w:val="24"/>
          <w:lang w:val="en-US" w:eastAsia="zh-CN"/>
        </w:rPr>
        <w:t>2）第二类为铟</w:t>
      </w:r>
    </w:p>
    <w:p w14:paraId="0708A962">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sz w:val="24"/>
          <w:szCs w:val="24"/>
          <w:lang w:val="en-US" w:eastAsia="zh-CN"/>
        </w:rPr>
        <w:t>A、</w:t>
      </w:r>
      <w:r>
        <w:rPr>
          <w:rFonts w:hint="default" w:hAnsi="Times New Roman" w:cs="Times New Roman"/>
          <w:sz w:val="24"/>
          <w:szCs w:val="24"/>
          <w:lang w:val="en-US" w:eastAsia="zh-CN"/>
        </w:rPr>
        <w:t>化学特性与价值</w:t>
      </w:r>
    </w:p>
    <w:p w14:paraId="1137E2DC">
      <w:pPr>
        <w:pStyle w:val="27"/>
        <w:tabs>
          <w:tab w:val="center" w:pos="4201"/>
          <w:tab w:val="right" w:leader="dot" w:pos="9298"/>
        </w:tabs>
        <w:spacing w:line="360" w:lineRule="auto"/>
        <w:rPr>
          <w:rFonts w:hint="eastAsia" w:hAnsi="Times New Roman" w:cs="Times New Roman"/>
          <w:sz w:val="24"/>
          <w:szCs w:val="24"/>
          <w:lang w:eastAsia="zh-CN"/>
        </w:rPr>
      </w:pPr>
      <w:r>
        <w:rPr>
          <w:rFonts w:hint="default" w:hAnsi="Times New Roman" w:cs="Times New Roman"/>
          <w:sz w:val="24"/>
          <w:szCs w:val="24"/>
          <w:lang w:val="en-US" w:eastAsia="zh-CN"/>
        </w:rPr>
        <w:t>铟（In）为稀贵金属，</w:t>
      </w:r>
      <w:r>
        <w:rPr>
          <w:rFonts w:hint="eastAsia" w:hAnsi="Times New Roman" w:cs="Times New Roman"/>
          <w:sz w:val="24"/>
          <w:szCs w:val="24"/>
          <w:lang w:val="en-US" w:eastAsia="zh-CN"/>
        </w:rPr>
        <w:t>氧化锌烟尘中主要以In</w:t>
      </w:r>
      <w:r>
        <w:rPr>
          <w:rFonts w:hint="eastAsia" w:hAnsi="Times New Roman" w:cs="Times New Roman"/>
          <w:sz w:val="24"/>
          <w:szCs w:val="24"/>
          <w:vertAlign w:val="subscript"/>
          <w:lang w:val="en-US" w:eastAsia="zh-CN"/>
        </w:rPr>
        <w:t>2</w:t>
      </w:r>
      <w:r>
        <w:rPr>
          <w:rFonts w:hint="eastAsia" w:hAnsi="Times New Roman" w:cs="Times New Roman"/>
          <w:sz w:val="24"/>
          <w:szCs w:val="24"/>
          <w:lang w:val="en-US" w:eastAsia="zh-CN"/>
        </w:rPr>
        <w:t>O</w:t>
      </w:r>
      <w:r>
        <w:rPr>
          <w:rFonts w:hint="eastAsia" w:hAnsi="Times New Roman" w:cs="Times New Roman"/>
          <w:sz w:val="24"/>
          <w:szCs w:val="24"/>
          <w:vertAlign w:val="subscript"/>
          <w:lang w:val="en-US" w:eastAsia="zh-CN"/>
        </w:rPr>
        <w:t>3</w:t>
      </w:r>
      <w:r>
        <w:rPr>
          <w:rFonts w:hint="eastAsia" w:hAnsi="Times New Roman" w:cs="Times New Roman"/>
          <w:sz w:val="24"/>
          <w:szCs w:val="24"/>
          <w:lang w:val="en-US" w:eastAsia="zh-CN"/>
        </w:rPr>
        <w:t>形式存在，进入湿法炼锌生产过程酸性浸出后</w:t>
      </w:r>
      <w:r>
        <w:rPr>
          <w:rFonts w:hint="default" w:hAnsi="Times New Roman" w:cs="Times New Roman"/>
          <w:sz w:val="24"/>
          <w:szCs w:val="24"/>
        </w:rPr>
        <w:t>以硫酸盐</w:t>
      </w:r>
      <w:r>
        <w:rPr>
          <w:rFonts w:hint="eastAsia" w:hAnsi="Times New Roman" w:cs="Times New Roman"/>
          <w:sz w:val="24"/>
          <w:szCs w:val="24"/>
          <w:lang w:eastAsia="zh-CN"/>
        </w:rPr>
        <w:t>【</w:t>
      </w:r>
      <w:r>
        <w:rPr>
          <w:rFonts w:hint="eastAsia" w:hAnsi="Times New Roman" w:cs="Times New Roman"/>
          <w:sz w:val="24"/>
          <w:szCs w:val="24"/>
          <w:lang w:val="en-US" w:eastAsia="zh-CN"/>
        </w:rPr>
        <w:t>In</w:t>
      </w:r>
      <w:r>
        <w:rPr>
          <w:rFonts w:hint="eastAsia" w:hAnsi="Times New Roman" w:cs="Times New Roman"/>
          <w:sz w:val="24"/>
          <w:szCs w:val="24"/>
          <w:vertAlign w:val="subscript"/>
          <w:lang w:val="en-US" w:eastAsia="zh-CN"/>
        </w:rPr>
        <w:t>2</w:t>
      </w:r>
      <w:r>
        <w:rPr>
          <w:rFonts w:hint="eastAsia" w:hAnsi="Times New Roman" w:cs="Times New Roman"/>
          <w:sz w:val="24"/>
          <w:szCs w:val="24"/>
          <w:lang w:val="en-US" w:eastAsia="zh-CN"/>
        </w:rPr>
        <w:t>(</w:t>
      </w:r>
      <w:r>
        <w:rPr>
          <w:rFonts w:hint="default" w:hAnsi="Times New Roman" w:cs="Times New Roman"/>
          <w:sz w:val="24"/>
          <w:szCs w:val="24"/>
        </w:rPr>
        <w:t>SO₄</w:t>
      </w:r>
      <w:r>
        <w:rPr>
          <w:rFonts w:hint="eastAsia" w:hAnsi="Times New Roman" w:cs="Times New Roman"/>
          <w:sz w:val="24"/>
          <w:szCs w:val="24"/>
          <w:lang w:val="en-US" w:eastAsia="zh-CN"/>
        </w:rPr>
        <w:t>)</w:t>
      </w:r>
      <w:r>
        <w:rPr>
          <w:rFonts w:hint="eastAsia" w:hAnsi="Times New Roman" w:cs="Times New Roman"/>
          <w:sz w:val="24"/>
          <w:szCs w:val="24"/>
          <w:vertAlign w:val="subscript"/>
          <w:lang w:val="en-US" w:eastAsia="zh-CN"/>
        </w:rPr>
        <w:t>3</w:t>
      </w:r>
      <w:r>
        <w:rPr>
          <w:rFonts w:hint="eastAsia" w:hAnsi="Times New Roman" w:cs="Times New Roman"/>
          <w:sz w:val="24"/>
          <w:szCs w:val="24"/>
          <w:lang w:eastAsia="zh-CN"/>
        </w:rPr>
        <w:t>】</w:t>
      </w:r>
      <w:r>
        <w:rPr>
          <w:rFonts w:hint="default" w:hAnsi="Times New Roman" w:cs="Times New Roman"/>
          <w:sz w:val="24"/>
          <w:szCs w:val="24"/>
        </w:rPr>
        <w:t>形式溶于</w:t>
      </w:r>
      <w:r>
        <w:rPr>
          <w:rFonts w:hint="eastAsia" w:hAnsi="Times New Roman" w:cs="Times New Roman"/>
          <w:sz w:val="24"/>
          <w:szCs w:val="24"/>
          <w:lang w:val="en-US" w:eastAsia="zh-CN"/>
        </w:rPr>
        <w:t>酸性浸出</w:t>
      </w:r>
      <w:r>
        <w:rPr>
          <w:rFonts w:hint="default" w:hAnsi="Times New Roman" w:cs="Times New Roman"/>
          <w:sz w:val="24"/>
          <w:szCs w:val="24"/>
        </w:rPr>
        <w:t>液</w:t>
      </w:r>
      <w:r>
        <w:rPr>
          <w:rFonts w:hint="eastAsia" w:hAnsi="Times New Roman" w:cs="Times New Roman"/>
          <w:sz w:val="24"/>
          <w:szCs w:val="24"/>
          <w:lang w:eastAsia="zh-CN"/>
        </w:rPr>
        <w:t>。</w:t>
      </w:r>
    </w:p>
    <w:p w14:paraId="59ED9BCD">
      <w:pPr>
        <w:pStyle w:val="27"/>
        <w:tabs>
          <w:tab w:val="center" w:pos="4201"/>
          <w:tab w:val="right" w:leader="dot" w:pos="9298"/>
        </w:tabs>
        <w:spacing w:line="360" w:lineRule="auto"/>
        <w:rPr>
          <w:rFonts w:hint="eastAsia" w:hAnsi="Times New Roman" w:cs="Times New Roman"/>
          <w:sz w:val="24"/>
          <w:szCs w:val="24"/>
          <w:lang w:val="en-US" w:eastAsia="zh-CN"/>
        </w:rPr>
      </w:pPr>
      <w:r>
        <w:rPr>
          <w:rFonts w:hint="default" w:hAnsi="Times New Roman" w:cs="Times New Roman"/>
          <w:sz w:val="24"/>
          <w:szCs w:val="24"/>
          <w:lang w:val="en-US" w:eastAsia="zh-CN"/>
        </w:rPr>
        <w:t>铟主要用于制备铟锡氧化物（ITO）以制造透明导电薄膜，广泛应用于平板显示、太阳能电池等领域，同时也用于制作低熔点合金、半导体材料及焊接材料。</w:t>
      </w:r>
    </w:p>
    <w:p w14:paraId="45D9D8D9">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sz w:val="24"/>
          <w:szCs w:val="24"/>
          <w:lang w:val="en-US" w:eastAsia="zh-CN"/>
        </w:rPr>
        <w:t>B、</w:t>
      </w:r>
      <w:r>
        <w:rPr>
          <w:rFonts w:hint="default" w:hAnsi="Times New Roman" w:cs="Times New Roman"/>
          <w:sz w:val="24"/>
          <w:szCs w:val="24"/>
          <w:lang w:val="en-US" w:eastAsia="zh-CN"/>
        </w:rPr>
        <w:t>回收工艺</w:t>
      </w:r>
    </w:p>
    <w:p w14:paraId="59B30AF3">
      <w:pPr>
        <w:pStyle w:val="27"/>
        <w:tabs>
          <w:tab w:val="center" w:pos="4201"/>
          <w:tab w:val="right" w:leader="dot" w:pos="9298"/>
        </w:tabs>
        <w:spacing w:line="360" w:lineRule="auto"/>
        <w:rPr>
          <w:rFonts w:hint="eastAsia"/>
          <w:sz w:val="24"/>
          <w:szCs w:val="24"/>
          <w:lang w:val="en-US" w:eastAsia="zh-CN"/>
        </w:rPr>
      </w:pPr>
      <w:r>
        <w:rPr>
          <w:rFonts w:hint="eastAsia"/>
          <w:sz w:val="24"/>
          <w:szCs w:val="24"/>
          <w:lang w:val="en-US" w:eastAsia="zh-CN"/>
        </w:rPr>
        <w:t>针对</w:t>
      </w:r>
      <w:r>
        <w:rPr>
          <w:rFonts w:hint="eastAsia"/>
          <w:sz w:val="24"/>
          <w:szCs w:val="24"/>
        </w:rPr>
        <w:t>氧化锌烟尘</w:t>
      </w:r>
      <w:r>
        <w:rPr>
          <w:rFonts w:hint="eastAsia"/>
          <w:sz w:val="24"/>
          <w:szCs w:val="24"/>
          <w:lang w:val="en-US" w:eastAsia="zh-CN"/>
        </w:rPr>
        <w:t>中铟</w:t>
      </w:r>
      <w:r>
        <w:rPr>
          <w:rFonts w:hint="eastAsia"/>
          <w:sz w:val="24"/>
          <w:szCs w:val="24"/>
          <w:lang w:eastAsia="zh-CN"/>
        </w:rPr>
        <w:t>，</w:t>
      </w:r>
      <w:r>
        <w:rPr>
          <w:rFonts w:hint="eastAsia"/>
          <w:sz w:val="24"/>
          <w:szCs w:val="24"/>
        </w:rPr>
        <w:t>应采用中性浸出及酸浸工艺（硫酸盐体系，两段逆流浸出为最佳选择）</w:t>
      </w:r>
      <w:r>
        <w:rPr>
          <w:rFonts w:hint="eastAsia"/>
          <w:sz w:val="24"/>
          <w:szCs w:val="24"/>
          <w:lang w:eastAsia="zh-CN"/>
        </w:rPr>
        <w:t>，</w:t>
      </w:r>
      <w:r>
        <w:rPr>
          <w:rFonts w:hint="eastAsia"/>
          <w:sz w:val="24"/>
          <w:szCs w:val="24"/>
          <w:lang w:val="en-US" w:eastAsia="zh-CN"/>
        </w:rPr>
        <w:t>即：</w:t>
      </w:r>
    </w:p>
    <w:p w14:paraId="0F17BE85">
      <w:pPr>
        <w:pStyle w:val="27"/>
        <w:tabs>
          <w:tab w:val="center" w:pos="4201"/>
          <w:tab w:val="right" w:leader="dot" w:pos="9298"/>
        </w:tabs>
        <w:spacing w:line="360" w:lineRule="auto"/>
        <w:rPr>
          <w:rFonts w:hint="eastAsia"/>
          <w:sz w:val="24"/>
          <w:szCs w:val="24"/>
        </w:rPr>
      </w:pPr>
      <w:r>
        <w:rPr>
          <w:rFonts w:hint="eastAsia"/>
          <w:sz w:val="24"/>
          <w:szCs w:val="24"/>
          <w:lang w:val="en-US" w:eastAsia="zh-CN"/>
        </w:rPr>
        <w:t>通过</w:t>
      </w:r>
      <w:r>
        <w:rPr>
          <w:rFonts w:hint="eastAsia"/>
          <w:sz w:val="24"/>
          <w:szCs w:val="24"/>
        </w:rPr>
        <w:t>中性浸出及酸浸工艺，铟以硫酸盐形式进入浸出液，工艺路线包括：</w:t>
      </w:r>
    </w:p>
    <w:p w14:paraId="76F474AA">
      <w:pPr>
        <w:pStyle w:val="27"/>
        <w:numPr>
          <w:ilvl w:val="0"/>
          <w:numId w:val="7"/>
        </w:numPr>
        <w:tabs>
          <w:tab w:val="center" w:pos="4201"/>
          <w:tab w:val="right" w:leader="dot" w:pos="9298"/>
        </w:tabs>
        <w:spacing w:line="360" w:lineRule="auto"/>
        <w:rPr>
          <w:rFonts w:hint="eastAsia"/>
          <w:sz w:val="24"/>
          <w:szCs w:val="24"/>
        </w:rPr>
      </w:pPr>
      <w:r>
        <w:rPr>
          <w:rFonts w:hint="eastAsia"/>
          <w:sz w:val="24"/>
          <w:szCs w:val="24"/>
        </w:rPr>
        <w:t>含铟浸出液→净化→萃取→置换→精炼处理回收铟；</w:t>
      </w:r>
    </w:p>
    <w:p w14:paraId="692DA7E0">
      <w:pPr>
        <w:pStyle w:val="27"/>
        <w:numPr>
          <w:ilvl w:val="0"/>
          <w:numId w:val="7"/>
        </w:numPr>
        <w:tabs>
          <w:tab w:val="center" w:pos="4201"/>
          <w:tab w:val="right" w:leader="dot" w:pos="9298"/>
        </w:tabs>
        <w:spacing w:line="360" w:lineRule="auto"/>
        <w:rPr>
          <w:sz w:val="24"/>
          <w:szCs w:val="24"/>
        </w:rPr>
      </w:pPr>
      <w:r>
        <w:rPr>
          <w:rFonts w:hint="eastAsia"/>
          <w:sz w:val="24"/>
          <w:szCs w:val="24"/>
        </w:rPr>
        <w:t>含铟</w:t>
      </w:r>
      <w:r>
        <w:rPr>
          <w:rFonts w:hint="eastAsia" w:hAnsi="宋体" w:cs="宋体"/>
          <w:sz w:val="24"/>
          <w:szCs w:val="24"/>
        </w:rPr>
        <w:t>浸出液富集沉铟</w:t>
      </w:r>
      <w:r>
        <w:rPr>
          <w:rFonts w:hAnsi="宋体" w:cs="宋体"/>
          <w:sz w:val="24"/>
          <w:szCs w:val="24"/>
        </w:rPr>
        <w:t>-</w:t>
      </w:r>
      <w:r>
        <w:rPr>
          <w:rFonts w:hint="eastAsia" w:hAnsi="宋体" w:cs="宋体"/>
          <w:sz w:val="24"/>
          <w:szCs w:val="24"/>
        </w:rPr>
        <w:t>富铟渣浸出-净化-萃取</w:t>
      </w:r>
      <w:r>
        <w:rPr>
          <w:rFonts w:hint="eastAsia"/>
          <w:sz w:val="24"/>
          <w:szCs w:val="24"/>
        </w:rPr>
        <w:t>→置换→精炼处理回收铟。</w:t>
      </w:r>
    </w:p>
    <w:p w14:paraId="5A0FFCE5">
      <w:pPr>
        <w:numPr>
          <w:ilvl w:val="0"/>
          <w:numId w:val="0"/>
        </w:numPr>
        <w:snapToGrid w:val="0"/>
        <w:spacing w:line="360" w:lineRule="auto"/>
        <w:ind w:leftChars="200"/>
        <w:rPr>
          <w:rFonts w:hint="eastAsia" w:ascii="宋体" w:hAnsi="宋体" w:cs="宋体"/>
          <w:b/>
          <w:bCs/>
          <w:sz w:val="24"/>
          <w:szCs w:val="24"/>
          <w:lang w:val="en-US" w:eastAsia="zh-CN"/>
        </w:rPr>
      </w:pPr>
      <w:r>
        <w:rPr>
          <w:rFonts w:hint="eastAsia" w:ascii="宋体" w:hAnsi="宋体" w:cs="宋体"/>
          <w:b/>
          <w:bCs/>
          <w:sz w:val="24"/>
          <w:szCs w:val="24"/>
          <w:lang w:val="en-US" w:eastAsia="zh-CN"/>
        </w:rPr>
        <w:t>3）第三类为锗</w:t>
      </w:r>
    </w:p>
    <w:p w14:paraId="5F271255">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sz w:val="24"/>
          <w:szCs w:val="24"/>
          <w:lang w:val="en-US" w:eastAsia="zh-CN"/>
        </w:rPr>
        <w:t>A、</w:t>
      </w:r>
      <w:r>
        <w:rPr>
          <w:rFonts w:hint="default" w:hAnsi="Times New Roman" w:cs="Times New Roman"/>
          <w:sz w:val="24"/>
          <w:szCs w:val="24"/>
          <w:lang w:val="en-US" w:eastAsia="zh-CN"/>
        </w:rPr>
        <w:t>化学特性与价值</w:t>
      </w:r>
    </w:p>
    <w:p w14:paraId="17813CD3">
      <w:pPr>
        <w:pStyle w:val="27"/>
        <w:tabs>
          <w:tab w:val="center" w:pos="4201"/>
          <w:tab w:val="right" w:leader="dot" w:pos="9298"/>
        </w:tabs>
        <w:spacing w:line="360" w:lineRule="auto"/>
        <w:rPr>
          <w:rFonts w:hint="default" w:hAnsi="Times New Roman" w:cs="Times New Roman"/>
          <w:sz w:val="24"/>
          <w:szCs w:val="24"/>
        </w:rPr>
      </w:pPr>
      <w:r>
        <w:rPr>
          <w:rFonts w:hint="default" w:hAnsi="Times New Roman" w:cs="Times New Roman"/>
          <w:sz w:val="24"/>
          <w:szCs w:val="24"/>
        </w:rPr>
        <w:t>锗（Ge）属稀散金属，</w:t>
      </w:r>
      <w:r>
        <w:rPr>
          <w:rFonts w:hint="eastAsia" w:hAnsi="Times New Roman" w:cs="Times New Roman"/>
          <w:sz w:val="24"/>
          <w:szCs w:val="24"/>
          <w:lang w:val="en-US" w:eastAsia="zh-CN"/>
        </w:rPr>
        <w:t>氧化锌烟尘中主要</w:t>
      </w:r>
      <w:r>
        <w:rPr>
          <w:rFonts w:hint="default" w:hAnsi="Times New Roman" w:cs="Times New Roman"/>
          <w:sz w:val="24"/>
          <w:szCs w:val="24"/>
        </w:rPr>
        <w:t>以GeO₂等形式存在，</w:t>
      </w:r>
      <w:r>
        <w:rPr>
          <w:rFonts w:hint="eastAsia" w:hAnsi="Times New Roman" w:cs="Times New Roman"/>
          <w:sz w:val="24"/>
          <w:szCs w:val="24"/>
          <w:lang w:val="en-US" w:eastAsia="zh-CN"/>
        </w:rPr>
        <w:t>进入湿法炼锌生产过程酸性浸出后</w:t>
      </w:r>
      <w:r>
        <w:rPr>
          <w:rFonts w:hint="default" w:hAnsi="Times New Roman" w:cs="Times New Roman"/>
          <w:sz w:val="24"/>
          <w:szCs w:val="24"/>
        </w:rPr>
        <w:t>以硫酸盐</w:t>
      </w:r>
      <w:r>
        <w:rPr>
          <w:rFonts w:hint="eastAsia" w:hAnsi="Times New Roman" w:cs="Times New Roman"/>
          <w:sz w:val="24"/>
          <w:szCs w:val="24"/>
          <w:lang w:eastAsia="zh-CN"/>
        </w:rPr>
        <w:t>【</w:t>
      </w:r>
      <w:r>
        <w:rPr>
          <w:rFonts w:hint="default" w:hAnsi="Times New Roman" w:cs="Times New Roman"/>
          <w:sz w:val="24"/>
          <w:szCs w:val="24"/>
        </w:rPr>
        <w:t>Ge(SO₄)₂</w:t>
      </w:r>
      <w:r>
        <w:rPr>
          <w:rFonts w:hint="eastAsia" w:hAnsi="Times New Roman" w:cs="Times New Roman"/>
          <w:sz w:val="24"/>
          <w:szCs w:val="24"/>
          <w:lang w:eastAsia="zh-CN"/>
        </w:rPr>
        <w:t>】</w:t>
      </w:r>
      <w:r>
        <w:rPr>
          <w:rFonts w:hint="default" w:hAnsi="Times New Roman" w:cs="Times New Roman"/>
          <w:sz w:val="24"/>
          <w:szCs w:val="24"/>
        </w:rPr>
        <w:t>形式溶于</w:t>
      </w:r>
      <w:r>
        <w:rPr>
          <w:rFonts w:hint="eastAsia" w:hAnsi="Times New Roman" w:cs="Times New Roman"/>
          <w:sz w:val="24"/>
          <w:szCs w:val="24"/>
          <w:lang w:val="en-US" w:eastAsia="zh-CN"/>
        </w:rPr>
        <w:t>酸性浸出</w:t>
      </w:r>
      <w:r>
        <w:rPr>
          <w:rFonts w:hint="default" w:hAnsi="Times New Roman" w:cs="Times New Roman"/>
          <w:sz w:val="24"/>
          <w:szCs w:val="24"/>
        </w:rPr>
        <w:t>液。</w:t>
      </w:r>
    </w:p>
    <w:p w14:paraId="240BF975">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sz w:val="24"/>
          <w:szCs w:val="24"/>
          <w:lang w:val="en-US" w:eastAsia="zh-CN"/>
        </w:rPr>
        <w:t>锗主要用于制备</w:t>
      </w:r>
      <w:r>
        <w:rPr>
          <w:rFonts w:hint="default" w:hAnsi="Times New Roman" w:cs="Times New Roman"/>
          <w:sz w:val="24"/>
          <w:szCs w:val="24"/>
          <w:lang w:val="en-US" w:eastAsia="zh-CN"/>
        </w:rPr>
        <w:t>半导体材料（晶体管、红外光学器件）、光纤通信添加剂、聚酯催化剂</w:t>
      </w:r>
      <w:r>
        <w:rPr>
          <w:rFonts w:hint="eastAsia" w:hAnsi="Times New Roman" w:cs="Times New Roman"/>
          <w:sz w:val="24"/>
          <w:szCs w:val="24"/>
          <w:lang w:val="en-US" w:eastAsia="zh-CN"/>
        </w:rPr>
        <w:t>等</w:t>
      </w:r>
      <w:r>
        <w:rPr>
          <w:rFonts w:hint="default" w:hAnsi="Times New Roman" w:cs="Times New Roman"/>
          <w:sz w:val="24"/>
          <w:szCs w:val="24"/>
          <w:lang w:val="en-US" w:eastAsia="zh-CN"/>
        </w:rPr>
        <w:t>。</w:t>
      </w:r>
    </w:p>
    <w:p w14:paraId="14E51198">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sz w:val="24"/>
          <w:szCs w:val="24"/>
          <w:lang w:val="en-US" w:eastAsia="zh-CN"/>
        </w:rPr>
        <w:t>B、</w:t>
      </w:r>
      <w:r>
        <w:rPr>
          <w:rFonts w:hint="default" w:hAnsi="Times New Roman" w:cs="Times New Roman"/>
          <w:sz w:val="24"/>
          <w:szCs w:val="24"/>
          <w:lang w:val="en-US" w:eastAsia="zh-CN"/>
        </w:rPr>
        <w:t>回收工艺</w:t>
      </w:r>
    </w:p>
    <w:p w14:paraId="118E2DFC">
      <w:pPr>
        <w:pStyle w:val="27"/>
        <w:tabs>
          <w:tab w:val="center" w:pos="4201"/>
          <w:tab w:val="right" w:leader="dot" w:pos="9298"/>
        </w:tabs>
        <w:spacing w:line="360" w:lineRule="auto"/>
        <w:rPr>
          <w:rFonts w:hint="eastAsia"/>
          <w:sz w:val="24"/>
          <w:szCs w:val="24"/>
          <w:lang w:val="en-US" w:eastAsia="zh-CN"/>
        </w:rPr>
      </w:pPr>
      <w:r>
        <w:rPr>
          <w:rFonts w:hint="eastAsia"/>
          <w:sz w:val="24"/>
          <w:szCs w:val="24"/>
          <w:lang w:val="en-US" w:eastAsia="zh-CN"/>
        </w:rPr>
        <w:t>针对</w:t>
      </w:r>
      <w:r>
        <w:rPr>
          <w:rFonts w:hint="eastAsia"/>
          <w:sz w:val="24"/>
          <w:szCs w:val="24"/>
        </w:rPr>
        <w:t>氧化锌烟尘</w:t>
      </w:r>
      <w:r>
        <w:rPr>
          <w:rFonts w:hint="eastAsia"/>
          <w:sz w:val="24"/>
          <w:szCs w:val="24"/>
          <w:lang w:val="en-US" w:eastAsia="zh-CN"/>
        </w:rPr>
        <w:t>中铟</w:t>
      </w:r>
      <w:r>
        <w:rPr>
          <w:rFonts w:hint="eastAsia"/>
          <w:sz w:val="24"/>
          <w:szCs w:val="24"/>
          <w:lang w:eastAsia="zh-CN"/>
        </w:rPr>
        <w:t>，</w:t>
      </w:r>
      <w:r>
        <w:rPr>
          <w:rFonts w:hint="eastAsia"/>
          <w:sz w:val="24"/>
          <w:szCs w:val="24"/>
        </w:rPr>
        <w:t>应采用酸浸工艺（硫酸盐体系，两段逆流浸出为最佳选择）</w:t>
      </w:r>
      <w:r>
        <w:rPr>
          <w:rFonts w:hint="eastAsia"/>
          <w:sz w:val="24"/>
          <w:szCs w:val="24"/>
          <w:lang w:eastAsia="zh-CN"/>
        </w:rPr>
        <w:t>，</w:t>
      </w:r>
      <w:r>
        <w:rPr>
          <w:rFonts w:hint="eastAsia"/>
          <w:sz w:val="24"/>
          <w:szCs w:val="24"/>
          <w:lang w:val="en-US" w:eastAsia="zh-CN"/>
        </w:rPr>
        <w:t>即：</w:t>
      </w:r>
    </w:p>
    <w:p w14:paraId="2FE1115E">
      <w:pPr>
        <w:pStyle w:val="27"/>
        <w:tabs>
          <w:tab w:val="center" w:pos="4201"/>
          <w:tab w:val="right" w:leader="dot" w:pos="9298"/>
        </w:tabs>
        <w:spacing w:line="360" w:lineRule="auto"/>
        <w:rPr>
          <w:sz w:val="24"/>
          <w:szCs w:val="24"/>
        </w:rPr>
      </w:pPr>
      <w:r>
        <w:rPr>
          <w:rFonts w:hint="eastAsia"/>
          <w:sz w:val="24"/>
          <w:szCs w:val="24"/>
        </w:rPr>
        <w:t>锗以硫酸盐形式进入浸出液</w:t>
      </w:r>
      <w:r>
        <w:rPr>
          <w:rFonts w:hint="eastAsia"/>
          <w:sz w:val="24"/>
          <w:szCs w:val="24"/>
          <w:lang w:eastAsia="zh-CN"/>
        </w:rPr>
        <w:t>，</w:t>
      </w:r>
      <w:r>
        <w:rPr>
          <w:rFonts w:hint="eastAsia"/>
          <w:sz w:val="24"/>
          <w:szCs w:val="24"/>
        </w:rPr>
        <w:t>含锗浸出液经过单宁沉锗→单宁渣洗涤→烘干→灼烧产出锗精矿及锗尘进行回收。</w:t>
      </w:r>
    </w:p>
    <w:p w14:paraId="3915CD12">
      <w:pPr>
        <w:numPr>
          <w:ilvl w:val="0"/>
          <w:numId w:val="0"/>
        </w:numPr>
        <w:snapToGrid w:val="0"/>
        <w:spacing w:line="360" w:lineRule="auto"/>
        <w:ind w:leftChars="200"/>
        <w:rPr>
          <w:rFonts w:hint="eastAsia" w:ascii="宋体" w:hAnsi="宋体" w:cs="宋体"/>
          <w:b/>
          <w:bCs/>
          <w:sz w:val="24"/>
          <w:szCs w:val="24"/>
          <w:highlight w:val="none"/>
          <w:lang w:val="en-US" w:eastAsia="zh-CN"/>
        </w:rPr>
      </w:pPr>
      <w:r>
        <w:rPr>
          <w:rFonts w:hint="eastAsia" w:ascii="宋体" w:hAnsi="宋体" w:cs="宋体"/>
          <w:b/>
          <w:bCs/>
          <w:sz w:val="24"/>
          <w:szCs w:val="24"/>
          <w:lang w:val="en-US" w:eastAsia="zh-CN"/>
        </w:rPr>
        <w:t>4）第四类为铅、银</w:t>
      </w:r>
    </w:p>
    <w:p w14:paraId="0185395A">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sz w:val="24"/>
          <w:szCs w:val="24"/>
          <w:lang w:val="en-US" w:eastAsia="zh-CN"/>
        </w:rPr>
        <w:t>A、</w:t>
      </w:r>
      <w:r>
        <w:rPr>
          <w:rFonts w:hint="default" w:hAnsi="Times New Roman" w:cs="Times New Roman"/>
          <w:sz w:val="24"/>
          <w:szCs w:val="24"/>
          <w:lang w:val="en-US" w:eastAsia="zh-CN"/>
        </w:rPr>
        <w:t>化学特性与价值</w:t>
      </w:r>
    </w:p>
    <w:p w14:paraId="38390B44">
      <w:pPr>
        <w:pStyle w:val="27"/>
        <w:tabs>
          <w:tab w:val="center" w:pos="4201"/>
          <w:tab w:val="right" w:leader="dot" w:pos="9298"/>
        </w:tabs>
        <w:spacing w:line="360" w:lineRule="auto"/>
        <w:rPr>
          <w:rFonts w:hint="default" w:hAnsi="Times New Roman" w:cs="Times New Roman"/>
          <w:sz w:val="24"/>
          <w:szCs w:val="24"/>
        </w:rPr>
      </w:pPr>
      <w:r>
        <w:rPr>
          <w:rFonts w:hint="default" w:hAnsi="Times New Roman" w:cs="Times New Roman"/>
          <w:sz w:val="24"/>
          <w:szCs w:val="24"/>
        </w:rPr>
        <w:t>铅（Pb）</w:t>
      </w:r>
      <w:r>
        <w:rPr>
          <w:rFonts w:hint="eastAsia" w:hAnsi="Times New Roman" w:cs="Times New Roman"/>
          <w:sz w:val="24"/>
          <w:szCs w:val="24"/>
          <w:lang w:val="en-US" w:eastAsia="zh-CN"/>
        </w:rPr>
        <w:t>为</w:t>
      </w:r>
      <w:r>
        <w:rPr>
          <w:rFonts w:hint="default" w:hAnsi="Times New Roman" w:cs="Times New Roman"/>
          <w:sz w:val="24"/>
          <w:szCs w:val="24"/>
          <w:lang w:val="en-US" w:eastAsia="zh-CN"/>
        </w:rPr>
        <w:t>重金属</w:t>
      </w:r>
      <w:r>
        <w:rPr>
          <w:rFonts w:hint="default" w:hAnsi="Times New Roman" w:cs="Times New Roman"/>
          <w:sz w:val="24"/>
          <w:szCs w:val="24"/>
        </w:rPr>
        <w:t>：</w:t>
      </w:r>
      <w:r>
        <w:rPr>
          <w:rFonts w:hint="eastAsia" w:hAnsi="Times New Roman" w:cs="Times New Roman"/>
          <w:sz w:val="24"/>
          <w:szCs w:val="24"/>
          <w:lang w:val="en-US" w:eastAsia="zh-CN"/>
        </w:rPr>
        <w:t>氧化锌烟尘中主要</w:t>
      </w:r>
      <w:r>
        <w:rPr>
          <w:rFonts w:hint="default" w:hAnsi="Times New Roman" w:cs="Times New Roman"/>
          <w:sz w:val="24"/>
          <w:szCs w:val="24"/>
        </w:rPr>
        <w:t>以PbO</w:t>
      </w:r>
      <w:r>
        <w:rPr>
          <w:rFonts w:hint="eastAsia"/>
          <w:sz w:val="24"/>
          <w:szCs w:val="24"/>
        </w:rPr>
        <w:t>以及未反应的</w:t>
      </w:r>
      <w:r>
        <w:rPr>
          <w:rFonts w:hint="eastAsia"/>
          <w:sz w:val="24"/>
          <w:szCs w:val="24"/>
          <w:lang w:val="en-US" w:eastAsia="zh-CN"/>
        </w:rPr>
        <w:t>PbS</w:t>
      </w:r>
      <w:r>
        <w:rPr>
          <w:rFonts w:hint="default" w:hAnsi="Times New Roman" w:cs="Times New Roman"/>
          <w:sz w:val="24"/>
          <w:szCs w:val="24"/>
        </w:rPr>
        <w:t>等形式存在</w:t>
      </w:r>
      <w:r>
        <w:rPr>
          <w:rFonts w:hint="eastAsia" w:hAnsi="Times New Roman" w:cs="Times New Roman"/>
          <w:sz w:val="24"/>
          <w:szCs w:val="24"/>
          <w:lang w:eastAsia="zh-CN"/>
        </w:rPr>
        <w:t>，</w:t>
      </w:r>
      <w:r>
        <w:rPr>
          <w:rFonts w:hint="eastAsia" w:hAnsi="Times New Roman" w:cs="Times New Roman"/>
          <w:sz w:val="24"/>
          <w:szCs w:val="24"/>
          <w:lang w:val="en-US" w:eastAsia="zh-CN"/>
        </w:rPr>
        <w:t>湿法炼锌生产过程主要</w:t>
      </w:r>
      <w:r>
        <w:rPr>
          <w:rFonts w:hint="default" w:hAnsi="Times New Roman" w:cs="Times New Roman"/>
          <w:sz w:val="24"/>
          <w:szCs w:val="24"/>
        </w:rPr>
        <w:t>以PbSO₄</w:t>
      </w:r>
      <w:r>
        <w:rPr>
          <w:rFonts w:hint="eastAsia" w:hAnsi="Times New Roman" w:cs="Times New Roman"/>
          <w:sz w:val="24"/>
          <w:szCs w:val="24"/>
          <w:lang w:val="en-US" w:eastAsia="zh-CN"/>
        </w:rPr>
        <w:t>/</w:t>
      </w:r>
      <w:r>
        <w:rPr>
          <w:rFonts w:hint="eastAsia"/>
          <w:sz w:val="24"/>
          <w:szCs w:val="24"/>
          <w:lang w:val="en-US" w:eastAsia="zh-CN"/>
        </w:rPr>
        <w:t>PbS</w:t>
      </w:r>
      <w:r>
        <w:rPr>
          <w:rFonts w:hint="default" w:hAnsi="Times New Roman" w:cs="Times New Roman"/>
          <w:sz w:val="24"/>
          <w:szCs w:val="24"/>
        </w:rPr>
        <w:t>形式富集</w:t>
      </w:r>
      <w:r>
        <w:rPr>
          <w:rFonts w:hint="eastAsia" w:hAnsi="Times New Roman" w:cs="Times New Roman"/>
          <w:sz w:val="24"/>
          <w:szCs w:val="24"/>
          <w:lang w:val="en-US" w:eastAsia="zh-CN"/>
        </w:rPr>
        <w:t>于铅渣中。铅主要</w:t>
      </w:r>
      <w:r>
        <w:rPr>
          <w:rFonts w:hint="default" w:hAnsi="Times New Roman" w:cs="Times New Roman"/>
          <w:sz w:val="24"/>
          <w:szCs w:val="24"/>
        </w:rPr>
        <w:t>用于蓄电池、辐射屏蔽材料</w:t>
      </w:r>
      <w:r>
        <w:rPr>
          <w:rFonts w:hint="eastAsia" w:hAnsi="Times New Roman" w:cs="Times New Roman"/>
          <w:sz w:val="24"/>
          <w:szCs w:val="24"/>
          <w:lang w:val="en-US" w:eastAsia="zh-CN"/>
        </w:rPr>
        <w:t>等</w:t>
      </w:r>
      <w:r>
        <w:rPr>
          <w:rFonts w:hint="default" w:hAnsi="Times New Roman" w:cs="Times New Roman"/>
          <w:sz w:val="24"/>
          <w:szCs w:val="24"/>
        </w:rPr>
        <w:t>。</w:t>
      </w:r>
    </w:p>
    <w:p w14:paraId="0EE99BFE">
      <w:pPr>
        <w:pStyle w:val="27"/>
        <w:tabs>
          <w:tab w:val="center" w:pos="4201"/>
          <w:tab w:val="right" w:leader="dot" w:pos="9298"/>
        </w:tabs>
        <w:spacing w:line="360" w:lineRule="auto"/>
        <w:rPr>
          <w:rFonts w:hint="default" w:hAnsi="Times New Roman" w:cs="Times New Roman"/>
          <w:sz w:val="24"/>
          <w:szCs w:val="24"/>
        </w:rPr>
      </w:pPr>
      <w:r>
        <w:rPr>
          <w:rFonts w:hint="default" w:hAnsi="Times New Roman" w:cs="Times New Roman"/>
          <w:sz w:val="24"/>
          <w:szCs w:val="24"/>
        </w:rPr>
        <w:t>银（Ag）</w:t>
      </w:r>
      <w:r>
        <w:rPr>
          <w:rFonts w:hint="eastAsia" w:hAnsi="Times New Roman" w:cs="Times New Roman"/>
          <w:sz w:val="24"/>
          <w:szCs w:val="24"/>
          <w:lang w:val="en-US" w:eastAsia="zh-CN"/>
        </w:rPr>
        <w:t>为贵金属</w:t>
      </w:r>
      <w:r>
        <w:rPr>
          <w:rFonts w:hint="default" w:hAnsi="Times New Roman" w:cs="Times New Roman"/>
          <w:sz w:val="24"/>
          <w:szCs w:val="24"/>
        </w:rPr>
        <w:t>：</w:t>
      </w:r>
      <w:r>
        <w:rPr>
          <w:rFonts w:hint="eastAsia" w:hAnsi="Times New Roman" w:cs="Times New Roman"/>
          <w:sz w:val="24"/>
          <w:szCs w:val="24"/>
          <w:lang w:val="en-US" w:eastAsia="zh-CN"/>
        </w:rPr>
        <w:t>氧化锌烟尘中主要</w:t>
      </w:r>
      <w:r>
        <w:rPr>
          <w:rFonts w:hint="default" w:hAnsi="Times New Roman" w:cs="Times New Roman"/>
          <w:sz w:val="24"/>
          <w:szCs w:val="24"/>
        </w:rPr>
        <w:t>以</w:t>
      </w:r>
      <w:r>
        <w:rPr>
          <w:rFonts w:hint="eastAsia" w:hAnsi="Times New Roman" w:cs="Times New Roman"/>
          <w:sz w:val="24"/>
          <w:szCs w:val="24"/>
          <w:lang w:val="en-US" w:eastAsia="zh-CN"/>
        </w:rPr>
        <w:t>AgO</w:t>
      </w:r>
      <w:r>
        <w:rPr>
          <w:rFonts w:hint="default" w:hAnsi="Times New Roman" w:cs="Times New Roman"/>
          <w:sz w:val="24"/>
          <w:szCs w:val="24"/>
        </w:rPr>
        <w:t>等形式存在</w:t>
      </w:r>
      <w:r>
        <w:rPr>
          <w:rFonts w:hint="eastAsia" w:hAnsi="Times New Roman" w:cs="Times New Roman"/>
          <w:sz w:val="24"/>
          <w:szCs w:val="24"/>
          <w:lang w:eastAsia="zh-CN"/>
        </w:rPr>
        <w:t>，</w:t>
      </w:r>
      <w:r>
        <w:rPr>
          <w:rFonts w:hint="eastAsia" w:hAnsi="Times New Roman" w:cs="Times New Roman"/>
          <w:sz w:val="24"/>
          <w:szCs w:val="24"/>
          <w:lang w:val="en-US" w:eastAsia="zh-CN"/>
        </w:rPr>
        <w:t>湿法炼锌生产过程主要</w:t>
      </w:r>
      <w:r>
        <w:rPr>
          <w:rFonts w:hint="default" w:hAnsi="Times New Roman" w:cs="Times New Roman"/>
          <w:sz w:val="24"/>
          <w:szCs w:val="24"/>
        </w:rPr>
        <w:t>以Ag₂SO₄</w:t>
      </w:r>
      <w:r>
        <w:rPr>
          <w:rFonts w:hint="eastAsia" w:hAnsi="Times New Roman" w:cs="Times New Roman"/>
          <w:sz w:val="24"/>
          <w:szCs w:val="24"/>
          <w:lang w:val="en-US" w:eastAsia="zh-CN"/>
        </w:rPr>
        <w:t>/AgS</w:t>
      </w:r>
      <w:r>
        <w:rPr>
          <w:rFonts w:hint="default" w:hAnsi="Times New Roman" w:cs="Times New Roman"/>
          <w:sz w:val="24"/>
          <w:szCs w:val="24"/>
        </w:rPr>
        <w:t>形式富集</w:t>
      </w:r>
      <w:r>
        <w:rPr>
          <w:rFonts w:hint="eastAsia" w:hAnsi="Times New Roman" w:cs="Times New Roman"/>
          <w:sz w:val="24"/>
          <w:szCs w:val="24"/>
          <w:lang w:val="en-US" w:eastAsia="zh-CN"/>
        </w:rPr>
        <w:t>于铅渣中。银主要</w:t>
      </w:r>
      <w:r>
        <w:rPr>
          <w:rFonts w:hint="default" w:hAnsi="Times New Roman" w:cs="Times New Roman"/>
          <w:sz w:val="24"/>
          <w:szCs w:val="24"/>
        </w:rPr>
        <w:t>应用于电子触点、光伏导电浆料、珠宝首饰</w:t>
      </w:r>
      <w:r>
        <w:rPr>
          <w:rFonts w:hint="eastAsia" w:hAnsi="Times New Roman" w:cs="Times New Roman"/>
          <w:sz w:val="24"/>
          <w:szCs w:val="24"/>
          <w:lang w:val="en-US" w:eastAsia="zh-CN"/>
        </w:rPr>
        <w:t>等</w:t>
      </w:r>
      <w:r>
        <w:rPr>
          <w:rFonts w:hint="default" w:hAnsi="Times New Roman" w:cs="Times New Roman"/>
          <w:sz w:val="24"/>
          <w:szCs w:val="24"/>
        </w:rPr>
        <w:t>。</w:t>
      </w:r>
    </w:p>
    <w:p w14:paraId="2AA8ED46">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sz w:val="24"/>
          <w:szCs w:val="24"/>
          <w:lang w:val="en-US" w:eastAsia="zh-CN"/>
        </w:rPr>
        <w:t>B、</w:t>
      </w:r>
      <w:r>
        <w:rPr>
          <w:rFonts w:hint="default" w:hAnsi="Times New Roman" w:cs="Times New Roman"/>
          <w:sz w:val="24"/>
          <w:szCs w:val="24"/>
          <w:lang w:val="en-US" w:eastAsia="zh-CN"/>
        </w:rPr>
        <w:t>回收工艺</w:t>
      </w:r>
    </w:p>
    <w:p w14:paraId="14CF4858">
      <w:pPr>
        <w:pStyle w:val="27"/>
        <w:tabs>
          <w:tab w:val="center" w:pos="4201"/>
          <w:tab w:val="right" w:leader="dot" w:pos="9298"/>
        </w:tabs>
        <w:spacing w:line="360" w:lineRule="auto"/>
        <w:rPr>
          <w:rFonts w:hint="eastAsia" w:hAnsi="Times New Roman" w:cs="Times New Roman"/>
          <w:sz w:val="24"/>
          <w:szCs w:val="24"/>
          <w:lang w:val="en-US" w:eastAsia="zh-CN"/>
        </w:rPr>
      </w:pPr>
      <w:r>
        <w:rPr>
          <w:rFonts w:hint="eastAsia" w:hAnsi="Times New Roman" w:cs="Times New Roman"/>
          <w:sz w:val="24"/>
          <w:szCs w:val="24"/>
          <w:lang w:val="en-US" w:eastAsia="zh-CN"/>
        </w:rPr>
        <w:t>针对氧化锌烟尘中铅、银，应采用酸浸工艺（硫酸盐体系，两段逆流浸出为最佳选择），即：</w:t>
      </w:r>
    </w:p>
    <w:p w14:paraId="77E1383D">
      <w:pPr>
        <w:pStyle w:val="27"/>
        <w:tabs>
          <w:tab w:val="center" w:pos="4201"/>
          <w:tab w:val="right" w:leader="dot" w:pos="9298"/>
        </w:tabs>
        <w:spacing w:line="360" w:lineRule="auto"/>
        <w:rPr>
          <w:rFonts w:hint="eastAsia" w:hAnsi="Times New Roman" w:cs="Times New Roman"/>
          <w:sz w:val="24"/>
          <w:szCs w:val="24"/>
          <w:lang w:val="en-US" w:eastAsia="zh-CN"/>
        </w:rPr>
      </w:pPr>
      <w:r>
        <w:rPr>
          <w:rFonts w:hint="eastAsia" w:hAnsi="Times New Roman" w:cs="Times New Roman"/>
          <w:sz w:val="24"/>
          <w:szCs w:val="24"/>
          <w:lang w:val="en-US" w:eastAsia="zh-CN"/>
        </w:rPr>
        <w:t>铅以硫酸铅以及未反应的硫化铅形式，银以硫酸银或未反应的硫化银形式进入浸出渣（实现富集铅、银），铅渣返回火法炼铅系统进一步回收铅、银。</w:t>
      </w:r>
    </w:p>
    <w:p w14:paraId="30E96516">
      <w:pPr>
        <w:pStyle w:val="27"/>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4.2 富锗氧化锌烟尘回收工艺过程和技术要求</w:t>
      </w:r>
    </w:p>
    <w:p w14:paraId="068F68B9">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cs="Times New Roman"/>
          <w:b/>
          <w:bCs/>
          <w:sz w:val="24"/>
          <w:szCs w:val="24"/>
          <w:lang w:val="en-US" w:eastAsia="zh-CN"/>
        </w:rPr>
        <w:t xml:space="preserve">4.2.1 </w:t>
      </w:r>
      <w:r>
        <w:rPr>
          <w:rFonts w:hint="default" w:hAnsi="Times New Roman" w:cs="Times New Roman"/>
          <w:b/>
          <w:bCs/>
          <w:sz w:val="24"/>
          <w:szCs w:val="24"/>
          <w:lang w:val="en-US" w:eastAsia="zh-CN"/>
        </w:rPr>
        <w:t>工艺流程图概述</w:t>
      </w:r>
    </w:p>
    <w:p w14:paraId="18EB18EF">
      <w:pPr>
        <w:pStyle w:val="27"/>
        <w:tabs>
          <w:tab w:val="center" w:pos="4201"/>
          <w:tab w:val="right" w:leader="dot" w:pos="9298"/>
        </w:tabs>
        <w:spacing w:line="360" w:lineRule="auto"/>
        <w:rPr>
          <w:rFonts w:hint="default" w:hAnsi="Times New Roman" w:cs="Times New Roman"/>
          <w:sz w:val="24"/>
          <w:szCs w:val="24"/>
          <w:lang w:val="en-US" w:eastAsia="zh-CN"/>
        </w:rPr>
      </w:pPr>
      <w:r>
        <w:rPr>
          <w:rFonts w:hint="default" w:hAnsi="Times New Roman" w:cs="Times New Roman"/>
          <w:sz w:val="24"/>
          <w:szCs w:val="24"/>
          <w:lang w:val="en-US" w:eastAsia="zh-CN"/>
        </w:rPr>
        <w:t>富锗氧化锌烟尘回收工艺（图1）通过</w:t>
      </w:r>
      <w:r>
        <w:rPr>
          <w:rFonts w:hint="eastAsia" w:hAnsi="Times New Roman" w:cs="Times New Roman"/>
          <w:sz w:val="24"/>
          <w:szCs w:val="24"/>
          <w:lang w:val="en-US" w:eastAsia="zh-CN"/>
        </w:rPr>
        <w:t>“</w:t>
      </w:r>
      <w:r>
        <w:rPr>
          <w:rFonts w:hint="default" w:hAnsi="Times New Roman" w:cs="Times New Roman"/>
          <w:sz w:val="24"/>
          <w:szCs w:val="24"/>
          <w:lang w:val="en-US" w:eastAsia="zh-CN"/>
        </w:rPr>
        <w:t>预处理脱氟氯→两段逆流酸浸→单宁沉锗</w:t>
      </w:r>
      <w:r>
        <w:rPr>
          <w:rFonts w:hint="eastAsia"/>
          <w:sz w:val="24"/>
          <w:szCs w:val="24"/>
        </w:rPr>
        <w:t>、锗富集及高纯锗产品</w:t>
      </w:r>
      <w:r>
        <w:rPr>
          <w:rFonts w:hint="eastAsia"/>
          <w:sz w:val="24"/>
          <w:szCs w:val="24"/>
          <w:lang w:eastAsia="zh-CN"/>
        </w:rPr>
        <w:t>，</w:t>
      </w:r>
      <w:r>
        <w:rPr>
          <w:rFonts w:hint="eastAsia" w:hAnsi="Times New Roman" w:cs="Times New Roman"/>
          <w:sz w:val="24"/>
          <w:szCs w:val="24"/>
          <w:lang w:val="en-US" w:eastAsia="zh-CN"/>
        </w:rPr>
        <w:t>沉锗后液处理”三</w:t>
      </w:r>
      <w:r>
        <w:rPr>
          <w:rFonts w:hint="default" w:hAnsi="Times New Roman" w:cs="Times New Roman"/>
          <w:sz w:val="24"/>
          <w:szCs w:val="24"/>
          <w:lang w:val="en-US" w:eastAsia="zh-CN"/>
        </w:rPr>
        <w:t>步核心工序，实现锗的高效回收及有害元素脱除。</w:t>
      </w:r>
    </w:p>
    <w:p w14:paraId="668DF4F2">
      <w:pPr>
        <w:pStyle w:val="27"/>
        <w:tabs>
          <w:tab w:val="center" w:pos="4201"/>
          <w:tab w:val="right" w:leader="dot" w:pos="9298"/>
        </w:tabs>
        <w:spacing w:line="360" w:lineRule="auto"/>
        <w:rPr>
          <w:rFonts w:hint="default" w:hAnsi="Times New Roman" w:cs="Times New Roman"/>
          <w:sz w:val="24"/>
          <w:szCs w:val="24"/>
          <w:lang w:val="en-US" w:eastAsia="zh-CN"/>
        </w:rPr>
      </w:pPr>
      <w:r>
        <w:rPr>
          <w:rFonts w:hint="default" w:hAnsi="Times New Roman" w:cs="Times New Roman"/>
          <w:sz w:val="24"/>
          <w:szCs w:val="24"/>
          <w:lang w:val="en-US" w:eastAsia="zh-CN"/>
        </w:rPr>
        <w:t>流程设计聚焦锗的</w:t>
      </w:r>
      <w:r>
        <w:rPr>
          <w:rFonts w:hint="eastAsia" w:hAnsi="Times New Roman" w:cs="Times New Roman"/>
          <w:sz w:val="24"/>
          <w:szCs w:val="24"/>
          <w:lang w:val="en-US" w:eastAsia="zh-CN"/>
        </w:rPr>
        <w:t>选择性</w:t>
      </w:r>
      <w:r>
        <w:rPr>
          <w:rFonts w:hint="default" w:hAnsi="Times New Roman" w:cs="Times New Roman"/>
          <w:sz w:val="24"/>
          <w:szCs w:val="24"/>
          <w:lang w:val="en-US" w:eastAsia="zh-CN"/>
        </w:rPr>
        <w:t>提取与有害元素协同脱除，兼顾其余有价元素高效回收，满足环保合规性要求。</w:t>
      </w:r>
    </w:p>
    <w:p w14:paraId="78D3F3D4">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cs="Times New Roman"/>
          <w:b/>
          <w:bCs/>
          <w:sz w:val="24"/>
          <w:szCs w:val="24"/>
          <w:lang w:val="en-US" w:eastAsia="zh-CN"/>
        </w:rPr>
        <w:t xml:space="preserve">4.2.2 </w:t>
      </w:r>
      <w:r>
        <w:rPr>
          <w:rFonts w:hint="default" w:hAnsi="Times New Roman" w:cs="Times New Roman"/>
          <w:b/>
          <w:bCs/>
          <w:sz w:val="24"/>
          <w:szCs w:val="24"/>
          <w:lang w:val="en-US" w:eastAsia="zh-CN"/>
        </w:rPr>
        <w:t>分步工艺说明</w:t>
      </w:r>
    </w:p>
    <w:p w14:paraId="0A1FD695">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1）</w:t>
      </w:r>
      <w:r>
        <w:rPr>
          <w:rFonts w:hint="default" w:hAnsi="Times New Roman" w:cs="Times New Roman"/>
          <w:b/>
          <w:bCs/>
          <w:sz w:val="24"/>
          <w:szCs w:val="24"/>
          <w:lang w:val="en-US" w:eastAsia="zh-CN"/>
        </w:rPr>
        <w:t>预处理脱氟氯</w:t>
      </w:r>
    </w:p>
    <w:p w14:paraId="7B04F221">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b/>
          <w:bCs/>
          <w:sz w:val="24"/>
          <w:szCs w:val="24"/>
          <w:lang w:val="en-US" w:eastAsia="zh-CN"/>
        </w:rPr>
        <w:t>A、</w:t>
      </w:r>
      <w:r>
        <w:rPr>
          <w:rFonts w:hint="default" w:hAnsi="Times New Roman" w:cs="Times New Roman"/>
          <w:b/>
          <w:bCs/>
          <w:sz w:val="24"/>
          <w:szCs w:val="24"/>
          <w:lang w:val="en-US" w:eastAsia="zh-CN"/>
        </w:rPr>
        <w:t>目的：</w:t>
      </w:r>
      <w:r>
        <w:rPr>
          <w:rFonts w:hint="default" w:hAnsi="Times New Roman" w:cs="Times New Roman"/>
          <w:sz w:val="24"/>
          <w:szCs w:val="24"/>
        </w:rPr>
        <w:t>脱除烟尘中腐蚀性氟、氯元素，避免对后续湿法设备（反应釜、管道）造成腐蚀。</w:t>
      </w:r>
    </w:p>
    <w:p w14:paraId="2291E89E">
      <w:pPr>
        <w:pStyle w:val="27"/>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B、工艺过程</w:t>
      </w:r>
    </w:p>
    <w:p w14:paraId="0A0BD37D">
      <w:pPr>
        <w:pStyle w:val="27"/>
        <w:tabs>
          <w:tab w:val="center" w:pos="4201"/>
          <w:tab w:val="right" w:leader="dot" w:pos="9298"/>
        </w:tabs>
        <w:spacing w:line="360" w:lineRule="auto"/>
        <w:rPr>
          <w:rFonts w:hint="eastAsia"/>
          <w:sz w:val="24"/>
          <w:szCs w:val="24"/>
        </w:rPr>
      </w:pPr>
      <w:r>
        <w:rPr>
          <w:sz w:val="24"/>
          <w:szCs w:val="24"/>
        </w:rPr>
        <w:t>火法（多膛炉或回转窑焙烧）</w:t>
      </w:r>
      <w:r>
        <w:rPr>
          <w:rFonts w:hint="eastAsia"/>
          <w:sz w:val="24"/>
          <w:szCs w:val="24"/>
        </w:rPr>
        <w:t>和</w:t>
      </w:r>
      <w:r>
        <w:rPr>
          <w:sz w:val="24"/>
          <w:szCs w:val="24"/>
        </w:rPr>
        <w:t>湿法（碱洗）</w:t>
      </w:r>
      <w:r>
        <w:rPr>
          <w:rFonts w:hint="eastAsia"/>
          <w:sz w:val="24"/>
          <w:szCs w:val="24"/>
        </w:rPr>
        <w:t>处理方式：</w:t>
      </w:r>
    </w:p>
    <w:p w14:paraId="5B0E5233">
      <w:pPr>
        <w:pStyle w:val="45"/>
        <w:numPr>
          <w:ilvl w:val="0"/>
          <w:numId w:val="8"/>
        </w:numPr>
        <w:spacing w:line="360" w:lineRule="auto"/>
        <w:rPr>
          <w:rFonts w:hint="eastAsia"/>
          <w:sz w:val="24"/>
          <w:szCs w:val="24"/>
        </w:rPr>
      </w:pPr>
      <w:r>
        <w:rPr>
          <w:rFonts w:hint="eastAsia"/>
          <w:sz w:val="24"/>
          <w:szCs w:val="24"/>
        </w:rPr>
        <w:t>多膛炉或回转窑焙烧：使用多膛炉或回转窑焙烧对氧化锌烟尘进行脱氟氯，产出高氟氯烟尘外售，脱氟氯氧化锌烟尘送两段逆流酸浸；</w:t>
      </w:r>
    </w:p>
    <w:p w14:paraId="576083CC">
      <w:pPr>
        <w:pStyle w:val="45"/>
        <w:spacing w:line="360" w:lineRule="auto"/>
        <w:rPr>
          <w:rFonts w:hint="eastAsia" w:hAnsi="Times New Roman" w:cs="Times New Roman"/>
          <w:b/>
          <w:bCs/>
          <w:sz w:val="24"/>
          <w:szCs w:val="24"/>
          <w:lang w:val="en-US" w:eastAsia="zh-CN"/>
        </w:rPr>
      </w:pPr>
      <w:r>
        <w:rPr>
          <w:rFonts w:hint="eastAsia"/>
          <w:sz w:val="24"/>
          <w:szCs w:val="24"/>
        </w:rPr>
        <w:t>碱洗洗滤：使用碱液对氧化锌烟尘进行脱氟氯，产出高氟氯废水送水处理，脱氟氯氧化锌烟尘送两段逆流酸浸。</w:t>
      </w:r>
    </w:p>
    <w:p w14:paraId="1AA5A814">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C、技术要求</w:t>
      </w:r>
    </w:p>
    <w:p w14:paraId="27920469">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预处理脱氟氯工艺：</w:t>
      </w:r>
    </w:p>
    <w:p w14:paraId="0E62A20C">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路线（1）多膛炉或回转窑焙烧的氟脱除率≥85%，氯脱除率≥75%；</w:t>
      </w:r>
    </w:p>
    <w:p w14:paraId="20634261">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路线（2）碱洗洗滤的氟脱除率≥60%，氯脱除率≥</w:t>
      </w:r>
      <w:r>
        <w:rPr>
          <w:rFonts w:hint="eastAsia" w:cs="Times New Roman"/>
          <w:sz w:val="24"/>
          <w:szCs w:val="24"/>
          <w:lang w:val="en-US" w:eastAsia="zh-CN"/>
        </w:rPr>
        <w:t>8</w:t>
      </w:r>
      <w:r>
        <w:rPr>
          <w:rFonts w:hint="eastAsia" w:hAnsi="Times New Roman" w:cs="Times New Roman"/>
          <w:sz w:val="24"/>
          <w:szCs w:val="24"/>
        </w:rPr>
        <w:t>0%。</w:t>
      </w:r>
    </w:p>
    <w:p w14:paraId="67EF2B15">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2）</w:t>
      </w:r>
      <w:r>
        <w:rPr>
          <w:rFonts w:hint="default" w:hAnsi="Times New Roman" w:cs="Times New Roman"/>
          <w:b/>
          <w:bCs/>
          <w:sz w:val="24"/>
          <w:szCs w:val="24"/>
          <w:lang w:val="en-US" w:eastAsia="zh-CN"/>
        </w:rPr>
        <w:t>两段逆流酸浸</w:t>
      </w:r>
    </w:p>
    <w:p w14:paraId="362C3D14">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b/>
          <w:bCs/>
          <w:sz w:val="24"/>
          <w:szCs w:val="24"/>
          <w:lang w:val="en-US" w:eastAsia="zh-CN"/>
        </w:rPr>
        <w:t>A、</w:t>
      </w:r>
      <w:r>
        <w:rPr>
          <w:rFonts w:hint="default" w:hAnsi="Times New Roman" w:cs="Times New Roman"/>
          <w:b/>
          <w:bCs/>
          <w:sz w:val="24"/>
          <w:szCs w:val="24"/>
          <w:lang w:val="en-US" w:eastAsia="zh-CN"/>
        </w:rPr>
        <w:t>目的：</w:t>
      </w:r>
      <w:r>
        <w:rPr>
          <w:rFonts w:hint="default" w:hAnsi="Times New Roman" w:cs="Times New Roman"/>
          <w:sz w:val="24"/>
          <w:szCs w:val="24"/>
        </w:rPr>
        <w:t>高效浸出锌、锗</w:t>
      </w:r>
      <w:r>
        <w:rPr>
          <w:rFonts w:hint="eastAsia" w:hAnsi="Times New Roman" w:cs="Times New Roman"/>
          <w:sz w:val="24"/>
          <w:szCs w:val="24"/>
          <w:lang w:eastAsia="zh-CN"/>
        </w:rPr>
        <w:t>；</w:t>
      </w:r>
      <w:r>
        <w:rPr>
          <w:rFonts w:hint="eastAsia" w:hAnsi="Times New Roman" w:cs="Times New Roman"/>
          <w:sz w:val="24"/>
          <w:szCs w:val="24"/>
          <w:lang w:val="en-US" w:eastAsia="zh-CN"/>
        </w:rPr>
        <w:t>铅渣</w:t>
      </w:r>
      <w:r>
        <w:rPr>
          <w:rFonts w:hint="default" w:hAnsi="Times New Roman" w:cs="Times New Roman"/>
          <w:sz w:val="24"/>
          <w:szCs w:val="24"/>
        </w:rPr>
        <w:t>直接返回</w:t>
      </w:r>
      <w:r>
        <w:rPr>
          <w:rFonts w:hint="eastAsia" w:hAnsi="Times New Roman" w:cs="Times New Roman"/>
          <w:sz w:val="24"/>
          <w:szCs w:val="24"/>
          <w:lang w:val="en-US" w:eastAsia="zh-CN"/>
        </w:rPr>
        <w:t>火法炼铅</w:t>
      </w:r>
      <w:r>
        <w:rPr>
          <w:rFonts w:hint="default" w:hAnsi="Times New Roman" w:cs="Times New Roman"/>
          <w:sz w:val="24"/>
          <w:szCs w:val="24"/>
        </w:rPr>
        <w:t>熔炼系统，实现铅、银的闭环回收。</w:t>
      </w:r>
    </w:p>
    <w:p w14:paraId="44A35655">
      <w:pPr>
        <w:pStyle w:val="27"/>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B、工艺过程</w:t>
      </w:r>
    </w:p>
    <w:p w14:paraId="5D88A669">
      <w:pPr>
        <w:pStyle w:val="27"/>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sz w:val="24"/>
          <w:szCs w:val="24"/>
        </w:rPr>
        <w:t>使用二次酸浸后液作为浸出液，对脱氟氯氧化锌烟尘进行一次酸浸，产出的浸出液送单宁沉锗，浸出渣进行二次酸浸，产出的二次酸浸后液返回一次酸浸，铅渣（富集铅、银）送火法炼铅系统回收铅、银。</w:t>
      </w:r>
    </w:p>
    <w:p w14:paraId="60B5A931">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C、技术要求</w:t>
      </w:r>
    </w:p>
    <w:p w14:paraId="6F4E2780">
      <w:pPr>
        <w:pStyle w:val="27"/>
        <w:tabs>
          <w:tab w:val="center" w:pos="4201"/>
          <w:tab w:val="right" w:leader="dot" w:pos="9298"/>
        </w:tabs>
        <w:spacing w:line="360" w:lineRule="auto"/>
        <w:rPr>
          <w:rFonts w:hint="default" w:ascii="Segoe UI" w:hAnsi="Segoe UI" w:eastAsia="Segoe UI" w:cs="Segoe UI"/>
          <w:sz w:val="24"/>
          <w:szCs w:val="24"/>
        </w:rPr>
      </w:pPr>
      <w:r>
        <w:rPr>
          <w:rFonts w:hint="eastAsia" w:hAnsi="Times New Roman" w:cs="Times New Roman"/>
          <w:sz w:val="24"/>
          <w:szCs w:val="24"/>
        </w:rPr>
        <w:t>两段逆流酸浸：一段酸浸终点酸1 g/L～</w:t>
      </w:r>
      <w:r>
        <w:rPr>
          <w:rFonts w:hint="eastAsia" w:hAnsi="Times New Roman" w:cs="Times New Roman"/>
          <w:sz w:val="24"/>
          <w:szCs w:val="24"/>
          <w:lang w:val="en-US" w:eastAsia="zh-CN"/>
        </w:rPr>
        <w:t>2</w:t>
      </w:r>
      <w:r>
        <w:rPr>
          <w:rFonts w:hint="eastAsia" w:hAnsi="Times New Roman" w:cs="Times New Roman"/>
          <w:sz w:val="24"/>
          <w:szCs w:val="24"/>
        </w:rPr>
        <w:t xml:space="preserve"> g/L，二段酸浸终点酸</w:t>
      </w:r>
      <w:r>
        <w:rPr>
          <w:rFonts w:hint="eastAsia" w:hAnsi="Times New Roman" w:cs="Times New Roman"/>
          <w:sz w:val="24"/>
          <w:szCs w:val="24"/>
          <w:lang w:val="en-US" w:eastAsia="zh-CN"/>
        </w:rPr>
        <w:t>7</w:t>
      </w:r>
      <w:r>
        <w:rPr>
          <w:rFonts w:hint="eastAsia" w:hAnsi="Times New Roman" w:cs="Times New Roman"/>
          <w:sz w:val="24"/>
          <w:szCs w:val="24"/>
        </w:rPr>
        <w:t>0 g/L～80 g/L。</w:t>
      </w:r>
    </w:p>
    <w:p w14:paraId="45C3EC10">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3）</w:t>
      </w:r>
      <w:r>
        <w:rPr>
          <w:rFonts w:hint="default" w:hAnsi="Times New Roman" w:cs="Times New Roman"/>
          <w:b/>
          <w:bCs/>
          <w:sz w:val="24"/>
          <w:szCs w:val="24"/>
          <w:lang w:val="en-US" w:eastAsia="zh-CN"/>
        </w:rPr>
        <w:t>单宁沉锗</w:t>
      </w:r>
      <w:r>
        <w:rPr>
          <w:rFonts w:hint="eastAsia" w:hAnsi="Times New Roman" w:cs="Times New Roman"/>
          <w:b/>
          <w:bCs/>
          <w:sz w:val="24"/>
          <w:szCs w:val="24"/>
          <w:lang w:val="en-US" w:eastAsia="zh-CN"/>
        </w:rPr>
        <w:t>、锗富集及高纯锗产品</w:t>
      </w:r>
      <w:r>
        <w:rPr>
          <w:rFonts w:hint="eastAsia"/>
          <w:b/>
          <w:bCs/>
          <w:sz w:val="24"/>
          <w:szCs w:val="24"/>
          <w:lang w:eastAsia="zh-CN"/>
        </w:rPr>
        <w:t>，</w:t>
      </w:r>
      <w:r>
        <w:rPr>
          <w:rFonts w:hint="eastAsia" w:hAnsi="Times New Roman" w:cs="Times New Roman"/>
          <w:b/>
          <w:bCs/>
          <w:sz w:val="24"/>
          <w:szCs w:val="24"/>
          <w:lang w:val="en-US" w:eastAsia="zh-CN"/>
        </w:rPr>
        <w:t>沉锗后液处理</w:t>
      </w:r>
    </w:p>
    <w:p w14:paraId="617DB83C">
      <w:pPr>
        <w:pStyle w:val="27"/>
        <w:tabs>
          <w:tab w:val="center" w:pos="4201"/>
          <w:tab w:val="right" w:leader="dot" w:pos="9298"/>
        </w:tabs>
        <w:spacing w:line="360" w:lineRule="auto"/>
        <w:rPr>
          <w:rFonts w:hint="default" w:hAnsi="Times New Roman" w:eastAsia="宋体" w:cs="Times New Roman"/>
          <w:sz w:val="24"/>
          <w:szCs w:val="24"/>
          <w:lang w:val="en-US" w:eastAsia="zh-CN"/>
        </w:rPr>
      </w:pPr>
      <w:r>
        <w:rPr>
          <w:rFonts w:hint="eastAsia" w:hAnsi="Times New Roman" w:cs="Times New Roman"/>
          <w:b/>
          <w:bCs/>
          <w:sz w:val="24"/>
          <w:szCs w:val="24"/>
          <w:lang w:val="en-US" w:eastAsia="zh-CN"/>
        </w:rPr>
        <w:t>A、</w:t>
      </w:r>
      <w:r>
        <w:rPr>
          <w:rFonts w:hint="default" w:hAnsi="Times New Roman" w:cs="Times New Roman"/>
          <w:b/>
          <w:bCs/>
          <w:sz w:val="24"/>
          <w:szCs w:val="24"/>
          <w:lang w:val="en-US" w:eastAsia="zh-CN"/>
        </w:rPr>
        <w:t>目的：</w:t>
      </w:r>
      <w:r>
        <w:rPr>
          <w:rFonts w:hint="default" w:hAnsi="Times New Roman" w:cs="Times New Roman"/>
          <w:sz w:val="24"/>
          <w:szCs w:val="24"/>
        </w:rPr>
        <w:t>选择性沉淀锗</w:t>
      </w:r>
      <w:r>
        <w:rPr>
          <w:rFonts w:hint="eastAsia" w:hAnsi="Times New Roman" w:cs="Times New Roman"/>
          <w:sz w:val="24"/>
          <w:szCs w:val="24"/>
          <w:lang w:val="en-US" w:eastAsia="zh-CN"/>
        </w:rPr>
        <w:t>以及锗富集</w:t>
      </w:r>
      <w:r>
        <w:rPr>
          <w:rFonts w:hint="default" w:hAnsi="Times New Roman" w:cs="Times New Roman"/>
          <w:sz w:val="24"/>
          <w:szCs w:val="24"/>
        </w:rPr>
        <w:t>，实现与</w:t>
      </w:r>
      <w:r>
        <w:rPr>
          <w:rFonts w:hint="eastAsia" w:hAnsi="Times New Roman" w:cs="Times New Roman"/>
          <w:sz w:val="24"/>
          <w:szCs w:val="24"/>
          <w:lang w:val="en-US" w:eastAsia="zh-CN"/>
        </w:rPr>
        <w:t>沉锗后液（含锌镉）</w:t>
      </w:r>
      <w:r>
        <w:rPr>
          <w:rFonts w:hint="default" w:hAnsi="Times New Roman" w:cs="Times New Roman"/>
          <w:sz w:val="24"/>
          <w:szCs w:val="24"/>
        </w:rPr>
        <w:t>的分离</w:t>
      </w:r>
      <w:r>
        <w:rPr>
          <w:rFonts w:hint="eastAsia" w:hAnsi="Times New Roman" w:cs="Times New Roman"/>
          <w:sz w:val="24"/>
          <w:szCs w:val="24"/>
          <w:lang w:val="en-US" w:eastAsia="zh-CN"/>
        </w:rPr>
        <w:t>。</w:t>
      </w:r>
    </w:p>
    <w:p w14:paraId="53EB8B94">
      <w:pPr>
        <w:pStyle w:val="27"/>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B、工艺过程</w:t>
      </w:r>
    </w:p>
    <w:p w14:paraId="0BC9C944">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一次浸出产出的浸出液经过单宁沉锗，产出的沉锗后液送湿法炼锌主流程，沉锗渣经过洗涤-烘干-灼烧，产出锗精矿及锗尘；锗精矿及锗尘经预处理→盐酸浸出→蒸馏分离→精馏提纯→水解沉锗→氢气还原→区域熔炼→高纯锗产品（如锗锭、锗片）。</w:t>
      </w:r>
    </w:p>
    <w:p w14:paraId="6D70DA05">
      <w:pPr>
        <w:pStyle w:val="27"/>
        <w:tabs>
          <w:tab w:val="center" w:pos="4201"/>
          <w:tab w:val="right" w:leader="dot" w:pos="9298"/>
        </w:tabs>
        <w:spacing w:line="360" w:lineRule="auto"/>
        <w:rPr>
          <w:rFonts w:hint="eastAsia"/>
          <w:sz w:val="24"/>
          <w:szCs w:val="24"/>
        </w:rPr>
      </w:pPr>
      <w:r>
        <w:rPr>
          <w:rFonts w:hint="eastAsia" w:hAnsi="Times New Roman" w:cs="Times New Roman"/>
          <w:sz w:val="24"/>
          <w:szCs w:val="24"/>
        </w:rPr>
        <w:t>沉锗后液进入湿法炼锌主流程，通过主流程溶液中的铁进行氧化水解脱除砷、锑以及溶液中部分氟、氯，同时实现回收锌、镉等。</w:t>
      </w:r>
    </w:p>
    <w:p w14:paraId="64BA2520">
      <w:pPr>
        <w:pStyle w:val="27"/>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C、技术要求</w:t>
      </w:r>
    </w:p>
    <w:p w14:paraId="5FADD1EB">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单宁沉锗沉锗率≥95%。</w:t>
      </w:r>
    </w:p>
    <w:p w14:paraId="0E9E0A0A">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cs="Times New Roman"/>
          <w:b/>
          <w:bCs/>
          <w:sz w:val="24"/>
          <w:szCs w:val="24"/>
          <w:lang w:val="en-US" w:eastAsia="zh-CN"/>
        </w:rPr>
        <w:t xml:space="preserve">4.2.3 </w:t>
      </w:r>
      <w:r>
        <w:rPr>
          <w:rFonts w:hint="default" w:hAnsi="Times New Roman" w:cs="Times New Roman"/>
          <w:b/>
          <w:bCs/>
          <w:sz w:val="24"/>
          <w:szCs w:val="24"/>
          <w:lang w:val="en-US" w:eastAsia="zh-CN"/>
        </w:rPr>
        <w:t>关键工艺关联性</w:t>
      </w:r>
    </w:p>
    <w:p w14:paraId="7D72AA73">
      <w:pPr>
        <w:pStyle w:val="27"/>
        <w:tabs>
          <w:tab w:val="center" w:pos="4201"/>
          <w:tab w:val="right" w:leader="dot" w:pos="9298"/>
        </w:tabs>
        <w:spacing w:line="360" w:lineRule="auto"/>
        <w:rPr>
          <w:rFonts w:hint="default" w:hAnsi="Times New Roman" w:cs="Times New Roman"/>
          <w:b/>
          <w:bCs/>
          <w:sz w:val="24"/>
          <w:szCs w:val="24"/>
        </w:rPr>
      </w:pPr>
      <w:r>
        <w:rPr>
          <w:rFonts w:hint="eastAsia" w:hAnsi="Times New Roman" w:cs="Times New Roman"/>
          <w:b/>
          <w:bCs/>
          <w:sz w:val="24"/>
          <w:szCs w:val="24"/>
          <w:lang w:val="en-US" w:eastAsia="zh-CN"/>
        </w:rPr>
        <w:t>1）</w:t>
      </w:r>
      <w:r>
        <w:rPr>
          <w:rFonts w:hint="default" w:hAnsi="Times New Roman" w:cs="Times New Roman"/>
          <w:b/>
          <w:bCs/>
          <w:sz w:val="24"/>
          <w:szCs w:val="24"/>
        </w:rPr>
        <w:t>有害元素控制</w:t>
      </w:r>
    </w:p>
    <w:p w14:paraId="2289BDFE">
      <w:pPr>
        <w:pStyle w:val="27"/>
        <w:tabs>
          <w:tab w:val="center" w:pos="4201"/>
          <w:tab w:val="right" w:leader="dot" w:pos="9298"/>
        </w:tabs>
        <w:spacing w:line="360" w:lineRule="auto"/>
        <w:rPr>
          <w:rFonts w:hint="default" w:hAnsi="Times New Roman" w:cs="Times New Roman"/>
          <w:sz w:val="24"/>
          <w:szCs w:val="24"/>
        </w:rPr>
      </w:pPr>
      <w:r>
        <w:rPr>
          <w:rFonts w:hint="default" w:hAnsi="Times New Roman" w:cs="Times New Roman"/>
          <w:sz w:val="24"/>
          <w:szCs w:val="24"/>
        </w:rPr>
        <w:t>预处理脱氟氯为酸浸创造条件，避免设备腐蚀；</w:t>
      </w:r>
    </w:p>
    <w:p w14:paraId="7399443B">
      <w:pPr>
        <w:pStyle w:val="27"/>
        <w:tabs>
          <w:tab w:val="center" w:pos="4201"/>
          <w:tab w:val="right" w:leader="dot" w:pos="9298"/>
        </w:tabs>
        <w:spacing w:line="360" w:lineRule="auto"/>
        <w:rPr>
          <w:rFonts w:hint="default" w:hAnsi="Times New Roman" w:cs="Times New Roman"/>
          <w:sz w:val="24"/>
          <w:szCs w:val="24"/>
        </w:rPr>
      </w:pPr>
      <w:r>
        <w:rPr>
          <w:rFonts w:hint="default" w:hAnsi="Times New Roman" w:cs="Times New Roman"/>
          <w:sz w:val="24"/>
          <w:szCs w:val="24"/>
        </w:rPr>
        <w:t>沉锗后液通过湿法主流程氧化水解进一步脱除砷、锑。</w:t>
      </w:r>
    </w:p>
    <w:p w14:paraId="73E72C7C">
      <w:pPr>
        <w:pStyle w:val="27"/>
        <w:tabs>
          <w:tab w:val="center" w:pos="4201"/>
          <w:tab w:val="right" w:leader="dot" w:pos="9298"/>
        </w:tabs>
        <w:spacing w:line="360" w:lineRule="auto"/>
        <w:rPr>
          <w:rFonts w:hint="default" w:hAnsi="Times New Roman" w:cs="Times New Roman"/>
          <w:b/>
          <w:bCs/>
          <w:sz w:val="24"/>
          <w:szCs w:val="24"/>
        </w:rPr>
      </w:pPr>
      <w:r>
        <w:rPr>
          <w:rFonts w:hint="eastAsia" w:hAnsi="Times New Roman" w:cs="Times New Roman"/>
          <w:b/>
          <w:bCs/>
          <w:sz w:val="24"/>
          <w:szCs w:val="24"/>
          <w:lang w:val="en-US" w:eastAsia="zh-CN"/>
        </w:rPr>
        <w:t>2）</w:t>
      </w:r>
      <w:r>
        <w:rPr>
          <w:rFonts w:hint="default" w:hAnsi="Times New Roman" w:cs="Times New Roman"/>
          <w:b/>
          <w:bCs/>
          <w:sz w:val="24"/>
          <w:szCs w:val="24"/>
        </w:rPr>
        <w:t>资源循环</w:t>
      </w:r>
    </w:p>
    <w:p w14:paraId="2EE9D9FA">
      <w:pPr>
        <w:pStyle w:val="27"/>
        <w:tabs>
          <w:tab w:val="center" w:pos="4201"/>
          <w:tab w:val="right" w:leader="dot" w:pos="9298"/>
        </w:tabs>
        <w:spacing w:line="360" w:lineRule="auto"/>
        <w:rPr>
          <w:rFonts w:hint="default" w:hAnsi="Times New Roman" w:cs="Times New Roman"/>
          <w:sz w:val="24"/>
          <w:szCs w:val="24"/>
        </w:rPr>
      </w:pPr>
      <w:r>
        <w:rPr>
          <w:rFonts w:hint="default" w:hAnsi="Times New Roman" w:cs="Times New Roman"/>
          <w:sz w:val="24"/>
          <w:szCs w:val="24"/>
        </w:rPr>
        <w:t>铅渣返炼铅系统回收铅、银；</w:t>
      </w:r>
    </w:p>
    <w:p w14:paraId="633BA789">
      <w:pPr>
        <w:pStyle w:val="27"/>
        <w:tabs>
          <w:tab w:val="center" w:pos="4201"/>
          <w:tab w:val="right" w:leader="dot" w:pos="9298"/>
        </w:tabs>
        <w:spacing w:line="360" w:lineRule="auto"/>
        <w:rPr>
          <w:rFonts w:hint="default" w:hAnsi="Times New Roman" w:cs="Times New Roman"/>
          <w:sz w:val="24"/>
          <w:szCs w:val="24"/>
        </w:rPr>
      </w:pPr>
      <w:r>
        <w:rPr>
          <w:rFonts w:hint="default" w:hAnsi="Times New Roman" w:cs="Times New Roman"/>
          <w:sz w:val="24"/>
          <w:szCs w:val="24"/>
        </w:rPr>
        <w:t>沉锗后液返锌系统，形成</w:t>
      </w:r>
      <w:r>
        <w:rPr>
          <w:rFonts w:hint="eastAsia" w:hAnsi="Times New Roman" w:cs="Times New Roman"/>
          <w:sz w:val="24"/>
          <w:szCs w:val="24"/>
          <w:lang w:eastAsia="zh-CN"/>
        </w:rPr>
        <w:t>“</w:t>
      </w:r>
      <w:r>
        <w:rPr>
          <w:rFonts w:hint="default" w:hAnsi="Times New Roman" w:cs="Times New Roman"/>
          <w:sz w:val="24"/>
          <w:szCs w:val="24"/>
        </w:rPr>
        <w:t>锌-锗-铅-银</w:t>
      </w:r>
      <w:r>
        <w:rPr>
          <w:rFonts w:hint="eastAsia" w:hAnsi="Times New Roman" w:cs="Times New Roman"/>
          <w:sz w:val="24"/>
          <w:szCs w:val="24"/>
          <w:lang w:eastAsia="zh-CN"/>
        </w:rPr>
        <w:t>”</w:t>
      </w:r>
      <w:r>
        <w:rPr>
          <w:rFonts w:hint="default" w:hAnsi="Times New Roman" w:cs="Times New Roman"/>
          <w:sz w:val="24"/>
          <w:szCs w:val="24"/>
        </w:rPr>
        <w:t>全元素回收链。</w:t>
      </w:r>
    </w:p>
    <w:p w14:paraId="54A225BC">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4.3 富铟氧化锌烟尘回收工艺过程和技术要求</w:t>
      </w:r>
    </w:p>
    <w:p w14:paraId="112CF488">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cs="Times New Roman"/>
          <w:b/>
          <w:bCs/>
          <w:sz w:val="24"/>
          <w:szCs w:val="24"/>
          <w:lang w:val="en-US" w:eastAsia="zh-CN"/>
        </w:rPr>
        <w:t xml:space="preserve">4.3.1 </w:t>
      </w:r>
      <w:r>
        <w:rPr>
          <w:rFonts w:hint="default" w:hAnsi="Times New Roman" w:cs="Times New Roman"/>
          <w:b/>
          <w:bCs/>
          <w:sz w:val="24"/>
          <w:szCs w:val="24"/>
          <w:lang w:val="en-US" w:eastAsia="zh-CN"/>
        </w:rPr>
        <w:t>工艺流程图概述</w:t>
      </w:r>
    </w:p>
    <w:p w14:paraId="486AF657">
      <w:pPr>
        <w:pStyle w:val="27"/>
        <w:tabs>
          <w:tab w:val="center" w:pos="4201"/>
          <w:tab w:val="right" w:leader="dot" w:pos="9298"/>
        </w:tabs>
        <w:spacing w:line="360" w:lineRule="auto"/>
        <w:rPr>
          <w:rFonts w:hint="default" w:hAnsi="Times New Roman" w:cs="Times New Roman"/>
          <w:sz w:val="24"/>
          <w:szCs w:val="24"/>
          <w:lang w:val="en-US" w:eastAsia="zh-CN"/>
        </w:rPr>
      </w:pPr>
      <w:r>
        <w:rPr>
          <w:rFonts w:hint="default" w:hAnsi="Times New Roman" w:cs="Times New Roman"/>
          <w:sz w:val="24"/>
          <w:szCs w:val="24"/>
          <w:lang w:val="en-US" w:eastAsia="zh-CN"/>
        </w:rPr>
        <w:t>富铟氧化锌烟尘回收工艺（图2）通过</w:t>
      </w:r>
      <w:r>
        <w:rPr>
          <w:rFonts w:hint="eastAsia" w:hAnsi="Times New Roman" w:cs="Times New Roman"/>
          <w:sz w:val="24"/>
          <w:szCs w:val="24"/>
          <w:lang w:val="en-US" w:eastAsia="zh-CN"/>
        </w:rPr>
        <w:t>“</w:t>
      </w:r>
      <w:r>
        <w:rPr>
          <w:rFonts w:hint="default" w:hAnsi="Times New Roman" w:cs="Times New Roman"/>
          <w:sz w:val="24"/>
          <w:szCs w:val="24"/>
          <w:lang w:val="en-US" w:eastAsia="zh-CN"/>
        </w:rPr>
        <w:t>预处理脱氟氯→中性浸出→两段逆流酸浸→铟回收→中性浸出液处理</w:t>
      </w:r>
      <w:r>
        <w:rPr>
          <w:rFonts w:hint="eastAsia" w:hAnsi="Times New Roman" w:cs="Times New Roman"/>
          <w:sz w:val="24"/>
          <w:szCs w:val="24"/>
          <w:lang w:val="en-US" w:eastAsia="zh-CN"/>
        </w:rPr>
        <w:t>”</w:t>
      </w:r>
      <w:r>
        <w:rPr>
          <w:rFonts w:hint="default" w:hAnsi="Times New Roman" w:cs="Times New Roman"/>
          <w:sz w:val="24"/>
          <w:szCs w:val="24"/>
          <w:lang w:val="en-US" w:eastAsia="zh-CN"/>
        </w:rPr>
        <w:t>五步核心工序，实现铟的高效富集回收及资源循环利用。</w:t>
      </w:r>
    </w:p>
    <w:p w14:paraId="29828393">
      <w:pPr>
        <w:pStyle w:val="27"/>
        <w:tabs>
          <w:tab w:val="center" w:pos="4201"/>
          <w:tab w:val="right" w:leader="dot" w:pos="9298"/>
        </w:tabs>
        <w:spacing w:line="360" w:lineRule="auto"/>
        <w:rPr>
          <w:rFonts w:hint="default" w:hAnsi="Times New Roman" w:cs="Times New Roman"/>
          <w:sz w:val="24"/>
          <w:szCs w:val="24"/>
          <w:lang w:val="en-US" w:eastAsia="zh-CN"/>
        </w:rPr>
      </w:pPr>
      <w:r>
        <w:rPr>
          <w:rFonts w:hint="default" w:hAnsi="Times New Roman" w:cs="Times New Roman"/>
          <w:sz w:val="24"/>
          <w:szCs w:val="24"/>
          <w:lang w:val="en-US" w:eastAsia="zh-CN"/>
        </w:rPr>
        <w:t>流程设计聚焦铟的分步提取与有害元素协同脱除，兼顾其余有价元素高效回收，满足环保合规性要求。</w:t>
      </w:r>
    </w:p>
    <w:p w14:paraId="71C788A7">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cs="Times New Roman"/>
          <w:b/>
          <w:bCs/>
          <w:sz w:val="24"/>
          <w:szCs w:val="24"/>
          <w:lang w:val="en-US" w:eastAsia="zh-CN"/>
        </w:rPr>
        <w:t xml:space="preserve">4.3.2 </w:t>
      </w:r>
      <w:r>
        <w:rPr>
          <w:rFonts w:hint="default" w:hAnsi="Times New Roman" w:cs="Times New Roman"/>
          <w:b/>
          <w:bCs/>
          <w:sz w:val="24"/>
          <w:szCs w:val="24"/>
          <w:lang w:val="en-US" w:eastAsia="zh-CN"/>
        </w:rPr>
        <w:t>分步工艺说明</w:t>
      </w:r>
    </w:p>
    <w:p w14:paraId="02902A40">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1）</w:t>
      </w:r>
      <w:r>
        <w:rPr>
          <w:rFonts w:hint="default" w:hAnsi="Times New Roman" w:cs="Times New Roman"/>
          <w:b/>
          <w:bCs/>
          <w:sz w:val="24"/>
          <w:szCs w:val="24"/>
          <w:lang w:val="en-US" w:eastAsia="zh-CN"/>
        </w:rPr>
        <w:t>预处理脱氟氯</w:t>
      </w:r>
    </w:p>
    <w:p w14:paraId="2984BD5F">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b/>
          <w:bCs/>
          <w:sz w:val="24"/>
          <w:szCs w:val="24"/>
          <w:lang w:val="en-US" w:eastAsia="zh-CN"/>
        </w:rPr>
        <w:t>A、</w:t>
      </w:r>
      <w:r>
        <w:rPr>
          <w:rFonts w:hint="default" w:hAnsi="Times New Roman" w:cs="Times New Roman"/>
          <w:b/>
          <w:bCs/>
          <w:sz w:val="24"/>
          <w:szCs w:val="24"/>
          <w:lang w:val="en-US" w:eastAsia="zh-CN"/>
        </w:rPr>
        <w:t>目的：</w:t>
      </w:r>
      <w:r>
        <w:rPr>
          <w:rFonts w:hint="default" w:hAnsi="Times New Roman" w:cs="Times New Roman"/>
          <w:sz w:val="24"/>
          <w:szCs w:val="24"/>
        </w:rPr>
        <w:t>脱除烟尘中腐蚀性氟、氯元素，避免对后续湿法设备（反应釜、管道）造成腐蚀。</w:t>
      </w:r>
    </w:p>
    <w:p w14:paraId="1CDBEBA2">
      <w:pPr>
        <w:pStyle w:val="27"/>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B、工艺过程</w:t>
      </w:r>
    </w:p>
    <w:p w14:paraId="2855FC25">
      <w:pPr>
        <w:pStyle w:val="27"/>
        <w:tabs>
          <w:tab w:val="center" w:pos="4201"/>
          <w:tab w:val="right" w:leader="dot" w:pos="9298"/>
        </w:tabs>
        <w:spacing w:line="360" w:lineRule="auto"/>
        <w:rPr>
          <w:rFonts w:hint="eastAsia"/>
          <w:sz w:val="24"/>
          <w:szCs w:val="24"/>
        </w:rPr>
      </w:pPr>
      <w:r>
        <w:rPr>
          <w:sz w:val="24"/>
          <w:szCs w:val="24"/>
        </w:rPr>
        <w:t>火法（多膛炉或回转窑焙烧）</w:t>
      </w:r>
      <w:r>
        <w:rPr>
          <w:rFonts w:hint="eastAsia"/>
          <w:sz w:val="24"/>
          <w:szCs w:val="24"/>
        </w:rPr>
        <w:t>和</w:t>
      </w:r>
      <w:r>
        <w:rPr>
          <w:sz w:val="24"/>
          <w:szCs w:val="24"/>
        </w:rPr>
        <w:t>湿法（碱洗）</w:t>
      </w:r>
      <w:r>
        <w:rPr>
          <w:rFonts w:hint="eastAsia"/>
          <w:sz w:val="24"/>
          <w:szCs w:val="24"/>
        </w:rPr>
        <w:t>处理方式：</w:t>
      </w:r>
    </w:p>
    <w:p w14:paraId="18383CA4">
      <w:pPr>
        <w:pStyle w:val="45"/>
        <w:numPr>
          <w:ilvl w:val="0"/>
          <w:numId w:val="9"/>
        </w:numPr>
        <w:spacing w:line="360" w:lineRule="auto"/>
        <w:rPr>
          <w:rFonts w:hint="eastAsia"/>
          <w:sz w:val="24"/>
          <w:szCs w:val="24"/>
        </w:rPr>
      </w:pPr>
      <w:r>
        <w:rPr>
          <w:rFonts w:hint="eastAsia"/>
          <w:sz w:val="24"/>
          <w:szCs w:val="24"/>
        </w:rPr>
        <w:t>多膛炉或回转窑焙烧：使用多膛炉或回转窑焙烧对氧化锌烟尘进行脱氟氯，产出高氟氯烟尘外售，脱氟氯氧化锌烟尘送两段逆流酸浸；</w:t>
      </w:r>
    </w:p>
    <w:p w14:paraId="74FD23FC">
      <w:pPr>
        <w:pStyle w:val="45"/>
        <w:spacing w:line="360" w:lineRule="auto"/>
        <w:rPr>
          <w:rFonts w:hint="eastAsia" w:hAnsi="Times New Roman" w:cs="Times New Roman"/>
          <w:b/>
          <w:bCs/>
          <w:sz w:val="24"/>
          <w:szCs w:val="24"/>
          <w:lang w:val="en-US" w:eastAsia="zh-CN"/>
        </w:rPr>
      </w:pPr>
      <w:r>
        <w:rPr>
          <w:rFonts w:hint="eastAsia"/>
          <w:sz w:val="24"/>
          <w:szCs w:val="24"/>
        </w:rPr>
        <w:t>碱洗洗滤：使用碱液对氧化锌烟尘进行脱氟氯，产出高氟氯废水送水处理，脱氟氯氧化锌烟尘送两段逆流酸浸。</w:t>
      </w:r>
    </w:p>
    <w:p w14:paraId="2BDF32E9">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C、技术要求</w:t>
      </w:r>
    </w:p>
    <w:p w14:paraId="2027C56F">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预处理脱氟氯工艺：</w:t>
      </w:r>
    </w:p>
    <w:p w14:paraId="47228D93">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路线（1）多膛炉或回转窑焙烧的氟脱除率≥85%，氯脱除率≥75%；</w:t>
      </w:r>
    </w:p>
    <w:p w14:paraId="01D14542">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路线（2）碱洗洗滤的氟脱除率≥60%，氯脱除率≥</w:t>
      </w:r>
      <w:r>
        <w:rPr>
          <w:rFonts w:hint="eastAsia" w:cs="Times New Roman"/>
          <w:sz w:val="24"/>
          <w:szCs w:val="24"/>
          <w:lang w:val="en-US" w:eastAsia="zh-CN"/>
        </w:rPr>
        <w:t>8</w:t>
      </w:r>
      <w:r>
        <w:rPr>
          <w:rFonts w:hint="eastAsia" w:hAnsi="Times New Roman" w:cs="Times New Roman"/>
          <w:sz w:val="24"/>
          <w:szCs w:val="24"/>
        </w:rPr>
        <w:t>0%。</w:t>
      </w:r>
    </w:p>
    <w:p w14:paraId="70CC7845">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2）中性浸出</w:t>
      </w:r>
    </w:p>
    <w:p w14:paraId="574DDEAD">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b/>
          <w:bCs/>
          <w:sz w:val="24"/>
          <w:szCs w:val="24"/>
          <w:lang w:val="en-US" w:eastAsia="zh-CN"/>
        </w:rPr>
        <w:t>A、</w:t>
      </w:r>
      <w:r>
        <w:rPr>
          <w:rFonts w:hint="default" w:hAnsi="Times New Roman" w:cs="Times New Roman"/>
          <w:b/>
          <w:bCs/>
          <w:sz w:val="24"/>
          <w:szCs w:val="24"/>
          <w:lang w:val="en-US" w:eastAsia="zh-CN"/>
        </w:rPr>
        <w:t>目的：</w:t>
      </w:r>
      <w:r>
        <w:rPr>
          <w:rFonts w:hint="default" w:hAnsi="Times New Roman" w:cs="Times New Roman"/>
          <w:sz w:val="24"/>
          <w:szCs w:val="24"/>
        </w:rPr>
        <w:t>选择性溶解锌、镉等非目标金属，使铟以In₂O₃形式富集于渣中，为后续酸浸提铟创造高品位原料。</w:t>
      </w:r>
    </w:p>
    <w:p w14:paraId="34A4B3C7">
      <w:pPr>
        <w:pStyle w:val="27"/>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B、工艺过程</w:t>
      </w:r>
    </w:p>
    <w:p w14:paraId="498382CF">
      <w:pPr>
        <w:pStyle w:val="27"/>
        <w:tabs>
          <w:tab w:val="center" w:pos="4201"/>
          <w:tab w:val="right" w:leader="dot" w:pos="9298"/>
        </w:tabs>
        <w:spacing w:line="360" w:lineRule="auto"/>
        <w:rPr>
          <w:rFonts w:hint="eastAsia" w:hAnsi="Times New Roman" w:cs="Times New Roman"/>
          <w:sz w:val="24"/>
          <w:szCs w:val="24"/>
          <w:lang w:val="en-US" w:eastAsia="zh-CN"/>
        </w:rPr>
      </w:pPr>
      <w:r>
        <w:rPr>
          <w:rFonts w:hint="eastAsia" w:hAnsi="Times New Roman" w:cs="Times New Roman"/>
          <w:sz w:val="24"/>
          <w:szCs w:val="24"/>
        </w:rPr>
        <w:t>使用硫酸、废液等作为浸出液，对脱氟氯氧化锌烟尘进行中性浸出，产出的中性浸出液送湿法炼锌主流程，中性浸出渣送两段逆流酸浸。</w:t>
      </w:r>
    </w:p>
    <w:p w14:paraId="54236279">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C、技术要求</w:t>
      </w:r>
    </w:p>
    <w:p w14:paraId="34C30430">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中性浸出终点</w:t>
      </w:r>
      <w:r>
        <w:rPr>
          <w:rFonts w:hint="eastAsia" w:hAnsi="Times New Roman" w:cs="Times New Roman"/>
          <w:sz w:val="24"/>
          <w:szCs w:val="24"/>
          <w:lang w:val="en-US" w:eastAsia="zh-CN"/>
        </w:rPr>
        <w:t>pH</w:t>
      </w:r>
      <w:r>
        <w:rPr>
          <w:rFonts w:hint="eastAsia" w:hAnsi="Times New Roman" w:cs="Times New Roman"/>
          <w:sz w:val="24"/>
          <w:szCs w:val="24"/>
        </w:rPr>
        <w:t>：4.8～5.2。</w:t>
      </w:r>
    </w:p>
    <w:p w14:paraId="17C59656">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3）</w:t>
      </w:r>
      <w:r>
        <w:rPr>
          <w:rFonts w:hint="default" w:hAnsi="Times New Roman" w:cs="Times New Roman"/>
          <w:b/>
          <w:bCs/>
          <w:sz w:val="24"/>
          <w:szCs w:val="24"/>
          <w:lang w:val="en-US" w:eastAsia="zh-CN"/>
        </w:rPr>
        <w:t>两段逆流酸浸</w:t>
      </w:r>
    </w:p>
    <w:p w14:paraId="2A1C10EE">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b/>
          <w:bCs/>
          <w:sz w:val="24"/>
          <w:szCs w:val="24"/>
          <w:lang w:val="en-US" w:eastAsia="zh-CN"/>
        </w:rPr>
        <w:t>A、</w:t>
      </w:r>
      <w:r>
        <w:rPr>
          <w:rFonts w:hint="default" w:hAnsi="Times New Roman" w:cs="Times New Roman"/>
          <w:b/>
          <w:bCs/>
          <w:sz w:val="24"/>
          <w:szCs w:val="24"/>
          <w:lang w:val="en-US" w:eastAsia="zh-CN"/>
        </w:rPr>
        <w:t>目的：</w:t>
      </w:r>
      <w:r>
        <w:rPr>
          <w:rFonts w:hint="default" w:hAnsi="Times New Roman" w:cs="Times New Roman"/>
          <w:sz w:val="24"/>
          <w:szCs w:val="24"/>
        </w:rPr>
        <w:t>高效浸出富铟渣中的铟</w:t>
      </w:r>
      <w:r>
        <w:rPr>
          <w:rFonts w:hint="eastAsia" w:hAnsi="Times New Roman" w:cs="Times New Roman"/>
          <w:sz w:val="24"/>
          <w:szCs w:val="24"/>
          <w:lang w:eastAsia="zh-CN"/>
        </w:rPr>
        <w:t>；</w:t>
      </w:r>
      <w:r>
        <w:rPr>
          <w:rFonts w:hint="eastAsia" w:hAnsi="Times New Roman" w:cs="Times New Roman"/>
          <w:sz w:val="24"/>
          <w:szCs w:val="24"/>
          <w:lang w:val="en-US" w:eastAsia="zh-CN"/>
        </w:rPr>
        <w:t>同时</w:t>
      </w:r>
      <w:r>
        <w:rPr>
          <w:rFonts w:hint="default" w:hAnsi="Times New Roman" w:cs="Times New Roman"/>
          <w:sz w:val="24"/>
          <w:szCs w:val="24"/>
        </w:rPr>
        <w:t>强化铅、银</w:t>
      </w:r>
      <w:r>
        <w:rPr>
          <w:rFonts w:hint="eastAsia" w:hAnsi="Times New Roman" w:cs="Times New Roman"/>
          <w:sz w:val="24"/>
          <w:szCs w:val="24"/>
          <w:lang w:val="en-US" w:eastAsia="zh-CN"/>
        </w:rPr>
        <w:t>在铅</w:t>
      </w:r>
      <w:r>
        <w:rPr>
          <w:rFonts w:hint="default" w:hAnsi="Times New Roman" w:cs="Times New Roman"/>
          <w:sz w:val="24"/>
          <w:szCs w:val="24"/>
        </w:rPr>
        <w:t>渣中富集</w:t>
      </w:r>
      <w:r>
        <w:rPr>
          <w:rFonts w:hint="eastAsia" w:hAnsi="Times New Roman" w:cs="Times New Roman"/>
          <w:sz w:val="24"/>
          <w:szCs w:val="24"/>
          <w:lang w:eastAsia="zh-CN"/>
        </w:rPr>
        <w:t>，</w:t>
      </w:r>
      <w:r>
        <w:rPr>
          <w:rFonts w:hint="eastAsia" w:hAnsi="Times New Roman" w:cs="Times New Roman"/>
          <w:sz w:val="24"/>
          <w:szCs w:val="24"/>
          <w:lang w:val="en-US" w:eastAsia="zh-CN"/>
        </w:rPr>
        <w:t>铅渣</w:t>
      </w:r>
      <w:r>
        <w:rPr>
          <w:rFonts w:hint="default" w:hAnsi="Times New Roman" w:cs="Times New Roman"/>
          <w:sz w:val="24"/>
          <w:szCs w:val="24"/>
        </w:rPr>
        <w:t>直接返回</w:t>
      </w:r>
      <w:r>
        <w:rPr>
          <w:rFonts w:hint="eastAsia" w:hAnsi="Times New Roman" w:cs="Times New Roman"/>
          <w:sz w:val="24"/>
          <w:szCs w:val="24"/>
          <w:lang w:val="en-US" w:eastAsia="zh-CN"/>
        </w:rPr>
        <w:t>火法炼铅</w:t>
      </w:r>
      <w:r>
        <w:rPr>
          <w:rFonts w:hint="default" w:hAnsi="Times New Roman" w:cs="Times New Roman"/>
          <w:sz w:val="24"/>
          <w:szCs w:val="24"/>
        </w:rPr>
        <w:t>熔炼系统，实现铅、银的闭环回收。</w:t>
      </w:r>
    </w:p>
    <w:p w14:paraId="3469C081">
      <w:pPr>
        <w:pStyle w:val="27"/>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B、工艺过程</w:t>
      </w:r>
    </w:p>
    <w:p w14:paraId="4AE2964D">
      <w:pPr>
        <w:pStyle w:val="27"/>
        <w:tabs>
          <w:tab w:val="center" w:pos="4201"/>
          <w:tab w:val="right" w:leader="dot" w:pos="9298"/>
        </w:tabs>
        <w:spacing w:line="360" w:lineRule="auto"/>
        <w:rPr>
          <w:rFonts w:hint="eastAsia" w:hAnsi="Times New Roman" w:cs="Times New Roman"/>
          <w:sz w:val="24"/>
          <w:szCs w:val="24"/>
          <w:lang w:val="en-US" w:eastAsia="zh-CN"/>
        </w:rPr>
      </w:pPr>
      <w:r>
        <w:rPr>
          <w:rFonts w:hint="eastAsia" w:hAnsi="Times New Roman" w:cs="Times New Roman"/>
          <w:sz w:val="24"/>
          <w:szCs w:val="24"/>
        </w:rPr>
        <w:t>使用二次酸浸后液作为浸出液，对中性浸出渣进行一次酸浸，产出的含铟浸出液回收铟，浸出渣进行二次酸浸，产出的二次酸浸后液返回一次酸浸，铅渣（富集铅、银）送火法炼铅系统回收铅、银。</w:t>
      </w:r>
    </w:p>
    <w:p w14:paraId="3E7515BC">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C、技术要求</w:t>
      </w:r>
    </w:p>
    <w:p w14:paraId="6D65FC8B">
      <w:pPr>
        <w:pStyle w:val="27"/>
        <w:tabs>
          <w:tab w:val="center" w:pos="4201"/>
          <w:tab w:val="right" w:leader="dot" w:pos="9298"/>
        </w:tabs>
        <w:spacing w:line="360" w:lineRule="auto"/>
        <w:rPr>
          <w:rFonts w:hint="default" w:hAnsi="Times New Roman" w:cs="Times New Roman"/>
          <w:sz w:val="24"/>
          <w:szCs w:val="24"/>
        </w:rPr>
      </w:pPr>
      <w:r>
        <w:rPr>
          <w:rFonts w:hint="eastAsia" w:hAnsi="Times New Roman" w:cs="Times New Roman"/>
          <w:sz w:val="24"/>
          <w:szCs w:val="24"/>
        </w:rPr>
        <w:t>两段逆流酸浸：一段浸出终点酸30 g/L～80 g/L，二段浸出终点酸140 g/L～200 g/L。</w:t>
      </w:r>
    </w:p>
    <w:p w14:paraId="1C62A2E4">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4）回收铟</w:t>
      </w:r>
    </w:p>
    <w:p w14:paraId="38A0D01E">
      <w:pPr>
        <w:pStyle w:val="27"/>
        <w:tabs>
          <w:tab w:val="center" w:pos="4201"/>
          <w:tab w:val="right" w:leader="dot" w:pos="9298"/>
        </w:tabs>
        <w:spacing w:line="360" w:lineRule="auto"/>
        <w:rPr>
          <w:rFonts w:hint="default" w:hAnsi="Times New Roman" w:eastAsia="宋体" w:cs="Times New Roman"/>
          <w:sz w:val="24"/>
          <w:szCs w:val="24"/>
          <w:lang w:val="en-US" w:eastAsia="zh-CN"/>
        </w:rPr>
      </w:pPr>
      <w:r>
        <w:rPr>
          <w:rFonts w:hint="eastAsia" w:hAnsi="Times New Roman" w:cs="Times New Roman"/>
          <w:b/>
          <w:bCs/>
          <w:sz w:val="24"/>
          <w:szCs w:val="24"/>
          <w:lang w:val="en-US" w:eastAsia="zh-CN"/>
        </w:rPr>
        <w:t>A、</w:t>
      </w:r>
      <w:r>
        <w:rPr>
          <w:rFonts w:hint="default" w:hAnsi="Times New Roman" w:cs="Times New Roman"/>
          <w:b/>
          <w:bCs/>
          <w:sz w:val="24"/>
          <w:szCs w:val="24"/>
          <w:lang w:val="en-US" w:eastAsia="zh-CN"/>
        </w:rPr>
        <w:t>目的：</w:t>
      </w:r>
      <w:r>
        <w:rPr>
          <w:rFonts w:hint="default" w:hAnsi="Times New Roman" w:cs="Times New Roman"/>
          <w:sz w:val="24"/>
          <w:szCs w:val="24"/>
        </w:rPr>
        <w:t>从含铟浸出液中提纯铟，产出可外售的铟产品。</w:t>
      </w:r>
    </w:p>
    <w:p w14:paraId="4DF2F7C5">
      <w:pPr>
        <w:pStyle w:val="27"/>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B、工艺过程</w:t>
      </w:r>
    </w:p>
    <w:p w14:paraId="12667A9C">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含铟浸出液经过净化-萃取-置换-精炼后产出铟产品（外售）。</w:t>
      </w:r>
    </w:p>
    <w:p w14:paraId="77FD83F4">
      <w:pPr>
        <w:pStyle w:val="27"/>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C、技术要求</w:t>
      </w:r>
    </w:p>
    <w:p w14:paraId="2EBA20FF">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净化过程控制硅≤100 mg/L，[Fe</w:t>
      </w:r>
      <w:r>
        <w:rPr>
          <w:rFonts w:hint="eastAsia" w:hAnsi="Times New Roman" w:cs="Times New Roman"/>
          <w:sz w:val="24"/>
          <w:szCs w:val="24"/>
          <w:vertAlign w:val="superscript"/>
        </w:rPr>
        <w:t>3+</w:t>
      </w:r>
      <w:r>
        <w:rPr>
          <w:rFonts w:hint="eastAsia" w:hAnsi="Times New Roman" w:cs="Times New Roman"/>
          <w:sz w:val="24"/>
          <w:szCs w:val="24"/>
        </w:rPr>
        <w:t>]≤30 mg/L；</w:t>
      </w:r>
    </w:p>
    <w:p w14:paraId="3FD9393B">
      <w:pPr>
        <w:pStyle w:val="27"/>
        <w:tabs>
          <w:tab w:val="center" w:pos="4201"/>
          <w:tab w:val="right" w:leader="dot" w:pos="9298"/>
        </w:tabs>
        <w:spacing w:line="360" w:lineRule="auto"/>
        <w:rPr>
          <w:rFonts w:hint="eastAsia" w:hAnsi="Times New Roman" w:cs="Times New Roman"/>
          <w:sz w:val="24"/>
          <w:szCs w:val="24"/>
          <w:lang w:eastAsia="zh-CN"/>
        </w:rPr>
      </w:pPr>
      <w:r>
        <w:rPr>
          <w:rFonts w:hint="eastAsia" w:hAnsi="Times New Roman" w:cs="Times New Roman"/>
          <w:sz w:val="24"/>
          <w:szCs w:val="24"/>
        </w:rPr>
        <w:t>萃取过程根据自身原料特点，应设有机相再生工艺</w:t>
      </w:r>
      <w:r>
        <w:rPr>
          <w:rFonts w:hint="eastAsia" w:hAnsi="Times New Roman" w:cs="Times New Roman"/>
          <w:sz w:val="24"/>
          <w:szCs w:val="24"/>
          <w:lang w:eastAsia="zh-CN"/>
        </w:rPr>
        <w:t>；</w:t>
      </w:r>
    </w:p>
    <w:p w14:paraId="4385E7A4">
      <w:pPr>
        <w:pStyle w:val="27"/>
        <w:tabs>
          <w:tab w:val="center" w:pos="4201"/>
          <w:tab w:val="right" w:leader="dot" w:pos="9298"/>
        </w:tabs>
        <w:spacing w:line="360" w:lineRule="auto"/>
        <w:rPr>
          <w:rFonts w:hint="eastAsia" w:hAnsi="Times New Roman" w:cs="Times New Roman"/>
          <w:sz w:val="24"/>
          <w:szCs w:val="24"/>
          <w:lang w:eastAsia="zh-CN"/>
        </w:rPr>
      </w:pPr>
      <w:r>
        <w:rPr>
          <w:rFonts w:hint="eastAsia" w:hAnsi="Times New Roman" w:cs="Times New Roman"/>
          <w:sz w:val="24"/>
          <w:szCs w:val="24"/>
        </w:rPr>
        <w:t>置换作业对应置换率≥9</w:t>
      </w:r>
      <w:r>
        <w:rPr>
          <w:rFonts w:hint="eastAsia" w:cs="Times New Roman"/>
          <w:sz w:val="24"/>
          <w:szCs w:val="24"/>
          <w:lang w:val="en-US" w:eastAsia="zh-CN"/>
        </w:rPr>
        <w:t>8</w:t>
      </w:r>
      <w:r>
        <w:rPr>
          <w:rFonts w:hint="eastAsia" w:hAnsi="Times New Roman" w:cs="Times New Roman"/>
          <w:sz w:val="24"/>
          <w:szCs w:val="24"/>
        </w:rPr>
        <w:t>%。</w:t>
      </w:r>
    </w:p>
    <w:p w14:paraId="09AE2286">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5）中性浸出液处理</w:t>
      </w:r>
    </w:p>
    <w:p w14:paraId="2EA6765C">
      <w:pPr>
        <w:pStyle w:val="27"/>
        <w:tabs>
          <w:tab w:val="center" w:pos="4201"/>
          <w:tab w:val="right" w:leader="dot" w:pos="9298"/>
        </w:tabs>
        <w:spacing w:line="360" w:lineRule="auto"/>
        <w:rPr>
          <w:rFonts w:hint="default" w:hAnsi="Times New Roman" w:eastAsia="宋体" w:cs="Times New Roman"/>
          <w:sz w:val="24"/>
          <w:szCs w:val="24"/>
          <w:lang w:val="en-US" w:eastAsia="zh-CN"/>
        </w:rPr>
      </w:pPr>
      <w:r>
        <w:rPr>
          <w:rFonts w:hint="eastAsia" w:hAnsi="Times New Roman" w:cs="Times New Roman"/>
          <w:b/>
          <w:bCs/>
          <w:sz w:val="24"/>
          <w:szCs w:val="24"/>
          <w:lang w:val="en-US" w:eastAsia="zh-CN"/>
        </w:rPr>
        <w:t>A、</w:t>
      </w:r>
      <w:r>
        <w:rPr>
          <w:rFonts w:hint="default" w:hAnsi="Times New Roman" w:cs="Times New Roman"/>
          <w:b/>
          <w:bCs/>
          <w:sz w:val="24"/>
          <w:szCs w:val="24"/>
          <w:lang w:val="en-US" w:eastAsia="zh-CN"/>
        </w:rPr>
        <w:t>目的：</w:t>
      </w:r>
      <w:r>
        <w:rPr>
          <w:rFonts w:hint="default" w:hAnsi="Times New Roman" w:cs="Times New Roman"/>
          <w:sz w:val="24"/>
          <w:szCs w:val="24"/>
        </w:rPr>
        <w:t>回收锌、镉资源并深度脱除残余有害元素。</w:t>
      </w:r>
    </w:p>
    <w:p w14:paraId="7E6A7569">
      <w:pPr>
        <w:pStyle w:val="27"/>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B、工艺过程</w:t>
      </w:r>
    </w:p>
    <w:p w14:paraId="2B41F2E5">
      <w:pPr>
        <w:pStyle w:val="27"/>
        <w:tabs>
          <w:tab w:val="center" w:pos="4201"/>
          <w:tab w:val="right" w:leader="dot" w:pos="9298"/>
        </w:tabs>
        <w:spacing w:line="360" w:lineRule="auto"/>
        <w:rPr>
          <w:rFonts w:hint="default" w:hAnsi="Times New Roman" w:cs="Times New Roman"/>
          <w:sz w:val="24"/>
          <w:szCs w:val="24"/>
        </w:rPr>
      </w:pPr>
      <w:r>
        <w:rPr>
          <w:rFonts w:hint="eastAsia" w:hAnsi="Times New Roman" w:cs="Times New Roman"/>
          <w:sz w:val="24"/>
          <w:szCs w:val="24"/>
        </w:rPr>
        <w:t>中性浸出液进入湿法炼锌主流程，通过主流程溶液中的铁进行氧化水解脱除砷、锑以及溶液中部分氟、氯，同时实现回收锌、镉等。</w:t>
      </w:r>
    </w:p>
    <w:p w14:paraId="4E7A32BD">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cs="Times New Roman"/>
          <w:b/>
          <w:bCs/>
          <w:sz w:val="24"/>
          <w:szCs w:val="24"/>
          <w:lang w:val="en-US" w:eastAsia="zh-CN"/>
        </w:rPr>
        <w:t xml:space="preserve">4.3.3 </w:t>
      </w:r>
      <w:r>
        <w:rPr>
          <w:rFonts w:hint="default" w:hAnsi="Times New Roman" w:cs="Times New Roman"/>
          <w:b/>
          <w:bCs/>
          <w:sz w:val="24"/>
          <w:szCs w:val="24"/>
          <w:lang w:val="en-US" w:eastAsia="zh-CN"/>
        </w:rPr>
        <w:t>关键工艺关联性</w:t>
      </w:r>
    </w:p>
    <w:p w14:paraId="2F3C7E00">
      <w:pPr>
        <w:pStyle w:val="27"/>
        <w:tabs>
          <w:tab w:val="center" w:pos="4201"/>
          <w:tab w:val="right" w:leader="dot" w:pos="9298"/>
        </w:tabs>
        <w:spacing w:line="360" w:lineRule="auto"/>
        <w:rPr>
          <w:rFonts w:hint="default" w:hAnsi="Times New Roman" w:cs="Times New Roman"/>
          <w:b/>
          <w:bCs/>
          <w:sz w:val="24"/>
          <w:szCs w:val="24"/>
        </w:rPr>
      </w:pPr>
      <w:r>
        <w:rPr>
          <w:rFonts w:hint="eastAsia" w:hAnsi="Times New Roman" w:cs="Times New Roman"/>
          <w:b/>
          <w:bCs/>
          <w:sz w:val="24"/>
          <w:szCs w:val="24"/>
          <w:lang w:val="en-US" w:eastAsia="zh-CN"/>
        </w:rPr>
        <w:t>1）</w:t>
      </w:r>
      <w:r>
        <w:rPr>
          <w:rFonts w:hint="default" w:hAnsi="Times New Roman" w:cs="Times New Roman"/>
          <w:b/>
          <w:bCs/>
          <w:sz w:val="24"/>
          <w:szCs w:val="24"/>
        </w:rPr>
        <w:t>铟的梯级富集</w:t>
      </w:r>
    </w:p>
    <w:p w14:paraId="53E3C2E5">
      <w:pPr>
        <w:pStyle w:val="27"/>
        <w:tabs>
          <w:tab w:val="center" w:pos="4201"/>
          <w:tab w:val="right" w:leader="dot" w:pos="9298"/>
        </w:tabs>
        <w:spacing w:line="360" w:lineRule="auto"/>
        <w:rPr>
          <w:rFonts w:hint="default" w:hAnsi="Times New Roman" w:cs="Times New Roman"/>
          <w:sz w:val="24"/>
          <w:szCs w:val="24"/>
        </w:rPr>
      </w:pPr>
      <w:r>
        <w:rPr>
          <w:rFonts w:hint="default" w:hAnsi="Times New Roman" w:cs="Times New Roman"/>
          <w:sz w:val="24"/>
          <w:szCs w:val="24"/>
        </w:rPr>
        <w:t>中性浸出实现铟初步富集→酸浸选择性提取→萃取</w:t>
      </w:r>
      <w:r>
        <w:rPr>
          <w:rFonts w:hint="eastAsia" w:hAnsi="Times New Roman" w:cs="Times New Roman"/>
          <w:sz w:val="24"/>
          <w:szCs w:val="24"/>
          <w:lang w:val="en-US" w:eastAsia="zh-CN"/>
        </w:rPr>
        <w:t>→</w:t>
      </w:r>
      <w:r>
        <w:rPr>
          <w:rFonts w:hint="default" w:hAnsi="Times New Roman" w:cs="Times New Roman"/>
          <w:sz w:val="24"/>
          <w:szCs w:val="24"/>
        </w:rPr>
        <w:t>精炼，确保铟回收率最大化。</w:t>
      </w:r>
    </w:p>
    <w:p w14:paraId="73EB5D71">
      <w:pPr>
        <w:pStyle w:val="27"/>
        <w:tabs>
          <w:tab w:val="center" w:pos="4201"/>
          <w:tab w:val="right" w:leader="dot" w:pos="9298"/>
        </w:tabs>
        <w:spacing w:line="360" w:lineRule="auto"/>
        <w:rPr>
          <w:rFonts w:hint="default" w:hAnsi="Times New Roman" w:cs="Times New Roman"/>
          <w:b/>
          <w:bCs/>
          <w:sz w:val="24"/>
          <w:szCs w:val="24"/>
        </w:rPr>
      </w:pPr>
      <w:r>
        <w:rPr>
          <w:rFonts w:hint="eastAsia" w:hAnsi="Times New Roman" w:cs="Times New Roman"/>
          <w:b/>
          <w:bCs/>
          <w:sz w:val="24"/>
          <w:szCs w:val="24"/>
          <w:lang w:val="en-US" w:eastAsia="zh-CN"/>
        </w:rPr>
        <w:t>2）</w:t>
      </w:r>
      <w:r>
        <w:rPr>
          <w:rFonts w:hint="default" w:hAnsi="Times New Roman" w:cs="Times New Roman"/>
          <w:b/>
          <w:bCs/>
          <w:sz w:val="24"/>
          <w:szCs w:val="24"/>
        </w:rPr>
        <w:t>有害元素控制</w:t>
      </w:r>
    </w:p>
    <w:p w14:paraId="1EDE062E">
      <w:pPr>
        <w:pStyle w:val="27"/>
        <w:tabs>
          <w:tab w:val="center" w:pos="4201"/>
          <w:tab w:val="right" w:leader="dot" w:pos="9298"/>
        </w:tabs>
        <w:spacing w:line="360" w:lineRule="auto"/>
        <w:rPr>
          <w:rFonts w:hint="default" w:hAnsi="Times New Roman" w:cs="Times New Roman"/>
          <w:sz w:val="24"/>
          <w:szCs w:val="24"/>
        </w:rPr>
      </w:pPr>
      <w:r>
        <w:rPr>
          <w:rFonts w:hint="default" w:hAnsi="Times New Roman" w:cs="Times New Roman"/>
          <w:sz w:val="24"/>
          <w:szCs w:val="24"/>
        </w:rPr>
        <w:t>预处理脱氟氯为酸浸创造条件，避免设备腐蚀；</w:t>
      </w:r>
    </w:p>
    <w:p w14:paraId="2C6501EC">
      <w:pPr>
        <w:pStyle w:val="27"/>
        <w:tabs>
          <w:tab w:val="center" w:pos="4201"/>
          <w:tab w:val="right" w:leader="dot" w:pos="9298"/>
        </w:tabs>
        <w:spacing w:line="360" w:lineRule="auto"/>
        <w:rPr>
          <w:rFonts w:hint="default" w:hAnsi="Times New Roman" w:cs="Times New Roman"/>
          <w:sz w:val="24"/>
          <w:szCs w:val="24"/>
        </w:rPr>
      </w:pPr>
      <w:r>
        <w:rPr>
          <w:rFonts w:hint="default" w:hAnsi="Times New Roman" w:cs="Times New Roman"/>
          <w:sz w:val="24"/>
          <w:szCs w:val="24"/>
        </w:rPr>
        <w:t>中性浸出液通过湿法主流程氧化水解深度脱砷、锑。</w:t>
      </w:r>
    </w:p>
    <w:p w14:paraId="73436DDC">
      <w:pPr>
        <w:pStyle w:val="27"/>
        <w:tabs>
          <w:tab w:val="center" w:pos="4201"/>
          <w:tab w:val="right" w:leader="dot" w:pos="9298"/>
        </w:tabs>
        <w:spacing w:line="360" w:lineRule="auto"/>
        <w:rPr>
          <w:rFonts w:hint="default" w:hAnsi="Times New Roman" w:cs="Times New Roman"/>
          <w:b/>
          <w:bCs/>
          <w:sz w:val="24"/>
          <w:szCs w:val="24"/>
        </w:rPr>
      </w:pPr>
      <w:r>
        <w:rPr>
          <w:rFonts w:hint="eastAsia" w:hAnsi="Times New Roman" w:cs="Times New Roman"/>
          <w:b/>
          <w:bCs/>
          <w:sz w:val="24"/>
          <w:szCs w:val="24"/>
          <w:lang w:val="en-US" w:eastAsia="zh-CN"/>
        </w:rPr>
        <w:t>3）</w:t>
      </w:r>
      <w:r>
        <w:rPr>
          <w:rFonts w:hint="default" w:hAnsi="Times New Roman" w:cs="Times New Roman"/>
          <w:b/>
          <w:bCs/>
          <w:sz w:val="24"/>
          <w:szCs w:val="24"/>
        </w:rPr>
        <w:t>资源循环</w:t>
      </w:r>
    </w:p>
    <w:p w14:paraId="3BA19621">
      <w:pPr>
        <w:pStyle w:val="27"/>
        <w:tabs>
          <w:tab w:val="center" w:pos="4201"/>
          <w:tab w:val="right" w:leader="dot" w:pos="9298"/>
        </w:tabs>
        <w:spacing w:line="360" w:lineRule="auto"/>
        <w:rPr>
          <w:rFonts w:hint="default" w:hAnsi="Times New Roman" w:cs="Times New Roman"/>
          <w:sz w:val="24"/>
          <w:szCs w:val="24"/>
        </w:rPr>
      </w:pPr>
      <w:r>
        <w:rPr>
          <w:rFonts w:hint="default" w:hAnsi="Times New Roman" w:cs="Times New Roman"/>
          <w:sz w:val="24"/>
          <w:szCs w:val="24"/>
        </w:rPr>
        <w:t>铅渣返炼铅系统回收铅、银；</w:t>
      </w:r>
    </w:p>
    <w:p w14:paraId="10E5BD74">
      <w:pPr>
        <w:pStyle w:val="27"/>
        <w:tabs>
          <w:tab w:val="center" w:pos="4201"/>
          <w:tab w:val="right" w:leader="dot" w:pos="9298"/>
        </w:tabs>
        <w:spacing w:line="360" w:lineRule="auto"/>
        <w:rPr>
          <w:rFonts w:hint="default" w:hAnsi="Times New Roman" w:cs="Times New Roman"/>
          <w:sz w:val="24"/>
          <w:szCs w:val="24"/>
        </w:rPr>
      </w:pPr>
      <w:r>
        <w:rPr>
          <w:rFonts w:hint="default" w:hAnsi="Times New Roman" w:cs="Times New Roman"/>
          <w:sz w:val="24"/>
          <w:szCs w:val="24"/>
        </w:rPr>
        <w:t>中性浸出液返锌主流程回收锌、镉，形成</w:t>
      </w:r>
      <w:r>
        <w:rPr>
          <w:rFonts w:hint="eastAsia" w:hAnsi="Times New Roman" w:cs="Times New Roman"/>
          <w:sz w:val="24"/>
          <w:szCs w:val="24"/>
          <w:lang w:eastAsia="zh-CN"/>
        </w:rPr>
        <w:t>“</w:t>
      </w:r>
      <w:r>
        <w:rPr>
          <w:rFonts w:hint="default" w:hAnsi="Times New Roman" w:cs="Times New Roman"/>
          <w:sz w:val="24"/>
          <w:szCs w:val="24"/>
        </w:rPr>
        <w:t>铟-铅-银-锌-镉</w:t>
      </w:r>
      <w:r>
        <w:rPr>
          <w:rFonts w:hint="eastAsia" w:hAnsi="Times New Roman" w:cs="Times New Roman"/>
          <w:sz w:val="24"/>
          <w:szCs w:val="24"/>
          <w:lang w:eastAsia="zh-CN"/>
        </w:rPr>
        <w:t>”</w:t>
      </w:r>
      <w:r>
        <w:rPr>
          <w:rFonts w:hint="default" w:hAnsi="Times New Roman" w:cs="Times New Roman"/>
          <w:sz w:val="24"/>
          <w:szCs w:val="24"/>
        </w:rPr>
        <w:t>全元素回收链。</w:t>
      </w:r>
    </w:p>
    <w:p w14:paraId="4A336501">
      <w:pPr>
        <w:pStyle w:val="27"/>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4.4 富铟锗氧化锌烟尘回收工艺过程和技术要求</w:t>
      </w:r>
    </w:p>
    <w:p w14:paraId="48E32E46">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cs="Times New Roman"/>
          <w:b/>
          <w:bCs/>
          <w:sz w:val="24"/>
          <w:szCs w:val="24"/>
          <w:lang w:val="en-US" w:eastAsia="zh-CN"/>
        </w:rPr>
        <w:t xml:space="preserve">4.4.1 </w:t>
      </w:r>
      <w:r>
        <w:rPr>
          <w:rFonts w:hint="default" w:hAnsi="Times New Roman" w:cs="Times New Roman"/>
          <w:b/>
          <w:bCs/>
          <w:sz w:val="24"/>
          <w:szCs w:val="24"/>
          <w:lang w:val="en-US" w:eastAsia="zh-CN"/>
        </w:rPr>
        <w:t>工艺流程图概述</w:t>
      </w:r>
    </w:p>
    <w:p w14:paraId="30400C1D">
      <w:pPr>
        <w:pStyle w:val="27"/>
        <w:tabs>
          <w:tab w:val="center" w:pos="4201"/>
          <w:tab w:val="right" w:leader="dot" w:pos="9298"/>
        </w:tabs>
        <w:spacing w:line="360" w:lineRule="auto"/>
        <w:rPr>
          <w:rFonts w:hint="default" w:hAnsi="Times New Roman" w:cs="Times New Roman"/>
          <w:sz w:val="24"/>
          <w:szCs w:val="24"/>
          <w:lang w:val="en-US" w:eastAsia="zh-CN"/>
        </w:rPr>
      </w:pPr>
      <w:r>
        <w:rPr>
          <w:rFonts w:hint="default" w:hAnsi="Times New Roman" w:cs="Times New Roman"/>
          <w:sz w:val="24"/>
          <w:szCs w:val="24"/>
          <w:lang w:val="en-US" w:eastAsia="zh-CN"/>
        </w:rPr>
        <w:t>富铟锗氧化锌烟尘回收工艺（图3）通过</w:t>
      </w:r>
      <w:r>
        <w:rPr>
          <w:rFonts w:hint="eastAsia" w:hAnsi="Times New Roman" w:cs="Times New Roman"/>
          <w:sz w:val="24"/>
          <w:szCs w:val="24"/>
          <w:lang w:val="en-US" w:eastAsia="zh-CN"/>
        </w:rPr>
        <w:t>“</w:t>
      </w:r>
      <w:r>
        <w:rPr>
          <w:rFonts w:hint="default" w:hAnsi="Times New Roman" w:cs="Times New Roman"/>
          <w:sz w:val="24"/>
          <w:szCs w:val="24"/>
          <w:lang w:val="en-US" w:eastAsia="zh-CN"/>
        </w:rPr>
        <w:t>预处理脱氟氯→</w:t>
      </w:r>
      <w:r>
        <w:rPr>
          <w:rFonts w:hint="eastAsia" w:hAnsi="Times New Roman" w:cs="Times New Roman"/>
          <w:sz w:val="24"/>
          <w:szCs w:val="24"/>
          <w:lang w:val="en-US" w:eastAsia="zh-CN"/>
        </w:rPr>
        <w:t>预中和</w:t>
      </w:r>
      <w:r>
        <w:rPr>
          <w:rFonts w:hint="default" w:hAnsi="Times New Roman" w:cs="Times New Roman"/>
          <w:sz w:val="24"/>
          <w:szCs w:val="24"/>
          <w:lang w:val="en-US" w:eastAsia="zh-CN"/>
        </w:rPr>
        <w:t>→</w:t>
      </w:r>
      <w:r>
        <w:rPr>
          <w:rFonts w:hint="eastAsia" w:hAnsi="Times New Roman" w:cs="Times New Roman"/>
          <w:sz w:val="24"/>
          <w:szCs w:val="24"/>
          <w:lang w:val="en-US" w:eastAsia="zh-CN"/>
        </w:rPr>
        <w:t>富集铟锗</w:t>
      </w:r>
      <w:r>
        <w:rPr>
          <w:rFonts w:hint="default" w:hAnsi="Times New Roman" w:cs="Times New Roman"/>
          <w:sz w:val="24"/>
          <w:szCs w:val="24"/>
          <w:lang w:val="en-US" w:eastAsia="zh-CN"/>
        </w:rPr>
        <w:t>→</w:t>
      </w:r>
      <w:r>
        <w:rPr>
          <w:rFonts w:hint="eastAsia" w:hAnsi="Times New Roman" w:cs="Times New Roman"/>
          <w:sz w:val="24"/>
          <w:szCs w:val="24"/>
          <w:lang w:val="en-US" w:eastAsia="zh-CN"/>
        </w:rPr>
        <w:t>含铟锗富集物分离处理”四</w:t>
      </w:r>
      <w:r>
        <w:rPr>
          <w:rFonts w:hint="default" w:hAnsi="Times New Roman" w:cs="Times New Roman"/>
          <w:sz w:val="24"/>
          <w:szCs w:val="24"/>
          <w:lang w:val="en-US" w:eastAsia="zh-CN"/>
        </w:rPr>
        <w:t>步核心工序，实现铟、锗协同回收及资源循环利用。</w:t>
      </w:r>
    </w:p>
    <w:p w14:paraId="02CA152F">
      <w:pPr>
        <w:pStyle w:val="27"/>
        <w:tabs>
          <w:tab w:val="center" w:pos="4201"/>
          <w:tab w:val="right" w:leader="dot" w:pos="9298"/>
        </w:tabs>
        <w:spacing w:line="360" w:lineRule="auto"/>
        <w:rPr>
          <w:rFonts w:hint="default" w:hAnsi="Times New Roman" w:cs="Times New Roman"/>
          <w:sz w:val="24"/>
          <w:szCs w:val="24"/>
          <w:lang w:val="en-US" w:eastAsia="zh-CN"/>
        </w:rPr>
      </w:pPr>
      <w:r>
        <w:rPr>
          <w:rFonts w:hint="default" w:hAnsi="Times New Roman" w:cs="Times New Roman"/>
          <w:sz w:val="24"/>
          <w:szCs w:val="24"/>
          <w:lang w:val="en-US" w:eastAsia="zh-CN"/>
        </w:rPr>
        <w:t>流程设计聚焦铟</w:t>
      </w:r>
      <w:r>
        <w:rPr>
          <w:rFonts w:hint="eastAsia" w:hAnsi="Times New Roman" w:cs="Times New Roman"/>
          <w:sz w:val="24"/>
          <w:szCs w:val="24"/>
          <w:lang w:val="en-US" w:eastAsia="zh-CN"/>
        </w:rPr>
        <w:t>、</w:t>
      </w:r>
      <w:r>
        <w:rPr>
          <w:rFonts w:hint="default" w:hAnsi="Times New Roman" w:cs="Times New Roman"/>
          <w:sz w:val="24"/>
          <w:szCs w:val="24"/>
          <w:lang w:val="en-US" w:eastAsia="zh-CN"/>
        </w:rPr>
        <w:t>锗的分步提取与有害元素协同脱除，兼顾其余有价元素高效回收，满足环保合规性要求。</w:t>
      </w:r>
    </w:p>
    <w:p w14:paraId="4F7F3820">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cs="Times New Roman"/>
          <w:b/>
          <w:bCs/>
          <w:sz w:val="24"/>
          <w:szCs w:val="24"/>
          <w:lang w:val="en-US" w:eastAsia="zh-CN"/>
        </w:rPr>
        <w:t xml:space="preserve">4.4.2 </w:t>
      </w:r>
      <w:r>
        <w:rPr>
          <w:rFonts w:hint="default" w:hAnsi="Times New Roman" w:cs="Times New Roman"/>
          <w:b/>
          <w:bCs/>
          <w:sz w:val="24"/>
          <w:szCs w:val="24"/>
          <w:lang w:val="en-US" w:eastAsia="zh-CN"/>
        </w:rPr>
        <w:t>分步工艺说明</w:t>
      </w:r>
    </w:p>
    <w:p w14:paraId="433D95B6">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1）</w:t>
      </w:r>
      <w:r>
        <w:rPr>
          <w:rFonts w:hint="default" w:hAnsi="Times New Roman" w:cs="Times New Roman"/>
          <w:b/>
          <w:bCs/>
          <w:sz w:val="24"/>
          <w:szCs w:val="24"/>
          <w:lang w:val="en-US" w:eastAsia="zh-CN"/>
        </w:rPr>
        <w:t>预处理脱氟氯</w:t>
      </w:r>
    </w:p>
    <w:p w14:paraId="5BBF7523">
      <w:pPr>
        <w:pStyle w:val="27"/>
        <w:tabs>
          <w:tab w:val="center" w:pos="4201"/>
          <w:tab w:val="right" w:leader="dot" w:pos="9298"/>
        </w:tabs>
        <w:spacing w:line="360" w:lineRule="auto"/>
        <w:rPr>
          <w:rFonts w:hint="default" w:hAnsi="Times New Roman" w:cs="Times New Roman"/>
          <w:sz w:val="24"/>
          <w:szCs w:val="24"/>
          <w:lang w:val="en-US" w:eastAsia="zh-CN"/>
        </w:rPr>
      </w:pPr>
      <w:r>
        <w:rPr>
          <w:rFonts w:hint="eastAsia" w:hAnsi="Times New Roman" w:cs="Times New Roman"/>
          <w:b/>
          <w:bCs/>
          <w:sz w:val="24"/>
          <w:szCs w:val="24"/>
          <w:lang w:val="en-US" w:eastAsia="zh-CN"/>
        </w:rPr>
        <w:t>A、</w:t>
      </w:r>
      <w:r>
        <w:rPr>
          <w:rFonts w:hint="default" w:hAnsi="Times New Roman" w:cs="Times New Roman"/>
          <w:b/>
          <w:bCs/>
          <w:sz w:val="24"/>
          <w:szCs w:val="24"/>
          <w:lang w:val="en-US" w:eastAsia="zh-CN"/>
        </w:rPr>
        <w:t>目的：</w:t>
      </w:r>
      <w:r>
        <w:rPr>
          <w:rFonts w:hint="default" w:hAnsi="Times New Roman" w:cs="Times New Roman"/>
          <w:sz w:val="24"/>
          <w:szCs w:val="24"/>
        </w:rPr>
        <w:t>脱除烟尘中腐蚀性氟、氯元素，避免对后续湿法设备（反应釜、管道）造成腐蚀。</w:t>
      </w:r>
    </w:p>
    <w:p w14:paraId="31336FEE">
      <w:pPr>
        <w:pStyle w:val="27"/>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B、工艺过程</w:t>
      </w:r>
    </w:p>
    <w:p w14:paraId="5D6C81F3">
      <w:pPr>
        <w:pStyle w:val="27"/>
        <w:tabs>
          <w:tab w:val="center" w:pos="4201"/>
          <w:tab w:val="right" w:leader="dot" w:pos="9298"/>
        </w:tabs>
        <w:spacing w:line="360" w:lineRule="auto"/>
        <w:rPr>
          <w:rFonts w:hint="eastAsia"/>
          <w:sz w:val="24"/>
          <w:szCs w:val="24"/>
        </w:rPr>
      </w:pPr>
      <w:r>
        <w:rPr>
          <w:sz w:val="24"/>
          <w:szCs w:val="24"/>
        </w:rPr>
        <w:t>火法（多膛炉或回转窑焙烧）</w:t>
      </w:r>
      <w:r>
        <w:rPr>
          <w:rFonts w:hint="eastAsia"/>
          <w:sz w:val="24"/>
          <w:szCs w:val="24"/>
        </w:rPr>
        <w:t>和</w:t>
      </w:r>
      <w:r>
        <w:rPr>
          <w:sz w:val="24"/>
          <w:szCs w:val="24"/>
        </w:rPr>
        <w:t>湿法（碱洗）</w:t>
      </w:r>
      <w:r>
        <w:rPr>
          <w:rFonts w:hint="eastAsia"/>
          <w:sz w:val="24"/>
          <w:szCs w:val="24"/>
        </w:rPr>
        <w:t>处理方式：</w:t>
      </w:r>
    </w:p>
    <w:p w14:paraId="7004BB13">
      <w:pPr>
        <w:pStyle w:val="45"/>
        <w:numPr>
          <w:ilvl w:val="0"/>
          <w:numId w:val="9"/>
        </w:numPr>
        <w:spacing w:line="360" w:lineRule="auto"/>
        <w:rPr>
          <w:rFonts w:hint="eastAsia"/>
          <w:sz w:val="24"/>
          <w:szCs w:val="24"/>
        </w:rPr>
      </w:pPr>
      <w:r>
        <w:rPr>
          <w:rFonts w:hint="eastAsia"/>
          <w:sz w:val="24"/>
          <w:szCs w:val="24"/>
        </w:rPr>
        <w:t>多膛炉或回转窑焙烧：使用多膛炉或回转窑焙烧对氧化锌烟尘进行脱氟氯，产出高氟氯烟尘外售，脱氟氯氧化锌烟尘送两段逆流酸浸；</w:t>
      </w:r>
    </w:p>
    <w:p w14:paraId="096EA465">
      <w:pPr>
        <w:pStyle w:val="45"/>
        <w:spacing w:line="360" w:lineRule="auto"/>
        <w:rPr>
          <w:rFonts w:hint="eastAsia" w:hAnsi="Times New Roman" w:cs="Times New Roman"/>
          <w:b/>
          <w:bCs/>
          <w:sz w:val="24"/>
          <w:szCs w:val="24"/>
          <w:lang w:val="en-US" w:eastAsia="zh-CN"/>
        </w:rPr>
      </w:pPr>
      <w:r>
        <w:rPr>
          <w:rFonts w:hint="eastAsia"/>
          <w:sz w:val="24"/>
          <w:szCs w:val="24"/>
        </w:rPr>
        <w:t>碱洗洗滤：使用碱液对氧化锌烟尘进行脱氟氯，产出高氟氯废水送水处理，脱氟氯氧化锌烟尘送两段逆流酸浸。</w:t>
      </w:r>
    </w:p>
    <w:p w14:paraId="2EE4DF58">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C、技术要求</w:t>
      </w:r>
    </w:p>
    <w:p w14:paraId="6FF9149E">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预处理脱氟氯工艺：</w:t>
      </w:r>
    </w:p>
    <w:p w14:paraId="0E7AA9EE">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路线（1）多膛炉或回转窑焙烧的氟脱除率≥85%，氯脱除率≥75%；</w:t>
      </w:r>
    </w:p>
    <w:p w14:paraId="1391A183">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路线（2）碱洗洗滤的氟脱除率≥60%，氯脱除率≥</w:t>
      </w:r>
      <w:r>
        <w:rPr>
          <w:rFonts w:hint="eastAsia" w:cs="Times New Roman"/>
          <w:sz w:val="24"/>
          <w:szCs w:val="24"/>
          <w:lang w:val="en-US" w:eastAsia="zh-CN"/>
        </w:rPr>
        <w:t>8</w:t>
      </w:r>
      <w:r>
        <w:rPr>
          <w:rFonts w:hint="eastAsia" w:hAnsi="Times New Roman" w:cs="Times New Roman"/>
          <w:sz w:val="24"/>
          <w:szCs w:val="24"/>
        </w:rPr>
        <w:t>0%。</w:t>
      </w:r>
    </w:p>
    <w:p w14:paraId="4FDAF7A4">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2）预中和</w:t>
      </w:r>
    </w:p>
    <w:p w14:paraId="288344A3">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A、</w:t>
      </w:r>
      <w:r>
        <w:rPr>
          <w:rFonts w:hint="default" w:hAnsi="Times New Roman" w:cs="Times New Roman"/>
          <w:b/>
          <w:bCs/>
          <w:sz w:val="24"/>
          <w:szCs w:val="24"/>
          <w:lang w:val="en-US" w:eastAsia="zh-CN"/>
        </w:rPr>
        <w:t>目的：</w:t>
      </w:r>
      <w:r>
        <w:rPr>
          <w:rFonts w:hint="default" w:hAnsi="Times New Roman" w:cs="Times New Roman"/>
          <w:sz w:val="24"/>
          <w:szCs w:val="24"/>
        </w:rPr>
        <w:t>调节烟尘酸碱性，初步分离锌、镉等非目标金属，使铟、锗以In₂O₃、GeO₂形式富集于渣中。</w:t>
      </w:r>
    </w:p>
    <w:p w14:paraId="5035A182">
      <w:pPr>
        <w:pStyle w:val="27"/>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B、工艺过程</w:t>
      </w:r>
    </w:p>
    <w:p w14:paraId="73CD8DD5">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以脱氟氯氧化锌烟尘作为湿法炼锌浸出液的中和剂，产出的中上清液（含铟锗）送下一步富集铟锗，预中和渣则返回铅系统。</w:t>
      </w:r>
    </w:p>
    <w:p w14:paraId="5F2382E1">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C、技术要求</w:t>
      </w:r>
    </w:p>
    <w:p w14:paraId="5E8B0AB0">
      <w:pPr>
        <w:pStyle w:val="27"/>
        <w:tabs>
          <w:tab w:val="center" w:pos="4201"/>
          <w:tab w:val="right" w:leader="dot" w:pos="9298"/>
        </w:tabs>
        <w:spacing w:line="360" w:lineRule="auto"/>
        <w:rPr>
          <w:rFonts w:hint="default" w:ascii="宋体" w:hAnsi="宋体" w:cs="宋体"/>
          <w:b/>
          <w:bCs/>
          <w:sz w:val="24"/>
          <w:szCs w:val="24"/>
          <w:highlight w:val="none"/>
          <w:lang w:val="en-US" w:eastAsia="zh-CN"/>
        </w:rPr>
      </w:pPr>
      <w:r>
        <w:rPr>
          <w:rFonts w:hint="eastAsia" w:hAnsi="Times New Roman" w:cs="Times New Roman"/>
          <w:sz w:val="24"/>
          <w:szCs w:val="24"/>
          <w:lang w:val="en-US" w:eastAsia="zh-CN"/>
        </w:rPr>
        <w:t>预中和终点pH 1.5～2.0。</w:t>
      </w:r>
    </w:p>
    <w:p w14:paraId="46C427F4">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3）富集铟锗</w:t>
      </w:r>
    </w:p>
    <w:p w14:paraId="67F80B17">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A、</w:t>
      </w:r>
      <w:r>
        <w:rPr>
          <w:rFonts w:hint="default" w:hAnsi="Times New Roman" w:cs="Times New Roman"/>
          <w:b/>
          <w:bCs/>
          <w:sz w:val="24"/>
          <w:szCs w:val="24"/>
          <w:lang w:val="en-US" w:eastAsia="zh-CN"/>
        </w:rPr>
        <w:t>目的：</w:t>
      </w:r>
      <w:r>
        <w:rPr>
          <w:rFonts w:hint="default" w:ascii="Segoe UI" w:hAnsi="Segoe UI" w:eastAsia="Segoe UI" w:cs="Segoe UI"/>
          <w:i w:val="0"/>
          <w:iCs w:val="0"/>
          <w:caps w:val="0"/>
          <w:spacing w:val="0"/>
          <w:sz w:val="24"/>
          <w:szCs w:val="24"/>
          <w:shd w:val="clear" w:fill="FFFFFF"/>
        </w:rPr>
        <w:t> </w:t>
      </w:r>
      <w:r>
        <w:rPr>
          <w:rFonts w:hint="eastAsia" w:hAnsi="Times New Roman" w:cs="Times New Roman"/>
          <w:sz w:val="24"/>
          <w:szCs w:val="24"/>
          <w:lang w:val="en-US" w:eastAsia="zh-CN"/>
        </w:rPr>
        <w:t>通过多段逆向净化置换铟锗实现初步富集，选择性酸洗渣含锌，进一步富集铟、锗产出含铟锗多金属富集物</w:t>
      </w:r>
      <w:r>
        <w:rPr>
          <w:rFonts w:hint="default" w:hAnsi="Times New Roman" w:cs="Times New Roman"/>
          <w:sz w:val="24"/>
          <w:szCs w:val="24"/>
        </w:rPr>
        <w:t>。</w:t>
      </w:r>
    </w:p>
    <w:p w14:paraId="5B80EE3C">
      <w:pPr>
        <w:pStyle w:val="27"/>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B、工艺过程</w:t>
      </w:r>
    </w:p>
    <w:p w14:paraId="561C51EE">
      <w:pPr>
        <w:pStyle w:val="27"/>
        <w:tabs>
          <w:tab w:val="center" w:pos="4201"/>
          <w:tab w:val="right" w:leader="dot" w:pos="9298"/>
        </w:tabs>
        <w:spacing w:line="360" w:lineRule="auto"/>
        <w:rPr>
          <w:rFonts w:hint="eastAsia" w:hAnsi="Times New Roman" w:cs="Times New Roman"/>
          <w:sz w:val="24"/>
          <w:szCs w:val="24"/>
          <w:lang w:val="en-US" w:eastAsia="zh-CN"/>
        </w:rPr>
      </w:pPr>
      <w:r>
        <w:rPr>
          <w:rFonts w:hint="eastAsia" w:hAnsi="Times New Roman" w:cs="Times New Roman"/>
          <w:sz w:val="24"/>
          <w:szCs w:val="24"/>
          <w:lang w:val="en-US" w:eastAsia="zh-CN"/>
        </w:rPr>
        <w:t>通过锌粉对中上清液进行多段逆向净化，置换沉铟锗，产出含铟渣多金属净化渣；然后通过选择性酸洗进一步降低渣含锌，提高渣中铟锗含量，产出含铟锗多金属富集物。</w:t>
      </w:r>
    </w:p>
    <w:p w14:paraId="129AD123">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C、技术要求</w:t>
      </w:r>
    </w:p>
    <w:p w14:paraId="62755260">
      <w:pPr>
        <w:pStyle w:val="27"/>
        <w:tabs>
          <w:tab w:val="center" w:pos="4201"/>
          <w:tab w:val="right" w:leader="dot" w:pos="9298"/>
        </w:tabs>
        <w:spacing w:line="360" w:lineRule="auto"/>
        <w:rPr>
          <w:rFonts w:hint="eastAsia" w:hAnsi="Times New Roman" w:cs="Times New Roman"/>
          <w:sz w:val="24"/>
          <w:szCs w:val="24"/>
          <w:lang w:val="en-US" w:eastAsia="zh-CN"/>
        </w:rPr>
      </w:pPr>
      <w:r>
        <w:rPr>
          <w:rFonts w:hint="eastAsia" w:hAnsi="Times New Roman" w:cs="Times New Roman"/>
          <w:sz w:val="24"/>
          <w:szCs w:val="24"/>
          <w:lang w:val="en-US" w:eastAsia="zh-CN"/>
        </w:rPr>
        <w:t>选择性酸洗：酸洗液 pH 3.0～4.5；酸洗渣控制要求：Zn＜10%、In＞0.7%、Ge＞0.45%。</w:t>
      </w:r>
    </w:p>
    <w:p w14:paraId="34E4A80B">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4）含铟锗富集物分离处理</w:t>
      </w:r>
    </w:p>
    <w:p w14:paraId="225DD14D">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A、</w:t>
      </w:r>
      <w:r>
        <w:rPr>
          <w:rFonts w:hint="default" w:hAnsi="Times New Roman" w:cs="Times New Roman"/>
          <w:b/>
          <w:bCs/>
          <w:sz w:val="24"/>
          <w:szCs w:val="24"/>
          <w:lang w:val="en-US" w:eastAsia="zh-CN"/>
        </w:rPr>
        <w:t>目的：</w:t>
      </w:r>
      <w:r>
        <w:rPr>
          <w:rFonts w:hint="default" w:hAnsi="Times New Roman" w:cs="Times New Roman"/>
          <w:sz w:val="24"/>
          <w:szCs w:val="24"/>
        </w:rPr>
        <w:t>从含铟锗浸出液中分步提纯铟、锗，产出可外售产品。</w:t>
      </w:r>
    </w:p>
    <w:p w14:paraId="765999B6">
      <w:pPr>
        <w:pStyle w:val="27"/>
        <w:tabs>
          <w:tab w:val="center" w:pos="4201"/>
          <w:tab w:val="right" w:leader="dot" w:pos="9298"/>
        </w:tabs>
        <w:spacing w:line="360" w:lineRule="auto"/>
        <w:rPr>
          <w:rFonts w:hint="eastAsia" w:hAnsi="Times New Roman" w:cs="Times New Roman"/>
          <w:b/>
          <w:bCs/>
          <w:sz w:val="24"/>
          <w:szCs w:val="24"/>
          <w:lang w:val="en-US" w:eastAsia="zh-CN"/>
        </w:rPr>
      </w:pPr>
      <w:r>
        <w:rPr>
          <w:rFonts w:hint="eastAsia" w:hAnsi="Times New Roman" w:cs="Times New Roman"/>
          <w:b/>
          <w:bCs/>
          <w:sz w:val="24"/>
          <w:szCs w:val="24"/>
          <w:lang w:val="en-US" w:eastAsia="zh-CN"/>
        </w:rPr>
        <w:t>B、工艺过程</w:t>
      </w:r>
    </w:p>
    <w:p w14:paraId="3408ABBC">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含铟锗多金属富集物通过富氧浸出，产出铟锗浸出液，经萃取产出富铟反萃液、含锗萃余液：</w:t>
      </w:r>
    </w:p>
    <w:p w14:paraId="30B5B179">
      <w:pPr>
        <w:pStyle w:val="27"/>
        <w:numPr>
          <w:ilvl w:val="0"/>
          <w:numId w:val="10"/>
        </w:numPr>
        <w:tabs>
          <w:tab w:val="center" w:pos="4201"/>
          <w:tab w:val="right" w:leader="dot" w:pos="9298"/>
        </w:tabs>
        <w:spacing w:line="360" w:lineRule="auto"/>
        <w:ind w:firstLine="420"/>
        <w:rPr>
          <w:rFonts w:hint="eastAsia"/>
          <w:sz w:val="24"/>
          <w:szCs w:val="24"/>
        </w:rPr>
      </w:pPr>
      <w:r>
        <w:rPr>
          <w:rFonts w:hint="eastAsia"/>
          <w:sz w:val="24"/>
          <w:szCs w:val="24"/>
        </w:rPr>
        <w:t>富铟反萃液：经过置换-精炼产出铟产品（外售）；</w:t>
      </w:r>
    </w:p>
    <w:p w14:paraId="7D6FDC1A">
      <w:pPr>
        <w:pStyle w:val="27"/>
        <w:numPr>
          <w:ilvl w:val="0"/>
          <w:numId w:val="10"/>
        </w:numPr>
        <w:tabs>
          <w:tab w:val="center" w:pos="4201"/>
          <w:tab w:val="right" w:leader="dot" w:pos="9298"/>
        </w:tabs>
        <w:spacing w:line="360" w:lineRule="auto"/>
        <w:ind w:firstLine="420"/>
        <w:rPr>
          <w:rFonts w:hint="eastAsia"/>
          <w:sz w:val="24"/>
          <w:szCs w:val="24"/>
        </w:rPr>
      </w:pPr>
      <w:r>
        <w:rPr>
          <w:rFonts w:hint="eastAsia"/>
          <w:sz w:val="24"/>
          <w:szCs w:val="24"/>
        </w:rPr>
        <w:t>含锗萃余液：经过单宁沉锗产出单宁渣（外售或送锗回收）。</w:t>
      </w:r>
    </w:p>
    <w:p w14:paraId="5CA398B7">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hAnsi="Times New Roman" w:cs="Times New Roman"/>
          <w:b/>
          <w:bCs/>
          <w:sz w:val="24"/>
          <w:szCs w:val="24"/>
          <w:lang w:val="en-US" w:eastAsia="zh-CN"/>
        </w:rPr>
        <w:t>C、技术要求</w:t>
      </w:r>
    </w:p>
    <w:p w14:paraId="7C0E60D9">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富氧浸出工艺控制要求：一段浸出釜压150 kPa～280 kPa、釜温95℃～118℃；二段浸出釜压150～480kPa、釜温100℃～118℃；三段浸出反应时间≥2 h、始酸≥120 g/l、温度≥80℃。</w:t>
      </w:r>
    </w:p>
    <w:p w14:paraId="74467248">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萃取直收率：In＞90%，Ge＞90%。</w:t>
      </w:r>
    </w:p>
    <w:p w14:paraId="6B3A85B2">
      <w:pPr>
        <w:pStyle w:val="27"/>
        <w:tabs>
          <w:tab w:val="center" w:pos="4201"/>
          <w:tab w:val="right" w:leader="dot" w:pos="9298"/>
        </w:tabs>
        <w:spacing w:line="360" w:lineRule="auto"/>
        <w:rPr>
          <w:rFonts w:hint="eastAsia" w:hAnsi="Times New Roman" w:cs="Times New Roman"/>
          <w:sz w:val="24"/>
          <w:szCs w:val="24"/>
        </w:rPr>
      </w:pPr>
      <w:r>
        <w:rPr>
          <w:rFonts w:hint="eastAsia" w:hAnsi="Times New Roman" w:cs="Times New Roman"/>
          <w:sz w:val="24"/>
          <w:szCs w:val="24"/>
        </w:rPr>
        <w:t>置换：置换后液In＜5 mg/L、Ge＜2 mg/L、pH 3.0～5.0</w:t>
      </w:r>
      <w:r>
        <w:rPr>
          <w:rFonts w:hint="eastAsia" w:cs="Times New Roman"/>
          <w:sz w:val="24"/>
          <w:szCs w:val="24"/>
          <w:lang w:eastAsia="zh-CN"/>
        </w:rPr>
        <w:t>；</w:t>
      </w:r>
      <w:r>
        <w:rPr>
          <w:rFonts w:hint="eastAsia"/>
          <w:lang w:val="en-US" w:eastAsia="zh-CN"/>
        </w:rPr>
        <w:t>铟置换率</w:t>
      </w:r>
      <w:r>
        <w:rPr>
          <w:rFonts w:hint="eastAsia"/>
        </w:rPr>
        <w:t>≥98%</w:t>
      </w:r>
      <w:r>
        <w:rPr>
          <w:rFonts w:hint="eastAsia" w:hAnsi="Times New Roman" w:cs="Times New Roman"/>
          <w:sz w:val="24"/>
          <w:szCs w:val="24"/>
        </w:rPr>
        <w:t>。</w:t>
      </w:r>
    </w:p>
    <w:p w14:paraId="7B5E17FC">
      <w:pPr>
        <w:pStyle w:val="27"/>
        <w:tabs>
          <w:tab w:val="center" w:pos="4201"/>
          <w:tab w:val="right" w:leader="dot" w:pos="9298"/>
        </w:tabs>
        <w:spacing w:line="360" w:lineRule="auto"/>
        <w:rPr>
          <w:rFonts w:hint="default" w:ascii="宋体" w:hAnsi="宋体" w:cs="宋体"/>
          <w:b/>
          <w:bCs/>
          <w:sz w:val="24"/>
          <w:szCs w:val="24"/>
          <w:highlight w:val="none"/>
          <w:lang w:val="en-US" w:eastAsia="zh-CN"/>
        </w:rPr>
      </w:pPr>
      <w:r>
        <w:rPr>
          <w:rFonts w:hint="eastAsia" w:hAnsi="Times New Roman" w:cs="Times New Roman"/>
          <w:sz w:val="24"/>
          <w:szCs w:val="24"/>
        </w:rPr>
        <w:t>单宁沉锗沉锗率≥95%。</w:t>
      </w:r>
    </w:p>
    <w:p w14:paraId="20E96C65">
      <w:pPr>
        <w:pStyle w:val="27"/>
        <w:tabs>
          <w:tab w:val="center" w:pos="4201"/>
          <w:tab w:val="right" w:leader="dot" w:pos="9298"/>
        </w:tabs>
        <w:spacing w:line="360" w:lineRule="auto"/>
        <w:rPr>
          <w:rFonts w:hint="default" w:hAnsi="Times New Roman" w:cs="Times New Roman"/>
          <w:b/>
          <w:bCs/>
          <w:sz w:val="24"/>
          <w:szCs w:val="24"/>
          <w:lang w:val="en-US" w:eastAsia="zh-CN"/>
        </w:rPr>
      </w:pPr>
      <w:r>
        <w:rPr>
          <w:rFonts w:hint="eastAsia" w:cs="Times New Roman"/>
          <w:b/>
          <w:bCs/>
          <w:sz w:val="24"/>
          <w:szCs w:val="24"/>
          <w:lang w:val="en-US" w:eastAsia="zh-CN"/>
        </w:rPr>
        <w:t xml:space="preserve">4.4.3 </w:t>
      </w:r>
      <w:r>
        <w:rPr>
          <w:rFonts w:hint="default" w:hAnsi="Times New Roman" w:cs="Times New Roman"/>
          <w:b/>
          <w:bCs/>
          <w:sz w:val="24"/>
          <w:szCs w:val="24"/>
          <w:lang w:val="en-US" w:eastAsia="zh-CN"/>
        </w:rPr>
        <w:t>关键工艺关联性</w:t>
      </w:r>
    </w:p>
    <w:p w14:paraId="48BF2208">
      <w:pPr>
        <w:pStyle w:val="27"/>
        <w:tabs>
          <w:tab w:val="center" w:pos="4201"/>
          <w:tab w:val="right" w:leader="dot" w:pos="9298"/>
        </w:tabs>
        <w:spacing w:line="360" w:lineRule="auto"/>
        <w:rPr>
          <w:rFonts w:hint="default" w:hAnsi="Times New Roman" w:cs="Times New Roman"/>
          <w:b/>
          <w:bCs/>
          <w:sz w:val="24"/>
          <w:szCs w:val="24"/>
        </w:rPr>
      </w:pPr>
      <w:r>
        <w:rPr>
          <w:rFonts w:hint="eastAsia" w:hAnsi="Times New Roman" w:cs="Times New Roman"/>
          <w:b/>
          <w:bCs/>
          <w:sz w:val="24"/>
          <w:szCs w:val="24"/>
          <w:lang w:val="en-US" w:eastAsia="zh-CN"/>
        </w:rPr>
        <w:t>1）</w:t>
      </w:r>
      <w:r>
        <w:rPr>
          <w:rFonts w:hint="default" w:hAnsi="Times New Roman" w:cs="Times New Roman"/>
          <w:b/>
          <w:bCs/>
          <w:sz w:val="24"/>
          <w:szCs w:val="24"/>
        </w:rPr>
        <w:t>有害元素全程控制：</w:t>
      </w:r>
    </w:p>
    <w:p w14:paraId="034C4FB8">
      <w:pPr>
        <w:pStyle w:val="27"/>
        <w:tabs>
          <w:tab w:val="center" w:pos="4201"/>
          <w:tab w:val="right" w:leader="dot" w:pos="9298"/>
        </w:tabs>
        <w:spacing w:line="360" w:lineRule="auto"/>
        <w:rPr>
          <w:rFonts w:hint="eastAsia" w:hAnsi="Times New Roman" w:cs="Times New Roman"/>
          <w:sz w:val="24"/>
          <w:szCs w:val="24"/>
          <w:lang w:val="en-US" w:eastAsia="zh-CN"/>
        </w:rPr>
      </w:pPr>
      <w:r>
        <w:rPr>
          <w:rFonts w:hint="default" w:hAnsi="Times New Roman" w:cs="Times New Roman"/>
          <w:sz w:val="24"/>
          <w:szCs w:val="24"/>
        </w:rPr>
        <w:t>预处理脱氟氯保护</w:t>
      </w:r>
      <w:r>
        <w:rPr>
          <w:rFonts w:hint="eastAsia" w:hAnsi="Times New Roman" w:cs="Times New Roman"/>
          <w:sz w:val="24"/>
          <w:szCs w:val="24"/>
          <w:lang w:val="en-US" w:eastAsia="zh-CN"/>
        </w:rPr>
        <w:t>流程</w:t>
      </w:r>
      <w:r>
        <w:rPr>
          <w:rFonts w:hint="default" w:hAnsi="Times New Roman" w:cs="Times New Roman"/>
          <w:sz w:val="24"/>
          <w:szCs w:val="24"/>
        </w:rPr>
        <w:t>设备</w:t>
      </w:r>
      <w:r>
        <w:rPr>
          <w:rFonts w:hint="eastAsia" w:hAnsi="Times New Roman" w:cs="Times New Roman"/>
          <w:sz w:val="24"/>
          <w:szCs w:val="24"/>
          <w:lang w:eastAsia="zh-CN"/>
        </w:rPr>
        <w:t>，</w:t>
      </w:r>
      <w:r>
        <w:rPr>
          <w:rFonts w:hint="eastAsia" w:hAnsi="Times New Roman" w:cs="Times New Roman"/>
          <w:sz w:val="24"/>
          <w:szCs w:val="24"/>
          <w:lang w:val="en-US" w:eastAsia="zh-CN"/>
        </w:rPr>
        <w:t>特别是富氧浸出对应反应釜；</w:t>
      </w:r>
    </w:p>
    <w:p w14:paraId="6BD21D8C">
      <w:pPr>
        <w:pStyle w:val="27"/>
        <w:tabs>
          <w:tab w:val="center" w:pos="4201"/>
          <w:tab w:val="right" w:leader="dot" w:pos="9298"/>
        </w:tabs>
        <w:spacing w:line="360" w:lineRule="auto"/>
        <w:rPr>
          <w:rFonts w:hint="eastAsia" w:hAnsi="Times New Roman" w:cs="Times New Roman"/>
          <w:sz w:val="24"/>
          <w:szCs w:val="24"/>
          <w:lang w:val="en-US" w:eastAsia="zh-CN"/>
        </w:rPr>
      </w:pPr>
      <w:r>
        <w:rPr>
          <w:rFonts w:hint="eastAsia" w:hAnsi="Times New Roman" w:cs="Times New Roman"/>
          <w:sz w:val="24"/>
          <w:szCs w:val="24"/>
          <w:lang w:val="en-US" w:eastAsia="zh-CN"/>
        </w:rPr>
        <w:t>沉锗后液</w:t>
      </w:r>
      <w:r>
        <w:rPr>
          <w:rFonts w:hint="default" w:hAnsi="Times New Roman" w:cs="Times New Roman"/>
          <w:sz w:val="24"/>
          <w:szCs w:val="24"/>
        </w:rPr>
        <w:t>通过湿法主流程氧化水解深度脱砷、锑。</w:t>
      </w:r>
    </w:p>
    <w:p w14:paraId="3AA03240">
      <w:pPr>
        <w:pStyle w:val="27"/>
        <w:tabs>
          <w:tab w:val="center" w:pos="4201"/>
          <w:tab w:val="right" w:leader="dot" w:pos="9298"/>
        </w:tabs>
        <w:spacing w:line="360" w:lineRule="auto"/>
        <w:rPr>
          <w:rFonts w:hint="default" w:hAnsi="Times New Roman" w:cs="Times New Roman"/>
          <w:b/>
          <w:bCs/>
          <w:sz w:val="24"/>
          <w:szCs w:val="24"/>
        </w:rPr>
      </w:pPr>
      <w:r>
        <w:rPr>
          <w:rFonts w:hint="eastAsia" w:hAnsi="Times New Roman" w:cs="Times New Roman"/>
          <w:b/>
          <w:bCs/>
          <w:sz w:val="24"/>
          <w:szCs w:val="24"/>
          <w:lang w:val="en-US" w:eastAsia="zh-CN"/>
        </w:rPr>
        <w:t>2）</w:t>
      </w:r>
      <w:r>
        <w:rPr>
          <w:rFonts w:hint="default" w:hAnsi="Times New Roman" w:cs="Times New Roman"/>
          <w:b/>
          <w:bCs/>
          <w:sz w:val="24"/>
          <w:szCs w:val="24"/>
        </w:rPr>
        <w:t>资源循环闭环：</w:t>
      </w:r>
    </w:p>
    <w:p w14:paraId="5CD30B33">
      <w:pPr>
        <w:pStyle w:val="27"/>
        <w:tabs>
          <w:tab w:val="center" w:pos="4201"/>
          <w:tab w:val="right" w:leader="dot" w:pos="9298"/>
        </w:tabs>
        <w:spacing w:line="360" w:lineRule="auto"/>
        <w:rPr>
          <w:rFonts w:hint="default" w:hAnsi="Times New Roman" w:cs="Times New Roman"/>
          <w:sz w:val="24"/>
          <w:szCs w:val="24"/>
        </w:rPr>
      </w:pPr>
      <w:r>
        <w:rPr>
          <w:rFonts w:hint="default" w:hAnsi="Times New Roman" w:cs="Times New Roman"/>
          <w:sz w:val="24"/>
          <w:szCs w:val="24"/>
        </w:rPr>
        <w:t>铅渣返炼铅系统回收铅、银；</w:t>
      </w:r>
    </w:p>
    <w:p w14:paraId="5D8A8680">
      <w:pPr>
        <w:pStyle w:val="27"/>
        <w:tabs>
          <w:tab w:val="center" w:pos="4201"/>
          <w:tab w:val="right" w:leader="dot" w:pos="9298"/>
        </w:tabs>
        <w:spacing w:line="360" w:lineRule="auto"/>
        <w:rPr>
          <w:rFonts w:hint="default" w:hAnsi="Times New Roman" w:cs="Times New Roman"/>
          <w:sz w:val="24"/>
          <w:szCs w:val="24"/>
        </w:rPr>
      </w:pPr>
      <w:r>
        <w:rPr>
          <w:rFonts w:hint="eastAsia" w:hAnsi="Times New Roman" w:cs="Times New Roman"/>
          <w:sz w:val="24"/>
          <w:szCs w:val="24"/>
          <w:lang w:val="en-US" w:eastAsia="zh-CN"/>
        </w:rPr>
        <w:t>沉锗后液</w:t>
      </w:r>
      <w:r>
        <w:rPr>
          <w:rFonts w:hint="default" w:hAnsi="Times New Roman" w:cs="Times New Roman"/>
          <w:sz w:val="24"/>
          <w:szCs w:val="24"/>
        </w:rPr>
        <w:t>返锌主流程回收锌、镉，形成</w:t>
      </w:r>
      <w:r>
        <w:rPr>
          <w:rFonts w:hint="eastAsia" w:hAnsi="Times New Roman" w:cs="Times New Roman"/>
          <w:sz w:val="24"/>
          <w:szCs w:val="24"/>
          <w:lang w:eastAsia="zh-CN"/>
        </w:rPr>
        <w:t>“</w:t>
      </w:r>
      <w:r>
        <w:rPr>
          <w:rFonts w:hint="default" w:hAnsi="Times New Roman" w:cs="Times New Roman"/>
          <w:sz w:val="24"/>
          <w:szCs w:val="24"/>
        </w:rPr>
        <w:t>铟</w:t>
      </w:r>
      <w:r>
        <w:rPr>
          <w:rFonts w:hint="eastAsia" w:hAnsi="Times New Roman" w:cs="Times New Roman"/>
          <w:sz w:val="24"/>
          <w:szCs w:val="24"/>
          <w:lang w:val="en-US" w:eastAsia="zh-CN"/>
        </w:rPr>
        <w:t>-锗</w:t>
      </w:r>
      <w:r>
        <w:rPr>
          <w:rFonts w:hint="default" w:hAnsi="Times New Roman" w:cs="Times New Roman"/>
          <w:sz w:val="24"/>
          <w:szCs w:val="24"/>
        </w:rPr>
        <w:t>-铅-银-锌-镉</w:t>
      </w:r>
      <w:r>
        <w:rPr>
          <w:rFonts w:hint="eastAsia" w:hAnsi="Times New Roman" w:cs="Times New Roman"/>
          <w:sz w:val="24"/>
          <w:szCs w:val="24"/>
          <w:lang w:eastAsia="zh-CN"/>
        </w:rPr>
        <w:t>”</w:t>
      </w:r>
      <w:r>
        <w:rPr>
          <w:rFonts w:hint="default" w:hAnsi="Times New Roman" w:cs="Times New Roman"/>
          <w:sz w:val="24"/>
          <w:szCs w:val="24"/>
        </w:rPr>
        <w:t>全元素回收链。</w:t>
      </w:r>
    </w:p>
    <w:p w14:paraId="58D31D4E">
      <w:pPr>
        <w:pStyle w:val="27"/>
        <w:tabs>
          <w:tab w:val="center" w:pos="4201"/>
          <w:tab w:val="right" w:leader="dot" w:pos="9298"/>
        </w:tabs>
        <w:spacing w:line="360" w:lineRule="auto"/>
        <w:rPr>
          <w:rFonts w:hint="default" w:hAnsi="Times New Roman" w:cs="Times New Roman"/>
          <w:b/>
          <w:bCs/>
          <w:sz w:val="24"/>
          <w:szCs w:val="24"/>
        </w:rPr>
      </w:pPr>
      <w:r>
        <w:rPr>
          <w:rFonts w:hint="eastAsia" w:hAnsi="Times New Roman" w:cs="Times New Roman"/>
          <w:b/>
          <w:bCs/>
          <w:sz w:val="24"/>
          <w:szCs w:val="24"/>
          <w:lang w:val="en-US" w:eastAsia="zh-CN"/>
        </w:rPr>
        <w:t>3）</w:t>
      </w:r>
      <w:r>
        <w:rPr>
          <w:rFonts w:hint="default" w:hAnsi="Times New Roman" w:cs="Times New Roman"/>
          <w:b/>
          <w:bCs/>
          <w:sz w:val="24"/>
          <w:szCs w:val="24"/>
        </w:rPr>
        <w:t>铟锗回收协同性：</w:t>
      </w:r>
    </w:p>
    <w:p w14:paraId="3968B03C">
      <w:pPr>
        <w:pStyle w:val="27"/>
        <w:tabs>
          <w:tab w:val="center" w:pos="4201"/>
          <w:tab w:val="right" w:leader="dot" w:pos="9298"/>
        </w:tabs>
        <w:spacing w:line="360" w:lineRule="auto"/>
        <w:rPr>
          <w:rFonts w:hint="eastAsia" w:hAnsi="Times New Roman" w:cs="Times New Roman"/>
          <w:sz w:val="24"/>
          <w:szCs w:val="24"/>
          <w:lang w:eastAsia="zh-CN"/>
        </w:rPr>
      </w:pPr>
      <w:r>
        <w:rPr>
          <w:rFonts w:hint="eastAsia" w:hAnsi="Times New Roman" w:cs="Times New Roman"/>
          <w:sz w:val="24"/>
          <w:szCs w:val="24"/>
          <w:lang w:val="en-US" w:eastAsia="zh-CN"/>
        </w:rPr>
        <w:t>脱氟氯氧化锌烟尘通过</w:t>
      </w:r>
      <w:r>
        <w:rPr>
          <w:rFonts w:hint="default" w:hAnsi="Times New Roman" w:cs="Times New Roman"/>
          <w:sz w:val="24"/>
          <w:szCs w:val="24"/>
        </w:rPr>
        <w:t>预中和→</w:t>
      </w:r>
      <w:r>
        <w:rPr>
          <w:rFonts w:hint="eastAsia" w:hAnsi="Times New Roman" w:cs="Times New Roman"/>
          <w:sz w:val="24"/>
          <w:szCs w:val="24"/>
          <w:lang w:val="en-US" w:eastAsia="zh-CN"/>
        </w:rPr>
        <w:t>多段逆向净化</w:t>
      </w:r>
      <w:r>
        <w:rPr>
          <w:rFonts w:hint="default" w:hAnsi="Times New Roman" w:cs="Times New Roman"/>
          <w:sz w:val="24"/>
          <w:szCs w:val="24"/>
        </w:rPr>
        <w:t>→</w:t>
      </w:r>
      <w:r>
        <w:rPr>
          <w:rFonts w:hint="eastAsia" w:hAnsi="Times New Roman" w:cs="Times New Roman"/>
          <w:sz w:val="24"/>
          <w:szCs w:val="24"/>
          <w:lang w:val="en-US" w:eastAsia="zh-CN"/>
        </w:rPr>
        <w:t>选择性酸洗，产出含铟锗多金属富集物，</w:t>
      </w:r>
      <w:r>
        <w:rPr>
          <w:rFonts w:hint="default" w:hAnsi="Times New Roman" w:cs="Times New Roman"/>
          <w:sz w:val="24"/>
          <w:szCs w:val="24"/>
        </w:rPr>
        <w:t>实现铟锗富集</w:t>
      </w:r>
      <w:r>
        <w:rPr>
          <w:rFonts w:hint="eastAsia" w:hAnsi="Times New Roman" w:cs="Times New Roman"/>
          <w:sz w:val="24"/>
          <w:szCs w:val="24"/>
          <w:lang w:eastAsia="zh-CN"/>
        </w:rPr>
        <w:t>；</w:t>
      </w:r>
    </w:p>
    <w:p w14:paraId="6055B02D">
      <w:pPr>
        <w:pStyle w:val="27"/>
        <w:tabs>
          <w:tab w:val="center" w:pos="4201"/>
          <w:tab w:val="right" w:leader="dot" w:pos="9298"/>
        </w:tabs>
        <w:spacing w:line="360" w:lineRule="auto"/>
        <w:rPr>
          <w:rFonts w:hint="default" w:ascii="宋体" w:hAnsi="宋体" w:cs="宋体"/>
          <w:b/>
          <w:bCs/>
          <w:sz w:val="24"/>
          <w:szCs w:val="24"/>
          <w:highlight w:val="none"/>
          <w:lang w:val="en-US" w:eastAsia="zh-CN"/>
        </w:rPr>
      </w:pPr>
      <w:r>
        <w:rPr>
          <w:rFonts w:hint="eastAsia" w:hAnsi="Times New Roman" w:cs="Times New Roman"/>
          <w:sz w:val="24"/>
          <w:szCs w:val="24"/>
          <w:lang w:val="en-US" w:eastAsia="zh-CN"/>
        </w:rPr>
        <w:t>含铟锗多金属富集物通过富氧浸出</w:t>
      </w:r>
      <w:r>
        <w:rPr>
          <w:rFonts w:hint="default" w:hAnsi="Times New Roman" w:cs="Times New Roman"/>
          <w:sz w:val="24"/>
          <w:szCs w:val="24"/>
        </w:rPr>
        <w:t>→优先提铟（</w:t>
      </w:r>
      <w:r>
        <w:rPr>
          <w:rFonts w:hint="eastAsia" w:hAnsi="Times New Roman" w:cs="Times New Roman"/>
          <w:sz w:val="24"/>
          <w:szCs w:val="24"/>
          <w:lang w:val="en-US" w:eastAsia="zh-CN"/>
        </w:rPr>
        <w:t>萃取，</w:t>
      </w:r>
      <w:r>
        <w:rPr>
          <w:rFonts w:hint="default" w:hAnsi="Times New Roman" w:cs="Times New Roman"/>
          <w:sz w:val="24"/>
          <w:szCs w:val="24"/>
        </w:rPr>
        <w:t>避免锗干扰）→</w:t>
      </w:r>
      <w:r>
        <w:rPr>
          <w:rFonts w:hint="eastAsia" w:hAnsi="Times New Roman" w:cs="Times New Roman"/>
          <w:sz w:val="24"/>
          <w:szCs w:val="24"/>
          <w:lang w:val="en-US" w:eastAsia="zh-CN"/>
        </w:rPr>
        <w:t>单宁</w:t>
      </w:r>
      <w:r>
        <w:rPr>
          <w:rFonts w:hint="default" w:hAnsi="Times New Roman" w:cs="Times New Roman"/>
          <w:sz w:val="24"/>
          <w:szCs w:val="24"/>
        </w:rPr>
        <w:t>沉锗，确保</w:t>
      </w:r>
      <w:r>
        <w:rPr>
          <w:rFonts w:hint="eastAsia" w:hAnsi="Times New Roman" w:cs="Times New Roman"/>
          <w:sz w:val="24"/>
          <w:szCs w:val="24"/>
          <w:lang w:val="en-US" w:eastAsia="zh-CN"/>
        </w:rPr>
        <w:t>铟锗分别高效回收</w:t>
      </w:r>
      <w:r>
        <w:rPr>
          <w:rFonts w:hint="default" w:hAnsi="Times New Roman" w:cs="Times New Roman"/>
          <w:sz w:val="24"/>
          <w:szCs w:val="24"/>
        </w:rPr>
        <w:t>。</w:t>
      </w:r>
    </w:p>
    <w:p w14:paraId="0676B8A0">
      <w:pPr>
        <w:numPr>
          <w:ilvl w:val="0"/>
          <w:numId w:val="5"/>
        </w:numPr>
        <w:snapToGrid w:val="0"/>
        <w:spacing w:line="360" w:lineRule="auto"/>
        <w:ind w:left="0" w:leftChars="0" w:firstLine="482" w:firstLineChars="200"/>
        <w:rPr>
          <w:rFonts w:hint="default" w:ascii="宋体" w:hAnsi="宋体" w:cs="宋体"/>
          <w:b/>
          <w:bCs/>
          <w:sz w:val="24"/>
          <w:szCs w:val="24"/>
          <w:highlight w:val="none"/>
          <w:lang w:val="en-US" w:eastAsia="zh-CN"/>
        </w:rPr>
      </w:pPr>
      <w:r>
        <w:rPr>
          <w:rFonts w:hint="default" w:ascii="宋体" w:hAnsi="宋体" w:cs="宋体"/>
          <w:b/>
          <w:bCs/>
          <w:sz w:val="24"/>
          <w:szCs w:val="24"/>
          <w:highlight w:val="none"/>
          <w:lang w:val="en-US" w:eastAsia="zh-CN"/>
        </w:rPr>
        <w:t>污染控制要求</w:t>
      </w:r>
    </w:p>
    <w:p w14:paraId="7CD958B9">
      <w:pPr>
        <w:adjustRightInd w:val="0"/>
        <w:snapToGrid w:val="0"/>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强调回收过程中资源循环利用，如处理用水应循环利用，严禁外排。</w:t>
      </w:r>
    </w:p>
    <w:p w14:paraId="7F02998F">
      <w:pPr>
        <w:adjustRightInd w:val="0"/>
        <w:snapToGrid w:val="0"/>
        <w:spacing w:line="360" w:lineRule="auto"/>
        <w:ind w:firstLine="480" w:firstLineChars="200"/>
        <w:rPr>
          <w:rFonts w:hint="eastAsia" w:ascii="宋体" w:hAnsi="宋体" w:cs="宋体"/>
          <w:sz w:val="24"/>
          <w:szCs w:val="24"/>
          <w:highlight w:val="none"/>
          <w:lang w:eastAsia="zh-CN"/>
        </w:rPr>
      </w:pPr>
      <w:r>
        <w:rPr>
          <w:rFonts w:hint="default" w:ascii="宋体" w:hAnsi="宋体" w:cs="宋体"/>
          <w:sz w:val="24"/>
          <w:szCs w:val="24"/>
          <w:highlight w:val="none"/>
          <w:lang w:eastAsia="zh-CN"/>
        </w:rPr>
        <w:t>规定</w:t>
      </w:r>
      <w:r>
        <w:rPr>
          <w:rFonts w:hint="eastAsia" w:ascii="宋体" w:hAnsi="宋体" w:cs="宋体"/>
          <w:sz w:val="24"/>
          <w:szCs w:val="24"/>
          <w:highlight w:val="none"/>
          <w:lang w:val="en-US" w:eastAsia="zh-CN"/>
        </w:rPr>
        <w:t>氧化锌烟尘</w:t>
      </w:r>
      <w:r>
        <w:rPr>
          <w:rFonts w:hint="eastAsia" w:ascii="宋体" w:hAnsi="宋体" w:cs="宋体"/>
          <w:sz w:val="24"/>
          <w:szCs w:val="24"/>
          <w:highlight w:val="none"/>
          <w:lang w:eastAsia="zh-CN"/>
        </w:rPr>
        <w:t>贮存</w:t>
      </w:r>
      <w:r>
        <w:rPr>
          <w:rFonts w:hint="default" w:ascii="宋体" w:hAnsi="宋体" w:cs="宋体"/>
          <w:sz w:val="24"/>
          <w:szCs w:val="24"/>
          <w:highlight w:val="none"/>
          <w:lang w:eastAsia="zh-CN"/>
        </w:rPr>
        <w:t>场所的要求，包括选址、水土保持、安全环保等方面，防止在贮存过程中对环境造成污染和安全隐患。</w:t>
      </w:r>
    </w:p>
    <w:p w14:paraId="1C136A29">
      <w:pPr>
        <w:adjustRightInd w:val="0"/>
        <w:snapToGrid w:val="0"/>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规定回收过程污染物排放、固体废物贮存、生产污水和雨水排放、噪声控制等环境要求。</w:t>
      </w:r>
    </w:p>
    <w:p w14:paraId="7B8BC26E">
      <w:pPr>
        <w:numPr>
          <w:ilvl w:val="0"/>
          <w:numId w:val="11"/>
        </w:numPr>
        <w:snapToGrid w:val="0"/>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安全要求</w:t>
      </w:r>
    </w:p>
    <w:p w14:paraId="38F40A98">
      <w:pPr>
        <w:adjustRightInd w:val="0"/>
        <w:snapToGrid w:val="0"/>
        <w:spacing w:line="360" w:lineRule="auto"/>
        <w:ind w:firstLine="480" w:firstLineChars="200"/>
        <w:rPr>
          <w:rFonts w:hint="eastAsia" w:ascii="宋体" w:hAnsi="宋体" w:cs="宋体"/>
          <w:sz w:val="24"/>
          <w:szCs w:val="24"/>
          <w:lang w:eastAsia="zh-CN"/>
        </w:rPr>
      </w:pPr>
      <w:bookmarkStart w:id="2" w:name="_Toc136242416"/>
      <w:r>
        <w:rPr>
          <w:rFonts w:hint="eastAsia" w:ascii="宋体" w:hAnsi="宋体" w:cs="宋体"/>
          <w:sz w:val="24"/>
          <w:szCs w:val="24"/>
          <w:lang w:eastAsia="zh-CN"/>
        </w:rPr>
        <w:t>规定回收过程安全生产责任、人员防护、风险防范等安全要求。</w:t>
      </w:r>
    </w:p>
    <w:p w14:paraId="2B6CFFC8">
      <w:pPr>
        <w:numPr>
          <w:ilvl w:val="0"/>
          <w:numId w:val="3"/>
        </w:numPr>
        <w:snapToGrid w:val="0"/>
        <w:spacing w:before="156" w:beforeLines="50" w:after="156" w:afterLines="50" w:line="360" w:lineRule="auto"/>
        <w:outlineLvl w:val="0"/>
        <w:rPr>
          <w:rFonts w:ascii="黑体" w:hAnsi="黑体" w:eastAsia="黑体" w:cs="黑体"/>
          <w:sz w:val="24"/>
          <w:szCs w:val="24"/>
        </w:rPr>
      </w:pPr>
      <w:r>
        <w:rPr>
          <w:rFonts w:hint="eastAsia" w:ascii="黑体" w:hAnsi="黑体" w:eastAsia="黑体" w:cs="黑体"/>
          <w:sz w:val="24"/>
          <w:szCs w:val="24"/>
        </w:rPr>
        <w:t>运行与管理</w:t>
      </w:r>
      <w:bookmarkEnd w:id="2"/>
    </w:p>
    <w:p w14:paraId="12E7E002">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为保障《火法炼铅系统氧化锌烟尘回收技术要求》的有效实施，企业需建立完善的运行管理体系和全流程监控机制，确保技术规范的落实和持续改进。</w:t>
      </w:r>
    </w:p>
    <w:p w14:paraId="39B9356B">
      <w:pPr>
        <w:snapToGrid w:val="0"/>
        <w:spacing w:before="156" w:beforeLines="50" w:line="360" w:lineRule="auto"/>
        <w:outlineLvl w:val="0"/>
        <w:rPr>
          <w:rFonts w:hint="default" w:ascii="黑体" w:hAnsi="黑体" w:eastAsia="黑体" w:cs="黑体"/>
          <w:sz w:val="24"/>
          <w:szCs w:val="24"/>
        </w:rPr>
      </w:pPr>
      <w:r>
        <w:rPr>
          <w:rFonts w:hint="default" w:ascii="黑体" w:hAnsi="黑体" w:eastAsia="黑体" w:cs="黑体"/>
          <w:sz w:val="24"/>
          <w:szCs w:val="24"/>
        </w:rPr>
        <w:t>4.1 管理制度建设</w:t>
      </w:r>
    </w:p>
    <w:p w14:paraId="019FD793">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1、</w:t>
      </w:r>
      <w:r>
        <w:rPr>
          <w:rFonts w:hint="default" w:ascii="宋体" w:hAnsi="宋体" w:cs="宋体"/>
          <w:b/>
          <w:bCs/>
          <w:sz w:val="24"/>
          <w:szCs w:val="24"/>
        </w:rPr>
        <w:t>责任分工</w:t>
      </w:r>
    </w:p>
    <w:p w14:paraId="6CB1A0AD">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企业应明确氧化锌烟尘回收相关部门的职责，包括生产、工艺、环保、安全等部门，确保各环节责任到人。生产部门负责工艺参数控制，环保部门负责污染物排放监控，安全部门负责操作规范</w:t>
      </w:r>
      <w:r>
        <w:rPr>
          <w:rFonts w:hint="eastAsia" w:ascii="宋体" w:hAnsi="宋体" w:cs="宋体"/>
          <w:sz w:val="24"/>
          <w:szCs w:val="24"/>
          <w:lang w:val="en-US" w:eastAsia="zh-CN"/>
        </w:rPr>
        <w:t>监管</w:t>
      </w:r>
      <w:r>
        <w:rPr>
          <w:rFonts w:hint="default" w:ascii="宋体" w:hAnsi="宋体" w:cs="宋体"/>
          <w:sz w:val="24"/>
          <w:szCs w:val="24"/>
        </w:rPr>
        <w:t>。</w:t>
      </w:r>
    </w:p>
    <w:p w14:paraId="7336D809">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2、</w:t>
      </w:r>
      <w:r>
        <w:rPr>
          <w:rFonts w:hint="default" w:ascii="宋体" w:hAnsi="宋体" w:cs="宋体"/>
          <w:b/>
          <w:bCs/>
          <w:sz w:val="24"/>
          <w:szCs w:val="24"/>
        </w:rPr>
        <w:t>操作规程</w:t>
      </w:r>
    </w:p>
    <w:p w14:paraId="1517B21D">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制定详细的氧化锌烟尘回收操作规程，涵盖烟尘预处理、浸出、有害元素脱除、有价金属回收等关键工序的操作步骤、参数范围及异常处理措施。</w:t>
      </w:r>
    </w:p>
    <w:p w14:paraId="0DD83ED6">
      <w:pPr>
        <w:snapToGrid w:val="0"/>
        <w:spacing w:before="156" w:beforeLines="50" w:line="360" w:lineRule="auto"/>
        <w:outlineLvl w:val="0"/>
        <w:rPr>
          <w:rFonts w:hint="default" w:ascii="黑体" w:hAnsi="黑体" w:eastAsia="黑体" w:cs="黑体"/>
          <w:sz w:val="24"/>
          <w:szCs w:val="24"/>
        </w:rPr>
      </w:pPr>
      <w:r>
        <w:rPr>
          <w:rFonts w:hint="default" w:ascii="黑体" w:hAnsi="黑体" w:eastAsia="黑体" w:cs="黑体"/>
          <w:sz w:val="24"/>
          <w:szCs w:val="24"/>
        </w:rPr>
        <w:t>4.2 人员培训与考核</w:t>
      </w:r>
    </w:p>
    <w:p w14:paraId="0CEC1C1F">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1、</w:t>
      </w:r>
      <w:r>
        <w:rPr>
          <w:rFonts w:hint="default" w:ascii="宋体" w:hAnsi="宋体" w:cs="宋体"/>
          <w:b/>
          <w:bCs/>
          <w:sz w:val="24"/>
          <w:szCs w:val="24"/>
        </w:rPr>
        <w:t>培训内容</w:t>
      </w:r>
    </w:p>
    <w:p w14:paraId="66F08993">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定期组织技术培训，重点包括：标准中规定的工艺参数</w:t>
      </w:r>
      <w:r>
        <w:rPr>
          <w:rFonts w:hint="eastAsia" w:ascii="宋体" w:hAnsi="宋体" w:cs="宋体"/>
          <w:sz w:val="24"/>
          <w:szCs w:val="24"/>
          <w:lang w:eastAsia="zh-CN"/>
        </w:rPr>
        <w:t>（</w:t>
      </w:r>
      <w:r>
        <w:rPr>
          <w:rFonts w:hint="default" w:ascii="宋体" w:hAnsi="宋体" w:cs="宋体"/>
          <w:sz w:val="24"/>
          <w:szCs w:val="24"/>
        </w:rPr>
        <w:t>如中性浸出pH</w:t>
      </w:r>
      <w:r>
        <w:rPr>
          <w:rFonts w:hint="eastAsia" w:ascii="宋体" w:hAnsi="宋体" w:cs="宋体"/>
          <w:sz w:val="24"/>
          <w:szCs w:val="24"/>
          <w:lang w:val="en-US" w:eastAsia="zh-CN"/>
        </w:rPr>
        <w:t xml:space="preserve"> </w:t>
      </w:r>
      <w:r>
        <w:rPr>
          <w:rFonts w:hint="default" w:ascii="宋体" w:hAnsi="宋体" w:cs="宋体"/>
          <w:sz w:val="24"/>
          <w:szCs w:val="24"/>
        </w:rPr>
        <w:t>4.8</w:t>
      </w:r>
      <w:r>
        <w:rPr>
          <w:rFonts w:hint="eastAsia"/>
          <w:sz w:val="24"/>
          <w:szCs w:val="24"/>
        </w:rPr>
        <w:t>～</w:t>
      </w:r>
      <w:r>
        <w:rPr>
          <w:rFonts w:hint="default" w:ascii="宋体" w:hAnsi="宋体" w:cs="宋体"/>
          <w:sz w:val="24"/>
          <w:szCs w:val="24"/>
        </w:rPr>
        <w:t>5.2、酸浸终点酸度等</w:t>
      </w:r>
      <w:r>
        <w:rPr>
          <w:rFonts w:hint="eastAsia" w:ascii="宋体" w:hAnsi="宋体" w:cs="宋体"/>
          <w:sz w:val="24"/>
          <w:szCs w:val="24"/>
          <w:lang w:eastAsia="zh-CN"/>
        </w:rPr>
        <w:t>）、</w:t>
      </w:r>
      <w:r>
        <w:rPr>
          <w:rFonts w:hint="default" w:ascii="宋体" w:hAnsi="宋体" w:cs="宋体"/>
          <w:sz w:val="24"/>
          <w:szCs w:val="24"/>
        </w:rPr>
        <w:t>设备操作规范</w:t>
      </w:r>
      <w:r>
        <w:rPr>
          <w:rFonts w:hint="eastAsia" w:ascii="宋体" w:hAnsi="宋体" w:cs="宋体"/>
          <w:sz w:val="24"/>
          <w:szCs w:val="24"/>
          <w:lang w:eastAsia="zh-CN"/>
        </w:rPr>
        <w:t>（</w:t>
      </w:r>
      <w:r>
        <w:rPr>
          <w:rFonts w:hint="default" w:ascii="宋体" w:hAnsi="宋体" w:cs="宋体"/>
          <w:sz w:val="24"/>
          <w:szCs w:val="24"/>
        </w:rPr>
        <w:t>如多膛炉焙烧温度控制、</w:t>
      </w:r>
      <w:r>
        <w:rPr>
          <w:rFonts w:hint="eastAsia" w:ascii="宋体" w:hAnsi="宋体" w:cs="宋体"/>
          <w:sz w:val="24"/>
          <w:szCs w:val="24"/>
          <w:lang w:val="en-US" w:eastAsia="zh-CN"/>
        </w:rPr>
        <w:t>萃取槽操作</w:t>
      </w:r>
      <w:r>
        <w:rPr>
          <w:rFonts w:hint="default" w:ascii="宋体" w:hAnsi="宋体" w:cs="宋体"/>
          <w:sz w:val="24"/>
          <w:szCs w:val="24"/>
        </w:rPr>
        <w:t>等</w:t>
      </w:r>
      <w:r>
        <w:rPr>
          <w:rFonts w:hint="eastAsia" w:ascii="宋体" w:hAnsi="宋体" w:cs="宋体"/>
          <w:sz w:val="24"/>
          <w:szCs w:val="24"/>
          <w:lang w:eastAsia="zh-CN"/>
        </w:rPr>
        <w:t>）、</w:t>
      </w:r>
      <w:r>
        <w:rPr>
          <w:rFonts w:hint="default" w:ascii="宋体" w:hAnsi="宋体" w:cs="宋体"/>
          <w:sz w:val="24"/>
          <w:szCs w:val="24"/>
        </w:rPr>
        <w:t>安全环保要求</w:t>
      </w:r>
      <w:r>
        <w:rPr>
          <w:rFonts w:hint="eastAsia" w:ascii="宋体" w:hAnsi="宋体" w:cs="宋体"/>
          <w:sz w:val="24"/>
          <w:szCs w:val="24"/>
          <w:lang w:eastAsia="zh-CN"/>
        </w:rPr>
        <w:t>（</w:t>
      </w:r>
      <w:r>
        <w:rPr>
          <w:rFonts w:hint="default" w:ascii="宋体" w:hAnsi="宋体" w:cs="宋体"/>
          <w:sz w:val="24"/>
          <w:szCs w:val="24"/>
        </w:rPr>
        <w:t>如危险废物贮存规范、</w:t>
      </w:r>
      <w:r>
        <w:rPr>
          <w:rFonts w:hint="eastAsia" w:ascii="宋体" w:hAnsi="宋体" w:cs="宋体"/>
          <w:sz w:val="24"/>
          <w:szCs w:val="24"/>
          <w:lang w:val="en-US" w:eastAsia="zh-CN"/>
        </w:rPr>
        <w:t>氧化锌烟尘装袋过程</w:t>
      </w:r>
      <w:r>
        <w:rPr>
          <w:rFonts w:hint="default" w:ascii="宋体" w:hAnsi="宋体" w:cs="宋体"/>
          <w:sz w:val="24"/>
          <w:szCs w:val="24"/>
        </w:rPr>
        <w:t>等</w:t>
      </w:r>
      <w:r>
        <w:rPr>
          <w:rFonts w:hint="eastAsia" w:ascii="宋体" w:hAnsi="宋体" w:cs="宋体"/>
          <w:sz w:val="24"/>
          <w:szCs w:val="24"/>
          <w:lang w:eastAsia="zh-CN"/>
        </w:rPr>
        <w:t>）</w:t>
      </w:r>
      <w:r>
        <w:rPr>
          <w:rFonts w:hint="default" w:ascii="宋体" w:hAnsi="宋体" w:cs="宋体"/>
          <w:sz w:val="24"/>
          <w:szCs w:val="24"/>
        </w:rPr>
        <w:t>。</w:t>
      </w:r>
    </w:p>
    <w:p w14:paraId="25945070">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2、</w:t>
      </w:r>
      <w:r>
        <w:rPr>
          <w:rFonts w:hint="default" w:ascii="宋体" w:hAnsi="宋体" w:cs="宋体"/>
          <w:b/>
          <w:bCs/>
          <w:sz w:val="24"/>
          <w:szCs w:val="24"/>
        </w:rPr>
        <w:t>考核机制</w:t>
      </w:r>
    </w:p>
    <w:p w14:paraId="49020CB6">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通过理论考核和实操评估，确保操作人员熟练掌握标准要求，对不合格人员实施再培训。</w:t>
      </w:r>
    </w:p>
    <w:p w14:paraId="208A4381">
      <w:pPr>
        <w:snapToGrid w:val="0"/>
        <w:spacing w:before="156" w:beforeLines="50" w:line="360" w:lineRule="auto"/>
        <w:outlineLvl w:val="0"/>
        <w:rPr>
          <w:rFonts w:hint="default" w:ascii="黑体" w:hAnsi="黑体" w:eastAsia="黑体" w:cs="黑体"/>
          <w:sz w:val="24"/>
          <w:szCs w:val="24"/>
        </w:rPr>
      </w:pPr>
      <w:r>
        <w:rPr>
          <w:rFonts w:hint="default" w:ascii="黑体" w:hAnsi="黑体" w:eastAsia="黑体" w:cs="黑体"/>
          <w:sz w:val="24"/>
          <w:szCs w:val="24"/>
        </w:rPr>
        <w:t>4.3 过程监控与数据管理</w:t>
      </w:r>
    </w:p>
    <w:p w14:paraId="31D48E3B">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1、</w:t>
      </w:r>
      <w:r>
        <w:rPr>
          <w:rFonts w:hint="default" w:ascii="宋体" w:hAnsi="宋体" w:cs="宋体"/>
          <w:b/>
          <w:bCs/>
          <w:sz w:val="24"/>
          <w:szCs w:val="24"/>
        </w:rPr>
        <w:t>实时监测</w:t>
      </w:r>
    </w:p>
    <w:p w14:paraId="2FE1D0E7">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对关键工艺参数（如浸出液pH、</w:t>
      </w:r>
      <w:r>
        <w:rPr>
          <w:rFonts w:hint="eastAsia" w:ascii="宋体" w:hAnsi="宋体" w:cs="宋体"/>
          <w:sz w:val="24"/>
          <w:szCs w:val="24"/>
          <w:lang w:val="en-US" w:eastAsia="zh-CN"/>
        </w:rPr>
        <w:t>温度</w:t>
      </w:r>
      <w:r>
        <w:rPr>
          <w:rFonts w:hint="default" w:ascii="宋体" w:hAnsi="宋体" w:cs="宋体"/>
          <w:sz w:val="24"/>
          <w:szCs w:val="24"/>
        </w:rPr>
        <w:t>、</w:t>
      </w:r>
      <w:r>
        <w:rPr>
          <w:rFonts w:hint="eastAsia" w:ascii="宋体" w:hAnsi="宋体" w:cs="宋体"/>
          <w:sz w:val="24"/>
          <w:szCs w:val="24"/>
          <w:lang w:val="en-US" w:eastAsia="zh-CN"/>
        </w:rPr>
        <w:t>压力</w:t>
      </w:r>
      <w:r>
        <w:rPr>
          <w:rFonts w:hint="default" w:ascii="宋体" w:hAnsi="宋体" w:cs="宋体"/>
          <w:sz w:val="24"/>
          <w:szCs w:val="24"/>
        </w:rPr>
        <w:t>等）实施在线监测，</w:t>
      </w:r>
      <w:r>
        <w:rPr>
          <w:rFonts w:hint="eastAsia" w:ascii="宋体" w:hAnsi="宋体" w:cs="宋体"/>
          <w:sz w:val="24"/>
          <w:szCs w:val="24"/>
          <w:lang w:val="en-US" w:eastAsia="zh-CN"/>
        </w:rPr>
        <w:t>样品</w:t>
      </w:r>
      <w:r>
        <w:rPr>
          <w:rFonts w:hint="default" w:ascii="宋体" w:hAnsi="宋体" w:cs="宋体"/>
          <w:sz w:val="24"/>
          <w:szCs w:val="24"/>
        </w:rPr>
        <w:t>采集</w:t>
      </w:r>
      <w:r>
        <w:rPr>
          <w:rFonts w:hint="eastAsia" w:ascii="宋体" w:hAnsi="宋体" w:cs="宋体"/>
          <w:sz w:val="24"/>
          <w:szCs w:val="24"/>
          <w:lang w:val="en-US" w:eastAsia="zh-CN"/>
        </w:rPr>
        <w:t>按照频次进行</w:t>
      </w:r>
      <w:r>
        <w:rPr>
          <w:rFonts w:hint="default" w:ascii="宋体" w:hAnsi="宋体" w:cs="宋体"/>
          <w:sz w:val="24"/>
          <w:szCs w:val="24"/>
        </w:rPr>
        <w:t>，确保工艺稳定。</w:t>
      </w:r>
    </w:p>
    <w:p w14:paraId="49B919F8">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2、</w:t>
      </w:r>
      <w:r>
        <w:rPr>
          <w:rFonts w:hint="default" w:ascii="宋体" w:hAnsi="宋体" w:cs="宋体"/>
          <w:b/>
          <w:bCs/>
          <w:sz w:val="24"/>
          <w:szCs w:val="24"/>
        </w:rPr>
        <w:t>记录与存档</w:t>
      </w:r>
    </w:p>
    <w:p w14:paraId="1CA84C30">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建立完整的生产记录档案，包括：原料烟尘成分分析</w:t>
      </w:r>
      <w:r>
        <w:rPr>
          <w:rFonts w:hint="eastAsia" w:ascii="宋体" w:hAnsi="宋体" w:cs="宋体"/>
          <w:sz w:val="24"/>
          <w:szCs w:val="24"/>
          <w:lang w:eastAsia="zh-CN"/>
        </w:rPr>
        <w:t>、</w:t>
      </w:r>
      <w:r>
        <w:rPr>
          <w:rFonts w:hint="default" w:ascii="宋体" w:hAnsi="宋体" w:cs="宋体"/>
          <w:sz w:val="24"/>
          <w:szCs w:val="24"/>
        </w:rPr>
        <w:t>工艺参数运行日志</w:t>
      </w:r>
      <w:r>
        <w:rPr>
          <w:rFonts w:hint="eastAsia" w:ascii="宋体" w:hAnsi="宋体" w:cs="宋体"/>
          <w:sz w:val="24"/>
          <w:szCs w:val="24"/>
          <w:lang w:eastAsia="zh-CN"/>
        </w:rPr>
        <w:t>、</w:t>
      </w:r>
      <w:r>
        <w:rPr>
          <w:rFonts w:hint="default" w:ascii="宋体" w:hAnsi="宋体" w:cs="宋体"/>
          <w:sz w:val="24"/>
          <w:szCs w:val="24"/>
        </w:rPr>
        <w:t>污染物排放检测报告</w:t>
      </w:r>
      <w:r>
        <w:rPr>
          <w:rFonts w:hint="eastAsia" w:ascii="宋体" w:hAnsi="宋体" w:cs="宋体"/>
          <w:sz w:val="24"/>
          <w:szCs w:val="24"/>
          <w:lang w:eastAsia="zh-CN"/>
        </w:rPr>
        <w:t>、</w:t>
      </w:r>
      <w:r>
        <w:rPr>
          <w:rFonts w:hint="default" w:ascii="宋体" w:hAnsi="宋体" w:cs="宋体"/>
          <w:sz w:val="24"/>
          <w:szCs w:val="24"/>
        </w:rPr>
        <w:t>产品（如铟、锗）质量检验结果。</w:t>
      </w:r>
    </w:p>
    <w:p w14:paraId="484475B0">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3、</w:t>
      </w:r>
      <w:r>
        <w:rPr>
          <w:rFonts w:hint="default" w:ascii="宋体" w:hAnsi="宋体" w:cs="宋体"/>
          <w:b/>
          <w:bCs/>
          <w:sz w:val="24"/>
          <w:szCs w:val="24"/>
        </w:rPr>
        <w:t>数据分析</w:t>
      </w:r>
    </w:p>
    <w:p w14:paraId="23476528">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定期对生产数据进行分析，识别工艺偏差，优化参数设置（如调整酸浸时间以提高</w:t>
      </w:r>
      <w:r>
        <w:rPr>
          <w:rFonts w:hint="eastAsia" w:ascii="宋体" w:hAnsi="宋体" w:cs="宋体"/>
          <w:sz w:val="24"/>
          <w:szCs w:val="24"/>
          <w:lang w:val="en-US" w:eastAsia="zh-CN"/>
        </w:rPr>
        <w:t>金属</w:t>
      </w:r>
      <w:r>
        <w:rPr>
          <w:rFonts w:hint="default" w:ascii="宋体" w:hAnsi="宋体" w:cs="宋体"/>
          <w:sz w:val="24"/>
          <w:szCs w:val="24"/>
        </w:rPr>
        <w:t>回收率）。</w:t>
      </w:r>
    </w:p>
    <w:p w14:paraId="3DD5839C">
      <w:pPr>
        <w:snapToGrid w:val="0"/>
        <w:spacing w:before="156" w:beforeLines="50" w:line="360" w:lineRule="auto"/>
        <w:outlineLvl w:val="0"/>
        <w:rPr>
          <w:rFonts w:hint="default" w:ascii="黑体" w:hAnsi="黑体" w:eastAsia="黑体" w:cs="黑体"/>
          <w:sz w:val="24"/>
          <w:szCs w:val="24"/>
        </w:rPr>
      </w:pPr>
      <w:r>
        <w:rPr>
          <w:rFonts w:hint="default" w:ascii="黑体" w:hAnsi="黑体" w:eastAsia="黑体" w:cs="黑体"/>
          <w:sz w:val="24"/>
          <w:szCs w:val="24"/>
        </w:rPr>
        <w:t>4.4 持续改进</w:t>
      </w:r>
    </w:p>
    <w:p w14:paraId="3C1C4895">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1、</w:t>
      </w:r>
      <w:r>
        <w:rPr>
          <w:rFonts w:hint="default" w:ascii="宋体" w:hAnsi="宋体" w:cs="宋体"/>
          <w:b/>
          <w:bCs/>
          <w:sz w:val="24"/>
          <w:szCs w:val="24"/>
        </w:rPr>
        <w:t>技术优化</w:t>
      </w:r>
    </w:p>
    <w:p w14:paraId="503869BC">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根据实际运行情况，逐步优化工艺流程，例如：对富铟烟尘采用选择性酸洗工艺，降低渣含锌率；引入自动化控制系统，减少人为操作误差。</w:t>
      </w:r>
    </w:p>
    <w:p w14:paraId="089F8D45">
      <w:pPr>
        <w:adjustRightInd w:val="0"/>
        <w:snapToGrid w:val="0"/>
        <w:spacing w:line="360" w:lineRule="auto"/>
        <w:ind w:firstLine="482" w:firstLineChars="200"/>
        <w:rPr>
          <w:rFonts w:hint="default" w:ascii="宋体" w:hAnsi="宋体" w:cs="宋体"/>
          <w:b/>
          <w:bCs/>
          <w:sz w:val="24"/>
          <w:szCs w:val="24"/>
        </w:rPr>
      </w:pPr>
      <w:r>
        <w:rPr>
          <w:rFonts w:hint="eastAsia" w:ascii="宋体" w:hAnsi="宋体" w:cs="宋体"/>
          <w:b/>
          <w:bCs/>
          <w:sz w:val="24"/>
          <w:szCs w:val="24"/>
          <w:lang w:val="en-US" w:eastAsia="zh-CN"/>
        </w:rPr>
        <w:t>2、</w:t>
      </w:r>
      <w:r>
        <w:rPr>
          <w:rFonts w:hint="default" w:ascii="宋体" w:hAnsi="宋体" w:cs="宋体"/>
          <w:b/>
          <w:bCs/>
          <w:sz w:val="24"/>
          <w:szCs w:val="24"/>
        </w:rPr>
        <w:t>设备维护</w:t>
      </w:r>
    </w:p>
    <w:p w14:paraId="4B1DA405">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定期检修关键设备（如焙烧炉），确保其符合标准规定的</w:t>
      </w:r>
      <w:r>
        <w:rPr>
          <w:rFonts w:hint="eastAsia" w:ascii="宋体" w:hAnsi="宋体" w:cs="宋体"/>
          <w:sz w:val="24"/>
          <w:szCs w:val="24"/>
          <w:lang w:val="en-US" w:eastAsia="zh-CN"/>
        </w:rPr>
        <w:t>工艺</w:t>
      </w:r>
      <w:r>
        <w:rPr>
          <w:rFonts w:hint="default" w:ascii="宋体" w:hAnsi="宋体" w:cs="宋体"/>
          <w:sz w:val="24"/>
          <w:szCs w:val="24"/>
        </w:rPr>
        <w:t>性能要求（如氟脱除率≥85%）。</w:t>
      </w:r>
    </w:p>
    <w:p w14:paraId="5FBC3FB5">
      <w:pPr>
        <w:numPr>
          <w:ilvl w:val="0"/>
          <w:numId w:val="3"/>
        </w:numPr>
        <w:snapToGrid w:val="0"/>
        <w:spacing w:before="156" w:beforeLines="50" w:after="156" w:afterLines="50" w:line="360" w:lineRule="auto"/>
        <w:outlineLvl w:val="0"/>
        <w:rPr>
          <w:rFonts w:ascii="黑体" w:hAnsi="黑体" w:eastAsia="黑体" w:cs="黑体"/>
          <w:sz w:val="24"/>
          <w:szCs w:val="24"/>
          <w:highlight w:val="none"/>
        </w:rPr>
      </w:pPr>
      <w:r>
        <w:rPr>
          <w:rFonts w:hint="eastAsia" w:ascii="黑体" w:hAnsi="黑体" w:eastAsia="黑体" w:cs="黑体"/>
          <w:sz w:val="24"/>
          <w:szCs w:val="24"/>
          <w:highlight w:val="none"/>
        </w:rPr>
        <w:t>预期达到的社会效益</w:t>
      </w:r>
    </w:p>
    <w:p w14:paraId="13FDC0FA">
      <w:pPr>
        <w:snapToGrid w:val="0"/>
        <w:spacing w:before="156" w:beforeLines="50" w:line="360" w:lineRule="auto"/>
        <w:outlineLvl w:val="0"/>
        <w:rPr>
          <w:rFonts w:hint="default" w:ascii="黑体" w:hAnsi="黑体" w:eastAsia="黑体" w:cs="黑体"/>
          <w:sz w:val="24"/>
          <w:szCs w:val="24"/>
        </w:rPr>
      </w:pPr>
      <w:r>
        <w:rPr>
          <w:rFonts w:hint="default" w:ascii="黑体" w:hAnsi="黑体" w:eastAsia="黑体" w:cs="黑体"/>
          <w:sz w:val="24"/>
          <w:szCs w:val="24"/>
        </w:rPr>
        <w:t>5.1 行业规范化发展</w:t>
      </w:r>
    </w:p>
    <w:p w14:paraId="5FE90E9D">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本标准的实施将推动铅锌冶炼行业氧化锌烟尘回收技术的统一化，解决当前企业间技术差异大、</w:t>
      </w:r>
      <w:r>
        <w:rPr>
          <w:rFonts w:hint="eastAsia" w:ascii="宋体" w:hAnsi="宋体" w:cs="宋体"/>
          <w:sz w:val="24"/>
          <w:szCs w:val="24"/>
          <w:lang w:val="en-US" w:eastAsia="zh-CN"/>
        </w:rPr>
        <w:t>标准不统一</w:t>
      </w:r>
      <w:r>
        <w:rPr>
          <w:rFonts w:hint="default" w:ascii="宋体" w:hAnsi="宋体" w:cs="宋体"/>
          <w:sz w:val="24"/>
          <w:szCs w:val="24"/>
        </w:rPr>
        <w:t>的问题。通过明确技术指标，引导企业淘汰落后产能，提升整体技术水平。</w:t>
      </w:r>
    </w:p>
    <w:p w14:paraId="364C8F9A">
      <w:pPr>
        <w:snapToGrid w:val="0"/>
        <w:spacing w:before="156" w:beforeLines="50" w:line="360" w:lineRule="auto"/>
        <w:outlineLvl w:val="0"/>
        <w:rPr>
          <w:rFonts w:hint="default" w:ascii="黑体" w:hAnsi="黑体" w:eastAsia="黑体" w:cs="黑体"/>
          <w:sz w:val="24"/>
          <w:szCs w:val="24"/>
        </w:rPr>
      </w:pPr>
      <w:r>
        <w:rPr>
          <w:rFonts w:hint="default" w:ascii="黑体" w:hAnsi="黑体" w:eastAsia="黑体" w:cs="黑体"/>
          <w:sz w:val="24"/>
          <w:szCs w:val="24"/>
        </w:rPr>
        <w:t>5.2 资源高效利用</w:t>
      </w:r>
    </w:p>
    <w:p w14:paraId="23C40D94">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有价金属回收：</w:t>
      </w:r>
      <w:r>
        <w:rPr>
          <w:rFonts w:hint="eastAsia" w:ascii="宋体" w:hAnsi="宋体" w:cs="宋体"/>
          <w:sz w:val="24"/>
          <w:szCs w:val="24"/>
          <w:lang w:val="en-US" w:eastAsia="zh-CN"/>
        </w:rPr>
        <w:t>通过标准化</w:t>
      </w:r>
      <w:r>
        <w:rPr>
          <w:rFonts w:hint="default" w:ascii="宋体" w:hAnsi="宋体" w:cs="宋体"/>
          <w:sz w:val="24"/>
          <w:szCs w:val="24"/>
        </w:rPr>
        <w:t>工艺（如两段逆流酸浸、单宁沉锗）可显著提高锌、铟、锗的回收率，减少资源浪费。</w:t>
      </w:r>
    </w:p>
    <w:p w14:paraId="50AE3EE0">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循环经济：</w:t>
      </w:r>
      <w:r>
        <w:rPr>
          <w:rFonts w:hint="eastAsia" w:ascii="宋体" w:hAnsi="宋体" w:cs="宋体"/>
          <w:sz w:val="24"/>
          <w:szCs w:val="24"/>
          <w:lang w:val="en-US" w:eastAsia="zh-CN"/>
        </w:rPr>
        <w:t>铅</w:t>
      </w:r>
      <w:r>
        <w:rPr>
          <w:rFonts w:hint="default" w:ascii="宋体" w:hAnsi="宋体" w:cs="宋体"/>
          <w:sz w:val="24"/>
          <w:szCs w:val="24"/>
        </w:rPr>
        <w:t>渣返回铅冶炼系统、沉锗后液回收锌镉等设计，促进产业链闭环，降低原材料消耗。</w:t>
      </w:r>
    </w:p>
    <w:p w14:paraId="58837E3D">
      <w:pPr>
        <w:snapToGrid w:val="0"/>
        <w:spacing w:before="156" w:beforeLines="50" w:line="360" w:lineRule="auto"/>
        <w:outlineLvl w:val="0"/>
        <w:rPr>
          <w:rFonts w:hint="default" w:ascii="黑体" w:hAnsi="黑体" w:eastAsia="黑体" w:cs="黑体"/>
          <w:sz w:val="24"/>
          <w:szCs w:val="24"/>
        </w:rPr>
      </w:pPr>
      <w:r>
        <w:rPr>
          <w:rFonts w:hint="default" w:ascii="黑体" w:hAnsi="黑体" w:eastAsia="黑体" w:cs="黑体"/>
          <w:sz w:val="24"/>
          <w:szCs w:val="24"/>
        </w:rPr>
        <w:t>5.3 环保与安全提升</w:t>
      </w:r>
    </w:p>
    <w:p w14:paraId="6880EC35">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污染防控：严格执行标准中的</w:t>
      </w:r>
      <w:r>
        <w:rPr>
          <w:rFonts w:hint="eastAsia" w:ascii="宋体" w:hAnsi="宋体" w:cs="宋体"/>
          <w:sz w:val="24"/>
          <w:szCs w:val="24"/>
          <w:lang w:val="en-US" w:eastAsia="zh-CN"/>
        </w:rPr>
        <w:t>大气</w:t>
      </w:r>
      <w:r>
        <w:rPr>
          <w:rFonts w:hint="default" w:ascii="宋体" w:hAnsi="宋体" w:cs="宋体"/>
          <w:sz w:val="24"/>
          <w:szCs w:val="24"/>
        </w:rPr>
        <w:t>排放限值（如GB 16297）、危险废物管理（GB 18597）等要求，减少有害元素的环境风险。</w:t>
      </w:r>
    </w:p>
    <w:p w14:paraId="65CE6007">
      <w:pPr>
        <w:adjustRightInd w:val="0"/>
        <w:snapToGrid w:val="0"/>
        <w:spacing w:line="360" w:lineRule="auto"/>
        <w:ind w:firstLine="480" w:firstLineChars="200"/>
        <w:rPr>
          <w:rFonts w:hint="default" w:ascii="宋体" w:hAnsi="宋体" w:cs="宋体"/>
          <w:sz w:val="24"/>
          <w:szCs w:val="24"/>
        </w:rPr>
      </w:pPr>
      <w:r>
        <w:rPr>
          <w:rFonts w:hint="default" w:ascii="宋体" w:hAnsi="宋体" w:cs="宋体"/>
          <w:sz w:val="24"/>
          <w:szCs w:val="24"/>
        </w:rPr>
        <w:t>职业健康：通过密闭操作、负压通风等措施，降低员工接触有害气体的概率，保障安全生产。</w:t>
      </w:r>
    </w:p>
    <w:p w14:paraId="0755C924">
      <w:pPr>
        <w:snapToGrid w:val="0"/>
        <w:spacing w:before="156" w:beforeLines="50" w:line="360" w:lineRule="auto"/>
        <w:outlineLvl w:val="0"/>
        <w:rPr>
          <w:rFonts w:hint="default" w:ascii="黑体" w:hAnsi="黑体" w:eastAsia="黑体" w:cs="黑体"/>
          <w:sz w:val="24"/>
          <w:szCs w:val="24"/>
        </w:rPr>
      </w:pPr>
      <w:r>
        <w:rPr>
          <w:rFonts w:hint="default" w:ascii="黑体" w:hAnsi="黑体" w:eastAsia="黑体" w:cs="黑体"/>
          <w:sz w:val="24"/>
          <w:szCs w:val="24"/>
        </w:rPr>
        <w:t xml:space="preserve">5.4 </w:t>
      </w:r>
      <w:r>
        <w:rPr>
          <w:rFonts w:hint="eastAsia" w:ascii="黑体" w:hAnsi="黑体" w:eastAsia="黑体" w:cs="黑体"/>
          <w:sz w:val="24"/>
          <w:szCs w:val="24"/>
          <w:lang w:val="en-US" w:eastAsia="zh-CN"/>
        </w:rPr>
        <w:t>国际</w:t>
      </w:r>
      <w:r>
        <w:rPr>
          <w:rFonts w:hint="default" w:ascii="黑体" w:hAnsi="黑体" w:eastAsia="黑体" w:cs="黑体"/>
          <w:sz w:val="24"/>
          <w:szCs w:val="24"/>
        </w:rPr>
        <w:t>竞争力增强</w:t>
      </w:r>
    </w:p>
    <w:p w14:paraId="109C221E">
      <w:pPr>
        <w:adjustRightInd w:val="0"/>
        <w:snapToGrid w:val="0"/>
        <w:spacing w:line="360" w:lineRule="auto"/>
        <w:ind w:firstLine="480" w:firstLineChars="200"/>
        <w:rPr>
          <w:rFonts w:hint="default" w:ascii="宋体" w:hAnsi="宋体" w:cs="宋体"/>
          <w:sz w:val="24"/>
          <w:szCs w:val="24"/>
        </w:rPr>
      </w:pPr>
      <w:r>
        <w:rPr>
          <w:rFonts w:hint="eastAsia" w:ascii="宋体" w:hAnsi="宋体" w:cs="宋体"/>
          <w:sz w:val="24"/>
          <w:szCs w:val="24"/>
          <w:lang w:val="en-US" w:eastAsia="zh-CN"/>
        </w:rPr>
        <w:t>通过</w:t>
      </w:r>
      <w:r>
        <w:rPr>
          <w:rFonts w:hint="default" w:ascii="宋体" w:hAnsi="宋体" w:cs="宋体"/>
          <w:sz w:val="24"/>
          <w:szCs w:val="24"/>
        </w:rPr>
        <w:t>推动国内企业技术升级，增强</w:t>
      </w:r>
      <w:r>
        <w:rPr>
          <w:rFonts w:hint="eastAsia" w:ascii="宋体" w:hAnsi="宋体" w:cs="宋体"/>
          <w:sz w:val="24"/>
          <w:szCs w:val="24"/>
          <w:lang w:val="en-US" w:eastAsia="zh-CN"/>
        </w:rPr>
        <w:t>企业国际</w:t>
      </w:r>
      <w:r>
        <w:rPr>
          <w:rFonts w:hint="default" w:ascii="宋体" w:hAnsi="宋体" w:cs="宋体"/>
          <w:sz w:val="24"/>
          <w:szCs w:val="24"/>
        </w:rPr>
        <w:t>竞争力，助力“中国制造”品质提升。</w:t>
      </w:r>
    </w:p>
    <w:p w14:paraId="54DD364E">
      <w:pPr>
        <w:numPr>
          <w:ilvl w:val="0"/>
          <w:numId w:val="3"/>
        </w:numPr>
        <w:snapToGrid w:val="0"/>
        <w:spacing w:before="156" w:beforeLines="50" w:after="156" w:afterLines="50" w:line="360" w:lineRule="auto"/>
        <w:outlineLvl w:val="0"/>
        <w:rPr>
          <w:rFonts w:ascii="黑体" w:hAnsi="黑体" w:eastAsia="黑体" w:cs="黑体"/>
          <w:sz w:val="24"/>
          <w:szCs w:val="24"/>
          <w:highlight w:val="none"/>
        </w:rPr>
      </w:pPr>
      <w:r>
        <w:rPr>
          <w:rFonts w:hint="eastAsia" w:ascii="黑体" w:hAnsi="黑体" w:eastAsia="黑体" w:cs="黑体"/>
          <w:sz w:val="24"/>
          <w:szCs w:val="24"/>
          <w:highlight w:val="none"/>
        </w:rPr>
        <w:t>项目先进性、创新性及经济和社会效益</w:t>
      </w:r>
    </w:p>
    <w:p w14:paraId="12D3BDF5">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本项目在国内率先制定火法炼铅系统氧化锌烟尘回收技术要求标准，填补了行业空白。创新地整合现有技术，结合氧化锌烟尘特点，制定出一套科学合理的回收技术规范，具有较强的针对性和实用性。通过实施本标准，企业能够提高有价元素回收率，降低生产成本，增加经济效益。同时，减少环境污染，具有显著的社会效益和环境效益。推动企业技术创新和设备升级，提升行业整体技术水平，增强行业可持续发展能力。</w:t>
      </w:r>
    </w:p>
    <w:p w14:paraId="12D77EAC">
      <w:pPr>
        <w:numPr>
          <w:ilvl w:val="0"/>
          <w:numId w:val="3"/>
        </w:numPr>
        <w:snapToGrid w:val="0"/>
        <w:spacing w:before="156" w:beforeLines="50" w:after="156" w:afterLines="50" w:line="360" w:lineRule="auto"/>
        <w:outlineLvl w:val="0"/>
        <w:rPr>
          <w:rFonts w:ascii="黑体" w:hAnsi="黑体" w:eastAsia="黑体" w:cs="黑体"/>
          <w:sz w:val="24"/>
          <w:szCs w:val="24"/>
          <w:highlight w:val="none"/>
        </w:rPr>
      </w:pPr>
      <w:r>
        <w:rPr>
          <w:rFonts w:hint="eastAsia" w:ascii="黑体" w:hAnsi="黑体" w:eastAsia="黑体" w:cs="黑体"/>
          <w:sz w:val="24"/>
          <w:szCs w:val="24"/>
          <w:highlight w:val="none"/>
        </w:rPr>
        <w:t>与有关现行法律、法规、强制性国家标准的关系</w:t>
      </w:r>
    </w:p>
    <w:p w14:paraId="7C41636A">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本标准符合我国现行法律、法规要求，与相关强制性国家标准无冲突。在制定过程中，充分考虑了现有国家标准和行业规范，如 GB 8978《污水综合排放标准》、GB 16297《大气污染物综合排放标准》、GB 18597《危险废物贮存污染控制标准》等，确保标准的技术内容和要求与现行标准体系相协调，为行业发展提供有效的技术支撑。</w:t>
      </w:r>
    </w:p>
    <w:p w14:paraId="78EC71F4">
      <w:pPr>
        <w:numPr>
          <w:ilvl w:val="0"/>
          <w:numId w:val="3"/>
        </w:numPr>
        <w:snapToGrid w:val="0"/>
        <w:spacing w:before="156" w:beforeLines="50" w:after="156" w:afterLines="50" w:line="360" w:lineRule="auto"/>
        <w:outlineLvl w:val="0"/>
        <w:rPr>
          <w:rFonts w:ascii="黑体" w:hAnsi="黑体" w:eastAsia="黑体" w:cs="黑体"/>
          <w:sz w:val="24"/>
          <w:szCs w:val="24"/>
          <w:highlight w:val="none"/>
        </w:rPr>
      </w:pPr>
      <w:r>
        <w:rPr>
          <w:rFonts w:hint="eastAsia" w:ascii="黑体" w:hAnsi="黑体" w:eastAsia="黑体" w:cs="黑体"/>
          <w:sz w:val="24"/>
          <w:szCs w:val="24"/>
          <w:highlight w:val="none"/>
        </w:rPr>
        <w:t>标准中涉及专利和知识产权说明</w:t>
      </w:r>
    </w:p>
    <w:p w14:paraId="684736B0">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本文件不识别任何专利或知识产权。在标准制定过程中，充分参考了行业内已有的技术成果，但未涉及特定专利技术的使用和侵权问题。若企业在实施标准过程中采用相关专利技术，应确保依法取得专利使用权。</w:t>
      </w:r>
    </w:p>
    <w:p w14:paraId="3DE23447">
      <w:pPr>
        <w:numPr>
          <w:ilvl w:val="0"/>
          <w:numId w:val="3"/>
        </w:numPr>
        <w:snapToGrid w:val="0"/>
        <w:spacing w:before="156" w:beforeLines="50" w:after="156" w:afterLines="50" w:line="360" w:lineRule="auto"/>
        <w:outlineLvl w:val="0"/>
        <w:rPr>
          <w:rFonts w:ascii="黑体" w:hAnsi="黑体" w:eastAsia="黑体" w:cs="黑体"/>
          <w:sz w:val="24"/>
          <w:szCs w:val="24"/>
          <w:highlight w:val="none"/>
        </w:rPr>
      </w:pPr>
      <w:r>
        <w:rPr>
          <w:rFonts w:hint="eastAsia" w:ascii="黑体" w:hAnsi="黑体" w:eastAsia="黑体" w:cs="黑体"/>
          <w:sz w:val="24"/>
          <w:szCs w:val="24"/>
          <w:highlight w:val="none"/>
        </w:rPr>
        <w:t>重大分岐意见的处理经过和依据</w:t>
      </w:r>
    </w:p>
    <w:p w14:paraId="051B932F">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在标准制定过程中，编制组通过广泛征求意见、组织专家研讨等方式，充分收集各方观点。针对不同意见，编制组进行深入分析和讨论，依据行业生产实践数据、科研成果和相关标准规范，综合权衡各方利益，寻求最佳解决方案。在有价元素回收工艺选择、有害元素除杂指标确定等关键问题上，经多次沟通协商，达成一致意见，确保标准的科学性和实用性。</w:t>
      </w:r>
    </w:p>
    <w:p w14:paraId="1E5644B1">
      <w:pPr>
        <w:numPr>
          <w:ilvl w:val="0"/>
          <w:numId w:val="3"/>
        </w:numPr>
        <w:snapToGrid w:val="0"/>
        <w:spacing w:before="156" w:beforeLines="50" w:after="156" w:afterLines="50" w:line="360" w:lineRule="auto"/>
        <w:outlineLvl w:val="0"/>
        <w:rPr>
          <w:rFonts w:ascii="黑体" w:hAnsi="黑体" w:eastAsia="黑体" w:cs="黑体"/>
          <w:sz w:val="24"/>
          <w:szCs w:val="24"/>
          <w:highlight w:val="none"/>
        </w:rPr>
      </w:pPr>
      <w:r>
        <w:rPr>
          <w:rFonts w:hint="eastAsia" w:ascii="黑体" w:hAnsi="黑体" w:eastAsia="黑体" w:cs="黑体"/>
          <w:sz w:val="24"/>
          <w:szCs w:val="24"/>
          <w:highlight w:val="none"/>
        </w:rPr>
        <w:t>废止现行有关标准的建议</w:t>
      </w:r>
    </w:p>
    <w:p w14:paraId="0C0F9ED1">
      <w:pPr>
        <w:adjustRightInd w:val="0"/>
        <w:snapToGrid w:val="0"/>
        <w:spacing w:line="360" w:lineRule="auto"/>
        <w:ind w:firstLine="480" w:firstLineChars="200"/>
        <w:rPr>
          <w:rFonts w:hint="default" w:ascii="宋体" w:hAnsi="宋体" w:cs="宋体"/>
          <w:sz w:val="24"/>
          <w:szCs w:val="24"/>
          <w:highlight w:val="none"/>
        </w:rPr>
      </w:pPr>
      <w:r>
        <w:rPr>
          <w:rFonts w:hint="default" w:ascii="宋体" w:hAnsi="宋体" w:cs="宋体"/>
          <w:sz w:val="24"/>
          <w:szCs w:val="24"/>
          <w:highlight w:val="none"/>
        </w:rPr>
        <w:t>本标准为首次制定，目前不存在与之冲突的现行标准，因此无废止现行有关标准的建议。随着行业发展，若出现与本标准重复或矛盾的标准，应根据实际情况进行评估和调整，以保证标准体系的一致性和有效性。</w:t>
      </w:r>
    </w:p>
    <w:p w14:paraId="131EF837">
      <w:pPr>
        <w:numPr>
          <w:ilvl w:val="0"/>
          <w:numId w:val="3"/>
        </w:numPr>
        <w:snapToGrid w:val="0"/>
        <w:spacing w:before="156" w:beforeLines="50" w:after="156" w:afterLines="50" w:line="360" w:lineRule="auto"/>
        <w:ind w:left="0" w:leftChars="0" w:firstLine="0" w:firstLineChars="0"/>
        <w:outlineLvl w:val="0"/>
        <w:rPr>
          <w:rFonts w:hint="eastAsia" w:ascii="黑体" w:hAnsi="黑体" w:eastAsia="黑体" w:cs="黑体"/>
          <w:sz w:val="24"/>
          <w:szCs w:val="24"/>
          <w:highlight w:val="none"/>
        </w:rPr>
      </w:pPr>
      <w:r>
        <w:rPr>
          <w:rFonts w:hint="eastAsia" w:ascii="黑体" w:hAnsi="黑体" w:eastAsia="黑体" w:cs="黑体"/>
          <w:sz w:val="24"/>
          <w:szCs w:val="24"/>
          <w:highlight w:val="none"/>
        </w:rPr>
        <w:t>其他应予说明的事项</w:t>
      </w:r>
    </w:p>
    <w:p w14:paraId="5FDB184C">
      <w:pPr>
        <w:adjustRightInd w:val="0"/>
        <w:snapToGrid w:val="0"/>
        <w:spacing w:line="360" w:lineRule="auto"/>
        <w:ind w:firstLine="480" w:firstLineChars="200"/>
        <w:rPr>
          <w:rFonts w:hint="eastAsia" w:ascii="宋体" w:hAnsi="宋体" w:cs="宋体"/>
          <w:sz w:val="24"/>
          <w:szCs w:val="24"/>
          <w:highlight w:val="none"/>
        </w:rPr>
      </w:pPr>
      <w:r>
        <w:rPr>
          <w:rFonts w:hint="default" w:ascii="宋体" w:hAnsi="宋体" w:cs="宋体"/>
          <w:sz w:val="24"/>
          <w:szCs w:val="24"/>
          <w:highlight w:val="none"/>
        </w:rPr>
        <w:t>本标准在制定过程中，充分考虑了火法炼铅系统氧化锌烟尘回收工艺的多样性和复杂性。由于不同企业的生产条件和设备差异，在实际应用中，企业可根据自身情况对标准内容进行适当调整和优化，但应确保回收效果和质量符合标准要求。标准编制组将持续关注行业技术发展动态，根据实际应用反馈，适时对标准进行修订和完善，以适应行业发展需求。</w:t>
      </w:r>
    </w:p>
    <w:p w14:paraId="13EEDAF8">
      <w:pPr>
        <w:adjustRightInd w:val="0"/>
        <w:snapToGrid w:val="0"/>
        <w:spacing w:line="360" w:lineRule="auto"/>
        <w:ind w:firstLine="480" w:firstLineChars="200"/>
        <w:rPr>
          <w:rFonts w:ascii="宋体" w:hAnsi="宋体"/>
          <w:sz w:val="24"/>
          <w:szCs w:val="24"/>
          <w:highlight w:val="yellow"/>
        </w:rPr>
      </w:pPr>
    </w:p>
    <w:p w14:paraId="429F5157">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w:t>
      </w:r>
    </w:p>
    <w:p w14:paraId="57734C56">
      <w:pPr>
        <w:snapToGrid w:val="0"/>
        <w:spacing w:line="360" w:lineRule="auto"/>
        <w:jc w:val="right"/>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火法炼铅系统氧化锌烟尘回收技术要求</w:t>
      </w:r>
      <w:r>
        <w:rPr>
          <w:rFonts w:hint="eastAsia" w:ascii="宋体" w:hAnsi="宋体" w:cs="宋体"/>
          <w:sz w:val="24"/>
          <w:szCs w:val="24"/>
        </w:rPr>
        <w:t>》</w:t>
      </w:r>
    </w:p>
    <w:p w14:paraId="6AEBDB61">
      <w:pPr>
        <w:snapToGrid w:val="0"/>
        <w:spacing w:line="360" w:lineRule="auto"/>
        <w:ind w:firstLine="6480" w:firstLineChars="2700"/>
        <w:jc w:val="left"/>
        <w:rPr>
          <w:rFonts w:ascii="宋体" w:hAnsi="宋体" w:cs="宋体"/>
          <w:sz w:val="24"/>
          <w:szCs w:val="24"/>
        </w:rPr>
      </w:pPr>
      <w:r>
        <w:rPr>
          <w:rFonts w:hint="eastAsia" w:ascii="宋体" w:hAnsi="宋体" w:cs="宋体"/>
          <w:sz w:val="24"/>
          <w:szCs w:val="24"/>
        </w:rPr>
        <w:t>标准编制组</w:t>
      </w:r>
    </w:p>
    <w:p w14:paraId="4CE13064">
      <w:pPr>
        <w:adjustRightInd w:val="0"/>
        <w:snapToGrid w:val="0"/>
        <w:spacing w:line="360" w:lineRule="auto"/>
        <w:ind w:right="960" w:firstLine="480" w:firstLineChars="200"/>
        <w:jc w:val="center"/>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03</w:t>
      </w:r>
      <w:r>
        <w:rPr>
          <w:rFonts w:hint="eastAsia" w:ascii="宋体" w:hAnsi="宋体"/>
          <w:sz w:val="24"/>
          <w:szCs w:val="24"/>
        </w:rPr>
        <w:t>月</w:t>
      </w:r>
      <w:r>
        <w:rPr>
          <w:rFonts w:hint="eastAsia" w:ascii="宋体" w:hAnsi="宋体"/>
          <w:sz w:val="24"/>
          <w:szCs w:val="24"/>
          <w:lang w:val="en-US" w:eastAsia="zh-CN"/>
        </w:rPr>
        <w:t>05</w:t>
      </w:r>
      <w:bookmarkStart w:id="3" w:name="_GoBack"/>
      <w:bookmarkEnd w:id="3"/>
      <w:r>
        <w:rPr>
          <w:rFonts w:hint="eastAsia" w:ascii="宋体" w:hAnsi="宋体"/>
          <w:sz w:val="24"/>
          <w:szCs w:val="24"/>
        </w:rPr>
        <w:t>日</w:t>
      </w:r>
    </w:p>
    <w:p w14:paraId="3E2AB1F4">
      <w:pPr>
        <w:rPr>
          <w:sz w:val="24"/>
          <w:szCs w:val="24"/>
        </w:rPr>
      </w:pPr>
    </w:p>
    <w:sectPr>
      <w:footerReference r:id="rId4" w:type="default"/>
      <w:pgSz w:w="11906" w:h="16838"/>
      <w:pgMar w:top="1134" w:right="1349" w:bottom="1134" w:left="1349"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4197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687AE">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C687AE">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C6BE2">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D89D5"/>
    <w:multiLevelType w:val="singleLevel"/>
    <w:tmpl w:val="847D89D5"/>
    <w:lvl w:ilvl="0" w:tentative="0">
      <w:start w:val="1"/>
      <w:numFmt w:val="chineseCounting"/>
      <w:suff w:val="nothing"/>
      <w:lvlText w:val="（%1）"/>
      <w:lvlJc w:val="left"/>
      <w:rPr>
        <w:rFonts w:hint="eastAsia"/>
      </w:rPr>
    </w:lvl>
  </w:abstractNum>
  <w:abstractNum w:abstractNumId="1">
    <w:nsid w:val="9179E46A"/>
    <w:multiLevelType w:val="singleLevel"/>
    <w:tmpl w:val="9179E46A"/>
    <w:lvl w:ilvl="0" w:tentative="0">
      <w:start w:val="1"/>
      <w:numFmt w:val="decimal"/>
      <w:suff w:val="nothing"/>
      <w:lvlText w:val="%1、"/>
      <w:lvlJc w:val="left"/>
    </w:lvl>
  </w:abstractNum>
  <w:abstractNum w:abstractNumId="2">
    <w:nsid w:val="ADA94CF7"/>
    <w:multiLevelType w:val="singleLevel"/>
    <w:tmpl w:val="ADA94CF7"/>
    <w:lvl w:ilvl="0" w:tentative="0">
      <w:start w:val="1"/>
      <w:numFmt w:val="lowerLetter"/>
      <w:suff w:val="nothing"/>
      <w:lvlText w:val="%1）"/>
      <w:lvlJc w:val="left"/>
    </w:lvl>
  </w:abstractNum>
  <w:abstractNum w:abstractNumId="3">
    <w:nsid w:val="BDBC279D"/>
    <w:multiLevelType w:val="singleLevel"/>
    <w:tmpl w:val="BDBC279D"/>
    <w:lvl w:ilvl="0" w:tentative="0">
      <w:start w:val="1"/>
      <w:numFmt w:val="decimal"/>
      <w:suff w:val="nothing"/>
      <w:lvlText w:val="（%1）"/>
      <w:lvlJc w:val="left"/>
    </w:lvl>
  </w:abstractNum>
  <w:abstractNum w:abstractNumId="4">
    <w:nsid w:val="1FC91163"/>
    <w:multiLevelType w:val="multilevel"/>
    <w:tmpl w:val="1FC91163"/>
    <w:lvl w:ilvl="0" w:tentative="0">
      <w:start w:val="1"/>
      <w:numFmt w:val="decimal"/>
      <w:suff w:val="nothing"/>
      <w:lvlText w:val="%1　"/>
      <w:lvlJc w:val="left"/>
      <w:pPr>
        <w:ind w:left="850" w:firstLine="0"/>
      </w:p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2"/>
      <w:suff w:val="nothing"/>
      <w:lvlText w:val="%1.%2.%3　"/>
      <w:lvlJc w:val="left"/>
      <w:pPr>
        <w:ind w:left="0" w:firstLine="0"/>
      </w:pPr>
      <w:rPr>
        <w:rFonts w:hint="eastAsia" w:ascii="黑体" w:hAnsi="Times New Roman" w:eastAsia="黑体"/>
        <w:b w:val="0"/>
        <w:i w:val="0"/>
        <w:sz w:val="21"/>
      </w:rPr>
    </w:lvl>
    <w:lvl w:ilvl="3" w:tentative="0">
      <w:start w:val="1"/>
      <w:numFmt w:val="decimal"/>
      <w:pStyle w:val="4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285" w:firstLine="0"/>
      </w:pPr>
      <w:rPr>
        <w:rFonts w:hint="eastAsia" w:ascii="黑体" w:hAnsi="Times New Roman" w:eastAsia="黑体"/>
        <w:b w:val="0"/>
        <w:i w:val="0"/>
        <w:sz w:val="21"/>
      </w:rPr>
    </w:lvl>
    <w:lvl w:ilvl="5" w:tentative="0">
      <w:start w:val="1"/>
      <w:numFmt w:val="decimal"/>
      <w:suff w:val="nothing"/>
      <w:lvlText w:val="%1.%2.%3.%4.%5.%6　"/>
      <w:lvlJc w:val="left"/>
      <w:pPr>
        <w:ind w:left="-285" w:firstLine="0"/>
      </w:pPr>
      <w:rPr>
        <w:rFonts w:hint="eastAsia" w:ascii="黑体" w:hAnsi="Times New Roman" w:eastAsia="黑体"/>
        <w:b w:val="0"/>
        <w:i w:val="0"/>
        <w:sz w:val="21"/>
      </w:rPr>
    </w:lvl>
    <w:lvl w:ilvl="6" w:tentative="0">
      <w:start w:val="1"/>
      <w:numFmt w:val="decimal"/>
      <w:suff w:val="nothing"/>
      <w:lvlText w:val="%1%2.%3.%4.%5.%6.%7　"/>
      <w:lvlJc w:val="left"/>
      <w:pPr>
        <w:ind w:left="-285" w:firstLine="0"/>
      </w:pPr>
      <w:rPr>
        <w:rFonts w:hint="eastAsia" w:ascii="黑体" w:hAnsi="Times New Roman" w:eastAsia="黑体"/>
        <w:b w:val="0"/>
        <w:i w:val="0"/>
        <w:sz w:val="21"/>
      </w:rPr>
    </w:lvl>
    <w:lvl w:ilvl="7" w:tentative="0">
      <w:start w:val="1"/>
      <w:numFmt w:val="decimal"/>
      <w:lvlText w:val="%1.%2.%3.%4.%5.%6.%7.%8"/>
      <w:lvlJc w:val="left"/>
      <w:pPr>
        <w:tabs>
          <w:tab w:val="left" w:pos="4066"/>
        </w:tabs>
        <w:ind w:left="3684" w:hanging="1418"/>
      </w:pPr>
      <w:rPr>
        <w:rFonts w:hint="eastAsia"/>
      </w:rPr>
    </w:lvl>
    <w:lvl w:ilvl="8" w:tentative="0">
      <w:start w:val="1"/>
      <w:numFmt w:val="decimal"/>
      <w:lvlText w:val="%1.%2.%3.%4.%5.%6.%7.%8.%9"/>
      <w:lvlJc w:val="left"/>
      <w:pPr>
        <w:tabs>
          <w:tab w:val="left" w:pos="4492"/>
        </w:tabs>
        <w:ind w:left="4392" w:hanging="1700"/>
      </w:pPr>
      <w:rPr>
        <w:rFonts w:hint="eastAsia"/>
      </w:rPr>
    </w:lvl>
  </w:abstractNum>
  <w:abstractNum w:abstractNumId="5">
    <w:nsid w:val="445A1783"/>
    <w:multiLevelType w:val="singleLevel"/>
    <w:tmpl w:val="445A1783"/>
    <w:lvl w:ilvl="0" w:tentative="0">
      <w:start w:val="1"/>
      <w:numFmt w:val="chineseCounting"/>
      <w:suff w:val="nothing"/>
      <w:lvlText w:val="%1、"/>
      <w:lvlJc w:val="left"/>
      <w:rPr>
        <w:rFonts w:hint="eastAsia"/>
      </w:rPr>
    </w:lvl>
  </w:abstractNum>
  <w:abstractNum w:abstractNumId="6">
    <w:nsid w:val="44C50F90"/>
    <w:multiLevelType w:val="multilevel"/>
    <w:tmpl w:val="44C50F90"/>
    <w:lvl w:ilvl="0" w:tentative="0">
      <w:start w:val="1"/>
      <w:numFmt w:val="lowerLetter"/>
      <w:pStyle w:val="45"/>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5CFF4D7C"/>
    <w:multiLevelType w:val="singleLevel"/>
    <w:tmpl w:val="5CFF4D7C"/>
    <w:lvl w:ilvl="0" w:tentative="0">
      <w:start w:val="1"/>
      <w:numFmt w:val="decimal"/>
      <w:suff w:val="nothing"/>
      <w:lvlText w:val="%1、"/>
      <w:lvlJc w:val="left"/>
    </w:lvl>
  </w:abstractNum>
  <w:abstractNum w:abstractNumId="8">
    <w:nsid w:val="681BED44"/>
    <w:multiLevelType w:val="singleLevel"/>
    <w:tmpl w:val="681BED44"/>
    <w:lvl w:ilvl="0" w:tentative="0">
      <w:start w:val="6"/>
      <w:numFmt w:val="decimal"/>
      <w:suff w:val="nothing"/>
      <w:lvlText w:val="%1、"/>
      <w:lvlJc w:val="left"/>
    </w:lvl>
  </w:abstractNum>
  <w:num w:numId="1">
    <w:abstractNumId w:val="4"/>
  </w:num>
  <w:num w:numId="2">
    <w:abstractNumId w:val="6"/>
  </w:num>
  <w:num w:numId="3">
    <w:abstractNumId w:val="5"/>
  </w:num>
  <w:num w:numId="4">
    <w:abstractNumId w:val="0"/>
  </w:num>
  <w:num w:numId="5">
    <w:abstractNumId w:val="7"/>
  </w:num>
  <w:num w:numId="6">
    <w:abstractNumId w:val="1"/>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2MWNhYTM0YTdjMTJkNTQ1NDU4ZDdjYjRjZDEwNjQifQ=="/>
  </w:docVars>
  <w:rsids>
    <w:rsidRoot w:val="0049152D"/>
    <w:rsid w:val="00000899"/>
    <w:rsid w:val="00002C81"/>
    <w:rsid w:val="0000483E"/>
    <w:rsid w:val="0000533A"/>
    <w:rsid w:val="00006069"/>
    <w:rsid w:val="00007345"/>
    <w:rsid w:val="0000734E"/>
    <w:rsid w:val="000119A5"/>
    <w:rsid w:val="00011F52"/>
    <w:rsid w:val="0001287D"/>
    <w:rsid w:val="00013051"/>
    <w:rsid w:val="00013700"/>
    <w:rsid w:val="00013B39"/>
    <w:rsid w:val="00014230"/>
    <w:rsid w:val="000142A3"/>
    <w:rsid w:val="0001434A"/>
    <w:rsid w:val="000146E1"/>
    <w:rsid w:val="00015683"/>
    <w:rsid w:val="00015B66"/>
    <w:rsid w:val="00016452"/>
    <w:rsid w:val="00016C1B"/>
    <w:rsid w:val="000174E9"/>
    <w:rsid w:val="00017703"/>
    <w:rsid w:val="00020B8D"/>
    <w:rsid w:val="00020E6C"/>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05"/>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6D6"/>
    <w:rsid w:val="00063E72"/>
    <w:rsid w:val="000647B0"/>
    <w:rsid w:val="000647D1"/>
    <w:rsid w:val="000648D5"/>
    <w:rsid w:val="00064F0E"/>
    <w:rsid w:val="0006509C"/>
    <w:rsid w:val="00065850"/>
    <w:rsid w:val="000661DC"/>
    <w:rsid w:val="0006634E"/>
    <w:rsid w:val="00067F99"/>
    <w:rsid w:val="0007025D"/>
    <w:rsid w:val="0007113B"/>
    <w:rsid w:val="00072938"/>
    <w:rsid w:val="00072B7E"/>
    <w:rsid w:val="00073823"/>
    <w:rsid w:val="000738A3"/>
    <w:rsid w:val="00073EA4"/>
    <w:rsid w:val="00074BD0"/>
    <w:rsid w:val="00075228"/>
    <w:rsid w:val="00076905"/>
    <w:rsid w:val="00081042"/>
    <w:rsid w:val="00083504"/>
    <w:rsid w:val="00083671"/>
    <w:rsid w:val="0008539E"/>
    <w:rsid w:val="0008748A"/>
    <w:rsid w:val="00087579"/>
    <w:rsid w:val="00090932"/>
    <w:rsid w:val="0009564E"/>
    <w:rsid w:val="000956AA"/>
    <w:rsid w:val="00095716"/>
    <w:rsid w:val="00095B00"/>
    <w:rsid w:val="000968E7"/>
    <w:rsid w:val="00096C0A"/>
    <w:rsid w:val="000A25DA"/>
    <w:rsid w:val="000A2674"/>
    <w:rsid w:val="000A46E3"/>
    <w:rsid w:val="000A68B0"/>
    <w:rsid w:val="000A68DC"/>
    <w:rsid w:val="000B0288"/>
    <w:rsid w:val="000B12AD"/>
    <w:rsid w:val="000B20BA"/>
    <w:rsid w:val="000B4AD4"/>
    <w:rsid w:val="000C2E3D"/>
    <w:rsid w:val="000C4435"/>
    <w:rsid w:val="000C782F"/>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755"/>
    <w:rsid w:val="000F7CA9"/>
    <w:rsid w:val="000F7EE8"/>
    <w:rsid w:val="0010164F"/>
    <w:rsid w:val="00101FD6"/>
    <w:rsid w:val="00103B79"/>
    <w:rsid w:val="00103F5A"/>
    <w:rsid w:val="001043C6"/>
    <w:rsid w:val="0010446D"/>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5DB0"/>
    <w:rsid w:val="00126111"/>
    <w:rsid w:val="001268D7"/>
    <w:rsid w:val="00130CC9"/>
    <w:rsid w:val="00133DCA"/>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3968"/>
    <w:rsid w:val="00164041"/>
    <w:rsid w:val="00164320"/>
    <w:rsid w:val="0016453D"/>
    <w:rsid w:val="00165B11"/>
    <w:rsid w:val="00167FF7"/>
    <w:rsid w:val="001710BE"/>
    <w:rsid w:val="00171C88"/>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21B3"/>
    <w:rsid w:val="0019306C"/>
    <w:rsid w:val="001936E4"/>
    <w:rsid w:val="001945B5"/>
    <w:rsid w:val="00194AB3"/>
    <w:rsid w:val="00195204"/>
    <w:rsid w:val="0019675D"/>
    <w:rsid w:val="00196900"/>
    <w:rsid w:val="00196D91"/>
    <w:rsid w:val="0019747E"/>
    <w:rsid w:val="001976D2"/>
    <w:rsid w:val="00197920"/>
    <w:rsid w:val="001A0EA6"/>
    <w:rsid w:val="001A2F17"/>
    <w:rsid w:val="001A2FAE"/>
    <w:rsid w:val="001A577D"/>
    <w:rsid w:val="001B1F37"/>
    <w:rsid w:val="001B2EA2"/>
    <w:rsid w:val="001B4D60"/>
    <w:rsid w:val="001B548E"/>
    <w:rsid w:val="001B6C1B"/>
    <w:rsid w:val="001B7658"/>
    <w:rsid w:val="001B7E54"/>
    <w:rsid w:val="001C010F"/>
    <w:rsid w:val="001C1800"/>
    <w:rsid w:val="001C1A61"/>
    <w:rsid w:val="001C1C7F"/>
    <w:rsid w:val="001C3BD9"/>
    <w:rsid w:val="001C3C44"/>
    <w:rsid w:val="001C5F5B"/>
    <w:rsid w:val="001C63FA"/>
    <w:rsid w:val="001C6400"/>
    <w:rsid w:val="001C64E2"/>
    <w:rsid w:val="001C7F8B"/>
    <w:rsid w:val="001D122A"/>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066A0"/>
    <w:rsid w:val="00210806"/>
    <w:rsid w:val="00210D97"/>
    <w:rsid w:val="00211DAA"/>
    <w:rsid w:val="00212C2F"/>
    <w:rsid w:val="00213C05"/>
    <w:rsid w:val="00213CB8"/>
    <w:rsid w:val="00213CDF"/>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35CB5"/>
    <w:rsid w:val="00240AED"/>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59A5"/>
    <w:rsid w:val="00276418"/>
    <w:rsid w:val="002766E1"/>
    <w:rsid w:val="00277D55"/>
    <w:rsid w:val="00277DE9"/>
    <w:rsid w:val="00280742"/>
    <w:rsid w:val="00281A43"/>
    <w:rsid w:val="0028345E"/>
    <w:rsid w:val="00283F0D"/>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266"/>
    <w:rsid w:val="002B33F4"/>
    <w:rsid w:val="002B351D"/>
    <w:rsid w:val="002B45E4"/>
    <w:rsid w:val="002B4A70"/>
    <w:rsid w:val="002B6C88"/>
    <w:rsid w:val="002C11C3"/>
    <w:rsid w:val="002C32C0"/>
    <w:rsid w:val="002C33FD"/>
    <w:rsid w:val="002C3F54"/>
    <w:rsid w:val="002C42AC"/>
    <w:rsid w:val="002C6308"/>
    <w:rsid w:val="002C6478"/>
    <w:rsid w:val="002C7E20"/>
    <w:rsid w:val="002D16DB"/>
    <w:rsid w:val="002D29B7"/>
    <w:rsid w:val="002D6F42"/>
    <w:rsid w:val="002D75D7"/>
    <w:rsid w:val="002E22A3"/>
    <w:rsid w:val="002E34A8"/>
    <w:rsid w:val="002E3C9C"/>
    <w:rsid w:val="002E3FAA"/>
    <w:rsid w:val="002E4B56"/>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13BE"/>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61E"/>
    <w:rsid w:val="00334FD6"/>
    <w:rsid w:val="0033778F"/>
    <w:rsid w:val="00337C4B"/>
    <w:rsid w:val="00340915"/>
    <w:rsid w:val="00340C08"/>
    <w:rsid w:val="00340C89"/>
    <w:rsid w:val="0034101B"/>
    <w:rsid w:val="00341EAD"/>
    <w:rsid w:val="0034335F"/>
    <w:rsid w:val="0034452B"/>
    <w:rsid w:val="00344AA8"/>
    <w:rsid w:val="00345963"/>
    <w:rsid w:val="00345E08"/>
    <w:rsid w:val="0034682F"/>
    <w:rsid w:val="00350386"/>
    <w:rsid w:val="003520BC"/>
    <w:rsid w:val="003530CC"/>
    <w:rsid w:val="00353342"/>
    <w:rsid w:val="00353EE8"/>
    <w:rsid w:val="00354085"/>
    <w:rsid w:val="0035503B"/>
    <w:rsid w:val="00357AB2"/>
    <w:rsid w:val="0036126F"/>
    <w:rsid w:val="0036236D"/>
    <w:rsid w:val="0036516E"/>
    <w:rsid w:val="00365702"/>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46D1"/>
    <w:rsid w:val="00395D8B"/>
    <w:rsid w:val="003966FD"/>
    <w:rsid w:val="003A004A"/>
    <w:rsid w:val="003A0A71"/>
    <w:rsid w:val="003A0D28"/>
    <w:rsid w:val="003A0E43"/>
    <w:rsid w:val="003A0F8D"/>
    <w:rsid w:val="003A226A"/>
    <w:rsid w:val="003A3735"/>
    <w:rsid w:val="003A3C95"/>
    <w:rsid w:val="003B0813"/>
    <w:rsid w:val="003B159B"/>
    <w:rsid w:val="003B193E"/>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5F4E"/>
    <w:rsid w:val="003D6715"/>
    <w:rsid w:val="003D697A"/>
    <w:rsid w:val="003D70CD"/>
    <w:rsid w:val="003D763B"/>
    <w:rsid w:val="003D77DA"/>
    <w:rsid w:val="003E0B81"/>
    <w:rsid w:val="003E1850"/>
    <w:rsid w:val="003E28B7"/>
    <w:rsid w:val="003E29D5"/>
    <w:rsid w:val="003E56DB"/>
    <w:rsid w:val="003E57D1"/>
    <w:rsid w:val="003E6ADF"/>
    <w:rsid w:val="003E6EF7"/>
    <w:rsid w:val="003F1FE4"/>
    <w:rsid w:val="003F49C6"/>
    <w:rsid w:val="003F555E"/>
    <w:rsid w:val="003F614E"/>
    <w:rsid w:val="003F7502"/>
    <w:rsid w:val="003F7BA1"/>
    <w:rsid w:val="004022DF"/>
    <w:rsid w:val="00404211"/>
    <w:rsid w:val="00406567"/>
    <w:rsid w:val="0040765C"/>
    <w:rsid w:val="004076E2"/>
    <w:rsid w:val="0040773D"/>
    <w:rsid w:val="00407C11"/>
    <w:rsid w:val="00410088"/>
    <w:rsid w:val="004116FB"/>
    <w:rsid w:val="00412931"/>
    <w:rsid w:val="00414A71"/>
    <w:rsid w:val="00414AB7"/>
    <w:rsid w:val="004153B6"/>
    <w:rsid w:val="00416FB1"/>
    <w:rsid w:val="00417CE4"/>
    <w:rsid w:val="00421809"/>
    <w:rsid w:val="00422048"/>
    <w:rsid w:val="00424370"/>
    <w:rsid w:val="00425776"/>
    <w:rsid w:val="00425D82"/>
    <w:rsid w:val="004260ED"/>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5FBC"/>
    <w:rsid w:val="0044667C"/>
    <w:rsid w:val="00446C4C"/>
    <w:rsid w:val="004514C8"/>
    <w:rsid w:val="00451F87"/>
    <w:rsid w:val="00452906"/>
    <w:rsid w:val="004529DD"/>
    <w:rsid w:val="00452DAC"/>
    <w:rsid w:val="00453850"/>
    <w:rsid w:val="00454EB1"/>
    <w:rsid w:val="004565BC"/>
    <w:rsid w:val="004576A5"/>
    <w:rsid w:val="00460FA1"/>
    <w:rsid w:val="00462143"/>
    <w:rsid w:val="00462622"/>
    <w:rsid w:val="0046322F"/>
    <w:rsid w:val="004666E1"/>
    <w:rsid w:val="0046734F"/>
    <w:rsid w:val="004720CB"/>
    <w:rsid w:val="004728DF"/>
    <w:rsid w:val="00473AA0"/>
    <w:rsid w:val="0047455F"/>
    <w:rsid w:val="00474C54"/>
    <w:rsid w:val="004765D1"/>
    <w:rsid w:val="004767A9"/>
    <w:rsid w:val="00476946"/>
    <w:rsid w:val="00476BD5"/>
    <w:rsid w:val="00480137"/>
    <w:rsid w:val="00480F80"/>
    <w:rsid w:val="00480FD3"/>
    <w:rsid w:val="00481581"/>
    <w:rsid w:val="0048184E"/>
    <w:rsid w:val="00482782"/>
    <w:rsid w:val="004840FC"/>
    <w:rsid w:val="00486195"/>
    <w:rsid w:val="004863ED"/>
    <w:rsid w:val="00486436"/>
    <w:rsid w:val="004869D0"/>
    <w:rsid w:val="00486D21"/>
    <w:rsid w:val="00487974"/>
    <w:rsid w:val="004900F7"/>
    <w:rsid w:val="0049152D"/>
    <w:rsid w:val="00494307"/>
    <w:rsid w:val="004943AB"/>
    <w:rsid w:val="00495C7F"/>
    <w:rsid w:val="00496CFF"/>
    <w:rsid w:val="00497207"/>
    <w:rsid w:val="004A1953"/>
    <w:rsid w:val="004A28E4"/>
    <w:rsid w:val="004A2B95"/>
    <w:rsid w:val="004B0F1A"/>
    <w:rsid w:val="004B12D0"/>
    <w:rsid w:val="004B2DFA"/>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3C9C"/>
    <w:rsid w:val="004F40C5"/>
    <w:rsid w:val="004F4C96"/>
    <w:rsid w:val="004F69A5"/>
    <w:rsid w:val="004F76C2"/>
    <w:rsid w:val="00500130"/>
    <w:rsid w:val="005011DC"/>
    <w:rsid w:val="00504978"/>
    <w:rsid w:val="0050638A"/>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57CB4"/>
    <w:rsid w:val="00561267"/>
    <w:rsid w:val="00561B33"/>
    <w:rsid w:val="00563071"/>
    <w:rsid w:val="005652D7"/>
    <w:rsid w:val="0057237B"/>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972B3"/>
    <w:rsid w:val="00597E81"/>
    <w:rsid w:val="005A0829"/>
    <w:rsid w:val="005A0EB2"/>
    <w:rsid w:val="005A1119"/>
    <w:rsid w:val="005A264C"/>
    <w:rsid w:val="005A3477"/>
    <w:rsid w:val="005A366C"/>
    <w:rsid w:val="005A3B0F"/>
    <w:rsid w:val="005A3B3F"/>
    <w:rsid w:val="005B1210"/>
    <w:rsid w:val="005B1340"/>
    <w:rsid w:val="005B15F5"/>
    <w:rsid w:val="005B2378"/>
    <w:rsid w:val="005B36D7"/>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4DA4"/>
    <w:rsid w:val="005E6CA1"/>
    <w:rsid w:val="005E702C"/>
    <w:rsid w:val="005E73C2"/>
    <w:rsid w:val="005E7C44"/>
    <w:rsid w:val="005F197A"/>
    <w:rsid w:val="005F2927"/>
    <w:rsid w:val="005F2DF7"/>
    <w:rsid w:val="005F3007"/>
    <w:rsid w:val="005F304B"/>
    <w:rsid w:val="005F3B3D"/>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747"/>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2FDF"/>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A35"/>
    <w:rsid w:val="00665C20"/>
    <w:rsid w:val="00672D4A"/>
    <w:rsid w:val="00673DCE"/>
    <w:rsid w:val="006749E5"/>
    <w:rsid w:val="00675C9D"/>
    <w:rsid w:val="00675DA5"/>
    <w:rsid w:val="00676165"/>
    <w:rsid w:val="00676CB1"/>
    <w:rsid w:val="00680ED2"/>
    <w:rsid w:val="00686291"/>
    <w:rsid w:val="00686FA4"/>
    <w:rsid w:val="006903A7"/>
    <w:rsid w:val="00691712"/>
    <w:rsid w:val="00691E65"/>
    <w:rsid w:val="00691EA1"/>
    <w:rsid w:val="006921EB"/>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26BCA"/>
    <w:rsid w:val="00727582"/>
    <w:rsid w:val="00732460"/>
    <w:rsid w:val="00733D7B"/>
    <w:rsid w:val="00735881"/>
    <w:rsid w:val="00735F13"/>
    <w:rsid w:val="007364A0"/>
    <w:rsid w:val="007408D5"/>
    <w:rsid w:val="0074154C"/>
    <w:rsid w:val="00741EE1"/>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2A01"/>
    <w:rsid w:val="0077338A"/>
    <w:rsid w:val="00773A59"/>
    <w:rsid w:val="00774701"/>
    <w:rsid w:val="007771DC"/>
    <w:rsid w:val="00777F89"/>
    <w:rsid w:val="00781D10"/>
    <w:rsid w:val="00782574"/>
    <w:rsid w:val="007831CE"/>
    <w:rsid w:val="0078347B"/>
    <w:rsid w:val="00784F06"/>
    <w:rsid w:val="007852BF"/>
    <w:rsid w:val="007852F1"/>
    <w:rsid w:val="00790B45"/>
    <w:rsid w:val="0079220D"/>
    <w:rsid w:val="00792719"/>
    <w:rsid w:val="00792749"/>
    <w:rsid w:val="007928CE"/>
    <w:rsid w:val="00792ADA"/>
    <w:rsid w:val="00793ECE"/>
    <w:rsid w:val="00796E22"/>
    <w:rsid w:val="0079778C"/>
    <w:rsid w:val="00797E1A"/>
    <w:rsid w:val="00797F54"/>
    <w:rsid w:val="007A35C4"/>
    <w:rsid w:val="007A3CC4"/>
    <w:rsid w:val="007A4418"/>
    <w:rsid w:val="007A45F1"/>
    <w:rsid w:val="007A56FF"/>
    <w:rsid w:val="007A5B54"/>
    <w:rsid w:val="007A766F"/>
    <w:rsid w:val="007B1720"/>
    <w:rsid w:val="007B1B31"/>
    <w:rsid w:val="007B2921"/>
    <w:rsid w:val="007B392C"/>
    <w:rsid w:val="007B4388"/>
    <w:rsid w:val="007B45BA"/>
    <w:rsid w:val="007B49CE"/>
    <w:rsid w:val="007B4E9A"/>
    <w:rsid w:val="007B5178"/>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0F3F"/>
    <w:rsid w:val="0082207A"/>
    <w:rsid w:val="00823429"/>
    <w:rsid w:val="00823888"/>
    <w:rsid w:val="008309E3"/>
    <w:rsid w:val="008314BA"/>
    <w:rsid w:val="00832337"/>
    <w:rsid w:val="00832B7B"/>
    <w:rsid w:val="00832FFA"/>
    <w:rsid w:val="008347F7"/>
    <w:rsid w:val="008353FC"/>
    <w:rsid w:val="00836C5C"/>
    <w:rsid w:val="00837C2E"/>
    <w:rsid w:val="00837FDA"/>
    <w:rsid w:val="00841543"/>
    <w:rsid w:val="00841833"/>
    <w:rsid w:val="008418E3"/>
    <w:rsid w:val="00841FB9"/>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1C03"/>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2E1"/>
    <w:rsid w:val="008A45E8"/>
    <w:rsid w:val="008A5278"/>
    <w:rsid w:val="008A5D75"/>
    <w:rsid w:val="008A7719"/>
    <w:rsid w:val="008A7A9A"/>
    <w:rsid w:val="008B0AFD"/>
    <w:rsid w:val="008B3B41"/>
    <w:rsid w:val="008B44DA"/>
    <w:rsid w:val="008B4D42"/>
    <w:rsid w:val="008B5CA8"/>
    <w:rsid w:val="008B6FB0"/>
    <w:rsid w:val="008C1AB9"/>
    <w:rsid w:val="008C288A"/>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4D3C"/>
    <w:rsid w:val="008E4E14"/>
    <w:rsid w:val="008E7F39"/>
    <w:rsid w:val="008F0191"/>
    <w:rsid w:val="008F0A69"/>
    <w:rsid w:val="008F102D"/>
    <w:rsid w:val="008F14A2"/>
    <w:rsid w:val="008F3EF3"/>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46D33"/>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06B"/>
    <w:rsid w:val="009672AC"/>
    <w:rsid w:val="00967EDD"/>
    <w:rsid w:val="00971910"/>
    <w:rsid w:val="00972551"/>
    <w:rsid w:val="00972B8E"/>
    <w:rsid w:val="00973A55"/>
    <w:rsid w:val="00974C45"/>
    <w:rsid w:val="00975A1E"/>
    <w:rsid w:val="00975C75"/>
    <w:rsid w:val="00980B13"/>
    <w:rsid w:val="00980F6D"/>
    <w:rsid w:val="00981871"/>
    <w:rsid w:val="00982E2D"/>
    <w:rsid w:val="00982F94"/>
    <w:rsid w:val="00983EDA"/>
    <w:rsid w:val="00985422"/>
    <w:rsid w:val="0098571D"/>
    <w:rsid w:val="009867CF"/>
    <w:rsid w:val="00986DCF"/>
    <w:rsid w:val="00991021"/>
    <w:rsid w:val="00992A6C"/>
    <w:rsid w:val="00992B39"/>
    <w:rsid w:val="00996DF4"/>
    <w:rsid w:val="009A02E4"/>
    <w:rsid w:val="009A0A3D"/>
    <w:rsid w:val="009A1442"/>
    <w:rsid w:val="009A1C7C"/>
    <w:rsid w:val="009A2D3A"/>
    <w:rsid w:val="009A3F87"/>
    <w:rsid w:val="009A4588"/>
    <w:rsid w:val="009A4F82"/>
    <w:rsid w:val="009A5325"/>
    <w:rsid w:val="009A5DC3"/>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1DA4"/>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31B3"/>
    <w:rsid w:val="00A246A8"/>
    <w:rsid w:val="00A2660D"/>
    <w:rsid w:val="00A2730C"/>
    <w:rsid w:val="00A27CF3"/>
    <w:rsid w:val="00A30BC4"/>
    <w:rsid w:val="00A30C4E"/>
    <w:rsid w:val="00A320EF"/>
    <w:rsid w:val="00A32843"/>
    <w:rsid w:val="00A33131"/>
    <w:rsid w:val="00A40C00"/>
    <w:rsid w:val="00A4126E"/>
    <w:rsid w:val="00A42D32"/>
    <w:rsid w:val="00A43BE4"/>
    <w:rsid w:val="00A46A63"/>
    <w:rsid w:val="00A47F91"/>
    <w:rsid w:val="00A50A3C"/>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39CC"/>
    <w:rsid w:val="00A75BF2"/>
    <w:rsid w:val="00A824D5"/>
    <w:rsid w:val="00A8270A"/>
    <w:rsid w:val="00A86745"/>
    <w:rsid w:val="00A928A8"/>
    <w:rsid w:val="00A93F20"/>
    <w:rsid w:val="00A94AAE"/>
    <w:rsid w:val="00A94C7E"/>
    <w:rsid w:val="00A952DC"/>
    <w:rsid w:val="00A9692C"/>
    <w:rsid w:val="00A97867"/>
    <w:rsid w:val="00A97F66"/>
    <w:rsid w:val="00AA324F"/>
    <w:rsid w:val="00AA539D"/>
    <w:rsid w:val="00AA56B6"/>
    <w:rsid w:val="00AA763A"/>
    <w:rsid w:val="00AA7A54"/>
    <w:rsid w:val="00AB046D"/>
    <w:rsid w:val="00AB074C"/>
    <w:rsid w:val="00AB1416"/>
    <w:rsid w:val="00AB29C1"/>
    <w:rsid w:val="00AB4BB2"/>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28CB"/>
    <w:rsid w:val="00AD3BBA"/>
    <w:rsid w:val="00AD3C09"/>
    <w:rsid w:val="00AD3C7F"/>
    <w:rsid w:val="00AD48C6"/>
    <w:rsid w:val="00AD4B16"/>
    <w:rsid w:val="00AD528D"/>
    <w:rsid w:val="00AD6C53"/>
    <w:rsid w:val="00AD71DC"/>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6C5"/>
    <w:rsid w:val="00B239A7"/>
    <w:rsid w:val="00B245DB"/>
    <w:rsid w:val="00B26620"/>
    <w:rsid w:val="00B27045"/>
    <w:rsid w:val="00B27C98"/>
    <w:rsid w:val="00B27FD1"/>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0BD3"/>
    <w:rsid w:val="00B6558E"/>
    <w:rsid w:val="00B67193"/>
    <w:rsid w:val="00B67D35"/>
    <w:rsid w:val="00B67E9F"/>
    <w:rsid w:val="00B70F4B"/>
    <w:rsid w:val="00B718C4"/>
    <w:rsid w:val="00B71B75"/>
    <w:rsid w:val="00B74F18"/>
    <w:rsid w:val="00B75762"/>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366B"/>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204"/>
    <w:rsid w:val="00BE5598"/>
    <w:rsid w:val="00BE5A42"/>
    <w:rsid w:val="00BE6C70"/>
    <w:rsid w:val="00BE6DA3"/>
    <w:rsid w:val="00BE7612"/>
    <w:rsid w:val="00BF109A"/>
    <w:rsid w:val="00BF3586"/>
    <w:rsid w:val="00C03BA0"/>
    <w:rsid w:val="00C078B4"/>
    <w:rsid w:val="00C07D37"/>
    <w:rsid w:val="00C1073D"/>
    <w:rsid w:val="00C123A9"/>
    <w:rsid w:val="00C125CE"/>
    <w:rsid w:val="00C131D6"/>
    <w:rsid w:val="00C13379"/>
    <w:rsid w:val="00C13F24"/>
    <w:rsid w:val="00C15DA6"/>
    <w:rsid w:val="00C165DE"/>
    <w:rsid w:val="00C214C2"/>
    <w:rsid w:val="00C25ED7"/>
    <w:rsid w:val="00C26002"/>
    <w:rsid w:val="00C26983"/>
    <w:rsid w:val="00C274C9"/>
    <w:rsid w:val="00C30622"/>
    <w:rsid w:val="00C31586"/>
    <w:rsid w:val="00C316C2"/>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3D0D"/>
    <w:rsid w:val="00C640E1"/>
    <w:rsid w:val="00C6449E"/>
    <w:rsid w:val="00C64727"/>
    <w:rsid w:val="00C655DD"/>
    <w:rsid w:val="00C6664C"/>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A7F73"/>
    <w:rsid w:val="00CB162D"/>
    <w:rsid w:val="00CB1736"/>
    <w:rsid w:val="00CB5EF9"/>
    <w:rsid w:val="00CB77E9"/>
    <w:rsid w:val="00CC0327"/>
    <w:rsid w:val="00CC1E9D"/>
    <w:rsid w:val="00CC269C"/>
    <w:rsid w:val="00CC3C57"/>
    <w:rsid w:val="00CC4EE1"/>
    <w:rsid w:val="00CC5F73"/>
    <w:rsid w:val="00CC6124"/>
    <w:rsid w:val="00CC671A"/>
    <w:rsid w:val="00CC72F2"/>
    <w:rsid w:val="00CC76BC"/>
    <w:rsid w:val="00CD01B1"/>
    <w:rsid w:val="00CD07D4"/>
    <w:rsid w:val="00CD12BB"/>
    <w:rsid w:val="00CD6611"/>
    <w:rsid w:val="00CD6966"/>
    <w:rsid w:val="00CE11ED"/>
    <w:rsid w:val="00CE1291"/>
    <w:rsid w:val="00CE2583"/>
    <w:rsid w:val="00CE289E"/>
    <w:rsid w:val="00CE2ED3"/>
    <w:rsid w:val="00CE337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1A67"/>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76DF4"/>
    <w:rsid w:val="00D816E6"/>
    <w:rsid w:val="00D830F3"/>
    <w:rsid w:val="00D84245"/>
    <w:rsid w:val="00D84264"/>
    <w:rsid w:val="00D85B2B"/>
    <w:rsid w:val="00D86727"/>
    <w:rsid w:val="00D941C7"/>
    <w:rsid w:val="00D94661"/>
    <w:rsid w:val="00D94930"/>
    <w:rsid w:val="00D95A89"/>
    <w:rsid w:val="00D95D4E"/>
    <w:rsid w:val="00D966A4"/>
    <w:rsid w:val="00D966F4"/>
    <w:rsid w:val="00D97FC7"/>
    <w:rsid w:val="00DA0EA1"/>
    <w:rsid w:val="00DA1558"/>
    <w:rsid w:val="00DA1891"/>
    <w:rsid w:val="00DA31A6"/>
    <w:rsid w:val="00DA3763"/>
    <w:rsid w:val="00DA6543"/>
    <w:rsid w:val="00DB0A43"/>
    <w:rsid w:val="00DB2A93"/>
    <w:rsid w:val="00DB6BA8"/>
    <w:rsid w:val="00DB7F50"/>
    <w:rsid w:val="00DC05C6"/>
    <w:rsid w:val="00DC0AFF"/>
    <w:rsid w:val="00DC0D5D"/>
    <w:rsid w:val="00DC0F59"/>
    <w:rsid w:val="00DC1118"/>
    <w:rsid w:val="00DC1B4D"/>
    <w:rsid w:val="00DC1EE1"/>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D7A88"/>
    <w:rsid w:val="00DE06BD"/>
    <w:rsid w:val="00DE1107"/>
    <w:rsid w:val="00DE2848"/>
    <w:rsid w:val="00DE3511"/>
    <w:rsid w:val="00DE3CCF"/>
    <w:rsid w:val="00DE403C"/>
    <w:rsid w:val="00DE459E"/>
    <w:rsid w:val="00DE5FE8"/>
    <w:rsid w:val="00DE66E7"/>
    <w:rsid w:val="00DE7104"/>
    <w:rsid w:val="00DE7C48"/>
    <w:rsid w:val="00DF2795"/>
    <w:rsid w:val="00DF4176"/>
    <w:rsid w:val="00DF4C0F"/>
    <w:rsid w:val="00DF5045"/>
    <w:rsid w:val="00DF5BB3"/>
    <w:rsid w:val="00DF62F9"/>
    <w:rsid w:val="00DF7057"/>
    <w:rsid w:val="00DF7937"/>
    <w:rsid w:val="00E0023D"/>
    <w:rsid w:val="00E0111A"/>
    <w:rsid w:val="00E01169"/>
    <w:rsid w:val="00E017A6"/>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3441"/>
    <w:rsid w:val="00E44814"/>
    <w:rsid w:val="00E44FFF"/>
    <w:rsid w:val="00E4610E"/>
    <w:rsid w:val="00E4738F"/>
    <w:rsid w:val="00E51633"/>
    <w:rsid w:val="00E5245D"/>
    <w:rsid w:val="00E5274B"/>
    <w:rsid w:val="00E549AA"/>
    <w:rsid w:val="00E54B99"/>
    <w:rsid w:val="00E55819"/>
    <w:rsid w:val="00E560F1"/>
    <w:rsid w:val="00E6161B"/>
    <w:rsid w:val="00E61FCC"/>
    <w:rsid w:val="00E62057"/>
    <w:rsid w:val="00E6290C"/>
    <w:rsid w:val="00E62ED4"/>
    <w:rsid w:val="00E6334B"/>
    <w:rsid w:val="00E651D0"/>
    <w:rsid w:val="00E653C7"/>
    <w:rsid w:val="00E67634"/>
    <w:rsid w:val="00E67763"/>
    <w:rsid w:val="00E701CD"/>
    <w:rsid w:val="00E728C5"/>
    <w:rsid w:val="00E731A1"/>
    <w:rsid w:val="00E777FD"/>
    <w:rsid w:val="00E81BCB"/>
    <w:rsid w:val="00E82AD6"/>
    <w:rsid w:val="00E82E2C"/>
    <w:rsid w:val="00E83CB6"/>
    <w:rsid w:val="00E8477B"/>
    <w:rsid w:val="00E84C73"/>
    <w:rsid w:val="00E852D3"/>
    <w:rsid w:val="00E86C6D"/>
    <w:rsid w:val="00E91F16"/>
    <w:rsid w:val="00EA0835"/>
    <w:rsid w:val="00EA12F8"/>
    <w:rsid w:val="00EA219D"/>
    <w:rsid w:val="00EA23AB"/>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2997"/>
    <w:rsid w:val="00ED3B99"/>
    <w:rsid w:val="00ED5530"/>
    <w:rsid w:val="00ED67F0"/>
    <w:rsid w:val="00ED7DAF"/>
    <w:rsid w:val="00ED7F88"/>
    <w:rsid w:val="00EE3498"/>
    <w:rsid w:val="00EE3BB1"/>
    <w:rsid w:val="00EE50B9"/>
    <w:rsid w:val="00EE5257"/>
    <w:rsid w:val="00EE7488"/>
    <w:rsid w:val="00EE7EA8"/>
    <w:rsid w:val="00EF04A1"/>
    <w:rsid w:val="00EF05E6"/>
    <w:rsid w:val="00EF1488"/>
    <w:rsid w:val="00EF1E76"/>
    <w:rsid w:val="00EF3FF1"/>
    <w:rsid w:val="00EF4571"/>
    <w:rsid w:val="00EF564A"/>
    <w:rsid w:val="00EF72E5"/>
    <w:rsid w:val="00EF778C"/>
    <w:rsid w:val="00F02D20"/>
    <w:rsid w:val="00F03EAC"/>
    <w:rsid w:val="00F0584C"/>
    <w:rsid w:val="00F05FB0"/>
    <w:rsid w:val="00F10080"/>
    <w:rsid w:val="00F113B0"/>
    <w:rsid w:val="00F11B8A"/>
    <w:rsid w:val="00F1264C"/>
    <w:rsid w:val="00F1534B"/>
    <w:rsid w:val="00F16179"/>
    <w:rsid w:val="00F17F04"/>
    <w:rsid w:val="00F20246"/>
    <w:rsid w:val="00F22756"/>
    <w:rsid w:val="00F233D8"/>
    <w:rsid w:val="00F25618"/>
    <w:rsid w:val="00F2761F"/>
    <w:rsid w:val="00F312FC"/>
    <w:rsid w:val="00F31D7C"/>
    <w:rsid w:val="00F31EB6"/>
    <w:rsid w:val="00F34773"/>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7F"/>
    <w:rsid w:val="00F805C2"/>
    <w:rsid w:val="00F810C0"/>
    <w:rsid w:val="00F81430"/>
    <w:rsid w:val="00F818E2"/>
    <w:rsid w:val="00F86DAF"/>
    <w:rsid w:val="00F90F78"/>
    <w:rsid w:val="00F92C1F"/>
    <w:rsid w:val="00F93877"/>
    <w:rsid w:val="00F93EB8"/>
    <w:rsid w:val="00F93EF3"/>
    <w:rsid w:val="00F945CD"/>
    <w:rsid w:val="00F94E99"/>
    <w:rsid w:val="00F96986"/>
    <w:rsid w:val="00FA27DF"/>
    <w:rsid w:val="00FA33A5"/>
    <w:rsid w:val="00FA4826"/>
    <w:rsid w:val="00FA4EE7"/>
    <w:rsid w:val="00FA5476"/>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478B"/>
    <w:rsid w:val="00FF5BB4"/>
    <w:rsid w:val="00FF67C0"/>
    <w:rsid w:val="011511BA"/>
    <w:rsid w:val="016E044A"/>
    <w:rsid w:val="01C506B1"/>
    <w:rsid w:val="030B47EA"/>
    <w:rsid w:val="0321400D"/>
    <w:rsid w:val="03253AFD"/>
    <w:rsid w:val="035166A0"/>
    <w:rsid w:val="04187CA9"/>
    <w:rsid w:val="04C410F4"/>
    <w:rsid w:val="04CD5176"/>
    <w:rsid w:val="04D330E5"/>
    <w:rsid w:val="04D37589"/>
    <w:rsid w:val="0530678A"/>
    <w:rsid w:val="05622C5A"/>
    <w:rsid w:val="059C5BCD"/>
    <w:rsid w:val="05CF7D50"/>
    <w:rsid w:val="06074103"/>
    <w:rsid w:val="06310712"/>
    <w:rsid w:val="065E2E82"/>
    <w:rsid w:val="066761DB"/>
    <w:rsid w:val="06A50DBA"/>
    <w:rsid w:val="06C278B5"/>
    <w:rsid w:val="06CE0A83"/>
    <w:rsid w:val="06F37A6F"/>
    <w:rsid w:val="076D15CF"/>
    <w:rsid w:val="0791793F"/>
    <w:rsid w:val="079B438E"/>
    <w:rsid w:val="07AA2823"/>
    <w:rsid w:val="07B13BB2"/>
    <w:rsid w:val="07BC4304"/>
    <w:rsid w:val="07CE6099"/>
    <w:rsid w:val="07FB307F"/>
    <w:rsid w:val="08055CAB"/>
    <w:rsid w:val="08913342"/>
    <w:rsid w:val="08AA6F80"/>
    <w:rsid w:val="08E25FED"/>
    <w:rsid w:val="09187C60"/>
    <w:rsid w:val="097A7FD3"/>
    <w:rsid w:val="097E14B2"/>
    <w:rsid w:val="09945539"/>
    <w:rsid w:val="0A96708F"/>
    <w:rsid w:val="0AFD2C6A"/>
    <w:rsid w:val="0B1D3AD1"/>
    <w:rsid w:val="0B230474"/>
    <w:rsid w:val="0B2C17A1"/>
    <w:rsid w:val="0B375B07"/>
    <w:rsid w:val="0B462863"/>
    <w:rsid w:val="0B8B471A"/>
    <w:rsid w:val="0BAE0408"/>
    <w:rsid w:val="0BCC37C1"/>
    <w:rsid w:val="0C482343"/>
    <w:rsid w:val="0C71552C"/>
    <w:rsid w:val="0C851169"/>
    <w:rsid w:val="0C85560D"/>
    <w:rsid w:val="0D097FEC"/>
    <w:rsid w:val="0D5A0848"/>
    <w:rsid w:val="0D731909"/>
    <w:rsid w:val="0D7A2C98"/>
    <w:rsid w:val="0D85661E"/>
    <w:rsid w:val="0DE3083D"/>
    <w:rsid w:val="0E2826F4"/>
    <w:rsid w:val="0E524BDB"/>
    <w:rsid w:val="0E5C239D"/>
    <w:rsid w:val="0E682AF0"/>
    <w:rsid w:val="0E72571D"/>
    <w:rsid w:val="0E875EED"/>
    <w:rsid w:val="0EA0672E"/>
    <w:rsid w:val="0EAC50D3"/>
    <w:rsid w:val="0EAC6E81"/>
    <w:rsid w:val="0EC20452"/>
    <w:rsid w:val="0EC63CAC"/>
    <w:rsid w:val="0EDB1514"/>
    <w:rsid w:val="0EF425D6"/>
    <w:rsid w:val="10AD5132"/>
    <w:rsid w:val="110E5BD1"/>
    <w:rsid w:val="11561326"/>
    <w:rsid w:val="118045F5"/>
    <w:rsid w:val="118A7F89"/>
    <w:rsid w:val="12993BC0"/>
    <w:rsid w:val="12AC38F3"/>
    <w:rsid w:val="12DC02A0"/>
    <w:rsid w:val="12EA7F78"/>
    <w:rsid w:val="1324792E"/>
    <w:rsid w:val="13545BBB"/>
    <w:rsid w:val="136E53A1"/>
    <w:rsid w:val="140C50F1"/>
    <w:rsid w:val="14321BD6"/>
    <w:rsid w:val="1457788F"/>
    <w:rsid w:val="14667AD2"/>
    <w:rsid w:val="15836462"/>
    <w:rsid w:val="15B30AF5"/>
    <w:rsid w:val="15E45152"/>
    <w:rsid w:val="15FD7FC2"/>
    <w:rsid w:val="165536DA"/>
    <w:rsid w:val="16AD3796"/>
    <w:rsid w:val="16BF171B"/>
    <w:rsid w:val="16C62EEA"/>
    <w:rsid w:val="16D05547"/>
    <w:rsid w:val="16DF3B6C"/>
    <w:rsid w:val="17215F32"/>
    <w:rsid w:val="17367C2F"/>
    <w:rsid w:val="17BD20FF"/>
    <w:rsid w:val="17CE7E68"/>
    <w:rsid w:val="17F77D8F"/>
    <w:rsid w:val="17FC29D8"/>
    <w:rsid w:val="1820443C"/>
    <w:rsid w:val="183323C1"/>
    <w:rsid w:val="1841525A"/>
    <w:rsid w:val="18704CB4"/>
    <w:rsid w:val="192E28F8"/>
    <w:rsid w:val="19322678"/>
    <w:rsid w:val="19467ED2"/>
    <w:rsid w:val="19834C82"/>
    <w:rsid w:val="19B412DF"/>
    <w:rsid w:val="1A057D8D"/>
    <w:rsid w:val="1A304E0A"/>
    <w:rsid w:val="1A6B4094"/>
    <w:rsid w:val="1AB8095B"/>
    <w:rsid w:val="1B3622A1"/>
    <w:rsid w:val="1B5231B9"/>
    <w:rsid w:val="1B961960"/>
    <w:rsid w:val="1BC872C4"/>
    <w:rsid w:val="1CCB0E1A"/>
    <w:rsid w:val="1CF71C0F"/>
    <w:rsid w:val="1D0A083A"/>
    <w:rsid w:val="1D2422D8"/>
    <w:rsid w:val="1D840FC9"/>
    <w:rsid w:val="1D951428"/>
    <w:rsid w:val="1E4E1D03"/>
    <w:rsid w:val="1EFA59E6"/>
    <w:rsid w:val="1EFA7794"/>
    <w:rsid w:val="1F022AED"/>
    <w:rsid w:val="1F5350F7"/>
    <w:rsid w:val="1FBD191B"/>
    <w:rsid w:val="20381494"/>
    <w:rsid w:val="203B0065"/>
    <w:rsid w:val="208A7B28"/>
    <w:rsid w:val="20D67D8D"/>
    <w:rsid w:val="212D66B9"/>
    <w:rsid w:val="21413899"/>
    <w:rsid w:val="214C004F"/>
    <w:rsid w:val="217952E8"/>
    <w:rsid w:val="22C80A1D"/>
    <w:rsid w:val="23A6613D"/>
    <w:rsid w:val="23DC56BB"/>
    <w:rsid w:val="23EC6974"/>
    <w:rsid w:val="23FF13A9"/>
    <w:rsid w:val="24BB1774"/>
    <w:rsid w:val="24CA5E5B"/>
    <w:rsid w:val="25537BFE"/>
    <w:rsid w:val="25565941"/>
    <w:rsid w:val="257D2ECD"/>
    <w:rsid w:val="26123616"/>
    <w:rsid w:val="266876DA"/>
    <w:rsid w:val="267442D0"/>
    <w:rsid w:val="267C4F33"/>
    <w:rsid w:val="26977FBF"/>
    <w:rsid w:val="26C75981"/>
    <w:rsid w:val="26D22DA5"/>
    <w:rsid w:val="27475541"/>
    <w:rsid w:val="27D86AE1"/>
    <w:rsid w:val="27F03E2A"/>
    <w:rsid w:val="27F82CDF"/>
    <w:rsid w:val="283A50A6"/>
    <w:rsid w:val="284A7358"/>
    <w:rsid w:val="28A15125"/>
    <w:rsid w:val="28C12636"/>
    <w:rsid w:val="28E92B74"/>
    <w:rsid w:val="29361D11"/>
    <w:rsid w:val="295B52D4"/>
    <w:rsid w:val="29AF73CD"/>
    <w:rsid w:val="29B6075C"/>
    <w:rsid w:val="29F51284"/>
    <w:rsid w:val="2A2E134E"/>
    <w:rsid w:val="2A9124B6"/>
    <w:rsid w:val="2AC375D4"/>
    <w:rsid w:val="2B400C25"/>
    <w:rsid w:val="2BE9306B"/>
    <w:rsid w:val="2CE848EE"/>
    <w:rsid w:val="2CF17ED9"/>
    <w:rsid w:val="2D474412"/>
    <w:rsid w:val="2D491F9E"/>
    <w:rsid w:val="2D4A5D8B"/>
    <w:rsid w:val="2D614E83"/>
    <w:rsid w:val="2DC07DFB"/>
    <w:rsid w:val="2DD6396D"/>
    <w:rsid w:val="2E632FCB"/>
    <w:rsid w:val="2EE14082"/>
    <w:rsid w:val="2F20599A"/>
    <w:rsid w:val="2F285C58"/>
    <w:rsid w:val="2F6F7D2B"/>
    <w:rsid w:val="2FE50BA9"/>
    <w:rsid w:val="30467047"/>
    <w:rsid w:val="30B55C11"/>
    <w:rsid w:val="312863E3"/>
    <w:rsid w:val="31387A15"/>
    <w:rsid w:val="31615451"/>
    <w:rsid w:val="317F0BCA"/>
    <w:rsid w:val="319121DA"/>
    <w:rsid w:val="31F938DC"/>
    <w:rsid w:val="324B52A5"/>
    <w:rsid w:val="327D62BB"/>
    <w:rsid w:val="32832A04"/>
    <w:rsid w:val="329B2BE5"/>
    <w:rsid w:val="32DF2AD1"/>
    <w:rsid w:val="33812F3E"/>
    <w:rsid w:val="33A45AC9"/>
    <w:rsid w:val="33B10912"/>
    <w:rsid w:val="33DC5263"/>
    <w:rsid w:val="34C35C01"/>
    <w:rsid w:val="352769B2"/>
    <w:rsid w:val="35A16764"/>
    <w:rsid w:val="35B6063D"/>
    <w:rsid w:val="36213401"/>
    <w:rsid w:val="37024FE0"/>
    <w:rsid w:val="372C6501"/>
    <w:rsid w:val="373B6744"/>
    <w:rsid w:val="3744384B"/>
    <w:rsid w:val="37F36AAC"/>
    <w:rsid w:val="381E409C"/>
    <w:rsid w:val="382D2F86"/>
    <w:rsid w:val="38683569"/>
    <w:rsid w:val="389D1465"/>
    <w:rsid w:val="390239BE"/>
    <w:rsid w:val="391C28EE"/>
    <w:rsid w:val="39287538"/>
    <w:rsid w:val="392E09A2"/>
    <w:rsid w:val="39E76710"/>
    <w:rsid w:val="3A485400"/>
    <w:rsid w:val="3A6C3919"/>
    <w:rsid w:val="3A7E0E22"/>
    <w:rsid w:val="3A816B64"/>
    <w:rsid w:val="3AA535B4"/>
    <w:rsid w:val="3ABD274E"/>
    <w:rsid w:val="3AFA638A"/>
    <w:rsid w:val="3B693880"/>
    <w:rsid w:val="3B7A0F58"/>
    <w:rsid w:val="3BA752A4"/>
    <w:rsid w:val="3BD258C9"/>
    <w:rsid w:val="3BE23632"/>
    <w:rsid w:val="3BF35840"/>
    <w:rsid w:val="3C672EE2"/>
    <w:rsid w:val="3D075784"/>
    <w:rsid w:val="3D314871"/>
    <w:rsid w:val="3D50442D"/>
    <w:rsid w:val="3DB6523D"/>
    <w:rsid w:val="3DE6565C"/>
    <w:rsid w:val="3DF338D5"/>
    <w:rsid w:val="3E014244"/>
    <w:rsid w:val="3E060836"/>
    <w:rsid w:val="3E3F4D6C"/>
    <w:rsid w:val="3EF618CF"/>
    <w:rsid w:val="3F2A1578"/>
    <w:rsid w:val="3F56236D"/>
    <w:rsid w:val="3F9133A5"/>
    <w:rsid w:val="3F942E96"/>
    <w:rsid w:val="400712C3"/>
    <w:rsid w:val="40C1415E"/>
    <w:rsid w:val="41601281"/>
    <w:rsid w:val="41F30347"/>
    <w:rsid w:val="42051E29"/>
    <w:rsid w:val="42072045"/>
    <w:rsid w:val="426E3E72"/>
    <w:rsid w:val="429D6505"/>
    <w:rsid w:val="42F00D2B"/>
    <w:rsid w:val="43176A62"/>
    <w:rsid w:val="4379487C"/>
    <w:rsid w:val="43D67F21"/>
    <w:rsid w:val="44004F9E"/>
    <w:rsid w:val="440E1469"/>
    <w:rsid w:val="44320EA1"/>
    <w:rsid w:val="44784B34"/>
    <w:rsid w:val="44FA19ED"/>
    <w:rsid w:val="45352A25"/>
    <w:rsid w:val="453B022E"/>
    <w:rsid w:val="454113CA"/>
    <w:rsid w:val="45A1630C"/>
    <w:rsid w:val="45A81449"/>
    <w:rsid w:val="45AF4585"/>
    <w:rsid w:val="4629258A"/>
    <w:rsid w:val="463F7FFF"/>
    <w:rsid w:val="46C16C66"/>
    <w:rsid w:val="46D149CF"/>
    <w:rsid w:val="46FF32EA"/>
    <w:rsid w:val="47095F17"/>
    <w:rsid w:val="47233C17"/>
    <w:rsid w:val="476D46F8"/>
    <w:rsid w:val="48960B41"/>
    <w:rsid w:val="48DF1625"/>
    <w:rsid w:val="493733B5"/>
    <w:rsid w:val="499F3EE5"/>
    <w:rsid w:val="49DF11B1"/>
    <w:rsid w:val="4A7E09CA"/>
    <w:rsid w:val="4AA83FBD"/>
    <w:rsid w:val="4AC00FE3"/>
    <w:rsid w:val="4B1530DD"/>
    <w:rsid w:val="4B7D0C82"/>
    <w:rsid w:val="4B8B339F"/>
    <w:rsid w:val="4B8D5369"/>
    <w:rsid w:val="4BD11FA3"/>
    <w:rsid w:val="4C4C62F7"/>
    <w:rsid w:val="4C6267F5"/>
    <w:rsid w:val="4C653BF0"/>
    <w:rsid w:val="4C6D79C2"/>
    <w:rsid w:val="4CDB0356"/>
    <w:rsid w:val="4D8E7176"/>
    <w:rsid w:val="4DB841F3"/>
    <w:rsid w:val="4E52289A"/>
    <w:rsid w:val="4E684632"/>
    <w:rsid w:val="4E7B76FB"/>
    <w:rsid w:val="4EC72940"/>
    <w:rsid w:val="4F3A7FB9"/>
    <w:rsid w:val="4F532425"/>
    <w:rsid w:val="4F5C39D0"/>
    <w:rsid w:val="4FB355BA"/>
    <w:rsid w:val="4FE70DC0"/>
    <w:rsid w:val="4FF04118"/>
    <w:rsid w:val="4FF05EC6"/>
    <w:rsid w:val="504B75A0"/>
    <w:rsid w:val="50A867A1"/>
    <w:rsid w:val="50AB003F"/>
    <w:rsid w:val="50B67470"/>
    <w:rsid w:val="50C17863"/>
    <w:rsid w:val="50CE10DD"/>
    <w:rsid w:val="50D47596"/>
    <w:rsid w:val="51501312"/>
    <w:rsid w:val="516C0C17"/>
    <w:rsid w:val="51997C86"/>
    <w:rsid w:val="52271947"/>
    <w:rsid w:val="524079EE"/>
    <w:rsid w:val="525C5A95"/>
    <w:rsid w:val="526A01B2"/>
    <w:rsid w:val="528333BE"/>
    <w:rsid w:val="528F7C18"/>
    <w:rsid w:val="531B76FE"/>
    <w:rsid w:val="53267789"/>
    <w:rsid w:val="539B083F"/>
    <w:rsid w:val="53C71634"/>
    <w:rsid w:val="53D578AD"/>
    <w:rsid w:val="540957A8"/>
    <w:rsid w:val="5415239F"/>
    <w:rsid w:val="54435173"/>
    <w:rsid w:val="545F7ABE"/>
    <w:rsid w:val="54FE1085"/>
    <w:rsid w:val="55C51BA3"/>
    <w:rsid w:val="562616C9"/>
    <w:rsid w:val="565E3C6D"/>
    <w:rsid w:val="56B86142"/>
    <w:rsid w:val="56D26326"/>
    <w:rsid w:val="570D3802"/>
    <w:rsid w:val="57544F8D"/>
    <w:rsid w:val="57EB16B7"/>
    <w:rsid w:val="58044C05"/>
    <w:rsid w:val="5818245E"/>
    <w:rsid w:val="58DF11CE"/>
    <w:rsid w:val="591E1CF6"/>
    <w:rsid w:val="59B30532"/>
    <w:rsid w:val="5A032C9A"/>
    <w:rsid w:val="5A227B99"/>
    <w:rsid w:val="5A7A7400"/>
    <w:rsid w:val="5A7D2A4C"/>
    <w:rsid w:val="5AA955EF"/>
    <w:rsid w:val="5B557525"/>
    <w:rsid w:val="5B57731F"/>
    <w:rsid w:val="5B7025B1"/>
    <w:rsid w:val="5B871DD5"/>
    <w:rsid w:val="5B94475D"/>
    <w:rsid w:val="5BE32D83"/>
    <w:rsid w:val="5C05719D"/>
    <w:rsid w:val="5C1318BA"/>
    <w:rsid w:val="5C593045"/>
    <w:rsid w:val="5C904CB9"/>
    <w:rsid w:val="5CCB7A9F"/>
    <w:rsid w:val="5D011713"/>
    <w:rsid w:val="5D1A0A26"/>
    <w:rsid w:val="5D61361A"/>
    <w:rsid w:val="5D850596"/>
    <w:rsid w:val="5D881E34"/>
    <w:rsid w:val="5E005E6E"/>
    <w:rsid w:val="5E106C49"/>
    <w:rsid w:val="5ED63826"/>
    <w:rsid w:val="5EF57055"/>
    <w:rsid w:val="5F0E0117"/>
    <w:rsid w:val="5F100C1A"/>
    <w:rsid w:val="5F685A79"/>
    <w:rsid w:val="5F7D649A"/>
    <w:rsid w:val="5FD27396"/>
    <w:rsid w:val="60011A2A"/>
    <w:rsid w:val="60107EBF"/>
    <w:rsid w:val="60822B6A"/>
    <w:rsid w:val="60A2320D"/>
    <w:rsid w:val="60EA53FD"/>
    <w:rsid w:val="60EA6962"/>
    <w:rsid w:val="60EF5D26"/>
    <w:rsid w:val="612E4AA0"/>
    <w:rsid w:val="613E56A3"/>
    <w:rsid w:val="61472304"/>
    <w:rsid w:val="61475B62"/>
    <w:rsid w:val="615472BD"/>
    <w:rsid w:val="61761FA3"/>
    <w:rsid w:val="61A82AA5"/>
    <w:rsid w:val="61AD1E69"/>
    <w:rsid w:val="62397BA1"/>
    <w:rsid w:val="627604AD"/>
    <w:rsid w:val="62EC7D19"/>
    <w:rsid w:val="62F53AC8"/>
    <w:rsid w:val="630E6937"/>
    <w:rsid w:val="63184985"/>
    <w:rsid w:val="63552143"/>
    <w:rsid w:val="63554566"/>
    <w:rsid w:val="63F37973"/>
    <w:rsid w:val="6410048D"/>
    <w:rsid w:val="649C7F73"/>
    <w:rsid w:val="64DD2A65"/>
    <w:rsid w:val="65095741"/>
    <w:rsid w:val="650E70C3"/>
    <w:rsid w:val="651D10B4"/>
    <w:rsid w:val="656E190F"/>
    <w:rsid w:val="65A81596"/>
    <w:rsid w:val="65CD2ADA"/>
    <w:rsid w:val="65E10333"/>
    <w:rsid w:val="65F52031"/>
    <w:rsid w:val="65FA13F5"/>
    <w:rsid w:val="66A55805"/>
    <w:rsid w:val="66B141AA"/>
    <w:rsid w:val="66FC669E"/>
    <w:rsid w:val="67B35CFF"/>
    <w:rsid w:val="67D0065F"/>
    <w:rsid w:val="6817003C"/>
    <w:rsid w:val="690802CD"/>
    <w:rsid w:val="691B0000"/>
    <w:rsid w:val="69262831"/>
    <w:rsid w:val="692F13B6"/>
    <w:rsid w:val="694C1F68"/>
    <w:rsid w:val="69D34437"/>
    <w:rsid w:val="6A5C442C"/>
    <w:rsid w:val="6A876FCF"/>
    <w:rsid w:val="6AE35744"/>
    <w:rsid w:val="6AF6662F"/>
    <w:rsid w:val="6B3E697D"/>
    <w:rsid w:val="6B735ED1"/>
    <w:rsid w:val="6BFB1A23"/>
    <w:rsid w:val="6C1262BC"/>
    <w:rsid w:val="6C4D6722"/>
    <w:rsid w:val="6C4F2CC1"/>
    <w:rsid w:val="6C5A499B"/>
    <w:rsid w:val="6C7A6DEC"/>
    <w:rsid w:val="6C8574C7"/>
    <w:rsid w:val="6D001DC1"/>
    <w:rsid w:val="6D134A45"/>
    <w:rsid w:val="6D286848"/>
    <w:rsid w:val="6D3C0545"/>
    <w:rsid w:val="6D4A605D"/>
    <w:rsid w:val="6DC04CD2"/>
    <w:rsid w:val="6DCF13B9"/>
    <w:rsid w:val="6DE76703"/>
    <w:rsid w:val="6E2C05BA"/>
    <w:rsid w:val="6E3C6504"/>
    <w:rsid w:val="6E677844"/>
    <w:rsid w:val="6EE125CF"/>
    <w:rsid w:val="6EE64C0C"/>
    <w:rsid w:val="6F3335BA"/>
    <w:rsid w:val="6F5953DE"/>
    <w:rsid w:val="6FA81EC2"/>
    <w:rsid w:val="702032C5"/>
    <w:rsid w:val="703025E3"/>
    <w:rsid w:val="704C4F43"/>
    <w:rsid w:val="707673A0"/>
    <w:rsid w:val="709541F4"/>
    <w:rsid w:val="70A94143"/>
    <w:rsid w:val="71DD22F7"/>
    <w:rsid w:val="71ED0060"/>
    <w:rsid w:val="71F71538"/>
    <w:rsid w:val="720A6E64"/>
    <w:rsid w:val="727147ED"/>
    <w:rsid w:val="7278201F"/>
    <w:rsid w:val="727B38BE"/>
    <w:rsid w:val="72AE3C93"/>
    <w:rsid w:val="72AE77EF"/>
    <w:rsid w:val="72D6715D"/>
    <w:rsid w:val="72EB4444"/>
    <w:rsid w:val="72FD17EF"/>
    <w:rsid w:val="732B52E4"/>
    <w:rsid w:val="73A6496A"/>
    <w:rsid w:val="73B928EF"/>
    <w:rsid w:val="73B9469D"/>
    <w:rsid w:val="74081181"/>
    <w:rsid w:val="74275AAB"/>
    <w:rsid w:val="743E2DF5"/>
    <w:rsid w:val="744E4DF4"/>
    <w:rsid w:val="74732A9E"/>
    <w:rsid w:val="7499002B"/>
    <w:rsid w:val="74F86FE9"/>
    <w:rsid w:val="750C4CA1"/>
    <w:rsid w:val="755A1EB0"/>
    <w:rsid w:val="76085468"/>
    <w:rsid w:val="76A76695"/>
    <w:rsid w:val="76E521D9"/>
    <w:rsid w:val="77DB72D8"/>
    <w:rsid w:val="77DE0A3F"/>
    <w:rsid w:val="77EB3293"/>
    <w:rsid w:val="78436C2C"/>
    <w:rsid w:val="788A2AAC"/>
    <w:rsid w:val="7940316B"/>
    <w:rsid w:val="79F2497C"/>
    <w:rsid w:val="7A241826"/>
    <w:rsid w:val="7A4647B1"/>
    <w:rsid w:val="7AB7745D"/>
    <w:rsid w:val="7AB94F83"/>
    <w:rsid w:val="7B0E1773"/>
    <w:rsid w:val="7B1308E9"/>
    <w:rsid w:val="7C0D21E1"/>
    <w:rsid w:val="7C291D08"/>
    <w:rsid w:val="7C855A65"/>
    <w:rsid w:val="7D5316BF"/>
    <w:rsid w:val="7D593F53"/>
    <w:rsid w:val="7D781125"/>
    <w:rsid w:val="7DC425BD"/>
    <w:rsid w:val="7E282B4B"/>
    <w:rsid w:val="7E2B43EA"/>
    <w:rsid w:val="7E665422"/>
    <w:rsid w:val="7F427C3D"/>
    <w:rsid w:val="7F517E80"/>
    <w:rsid w:val="7F596D35"/>
    <w:rsid w:val="7F5E259D"/>
    <w:rsid w:val="7F791185"/>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widowControl/>
      <w:adjustRightInd w:val="0"/>
      <w:snapToGrid w:val="0"/>
      <w:jc w:val="left"/>
      <w:outlineLvl w:val="0"/>
    </w:pPr>
    <w:rPr>
      <w:rFonts w:ascii="Tahoma" w:hAnsi="Tahoma" w:eastAsia="微软雅黑" w:cs="Times New Roman"/>
      <w:b/>
      <w:bCs/>
      <w:kern w:val="44"/>
      <w:sz w:val="30"/>
      <w:szCs w:val="44"/>
    </w:rPr>
  </w:style>
  <w:style w:type="paragraph" w:styleId="3">
    <w:name w:val="heading 2"/>
    <w:basedOn w:val="1"/>
    <w:next w:val="1"/>
    <w:link w:val="36"/>
    <w:qFormat/>
    <w:uiPriority w:val="9"/>
    <w:pPr>
      <w:keepNext/>
      <w:keepLines/>
      <w:spacing w:before="260" w:after="260" w:afterAutospacing="1" w:line="416" w:lineRule="auto"/>
      <w:outlineLvl w:val="1"/>
    </w:pPr>
    <w:rPr>
      <w:rFonts w:ascii="Cambria" w:hAnsi="Cambria" w:eastAsia="宋体" w:cs="Times New Roman"/>
      <w:b/>
      <w:bCs/>
      <w:kern w:val="0"/>
      <w:sz w:val="32"/>
      <w:szCs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qFormat/>
    <w:uiPriority w:val="99"/>
    <w:pPr>
      <w:spacing w:line="360" w:lineRule="auto"/>
      <w:jc w:val="left"/>
    </w:pPr>
    <w:rPr>
      <w:rFonts w:ascii="宋体" w:hAnsi="宋体" w:eastAsia="宋体" w:cs="Times New Roman"/>
      <w:szCs w:val="24"/>
    </w:rPr>
  </w:style>
  <w:style w:type="paragraph" w:styleId="7">
    <w:name w:val="Body Text"/>
    <w:basedOn w:val="1"/>
    <w:link w:val="34"/>
    <w:unhideWhenUsed/>
    <w:qFormat/>
    <w:uiPriority w:val="99"/>
    <w:pPr>
      <w:spacing w:after="120"/>
    </w:pPr>
    <w:rPr>
      <w:rFonts w:eastAsia="仿宋_GB2312"/>
    </w:rPr>
  </w:style>
  <w:style w:type="paragraph" w:styleId="8">
    <w:name w:val="Body Text Indent"/>
    <w:basedOn w:val="1"/>
    <w:link w:val="28"/>
    <w:qFormat/>
    <w:uiPriority w:val="0"/>
    <w:pPr>
      <w:ind w:firstLine="420"/>
    </w:pPr>
    <w:rPr>
      <w:rFonts w:ascii="Times New Roman" w:hAnsi="Times New Roman" w:eastAsia="宋体" w:cs="Times New Roman"/>
      <w:sz w:val="24"/>
      <w:szCs w:val="24"/>
    </w:rPr>
  </w:style>
  <w:style w:type="paragraph" w:styleId="9">
    <w:name w:val="Date"/>
    <w:basedOn w:val="1"/>
    <w:next w:val="1"/>
    <w:link w:val="33"/>
    <w:unhideWhenUsed/>
    <w:qFormat/>
    <w:uiPriority w:val="99"/>
    <w:pPr>
      <w:ind w:left="100" w:leftChars="2500"/>
    </w:pPr>
  </w:style>
  <w:style w:type="paragraph" w:styleId="10">
    <w:name w:val="Balloon Text"/>
    <w:basedOn w:val="1"/>
    <w:link w:val="23"/>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after="100" w:afterAutospacing="1"/>
    </w:pPr>
    <w:rPr>
      <w:rFonts w:ascii="Times New Roman" w:hAnsi="Times New Roman" w:eastAsia="宋体" w:cs="Times New Roman"/>
    </w:rPr>
  </w:style>
  <w:style w:type="paragraph" w:styleId="14">
    <w:name w:val="toc 2"/>
    <w:basedOn w:val="1"/>
    <w:next w:val="1"/>
    <w:unhideWhenUsed/>
    <w:qFormat/>
    <w:uiPriority w:val="39"/>
    <w:pPr>
      <w:spacing w:after="100" w:afterAutospacing="1"/>
      <w:ind w:left="420" w:leftChars="200"/>
    </w:pPr>
    <w:rPr>
      <w:rFonts w:ascii="Times New Roman" w:hAnsi="Times New Roman" w:eastAsia="宋体" w:cs="Times New Roman"/>
    </w:rPr>
  </w:style>
  <w:style w:type="paragraph" w:styleId="1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qFormat/>
    <w:uiPriority w:val="0"/>
    <w:rPr>
      <w:b/>
      <w:bCs/>
    </w:rPr>
  </w:style>
  <w:style w:type="character" w:styleId="20">
    <w:name w:val="FollowedHyperlink"/>
    <w:unhideWhenUsed/>
    <w:qFormat/>
    <w:uiPriority w:val="99"/>
    <w:rPr>
      <w:color w:val="800080"/>
      <w:u w:val="single"/>
    </w:rPr>
  </w:style>
  <w:style w:type="character" w:styleId="21">
    <w:name w:val="Hyperlink"/>
    <w:unhideWhenUsed/>
    <w:qFormat/>
    <w:uiPriority w:val="99"/>
    <w:rPr>
      <w:color w:val="0000FF"/>
      <w:u w:val="single"/>
    </w:rPr>
  </w:style>
  <w:style w:type="character" w:styleId="22">
    <w:name w:val="annotation reference"/>
    <w:basedOn w:val="18"/>
    <w:semiHidden/>
    <w:unhideWhenUsed/>
    <w:qFormat/>
    <w:uiPriority w:val="99"/>
    <w:rPr>
      <w:sz w:val="21"/>
      <w:szCs w:val="21"/>
    </w:rPr>
  </w:style>
  <w:style w:type="character" w:customStyle="1" w:styleId="23">
    <w:name w:val="批注框文本 字符"/>
    <w:basedOn w:val="18"/>
    <w:link w:val="10"/>
    <w:qFormat/>
    <w:uiPriority w:val="99"/>
    <w:rPr>
      <w:sz w:val="18"/>
      <w:szCs w:val="18"/>
    </w:rPr>
  </w:style>
  <w:style w:type="character" w:customStyle="1" w:styleId="24">
    <w:name w:val="页眉 字符"/>
    <w:basedOn w:val="18"/>
    <w:link w:val="12"/>
    <w:qFormat/>
    <w:uiPriority w:val="99"/>
    <w:rPr>
      <w:sz w:val="18"/>
      <w:szCs w:val="18"/>
    </w:rPr>
  </w:style>
  <w:style w:type="character" w:customStyle="1" w:styleId="25">
    <w:name w:val="页脚 字符"/>
    <w:basedOn w:val="18"/>
    <w:link w:val="11"/>
    <w:qFormat/>
    <w:uiPriority w:val="99"/>
    <w:rPr>
      <w:sz w:val="18"/>
      <w:szCs w:val="18"/>
    </w:rPr>
  </w:style>
  <w:style w:type="paragraph" w:customStyle="1" w:styleId="26">
    <w:name w:val="章标题"/>
    <w:next w:val="27"/>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7">
    <w:name w:val="段"/>
    <w:link w:val="3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8">
    <w:name w:val="正文文本缩进 字符"/>
    <w:basedOn w:val="18"/>
    <w:link w:val="8"/>
    <w:qFormat/>
    <w:uiPriority w:val="0"/>
    <w:rPr>
      <w:rFonts w:ascii="Times New Roman" w:hAnsi="Times New Roman" w:eastAsia="宋体" w:cs="Times New Roman"/>
      <w:sz w:val="24"/>
      <w:szCs w:val="24"/>
    </w:rPr>
  </w:style>
  <w:style w:type="character" w:customStyle="1" w:styleId="29">
    <w:name w:val="批注文字 字符"/>
    <w:basedOn w:val="18"/>
    <w:link w:val="6"/>
    <w:qFormat/>
    <w:uiPriority w:val="99"/>
    <w:rPr>
      <w:rFonts w:ascii="宋体" w:hAnsi="宋体" w:eastAsia="宋体" w:cs="Times New Roman"/>
      <w:szCs w:val="24"/>
    </w:rPr>
  </w:style>
  <w:style w:type="paragraph" w:styleId="30">
    <w:name w:val="List Paragraph"/>
    <w:basedOn w:val="1"/>
    <w:qFormat/>
    <w:uiPriority w:val="34"/>
    <w:pPr>
      <w:ind w:firstLine="420" w:firstLineChars="200"/>
    </w:pPr>
  </w:style>
  <w:style w:type="character" w:customStyle="1" w:styleId="31">
    <w:name w:val="段 Char"/>
    <w:link w:val="27"/>
    <w:qFormat/>
    <w:uiPriority w:val="0"/>
    <w:rPr>
      <w:rFonts w:ascii="宋体" w:hAnsi="Times New Roman" w:eastAsia="宋体" w:cs="Times New Roman"/>
      <w:kern w:val="0"/>
    </w:rPr>
  </w:style>
  <w:style w:type="paragraph" w:customStyle="1" w:styleId="3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3">
    <w:name w:val="日期 字符"/>
    <w:basedOn w:val="18"/>
    <w:link w:val="9"/>
    <w:qFormat/>
    <w:uiPriority w:val="99"/>
    <w:rPr>
      <w:rFonts w:asciiTheme="minorHAnsi" w:hAnsiTheme="minorHAnsi" w:eastAsiaTheme="minorEastAsia" w:cstheme="minorBidi"/>
      <w:kern w:val="2"/>
      <w:sz w:val="21"/>
      <w:szCs w:val="22"/>
    </w:rPr>
  </w:style>
  <w:style w:type="character" w:customStyle="1" w:styleId="34">
    <w:name w:val="正文文本 字符"/>
    <w:basedOn w:val="18"/>
    <w:link w:val="7"/>
    <w:qFormat/>
    <w:uiPriority w:val="99"/>
    <w:rPr>
      <w:rFonts w:eastAsia="仿宋_GB2312" w:asciiTheme="minorHAnsi" w:hAnsiTheme="minorHAnsi" w:cstheme="minorBidi"/>
      <w:kern w:val="2"/>
      <w:sz w:val="21"/>
      <w:szCs w:val="22"/>
    </w:rPr>
  </w:style>
  <w:style w:type="character" w:customStyle="1" w:styleId="35">
    <w:name w:val="标题 1 字符"/>
    <w:basedOn w:val="18"/>
    <w:link w:val="2"/>
    <w:qFormat/>
    <w:uiPriority w:val="9"/>
    <w:rPr>
      <w:rFonts w:ascii="Tahoma" w:hAnsi="Tahoma" w:eastAsia="微软雅黑"/>
      <w:b/>
      <w:bCs/>
      <w:kern w:val="44"/>
      <w:sz w:val="30"/>
      <w:szCs w:val="44"/>
    </w:rPr>
  </w:style>
  <w:style w:type="character" w:customStyle="1" w:styleId="36">
    <w:name w:val="标题 2 字符"/>
    <w:basedOn w:val="18"/>
    <w:link w:val="3"/>
    <w:qFormat/>
    <w:uiPriority w:val="9"/>
    <w:rPr>
      <w:rFonts w:ascii="Cambria" w:hAnsi="Cambria"/>
      <w:b/>
      <w:bCs/>
      <w:sz w:val="32"/>
      <w:szCs w:val="32"/>
    </w:rPr>
  </w:style>
  <w:style w:type="paragraph" w:customStyle="1" w:styleId="37">
    <w:name w:val="列出段落1"/>
    <w:basedOn w:val="1"/>
    <w:qFormat/>
    <w:uiPriority w:val="0"/>
    <w:pPr>
      <w:spacing w:after="100" w:afterAutospacing="1"/>
      <w:ind w:firstLine="420" w:firstLineChars="200"/>
    </w:pPr>
    <w:rPr>
      <w:rFonts w:ascii="Times New Roman" w:hAnsi="Times New Roman" w:eastAsia="宋体" w:cs="Times New Roman"/>
    </w:rPr>
  </w:style>
  <w:style w:type="paragraph" w:customStyle="1" w:styleId="38">
    <w:name w:val="TOC 标题1"/>
    <w:basedOn w:val="2"/>
    <w:next w:val="1"/>
    <w:qFormat/>
    <w:uiPriority w:val="39"/>
    <w:pPr>
      <w:adjustRightInd/>
      <w:snapToGrid/>
      <w:spacing w:before="480" w:line="276" w:lineRule="auto"/>
      <w:outlineLvl w:val="9"/>
    </w:pPr>
    <w:rPr>
      <w:rFonts w:ascii="Cambria" w:hAnsi="Cambria" w:eastAsia="宋体"/>
      <w:color w:val="365F91"/>
      <w:kern w:val="0"/>
      <w:sz w:val="28"/>
      <w:szCs w:val="28"/>
    </w:rPr>
  </w:style>
  <w:style w:type="paragraph" w:customStyle="1" w:styleId="39">
    <w:name w:val="列出段落11"/>
    <w:basedOn w:val="1"/>
    <w:qFormat/>
    <w:uiPriority w:val="0"/>
    <w:pPr>
      <w:ind w:firstLine="420" w:firstLineChars="200"/>
    </w:pPr>
    <w:rPr>
      <w:rFonts w:ascii="Times New Roman" w:hAnsi="Times New Roman" w:eastAsia="宋体" w:cs="Times New Roman"/>
      <w:szCs w:val="21"/>
    </w:rPr>
  </w:style>
  <w:style w:type="paragraph" w:customStyle="1" w:styleId="40">
    <w:name w:val="三级无"/>
    <w:basedOn w:val="41"/>
    <w:qFormat/>
    <w:uiPriority w:val="0"/>
    <w:pPr>
      <w:numPr>
        <w:ilvl w:val="3"/>
        <w:numId w:val="1"/>
      </w:numPr>
      <w:spacing w:beforeLines="0" w:afterLines="0"/>
    </w:pPr>
    <w:rPr>
      <w:rFonts w:ascii="宋体" w:eastAsia="宋体"/>
    </w:rPr>
  </w:style>
  <w:style w:type="paragraph" w:customStyle="1" w:styleId="41">
    <w:name w:val="三级条标题"/>
    <w:basedOn w:val="42"/>
    <w:next w:val="27"/>
    <w:qFormat/>
    <w:uiPriority w:val="0"/>
    <w:pPr>
      <w:numPr>
        <w:ilvl w:val="3"/>
      </w:numPr>
      <w:outlineLvl w:val="4"/>
    </w:pPr>
  </w:style>
  <w:style w:type="paragraph" w:customStyle="1" w:styleId="42">
    <w:name w:val="二级条标题"/>
    <w:basedOn w:val="43"/>
    <w:next w:val="27"/>
    <w:qFormat/>
    <w:uiPriority w:val="0"/>
    <w:pPr>
      <w:numPr>
        <w:ilvl w:val="2"/>
      </w:numPr>
      <w:spacing w:before="50" w:after="50"/>
      <w:outlineLvl w:val="3"/>
    </w:pPr>
  </w:style>
  <w:style w:type="paragraph" w:customStyle="1" w:styleId="43">
    <w:name w:val="一级条标题"/>
    <w:next w:val="27"/>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4">
    <w:name w:val="列表段落1"/>
    <w:basedOn w:val="1"/>
    <w:autoRedefine/>
    <w:qFormat/>
    <w:uiPriority w:val="34"/>
    <w:pPr>
      <w:ind w:firstLine="420" w:firstLineChars="200"/>
    </w:pPr>
  </w:style>
  <w:style w:type="paragraph" w:customStyle="1" w:styleId="45">
    <w:name w:val="字母编号列项（一级）"/>
    <w:qFormat/>
    <w:uiPriority w:val="0"/>
    <w:pPr>
      <w:numPr>
        <w:ilvl w:val="0"/>
        <w:numId w:val="2"/>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B84975-0E35-416F-B0C4-DA1909882AD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23</Pages>
  <Words>8058</Words>
  <Characters>8460</Characters>
  <Lines>53</Lines>
  <Paragraphs>14</Paragraphs>
  <TotalTime>0</TotalTime>
  <ScaleCrop>false</ScaleCrop>
  <LinksUpToDate>false</LinksUpToDate>
  <CharactersWithSpaces>8529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2024-08-22T17:06:00Z</dcterms:created>
  <dc:creator>Sky123.Org</dc:creator>
  <cp:lastModifiedBy>赫刺克勒斯</cp:lastModifiedBy>
  <dcterms:modified xsi:type="dcterms:W3CDTF">2026-03-05T00:52:56Z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2997E0B0200A4B49BD766EEB06A7F441</vt:lpwstr>
  </property>
  <property fmtid="{D5CDD505-2E9C-101B-9397-08002B2CF9AE}" pid="4" name="KSOTemplateDocerSaveRecord">
    <vt:lpwstr>eyJoZGlkIjoiYmU3MGY5YmJmZWZlNzgzYWY0NjNlNTA1ZGJkZDQxZGEiLCJ1c2VySWQiOiIxODYzMjg2OSJ9</vt:lpwstr>
  </property>
</Properties>
</file>