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7DFA">
      <w:pPr>
        <w:pStyle w:val="2"/>
        <w:spacing w:line="2020" w:lineRule="exact"/>
        <w:ind w:firstLine="114"/>
      </w:pPr>
      <w:r>
        <w:rPr>
          <w:position w:val="-40"/>
        </w:rPr>
        <w:pict>
          <v:group id="_x0000_s1026" o:spid="_x0000_s1026" o:spt="203" style="height:101.05pt;width:466.9pt;" coordsize="9337,2021">
            <o:lock v:ext="edit"/>
            <v:shape id="_x0000_s1027" o:spid="_x0000_s1027" o:spt="75" type="#_x0000_t75" style="position:absolute;left:0;top:0;height:2021;width:9337;" filled="f" stroked="f" coordsize="21600,21600">
              <v:path/>
              <v:fill on="f" focussize="0,0"/>
              <v:stroke on="f"/>
              <v:imagedata r:id="rId12" o:title=""/>
              <o:lock v:ext="edit" aspectratio="t"/>
            </v:shape>
            <v:shape id="_x0000_s1028" o:spid="_x0000_s1028" o:spt="202" type="#_x0000_t202" style="position:absolute;left:-20;top:-20;height:2061;width:9377;" filled="f" stroked="f" coordsize="21600,21600">
              <v:path/>
              <v:fill on="f" focussize="0,0"/>
              <v:stroke on="f"/>
              <v:imagedata o:title=""/>
              <o:lock v:ext="edit" aspectratio="f"/>
              <v:textbox inset="0mm,0mm,0mm,0mm">
                <w:txbxContent>
                  <w:p w14:paraId="7982A92A">
                    <w:pPr>
                      <w:spacing w:before="99" w:line="191" w:lineRule="auto"/>
                      <w:rPr>
                        <w:rFonts w:ascii="黑体" w:hAnsi="黑体" w:eastAsia="黑体" w:cs="黑体"/>
                        <w:sz w:val="20"/>
                        <w:szCs w:val="20"/>
                      </w:rPr>
                    </w:pPr>
                    <w:r>
                      <w:rPr>
                        <w:rFonts w:ascii="黑体" w:hAnsi="黑体" w:eastAsia="黑体" w:cs="黑体"/>
                        <w:spacing w:val="-1"/>
                        <w:sz w:val="20"/>
                        <w:szCs w:val="20"/>
                      </w:rPr>
                      <w:t>ICS</w:t>
                    </w:r>
                    <w:r>
                      <w:rPr>
                        <w:rFonts w:ascii="黑体" w:hAnsi="黑体" w:eastAsia="黑体" w:cs="黑体"/>
                        <w:spacing w:val="16"/>
                        <w:sz w:val="20"/>
                        <w:szCs w:val="20"/>
                      </w:rPr>
                      <w:t xml:space="preserve"> </w:t>
                    </w:r>
                    <w:r>
                      <w:rPr>
                        <w:rFonts w:eastAsia="等线"/>
                        <w:sz w:val="18"/>
                      </w:rPr>
                      <w:t>77.120.99</w:t>
                    </w:r>
                  </w:p>
                  <w:p w14:paraId="2BACC693">
                    <w:pPr>
                      <w:rPr>
                        <w:rFonts w:hint="default" w:ascii="黑体" w:eastAsia="黑体"/>
                        <w:lang w:val="en-US" w:eastAsia="zh-CN"/>
                      </w:rPr>
                    </w:pPr>
                    <w:r>
                      <w:rPr>
                        <w:rFonts w:ascii="黑体" w:eastAsia="黑体"/>
                      </w:rPr>
                      <w:t xml:space="preserve">CCS </w:t>
                    </w:r>
                    <w:r>
                      <w:rPr>
                        <w:rFonts w:hint="eastAsia" w:ascii="黑体" w:eastAsia="黑体"/>
                      </w:rPr>
                      <w:t xml:space="preserve">H </w:t>
                    </w:r>
                    <w:r>
                      <w:rPr>
                        <w:rFonts w:hint="eastAsia" w:ascii="黑体" w:eastAsia="黑体"/>
                        <w:lang w:val="en-US" w:eastAsia="zh-CN"/>
                      </w:rPr>
                      <w:t>62</w:t>
                    </w:r>
                  </w:p>
                  <w:p w14:paraId="1811EBC6">
                    <w:pPr>
                      <w:spacing w:before="105" w:line="191" w:lineRule="auto"/>
                      <w:ind w:left="79"/>
                      <w:rPr>
                        <w:rFonts w:ascii="黑体" w:hAnsi="黑体" w:eastAsia="黑体" w:cs="黑体"/>
                        <w:sz w:val="20"/>
                        <w:szCs w:val="20"/>
                      </w:rPr>
                    </w:pPr>
                  </w:p>
                </w:txbxContent>
              </v:textbox>
            </v:shape>
            <w10:wrap type="none"/>
            <w10:anchorlock/>
          </v:group>
        </w:pict>
      </w:r>
    </w:p>
    <w:p w14:paraId="234D2687">
      <w:pPr>
        <w:spacing w:line="274" w:lineRule="auto"/>
        <w:rPr>
          <w:rFonts w:ascii="Arial"/>
          <w:sz w:val="21"/>
        </w:rPr>
      </w:pPr>
    </w:p>
    <w:p w14:paraId="58D9B440">
      <w:pPr>
        <w:spacing w:line="274" w:lineRule="auto"/>
        <w:rPr>
          <w:rFonts w:ascii="Arial"/>
          <w:sz w:val="21"/>
        </w:rPr>
      </w:pPr>
    </w:p>
    <w:p w14:paraId="491EA4CE">
      <w:pPr>
        <w:pStyle w:val="2"/>
        <w:spacing w:before="91" w:line="221" w:lineRule="auto"/>
        <w:ind w:left="7487"/>
      </w:pPr>
      <w:r>
        <w:rPr>
          <w14:textOutline w14:w="5103" w14:cap="sq" w14:cmpd="sng">
            <w14:solidFill>
              <w14:srgbClr w14:val="000000"/>
            </w14:solidFill>
            <w14:prstDash w14:val="solid"/>
            <w14:bevel/>
          </w14:textOutline>
        </w:rPr>
        <w:t>YS</w:t>
      </w:r>
      <w:r>
        <w:rPr>
          <w:spacing w:val="1"/>
          <w14:textOutline w14:w="5103" w14:cap="sq" w14:cmpd="sng">
            <w14:solidFill>
              <w14:srgbClr w14:val="000000"/>
            </w14:solidFill>
            <w14:prstDash w14:val="solid"/>
            <w14:bevel/>
          </w14:textOutline>
        </w:rPr>
        <w:t>/T</w:t>
      </w:r>
      <w:r>
        <w:rPr>
          <w:spacing w:val="1"/>
        </w:rPr>
        <w:t xml:space="preserve"> </w:t>
      </w:r>
      <w:r>
        <w:rPr>
          <w:spacing w:val="1"/>
          <w14:textOutline w14:w="5103" w14:cap="sq" w14:cmpd="sng">
            <w14:solidFill>
              <w14:srgbClr w14:val="000000"/>
            </w14:solidFill>
            <w14:prstDash w14:val="solid"/>
            <w14:bevel/>
          </w14:textOutline>
        </w:rPr>
        <w:t>3</w:t>
      </w:r>
      <w:r>
        <w:rPr>
          <w:rFonts w:hint="eastAsia"/>
          <w:spacing w:val="1"/>
          <w:lang w:val="en-US" w:eastAsia="zh-CN"/>
          <w14:textOutline w14:w="5103" w14:cap="sq" w14:cmpd="sng">
            <w14:solidFill>
              <w14:srgbClr w14:val="000000"/>
            </w14:solidFill>
            <w14:prstDash w14:val="solid"/>
            <w14:bevel/>
          </w14:textOutline>
        </w:rPr>
        <w:t>21</w:t>
      </w:r>
      <w:r>
        <w:rPr>
          <w:spacing w:val="1"/>
          <w14:textOutline w14:w="5103" w14:cap="sq" w14:cmpd="sng">
            <w14:solidFill>
              <w14:srgbClr w14:val="000000"/>
            </w14:solidFill>
            <w14:prstDash w14:val="solid"/>
            <w14:bevel/>
          </w14:textOutline>
        </w:rPr>
        <w:t>—</w:t>
      </w:r>
      <w:r>
        <w:rPr>
          <w14:textOutline w14:w="5103" w14:cap="sq" w14:cmpd="sng">
            <w14:solidFill>
              <w14:srgbClr w14:val="000000"/>
            </w14:solidFill>
            <w14:prstDash w14:val="solid"/>
            <w14:bevel/>
          </w14:textOutline>
        </w:rPr>
        <w:t>XXXX</w:t>
      </w:r>
    </w:p>
    <w:p w14:paraId="18C5B077">
      <w:pPr>
        <w:pStyle w:val="2"/>
        <w:spacing w:line="230" w:lineRule="auto"/>
        <w:ind w:left="7521"/>
        <w:rPr>
          <w:rFonts w:hint="default" w:ascii="Times New Roman" w:hAnsi="Times New Roman" w:eastAsia="宋体" w:cs="Times New Roman"/>
          <w:sz w:val="20"/>
          <w:szCs w:val="20"/>
          <w:lang w:val="en-US" w:eastAsia="zh-CN"/>
        </w:rPr>
      </w:pPr>
      <w:r>
        <w:rPr>
          <w:spacing w:val="5"/>
          <w:sz w:val="20"/>
          <w:szCs w:val="20"/>
        </w:rPr>
        <w:t>代替</w:t>
      </w:r>
      <w:r>
        <w:rPr>
          <w:spacing w:val="-36"/>
          <w:sz w:val="20"/>
          <w:szCs w:val="20"/>
        </w:rPr>
        <w:t xml:space="preserve"> </w:t>
      </w:r>
      <w:r>
        <w:rPr>
          <w:rFonts w:ascii="Times New Roman" w:hAnsi="Times New Roman" w:eastAsia="Times New Roman" w:cs="Times New Roman"/>
          <w:sz w:val="20"/>
          <w:szCs w:val="20"/>
        </w:rPr>
        <w:t>YS</w:t>
      </w:r>
      <w:r>
        <w:rPr>
          <w:rFonts w:ascii="Times New Roman" w:hAnsi="Times New Roman" w:eastAsia="Times New Roman" w:cs="Times New Roman"/>
          <w:spacing w:val="5"/>
          <w:sz w:val="20"/>
          <w:szCs w:val="20"/>
        </w:rPr>
        <w:t>/T 3</w:t>
      </w:r>
      <w:r>
        <w:rPr>
          <w:rFonts w:hint="eastAsia" w:ascii="Times New Roman" w:hAnsi="Times New Roman" w:eastAsia="宋体" w:cs="Times New Roman"/>
          <w:spacing w:val="5"/>
          <w:sz w:val="20"/>
          <w:szCs w:val="20"/>
          <w:lang w:val="en-US" w:eastAsia="zh-CN"/>
        </w:rPr>
        <w:t>21</w:t>
      </w:r>
      <w:r>
        <w:rPr>
          <w:spacing w:val="5"/>
          <w:sz w:val="20"/>
          <w:szCs w:val="20"/>
        </w:rPr>
        <w:t>—</w:t>
      </w:r>
      <w:r>
        <w:rPr>
          <w:rFonts w:ascii="Times New Roman" w:hAnsi="Times New Roman" w:eastAsia="Times New Roman" w:cs="Times New Roman"/>
          <w:spacing w:val="5"/>
          <w:sz w:val="20"/>
          <w:szCs w:val="20"/>
        </w:rPr>
        <w:t>20</w:t>
      </w:r>
      <w:r>
        <w:rPr>
          <w:rFonts w:hint="eastAsia" w:ascii="Times New Roman" w:hAnsi="Times New Roman" w:eastAsia="宋体" w:cs="Times New Roman"/>
          <w:spacing w:val="5"/>
          <w:sz w:val="20"/>
          <w:szCs w:val="20"/>
          <w:lang w:val="en-US" w:eastAsia="zh-CN"/>
        </w:rPr>
        <w:t>05</w:t>
      </w:r>
    </w:p>
    <w:p w14:paraId="494B1CBA">
      <w:pPr>
        <w:spacing w:before="60" w:line="20" w:lineRule="exact"/>
      </w:pPr>
      <w:r>
        <w:drawing>
          <wp:inline distT="0" distB="0" distL="0" distR="0">
            <wp:extent cx="6087110"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6087744" cy="12700"/>
                    </a:xfrm>
                    <a:prstGeom prst="rect">
                      <a:avLst/>
                    </a:prstGeom>
                  </pic:spPr>
                </pic:pic>
              </a:graphicData>
            </a:graphic>
          </wp:inline>
        </w:drawing>
      </w:r>
    </w:p>
    <w:p w14:paraId="21A604A2">
      <w:pPr>
        <w:spacing w:line="250" w:lineRule="auto"/>
        <w:rPr>
          <w:rFonts w:ascii="Arial"/>
          <w:sz w:val="21"/>
        </w:rPr>
      </w:pPr>
    </w:p>
    <w:p w14:paraId="344D2E18">
      <w:pPr>
        <w:spacing w:line="250" w:lineRule="auto"/>
        <w:rPr>
          <w:rFonts w:ascii="Arial"/>
          <w:sz w:val="21"/>
        </w:rPr>
      </w:pPr>
    </w:p>
    <w:p w14:paraId="40829787">
      <w:pPr>
        <w:spacing w:line="250" w:lineRule="auto"/>
        <w:rPr>
          <w:rFonts w:ascii="Arial"/>
          <w:sz w:val="21"/>
        </w:rPr>
      </w:pPr>
    </w:p>
    <w:p w14:paraId="5C5982F0">
      <w:pPr>
        <w:spacing w:line="250" w:lineRule="auto"/>
        <w:rPr>
          <w:rFonts w:ascii="Arial"/>
          <w:sz w:val="21"/>
        </w:rPr>
      </w:pPr>
    </w:p>
    <w:p w14:paraId="6F6E3F55">
      <w:pPr>
        <w:spacing w:line="250" w:lineRule="auto"/>
        <w:rPr>
          <w:rFonts w:ascii="Arial"/>
          <w:sz w:val="21"/>
        </w:rPr>
      </w:pPr>
    </w:p>
    <w:p w14:paraId="2D04C2A5">
      <w:pPr>
        <w:spacing w:line="250" w:lineRule="auto"/>
        <w:rPr>
          <w:rFonts w:ascii="Arial"/>
          <w:sz w:val="21"/>
        </w:rPr>
      </w:pPr>
    </w:p>
    <w:p w14:paraId="52519181">
      <w:pPr>
        <w:spacing w:line="250" w:lineRule="auto"/>
        <w:rPr>
          <w:rFonts w:ascii="Arial"/>
          <w:sz w:val="21"/>
        </w:rPr>
      </w:pPr>
    </w:p>
    <w:p w14:paraId="3DCEBF1C">
      <w:pPr>
        <w:spacing w:line="251" w:lineRule="auto"/>
        <w:rPr>
          <w:rFonts w:ascii="Arial"/>
          <w:sz w:val="21"/>
        </w:rPr>
      </w:pPr>
    </w:p>
    <w:p w14:paraId="570E565C">
      <w:pPr>
        <w:pStyle w:val="2"/>
        <w:spacing w:before="170" w:line="222" w:lineRule="auto"/>
        <w:ind w:left="2999" w:firstLine="528" w:firstLineChars="100"/>
        <w:outlineLvl w:val="0"/>
        <w:rPr>
          <w:sz w:val="52"/>
          <w:szCs w:val="52"/>
        </w:rPr>
      </w:pPr>
      <w:r>
        <w:rPr>
          <w:rFonts w:hint="eastAsia" w:ascii="微软雅黑" w:hAnsi="微软雅黑" w:eastAsia="微软雅黑" w:cs="微软雅黑"/>
          <w:spacing w:val="4"/>
          <w:sz w:val="52"/>
          <w:szCs w:val="52"/>
          <w:lang w:val="en-US" w:eastAsia="zh-CN"/>
        </w:rPr>
        <w:t>铋</w:t>
      </w:r>
      <w:r>
        <w:rPr>
          <w:rFonts w:hint="eastAsia" w:ascii="微软雅黑" w:hAnsi="微软雅黑" w:eastAsia="微软雅黑" w:cs="微软雅黑"/>
          <w:spacing w:val="4"/>
          <w:sz w:val="52"/>
          <w:szCs w:val="52"/>
        </w:rPr>
        <w:t xml:space="preserve">    </w:t>
      </w:r>
      <w:r>
        <w:rPr>
          <w:rFonts w:hint="eastAsia" w:ascii="微软雅黑" w:hAnsi="微软雅黑" w:eastAsia="微软雅黑" w:cs="微软雅黑"/>
          <w:spacing w:val="-11"/>
          <w:sz w:val="52"/>
          <w:szCs w:val="52"/>
        </w:rPr>
        <w:t>精</w:t>
      </w:r>
      <w:r>
        <w:rPr>
          <w:rFonts w:hint="eastAsia" w:ascii="微软雅黑" w:hAnsi="微软雅黑" w:eastAsia="微软雅黑" w:cs="微软雅黑"/>
          <w:spacing w:val="3"/>
          <w:sz w:val="52"/>
          <w:szCs w:val="52"/>
        </w:rPr>
        <w:t xml:space="preserve">    </w:t>
      </w:r>
      <w:r>
        <w:rPr>
          <w:rFonts w:hint="eastAsia" w:ascii="微软雅黑" w:hAnsi="微软雅黑" w:eastAsia="微软雅黑" w:cs="微软雅黑"/>
          <w:spacing w:val="-11"/>
          <w:sz w:val="52"/>
          <w:szCs w:val="52"/>
        </w:rPr>
        <w:t>矿</w:t>
      </w:r>
    </w:p>
    <w:p w14:paraId="4DF4C783">
      <w:pPr>
        <w:pStyle w:val="2"/>
        <w:spacing w:before="277" w:line="370" w:lineRule="exact"/>
        <w:ind w:left="3767"/>
        <w:rPr>
          <w:rFonts w:hint="eastAsia" w:ascii="Arial Unicode MS" w:hAnsi="Arial Unicode MS" w:eastAsia="Arial Unicode MS" w:cs="Arial Unicode MS"/>
          <w:sz w:val="24"/>
          <w:szCs w:val="24"/>
        </w:rPr>
      </w:pPr>
      <w:r>
        <w:rPr>
          <w:rFonts w:hint="eastAsia" w:ascii="Arial Unicode MS" w:hAnsi="Arial Unicode MS" w:eastAsia="Arial Unicode MS" w:cs="Arial Unicode MS"/>
          <w:color w:val="auto"/>
          <w:sz w:val="24"/>
          <w:szCs w:val="24"/>
          <w:lang w:val="en-US" w:eastAsia="zh-CN"/>
        </w:rPr>
        <w:t>Bismuth concentrate</w:t>
      </w:r>
    </w:p>
    <w:p w14:paraId="52DBC228">
      <w:pPr>
        <w:pStyle w:val="2"/>
        <w:spacing w:before="254" w:line="222" w:lineRule="auto"/>
        <w:ind w:left="4376"/>
      </w:pPr>
      <w:r>
        <w:rPr>
          <w:spacing w:val="-13"/>
        </w:rPr>
        <w:t>(</w:t>
      </w:r>
      <w:r>
        <w:rPr>
          <w:rFonts w:hint="eastAsia"/>
          <w:spacing w:val="-13"/>
          <w:lang w:val="en-US" w:eastAsia="zh-CN"/>
        </w:rPr>
        <w:t>讨论稿</w:t>
      </w:r>
      <w:r>
        <w:rPr>
          <w:spacing w:val="-13"/>
        </w:rPr>
        <w:t>)</w:t>
      </w:r>
    </w:p>
    <w:p w14:paraId="00A38C93">
      <w:pPr>
        <w:spacing w:before="10"/>
      </w:pPr>
    </w:p>
    <w:p w14:paraId="738234BB">
      <w:pPr>
        <w:spacing w:before="10"/>
      </w:pPr>
    </w:p>
    <w:p w14:paraId="15C45E91">
      <w:pPr>
        <w:spacing w:before="10"/>
      </w:pPr>
    </w:p>
    <w:p w14:paraId="1AAC2E41">
      <w:pPr>
        <w:spacing w:before="10"/>
      </w:pPr>
    </w:p>
    <w:p w14:paraId="45C5679A">
      <w:pPr>
        <w:spacing w:before="10"/>
      </w:pPr>
    </w:p>
    <w:p w14:paraId="319EC28C">
      <w:pPr>
        <w:spacing w:before="10"/>
      </w:pPr>
    </w:p>
    <w:p w14:paraId="2820B0C1">
      <w:pPr>
        <w:spacing w:before="10"/>
      </w:pPr>
    </w:p>
    <w:p w14:paraId="18D856FF">
      <w:pPr>
        <w:spacing w:before="10"/>
      </w:pPr>
    </w:p>
    <w:p w14:paraId="72B7C69D">
      <w:pPr>
        <w:spacing w:before="10"/>
      </w:pPr>
    </w:p>
    <w:p w14:paraId="15143E53">
      <w:pPr>
        <w:spacing w:before="10"/>
      </w:pPr>
    </w:p>
    <w:p w14:paraId="6A15673E">
      <w:pPr>
        <w:spacing w:before="10"/>
      </w:pPr>
    </w:p>
    <w:p w14:paraId="6B7675C6">
      <w:pPr>
        <w:spacing w:before="10"/>
      </w:pPr>
    </w:p>
    <w:p w14:paraId="7BAE2DAD">
      <w:pPr>
        <w:spacing w:before="10"/>
      </w:pPr>
    </w:p>
    <w:p w14:paraId="390BF8A6">
      <w:pPr>
        <w:spacing w:before="10"/>
      </w:pPr>
    </w:p>
    <w:p w14:paraId="08A43F65">
      <w:pPr>
        <w:spacing w:before="10"/>
      </w:pPr>
    </w:p>
    <w:p w14:paraId="2DCCB1FF">
      <w:pPr>
        <w:spacing w:before="10"/>
      </w:pPr>
    </w:p>
    <w:p w14:paraId="58F8431E">
      <w:pPr>
        <w:spacing w:before="9"/>
      </w:pPr>
    </w:p>
    <w:p w14:paraId="111F115D">
      <w:pPr>
        <w:spacing w:before="9"/>
      </w:pPr>
    </w:p>
    <w:p w14:paraId="70DED72A">
      <w:pPr>
        <w:spacing w:before="9"/>
      </w:pPr>
    </w:p>
    <w:p w14:paraId="3D2D98FB">
      <w:pPr>
        <w:spacing w:before="9"/>
      </w:pPr>
    </w:p>
    <w:p w14:paraId="5C6E6938">
      <w:pPr>
        <w:sectPr>
          <w:headerReference r:id="rId5" w:type="default"/>
          <w:footerReference r:id="rId6" w:type="default"/>
          <w:pgSz w:w="11907" w:h="16840"/>
          <w:pgMar w:top="1420" w:right="1005" w:bottom="0" w:left="1315" w:header="0" w:footer="0" w:gutter="0"/>
          <w:cols w:equalWidth="0" w:num="1">
            <w:col w:w="9587"/>
          </w:cols>
        </w:sectPr>
      </w:pPr>
    </w:p>
    <w:p w14:paraId="2C97B9ED">
      <w:pPr>
        <w:pStyle w:val="2"/>
        <w:spacing w:before="57" w:line="188" w:lineRule="auto"/>
        <w:ind w:left="45"/>
      </w:pPr>
      <w:r>
        <w:rPr>
          <w:rFonts w:hint="eastAsia"/>
          <w:spacing w:val="-2"/>
          <w:lang w:val="en-US" w:eastAsia="zh-CN"/>
        </w:rPr>
        <w:t>202</w:t>
      </w:r>
      <w:r>
        <w:rPr>
          <w:spacing w:val="-2"/>
        </w:rPr>
        <w:t>X-XX-XX</w:t>
      </w:r>
      <w:r>
        <w:rPr>
          <w:spacing w:val="-51"/>
        </w:rPr>
        <w:t xml:space="preserve"> </w:t>
      </w:r>
      <w:r>
        <w:rPr>
          <w:spacing w:val="-2"/>
        </w:rPr>
        <w:t>发布</w:t>
      </w:r>
    </w:p>
    <w:p w14:paraId="2CD4CFCB">
      <w:pPr>
        <w:spacing w:line="14" w:lineRule="auto"/>
        <w:rPr>
          <w:rFonts w:ascii="Arial"/>
          <w:sz w:val="2"/>
        </w:rPr>
      </w:pPr>
      <w:r>
        <w:rPr>
          <w:rFonts w:ascii="Arial" w:hAnsi="Arial" w:eastAsia="Arial" w:cs="Arial"/>
          <w:sz w:val="2"/>
          <w:szCs w:val="2"/>
        </w:rPr>
        <w:br w:type="column"/>
      </w:r>
    </w:p>
    <w:p w14:paraId="59D2EE2B">
      <w:pPr>
        <w:pStyle w:val="2"/>
        <w:spacing w:before="55" w:line="188" w:lineRule="auto"/>
      </w:pPr>
      <w:r>
        <w:rPr>
          <w:rFonts w:hint="eastAsia"/>
          <w:spacing w:val="-2"/>
          <w:lang w:val="en-US" w:eastAsia="zh-CN"/>
        </w:rPr>
        <w:t>202</w:t>
      </w:r>
      <w:r>
        <w:rPr>
          <w:spacing w:val="-2"/>
        </w:rPr>
        <w:t>-XX-XX</w:t>
      </w:r>
      <w:r>
        <w:rPr>
          <w:spacing w:val="-51"/>
        </w:rPr>
        <w:t xml:space="preserve"> </w:t>
      </w:r>
      <w:r>
        <w:rPr>
          <w:spacing w:val="-2"/>
        </w:rPr>
        <w:t>实施</w:t>
      </w:r>
    </w:p>
    <w:p w14:paraId="43B60048">
      <w:pPr>
        <w:spacing w:line="188" w:lineRule="auto"/>
        <w:sectPr>
          <w:type w:val="continuous"/>
          <w:pgSz w:w="11907" w:h="16840"/>
          <w:pgMar w:top="1420" w:right="1005" w:bottom="0" w:left="1315" w:header="0" w:footer="0" w:gutter="0"/>
          <w:cols w:equalWidth="0" w:num="2">
            <w:col w:w="7285" w:space="100"/>
            <w:col w:w="2203"/>
          </w:cols>
        </w:sectPr>
      </w:pPr>
    </w:p>
    <w:p w14:paraId="5C802655">
      <w:pPr>
        <w:spacing w:line="389" w:lineRule="auto"/>
        <w:rPr>
          <w:rFonts w:ascii="Arial"/>
          <w:sz w:val="21"/>
        </w:rPr>
      </w:pPr>
    </w:p>
    <w:p w14:paraId="216653E5">
      <w:pPr>
        <w:spacing w:line="20" w:lineRule="exact"/>
        <w:ind w:firstLine="40"/>
      </w:pPr>
      <w:r>
        <w:drawing>
          <wp:inline distT="0" distB="0" distL="0" distR="0">
            <wp:extent cx="6009005"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4"/>
                    <a:stretch>
                      <a:fillRect/>
                    </a:stretch>
                  </pic:blipFill>
                  <pic:spPr>
                    <a:xfrm>
                      <a:off x="0" y="0"/>
                      <a:ext cx="6009005" cy="12700"/>
                    </a:xfrm>
                    <a:prstGeom prst="rect">
                      <a:avLst/>
                    </a:prstGeom>
                  </pic:spPr>
                </pic:pic>
              </a:graphicData>
            </a:graphic>
          </wp:inline>
        </w:drawing>
      </w:r>
    </w:p>
    <w:p w14:paraId="0F3CCBC8">
      <w:pPr>
        <w:pStyle w:val="2"/>
        <w:spacing w:before="273" w:line="188" w:lineRule="auto"/>
        <w:ind w:left="1278"/>
      </w:pPr>
      <w:r>
        <w:rPr>
          <w:spacing w:val="28"/>
          <w:w w:val="122"/>
          <w14:textOutline w14:w="6047" w14:cap="sq" w14:cmpd="sng">
            <w14:solidFill>
              <w14:srgbClr w14:val="000000"/>
            </w14:solidFill>
            <w14:prstDash w14:val="solid"/>
            <w14:bevel/>
          </w14:textOutline>
        </w:rPr>
        <w:t>中</w:t>
      </w:r>
      <w:r>
        <w:rPr>
          <w:spacing w:val="-83"/>
        </w:rPr>
        <w:t xml:space="preserve"> </w:t>
      </w:r>
      <w:r>
        <w:rPr>
          <w:spacing w:val="28"/>
          <w:w w:val="122"/>
          <w14:textOutline w14:w="6047" w14:cap="sq" w14:cmpd="sng">
            <w14:solidFill>
              <w14:srgbClr w14:val="000000"/>
            </w14:solidFill>
            <w14:prstDash w14:val="solid"/>
            <w14:bevel/>
          </w14:textOutline>
        </w:rPr>
        <w:t>华</w:t>
      </w:r>
      <w:r>
        <w:rPr>
          <w:spacing w:val="-82"/>
        </w:rPr>
        <w:t xml:space="preserve"> </w:t>
      </w:r>
      <w:r>
        <w:rPr>
          <w:spacing w:val="28"/>
          <w:w w:val="122"/>
          <w14:textOutline w14:w="6047" w14:cap="sq" w14:cmpd="sng">
            <w14:solidFill>
              <w14:srgbClr w14:val="000000"/>
            </w14:solidFill>
            <w14:prstDash w14:val="solid"/>
            <w14:bevel/>
          </w14:textOutline>
        </w:rPr>
        <w:t>人</w:t>
      </w:r>
      <w:r>
        <w:rPr>
          <w:spacing w:val="-62"/>
        </w:rPr>
        <w:t xml:space="preserve"> </w:t>
      </w:r>
      <w:r>
        <w:rPr>
          <w:spacing w:val="28"/>
          <w:w w:val="122"/>
          <w14:textOutline w14:w="6047" w14:cap="sq" w14:cmpd="sng">
            <w14:solidFill>
              <w14:srgbClr w14:val="000000"/>
            </w14:solidFill>
            <w14:prstDash w14:val="solid"/>
            <w14:bevel/>
          </w14:textOutline>
        </w:rPr>
        <w:t>民</w:t>
      </w:r>
      <w:r>
        <w:rPr>
          <w:spacing w:val="-80"/>
        </w:rPr>
        <w:t xml:space="preserve"> </w:t>
      </w:r>
      <w:r>
        <w:rPr>
          <w:spacing w:val="28"/>
          <w:w w:val="122"/>
          <w14:textOutline w14:w="6047" w14:cap="sq" w14:cmpd="sng">
            <w14:solidFill>
              <w14:srgbClr w14:val="000000"/>
            </w14:solidFill>
            <w14:prstDash w14:val="solid"/>
            <w14:bevel/>
          </w14:textOutline>
        </w:rPr>
        <w:t>共</w:t>
      </w:r>
      <w:r>
        <w:rPr>
          <w:spacing w:val="-84"/>
        </w:rPr>
        <w:t xml:space="preserve"> </w:t>
      </w:r>
      <w:r>
        <w:rPr>
          <w:spacing w:val="28"/>
          <w:w w:val="122"/>
          <w14:textOutline w14:w="6047" w14:cap="sq" w14:cmpd="sng">
            <w14:solidFill>
              <w14:srgbClr w14:val="000000"/>
            </w14:solidFill>
            <w14:prstDash w14:val="solid"/>
            <w14:bevel/>
          </w14:textOutline>
        </w:rPr>
        <w:t>和</w:t>
      </w:r>
      <w:r>
        <w:rPr>
          <w:spacing w:val="-64"/>
        </w:rPr>
        <w:t xml:space="preserve"> </w:t>
      </w:r>
      <w:r>
        <w:rPr>
          <w:spacing w:val="28"/>
          <w:w w:val="122"/>
          <w14:textOutline w14:w="6047" w14:cap="sq" w14:cmpd="sng">
            <w14:solidFill>
              <w14:srgbClr w14:val="000000"/>
            </w14:solidFill>
            <w14:prstDash w14:val="solid"/>
            <w14:bevel/>
          </w14:textOutline>
        </w:rPr>
        <w:t>国</w:t>
      </w:r>
      <w:r>
        <w:rPr>
          <w:spacing w:val="-84"/>
        </w:rPr>
        <w:t xml:space="preserve"> </w:t>
      </w:r>
      <w:r>
        <w:rPr>
          <w:spacing w:val="28"/>
          <w:w w:val="122"/>
          <w14:textOutline w14:w="6047" w14:cap="sq" w14:cmpd="sng">
            <w14:solidFill>
              <w14:srgbClr w14:val="000000"/>
            </w14:solidFill>
            <w14:prstDash w14:val="solid"/>
            <w14:bevel/>
          </w14:textOutline>
        </w:rPr>
        <w:t>工</w:t>
      </w:r>
      <w:r>
        <w:rPr>
          <w:spacing w:val="-80"/>
        </w:rPr>
        <w:t xml:space="preserve"> </w:t>
      </w:r>
      <w:r>
        <w:rPr>
          <w:spacing w:val="28"/>
          <w:w w:val="122"/>
          <w14:textOutline w14:w="6047" w14:cap="sq" w14:cmpd="sng">
            <w14:solidFill>
              <w14:srgbClr w14:val="000000"/>
            </w14:solidFill>
            <w14:prstDash w14:val="solid"/>
            <w14:bevel/>
          </w14:textOutline>
        </w:rPr>
        <w:t>业和信</w:t>
      </w:r>
      <w:r>
        <w:rPr>
          <w:spacing w:val="-82"/>
        </w:rPr>
        <w:t xml:space="preserve"> </w:t>
      </w:r>
      <w:r>
        <w:rPr>
          <w:spacing w:val="28"/>
          <w:w w:val="122"/>
          <w14:textOutline w14:w="6047" w14:cap="sq" w14:cmpd="sng">
            <w14:solidFill>
              <w14:srgbClr w14:val="000000"/>
            </w14:solidFill>
            <w14:prstDash w14:val="solid"/>
            <w14:bevel/>
          </w14:textOutline>
        </w:rPr>
        <w:t>息</w:t>
      </w:r>
      <w:r>
        <w:rPr>
          <w:spacing w:val="-83"/>
        </w:rPr>
        <w:t xml:space="preserve"> </w:t>
      </w:r>
      <w:r>
        <w:rPr>
          <w:spacing w:val="28"/>
          <w:w w:val="122"/>
          <w14:textOutline w14:w="6047" w14:cap="sq" w14:cmpd="sng">
            <w14:solidFill>
              <w14:srgbClr w14:val="000000"/>
            </w14:solidFill>
            <w14:prstDash w14:val="solid"/>
            <w14:bevel/>
          </w14:textOutline>
        </w:rPr>
        <w:t>化</w:t>
      </w:r>
      <w:r>
        <w:rPr>
          <w:spacing w:val="-78"/>
        </w:rPr>
        <w:t xml:space="preserve"> </w:t>
      </w:r>
      <w:r>
        <w:rPr>
          <w:spacing w:val="28"/>
          <w:w w:val="122"/>
          <w14:textOutline w14:w="6047" w14:cap="sq" w14:cmpd="sng">
            <w14:solidFill>
              <w14:srgbClr w14:val="000000"/>
            </w14:solidFill>
            <w14:prstDash w14:val="solid"/>
            <w14:bevel/>
          </w14:textOutline>
        </w:rPr>
        <w:t>部</w:t>
      </w:r>
      <w:r>
        <w:rPr>
          <w:spacing w:val="4"/>
        </w:rPr>
        <w:t xml:space="preserve">  </w:t>
      </w:r>
      <w:r>
        <w:rPr>
          <w:spacing w:val="28"/>
          <w:w w:val="122"/>
        </w:rPr>
        <w:t>发布</w:t>
      </w:r>
    </w:p>
    <w:p w14:paraId="2808CDD9">
      <w:pPr>
        <w:spacing w:line="188" w:lineRule="auto"/>
        <w:sectPr>
          <w:type w:val="continuous"/>
          <w:pgSz w:w="11907" w:h="16840"/>
          <w:pgMar w:top="1420" w:right="1005" w:bottom="0" w:left="1315" w:header="0" w:footer="0" w:gutter="0"/>
          <w:cols w:equalWidth="0" w:num="1">
            <w:col w:w="9587"/>
          </w:cols>
        </w:sectPr>
      </w:pPr>
    </w:p>
    <w:p w14:paraId="39763291">
      <w:pPr>
        <w:spacing w:before="25" w:line="192" w:lineRule="auto"/>
        <w:ind w:left="70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YS/T 3</w:t>
      </w:r>
      <w:r>
        <w:rPr>
          <w:rFonts w:hint="eastAsia" w:ascii="Times New Roman" w:hAnsi="Times New Roman" w:eastAsia="宋体" w:cs="Times New Roman"/>
          <w:spacing w:val="-1"/>
          <w:sz w:val="18"/>
          <w:szCs w:val="18"/>
          <w:lang w:val="en-US" w:eastAsia="zh-CN"/>
        </w:rPr>
        <w:t>21</w:t>
      </w:r>
      <w:r>
        <w:rPr>
          <w:rFonts w:ascii="Times New Roman" w:hAnsi="Times New Roman" w:eastAsia="Times New Roman" w:cs="Times New Roman"/>
          <w:spacing w:val="-1"/>
          <w:sz w:val="18"/>
          <w:szCs w:val="18"/>
        </w:rPr>
        <w:t xml:space="preserve"> —xxxx</w:t>
      </w:r>
    </w:p>
    <w:p w14:paraId="7BAFEB5E">
      <w:pPr>
        <w:spacing w:line="413" w:lineRule="auto"/>
        <w:rPr>
          <w:rFonts w:ascii="Arial"/>
          <w:sz w:val="21"/>
        </w:rPr>
      </w:pPr>
    </w:p>
    <w:p w14:paraId="34107CEC">
      <w:pPr>
        <w:pStyle w:val="2"/>
        <w:spacing w:before="101" w:line="228" w:lineRule="auto"/>
        <w:ind w:left="3535"/>
        <w:rPr>
          <w:sz w:val="31"/>
          <w:szCs w:val="31"/>
        </w:rPr>
      </w:pPr>
      <w:r>
        <w:rPr>
          <w:spacing w:val="-2"/>
          <w:sz w:val="31"/>
          <w:szCs w:val="31"/>
          <w14:textOutline w14:w="5793" w14:cap="sq" w14:cmpd="sng">
            <w14:solidFill>
              <w14:srgbClr w14:val="000000"/>
            </w14:solidFill>
            <w14:prstDash w14:val="solid"/>
            <w14:bevel/>
          </w14:textOutline>
        </w:rPr>
        <w:t>前</w:t>
      </w:r>
      <w:r>
        <w:rPr>
          <w:spacing w:val="12"/>
          <w:sz w:val="31"/>
          <w:szCs w:val="31"/>
        </w:rPr>
        <w:t xml:space="preserve">    </w:t>
      </w:r>
      <w:r>
        <w:rPr>
          <w:spacing w:val="-2"/>
          <w:sz w:val="31"/>
          <w:szCs w:val="31"/>
          <w14:textOutline w14:w="5793" w14:cap="sq" w14:cmpd="sng">
            <w14:solidFill>
              <w14:srgbClr w14:val="000000"/>
            </w14:solidFill>
            <w14:prstDash w14:val="solid"/>
            <w14:bevel/>
          </w14:textOutline>
        </w:rPr>
        <w:t>言</w:t>
      </w:r>
    </w:p>
    <w:p w14:paraId="155F2E45">
      <w:pPr>
        <w:spacing w:line="244" w:lineRule="auto"/>
        <w:rPr>
          <w:rFonts w:ascii="Arial"/>
          <w:sz w:val="21"/>
        </w:rPr>
      </w:pPr>
    </w:p>
    <w:p w14:paraId="2673D8D7">
      <w:pPr>
        <w:spacing w:line="245" w:lineRule="auto"/>
        <w:rPr>
          <w:rFonts w:ascii="Arial"/>
          <w:sz w:val="21"/>
        </w:rPr>
      </w:pPr>
    </w:p>
    <w:p w14:paraId="41A01D14">
      <w:pPr>
        <w:widowControl w:val="0"/>
        <w:kinsoku/>
        <w:autoSpaceDE/>
        <w:autoSpaceDN/>
        <w:adjustRightInd/>
        <w:snapToGrid/>
        <w:spacing w:line="360" w:lineRule="auto"/>
        <w:ind w:firstLine="420"/>
        <w:jc w:val="both"/>
        <w:textAlignment w:val="auto"/>
        <w:rPr>
          <w:rFonts w:hint="eastAsia" w:ascii="Times New Roman" w:hAnsi="Times New Roman" w:eastAsia="宋体" w:cs="Times New Roman"/>
          <w:snapToGrid/>
          <w:kern w:val="2"/>
          <w:szCs w:val="21"/>
          <w:lang w:eastAsia="zh-CN"/>
        </w:rPr>
      </w:pPr>
    </w:p>
    <w:p w14:paraId="4ADEAD25">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本文件按照 GB/T 1.1-2020《标准化工作导则 第 1 部分：标准化文件的结构和起草规 则》的规定起草。</w:t>
      </w:r>
    </w:p>
    <w:p w14:paraId="62610060">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本文件代替 YS/T 3</w:t>
      </w:r>
      <w:r>
        <w:rPr>
          <w:rFonts w:hint="eastAsia" w:ascii="微软雅黑" w:hAnsi="微软雅黑" w:eastAsia="微软雅黑" w:cs="微软雅黑"/>
          <w:snapToGrid/>
          <w:kern w:val="2"/>
          <w:sz w:val="20"/>
          <w:szCs w:val="20"/>
          <w:lang w:val="en-US" w:eastAsia="zh-CN"/>
        </w:rPr>
        <w:t>21</w:t>
      </w:r>
      <w:r>
        <w:rPr>
          <w:rFonts w:hint="eastAsia" w:ascii="微软雅黑" w:hAnsi="微软雅黑" w:eastAsia="微软雅黑" w:cs="微软雅黑"/>
          <w:snapToGrid/>
          <w:kern w:val="2"/>
          <w:sz w:val="20"/>
          <w:szCs w:val="20"/>
          <w:lang w:eastAsia="zh-CN"/>
        </w:rPr>
        <w:t>-20</w:t>
      </w:r>
      <w:r>
        <w:rPr>
          <w:rFonts w:hint="eastAsia" w:ascii="微软雅黑" w:hAnsi="微软雅黑" w:eastAsia="微软雅黑" w:cs="微软雅黑"/>
          <w:snapToGrid/>
          <w:kern w:val="2"/>
          <w:sz w:val="20"/>
          <w:szCs w:val="20"/>
          <w:lang w:val="en-US" w:eastAsia="zh-CN"/>
        </w:rPr>
        <w:t>05</w:t>
      </w:r>
      <w:r>
        <w:rPr>
          <w:rFonts w:hint="eastAsia" w:ascii="微软雅黑" w:hAnsi="微软雅黑" w:eastAsia="微软雅黑" w:cs="微软雅黑"/>
          <w:snapToGrid/>
          <w:kern w:val="2"/>
          <w:sz w:val="20"/>
          <w:szCs w:val="20"/>
          <w:lang w:eastAsia="zh-CN"/>
        </w:rPr>
        <w:t>《</w:t>
      </w:r>
      <w:r>
        <w:rPr>
          <w:rFonts w:hint="eastAsia" w:ascii="微软雅黑" w:hAnsi="微软雅黑" w:eastAsia="微软雅黑" w:cs="微软雅黑"/>
          <w:snapToGrid/>
          <w:kern w:val="2"/>
          <w:sz w:val="20"/>
          <w:szCs w:val="20"/>
          <w:lang w:val="en-US" w:eastAsia="zh-CN"/>
        </w:rPr>
        <w:t>铋</w:t>
      </w:r>
      <w:r>
        <w:rPr>
          <w:rFonts w:hint="eastAsia" w:ascii="微软雅黑" w:hAnsi="微软雅黑" w:eastAsia="微软雅黑" w:cs="微软雅黑"/>
          <w:snapToGrid/>
          <w:kern w:val="2"/>
          <w:sz w:val="20"/>
          <w:szCs w:val="20"/>
          <w:lang w:eastAsia="zh-CN"/>
        </w:rPr>
        <w:t>精矿》 ，与 YS/T 3</w:t>
      </w:r>
      <w:r>
        <w:rPr>
          <w:rFonts w:hint="eastAsia" w:ascii="微软雅黑" w:hAnsi="微软雅黑" w:eastAsia="微软雅黑" w:cs="微软雅黑"/>
          <w:snapToGrid/>
          <w:kern w:val="2"/>
          <w:sz w:val="20"/>
          <w:szCs w:val="20"/>
          <w:lang w:val="en-US" w:eastAsia="zh-CN"/>
        </w:rPr>
        <w:t>21</w:t>
      </w:r>
      <w:r>
        <w:rPr>
          <w:rFonts w:hint="eastAsia" w:ascii="微软雅黑" w:hAnsi="微软雅黑" w:eastAsia="微软雅黑" w:cs="微软雅黑"/>
          <w:snapToGrid/>
          <w:kern w:val="2"/>
          <w:sz w:val="20"/>
          <w:szCs w:val="20"/>
          <w:lang w:eastAsia="zh-CN"/>
        </w:rPr>
        <w:t>-20</w:t>
      </w:r>
      <w:r>
        <w:rPr>
          <w:rFonts w:hint="eastAsia" w:ascii="微软雅黑" w:hAnsi="微软雅黑" w:eastAsia="微软雅黑" w:cs="微软雅黑"/>
          <w:snapToGrid/>
          <w:kern w:val="2"/>
          <w:sz w:val="20"/>
          <w:szCs w:val="20"/>
          <w:lang w:val="en-US" w:eastAsia="zh-CN"/>
        </w:rPr>
        <w:t>05</w:t>
      </w:r>
      <w:r>
        <w:rPr>
          <w:rFonts w:hint="eastAsia" w:ascii="微软雅黑" w:hAnsi="微软雅黑" w:eastAsia="微软雅黑" w:cs="微软雅黑"/>
          <w:snapToGrid/>
          <w:kern w:val="2"/>
          <w:sz w:val="20"/>
          <w:szCs w:val="20"/>
          <w:lang w:eastAsia="zh-CN"/>
        </w:rPr>
        <w:t xml:space="preserve"> 相比，除结构调整和编辑 性改动外，主要技术变化如下:</w:t>
      </w:r>
    </w:p>
    <w:p w14:paraId="14AA6C4A">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val="en-US" w:eastAsia="zh-CN"/>
        </w:rPr>
      </w:pPr>
      <w:r>
        <w:rPr>
          <w:rFonts w:hint="eastAsia" w:ascii="微软雅黑" w:hAnsi="微软雅黑" w:eastAsia="微软雅黑" w:cs="微软雅黑"/>
          <w:snapToGrid/>
          <w:kern w:val="2"/>
          <w:sz w:val="20"/>
          <w:szCs w:val="20"/>
          <w:lang w:val="en-US" w:eastAsia="zh-CN"/>
        </w:rPr>
        <w:t>a）将产品增加一个六级品为铋品位大于等于10%（见5.1.1，2005年版3.2.1）；</w:t>
      </w:r>
    </w:p>
    <w:p w14:paraId="13274A58">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val="en-US" w:eastAsia="zh-CN"/>
        </w:rPr>
      </w:pPr>
      <w:r>
        <w:rPr>
          <w:rFonts w:hint="eastAsia" w:ascii="微软雅黑" w:hAnsi="微软雅黑" w:eastAsia="微软雅黑" w:cs="微软雅黑"/>
          <w:snapToGrid/>
          <w:kern w:val="2"/>
          <w:sz w:val="20"/>
          <w:szCs w:val="20"/>
          <w:lang w:val="en-US" w:eastAsia="zh-CN"/>
        </w:rPr>
        <w:t>b)更改了铋精矿中水分含量不大于4%，铋精矿水分含量更改为含量不大于17%（见5.3，2005年版3.3.2）；</w:t>
      </w:r>
    </w:p>
    <w:p w14:paraId="2FD4CEFD">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c)更改了</w:t>
      </w:r>
      <w:r>
        <w:rPr>
          <w:rFonts w:hint="eastAsia" w:ascii="微软雅黑" w:hAnsi="微软雅黑" w:eastAsia="微软雅黑" w:cs="微软雅黑"/>
          <w:snapToGrid/>
          <w:kern w:val="2"/>
          <w:sz w:val="20"/>
          <w:szCs w:val="20"/>
          <w:lang w:val="en-US" w:eastAsia="zh-CN"/>
        </w:rPr>
        <w:t>铋</w:t>
      </w:r>
      <w:r>
        <w:rPr>
          <w:rFonts w:hint="eastAsia" w:ascii="微软雅黑" w:hAnsi="微软雅黑" w:eastAsia="微软雅黑" w:cs="微软雅黑"/>
          <w:snapToGrid/>
          <w:kern w:val="2"/>
          <w:sz w:val="20"/>
          <w:szCs w:val="20"/>
          <w:lang w:eastAsia="zh-CN"/>
        </w:rPr>
        <w:t>精矿中有价元素的</w:t>
      </w:r>
      <w:r>
        <w:rPr>
          <w:rFonts w:hint="eastAsia" w:ascii="微软雅黑" w:hAnsi="微软雅黑" w:eastAsia="微软雅黑" w:cs="微软雅黑"/>
          <w:snapToGrid/>
          <w:kern w:val="2"/>
          <w:sz w:val="20"/>
          <w:szCs w:val="20"/>
          <w:lang w:val="en-US" w:eastAsia="zh-CN"/>
        </w:rPr>
        <w:t>表述</w:t>
      </w:r>
      <w:r>
        <w:rPr>
          <w:rFonts w:hint="eastAsia" w:ascii="微软雅黑" w:hAnsi="微软雅黑" w:eastAsia="微软雅黑" w:cs="微软雅黑"/>
          <w:snapToGrid/>
          <w:kern w:val="2"/>
          <w:sz w:val="20"/>
          <w:szCs w:val="20"/>
          <w:lang w:eastAsia="zh-CN"/>
        </w:rPr>
        <w:t>，将“</w:t>
      </w:r>
      <w:r>
        <w:rPr>
          <w:rFonts w:hint="eastAsia" w:ascii="微软雅黑" w:hAnsi="微软雅黑" w:eastAsia="微软雅黑" w:cs="微软雅黑"/>
          <w:snapToGrid/>
          <w:kern w:val="2"/>
          <w:sz w:val="20"/>
          <w:szCs w:val="20"/>
          <w:lang w:val="en-US" w:eastAsia="zh-CN"/>
        </w:rPr>
        <w:t>铋</w:t>
      </w:r>
      <w:r>
        <w:rPr>
          <w:rFonts w:hint="eastAsia" w:ascii="微软雅黑" w:hAnsi="微软雅黑" w:eastAsia="微软雅黑" w:cs="微软雅黑"/>
          <w:snapToGrid/>
          <w:kern w:val="2"/>
          <w:sz w:val="20"/>
          <w:szCs w:val="20"/>
          <w:lang w:eastAsia="zh-CN"/>
        </w:rPr>
        <w:t>精矿中银为有价元素 ”更改为“</w:t>
      </w:r>
      <w:r>
        <w:rPr>
          <w:rFonts w:hint="eastAsia" w:ascii="微软雅黑" w:hAnsi="微软雅黑" w:eastAsia="微软雅黑" w:cs="微软雅黑"/>
          <w:snapToGrid/>
          <w:kern w:val="2"/>
          <w:sz w:val="20"/>
          <w:szCs w:val="20"/>
          <w:lang w:val="en-US" w:eastAsia="zh-CN"/>
        </w:rPr>
        <w:t>铋</w:t>
      </w:r>
      <w:r>
        <w:rPr>
          <w:rFonts w:hint="eastAsia" w:ascii="微软雅黑" w:hAnsi="微软雅黑" w:eastAsia="微软雅黑" w:cs="微软雅黑"/>
          <w:snapToGrid/>
          <w:kern w:val="2"/>
          <w:sz w:val="20"/>
          <w:szCs w:val="20"/>
          <w:lang w:eastAsia="zh-CN"/>
        </w:rPr>
        <w:t>精矿中金、银为有价元素 ”。</w:t>
      </w:r>
    </w:p>
    <w:p w14:paraId="2095C50D">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d)增加了天然放射性限值。</w:t>
      </w:r>
    </w:p>
    <w:p w14:paraId="598C5ACD">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e)更改了包装要求。</w:t>
      </w:r>
    </w:p>
    <w:p w14:paraId="6210D952">
      <w:pPr>
        <w:widowControl w:val="0"/>
        <w:kinsoku/>
        <w:autoSpaceDE/>
        <w:autoSpaceDN/>
        <w:adjustRightInd/>
        <w:snapToGrid/>
        <w:spacing w:line="360" w:lineRule="auto"/>
        <w:ind w:firstLine="420"/>
        <w:jc w:val="both"/>
        <w:textAlignment w:val="auto"/>
        <w:rPr>
          <w:rFonts w:hint="default"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F)增加了产品贮存要求。</w:t>
      </w:r>
    </w:p>
    <w:p w14:paraId="0B1AFF7B">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请注意本文件的某些内容可能涉及专利。本文件的发布机构不承担识别专利的责任。</w:t>
      </w:r>
    </w:p>
    <w:p w14:paraId="66658CDC">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本文件由全国有色金属标准化技术委员会(SAC/TC 243)提出并归口。</w:t>
      </w:r>
    </w:p>
    <w:p w14:paraId="24A257CE">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本文件起草单位 :</w:t>
      </w:r>
      <w:r>
        <w:rPr>
          <w:rFonts w:hint="eastAsia" w:ascii="微软雅黑" w:hAnsi="微软雅黑" w:eastAsia="微软雅黑" w:cs="微软雅黑"/>
          <w:snapToGrid/>
          <w:kern w:val="2"/>
          <w:sz w:val="20"/>
          <w:szCs w:val="20"/>
          <w:lang w:val="en-US" w:eastAsia="zh-CN"/>
        </w:rPr>
        <w:t>湖南柿竹园有色金属有限责任公司</w:t>
      </w:r>
      <w:r>
        <w:rPr>
          <w:rFonts w:hint="eastAsia" w:ascii="微软雅黑" w:hAnsi="微软雅黑" w:eastAsia="微软雅黑" w:cs="微软雅黑"/>
          <w:snapToGrid/>
          <w:kern w:val="2"/>
          <w:sz w:val="20"/>
          <w:szCs w:val="20"/>
          <w:lang w:eastAsia="zh-CN"/>
        </w:rPr>
        <w:t>、</w:t>
      </w:r>
      <w:r>
        <w:rPr>
          <w:rFonts w:hint="eastAsia" w:ascii="微软雅黑" w:hAnsi="微软雅黑" w:eastAsia="微软雅黑" w:cs="微软雅黑"/>
          <w:snapToGrid/>
          <w:kern w:val="2"/>
          <w:sz w:val="20"/>
          <w:szCs w:val="20"/>
          <w:lang w:val="en-US" w:eastAsia="zh-CN"/>
        </w:rPr>
        <w:t>广东先导稀材股份有限公司、赣州有色冶金研究所有限公司、水口山有色金属有限责任公司、云南驰宏资源综合利用有限公司、株洲冶炼集团股份有限公司。</w:t>
      </w:r>
    </w:p>
    <w:p w14:paraId="65569234">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本文件主要起草人：</w:t>
      </w:r>
    </w:p>
    <w:p w14:paraId="7AEC022B">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本文件所代替文件的历次版本发布情况为 :</w:t>
      </w:r>
    </w:p>
    <w:p w14:paraId="1311B073">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val="en-US" w:eastAsia="zh-CN"/>
        </w:rPr>
      </w:pPr>
      <w:r>
        <w:rPr>
          <w:rFonts w:hint="eastAsia" w:ascii="微软雅黑" w:hAnsi="微软雅黑" w:eastAsia="微软雅黑" w:cs="微软雅黑"/>
          <w:snapToGrid/>
          <w:kern w:val="2"/>
          <w:sz w:val="20"/>
          <w:szCs w:val="20"/>
          <w:lang w:eastAsia="zh-CN"/>
        </w:rPr>
        <w:t>—</w:t>
      </w:r>
      <w:r>
        <w:rPr>
          <w:rFonts w:hint="eastAsia" w:ascii="微软雅黑" w:hAnsi="微软雅黑" w:eastAsia="微软雅黑" w:cs="微软雅黑"/>
          <w:snapToGrid/>
          <w:kern w:val="2"/>
          <w:sz w:val="20"/>
          <w:szCs w:val="20"/>
          <w:lang w:val="en-US" w:eastAsia="zh-CN"/>
        </w:rPr>
        <w:t>本文件首次发布为YB 498-1965，1982年修订为YB 498-1982；</w:t>
      </w:r>
    </w:p>
    <w:p w14:paraId="26D19BC4">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w:t>
      </w:r>
      <w:r>
        <w:rPr>
          <w:rFonts w:hint="eastAsia" w:ascii="微软雅黑" w:hAnsi="微软雅黑" w:eastAsia="微软雅黑" w:cs="微软雅黑"/>
          <w:snapToGrid/>
          <w:kern w:val="2"/>
          <w:sz w:val="20"/>
          <w:szCs w:val="20"/>
          <w:lang w:val="en-US" w:eastAsia="zh-CN"/>
        </w:rPr>
        <w:t>1994年转为YS/T321-1994</w:t>
      </w:r>
      <w:r>
        <w:rPr>
          <w:rFonts w:hint="eastAsia" w:ascii="微软雅黑" w:hAnsi="微软雅黑" w:eastAsia="微软雅黑" w:cs="微软雅黑"/>
          <w:snapToGrid/>
          <w:kern w:val="2"/>
          <w:sz w:val="20"/>
          <w:szCs w:val="20"/>
          <w:lang w:eastAsia="zh-CN"/>
        </w:rPr>
        <w:t>，</w:t>
      </w:r>
      <w:r>
        <w:rPr>
          <w:rFonts w:hint="eastAsia" w:ascii="微软雅黑" w:hAnsi="微软雅黑" w:eastAsia="微软雅黑" w:cs="微软雅黑"/>
          <w:snapToGrid/>
          <w:kern w:val="2"/>
          <w:sz w:val="20"/>
          <w:szCs w:val="20"/>
          <w:lang w:val="en-US" w:eastAsia="zh-CN"/>
        </w:rPr>
        <w:t>2005</w:t>
      </w:r>
      <w:r>
        <w:rPr>
          <w:rFonts w:hint="eastAsia" w:ascii="微软雅黑" w:hAnsi="微软雅黑" w:eastAsia="微软雅黑" w:cs="微软雅黑"/>
          <w:snapToGrid/>
          <w:kern w:val="2"/>
          <w:sz w:val="20"/>
          <w:szCs w:val="20"/>
          <w:lang w:eastAsia="zh-CN"/>
        </w:rPr>
        <w:t>年第一次修订；</w:t>
      </w:r>
    </w:p>
    <w:p w14:paraId="4F442A8F">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—本次为第</w:t>
      </w:r>
      <w:r>
        <w:rPr>
          <w:rFonts w:hint="eastAsia" w:ascii="微软雅黑" w:hAnsi="微软雅黑" w:eastAsia="微软雅黑" w:cs="微软雅黑"/>
          <w:snapToGrid/>
          <w:kern w:val="2"/>
          <w:sz w:val="20"/>
          <w:szCs w:val="20"/>
          <w:lang w:val="en-US" w:eastAsia="zh-CN"/>
        </w:rPr>
        <w:t>二</w:t>
      </w:r>
      <w:r>
        <w:rPr>
          <w:rFonts w:hint="eastAsia" w:ascii="微软雅黑" w:hAnsi="微软雅黑" w:eastAsia="微软雅黑" w:cs="微软雅黑"/>
          <w:snapToGrid/>
          <w:kern w:val="2"/>
          <w:sz w:val="20"/>
          <w:szCs w:val="20"/>
          <w:lang w:eastAsia="zh-CN"/>
        </w:rPr>
        <w:t>次修订。</w:t>
      </w:r>
    </w:p>
    <w:p w14:paraId="4DE68A6A">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sectPr>
          <w:footerReference r:id="rId7" w:type="default"/>
          <w:pgSz w:w="11906" w:h="16839"/>
          <w:pgMar w:top="885" w:right="1731" w:bottom="1360" w:left="1785" w:header="0" w:footer="1200" w:gutter="0"/>
          <w:cols w:space="720" w:num="1"/>
        </w:sectPr>
      </w:pPr>
    </w:p>
    <w:p w14:paraId="36144288">
      <w:pPr>
        <w:spacing w:before="25" w:line="192" w:lineRule="auto"/>
        <w:ind w:right="17"/>
        <w:jc w:val="right"/>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YS/T 3</w:t>
      </w:r>
      <w:r>
        <w:rPr>
          <w:rFonts w:hint="eastAsia" w:ascii="Times New Roman" w:hAnsi="Times New Roman" w:eastAsia="宋体" w:cs="Times New Roman"/>
          <w:spacing w:val="-1"/>
          <w:sz w:val="18"/>
          <w:szCs w:val="18"/>
          <w:lang w:val="en-US" w:eastAsia="zh-CN"/>
        </w:rPr>
        <w:t>21</w:t>
      </w:r>
      <w:r>
        <w:rPr>
          <w:rFonts w:ascii="Times New Roman" w:hAnsi="Times New Roman" w:eastAsia="Times New Roman" w:cs="Times New Roman"/>
          <w:spacing w:val="-1"/>
          <w:sz w:val="18"/>
          <w:szCs w:val="18"/>
        </w:rPr>
        <w:t xml:space="preserve"> —xxxx</w:t>
      </w:r>
    </w:p>
    <w:p w14:paraId="12F8C2F7">
      <w:pPr>
        <w:spacing w:line="414" w:lineRule="auto"/>
        <w:rPr>
          <w:rFonts w:ascii="Arial"/>
          <w:sz w:val="21"/>
        </w:rPr>
      </w:pPr>
    </w:p>
    <w:p w14:paraId="0AAC50C2">
      <w:pPr>
        <w:pStyle w:val="2"/>
        <w:spacing w:before="101" w:line="227" w:lineRule="auto"/>
        <w:ind w:left="3616"/>
        <w:rPr>
          <w:sz w:val="31"/>
          <w:szCs w:val="31"/>
        </w:rPr>
      </w:pPr>
      <w:r>
        <w:rPr>
          <w:rFonts w:hint="eastAsia"/>
          <w:spacing w:val="16"/>
          <w:sz w:val="31"/>
          <w:szCs w:val="31"/>
          <w:lang w:val="en-US" w:eastAsia="zh-CN"/>
        </w:rPr>
        <w:t>铋</w:t>
      </w:r>
      <w:r>
        <w:rPr>
          <w:spacing w:val="16"/>
          <w:sz w:val="31"/>
          <w:szCs w:val="31"/>
        </w:rPr>
        <w:t xml:space="preserve"> </w:t>
      </w:r>
      <w:r>
        <w:rPr>
          <w:spacing w:val="-1"/>
          <w:sz w:val="31"/>
          <w:szCs w:val="31"/>
        </w:rPr>
        <w:t>精</w:t>
      </w:r>
      <w:r>
        <w:rPr>
          <w:spacing w:val="16"/>
          <w:sz w:val="31"/>
          <w:szCs w:val="31"/>
        </w:rPr>
        <w:t xml:space="preserve"> </w:t>
      </w:r>
      <w:r>
        <w:rPr>
          <w:spacing w:val="-1"/>
          <w:sz w:val="31"/>
          <w:szCs w:val="31"/>
        </w:rPr>
        <w:t>矿</w:t>
      </w:r>
    </w:p>
    <w:p w14:paraId="6D0BAB7A">
      <w:pPr>
        <w:spacing w:line="270" w:lineRule="auto"/>
        <w:rPr>
          <w:rFonts w:ascii="Arial"/>
          <w:sz w:val="21"/>
        </w:rPr>
      </w:pPr>
    </w:p>
    <w:p w14:paraId="3AA6C09A">
      <w:pPr>
        <w:spacing w:line="270" w:lineRule="auto"/>
        <w:rPr>
          <w:rFonts w:ascii="Arial"/>
          <w:sz w:val="21"/>
        </w:rPr>
      </w:pPr>
    </w:p>
    <w:p w14:paraId="34DB54DE">
      <w:pPr>
        <w:pStyle w:val="2"/>
        <w:spacing w:before="86" w:line="177" w:lineRule="auto"/>
        <w:ind w:left="18"/>
        <w:rPr>
          <w:rFonts w:hint="eastAsia" w:ascii="微软雅黑" w:hAnsi="微软雅黑" w:eastAsia="微软雅黑" w:cs="微软雅黑"/>
          <w:b/>
          <w:bCs/>
          <w:spacing w:val="4"/>
          <w:position w:val="-1"/>
          <w:sz w:val="20"/>
          <w:szCs w:val="20"/>
          <w:lang w:eastAsia="zh-CN"/>
        </w:rPr>
      </w:pPr>
      <w:r>
        <w:rPr>
          <w:rFonts w:hint="eastAsia" w:ascii="微软雅黑" w:hAnsi="微软雅黑" w:eastAsia="微软雅黑" w:cs="微软雅黑"/>
          <w:b/>
          <w:bCs/>
          <w:spacing w:val="4"/>
          <w:position w:val="-1"/>
          <w:sz w:val="20"/>
          <w:szCs w:val="20"/>
          <w:lang w:eastAsia="zh-CN"/>
        </w:rPr>
        <w:t>1 范围</w:t>
      </w:r>
    </w:p>
    <w:p w14:paraId="5C6551E8">
      <w:pPr>
        <w:pStyle w:val="2"/>
        <w:widowControl w:val="0"/>
        <w:kinsoku/>
        <w:autoSpaceDE/>
        <w:autoSpaceDN/>
        <w:adjustRightInd/>
        <w:snapToGrid/>
        <w:spacing w:after="120" w:line="240" w:lineRule="auto"/>
        <w:ind w:firstLine="420" w:firstLineChars="200"/>
        <w:jc w:val="both"/>
        <w:textAlignment w:val="auto"/>
        <w:rPr>
          <w:rFonts w:ascii="Times New Roman" w:hAnsi="Times New Roman" w:eastAsia="宋体" w:cs="Times New Roman"/>
          <w:snapToGrid/>
          <w:kern w:val="2"/>
          <w:sz w:val="21"/>
          <w:szCs w:val="24"/>
          <w:lang w:eastAsia="zh-CN"/>
        </w:rPr>
      </w:pPr>
    </w:p>
    <w:p w14:paraId="6133753E">
      <w:pPr>
        <w:pStyle w:val="2"/>
        <w:widowControl w:val="0"/>
        <w:kinsoku/>
        <w:autoSpaceDE/>
        <w:autoSpaceDN/>
        <w:adjustRightInd/>
        <w:snapToGrid/>
        <w:spacing w:after="120" w:line="240" w:lineRule="auto"/>
        <w:ind w:firstLine="400" w:firstLineChars="200"/>
        <w:jc w:val="both"/>
        <w:textAlignment w:val="auto"/>
        <w:rPr>
          <w:rFonts w:hint="eastAsia" w:ascii="微软雅黑" w:hAnsi="微软雅黑" w:eastAsia="微软雅黑" w:cs="微软雅黑"/>
          <w:snapToGrid/>
          <w:kern w:val="2"/>
          <w:sz w:val="20"/>
          <w:szCs w:val="20"/>
          <w:lang w:eastAsia="zh-CN"/>
        </w:rPr>
      </w:pPr>
      <w:r>
        <w:rPr>
          <w:rFonts w:hint="eastAsia" w:ascii="微软雅黑" w:hAnsi="微软雅黑" w:eastAsia="微软雅黑" w:cs="微软雅黑"/>
          <w:snapToGrid/>
          <w:kern w:val="2"/>
          <w:sz w:val="20"/>
          <w:szCs w:val="20"/>
          <w:lang w:eastAsia="zh-CN"/>
        </w:rPr>
        <w:t>本文件规定了</w:t>
      </w:r>
      <w:r>
        <w:rPr>
          <w:rFonts w:hint="eastAsia" w:ascii="微软雅黑" w:hAnsi="微软雅黑" w:eastAsia="微软雅黑" w:cs="微软雅黑"/>
          <w:snapToGrid/>
          <w:kern w:val="2"/>
          <w:sz w:val="20"/>
          <w:szCs w:val="20"/>
          <w:lang w:val="en-US" w:eastAsia="zh-CN"/>
        </w:rPr>
        <w:t>铋</w:t>
      </w:r>
      <w:r>
        <w:rPr>
          <w:rFonts w:hint="eastAsia" w:ascii="微软雅黑" w:hAnsi="微软雅黑" w:eastAsia="微软雅黑" w:cs="微软雅黑"/>
          <w:snapToGrid/>
          <w:kern w:val="2"/>
          <w:sz w:val="20"/>
          <w:szCs w:val="20"/>
          <w:lang w:eastAsia="zh-CN"/>
        </w:rPr>
        <w:t>精矿的产品分类、技术要求、试验方法、检验规程、包装、运输及质量</w:t>
      </w:r>
      <w:r>
        <w:rPr>
          <w:rFonts w:hint="eastAsia" w:ascii="微软雅黑" w:hAnsi="微软雅黑" w:eastAsia="微软雅黑" w:cs="微软雅黑"/>
          <w:snapToGrid/>
          <w:kern w:val="2"/>
          <w:sz w:val="20"/>
          <w:szCs w:val="20"/>
          <w:lang w:val="en-US" w:eastAsia="zh-CN"/>
        </w:rPr>
        <w:t>证明书</w:t>
      </w:r>
      <w:r>
        <w:rPr>
          <w:rFonts w:hint="eastAsia" w:ascii="微软雅黑" w:hAnsi="微软雅黑" w:eastAsia="微软雅黑" w:cs="微软雅黑"/>
          <w:snapToGrid/>
          <w:kern w:val="2"/>
          <w:sz w:val="20"/>
          <w:szCs w:val="20"/>
          <w:lang w:eastAsia="zh-CN"/>
        </w:rPr>
        <w:t>和订货单内容。</w:t>
      </w:r>
    </w:p>
    <w:p w14:paraId="3BD9C900">
      <w:pPr>
        <w:pStyle w:val="2"/>
        <w:widowControl w:val="0"/>
        <w:kinsoku/>
        <w:autoSpaceDE/>
        <w:autoSpaceDN/>
        <w:adjustRightInd/>
        <w:snapToGrid/>
        <w:spacing w:after="120" w:line="240" w:lineRule="auto"/>
        <w:ind w:firstLine="400" w:firstLineChars="200"/>
        <w:jc w:val="both"/>
        <w:textAlignment w:val="auto"/>
        <w:rPr>
          <w:rFonts w:hint="eastAsia" w:ascii="微软雅黑" w:hAnsi="微软雅黑" w:eastAsia="微软雅黑" w:cs="微软雅黑"/>
          <w:spacing w:val="7"/>
          <w:sz w:val="20"/>
          <w:szCs w:val="20"/>
          <w:lang w:val="en-US"/>
        </w:rPr>
      </w:pPr>
      <w:r>
        <w:rPr>
          <w:rFonts w:hint="eastAsia" w:ascii="微软雅黑" w:hAnsi="微软雅黑" w:eastAsia="微软雅黑" w:cs="微软雅黑"/>
          <w:snapToGrid/>
          <w:kern w:val="2"/>
          <w:sz w:val="20"/>
          <w:szCs w:val="20"/>
          <w:lang w:eastAsia="zh-CN"/>
        </w:rPr>
        <w:t>本文件适用于</w:t>
      </w:r>
      <w:r>
        <w:rPr>
          <w:rFonts w:hint="eastAsia" w:ascii="微软雅黑" w:hAnsi="微软雅黑" w:eastAsia="微软雅黑" w:cs="微软雅黑"/>
          <w:snapToGrid/>
          <w:kern w:val="2"/>
          <w:sz w:val="20"/>
          <w:szCs w:val="20"/>
          <w:lang w:val="en-US" w:eastAsia="zh-CN"/>
        </w:rPr>
        <w:t>各种铋矿及钨、锡、铜、钼等与铋共生矿经选矿富集的铋精矿。供提取金属铋，制造合金和铋化合物用，经化学富集的氧化铋（氯氧铋）精矿等含铋物料可参照执行</w:t>
      </w:r>
      <w:r>
        <w:rPr>
          <w:rFonts w:hint="eastAsia" w:ascii="微软雅黑" w:hAnsi="微软雅黑" w:eastAsia="微软雅黑" w:cs="微软雅黑"/>
          <w:spacing w:val="7"/>
          <w:sz w:val="20"/>
          <w:szCs w:val="20"/>
          <w:lang w:val="en-US" w:eastAsia="zh-CN"/>
        </w:rPr>
        <w:t>。</w:t>
      </w:r>
    </w:p>
    <w:p w14:paraId="19072399">
      <w:pPr>
        <w:widowControl w:val="0"/>
        <w:kinsoku/>
        <w:autoSpaceDE/>
        <w:autoSpaceDN/>
        <w:adjustRightInd/>
        <w:snapToGrid/>
        <w:spacing w:before="312" w:beforeLines="100" w:after="312" w:afterLines="100" w:line="240" w:lineRule="auto"/>
        <w:jc w:val="left"/>
        <w:textAlignment w:val="auto"/>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kern w:val="2"/>
          <w:sz w:val="20"/>
          <w:szCs w:val="20"/>
          <w:lang w:eastAsia="zh-CN"/>
        </w:rPr>
        <w:t>2 规</w:t>
      </w:r>
      <w:r>
        <w:rPr>
          <w:rFonts w:hint="eastAsia" w:ascii="微软雅黑" w:hAnsi="微软雅黑" w:eastAsia="微软雅黑" w:cs="微软雅黑"/>
          <w:b/>
          <w:bCs/>
          <w:snapToGrid/>
          <w:color w:val="000000"/>
          <w:kern w:val="2"/>
          <w:sz w:val="20"/>
          <w:szCs w:val="20"/>
          <w:lang w:val="en-US" w:eastAsia="zh-CN" w:bidi="ar-SA"/>
        </w:rPr>
        <w:t>范性引用文件</w:t>
      </w:r>
    </w:p>
    <w:p w14:paraId="0ADCF2F8">
      <w:pPr>
        <w:spacing w:before="217" w:line="268" w:lineRule="auto"/>
        <w:ind w:left="22" w:right="15" w:firstLine="426"/>
        <w:jc w:val="both"/>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下列文件中的内容通过文中的规范性引用而构成本文件必不可少的条款。其中，注日期 的引用文件，仅该日期对应的版本适用于本文件；不注日期的引用文件，其最新版本（包括 所有的修改单）适用于本文件。</w:t>
      </w:r>
    </w:p>
    <w:p w14:paraId="0CB92F96">
      <w:pPr>
        <w:spacing w:before="66" w:line="227" w:lineRule="auto"/>
        <w:ind w:left="439"/>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YS/T 240(所有部分)  铋精矿化学分析方法</w:t>
      </w:r>
    </w:p>
    <w:p w14:paraId="2CE943E1">
      <w:pPr>
        <w:pStyle w:val="2"/>
        <w:spacing w:before="60" w:line="187" w:lineRule="auto"/>
        <w:ind w:left="441"/>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GB/T8170    数值修约规则与极限数值的表示和判定</w:t>
      </w:r>
    </w:p>
    <w:p w14:paraId="2BE75013">
      <w:pPr>
        <w:pStyle w:val="2"/>
        <w:spacing w:before="56" w:line="181" w:lineRule="auto"/>
        <w:ind w:left="441"/>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GB/T14260    散装重有色金属浮选精矿取样、制样通则</w:t>
      </w:r>
    </w:p>
    <w:p w14:paraId="5EABE075">
      <w:pPr>
        <w:pStyle w:val="2"/>
        <w:spacing w:before="53" w:line="188" w:lineRule="auto"/>
        <w:ind w:left="441"/>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GB/T20424    重金属精矿产品中有害元素的限量规范</w:t>
      </w:r>
    </w:p>
    <w:p w14:paraId="4DE60821">
      <w:pPr>
        <w:pStyle w:val="2"/>
        <w:spacing w:before="55" w:line="187" w:lineRule="auto"/>
        <w:ind w:left="441"/>
        <w:rPr>
          <w:rFonts w:ascii="微软雅黑" w:hAnsi="微软雅黑" w:eastAsia="微软雅黑" w:cs="微软雅黑"/>
          <w:spacing w:val="7"/>
          <w:sz w:val="20"/>
          <w:szCs w:val="20"/>
        </w:rPr>
      </w:pPr>
      <w:r>
        <w:rPr>
          <w:rFonts w:hint="eastAsia" w:ascii="微软雅黑" w:hAnsi="微软雅黑" w:eastAsia="微软雅黑" w:cs="微软雅黑"/>
          <w:snapToGrid/>
          <w:color w:val="000000"/>
          <w:kern w:val="2"/>
          <w:sz w:val="20"/>
          <w:szCs w:val="20"/>
          <w:lang w:val="en-US" w:eastAsia="zh-CN" w:bidi="ar-SA"/>
        </w:rPr>
        <w:t xml:space="preserve">GB20664   </w:t>
      </w:r>
      <w:r>
        <w:rPr>
          <w:spacing w:val="2"/>
          <w:position w:val="-1"/>
          <w:sz w:val="20"/>
          <w:szCs w:val="20"/>
        </w:rPr>
        <w:t xml:space="preserve"> </w:t>
      </w:r>
      <w:r>
        <w:rPr>
          <w:rFonts w:ascii="微软雅黑" w:hAnsi="微软雅黑" w:eastAsia="微软雅黑" w:cs="微软雅黑"/>
          <w:spacing w:val="7"/>
          <w:sz w:val="20"/>
          <w:szCs w:val="20"/>
        </w:rPr>
        <w:t>有色金属矿产品的天然放射性限值</w:t>
      </w:r>
    </w:p>
    <w:p w14:paraId="3C9F2878">
      <w:pPr>
        <w:widowControl w:val="0"/>
        <w:kinsoku/>
        <w:autoSpaceDE/>
        <w:autoSpaceDN/>
        <w:adjustRightInd/>
        <w:snapToGrid/>
        <w:spacing w:before="312" w:beforeLines="100" w:after="312" w:afterLines="100" w:line="240" w:lineRule="auto"/>
        <w:jc w:val="left"/>
        <w:textAlignment w:val="auto"/>
        <w:rPr>
          <w:rFonts w:hint="eastAsia" w:ascii="微软雅黑" w:hAnsi="微软雅黑" w:eastAsia="微软雅黑" w:cs="微软雅黑"/>
          <w:b/>
          <w:bCs/>
          <w:snapToGrid/>
          <w:kern w:val="2"/>
          <w:sz w:val="20"/>
          <w:szCs w:val="20"/>
          <w:lang w:eastAsia="zh-CN"/>
        </w:rPr>
      </w:pPr>
      <w:r>
        <w:rPr>
          <w:rFonts w:hint="eastAsia" w:ascii="微软雅黑" w:hAnsi="微软雅黑" w:eastAsia="微软雅黑" w:cs="微软雅黑"/>
          <w:b/>
          <w:bCs/>
          <w:snapToGrid/>
          <w:kern w:val="2"/>
          <w:sz w:val="20"/>
          <w:szCs w:val="20"/>
          <w:lang w:eastAsia="zh-CN"/>
        </w:rPr>
        <w:t>3 术语和定义</w:t>
      </w:r>
    </w:p>
    <w:p w14:paraId="33C5129D">
      <w:pPr>
        <w:spacing w:before="217" w:line="268" w:lineRule="auto"/>
        <w:ind w:left="22" w:right="15" w:firstLine="426"/>
        <w:jc w:val="both"/>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本文件没有需要界定的术语和定义。</w:t>
      </w:r>
    </w:p>
    <w:p w14:paraId="1BC608F9">
      <w:pPr>
        <w:widowControl w:val="0"/>
        <w:kinsoku/>
        <w:autoSpaceDE/>
        <w:autoSpaceDN/>
        <w:adjustRightInd/>
        <w:snapToGrid/>
        <w:spacing w:before="312" w:beforeLines="100" w:after="312" w:afterLines="100" w:line="240" w:lineRule="auto"/>
        <w:jc w:val="left"/>
        <w:textAlignment w:val="auto"/>
        <w:rPr>
          <w:rFonts w:hint="eastAsia" w:ascii="微软雅黑" w:hAnsi="微软雅黑" w:eastAsia="微软雅黑" w:cs="微软雅黑"/>
          <w:b/>
          <w:bCs/>
          <w:snapToGrid/>
          <w:kern w:val="2"/>
          <w:sz w:val="20"/>
          <w:szCs w:val="20"/>
          <w:lang w:val="en-US" w:eastAsia="zh-CN"/>
        </w:rPr>
      </w:pPr>
      <w:r>
        <w:rPr>
          <w:rFonts w:hint="eastAsia" w:ascii="微软雅黑" w:hAnsi="微软雅黑" w:eastAsia="微软雅黑" w:cs="微软雅黑"/>
          <w:b/>
          <w:bCs/>
          <w:snapToGrid/>
          <w:kern w:val="2"/>
          <w:sz w:val="20"/>
          <w:szCs w:val="20"/>
          <w:lang w:eastAsia="zh-CN"/>
        </w:rPr>
        <w:t>4 产品分类</w:t>
      </w:r>
    </w:p>
    <w:p w14:paraId="18054B53">
      <w:pPr>
        <w:pStyle w:val="2"/>
        <w:spacing w:before="259" w:line="231" w:lineRule="auto"/>
        <w:ind w:left="22" w:firstLine="400" w:firstLineChars="200"/>
        <w:rPr>
          <w:spacing w:val="6"/>
          <w:sz w:val="20"/>
          <w:szCs w:val="20"/>
        </w:rPr>
      </w:pPr>
      <w:r>
        <w:rPr>
          <w:rFonts w:hint="eastAsia" w:ascii="微软雅黑" w:hAnsi="微软雅黑" w:eastAsia="微软雅黑" w:cs="微软雅黑"/>
          <w:snapToGrid/>
          <w:color w:val="000000"/>
          <w:kern w:val="2"/>
          <w:sz w:val="20"/>
          <w:szCs w:val="20"/>
          <w:lang w:val="en-US" w:eastAsia="zh-CN" w:bidi="ar-SA"/>
        </w:rPr>
        <w:t>铋精矿按化学成分分为一级品、二级品、三级品、四级品、五级品、六级品。</w:t>
      </w:r>
    </w:p>
    <w:p w14:paraId="619DCFD9">
      <w:pPr>
        <w:widowControl w:val="0"/>
        <w:kinsoku/>
        <w:autoSpaceDE/>
        <w:autoSpaceDN/>
        <w:adjustRightInd/>
        <w:snapToGrid/>
        <w:spacing w:before="312" w:beforeLines="100" w:after="312" w:afterLines="100" w:line="240" w:lineRule="auto"/>
        <w:jc w:val="left"/>
        <w:textAlignment w:val="auto"/>
        <w:rPr>
          <w:rFonts w:hint="eastAsia" w:ascii="微软雅黑" w:hAnsi="微软雅黑" w:eastAsia="微软雅黑" w:cs="微软雅黑"/>
          <w:b/>
          <w:bCs/>
          <w:snapToGrid/>
          <w:kern w:val="2"/>
          <w:sz w:val="20"/>
          <w:szCs w:val="20"/>
          <w:lang w:val="en-US" w:eastAsia="zh-CN"/>
        </w:rPr>
      </w:pPr>
      <w:r>
        <w:rPr>
          <w:rFonts w:hint="eastAsia" w:ascii="微软雅黑" w:hAnsi="微软雅黑" w:eastAsia="微软雅黑" w:cs="微软雅黑"/>
          <w:b/>
          <w:bCs/>
          <w:snapToGrid/>
          <w:kern w:val="2"/>
          <w:sz w:val="20"/>
          <w:szCs w:val="20"/>
          <w:lang w:val="en-US" w:eastAsia="zh-CN"/>
        </w:rPr>
        <w:t>5 技术要求</w:t>
      </w:r>
    </w:p>
    <w:p w14:paraId="21CADE6F">
      <w:pPr>
        <w:pStyle w:val="2"/>
        <w:spacing w:before="231" w:line="177" w:lineRule="auto"/>
        <w:ind w:left="18"/>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5.1 化学成分</w:t>
      </w:r>
    </w:p>
    <w:p w14:paraId="68AA0422">
      <w:pPr>
        <w:pStyle w:val="2"/>
        <w:spacing w:before="231" w:line="177" w:lineRule="auto"/>
        <w:ind w:left="18"/>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5.1.1 铋精矿化学成分应符合表 1 的规定。</w:t>
      </w:r>
    </w:p>
    <w:p w14:paraId="5980DF17">
      <w:pPr>
        <w:pStyle w:val="2"/>
        <w:spacing w:before="145" w:line="229" w:lineRule="auto"/>
        <w:ind w:left="3234"/>
        <w:rPr>
          <w:sz w:val="20"/>
          <w:szCs w:val="20"/>
        </w:rPr>
      </w:pPr>
      <w:r>
        <w:rPr>
          <w:spacing w:val="5"/>
          <w:sz w:val="20"/>
          <w:szCs w:val="20"/>
        </w:rPr>
        <w:t>表</w:t>
      </w:r>
      <w:r>
        <w:rPr>
          <w:spacing w:val="-29"/>
          <w:sz w:val="20"/>
          <w:szCs w:val="20"/>
        </w:rPr>
        <w:t xml:space="preserve"> </w:t>
      </w:r>
      <w:r>
        <w:rPr>
          <w:spacing w:val="5"/>
          <w:sz w:val="20"/>
          <w:szCs w:val="20"/>
        </w:rPr>
        <w:t>1</w:t>
      </w:r>
      <w:r>
        <w:rPr>
          <w:spacing w:val="-40"/>
          <w:sz w:val="20"/>
          <w:szCs w:val="20"/>
        </w:rPr>
        <w:t xml:space="preserve"> </w:t>
      </w:r>
      <w:r>
        <w:rPr>
          <w:rFonts w:hint="eastAsia"/>
          <w:spacing w:val="-40"/>
          <w:sz w:val="20"/>
          <w:szCs w:val="20"/>
          <w:lang w:val="en-US" w:eastAsia="zh-CN"/>
        </w:rPr>
        <w:t>铋</w:t>
      </w:r>
      <w:r>
        <w:rPr>
          <w:spacing w:val="5"/>
          <w:sz w:val="20"/>
          <w:szCs w:val="20"/>
        </w:rPr>
        <w:t>精矿化学成分</w:t>
      </w:r>
    </w:p>
    <w:p w14:paraId="53CCFC3E">
      <w:pPr>
        <w:spacing w:line="186" w:lineRule="exact"/>
      </w:pPr>
    </w:p>
    <w:tbl>
      <w:tblPr>
        <w:tblStyle w:val="5"/>
        <w:tblW w:w="93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547"/>
        <w:gridCol w:w="1260"/>
        <w:gridCol w:w="1215"/>
        <w:gridCol w:w="1350"/>
        <w:gridCol w:w="1515"/>
        <w:gridCol w:w="1425"/>
      </w:tblGrid>
      <w:tr w14:paraId="06E9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8" w:space="0"/>
              <w:left w:val="single" w:color="000000" w:sz="8" w:space="0"/>
              <w:bottom w:val="nil"/>
              <w:right w:val="single" w:color="000000" w:sz="8" w:space="0"/>
            </w:tcBorders>
            <w:shd w:val="clear" w:color="auto" w:fill="auto"/>
            <w:vAlign w:val="center"/>
          </w:tcPr>
          <w:p w14:paraId="12CF1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品级</w:t>
            </w:r>
          </w:p>
        </w:tc>
        <w:tc>
          <w:tcPr>
            <w:tcW w:w="8312" w:type="dxa"/>
            <w:gridSpan w:val="6"/>
            <w:tcBorders>
              <w:top w:val="single" w:color="000000" w:sz="8" w:space="0"/>
              <w:left w:val="single" w:color="000000" w:sz="8" w:space="0"/>
              <w:bottom w:val="nil"/>
              <w:right w:val="single" w:color="000000" w:sz="8" w:space="0"/>
            </w:tcBorders>
            <w:shd w:val="clear" w:color="auto" w:fill="auto"/>
            <w:vAlign w:val="center"/>
          </w:tcPr>
          <w:p w14:paraId="6E8FC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化学成分（质量分数）</w:t>
            </w:r>
          </w:p>
        </w:tc>
      </w:tr>
      <w:tr w14:paraId="5206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nil"/>
              <w:right w:val="single" w:color="000000" w:sz="8" w:space="0"/>
            </w:tcBorders>
            <w:shd w:val="clear" w:color="auto" w:fill="auto"/>
            <w:vAlign w:val="center"/>
          </w:tcPr>
          <w:p w14:paraId="4D82ECC4">
            <w:pPr>
              <w:jc w:val="center"/>
              <w:rPr>
                <w:rFonts w:hint="eastAsia" w:ascii="宋体" w:hAnsi="宋体" w:eastAsia="宋体" w:cs="宋体"/>
                <w:i w:val="0"/>
                <w:iCs w:val="0"/>
                <w:color w:val="000000"/>
                <w:sz w:val="18"/>
                <w:szCs w:val="18"/>
                <w:u w:val="none"/>
              </w:rPr>
            </w:pPr>
          </w:p>
        </w:tc>
        <w:tc>
          <w:tcPr>
            <w:tcW w:w="8312" w:type="dxa"/>
            <w:gridSpan w:val="6"/>
            <w:tcBorders>
              <w:top w:val="nil"/>
              <w:left w:val="single" w:color="000000" w:sz="8" w:space="0"/>
              <w:bottom w:val="single" w:color="000000" w:sz="8" w:space="0"/>
              <w:right w:val="single" w:color="000000" w:sz="8" w:space="0"/>
            </w:tcBorders>
            <w:shd w:val="clear" w:color="auto" w:fill="auto"/>
            <w:vAlign w:val="center"/>
          </w:tcPr>
          <w:p w14:paraId="1A39BF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w:t>
            </w:r>
          </w:p>
        </w:tc>
      </w:tr>
      <w:tr w14:paraId="3D5A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nil"/>
              <w:right w:val="single" w:color="000000" w:sz="8" w:space="0"/>
            </w:tcBorders>
            <w:shd w:val="clear" w:color="auto" w:fill="auto"/>
            <w:vAlign w:val="center"/>
          </w:tcPr>
          <w:p w14:paraId="1C909544">
            <w:pPr>
              <w:jc w:val="center"/>
              <w:rPr>
                <w:rFonts w:hint="eastAsia" w:ascii="宋体" w:hAnsi="宋体" w:eastAsia="宋体" w:cs="宋体"/>
                <w:i w:val="0"/>
                <w:iCs w:val="0"/>
                <w:color w:val="000000"/>
                <w:sz w:val="18"/>
                <w:szCs w:val="18"/>
                <w:u w:val="none"/>
              </w:rPr>
            </w:pPr>
          </w:p>
        </w:tc>
        <w:tc>
          <w:tcPr>
            <w:tcW w:w="1547" w:type="dxa"/>
            <w:vMerge w:val="restart"/>
            <w:tcBorders>
              <w:top w:val="nil"/>
              <w:left w:val="single" w:color="000000" w:sz="8" w:space="0"/>
              <w:bottom w:val="nil"/>
              <w:right w:val="single" w:color="000000" w:sz="8" w:space="0"/>
            </w:tcBorders>
            <w:shd w:val="clear" w:color="auto" w:fill="auto"/>
            <w:vAlign w:val="center"/>
          </w:tcPr>
          <w:p w14:paraId="3FF15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Bi，不小于</w:t>
            </w:r>
          </w:p>
        </w:tc>
        <w:tc>
          <w:tcPr>
            <w:tcW w:w="6765" w:type="dxa"/>
            <w:gridSpan w:val="5"/>
            <w:tcBorders>
              <w:top w:val="single" w:color="000000" w:sz="8" w:space="0"/>
              <w:left w:val="single" w:color="000000" w:sz="8" w:space="0"/>
              <w:bottom w:val="single" w:color="000000" w:sz="8" w:space="0"/>
              <w:right w:val="single" w:color="000000" w:sz="4" w:space="0"/>
            </w:tcBorders>
            <w:shd w:val="clear" w:color="auto" w:fill="auto"/>
            <w:vAlign w:val="center"/>
          </w:tcPr>
          <w:p w14:paraId="5725B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杂质含量，不大于</w:t>
            </w:r>
          </w:p>
        </w:tc>
      </w:tr>
      <w:tr w14:paraId="3FF3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8" w:space="0"/>
              <w:left w:val="single" w:color="000000" w:sz="8" w:space="0"/>
              <w:bottom w:val="nil"/>
              <w:right w:val="single" w:color="000000" w:sz="8" w:space="0"/>
            </w:tcBorders>
            <w:shd w:val="clear" w:color="auto" w:fill="auto"/>
            <w:vAlign w:val="center"/>
          </w:tcPr>
          <w:p w14:paraId="151A627E">
            <w:pPr>
              <w:jc w:val="center"/>
              <w:rPr>
                <w:rFonts w:hint="eastAsia" w:ascii="宋体" w:hAnsi="宋体" w:eastAsia="宋体" w:cs="宋体"/>
                <w:i w:val="0"/>
                <w:iCs w:val="0"/>
                <w:color w:val="000000"/>
                <w:sz w:val="18"/>
                <w:szCs w:val="18"/>
                <w:u w:val="none"/>
              </w:rPr>
            </w:pPr>
          </w:p>
        </w:tc>
        <w:tc>
          <w:tcPr>
            <w:tcW w:w="1547" w:type="dxa"/>
            <w:vMerge w:val="continue"/>
            <w:tcBorders>
              <w:top w:val="nil"/>
              <w:left w:val="single" w:color="000000" w:sz="8" w:space="0"/>
              <w:bottom w:val="nil"/>
              <w:right w:val="single" w:color="000000" w:sz="8" w:space="0"/>
            </w:tcBorders>
            <w:shd w:val="clear" w:color="auto" w:fill="auto"/>
            <w:vAlign w:val="center"/>
          </w:tcPr>
          <w:p w14:paraId="337C77C8">
            <w:pPr>
              <w:jc w:val="center"/>
              <w:rPr>
                <w:rFonts w:hint="eastAsia" w:ascii="宋体" w:hAnsi="宋体" w:eastAsia="宋体" w:cs="宋体"/>
                <w:i w:val="0"/>
                <w:iCs w:val="0"/>
                <w:color w:val="000000"/>
                <w:sz w:val="18"/>
                <w:szCs w:val="18"/>
                <w:u w:val="none"/>
              </w:rPr>
            </w:pPr>
          </w:p>
        </w:tc>
        <w:tc>
          <w:tcPr>
            <w:tcW w:w="1260" w:type="dxa"/>
            <w:tcBorders>
              <w:top w:val="nil"/>
              <w:left w:val="single" w:color="000000" w:sz="8" w:space="0"/>
              <w:bottom w:val="single" w:color="000000" w:sz="8" w:space="0"/>
              <w:right w:val="single" w:color="000000" w:sz="8" w:space="0"/>
            </w:tcBorders>
            <w:shd w:val="clear" w:color="auto" w:fill="auto"/>
            <w:vAlign w:val="center"/>
          </w:tcPr>
          <w:p w14:paraId="670814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As</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18BCD5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SiO</w:t>
            </w:r>
            <w:r>
              <w:rPr>
                <w:rStyle w:val="9"/>
                <w:rFonts w:eastAsia="宋体"/>
                <w:snapToGrid w:val="0"/>
                <w:color w:val="000000"/>
                <w:lang w:val="en-US" w:eastAsia="zh-CN" w:bidi="ar"/>
              </w:rPr>
              <w:t>2</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113813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WO</w:t>
            </w:r>
            <w:r>
              <w:rPr>
                <w:rStyle w:val="9"/>
                <w:rFonts w:eastAsia="宋体"/>
                <w:snapToGrid w:val="0"/>
                <w:color w:val="000000"/>
                <w:lang w:val="en-US" w:eastAsia="zh-CN" w:bidi="ar"/>
              </w:rPr>
              <w:t>3</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6C57032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cd</w:t>
            </w:r>
          </w:p>
        </w:tc>
        <w:tc>
          <w:tcPr>
            <w:tcW w:w="1425" w:type="dxa"/>
            <w:tcBorders>
              <w:top w:val="nil"/>
              <w:left w:val="single" w:color="000000" w:sz="8" w:space="0"/>
              <w:bottom w:val="single" w:color="000000" w:sz="8" w:space="0"/>
              <w:right w:val="single" w:color="000000" w:sz="8" w:space="0"/>
            </w:tcBorders>
            <w:shd w:val="clear" w:color="auto" w:fill="auto"/>
            <w:vAlign w:val="center"/>
          </w:tcPr>
          <w:p w14:paraId="3CE5D69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Hg</w:t>
            </w:r>
          </w:p>
        </w:tc>
      </w:tr>
      <w:tr w14:paraId="25F5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E8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一级品</w:t>
            </w: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2FD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1260" w:type="dxa"/>
            <w:tcBorders>
              <w:top w:val="nil"/>
              <w:left w:val="single" w:color="000000" w:sz="8" w:space="0"/>
              <w:bottom w:val="single" w:color="000000" w:sz="8" w:space="0"/>
              <w:right w:val="single" w:color="000000" w:sz="8" w:space="0"/>
            </w:tcBorders>
            <w:shd w:val="clear" w:color="auto" w:fill="auto"/>
            <w:vAlign w:val="center"/>
          </w:tcPr>
          <w:p w14:paraId="37E11B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0.2</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1FEF71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0C4E72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E5DD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0. 20</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E6F9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0. 05</w:t>
            </w:r>
          </w:p>
        </w:tc>
      </w:tr>
      <w:tr w14:paraId="63F3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164A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二级品</w:t>
            </w:r>
          </w:p>
        </w:tc>
        <w:tc>
          <w:tcPr>
            <w:tcW w:w="1547" w:type="dxa"/>
            <w:tcBorders>
              <w:top w:val="nil"/>
              <w:left w:val="single" w:color="000000" w:sz="8" w:space="0"/>
              <w:bottom w:val="single" w:color="000000" w:sz="8" w:space="0"/>
              <w:right w:val="single" w:color="000000" w:sz="8" w:space="0"/>
            </w:tcBorders>
            <w:shd w:val="clear" w:color="auto" w:fill="auto"/>
            <w:vAlign w:val="center"/>
          </w:tcPr>
          <w:p w14:paraId="72CF9D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1260" w:type="dxa"/>
            <w:tcBorders>
              <w:top w:val="nil"/>
              <w:left w:val="single" w:color="000000" w:sz="8" w:space="0"/>
              <w:bottom w:val="single" w:color="000000" w:sz="8" w:space="0"/>
              <w:right w:val="single" w:color="000000" w:sz="8" w:space="0"/>
            </w:tcBorders>
            <w:shd w:val="clear" w:color="auto" w:fill="auto"/>
            <w:vAlign w:val="center"/>
          </w:tcPr>
          <w:p w14:paraId="19C04C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0.2</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65B9F7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790639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77C2F1B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0. 30</w:t>
            </w:r>
          </w:p>
        </w:tc>
        <w:tc>
          <w:tcPr>
            <w:tcW w:w="1425" w:type="dxa"/>
            <w:tcBorders>
              <w:top w:val="nil"/>
              <w:left w:val="single" w:color="000000" w:sz="8" w:space="0"/>
              <w:bottom w:val="single" w:color="000000" w:sz="8" w:space="0"/>
              <w:right w:val="single" w:color="000000" w:sz="8" w:space="0"/>
            </w:tcBorders>
            <w:shd w:val="clear" w:color="auto" w:fill="auto"/>
            <w:vAlign w:val="center"/>
          </w:tcPr>
          <w:p w14:paraId="5EFF048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0. 05</w:t>
            </w:r>
          </w:p>
        </w:tc>
      </w:tr>
      <w:tr w14:paraId="1B14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D7A9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三级品</w:t>
            </w:r>
          </w:p>
        </w:tc>
        <w:tc>
          <w:tcPr>
            <w:tcW w:w="1547" w:type="dxa"/>
            <w:tcBorders>
              <w:top w:val="nil"/>
              <w:left w:val="single" w:color="000000" w:sz="8" w:space="0"/>
              <w:bottom w:val="single" w:color="000000" w:sz="8" w:space="0"/>
              <w:right w:val="single" w:color="000000" w:sz="8" w:space="0"/>
            </w:tcBorders>
            <w:shd w:val="clear" w:color="auto" w:fill="auto"/>
            <w:vAlign w:val="center"/>
          </w:tcPr>
          <w:p w14:paraId="7C8C95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1260" w:type="dxa"/>
            <w:tcBorders>
              <w:top w:val="nil"/>
              <w:left w:val="single" w:color="000000" w:sz="8" w:space="0"/>
              <w:bottom w:val="single" w:color="000000" w:sz="8" w:space="0"/>
              <w:right w:val="single" w:color="000000" w:sz="8" w:space="0"/>
            </w:tcBorders>
            <w:shd w:val="clear" w:color="auto" w:fill="auto"/>
            <w:vAlign w:val="center"/>
          </w:tcPr>
          <w:p w14:paraId="696195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0.5</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51206B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022E6D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7CF3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0. 40</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F5C1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0. 05</w:t>
            </w:r>
          </w:p>
        </w:tc>
      </w:tr>
      <w:tr w14:paraId="5C6E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262B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四级品</w:t>
            </w:r>
          </w:p>
        </w:tc>
        <w:tc>
          <w:tcPr>
            <w:tcW w:w="1547" w:type="dxa"/>
            <w:tcBorders>
              <w:top w:val="nil"/>
              <w:left w:val="single" w:color="000000" w:sz="8" w:space="0"/>
              <w:bottom w:val="single" w:color="000000" w:sz="8" w:space="0"/>
              <w:right w:val="single" w:color="000000" w:sz="8" w:space="0"/>
            </w:tcBorders>
            <w:shd w:val="clear" w:color="auto" w:fill="auto"/>
            <w:vAlign w:val="center"/>
          </w:tcPr>
          <w:p w14:paraId="0384FA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260" w:type="dxa"/>
            <w:tcBorders>
              <w:top w:val="nil"/>
              <w:left w:val="single" w:color="000000" w:sz="8" w:space="0"/>
              <w:bottom w:val="single" w:color="000000" w:sz="8" w:space="0"/>
              <w:right w:val="single" w:color="000000" w:sz="8" w:space="0"/>
            </w:tcBorders>
            <w:shd w:val="clear" w:color="auto" w:fill="auto"/>
            <w:vAlign w:val="center"/>
          </w:tcPr>
          <w:p w14:paraId="06320F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0.5</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608C92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228996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5437F07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0. 40</w:t>
            </w:r>
          </w:p>
        </w:tc>
        <w:tc>
          <w:tcPr>
            <w:tcW w:w="1425" w:type="dxa"/>
            <w:tcBorders>
              <w:top w:val="nil"/>
              <w:left w:val="single" w:color="000000" w:sz="8" w:space="0"/>
              <w:bottom w:val="single" w:color="000000" w:sz="8" w:space="0"/>
              <w:right w:val="single" w:color="000000" w:sz="8" w:space="0"/>
            </w:tcBorders>
            <w:shd w:val="clear" w:color="auto" w:fill="auto"/>
            <w:vAlign w:val="center"/>
          </w:tcPr>
          <w:p w14:paraId="558DA11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0. 05</w:t>
            </w:r>
          </w:p>
        </w:tc>
      </w:tr>
      <w:tr w14:paraId="2B48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509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五级品</w:t>
            </w:r>
          </w:p>
        </w:tc>
        <w:tc>
          <w:tcPr>
            <w:tcW w:w="1547" w:type="dxa"/>
            <w:tcBorders>
              <w:top w:val="nil"/>
              <w:left w:val="single" w:color="000000" w:sz="8" w:space="0"/>
              <w:bottom w:val="single" w:color="000000" w:sz="8" w:space="0"/>
              <w:right w:val="single" w:color="000000" w:sz="8" w:space="0"/>
            </w:tcBorders>
            <w:shd w:val="clear" w:color="auto" w:fill="auto"/>
            <w:vAlign w:val="center"/>
          </w:tcPr>
          <w:p w14:paraId="638FC3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1260" w:type="dxa"/>
            <w:tcBorders>
              <w:top w:val="nil"/>
              <w:left w:val="single" w:color="000000" w:sz="8" w:space="0"/>
              <w:bottom w:val="single" w:color="000000" w:sz="8" w:space="0"/>
              <w:right w:val="single" w:color="000000" w:sz="8" w:space="0"/>
            </w:tcBorders>
            <w:shd w:val="clear" w:color="auto" w:fill="auto"/>
            <w:vAlign w:val="center"/>
          </w:tcPr>
          <w:p w14:paraId="6F5D24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30F6A4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56A312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3A13D6B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0. 40</w:t>
            </w:r>
          </w:p>
        </w:tc>
        <w:tc>
          <w:tcPr>
            <w:tcW w:w="1425" w:type="dxa"/>
            <w:tcBorders>
              <w:top w:val="nil"/>
              <w:left w:val="single" w:color="000000" w:sz="8" w:space="0"/>
              <w:bottom w:val="single" w:color="000000" w:sz="8" w:space="0"/>
              <w:right w:val="single" w:color="000000" w:sz="8" w:space="0"/>
            </w:tcBorders>
            <w:shd w:val="clear" w:color="auto" w:fill="auto"/>
            <w:vAlign w:val="center"/>
          </w:tcPr>
          <w:p w14:paraId="3BF9FE3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0. 05</w:t>
            </w:r>
          </w:p>
        </w:tc>
      </w:tr>
      <w:tr w14:paraId="462A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55B9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六级品</w:t>
            </w:r>
          </w:p>
        </w:tc>
        <w:tc>
          <w:tcPr>
            <w:tcW w:w="1547" w:type="dxa"/>
            <w:tcBorders>
              <w:top w:val="nil"/>
              <w:left w:val="single" w:color="000000" w:sz="8" w:space="0"/>
              <w:bottom w:val="single" w:color="000000" w:sz="8" w:space="0"/>
              <w:right w:val="single" w:color="000000" w:sz="8" w:space="0"/>
            </w:tcBorders>
            <w:shd w:val="clear" w:color="auto" w:fill="auto"/>
            <w:vAlign w:val="center"/>
          </w:tcPr>
          <w:p w14:paraId="58A13E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260" w:type="dxa"/>
            <w:tcBorders>
              <w:top w:val="nil"/>
              <w:left w:val="single" w:color="000000" w:sz="8" w:space="0"/>
              <w:bottom w:val="single" w:color="000000" w:sz="8" w:space="0"/>
              <w:right w:val="single" w:color="000000" w:sz="8" w:space="0"/>
            </w:tcBorders>
            <w:shd w:val="clear" w:color="auto" w:fill="auto"/>
            <w:vAlign w:val="center"/>
          </w:tcPr>
          <w:p w14:paraId="09CA6F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135BED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75B8B0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04E05A2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0. 40</w:t>
            </w:r>
          </w:p>
        </w:tc>
        <w:tc>
          <w:tcPr>
            <w:tcW w:w="1425" w:type="dxa"/>
            <w:tcBorders>
              <w:top w:val="nil"/>
              <w:left w:val="single" w:color="000000" w:sz="8" w:space="0"/>
              <w:bottom w:val="single" w:color="000000" w:sz="8" w:space="0"/>
              <w:right w:val="single" w:color="000000" w:sz="8" w:space="0"/>
            </w:tcBorders>
            <w:shd w:val="clear" w:color="auto" w:fill="auto"/>
            <w:vAlign w:val="center"/>
          </w:tcPr>
          <w:p w14:paraId="054B678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0. 05</w:t>
            </w:r>
          </w:p>
        </w:tc>
      </w:tr>
    </w:tbl>
    <w:p w14:paraId="6733B7DD">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5.1.2 铋精矿中的金、银为有价元素，应报出分析结果。</w:t>
      </w:r>
    </w:p>
    <w:p w14:paraId="176A6C87">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5.1.3 铋精矿中需方如对表中未列杂质含量有特殊要求， 由供需双方协商确定。</w:t>
      </w:r>
    </w:p>
    <w:p w14:paraId="278AC5EB">
      <w:pPr>
        <w:widowControl w:val="0"/>
        <w:kinsoku/>
        <w:autoSpaceDE/>
        <w:autoSpaceDN/>
        <w:adjustRightInd/>
        <w:snapToGrid/>
        <w:spacing w:before="312" w:beforeLines="100" w:after="312" w:afterLines="100" w:line="240" w:lineRule="auto"/>
        <w:jc w:val="left"/>
        <w:textAlignment w:val="auto"/>
        <w:rPr>
          <w:rFonts w:hint="eastAsia" w:ascii="微软雅黑" w:hAnsi="微软雅黑" w:eastAsia="微软雅黑" w:cs="微软雅黑"/>
          <w:b/>
          <w:bCs/>
          <w:snapToGrid/>
          <w:kern w:val="2"/>
          <w:sz w:val="20"/>
          <w:szCs w:val="20"/>
          <w:lang w:val="en-US" w:eastAsia="zh-CN"/>
        </w:rPr>
      </w:pPr>
      <w:r>
        <w:rPr>
          <w:rFonts w:hint="eastAsia" w:ascii="微软雅黑" w:hAnsi="微软雅黑" w:eastAsia="微软雅黑" w:cs="微软雅黑"/>
          <w:snapToGrid/>
          <w:color w:val="000000"/>
          <w:kern w:val="2"/>
          <w:sz w:val="20"/>
          <w:szCs w:val="20"/>
          <w:lang w:val="en-US" w:eastAsia="zh-CN" w:bidi="ar-SA"/>
        </w:rPr>
        <w:t>5. 2</w:t>
      </w:r>
      <w:r>
        <w:rPr>
          <w:rFonts w:hint="eastAsia" w:ascii="微软雅黑" w:hAnsi="微软雅黑" w:eastAsia="微软雅黑" w:cs="微软雅黑"/>
          <w:b/>
          <w:bCs/>
          <w:snapToGrid/>
          <w:kern w:val="2"/>
          <w:sz w:val="20"/>
          <w:szCs w:val="20"/>
          <w:lang w:val="en-US" w:eastAsia="zh-CN"/>
        </w:rPr>
        <w:t xml:space="preserve">    天然放射性限值</w:t>
      </w:r>
    </w:p>
    <w:p w14:paraId="64AAE5FF">
      <w:pPr>
        <w:pStyle w:val="2"/>
        <w:spacing w:before="259" w:line="231" w:lineRule="auto"/>
        <w:ind w:left="22" w:firstLine="400" w:firstLineChars="200"/>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铋精矿中天然放射性的限值应符合 GB20664 的规定。</w:t>
      </w:r>
    </w:p>
    <w:p w14:paraId="39F255E7">
      <w:pPr>
        <w:pStyle w:val="2"/>
        <w:spacing w:before="231" w:line="177" w:lineRule="auto"/>
        <w:ind w:left="18"/>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5. 3   水分</w:t>
      </w:r>
    </w:p>
    <w:p w14:paraId="3E79DEE9">
      <w:pPr>
        <w:pStyle w:val="2"/>
        <w:spacing w:before="219" w:line="176" w:lineRule="auto"/>
        <w:ind w:left="438"/>
        <w:rPr>
          <w:rFonts w:ascii="微软雅黑" w:hAnsi="微软雅黑" w:eastAsia="微软雅黑" w:cs="微软雅黑"/>
          <w:sz w:val="20"/>
          <w:szCs w:val="20"/>
        </w:rPr>
      </w:pPr>
      <w:r>
        <w:rPr>
          <w:rFonts w:hint="eastAsia" w:ascii="微软雅黑" w:hAnsi="微软雅黑" w:eastAsia="微软雅黑" w:cs="微软雅黑"/>
          <w:spacing w:val="7"/>
          <w:sz w:val="20"/>
          <w:szCs w:val="20"/>
          <w:lang w:val="en-US" w:eastAsia="zh-CN"/>
        </w:rPr>
        <w:t>铋</w:t>
      </w:r>
      <w:r>
        <w:rPr>
          <w:rFonts w:ascii="微软雅黑" w:hAnsi="微软雅黑" w:eastAsia="微软雅黑" w:cs="微软雅黑"/>
          <w:spacing w:val="7"/>
          <w:sz w:val="20"/>
          <w:szCs w:val="20"/>
        </w:rPr>
        <w:t xml:space="preserve">精矿中的水分(质量分数)应不大于 </w:t>
      </w:r>
      <w:r>
        <w:rPr>
          <w:rFonts w:hint="eastAsia" w:ascii="微软雅黑" w:hAnsi="微软雅黑" w:eastAsia="微软雅黑" w:cs="微软雅黑"/>
          <w:spacing w:val="7"/>
          <w:sz w:val="20"/>
          <w:szCs w:val="20"/>
          <w:lang w:val="en-US" w:eastAsia="zh-CN"/>
        </w:rPr>
        <w:t>17</w:t>
      </w:r>
      <w:r>
        <w:rPr>
          <w:spacing w:val="7"/>
          <w:position w:val="-1"/>
          <w:sz w:val="20"/>
          <w:szCs w:val="20"/>
        </w:rPr>
        <w:t xml:space="preserve">% </w:t>
      </w:r>
      <w:r>
        <w:rPr>
          <w:rFonts w:ascii="微软雅黑" w:hAnsi="微软雅黑" w:eastAsia="微软雅黑" w:cs="微软雅黑"/>
          <w:spacing w:val="7"/>
          <w:position w:val="1"/>
          <w:sz w:val="20"/>
          <w:szCs w:val="20"/>
        </w:rPr>
        <w:t>。</w:t>
      </w:r>
    </w:p>
    <w:p w14:paraId="7A9DB080">
      <w:pPr>
        <w:pStyle w:val="2"/>
        <w:spacing w:before="231" w:line="177" w:lineRule="auto"/>
        <w:ind w:left="18"/>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5. 4   外观质量</w:t>
      </w:r>
    </w:p>
    <w:p w14:paraId="115169BA">
      <w:pPr>
        <w:spacing w:before="227" w:line="175" w:lineRule="auto"/>
        <w:ind w:left="438"/>
        <w:rPr>
          <w:rFonts w:ascii="微软雅黑" w:hAnsi="微软雅黑" w:eastAsia="微软雅黑" w:cs="微软雅黑"/>
          <w:sz w:val="20"/>
          <w:szCs w:val="20"/>
        </w:rPr>
      </w:pPr>
      <w:r>
        <w:rPr>
          <w:rFonts w:hint="eastAsia" w:ascii="微软雅黑" w:hAnsi="微软雅黑" w:eastAsia="微软雅黑" w:cs="微软雅黑"/>
          <w:spacing w:val="6"/>
          <w:sz w:val="20"/>
          <w:szCs w:val="20"/>
          <w:lang w:val="en-US" w:eastAsia="zh-CN"/>
        </w:rPr>
        <w:t>铋</w:t>
      </w:r>
      <w:r>
        <w:rPr>
          <w:rFonts w:ascii="微软雅黑" w:hAnsi="微软雅黑" w:eastAsia="微软雅黑" w:cs="微软雅黑"/>
          <w:spacing w:val="6"/>
          <w:sz w:val="20"/>
          <w:szCs w:val="20"/>
        </w:rPr>
        <w:t>精矿应无颜色明显不一致或分层</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不应混入外来夹杂物</w:t>
      </w:r>
      <w:r>
        <w:rPr>
          <w:rFonts w:ascii="微软雅黑" w:hAnsi="微软雅黑" w:eastAsia="微软雅黑" w:cs="微软雅黑"/>
          <w:spacing w:val="-20"/>
          <w:sz w:val="20"/>
          <w:szCs w:val="20"/>
        </w:rPr>
        <w:t xml:space="preserve"> </w:t>
      </w:r>
      <w:r>
        <w:rPr>
          <w:rFonts w:ascii="微软雅黑" w:hAnsi="微软雅黑" w:eastAsia="微软雅黑" w:cs="微软雅黑"/>
          <w:spacing w:val="6"/>
          <w:position w:val="1"/>
          <w:sz w:val="20"/>
          <w:szCs w:val="20"/>
        </w:rPr>
        <w:t xml:space="preserve"> </w:t>
      </w:r>
      <w:r>
        <w:rPr>
          <w:rFonts w:ascii="微软雅黑" w:hAnsi="微软雅黑" w:eastAsia="微软雅黑" w:cs="微软雅黑"/>
          <w:spacing w:val="6"/>
          <w:sz w:val="20"/>
          <w:szCs w:val="20"/>
        </w:rPr>
        <w:t>同批</w:t>
      </w:r>
      <w:r>
        <w:rPr>
          <w:rFonts w:hint="eastAsia" w:ascii="微软雅黑" w:hAnsi="微软雅黑" w:eastAsia="微软雅黑" w:cs="微软雅黑"/>
          <w:spacing w:val="6"/>
          <w:sz w:val="20"/>
          <w:szCs w:val="20"/>
          <w:lang w:val="en-US" w:eastAsia="zh-CN"/>
        </w:rPr>
        <w:t>铋</w:t>
      </w:r>
      <w:r>
        <w:rPr>
          <w:rFonts w:ascii="微软雅黑" w:hAnsi="微软雅黑" w:eastAsia="微软雅黑" w:cs="微软雅黑"/>
          <w:spacing w:val="6"/>
          <w:sz w:val="20"/>
          <w:szCs w:val="20"/>
        </w:rPr>
        <w:t>精矿应均匀</w:t>
      </w:r>
      <w:r>
        <w:rPr>
          <w:rFonts w:ascii="微软雅黑" w:hAnsi="微软雅黑" w:eastAsia="微软雅黑" w:cs="微软雅黑"/>
          <w:spacing w:val="6"/>
          <w:position w:val="1"/>
          <w:sz w:val="20"/>
          <w:szCs w:val="20"/>
        </w:rPr>
        <w:t>。</w:t>
      </w:r>
    </w:p>
    <w:p w14:paraId="2248C381">
      <w:pPr>
        <w:pStyle w:val="2"/>
        <w:spacing w:before="231" w:line="177" w:lineRule="auto"/>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6   试验方法</w:t>
      </w:r>
    </w:p>
    <w:p w14:paraId="10BAA7AB">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6. 1    铋精矿化学成分的测定按YS/T 240(所有部分的规定进行。</w:t>
      </w:r>
    </w:p>
    <w:p w14:paraId="52B822CC">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6. 2    铋精矿中天然放射性的测定按 GB20664 的规定进行。</w:t>
      </w:r>
    </w:p>
    <w:p w14:paraId="3BC2FC61">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6. 3    铋精矿水分含量的测定按 GB/T142620中的相关规定进行。</w:t>
      </w:r>
    </w:p>
    <w:p w14:paraId="75E2F0C6">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6. 4    铋精矿外观质量由目视法检验。</w:t>
      </w:r>
    </w:p>
    <w:p w14:paraId="4177518E">
      <w:pPr>
        <w:pStyle w:val="2"/>
        <w:spacing w:before="231" w:line="177" w:lineRule="auto"/>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7    检验规则</w:t>
      </w:r>
    </w:p>
    <w:p w14:paraId="19F32E23">
      <w:pPr>
        <w:pStyle w:val="2"/>
        <w:spacing w:line="255" w:lineRule="auto"/>
      </w:pPr>
    </w:p>
    <w:p w14:paraId="1CB96B02">
      <w:pPr>
        <w:pStyle w:val="2"/>
        <w:spacing w:before="231" w:line="177" w:lineRule="auto"/>
        <w:ind w:left="18"/>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7. 1    检查和验收</w:t>
      </w:r>
    </w:p>
    <w:p w14:paraId="41BF4064">
      <w:pPr>
        <w:spacing w:before="217" w:line="268" w:lineRule="auto"/>
        <w:ind w:left="22" w:right="15" w:firstLine="426"/>
        <w:jc w:val="both"/>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铋精矿运到需方或双方认可的地点后 ，按本文件的规定进行验收， 供方应确保产品质量符合本文件及订货单的规定 。当供需双方对检验结果有争议时由供需双方协商解决 。如需仲裁以仲裁结果为判定依据。</w:t>
      </w:r>
    </w:p>
    <w:p w14:paraId="7DC3EE91">
      <w:pPr>
        <w:pStyle w:val="2"/>
        <w:spacing w:before="231" w:line="177" w:lineRule="auto"/>
        <w:ind w:left="18"/>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7. 2    组批</w:t>
      </w:r>
    </w:p>
    <w:p w14:paraId="540154CE">
      <w:pPr>
        <w:spacing w:before="217" w:line="268" w:lineRule="auto"/>
        <w:ind w:left="22" w:right="15" w:firstLine="426"/>
        <w:jc w:val="both"/>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铋精矿应成批提交检验，每批由同一品级组成 。</w:t>
      </w:r>
    </w:p>
    <w:p w14:paraId="0D25A5C4">
      <w:pPr>
        <w:pStyle w:val="2"/>
        <w:spacing w:before="231" w:line="177" w:lineRule="auto"/>
        <w:ind w:left="18"/>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7. 3    取样和制样</w:t>
      </w:r>
    </w:p>
    <w:p w14:paraId="7A02CAD9">
      <w:pPr>
        <w:pStyle w:val="2"/>
        <w:spacing w:before="218" w:line="181" w:lineRule="auto"/>
        <w:ind w:left="14"/>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 xml:space="preserve">7. 3. 1  </w:t>
      </w:r>
      <w:r>
        <w:rPr>
          <w:spacing w:val="-1"/>
          <w:position w:val="-1"/>
          <w:sz w:val="20"/>
          <w:szCs w:val="20"/>
        </w:rPr>
        <w:t xml:space="preserve"> </w:t>
      </w:r>
      <w:r>
        <w:rPr>
          <w:rFonts w:hint="eastAsia" w:ascii="微软雅黑" w:hAnsi="微软雅黑" w:eastAsia="微软雅黑" w:cs="微软雅黑"/>
          <w:snapToGrid/>
          <w:color w:val="000000"/>
          <w:kern w:val="2"/>
          <w:sz w:val="20"/>
          <w:szCs w:val="20"/>
          <w:lang w:val="en-US" w:eastAsia="zh-CN" w:bidi="ar-SA"/>
        </w:rPr>
        <w:t xml:space="preserve"> 铋精矿取样、制样按 GB/T14260 的规定进行。</w:t>
      </w:r>
    </w:p>
    <w:p w14:paraId="19330DC5">
      <w:pPr>
        <w:spacing w:line="181" w:lineRule="auto"/>
        <w:rPr>
          <w:rFonts w:hint="eastAsia" w:ascii="微软雅黑" w:hAnsi="微软雅黑" w:eastAsia="微软雅黑" w:cs="微软雅黑"/>
          <w:snapToGrid/>
          <w:color w:val="000000"/>
          <w:kern w:val="2"/>
          <w:sz w:val="20"/>
          <w:szCs w:val="20"/>
          <w:lang w:val="en-US" w:eastAsia="zh-CN" w:bidi="ar-SA"/>
        </w:rPr>
      </w:pPr>
    </w:p>
    <w:p w14:paraId="175DBA74">
      <w:pPr>
        <w:numPr>
          <w:ilvl w:val="0"/>
          <w:numId w:val="1"/>
        </w:numPr>
        <w:spacing w:line="181" w:lineRule="auto"/>
        <w:rPr>
          <w:rFonts w:ascii="微软雅黑" w:hAnsi="微软雅黑" w:eastAsia="微软雅黑" w:cs="微软雅黑"/>
          <w:spacing w:val="8"/>
          <w:sz w:val="20"/>
          <w:szCs w:val="20"/>
        </w:rPr>
      </w:pPr>
      <w:r>
        <w:rPr>
          <w:rFonts w:hint="eastAsia" w:ascii="微软雅黑" w:hAnsi="微软雅黑" w:eastAsia="微软雅黑" w:cs="微软雅黑"/>
          <w:snapToGrid/>
          <w:color w:val="000000"/>
          <w:kern w:val="2"/>
          <w:sz w:val="20"/>
          <w:szCs w:val="20"/>
          <w:lang w:val="en-US" w:eastAsia="zh-CN" w:bidi="ar-SA"/>
        </w:rPr>
        <w:t xml:space="preserve">3. 2  </w:t>
      </w:r>
      <w:r>
        <w:rPr>
          <w:spacing w:val="18"/>
          <w:position w:val="-1"/>
          <w:sz w:val="20"/>
          <w:szCs w:val="20"/>
        </w:rPr>
        <w:t xml:space="preserve"> </w:t>
      </w:r>
      <w:r>
        <w:rPr>
          <w:rFonts w:ascii="微软雅黑" w:hAnsi="微软雅黑" w:eastAsia="微软雅黑" w:cs="微软雅黑"/>
          <w:spacing w:val="6"/>
          <w:sz w:val="20"/>
          <w:szCs w:val="20"/>
        </w:rPr>
        <w:t>将所制样品分为四份:一份为验收分</w:t>
      </w:r>
      <w:r>
        <w:rPr>
          <w:rFonts w:ascii="微软雅黑" w:hAnsi="微软雅黑" w:eastAsia="微软雅黑" w:cs="微软雅黑"/>
          <w:spacing w:val="5"/>
          <w:sz w:val="20"/>
          <w:szCs w:val="20"/>
        </w:rPr>
        <w:t>析样</w:t>
      </w:r>
      <w:r>
        <w:rPr>
          <w:rFonts w:ascii="微软雅黑" w:hAnsi="微软雅黑" w:eastAsia="微软雅黑" w:cs="微软雅黑"/>
          <w:spacing w:val="-20"/>
          <w:sz w:val="20"/>
          <w:szCs w:val="20"/>
        </w:rPr>
        <w:t xml:space="preserve"> </w:t>
      </w:r>
      <w:r>
        <w:rPr>
          <w:rFonts w:hint="eastAsia" w:ascii="微软雅黑" w:hAnsi="微软雅黑" w:eastAsia="微软雅黑" w:cs="微软雅黑"/>
          <w:spacing w:val="-20"/>
          <w:sz w:val="20"/>
          <w:szCs w:val="20"/>
          <w:lang w:eastAsia="zh-CN"/>
        </w:rPr>
        <w:t>，</w:t>
      </w:r>
      <w:r>
        <w:rPr>
          <w:rFonts w:ascii="微软雅黑" w:hAnsi="微软雅黑" w:eastAsia="微软雅黑" w:cs="微软雅黑"/>
          <w:spacing w:val="5"/>
          <w:sz w:val="20"/>
          <w:szCs w:val="20"/>
        </w:rPr>
        <w:t>一份为供方样</w:t>
      </w:r>
      <w:r>
        <w:rPr>
          <w:rFonts w:ascii="微软雅黑" w:hAnsi="微软雅黑" w:eastAsia="微软雅黑" w:cs="微软雅黑"/>
          <w:spacing w:val="-21"/>
          <w:sz w:val="20"/>
          <w:szCs w:val="20"/>
        </w:rPr>
        <w:t xml:space="preserve"> </w:t>
      </w:r>
      <w:r>
        <w:rPr>
          <w:rFonts w:hint="eastAsia" w:ascii="微软雅黑" w:hAnsi="微软雅黑" w:eastAsia="微软雅黑" w:cs="微软雅黑"/>
          <w:spacing w:val="-21"/>
          <w:sz w:val="20"/>
          <w:szCs w:val="20"/>
          <w:lang w:eastAsia="zh-CN"/>
        </w:rPr>
        <w:t>，</w:t>
      </w:r>
      <w:r>
        <w:rPr>
          <w:rFonts w:ascii="微软雅黑" w:hAnsi="微软雅黑" w:eastAsia="微软雅黑" w:cs="微软雅黑"/>
          <w:spacing w:val="5"/>
          <w:sz w:val="20"/>
          <w:szCs w:val="20"/>
        </w:rPr>
        <w:t>一份为需方样</w:t>
      </w:r>
      <w:r>
        <w:rPr>
          <w:rFonts w:ascii="微软雅黑" w:hAnsi="微软雅黑" w:eastAsia="微软雅黑" w:cs="微软雅黑"/>
          <w:spacing w:val="-21"/>
          <w:sz w:val="20"/>
          <w:szCs w:val="20"/>
        </w:rPr>
        <w:t xml:space="preserve"> </w:t>
      </w:r>
      <w:r>
        <w:rPr>
          <w:rFonts w:hint="eastAsia" w:ascii="微软雅黑" w:hAnsi="微软雅黑" w:eastAsia="微软雅黑" w:cs="微软雅黑"/>
          <w:spacing w:val="-21"/>
          <w:sz w:val="20"/>
          <w:szCs w:val="20"/>
          <w:lang w:eastAsia="zh-CN"/>
        </w:rPr>
        <w:t>，</w:t>
      </w:r>
      <w:r>
        <w:rPr>
          <w:rFonts w:ascii="微软雅黑" w:hAnsi="微软雅黑" w:eastAsia="微软雅黑" w:cs="微软雅黑"/>
          <w:spacing w:val="5"/>
          <w:sz w:val="20"/>
          <w:szCs w:val="20"/>
        </w:rPr>
        <w:t>一份为仲裁样</w:t>
      </w:r>
      <w:r>
        <w:rPr>
          <w:rFonts w:ascii="微软雅黑" w:hAnsi="微软雅黑" w:eastAsia="微软雅黑" w:cs="微软雅黑"/>
          <w:spacing w:val="-27"/>
          <w:sz w:val="20"/>
          <w:szCs w:val="20"/>
        </w:rPr>
        <w:t xml:space="preserve"> </w:t>
      </w:r>
      <w:r>
        <w:rPr>
          <w:rFonts w:ascii="微软雅黑" w:hAnsi="微软雅黑" w:eastAsia="微软雅黑" w:cs="微软雅黑"/>
          <w:spacing w:val="5"/>
          <w:position w:val="1"/>
          <w:sz w:val="20"/>
          <w:szCs w:val="20"/>
        </w:rPr>
        <w:t>。</w:t>
      </w:r>
      <w:r>
        <w:rPr>
          <w:rFonts w:ascii="微软雅黑" w:hAnsi="微软雅黑" w:eastAsia="微软雅黑" w:cs="微软雅黑"/>
          <w:spacing w:val="5"/>
          <w:sz w:val="20"/>
          <w:szCs w:val="20"/>
        </w:rPr>
        <w:t>仲裁样</w:t>
      </w:r>
      <w:r>
        <w:rPr>
          <w:rFonts w:ascii="微软雅黑" w:hAnsi="微软雅黑" w:eastAsia="微软雅黑" w:cs="微软雅黑"/>
          <w:spacing w:val="8"/>
          <w:sz w:val="20"/>
          <w:szCs w:val="20"/>
        </w:rPr>
        <w:t>保留三个月(国际贸易为六个月) 。供需双方如对检验结果有异议</w:t>
      </w:r>
      <w:r>
        <w:rPr>
          <w:rFonts w:ascii="微软雅黑" w:hAnsi="微软雅黑" w:eastAsia="微软雅黑" w:cs="微软雅黑"/>
          <w:spacing w:val="-17"/>
          <w:sz w:val="20"/>
          <w:szCs w:val="20"/>
        </w:rPr>
        <w:t xml:space="preserve"> </w:t>
      </w:r>
      <w:r>
        <w:rPr>
          <w:rFonts w:hint="eastAsia" w:ascii="微软雅黑" w:hAnsi="微软雅黑" w:eastAsia="微软雅黑" w:cs="微软雅黑"/>
          <w:spacing w:val="-17"/>
          <w:sz w:val="20"/>
          <w:szCs w:val="20"/>
          <w:lang w:eastAsia="zh-CN"/>
        </w:rPr>
        <w:t>，</w:t>
      </w:r>
      <w:r>
        <w:rPr>
          <w:rFonts w:ascii="微软雅黑" w:hAnsi="微软雅黑" w:eastAsia="微软雅黑" w:cs="微软雅黑"/>
          <w:spacing w:val="8"/>
          <w:sz w:val="20"/>
          <w:szCs w:val="20"/>
        </w:rPr>
        <w:t>应在仲裁样保留期内提出。</w:t>
      </w:r>
    </w:p>
    <w:p w14:paraId="336854D2">
      <w:pPr>
        <w:pStyle w:val="2"/>
        <w:spacing w:before="231" w:line="177" w:lineRule="auto"/>
        <w:ind w:left="18"/>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7. 4    检验结果的判定</w:t>
      </w:r>
    </w:p>
    <w:p w14:paraId="075FE6F5">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7. 4. 1   检验结果的数值修约及判定按 GB/T8170 的规定进行。</w:t>
      </w:r>
    </w:p>
    <w:p w14:paraId="346C338D">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7. 4. 2   同一批次 铋精矿化学成分不符合本文件或订货单的规定的 该批次不合格;发现不同品级混装或所含金、银等有价元素品位明显不一致 ，则按较低品位作为判定结果。</w:t>
      </w:r>
    </w:p>
    <w:p w14:paraId="3F82632F">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7. 4. 3   同一批次铋精矿天然放射性不符合本文件的规定时， 则该批次不合格。</w:t>
      </w:r>
    </w:p>
    <w:p w14:paraId="4CFC350D">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7. 4. 4    同一批次铋精矿水分不符合本文件或订货单的规定时 ，由供需双方协商确定。</w:t>
      </w:r>
    </w:p>
    <w:p w14:paraId="3A91D5E8">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7. 4. 5     同一批次铋精矿外观质量不符合本文件或订货单的规定时，则该批次不合格。</w:t>
      </w:r>
    </w:p>
    <w:p w14:paraId="5F6E37E2">
      <w:pPr>
        <w:pStyle w:val="2"/>
        <w:spacing w:before="231" w:line="177" w:lineRule="auto"/>
        <w:ind w:left="18"/>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8 包装、运输及质量证明书</w:t>
      </w:r>
    </w:p>
    <w:p w14:paraId="401E5DA8">
      <w:pPr>
        <w:pStyle w:val="2"/>
        <w:spacing w:before="231" w:line="177" w:lineRule="auto"/>
        <w:rPr>
          <w:rFonts w:hint="default"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8.1 铋精矿应用吨</w:t>
      </w:r>
      <w:bookmarkStart w:id="0" w:name="_GoBack"/>
      <w:bookmarkEnd w:id="0"/>
      <w:r>
        <w:rPr>
          <w:rFonts w:hint="eastAsia" w:ascii="微软雅黑" w:hAnsi="微软雅黑" w:eastAsia="微软雅黑" w:cs="微软雅黑"/>
          <w:snapToGrid/>
          <w:color w:val="000000"/>
          <w:kern w:val="2"/>
          <w:sz w:val="20"/>
          <w:szCs w:val="20"/>
          <w:lang w:val="en-US" w:eastAsia="zh-CN" w:bidi="ar-SA"/>
        </w:rPr>
        <w:t>袋包装，选用聚丙烯塑料纺织布。</w:t>
      </w:r>
    </w:p>
    <w:p w14:paraId="6912E1F9">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8.2 每批铋精矿发运时应附质量证明书，注明 :</w:t>
      </w:r>
    </w:p>
    <w:p w14:paraId="46B64FB7">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 xml:space="preserve"> a) 供方名称；</w:t>
      </w:r>
    </w:p>
    <w:p w14:paraId="2B6A581F">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b) 产品名称；</w:t>
      </w:r>
    </w:p>
    <w:p w14:paraId="04591848">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c) 检验结果；</w:t>
      </w:r>
    </w:p>
    <w:p w14:paraId="6E0FA6AF">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d) 品级；</w:t>
      </w:r>
    </w:p>
    <w:p w14:paraId="3E946086">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e) 重量；</w:t>
      </w:r>
    </w:p>
    <w:p w14:paraId="5A9CB807">
      <w:pPr>
        <w:pStyle w:val="2"/>
        <w:spacing w:before="231" w:line="177" w:lineRule="auto"/>
        <w:ind w:left="18"/>
        <w:rPr>
          <w:rFonts w:hint="eastAsia" w:ascii="微软雅黑" w:hAnsi="微软雅黑" w:eastAsia="微软雅黑" w:cs="微软雅黑"/>
          <w:b/>
          <w:bCs/>
          <w:snapToGrid/>
          <w:color w:val="000000"/>
          <w:kern w:val="2"/>
          <w:sz w:val="20"/>
          <w:szCs w:val="20"/>
          <w:lang w:val="en-US" w:eastAsia="zh-CN" w:bidi="ar-SA"/>
        </w:rPr>
      </w:pPr>
      <w:r>
        <w:rPr>
          <w:rFonts w:hint="eastAsia" w:ascii="微软雅黑" w:hAnsi="微软雅黑" w:eastAsia="微软雅黑" w:cs="微软雅黑"/>
          <w:b/>
          <w:bCs/>
          <w:snapToGrid/>
          <w:color w:val="000000"/>
          <w:kern w:val="2"/>
          <w:sz w:val="20"/>
          <w:szCs w:val="20"/>
          <w:lang w:val="en-US" w:eastAsia="zh-CN" w:bidi="ar-SA"/>
        </w:rPr>
        <w:t>9 贮存</w:t>
      </w:r>
    </w:p>
    <w:p w14:paraId="7A8976BE">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9.1 铋精矿产品入库贮存前应进行取样检验；</w:t>
      </w:r>
    </w:p>
    <w:p w14:paraId="3BA24E2A">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9.2 贮存场地应清洁，严防外来杂物混入或污染；</w:t>
      </w:r>
    </w:p>
    <w:p w14:paraId="14CC7546">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9.3 贮存时，不同品级或干湿不一致的铋精矿，应分仓、分区存放并做好标志，便于装运或配料使用。</w:t>
      </w:r>
    </w:p>
    <w:p w14:paraId="1E426BB4">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9.4 通常情况下，铋精矿产品应在仓库贮存，不得露天存放，避免精矿氧化和流失；</w:t>
      </w:r>
    </w:p>
    <w:p w14:paraId="0B62141F">
      <w:pPr>
        <w:pStyle w:val="2"/>
        <w:spacing w:before="231" w:line="177" w:lineRule="auto"/>
        <w:rPr>
          <w:rFonts w:hint="default"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9.5 铋精矿贮存时应有安保措施，并建立精矿贮存管理制度。</w:t>
      </w:r>
    </w:p>
    <w:p w14:paraId="1F4EB91C">
      <w:pPr>
        <w:pStyle w:val="2"/>
        <w:spacing w:before="222" w:line="230" w:lineRule="auto"/>
        <w:ind w:left="16"/>
        <w:rPr>
          <w:sz w:val="20"/>
          <w:szCs w:val="20"/>
        </w:rPr>
      </w:pPr>
      <w:r>
        <w:rPr>
          <w:rFonts w:hint="eastAsia" w:ascii="微软雅黑" w:hAnsi="微软雅黑" w:eastAsia="微软雅黑" w:cs="微软雅黑"/>
          <w:b/>
          <w:bCs/>
          <w:snapToGrid/>
          <w:color w:val="000000"/>
          <w:kern w:val="2"/>
          <w:sz w:val="20"/>
          <w:szCs w:val="20"/>
          <w:lang w:val="en-US" w:eastAsia="zh-CN" w:bidi="ar-SA"/>
        </w:rPr>
        <w:t>10 订货单内容</w:t>
      </w:r>
    </w:p>
    <w:p w14:paraId="516E361C">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需方可根据自身的需要，在订购本文件所列产品的订货单内，列出如下内容：</w:t>
      </w:r>
    </w:p>
    <w:p w14:paraId="3B749651">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 xml:space="preserve"> a) 产品名称；</w:t>
      </w:r>
    </w:p>
    <w:p w14:paraId="4B951368">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b) 品级；</w:t>
      </w:r>
    </w:p>
    <w:p w14:paraId="1D0D8106">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c) 杂质含量的特殊要求；</w:t>
      </w:r>
    </w:p>
    <w:p w14:paraId="1EDEFA99">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d) 重量；</w:t>
      </w:r>
    </w:p>
    <w:p w14:paraId="31B3B92C">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e) 本标准编号；</w:t>
      </w:r>
    </w:p>
    <w:p w14:paraId="76864B49">
      <w:pPr>
        <w:pStyle w:val="2"/>
        <w:spacing w:before="231" w:line="177" w:lineRule="auto"/>
        <w:rPr>
          <w:rFonts w:hint="eastAsia" w:ascii="微软雅黑" w:hAnsi="微软雅黑" w:eastAsia="微软雅黑" w:cs="微软雅黑"/>
          <w:snapToGrid/>
          <w:color w:val="000000"/>
          <w:kern w:val="2"/>
          <w:sz w:val="20"/>
          <w:szCs w:val="20"/>
          <w:lang w:val="en-US" w:eastAsia="zh-CN" w:bidi="ar-SA"/>
        </w:rPr>
      </w:pPr>
      <w:r>
        <w:rPr>
          <w:rFonts w:hint="eastAsia" w:ascii="微软雅黑" w:hAnsi="微软雅黑" w:eastAsia="微软雅黑" w:cs="微软雅黑"/>
          <w:snapToGrid/>
          <w:color w:val="000000"/>
          <w:kern w:val="2"/>
          <w:sz w:val="20"/>
          <w:szCs w:val="20"/>
          <w:lang w:val="en-US" w:eastAsia="zh-CN" w:bidi="ar-SA"/>
        </w:rPr>
        <w:t>f) 其他。</w:t>
      </w:r>
    </w:p>
    <w:p w14:paraId="08CD9D96">
      <w:pPr>
        <w:pStyle w:val="2"/>
        <w:spacing w:before="231" w:line="177" w:lineRule="auto"/>
        <w:rPr>
          <w:rFonts w:hint="default" w:ascii="微软雅黑" w:hAnsi="微软雅黑" w:eastAsia="微软雅黑" w:cs="微软雅黑"/>
          <w:snapToGrid/>
          <w:color w:val="000000"/>
          <w:kern w:val="2"/>
          <w:sz w:val="20"/>
          <w:szCs w:val="20"/>
          <w:lang w:val="en-US" w:eastAsia="zh-CN" w:bidi="ar-SA"/>
        </w:rPr>
        <w:sectPr>
          <w:headerReference r:id="rId8" w:type="default"/>
          <w:footerReference r:id="rId9" w:type="default"/>
          <w:type w:val="continuous"/>
          <w:pgSz w:w="11906" w:h="16838"/>
          <w:pgMar w:top="400" w:right="1413" w:bottom="1119" w:left="1121" w:header="0" w:footer="914" w:gutter="0"/>
          <w:cols w:space="720" w:num="1"/>
        </w:sectPr>
      </w:pPr>
    </w:p>
    <w:p w14:paraId="0A5B2A4C">
      <w:pPr>
        <w:pStyle w:val="2"/>
        <w:spacing w:before="259" w:line="231" w:lineRule="auto"/>
        <w:rPr>
          <w:rFonts w:hint="eastAsia" w:ascii="微软雅黑" w:hAnsi="微软雅黑" w:eastAsia="微软雅黑" w:cs="微软雅黑"/>
          <w:snapToGrid/>
          <w:color w:val="000000"/>
          <w:kern w:val="2"/>
          <w:sz w:val="20"/>
          <w:szCs w:val="20"/>
          <w:lang w:val="en-US" w:eastAsia="zh-CN" w:bidi="ar-SA"/>
        </w:rPr>
      </w:pPr>
    </w:p>
    <w:p w14:paraId="12B4CEA4">
      <w:pPr>
        <w:pStyle w:val="2"/>
        <w:spacing w:before="259" w:line="231" w:lineRule="auto"/>
        <w:ind w:left="22" w:firstLine="400" w:firstLineChars="200"/>
        <w:rPr>
          <w:rFonts w:hint="eastAsia" w:ascii="微软雅黑" w:hAnsi="微软雅黑" w:eastAsia="微软雅黑" w:cs="微软雅黑"/>
          <w:snapToGrid/>
          <w:color w:val="000000"/>
          <w:kern w:val="2"/>
          <w:sz w:val="20"/>
          <w:szCs w:val="20"/>
          <w:lang w:val="en-US" w:eastAsia="zh-CN" w:bidi="ar-SA"/>
        </w:rPr>
      </w:pPr>
    </w:p>
    <w:p w14:paraId="1EA3AFD6">
      <w:pPr>
        <w:spacing w:line="193" w:lineRule="auto"/>
        <w:rPr>
          <w:rFonts w:ascii="宋体" w:hAnsi="宋体" w:eastAsia="宋体" w:cs="宋体"/>
          <w:sz w:val="20"/>
          <w:szCs w:val="20"/>
        </w:rPr>
        <w:sectPr>
          <w:type w:val="continuous"/>
          <w:pgSz w:w="11906" w:h="16839"/>
          <w:pgMar w:top="885" w:right="1785" w:bottom="1362" w:left="1785" w:header="0" w:footer="1200" w:gutter="0"/>
          <w:cols w:equalWidth="0" w:num="1">
            <w:col w:w="8335"/>
          </w:cols>
        </w:sectPr>
      </w:pPr>
    </w:p>
    <w:p w14:paraId="0CB0C68C">
      <w:pPr>
        <w:spacing w:before="1" w:line="228" w:lineRule="auto"/>
        <w:ind w:left="243"/>
        <w:rPr>
          <w:rFonts w:ascii="宋体" w:hAnsi="宋体" w:eastAsia="宋体" w:cs="宋体"/>
          <w:sz w:val="20"/>
          <w:szCs w:val="20"/>
        </w:rPr>
      </w:pPr>
    </w:p>
    <w:sectPr>
      <w:footerReference r:id="rId10" w:type="default"/>
      <w:pgSz w:w="11906" w:h="16839"/>
      <w:pgMar w:top="885" w:right="1785" w:bottom="1362" w:left="1785" w:header="0"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9197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363E">
    <w:pPr>
      <w:spacing w:line="173" w:lineRule="auto"/>
      <w:ind w:left="4141"/>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D31D">
    <w:pPr>
      <w:pStyle w:val="2"/>
      <w:spacing w:line="239" w:lineRule="auto"/>
      <w:ind w:left="152"/>
      <w:rPr>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5367">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507C">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DA538">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7FFAD"/>
    <w:multiLevelType w:val="singleLevel"/>
    <w:tmpl w:val="4107FFAD"/>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M2NjQwZjA0Nzg2ODNkZDgwMGVhNmIyYmY0M2YxMDUifQ=="/>
  </w:docVars>
  <w:rsids>
    <w:rsidRoot w:val="00000000"/>
    <w:rsid w:val="01CA2EE7"/>
    <w:rsid w:val="025F15DF"/>
    <w:rsid w:val="0B6C3532"/>
    <w:rsid w:val="0D9B79AF"/>
    <w:rsid w:val="0F5959A9"/>
    <w:rsid w:val="10991C29"/>
    <w:rsid w:val="11570EFC"/>
    <w:rsid w:val="123037F5"/>
    <w:rsid w:val="13AD2BD2"/>
    <w:rsid w:val="19791440"/>
    <w:rsid w:val="1C2865E5"/>
    <w:rsid w:val="1CEB5018"/>
    <w:rsid w:val="1E25096F"/>
    <w:rsid w:val="243B4AD7"/>
    <w:rsid w:val="24BD6995"/>
    <w:rsid w:val="285238EC"/>
    <w:rsid w:val="2F4172F7"/>
    <w:rsid w:val="306C5D3A"/>
    <w:rsid w:val="33BC2E13"/>
    <w:rsid w:val="3E9A5F5A"/>
    <w:rsid w:val="42262589"/>
    <w:rsid w:val="43B56F8C"/>
    <w:rsid w:val="4A7A7DAE"/>
    <w:rsid w:val="4AF030D0"/>
    <w:rsid w:val="4B7202B9"/>
    <w:rsid w:val="4E8B1067"/>
    <w:rsid w:val="4F5543EF"/>
    <w:rsid w:val="5425031B"/>
    <w:rsid w:val="575F3911"/>
    <w:rsid w:val="5837419A"/>
    <w:rsid w:val="59553BDB"/>
    <w:rsid w:val="5B8926CA"/>
    <w:rsid w:val="649D6016"/>
    <w:rsid w:val="655E5BAB"/>
    <w:rsid w:val="65F134C1"/>
    <w:rsid w:val="669015B7"/>
    <w:rsid w:val="6A246410"/>
    <w:rsid w:val="7770674C"/>
    <w:rsid w:val="7DAE4B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黑体" w:hAnsi="黑体" w:eastAsia="黑体" w:cs="黑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Times New Roman" w:hAnsi="Times New Roman" w:eastAsia="Times New Roman" w:cs="Times New Roman"/>
      <w:sz w:val="18"/>
      <w:szCs w:val="18"/>
      <w:lang w:val="en-US" w:eastAsia="en-US" w:bidi="ar-SA"/>
    </w:rPr>
  </w:style>
  <w:style w:type="character" w:customStyle="1" w:styleId="9">
    <w:name w:val="font51"/>
    <w:basedOn w:val="6"/>
    <w:uiPriority w:val="0"/>
    <w:rPr>
      <w:rFonts w:hint="default" w:ascii="Times New Roman" w:hAnsi="Times New Roman" w:cs="Times New Roman"/>
      <w:color w:val="000000"/>
      <w:sz w:val="21"/>
      <w:szCs w:val="21"/>
      <w:u w:val="none"/>
      <w:vertAlign w:val="subscript"/>
    </w:rPr>
  </w:style>
  <w:style w:type="character" w:customStyle="1" w:styleId="10">
    <w:name w:val="font41"/>
    <w:basedOn w:val="6"/>
    <w:uiPriority w:val="0"/>
    <w:rPr>
      <w:rFonts w:hint="default" w:ascii="Arial" w:hAnsi="Arial" w:cs="Arial"/>
      <w:color w:val="000000"/>
      <w:sz w:val="17"/>
      <w:szCs w:val="17"/>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2024</Words>
  <Characters>2390</Characters>
  <TotalTime>19</TotalTime>
  <ScaleCrop>false</ScaleCrop>
  <LinksUpToDate>false</LinksUpToDate>
  <CharactersWithSpaces>2647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2023-01-24T22:44:00Z</dcterms:created>
  <dc:creator>Administrator</dc:creator>
  <cp:lastModifiedBy>张碧兰</cp:lastModifiedBy>
  <dcterms:modified xsi:type="dcterms:W3CDTF">2026-03-06T03:36:55Z</dcterms:modified>
  <dc:title>再生锌化学分析方法 锌量的测定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2024-03-29T20:33:00Z</vt:filetime>
  </property>
  <property fmtid="{D5CDD505-2E9C-101B-9397-08002B2CF9AE}" pid="4" name="KSOProductBuildVer">
    <vt:lpwstr>2052-12.1.0.19302</vt:lpwstr>
  </property>
  <property fmtid="{D5CDD505-2E9C-101B-9397-08002B2CF9AE}" pid="5" name="ICV">
    <vt:lpwstr>2D8EF7CD82BB41D1A32F54329B5CDCEA_13</vt:lpwstr>
  </property>
  <property fmtid="{D5CDD505-2E9C-101B-9397-08002B2CF9AE}" pid="6" name="KSOTemplateDocerSaveRecord">
    <vt:lpwstr>eyJoZGlkIjoiMTQxN2Q5ZjA2NmI2NDkzODFhYjI3MWU5MTAwMmJhY2YiLCJ1c2VySWQiOiIxNjY3NzI4Mzc4In0=</vt:lpwstr>
  </property>
</Properties>
</file>