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3278E4">
      <w:pPr>
        <w:pStyle w:val="2"/>
        <w:keepNext w:val="0"/>
        <w:keepLines w:val="0"/>
        <w:widowControl/>
        <w:suppressLineNumbers w:val="0"/>
        <w:jc w:val="center"/>
        <w:rPr>
          <w:sz w:val="30"/>
          <w:szCs w:val="30"/>
        </w:rPr>
      </w:pPr>
      <w:r>
        <w:rPr>
          <w:sz w:val="30"/>
          <w:szCs w:val="30"/>
        </w:rPr>
        <w:t>YS/T 544《铸造铜合金锭》行业标准修订编制说明</w:t>
      </w:r>
    </w:p>
    <w:p w14:paraId="5C189892">
      <w:pPr>
        <w:pStyle w:val="2"/>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一、任务来源</w:t>
      </w:r>
    </w:p>
    <w:p w14:paraId="2F95B13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本标准修订任务来源于工业和信息化部《2025年第五批行业标准制修订和外文版项目计划》（计划编号为2025-1365T-YS），由原材料工业司主管，全国有色金属标准化技术委员会归口管理，由浙江海亮股份有限公司牵头，联合宁波金田钢业(集团)有限公司，中铝洛阳铜加工有限公司,中色正锐(山东)铜业有限公司共同承担YS/T 544-2009《铸造铜合金锭》行业标准的修订工作。本标准修订符合《标准提升引领原材料工业优化升级行动方案（2025-2027年）》中“缺标补标、低标提标、优标转标、有标贯标”的总体思路，针对现有标准实施近15年来产业技术发展、产品质量提升及市场需求变化的实际情况，开展修订工作，以适应铸造铜合金锭产业高质量发展需求，加速技术成果产业化推广。</w:t>
      </w:r>
    </w:p>
    <w:p w14:paraId="4436A16D">
      <w:pPr>
        <w:pStyle w:val="2"/>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二、工作简况</w:t>
      </w:r>
      <w:r>
        <w:rPr>
          <w:rFonts w:hint="eastAsia" w:cs="宋体"/>
          <w:sz w:val="24"/>
          <w:szCs w:val="24"/>
          <w:lang w:val="en-US" w:eastAsia="zh-CN"/>
        </w:rPr>
        <w:t xml:space="preserve"> </w:t>
      </w:r>
    </w:p>
    <w:p w14:paraId="6101B5D7">
      <w:pPr>
        <w:pStyle w:val="3"/>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（一）立项目的和意义</w:t>
      </w:r>
    </w:p>
    <w:p w14:paraId="2C6C139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2" w:firstLineChars="200"/>
        <w:jc w:val="left"/>
        <w:textAlignment w:val="auto"/>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1. 立项目的</w:t>
      </w:r>
    </w:p>
    <w:p w14:paraId="68EB18B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YS/T 544-2009《铸造铜合金锭》自2009年实施以来，有效规范了铸造铜合金锭的产品质量、化学成分及性能要求，保障了市场流通秩序和下游加工产品质量。但近15年来，我国铜合金铸锭生产工艺实现了跨越式发展，从传统浇铸、立式半连铸，逐步发展为立式连铸、水平连铸，潜流水平连铸磁脉冲共震铸造等先进技术广泛应用，产品形状、牌号、性能及生产规模均发生显著变化；同时，下游行业（如卫浴、新能源配套等）对铜合金铸锭的质量要求、个性化需求不断提升，现有标准已无法覆盖新增产品类型、技术指标及检验要求，存在“低标提标”“缺标补标”的迫切需求。本次修订旨在完善标准内容，使其与当前产业技术水平、市场需求及下游应用要求相匹配，解决标准与产业发展脱节的问题，引领铜合金铸锭产业优化升级。</w:t>
      </w:r>
    </w:p>
    <w:p w14:paraId="2A71448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firstLine="482" w:firstLineChars="200"/>
        <w:jc w:val="left"/>
        <w:textAlignment w:val="auto"/>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2.立项意义</w:t>
      </w:r>
    </w:p>
    <w:p w14:paraId="7EACAC5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一是助力产业技术升级，将潜流水平连铸磁脉冲共震铸造等先进技术的质量要求纳入标准，推动先进生产工艺的推广应用，打破传统工艺瓶颈，减少锌挥发、温降损失，提升铸锭内部质量和机械性能；二是规范市场秩序，明确新增产品形状、牌号及性能指标，统一检验方法和验收要求，避免因标准缺失导致的产品质量参差不齐、市场恶性竞争等问题；三是衔接下游需求，针对卫浴等重点应用行业，新增专项性能要求，提升铜合金铸锭与下游产品的适配性，推动铜精深加工产业高质量发展；四是对标国际先进水平，参考ASTM B 30-2023、EN 1982-2017等国际标准，优化标准技术内容，提升我国铸造铜合金锭产品的国际竞争力，为产业参与国际合作与竞争提供支撑；五是落实国家产业政策，响应《铜产业高质量发展实施方案（2025-2027年）》中关键技术攻关、产业集群培育的要求，加快高性能铜合金材料制备技术的产业化，助力发展新质生产力，推进新型工业化建设。</w:t>
      </w:r>
    </w:p>
    <w:p w14:paraId="41CBB2A8">
      <w:pPr>
        <w:pStyle w:val="2"/>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（二）编制单位简况</w:t>
      </w:r>
    </w:p>
    <w:p w14:paraId="4BFD518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2" w:firstLineChars="200"/>
        <w:jc w:val="left"/>
        <w:textAlignment w:val="auto"/>
        <w:rPr>
          <w:rFonts w:hint="default"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1.项目组分工</w:t>
      </w:r>
    </w:p>
    <w:p w14:paraId="0A8E918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标准修订计划任务正式下达后，项目成立了标准编制组，并落实起草任务，确定标准的主要起草人，拟定该标准的工作计划，并对编制组成员进行了明确职责分工，详见表1。</w:t>
      </w:r>
    </w:p>
    <w:p w14:paraId="12874E35">
      <w:pPr>
        <w:spacing w:before="156" w:after="156" w:line="300" w:lineRule="auto"/>
        <w:jc w:val="center"/>
        <w:rPr>
          <w:rFonts w:ascii="宋体" w:hAnsi="宋体" w:cs="宋体"/>
          <w:b/>
          <w:bCs/>
          <w:color w:val="auto"/>
          <w:szCs w:val="21"/>
        </w:rPr>
      </w:pPr>
      <w:r>
        <w:rPr>
          <w:rFonts w:hint="eastAsia" w:ascii="宋体" w:hAnsi="宋体" w:eastAsia="宋体" w:cs="宋体"/>
          <w:b w:val="0"/>
          <w:bCs w:val="0"/>
          <w:color w:val="auto"/>
          <w:sz w:val="24"/>
          <w:szCs w:val="24"/>
        </w:rPr>
        <w:t>表1  标准编制组成员及职责</w:t>
      </w:r>
    </w:p>
    <w:tbl>
      <w:tblPr>
        <w:tblStyle w:val="6"/>
        <w:tblW w:w="0" w:type="auto"/>
        <w:tblInd w:w="164"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57" w:type="dxa"/>
          <w:left w:w="108" w:type="dxa"/>
          <w:bottom w:w="57" w:type="dxa"/>
          <w:right w:w="108" w:type="dxa"/>
        </w:tblCellMar>
      </w:tblPr>
      <w:tblGrid>
        <w:gridCol w:w="804"/>
        <w:gridCol w:w="2794"/>
        <w:gridCol w:w="4760"/>
      </w:tblGrid>
      <w:tr w14:paraId="346551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23" w:hRule="atLeast"/>
        </w:trPr>
        <w:tc>
          <w:tcPr>
            <w:tcW w:w="804" w:type="dxa"/>
            <w:tcBorders>
              <w:bottom w:val="single" w:color="auto" w:sz="8" w:space="0"/>
            </w:tcBorders>
            <w:tcMar>
              <w:top w:w="0" w:type="dxa"/>
              <w:left w:w="108" w:type="dxa"/>
              <w:bottom w:w="0" w:type="dxa"/>
              <w:right w:w="108" w:type="dxa"/>
            </w:tcMar>
            <w:vAlign w:val="center"/>
          </w:tcPr>
          <w:p w14:paraId="58AED02D">
            <w:pPr>
              <w:spacing w:beforeLines="0" w:afterLines="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796" w:type="dxa"/>
            <w:tcBorders>
              <w:bottom w:val="single" w:color="auto" w:sz="8" w:space="0"/>
            </w:tcBorders>
            <w:tcMar>
              <w:top w:w="0" w:type="dxa"/>
              <w:left w:w="108" w:type="dxa"/>
              <w:bottom w:w="0" w:type="dxa"/>
              <w:right w:w="108" w:type="dxa"/>
            </w:tcMar>
            <w:vAlign w:val="center"/>
          </w:tcPr>
          <w:p w14:paraId="10BB7E4F">
            <w:pPr>
              <w:spacing w:beforeLines="0" w:afterLines="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起草人姓名</w:t>
            </w:r>
          </w:p>
        </w:tc>
        <w:tc>
          <w:tcPr>
            <w:tcW w:w="4764" w:type="dxa"/>
            <w:tcBorders>
              <w:bottom w:val="single" w:color="auto" w:sz="8" w:space="0"/>
            </w:tcBorders>
            <w:tcMar>
              <w:top w:w="0" w:type="dxa"/>
              <w:left w:w="108" w:type="dxa"/>
              <w:bottom w:w="0" w:type="dxa"/>
              <w:right w:w="108" w:type="dxa"/>
            </w:tcMar>
            <w:vAlign w:val="center"/>
          </w:tcPr>
          <w:p w14:paraId="62420D8F">
            <w:pPr>
              <w:spacing w:beforeLines="0" w:afterLines="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职责及分工</w:t>
            </w:r>
          </w:p>
        </w:tc>
      </w:tr>
      <w:tr w14:paraId="2D5C9A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23" w:hRule="atLeast"/>
        </w:trPr>
        <w:tc>
          <w:tcPr>
            <w:tcW w:w="804" w:type="dxa"/>
            <w:tcBorders>
              <w:top w:val="single" w:color="auto" w:sz="8" w:space="0"/>
            </w:tcBorders>
            <w:tcMar>
              <w:top w:w="0" w:type="dxa"/>
              <w:left w:w="108" w:type="dxa"/>
              <w:bottom w:w="0" w:type="dxa"/>
              <w:right w:w="108" w:type="dxa"/>
            </w:tcMar>
            <w:vAlign w:val="center"/>
          </w:tcPr>
          <w:p w14:paraId="77559F62">
            <w:pPr>
              <w:spacing w:beforeLines="0" w:afterLines="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796" w:type="dxa"/>
            <w:tcBorders>
              <w:top w:val="single" w:color="auto" w:sz="8" w:space="0"/>
            </w:tcBorders>
            <w:tcMar>
              <w:top w:w="0" w:type="dxa"/>
              <w:left w:w="108" w:type="dxa"/>
              <w:bottom w:w="0" w:type="dxa"/>
              <w:right w:w="108" w:type="dxa"/>
            </w:tcMar>
            <w:vAlign w:val="center"/>
          </w:tcPr>
          <w:p w14:paraId="4FF45BC0">
            <w:pPr>
              <w:spacing w:beforeLines="0" w:afterLines="0" w:line="240" w:lineRule="auto"/>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魏连运、苏承云</w:t>
            </w:r>
          </w:p>
        </w:tc>
        <w:tc>
          <w:tcPr>
            <w:tcW w:w="4764" w:type="dxa"/>
            <w:tcBorders>
              <w:top w:val="single" w:color="auto" w:sz="8" w:space="0"/>
            </w:tcBorders>
            <w:tcMar>
              <w:top w:w="0" w:type="dxa"/>
              <w:left w:w="108" w:type="dxa"/>
              <w:bottom w:w="0" w:type="dxa"/>
              <w:right w:w="108" w:type="dxa"/>
            </w:tcMar>
            <w:vAlign w:val="center"/>
          </w:tcPr>
          <w:p w14:paraId="7B52C80F">
            <w:pPr>
              <w:spacing w:beforeLines="0" w:afterLines="0"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负责方案制定、产品情况调研、资料搜集、数据采集与汇总、主持标准条款编写、标准技术内容的审核、把关等。</w:t>
            </w:r>
          </w:p>
        </w:tc>
      </w:tr>
      <w:tr w14:paraId="6CDD70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23" w:hRule="atLeast"/>
        </w:trPr>
        <w:tc>
          <w:tcPr>
            <w:tcW w:w="804" w:type="dxa"/>
            <w:tcMar>
              <w:top w:w="0" w:type="dxa"/>
              <w:left w:w="108" w:type="dxa"/>
              <w:bottom w:w="0" w:type="dxa"/>
              <w:right w:w="108" w:type="dxa"/>
            </w:tcMar>
            <w:vAlign w:val="center"/>
          </w:tcPr>
          <w:p w14:paraId="7A799F75">
            <w:pPr>
              <w:spacing w:beforeLines="0" w:afterLines="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796" w:type="dxa"/>
            <w:tcMar>
              <w:top w:w="0" w:type="dxa"/>
              <w:left w:w="108" w:type="dxa"/>
              <w:bottom w:w="0" w:type="dxa"/>
              <w:right w:w="108" w:type="dxa"/>
            </w:tcMar>
            <w:vAlign w:val="center"/>
          </w:tcPr>
          <w:p w14:paraId="263C274C">
            <w:pPr>
              <w:spacing w:beforeLines="0" w:afterLines="0" w:line="240" w:lineRule="auto"/>
              <w:jc w:val="left"/>
              <w:rPr>
                <w:rFonts w:hint="eastAsia" w:ascii="宋体" w:hAnsi="宋体" w:eastAsia="宋体" w:cs="宋体"/>
                <w:color w:val="auto"/>
                <w:sz w:val="21"/>
                <w:szCs w:val="21"/>
                <w:highlight w:val="none"/>
              </w:rPr>
            </w:pPr>
          </w:p>
        </w:tc>
        <w:tc>
          <w:tcPr>
            <w:tcW w:w="4764" w:type="dxa"/>
            <w:tcMar>
              <w:top w:w="0" w:type="dxa"/>
              <w:left w:w="108" w:type="dxa"/>
              <w:bottom w:w="0" w:type="dxa"/>
              <w:right w:w="108" w:type="dxa"/>
            </w:tcMar>
            <w:vAlign w:val="center"/>
          </w:tcPr>
          <w:p w14:paraId="48E6A0AF">
            <w:pPr>
              <w:spacing w:beforeLines="0" w:afterLines="0"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参与产品的调研、数据收集、技术参数的确定等。</w:t>
            </w:r>
          </w:p>
        </w:tc>
      </w:tr>
      <w:tr w14:paraId="2B5F91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23" w:hRule="atLeast"/>
        </w:trPr>
        <w:tc>
          <w:tcPr>
            <w:tcW w:w="804" w:type="dxa"/>
            <w:tcMar>
              <w:top w:w="0" w:type="dxa"/>
              <w:left w:w="108" w:type="dxa"/>
              <w:bottom w:w="0" w:type="dxa"/>
              <w:right w:w="108" w:type="dxa"/>
            </w:tcMar>
            <w:vAlign w:val="center"/>
          </w:tcPr>
          <w:p w14:paraId="6B610D90">
            <w:pPr>
              <w:spacing w:beforeLines="0" w:afterLines="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796" w:type="dxa"/>
            <w:tcMar>
              <w:top w:w="0" w:type="dxa"/>
              <w:left w:w="108" w:type="dxa"/>
              <w:bottom w:w="0" w:type="dxa"/>
              <w:right w:w="108" w:type="dxa"/>
            </w:tcMar>
            <w:vAlign w:val="center"/>
          </w:tcPr>
          <w:p w14:paraId="4C341934">
            <w:pPr>
              <w:spacing w:beforeLines="0" w:afterLines="0" w:line="240" w:lineRule="auto"/>
              <w:jc w:val="left"/>
              <w:rPr>
                <w:rFonts w:hint="eastAsia" w:ascii="宋体" w:hAnsi="宋体" w:eastAsia="宋体" w:cs="宋体"/>
                <w:color w:val="auto"/>
                <w:sz w:val="21"/>
                <w:szCs w:val="21"/>
                <w:highlight w:val="none"/>
              </w:rPr>
            </w:pPr>
          </w:p>
        </w:tc>
        <w:tc>
          <w:tcPr>
            <w:tcW w:w="4764" w:type="dxa"/>
            <w:tcMar>
              <w:top w:w="0" w:type="dxa"/>
              <w:left w:w="108" w:type="dxa"/>
              <w:bottom w:w="0" w:type="dxa"/>
              <w:right w:w="108" w:type="dxa"/>
            </w:tcMar>
            <w:vAlign w:val="center"/>
          </w:tcPr>
          <w:p w14:paraId="39948103">
            <w:pPr>
              <w:spacing w:beforeLines="0" w:afterLines="0"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协助标准标准条款的确定、资料搜集、数据收集等</w:t>
            </w:r>
          </w:p>
        </w:tc>
      </w:tr>
    </w:tbl>
    <w:p w14:paraId="30C8FEF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2" w:firstLineChars="200"/>
        <w:jc w:val="left"/>
        <w:textAlignment w:val="auto"/>
        <w:rPr>
          <w:rFonts w:hint="eastAsia" w:ascii="宋体" w:hAnsi="宋体" w:eastAsia="宋体" w:cs="宋体"/>
          <w:b/>
          <w:bCs/>
          <w:kern w:val="0"/>
          <w:sz w:val="24"/>
          <w:szCs w:val="24"/>
          <w:lang w:val="en-US" w:eastAsia="zh-CN" w:bidi="ar"/>
        </w:rPr>
      </w:pPr>
    </w:p>
    <w:p w14:paraId="239F767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2"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2.编制单位技术基础</w:t>
      </w:r>
    </w:p>
    <w:p w14:paraId="327DC7EE">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2"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浙江海亮股份有限公司</w:t>
      </w:r>
      <w:r>
        <w:rPr>
          <w:rFonts w:hint="eastAsia" w:ascii="宋体" w:hAnsi="宋体" w:eastAsia="宋体" w:cs="宋体"/>
          <w:kern w:val="0"/>
          <w:sz w:val="24"/>
          <w:szCs w:val="24"/>
          <w:lang w:val="en-US" w:eastAsia="zh-CN" w:bidi="ar"/>
        </w:rPr>
        <w:t>是海亮集团核心产业全资子公司。自2001年成立以来，公司一直致力于优质铜产品、导体新材料、铝基新材料的研发、生产、销售和服务，于2008年1月16日在深圳证券交易所上市（股票代码：002203），是全球铜管棒加工行业的标杆和领袖级企业。截至2024年底，公司总资产达444.80亿元，实现总营业收入875.45亿元，利润总额6.58亿元。目前公司在浙江、上海、安徽、广东、越南、泰国、重庆、成都、山东、甘肃、美国、德国、法国、意大利、西班牙等亚洲、美洲、欧洲地区拥有23大生产基地，在国内外积累了大批优质稳定的客户，与132个国家或地区的近万家客户建立了长期业务关系，与多家行业品牌企业成为战略合作伙伴。公司牵头或参与编制已发布的国家行业等各类标准共70项（其中国家标准34项），公司在国家行业标准编制方面具有丰富的经验，可以保证该标准顺利编制完成。</w:t>
      </w:r>
    </w:p>
    <w:p w14:paraId="33A53F2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2" w:firstLineChars="200"/>
        <w:jc w:val="left"/>
        <w:textAlignment w:val="auto"/>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宁波金田铜业(集团)有限公司</w:t>
      </w:r>
    </w:p>
    <w:p w14:paraId="50799DE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2" w:firstLineChars="200"/>
        <w:jc w:val="left"/>
        <w:textAlignment w:val="auto"/>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中铝洛阳铜加工有限公司</w:t>
      </w:r>
    </w:p>
    <w:p w14:paraId="301DD0C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2" w:firstLineChars="200"/>
        <w:jc w:val="left"/>
        <w:textAlignment w:val="auto"/>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中色正锐(山东)铜业有限公司</w:t>
      </w:r>
    </w:p>
    <w:p w14:paraId="5E9A222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2" w:firstLineChars="200"/>
        <w:jc w:val="left"/>
        <w:textAlignment w:val="auto"/>
        <w:rPr>
          <w:rFonts w:hint="default"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绍兴大学</w:t>
      </w:r>
    </w:p>
    <w:p w14:paraId="182D9317">
      <w:pPr>
        <w:pStyle w:val="3"/>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（三）主要工作过程</w:t>
      </w:r>
    </w:p>
    <w:p w14:paraId="152F1F3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1. 准备阶段（2025.12-2026.1）：任务下达后，牵头单位立即成立标准修订工作组，明确各成员单位的职责分工、工作进度及时间节点；组织工作组全体成员认真学习《标准提升引领原材料工业优化升级行动方案（2025-2027年）》《铜产业高质量发展实施方案（2025-2027年）》等国家产业政策，深入研读YS/T 544-2009原标准及ASTM B 30-2023、EN 1982-2017等国际、国内相关标准；开展行业调研，收集行业内生产企业、下游用户、科研院所及检测机构的意见建议，梳理当前铜合金铸锭产业的生产现状、技术水平、市场需求及现有标准存在的问题，形成调研总结报告，为标准修订奠定坚实基础。</w:t>
      </w:r>
    </w:p>
    <w:p w14:paraId="62168C7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2. 起草阶段（2026.2-2026.3）：基于调研总结报告，工作组结合产业实际需求和先进技术发展情况，确定标准修订的核心内容和重点方向；参考国际先进标准，结合我国生产实际，起草标准修订草案初稿，明确新增产品形状、牌号、化学成分、性能指标、检验方法及验收要求等内容；组织各参与单位对草案初稿进行内部评审，针对标准内容的科学性、合理性、可操作性及与相关标准的协调性等方面提出修改意见，工作组对意见进行汇总、分析和梳理，对草案初稿进行修改完善，形成标准修订草案征求意见稿。</w:t>
      </w:r>
    </w:p>
    <w:p w14:paraId="220433A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3. 征求意见阶段（[起始时间]-[结束时间]）：</w:t>
      </w:r>
    </w:p>
    <w:p w14:paraId="2D5A850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4. 审查阶段（[起始时间]-[结束时间]）：</w:t>
      </w:r>
    </w:p>
    <w:p w14:paraId="43D85473">
      <w:pPr>
        <w:pStyle w:val="2"/>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三、编制原则</w:t>
      </w:r>
    </w:p>
    <w:p w14:paraId="098BF25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1. 符合性原则：严格遵循国家相关法律法规、产业政策及标准化工作导则，符合《标准提升引领原材料工业优化升级行动方案（2025-2027年）》《铜产业高质量发展实施方案（2025-2027年）》的总体要求，与《中华人民共和国标准化法》《中华人民共和国有色金属行业发展规划》等相关法律法规、规章保持一致，确保标准的合法性和合规性。</w:t>
      </w:r>
    </w:p>
    <w:p w14:paraId="000EB1EB">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2. 先进性原则：立足我国铜合金铸锭产业技术发展现状，吸收潜流水平连铸磁脉冲共震铸造等先进生产技术的成果，新增符合产业发展方向的产品形状、牌号及性能指标，优化检验方法，使标准能够引领产业技术升级，提升产品质量和竞争力；同时，参考ASTM B 30-2023、EN 1982-2017等国际先进标准的相关内容，结合我国实际情况进行借鉴和优化，确保标准技术水平达到国际先进、国内领先。</w:t>
      </w:r>
    </w:p>
    <w:p w14:paraId="10E554EB">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3. 实用性原则：坚持“立足产业、服务产业、引领产业”的理念，结合我国铜合金铸锭生产企业的实际生产能力、检测水平及下游行业的应用需求，确定标准的技术内容和指标要求，确保标准内容具体、明确、可操作，便于生产企业执行、检测机构检验、下游用户验收，避免标准与产业实际脱节，确保标准的实用性和可操作性。</w:t>
      </w:r>
    </w:p>
    <w:p w14:paraId="05D45B0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4. 协调性原则：注重与现行相关标准（包括国家标准、行业标准）的协调衔接，特别是与YS/T 761-2011《饮用水系统零部件用易切削铜合金铸锭》等同类型行业标准、ASTM B 30-2023、EN 1982-2017等国际标准的协调，避免标准之间出现交叉、矛盾或重复，形成完整、统一的铜合金铸锭标准体系；同时，兼顾与下游行业产品标准的衔接，提升标准的适用性。</w:t>
      </w:r>
    </w:p>
    <w:p w14:paraId="08D9530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5. 继承性与创新性相结合原则：在保留YS/T 544-2009原标准中经过实践检验、符合当前产业需求的合理内容的基础上，结合产业技术创新和市场需求变化，新增相关技术内容、优化技术指标、完善检验方法，实现标准的继承与创新有机结合，既保证标准的连续性，又适应产业发展的新需求。</w:t>
      </w:r>
    </w:p>
    <w:p w14:paraId="248FDEC6">
      <w:pPr>
        <w:pStyle w:val="2"/>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四、确定标准主要内容的论据</w:t>
      </w:r>
    </w:p>
    <w:p w14:paraId="643ED43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本次标准修订主要包括以下内容：</w:t>
      </w:r>
    </w:p>
    <w:p w14:paraId="601A95E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a)增加了三种铜锭形状(见文本</w:t>
      </w:r>
      <w:r>
        <w:rPr>
          <w:rFonts w:hint="eastAsia" w:ascii="宋体" w:hAnsi="宋体" w:eastAsia="宋体" w:cs="宋体"/>
          <w:kern w:val="0"/>
          <w:sz w:val="24"/>
          <w:szCs w:val="24"/>
          <w:lang w:val="en-US" w:eastAsia="zh-CN" w:bidi="ar"/>
        </w:rPr>
        <w:t>图1中Ⅲ、Ⅳ、Ⅴ，2009年版的图1）；</w:t>
      </w:r>
    </w:p>
    <w:p w14:paraId="5972FD3E">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b)增加了十一个铜锭牌号：其中普通黄铜一个：ZH65；铝黄铜一个：ZHAl63-1-0.1-0.1；铅黄铜两个：ZHPb61-1、ZHPb63-1-0.1；铋黄铜两个：ZHBi62-1、ZHBi60-1；硅黄铜2个：ZHSi62-0.8、ZHSi63-1；锡青铜三个：ZQSn9-7-3、ZQSn7-7-3、ZQSn5-5-2（见文本</w:t>
      </w:r>
      <w:r>
        <w:rPr>
          <w:rFonts w:hint="eastAsia" w:ascii="宋体" w:hAnsi="宋体" w:eastAsia="宋体" w:cs="宋体"/>
          <w:kern w:val="0"/>
          <w:sz w:val="24"/>
          <w:szCs w:val="24"/>
          <w:lang w:val="en-US" w:eastAsia="zh-CN" w:bidi="ar"/>
        </w:rPr>
        <w:t>表1和表2,2009年版的表1和表2）；</w:t>
      </w:r>
    </w:p>
    <w:p w14:paraId="7796CA4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c)更改了断口要求，给出了量化指标（见文本</w:t>
      </w:r>
      <w:r>
        <w:rPr>
          <w:rFonts w:hint="eastAsia" w:ascii="宋体" w:hAnsi="宋体" w:eastAsia="宋体" w:cs="宋体"/>
          <w:kern w:val="0"/>
          <w:sz w:val="24"/>
          <w:szCs w:val="24"/>
          <w:lang w:val="en-US" w:eastAsia="zh-CN" w:bidi="ar"/>
        </w:rPr>
        <w:t>4.4，2009版3.4）；</w:t>
      </w:r>
    </w:p>
    <w:p w14:paraId="1D3D822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d)更改了耐脱锌腐蚀性能测试要求，给出了量化指标（见文本</w:t>
      </w:r>
      <w:r>
        <w:rPr>
          <w:rFonts w:hint="eastAsia" w:ascii="宋体" w:hAnsi="宋体" w:eastAsia="宋体" w:cs="宋体"/>
          <w:kern w:val="0"/>
          <w:sz w:val="24"/>
          <w:szCs w:val="24"/>
          <w:lang w:val="en-US" w:eastAsia="zh-CN" w:bidi="ar"/>
        </w:rPr>
        <w:t>4.6，2009版3.5）；</w:t>
      </w:r>
    </w:p>
    <w:p w14:paraId="3155022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e)增加了晶粒度要求（见文本</w:t>
      </w:r>
      <w:r>
        <w:rPr>
          <w:rFonts w:hint="eastAsia" w:ascii="宋体" w:hAnsi="宋体" w:eastAsia="宋体" w:cs="宋体"/>
          <w:kern w:val="0"/>
          <w:sz w:val="24"/>
          <w:szCs w:val="24"/>
          <w:lang w:val="en-US" w:eastAsia="zh-CN" w:bidi="ar"/>
        </w:rPr>
        <w:t>4.6）；</w:t>
      </w:r>
    </w:p>
    <w:p w14:paraId="60A619C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f)增加了化学成分检测方法YS/T 482或YS/T 483的规定（见5.1，2009版4.1）；</w:t>
      </w:r>
    </w:p>
    <w:p w14:paraId="596E60F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g)更改了断口镜面抛光检验方法要求（见5.2.2，2009版4.2.2）；</w:t>
      </w:r>
    </w:p>
    <w:p w14:paraId="4576750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h)更改了组批规定：由“每批不超过1000kg”更改为“每批不超过3炉，每批不超过2000kg。</w:t>
      </w:r>
    </w:p>
    <w:p w14:paraId="559FD95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以上各部分修订内容的确定均基于产业实际、技术发展、下游需求及国际对标，具体论据如下：</w:t>
      </w:r>
    </w:p>
    <w:p w14:paraId="13317402">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beforeAutospacing="0" w:afterAutospacing="0" w:line="360" w:lineRule="auto"/>
        <w:ind w:firstLine="482"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新增三种铜锭形状：</w:t>
      </w:r>
      <w:r>
        <w:rPr>
          <w:rFonts w:hint="eastAsia" w:ascii="宋体" w:hAnsi="宋体" w:eastAsia="宋体" w:cs="宋体"/>
          <w:kern w:val="0"/>
          <w:sz w:val="24"/>
          <w:szCs w:val="24"/>
          <w:lang w:val="en-US" w:eastAsia="zh-CN" w:bidi="ar"/>
        </w:rPr>
        <w:t>随着水平连铸等先进生产工艺的应用，现有标准规定的铜锭形状已无法满足下游行业（如卫浴、精密机械）对铜锭外形的个性化需求，部分企业已批量生产新型形状铜锭并广泛应用。本次新增的三种铜锭形状，参考了行业内骨干企业的实际生产参数和下游用户的使用需求，结合现场连铸工艺的生产及脱模特点，确定了具体尺寸参数（详见表1），能够适配下游产品的加工需求，提高加工效率，降低加工成本，经多家生产企业和下游用户验证，该形状设计科学、实用，符合产业发展需求。</w:t>
      </w:r>
    </w:p>
    <w:p w14:paraId="1645B2A0">
      <w:pPr>
        <w:pStyle w:val="5"/>
        <w:numPr>
          <w:ilvl w:val="0"/>
          <w:numId w:val="0"/>
        </w:numPr>
        <w:rPr>
          <w:rFonts w:hint="eastAsia" w:eastAsia="宋体"/>
          <w:lang w:eastAsia="zh-CN"/>
        </w:rPr>
      </w:pPr>
      <w:r>
        <w:rPr>
          <w:rFonts w:hint="eastAsia" w:eastAsia="宋体"/>
          <w:lang w:eastAsia="zh-CN"/>
        </w:rPr>
        <w:drawing>
          <wp:inline distT="0" distB="0" distL="114300" distR="114300">
            <wp:extent cx="1697355" cy="2268220"/>
            <wp:effectExtent l="0" t="0" r="9525" b="2540"/>
            <wp:docPr id="1" name="图片 1" descr="img_v3_02vb_3dddd239-273a-45ac-8682-7c85c8094f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v3_02vb_3dddd239-273a-45ac-8682-7c85c8094feg"/>
                    <pic:cNvPicPr>
                      <a:picLocks noChangeAspect="1"/>
                    </pic:cNvPicPr>
                  </pic:nvPicPr>
                  <pic:blipFill>
                    <a:blip r:embed="rId4"/>
                    <a:srcRect t="19786" b="19764"/>
                    <a:stretch>
                      <a:fillRect/>
                    </a:stretch>
                  </pic:blipFill>
                  <pic:spPr>
                    <a:xfrm>
                      <a:off x="0" y="0"/>
                      <a:ext cx="1697355" cy="2268220"/>
                    </a:xfrm>
                    <a:prstGeom prst="rect">
                      <a:avLst/>
                    </a:prstGeom>
                  </pic:spPr>
                </pic:pic>
              </a:graphicData>
            </a:graphic>
          </wp:inline>
        </w:drawing>
      </w:r>
      <w:r>
        <w:rPr>
          <w:rFonts w:hint="eastAsia" w:eastAsia="宋体"/>
          <w:lang w:eastAsia="zh-CN"/>
        </w:rPr>
        <w:drawing>
          <wp:inline distT="0" distB="0" distL="114300" distR="114300">
            <wp:extent cx="1822450" cy="2252345"/>
            <wp:effectExtent l="0" t="0" r="6350" b="3175"/>
            <wp:docPr id="2" name="图片 2" descr="img_v3_02ve_b9d07583-f5ec-43d3-aa2d-dc793772b5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v3_02ve_b9d07583-f5ec-43d3-aa2d-dc793772b5fg"/>
                    <pic:cNvPicPr>
                      <a:picLocks noChangeAspect="1"/>
                    </pic:cNvPicPr>
                  </pic:nvPicPr>
                  <pic:blipFill>
                    <a:blip r:embed="rId5"/>
                    <a:srcRect t="19966" b="8179"/>
                    <a:stretch>
                      <a:fillRect/>
                    </a:stretch>
                  </pic:blipFill>
                  <pic:spPr>
                    <a:xfrm>
                      <a:off x="0" y="0"/>
                      <a:ext cx="1822450" cy="2252345"/>
                    </a:xfrm>
                    <a:prstGeom prst="rect">
                      <a:avLst/>
                    </a:prstGeom>
                  </pic:spPr>
                </pic:pic>
              </a:graphicData>
            </a:graphic>
          </wp:inline>
        </w:drawing>
      </w:r>
      <w:r>
        <w:rPr>
          <w:rFonts w:hint="eastAsia" w:eastAsia="宋体"/>
          <w:lang w:eastAsia="zh-CN"/>
        </w:rPr>
        <w:drawing>
          <wp:inline distT="0" distB="0" distL="114300" distR="114300">
            <wp:extent cx="1687195" cy="2246630"/>
            <wp:effectExtent l="0" t="0" r="4445" b="8890"/>
            <wp:docPr id="3" name="图片 3" descr="65f473e3-63ae-40e4-86de-04f1ebd678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5f473e3-63ae-40e4-86de-04f1ebd678b3"/>
                    <pic:cNvPicPr>
                      <a:picLocks noChangeAspect="1"/>
                    </pic:cNvPicPr>
                  </pic:nvPicPr>
                  <pic:blipFill>
                    <a:blip r:embed="rId6"/>
                    <a:stretch>
                      <a:fillRect/>
                    </a:stretch>
                  </pic:blipFill>
                  <pic:spPr>
                    <a:xfrm>
                      <a:off x="0" y="0"/>
                      <a:ext cx="1687195" cy="2246630"/>
                    </a:xfrm>
                    <a:prstGeom prst="rect">
                      <a:avLst/>
                    </a:prstGeom>
                  </pic:spPr>
                </pic:pic>
              </a:graphicData>
            </a:graphic>
          </wp:inline>
        </w:drawing>
      </w:r>
    </w:p>
    <w:p w14:paraId="65CB99A3">
      <w:pPr>
        <w:pStyle w:val="5"/>
        <w:numPr>
          <w:ilvl w:val="0"/>
          <w:numId w:val="0"/>
        </w:numPr>
        <w:ind w:firstLine="630" w:firstLineChars="300"/>
        <w:rPr>
          <w:rFonts w:hint="default" w:ascii="宋体" w:hAnsi="宋体" w:eastAsia="宋体" w:cs="宋体"/>
          <w:kern w:val="0"/>
          <w:sz w:val="24"/>
          <w:szCs w:val="24"/>
          <w:lang w:val="en-US" w:eastAsia="zh-CN" w:bidi="ar"/>
        </w:rPr>
      </w:pPr>
      <w:r>
        <w:rPr>
          <w:rFonts w:hint="eastAsia"/>
          <w:lang w:val="en-US" w:eastAsia="zh-CN"/>
        </w:rPr>
        <w:t>图1 长方形铸锭           图2 船型铸锭         图3 底部带梯形槽的船型铸锭</w:t>
      </w:r>
    </w:p>
    <w:p w14:paraId="426793CF">
      <w:pPr>
        <w:pStyle w:val="4"/>
        <w:adjustRightInd/>
        <w:ind w:firstLine="1155" w:firstLineChars="550"/>
        <w:jc w:val="center"/>
        <w:textAlignment w:val="auto"/>
        <w:rPr>
          <w:rFonts w:hint="eastAsia"/>
        </w:rPr>
      </w:pPr>
      <w:r>
        <w:rPr>
          <w:rFonts w:hint="eastAsia"/>
          <w:lang w:val="en-US" w:eastAsia="zh-CN"/>
        </w:rPr>
        <w:t xml:space="preserve">      </w:t>
      </w:r>
      <w:r>
        <w:rPr>
          <w:rFonts w:hint="eastAsia"/>
        </w:rPr>
        <w:t xml:space="preserve"> </w:t>
      </w:r>
      <w:r>
        <w:rPr>
          <w:rFonts w:hint="eastAsia"/>
          <w:b/>
        </w:rPr>
        <w:t xml:space="preserve"> </w:t>
      </w:r>
      <w:r>
        <w:rPr>
          <w:rFonts w:hint="eastAsia" w:ascii="黑体" w:hAnsi="黑体" w:eastAsia="黑体" w:cs="黑体"/>
          <w:b w:val="0"/>
          <w:bCs/>
        </w:rPr>
        <w:t>表</w:t>
      </w:r>
      <w:r>
        <w:rPr>
          <w:rFonts w:hint="eastAsia" w:ascii="黑体" w:hAnsi="黑体" w:eastAsia="黑体" w:cs="黑体"/>
          <w:b w:val="0"/>
          <w:bCs/>
          <w:lang w:val="en-US" w:eastAsia="zh-CN"/>
        </w:rPr>
        <w:t>1</w:t>
      </w:r>
      <w:r>
        <w:rPr>
          <w:rFonts w:hint="eastAsia" w:ascii="黑体" w:hAnsi="黑体" w:eastAsia="黑体" w:cs="黑体"/>
          <w:b w:val="0"/>
          <w:bCs/>
        </w:rPr>
        <w:t xml:space="preserve"> 产品形状</w:t>
      </w:r>
      <w:r>
        <w:rPr>
          <w:rFonts w:hint="eastAsia" w:ascii="黑体" w:hAnsi="黑体" w:eastAsia="黑体" w:cs="黑体"/>
          <w:b w:val="0"/>
          <w:bCs/>
          <w:color w:val="auto"/>
        </w:rPr>
        <w:t>和尺寸</w:t>
      </w:r>
      <w:r>
        <w:rPr>
          <w:rFonts w:hint="eastAsia"/>
          <w:b/>
          <w:color w:val="auto"/>
        </w:rPr>
        <w:t xml:space="preserve">  </w:t>
      </w:r>
      <w:r>
        <w:rPr>
          <w:rFonts w:hint="eastAsia"/>
          <w:color w:val="auto"/>
        </w:rPr>
        <w:t xml:space="preserve">                  </w:t>
      </w:r>
      <w:r>
        <w:rPr>
          <w:rFonts w:hint="eastAsia" w:ascii="黑体" w:hAnsi="黑体" w:eastAsia="黑体" w:cs="黑体"/>
          <w:b w:val="0"/>
          <w:bCs/>
        </w:rPr>
        <w:t>单位为毫米</w:t>
      </w:r>
    </w:p>
    <w:tbl>
      <w:tblPr>
        <w:tblStyle w:val="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1326"/>
        <w:gridCol w:w="688"/>
        <w:gridCol w:w="690"/>
        <w:gridCol w:w="1077"/>
        <w:gridCol w:w="690"/>
        <w:gridCol w:w="562"/>
        <w:gridCol w:w="562"/>
        <w:gridCol w:w="562"/>
        <w:gridCol w:w="562"/>
        <w:gridCol w:w="989"/>
      </w:tblGrid>
      <w:tr w14:paraId="418C9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vMerge w:val="restart"/>
            <w:noWrap w:val="0"/>
            <w:vAlign w:val="center"/>
          </w:tcPr>
          <w:p w14:paraId="7AB5057C">
            <w:pPr>
              <w:jc w:val="center"/>
              <w:rPr>
                <w:rFonts w:hint="default" w:ascii="宋体" w:hAnsi="宋体" w:eastAsia="宋体" w:cs="宋体"/>
                <w:sz w:val="18"/>
                <w:szCs w:val="18"/>
                <w:highlight w:val="none"/>
                <w:lang w:val="en-US" w:eastAsia="zh-CN"/>
              </w:rPr>
            </w:pPr>
            <w:r>
              <w:rPr>
                <w:rFonts w:hint="eastAsia" w:ascii="黑体" w:hAnsi="黑体" w:eastAsia="黑体" w:cs="黑体"/>
                <w:sz w:val="18"/>
                <w:szCs w:val="18"/>
                <w:highlight w:val="none"/>
                <w:lang w:val="en-US" w:eastAsia="zh-CN"/>
              </w:rPr>
              <w:t>形状</w:t>
            </w:r>
          </w:p>
        </w:tc>
        <w:tc>
          <w:tcPr>
            <w:tcW w:w="4523" w:type="pct"/>
            <w:gridSpan w:val="10"/>
            <w:noWrap w:val="0"/>
            <w:vAlign w:val="bottom"/>
          </w:tcPr>
          <w:p w14:paraId="582154D6">
            <w:pPr>
              <w:jc w:val="center"/>
              <w:rPr>
                <w:rFonts w:hint="default" w:ascii="宋体" w:hAnsi="宋体" w:eastAsia="宋体" w:cs="宋体"/>
                <w:sz w:val="18"/>
                <w:szCs w:val="18"/>
                <w:highlight w:val="none"/>
                <w:lang w:val="en-US" w:eastAsia="zh-CN"/>
              </w:rPr>
            </w:pPr>
            <w:r>
              <w:rPr>
                <w:rFonts w:hint="eastAsia" w:ascii="黑体" w:hAnsi="黑体" w:eastAsia="黑体" w:cs="黑体"/>
                <w:sz w:val="18"/>
                <w:szCs w:val="18"/>
                <w:highlight w:val="none"/>
                <w:lang w:val="en-US" w:eastAsia="zh-CN"/>
              </w:rPr>
              <w:t>尺寸</w:t>
            </w:r>
          </w:p>
        </w:tc>
      </w:tr>
      <w:tr w14:paraId="1F1FD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vMerge w:val="continue"/>
            <w:noWrap w:val="0"/>
            <w:vAlign w:val="bottom"/>
          </w:tcPr>
          <w:p w14:paraId="5A87345B">
            <w:pPr>
              <w:jc w:val="center"/>
              <w:rPr>
                <w:rFonts w:hint="eastAsia" w:ascii="宋体" w:hAnsi="宋体" w:eastAsia="宋体" w:cs="宋体"/>
                <w:sz w:val="18"/>
                <w:szCs w:val="18"/>
                <w:highlight w:val="none"/>
              </w:rPr>
            </w:pPr>
          </w:p>
        </w:tc>
        <w:tc>
          <w:tcPr>
            <w:tcW w:w="778" w:type="pct"/>
            <w:noWrap w:val="0"/>
            <w:vAlign w:val="bottom"/>
          </w:tcPr>
          <w:p w14:paraId="48F23B26">
            <w:pPr>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L</w:t>
            </w:r>
          </w:p>
        </w:tc>
        <w:tc>
          <w:tcPr>
            <w:tcW w:w="404" w:type="pct"/>
            <w:noWrap w:val="0"/>
            <w:vAlign w:val="bottom"/>
          </w:tcPr>
          <w:p w14:paraId="281262E7">
            <w:pPr>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L1</w:t>
            </w:r>
          </w:p>
        </w:tc>
        <w:tc>
          <w:tcPr>
            <w:tcW w:w="405" w:type="pct"/>
            <w:noWrap w:val="0"/>
            <w:vAlign w:val="bottom"/>
          </w:tcPr>
          <w:p w14:paraId="22F5AC2B">
            <w:pPr>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L2</w:t>
            </w:r>
          </w:p>
        </w:tc>
        <w:tc>
          <w:tcPr>
            <w:tcW w:w="632" w:type="pct"/>
            <w:noWrap w:val="0"/>
            <w:vAlign w:val="bottom"/>
          </w:tcPr>
          <w:p w14:paraId="755E9F70">
            <w:pPr>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H</w:t>
            </w:r>
          </w:p>
        </w:tc>
        <w:tc>
          <w:tcPr>
            <w:tcW w:w="405" w:type="pct"/>
            <w:noWrap w:val="0"/>
            <w:vAlign w:val="bottom"/>
          </w:tcPr>
          <w:p w14:paraId="544BF168">
            <w:pPr>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A</w:t>
            </w:r>
          </w:p>
        </w:tc>
        <w:tc>
          <w:tcPr>
            <w:tcW w:w="330" w:type="pct"/>
            <w:noWrap w:val="0"/>
            <w:vAlign w:val="bottom"/>
          </w:tcPr>
          <w:p w14:paraId="34F0BAE0">
            <w:pPr>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a</w:t>
            </w:r>
          </w:p>
        </w:tc>
        <w:tc>
          <w:tcPr>
            <w:tcW w:w="330" w:type="pct"/>
            <w:noWrap w:val="0"/>
            <w:vAlign w:val="bottom"/>
          </w:tcPr>
          <w:p w14:paraId="720A7A99">
            <w:pPr>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B</w:t>
            </w:r>
          </w:p>
        </w:tc>
        <w:tc>
          <w:tcPr>
            <w:tcW w:w="330" w:type="pct"/>
            <w:noWrap w:val="0"/>
            <w:vAlign w:val="bottom"/>
          </w:tcPr>
          <w:p w14:paraId="5FC92039">
            <w:pPr>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D</w:t>
            </w:r>
          </w:p>
        </w:tc>
        <w:tc>
          <w:tcPr>
            <w:tcW w:w="330" w:type="pct"/>
            <w:noWrap w:val="0"/>
            <w:vAlign w:val="bottom"/>
          </w:tcPr>
          <w:p w14:paraId="2D850859">
            <w:pPr>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d</w:t>
            </w:r>
          </w:p>
        </w:tc>
        <w:tc>
          <w:tcPr>
            <w:tcW w:w="578" w:type="pct"/>
            <w:noWrap w:val="0"/>
            <w:vAlign w:val="bottom"/>
          </w:tcPr>
          <w:p w14:paraId="20FFB257">
            <w:pPr>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R</w:t>
            </w:r>
          </w:p>
        </w:tc>
      </w:tr>
      <w:tr w14:paraId="3614C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vMerge w:val="restart"/>
            <w:noWrap w:val="0"/>
            <w:vAlign w:val="center"/>
          </w:tcPr>
          <w:p w14:paraId="1E95469A">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Ⅰ</w:t>
            </w:r>
          </w:p>
        </w:tc>
        <w:tc>
          <w:tcPr>
            <w:tcW w:w="778" w:type="pct"/>
            <w:noWrap w:val="0"/>
            <w:vAlign w:val="center"/>
          </w:tcPr>
          <w:p w14:paraId="2A490B5D">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700</w:t>
            </w:r>
          </w:p>
        </w:tc>
        <w:tc>
          <w:tcPr>
            <w:tcW w:w="404" w:type="pct"/>
            <w:noWrap w:val="0"/>
            <w:vAlign w:val="center"/>
          </w:tcPr>
          <w:p w14:paraId="4926CD49">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673</w:t>
            </w:r>
          </w:p>
        </w:tc>
        <w:tc>
          <w:tcPr>
            <w:tcW w:w="405" w:type="pct"/>
            <w:noWrap w:val="0"/>
            <w:vAlign w:val="center"/>
          </w:tcPr>
          <w:p w14:paraId="46F3C048">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w:t>
            </w:r>
          </w:p>
        </w:tc>
        <w:tc>
          <w:tcPr>
            <w:tcW w:w="632" w:type="pct"/>
            <w:noWrap w:val="0"/>
            <w:vAlign w:val="center"/>
          </w:tcPr>
          <w:p w14:paraId="6A709F2C">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30</w:t>
            </w:r>
          </w:p>
        </w:tc>
        <w:tc>
          <w:tcPr>
            <w:tcW w:w="405" w:type="pct"/>
            <w:noWrap w:val="0"/>
            <w:vAlign w:val="center"/>
          </w:tcPr>
          <w:p w14:paraId="415B596A">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70</w:t>
            </w:r>
          </w:p>
        </w:tc>
        <w:tc>
          <w:tcPr>
            <w:tcW w:w="330" w:type="pct"/>
            <w:noWrap w:val="0"/>
            <w:vAlign w:val="center"/>
          </w:tcPr>
          <w:p w14:paraId="7290CD3B">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43</w:t>
            </w:r>
          </w:p>
        </w:tc>
        <w:tc>
          <w:tcPr>
            <w:tcW w:w="330" w:type="pct"/>
            <w:noWrap w:val="0"/>
            <w:vAlign w:val="center"/>
          </w:tcPr>
          <w:p w14:paraId="40DB5B2A">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10</w:t>
            </w:r>
          </w:p>
        </w:tc>
        <w:tc>
          <w:tcPr>
            <w:tcW w:w="330" w:type="pct"/>
            <w:noWrap w:val="0"/>
            <w:vAlign w:val="center"/>
          </w:tcPr>
          <w:p w14:paraId="5E3FFBAA">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w:t>
            </w:r>
          </w:p>
        </w:tc>
        <w:tc>
          <w:tcPr>
            <w:tcW w:w="330" w:type="pct"/>
            <w:noWrap w:val="0"/>
            <w:vAlign w:val="center"/>
          </w:tcPr>
          <w:p w14:paraId="7282FF16">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w:t>
            </w:r>
          </w:p>
        </w:tc>
        <w:tc>
          <w:tcPr>
            <w:tcW w:w="578" w:type="pct"/>
            <w:noWrap w:val="0"/>
            <w:vAlign w:val="center"/>
          </w:tcPr>
          <w:p w14:paraId="6F8E036F">
            <w:pPr>
              <w:jc w:val="center"/>
              <w:rPr>
                <w:rFonts w:hint="eastAsia" w:ascii="宋体" w:hAnsi="宋体" w:eastAsia="宋体" w:cs="宋体"/>
                <w:sz w:val="18"/>
                <w:szCs w:val="18"/>
                <w:highlight w:val="none"/>
              </w:rPr>
            </w:pPr>
          </w:p>
        </w:tc>
      </w:tr>
      <w:tr w14:paraId="739E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vMerge w:val="continue"/>
            <w:noWrap w:val="0"/>
            <w:vAlign w:val="bottom"/>
          </w:tcPr>
          <w:p w14:paraId="4F6F41C3">
            <w:pPr>
              <w:jc w:val="center"/>
              <w:rPr>
                <w:rFonts w:hint="eastAsia" w:ascii="宋体" w:hAnsi="宋体" w:eastAsia="宋体" w:cs="宋体"/>
                <w:sz w:val="18"/>
                <w:szCs w:val="18"/>
                <w:highlight w:val="none"/>
              </w:rPr>
            </w:pPr>
          </w:p>
        </w:tc>
        <w:tc>
          <w:tcPr>
            <w:tcW w:w="778" w:type="pct"/>
            <w:noWrap w:val="0"/>
            <w:vAlign w:val="center"/>
          </w:tcPr>
          <w:p w14:paraId="79CB2B0B">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450</w:t>
            </w:r>
          </w:p>
        </w:tc>
        <w:tc>
          <w:tcPr>
            <w:tcW w:w="404" w:type="pct"/>
            <w:noWrap w:val="0"/>
            <w:vAlign w:val="center"/>
          </w:tcPr>
          <w:p w14:paraId="48904784">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410</w:t>
            </w:r>
          </w:p>
        </w:tc>
        <w:tc>
          <w:tcPr>
            <w:tcW w:w="405" w:type="pct"/>
            <w:noWrap w:val="0"/>
            <w:vAlign w:val="center"/>
          </w:tcPr>
          <w:p w14:paraId="28E02569">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w:t>
            </w:r>
          </w:p>
        </w:tc>
        <w:tc>
          <w:tcPr>
            <w:tcW w:w="632" w:type="pct"/>
            <w:noWrap w:val="0"/>
            <w:vAlign w:val="center"/>
          </w:tcPr>
          <w:p w14:paraId="7A71763E">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50</w:t>
            </w:r>
          </w:p>
        </w:tc>
        <w:tc>
          <w:tcPr>
            <w:tcW w:w="405" w:type="pct"/>
            <w:noWrap w:val="0"/>
            <w:vAlign w:val="center"/>
          </w:tcPr>
          <w:p w14:paraId="1CA985D6">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330" w:type="pct"/>
            <w:noWrap w:val="0"/>
            <w:vAlign w:val="center"/>
          </w:tcPr>
          <w:p w14:paraId="1A8AF980">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48</w:t>
            </w:r>
          </w:p>
        </w:tc>
        <w:tc>
          <w:tcPr>
            <w:tcW w:w="330" w:type="pct"/>
            <w:noWrap w:val="0"/>
            <w:vAlign w:val="center"/>
          </w:tcPr>
          <w:p w14:paraId="7B928458">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10</w:t>
            </w:r>
          </w:p>
        </w:tc>
        <w:tc>
          <w:tcPr>
            <w:tcW w:w="330" w:type="pct"/>
            <w:noWrap w:val="0"/>
            <w:vAlign w:val="center"/>
          </w:tcPr>
          <w:p w14:paraId="3CA1759D">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w:t>
            </w:r>
          </w:p>
        </w:tc>
        <w:tc>
          <w:tcPr>
            <w:tcW w:w="330" w:type="pct"/>
            <w:noWrap w:val="0"/>
            <w:vAlign w:val="center"/>
          </w:tcPr>
          <w:p w14:paraId="0AAB5FE0">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w:t>
            </w:r>
          </w:p>
        </w:tc>
        <w:tc>
          <w:tcPr>
            <w:tcW w:w="578" w:type="pct"/>
            <w:noWrap w:val="0"/>
            <w:vAlign w:val="center"/>
          </w:tcPr>
          <w:p w14:paraId="0A0DD4A1">
            <w:pPr>
              <w:jc w:val="center"/>
              <w:rPr>
                <w:rFonts w:hint="eastAsia" w:ascii="宋体" w:hAnsi="宋体" w:eastAsia="宋体" w:cs="宋体"/>
                <w:sz w:val="18"/>
                <w:szCs w:val="18"/>
                <w:highlight w:val="none"/>
              </w:rPr>
            </w:pPr>
          </w:p>
        </w:tc>
      </w:tr>
      <w:tr w14:paraId="30DE7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noWrap w:val="0"/>
            <w:vAlign w:val="bottom"/>
          </w:tcPr>
          <w:p w14:paraId="37EB9D48">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Ⅱ</w:t>
            </w:r>
          </w:p>
        </w:tc>
        <w:tc>
          <w:tcPr>
            <w:tcW w:w="778" w:type="pct"/>
            <w:noWrap w:val="0"/>
            <w:vAlign w:val="center"/>
          </w:tcPr>
          <w:p w14:paraId="4B66EA18">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500</w:t>
            </w:r>
          </w:p>
        </w:tc>
        <w:tc>
          <w:tcPr>
            <w:tcW w:w="404" w:type="pct"/>
            <w:noWrap w:val="0"/>
            <w:vAlign w:val="center"/>
          </w:tcPr>
          <w:p w14:paraId="7C180854">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380</w:t>
            </w:r>
          </w:p>
        </w:tc>
        <w:tc>
          <w:tcPr>
            <w:tcW w:w="405" w:type="pct"/>
            <w:noWrap w:val="0"/>
            <w:vAlign w:val="center"/>
          </w:tcPr>
          <w:p w14:paraId="1036AE32">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420</w:t>
            </w:r>
          </w:p>
        </w:tc>
        <w:tc>
          <w:tcPr>
            <w:tcW w:w="632" w:type="pct"/>
            <w:noWrap w:val="0"/>
            <w:vAlign w:val="center"/>
          </w:tcPr>
          <w:p w14:paraId="6DD770D3">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405" w:type="pct"/>
            <w:noWrap w:val="0"/>
            <w:vAlign w:val="center"/>
          </w:tcPr>
          <w:p w14:paraId="67C0C5C7">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100</w:t>
            </w:r>
          </w:p>
        </w:tc>
        <w:tc>
          <w:tcPr>
            <w:tcW w:w="330" w:type="pct"/>
            <w:noWrap w:val="0"/>
            <w:vAlign w:val="center"/>
          </w:tcPr>
          <w:p w14:paraId="652133E0">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10</w:t>
            </w:r>
          </w:p>
        </w:tc>
        <w:tc>
          <w:tcPr>
            <w:tcW w:w="330" w:type="pct"/>
            <w:noWrap w:val="0"/>
            <w:vAlign w:val="center"/>
          </w:tcPr>
          <w:p w14:paraId="7E034E2C">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w:t>
            </w:r>
          </w:p>
        </w:tc>
        <w:tc>
          <w:tcPr>
            <w:tcW w:w="330" w:type="pct"/>
            <w:noWrap w:val="0"/>
            <w:vAlign w:val="center"/>
          </w:tcPr>
          <w:p w14:paraId="283222BA">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50</w:t>
            </w:r>
          </w:p>
        </w:tc>
        <w:tc>
          <w:tcPr>
            <w:tcW w:w="330" w:type="pct"/>
            <w:noWrap w:val="0"/>
            <w:vAlign w:val="center"/>
          </w:tcPr>
          <w:p w14:paraId="454266D3">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25</w:t>
            </w:r>
          </w:p>
        </w:tc>
        <w:tc>
          <w:tcPr>
            <w:tcW w:w="578" w:type="pct"/>
            <w:noWrap w:val="0"/>
            <w:vAlign w:val="center"/>
          </w:tcPr>
          <w:p w14:paraId="67F57679">
            <w:pPr>
              <w:jc w:val="center"/>
              <w:rPr>
                <w:rFonts w:hint="eastAsia" w:ascii="宋体" w:hAnsi="宋体" w:eastAsia="宋体" w:cs="宋体"/>
                <w:sz w:val="18"/>
                <w:szCs w:val="18"/>
                <w:highlight w:val="none"/>
              </w:rPr>
            </w:pPr>
          </w:p>
        </w:tc>
      </w:tr>
      <w:tr w14:paraId="42E2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noWrap w:val="0"/>
            <w:vAlign w:val="bottom"/>
          </w:tcPr>
          <w:p w14:paraId="41B1312A">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Ⅲ</w:t>
            </w:r>
          </w:p>
        </w:tc>
        <w:tc>
          <w:tcPr>
            <w:tcW w:w="778" w:type="pct"/>
            <w:noWrap w:val="0"/>
            <w:vAlign w:val="center"/>
          </w:tcPr>
          <w:p w14:paraId="31E7E19B">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430</w:t>
            </w:r>
          </w:p>
        </w:tc>
        <w:tc>
          <w:tcPr>
            <w:tcW w:w="404" w:type="pct"/>
            <w:noWrap w:val="0"/>
            <w:vAlign w:val="center"/>
          </w:tcPr>
          <w:p w14:paraId="1AE90EAD">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390</w:t>
            </w:r>
          </w:p>
        </w:tc>
        <w:tc>
          <w:tcPr>
            <w:tcW w:w="405" w:type="pct"/>
            <w:noWrap w:val="0"/>
            <w:vAlign w:val="center"/>
          </w:tcPr>
          <w:p w14:paraId="7D65096C">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255</w:t>
            </w:r>
          </w:p>
        </w:tc>
        <w:tc>
          <w:tcPr>
            <w:tcW w:w="632" w:type="pct"/>
            <w:noWrap w:val="0"/>
            <w:vAlign w:val="center"/>
          </w:tcPr>
          <w:p w14:paraId="7C3B9DB6">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51</w:t>
            </w:r>
          </w:p>
        </w:tc>
        <w:tc>
          <w:tcPr>
            <w:tcW w:w="405" w:type="pct"/>
            <w:noWrap w:val="0"/>
            <w:vAlign w:val="center"/>
          </w:tcPr>
          <w:p w14:paraId="722FFB24">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330" w:type="pct"/>
            <w:noWrap w:val="0"/>
            <w:vAlign w:val="center"/>
          </w:tcPr>
          <w:p w14:paraId="14FBB6A1">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55</w:t>
            </w:r>
          </w:p>
        </w:tc>
        <w:tc>
          <w:tcPr>
            <w:tcW w:w="330" w:type="pct"/>
            <w:noWrap w:val="0"/>
            <w:vAlign w:val="center"/>
          </w:tcPr>
          <w:p w14:paraId="2EA46AA5">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40</w:t>
            </w:r>
          </w:p>
        </w:tc>
        <w:tc>
          <w:tcPr>
            <w:tcW w:w="330" w:type="pct"/>
            <w:noWrap w:val="0"/>
            <w:vAlign w:val="center"/>
          </w:tcPr>
          <w:p w14:paraId="1FF2A88D">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w:t>
            </w:r>
          </w:p>
        </w:tc>
        <w:tc>
          <w:tcPr>
            <w:tcW w:w="330" w:type="pct"/>
            <w:noWrap w:val="0"/>
            <w:vAlign w:val="center"/>
          </w:tcPr>
          <w:p w14:paraId="56A8DC01">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11</w:t>
            </w:r>
          </w:p>
        </w:tc>
        <w:tc>
          <w:tcPr>
            <w:tcW w:w="578" w:type="pct"/>
            <w:noWrap w:val="0"/>
            <w:vAlign w:val="center"/>
          </w:tcPr>
          <w:p w14:paraId="12438894">
            <w:pPr>
              <w:jc w:val="center"/>
              <w:rPr>
                <w:rFonts w:hint="eastAsia" w:ascii="宋体" w:hAnsi="宋体" w:eastAsia="宋体" w:cs="宋体"/>
                <w:sz w:val="18"/>
                <w:szCs w:val="18"/>
                <w:highlight w:val="none"/>
              </w:rPr>
            </w:pPr>
          </w:p>
        </w:tc>
      </w:tr>
      <w:tr w14:paraId="1BB0A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noWrap w:val="0"/>
            <w:vAlign w:val="bottom"/>
          </w:tcPr>
          <w:p w14:paraId="4D36CE51">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Ⅳ</w:t>
            </w:r>
          </w:p>
        </w:tc>
        <w:tc>
          <w:tcPr>
            <w:tcW w:w="778" w:type="pct"/>
            <w:noWrap w:val="0"/>
            <w:vAlign w:val="center"/>
          </w:tcPr>
          <w:p w14:paraId="72F2846A">
            <w:pPr>
              <w:jc w:val="center"/>
              <w:rPr>
                <w:rFonts w:hint="default" w:ascii="宋体" w:hAnsi="宋体" w:eastAsia="宋体" w:cs="宋体"/>
                <w:sz w:val="18"/>
                <w:szCs w:val="18"/>
                <w:highlight w:val="none"/>
                <w:lang w:val="en-US"/>
              </w:rPr>
            </w:pPr>
            <w:r>
              <w:rPr>
                <w:rFonts w:hint="eastAsia" w:ascii="宋体" w:hAnsi="宋体" w:eastAsia="宋体" w:cs="宋体"/>
                <w:sz w:val="18"/>
                <w:szCs w:val="18"/>
                <w:highlight w:val="none"/>
                <w:lang w:val="en-US" w:eastAsia="zh-CN"/>
              </w:rPr>
              <w:t>450</w:t>
            </w:r>
          </w:p>
        </w:tc>
        <w:tc>
          <w:tcPr>
            <w:tcW w:w="404" w:type="pct"/>
            <w:noWrap w:val="0"/>
            <w:vAlign w:val="center"/>
          </w:tcPr>
          <w:p w14:paraId="000C0CB7">
            <w:pPr>
              <w:jc w:val="center"/>
              <w:rPr>
                <w:rFonts w:hint="eastAsia" w:ascii="宋体" w:hAnsi="宋体" w:eastAsia="宋体" w:cs="宋体"/>
                <w:sz w:val="18"/>
                <w:szCs w:val="18"/>
                <w:highlight w:val="none"/>
              </w:rPr>
            </w:pPr>
          </w:p>
        </w:tc>
        <w:tc>
          <w:tcPr>
            <w:tcW w:w="405" w:type="pct"/>
            <w:noWrap w:val="0"/>
            <w:vAlign w:val="center"/>
          </w:tcPr>
          <w:p w14:paraId="0667C75D">
            <w:pPr>
              <w:jc w:val="center"/>
              <w:rPr>
                <w:rFonts w:hint="eastAsia" w:ascii="宋体" w:hAnsi="宋体" w:eastAsia="宋体" w:cs="宋体"/>
                <w:sz w:val="18"/>
                <w:szCs w:val="18"/>
                <w:highlight w:val="none"/>
              </w:rPr>
            </w:pPr>
          </w:p>
        </w:tc>
        <w:tc>
          <w:tcPr>
            <w:tcW w:w="632" w:type="pct"/>
            <w:noWrap w:val="0"/>
            <w:vAlign w:val="center"/>
          </w:tcPr>
          <w:p w14:paraId="32B63F7A">
            <w:pPr>
              <w:jc w:val="center"/>
              <w:rPr>
                <w:rFonts w:hint="default" w:ascii="宋体" w:hAnsi="宋体" w:eastAsia="宋体" w:cs="宋体"/>
                <w:sz w:val="18"/>
                <w:szCs w:val="18"/>
                <w:highlight w:val="none"/>
                <w:lang w:val="en-US"/>
              </w:rPr>
            </w:pPr>
            <w:r>
              <w:rPr>
                <w:rFonts w:hint="eastAsia" w:ascii="宋体" w:hAnsi="宋体" w:eastAsia="宋体" w:cs="宋体"/>
                <w:sz w:val="18"/>
                <w:szCs w:val="18"/>
                <w:highlight w:val="none"/>
                <w:lang w:val="en-US" w:eastAsia="zh-CN"/>
              </w:rPr>
              <w:t>45</w:t>
            </w:r>
          </w:p>
        </w:tc>
        <w:tc>
          <w:tcPr>
            <w:tcW w:w="405" w:type="pct"/>
            <w:noWrap w:val="0"/>
            <w:vAlign w:val="center"/>
          </w:tcPr>
          <w:p w14:paraId="79529A91">
            <w:pPr>
              <w:jc w:val="center"/>
              <w:rPr>
                <w:rFonts w:hint="default"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45</w:t>
            </w:r>
          </w:p>
        </w:tc>
        <w:tc>
          <w:tcPr>
            <w:tcW w:w="330" w:type="pct"/>
            <w:noWrap w:val="0"/>
            <w:vAlign w:val="center"/>
          </w:tcPr>
          <w:p w14:paraId="22B1584E">
            <w:pPr>
              <w:jc w:val="center"/>
              <w:rPr>
                <w:rFonts w:hint="eastAsia" w:ascii="宋体" w:hAnsi="宋体" w:eastAsia="宋体" w:cs="宋体"/>
                <w:sz w:val="18"/>
                <w:szCs w:val="18"/>
                <w:highlight w:val="none"/>
              </w:rPr>
            </w:pPr>
          </w:p>
        </w:tc>
        <w:tc>
          <w:tcPr>
            <w:tcW w:w="330" w:type="pct"/>
            <w:noWrap w:val="0"/>
            <w:vAlign w:val="center"/>
          </w:tcPr>
          <w:p w14:paraId="6DC0D2CE">
            <w:pPr>
              <w:jc w:val="center"/>
              <w:rPr>
                <w:rFonts w:hint="eastAsia" w:ascii="宋体" w:hAnsi="宋体" w:eastAsia="宋体" w:cs="宋体"/>
                <w:sz w:val="18"/>
                <w:szCs w:val="18"/>
                <w:highlight w:val="none"/>
              </w:rPr>
            </w:pPr>
          </w:p>
        </w:tc>
        <w:tc>
          <w:tcPr>
            <w:tcW w:w="330" w:type="pct"/>
            <w:noWrap w:val="0"/>
            <w:vAlign w:val="center"/>
          </w:tcPr>
          <w:p w14:paraId="1B678983">
            <w:pPr>
              <w:jc w:val="center"/>
              <w:rPr>
                <w:rFonts w:hint="eastAsia" w:ascii="宋体" w:hAnsi="宋体" w:eastAsia="宋体" w:cs="宋体"/>
                <w:sz w:val="18"/>
                <w:szCs w:val="18"/>
                <w:highlight w:val="none"/>
              </w:rPr>
            </w:pPr>
          </w:p>
        </w:tc>
        <w:tc>
          <w:tcPr>
            <w:tcW w:w="330" w:type="pct"/>
            <w:noWrap w:val="0"/>
            <w:vAlign w:val="center"/>
          </w:tcPr>
          <w:p w14:paraId="2D24DCA8">
            <w:pPr>
              <w:jc w:val="center"/>
              <w:rPr>
                <w:rFonts w:hint="eastAsia" w:ascii="宋体" w:hAnsi="宋体" w:eastAsia="宋体" w:cs="宋体"/>
                <w:sz w:val="18"/>
                <w:szCs w:val="18"/>
                <w:highlight w:val="none"/>
              </w:rPr>
            </w:pPr>
          </w:p>
        </w:tc>
        <w:tc>
          <w:tcPr>
            <w:tcW w:w="578" w:type="pct"/>
            <w:noWrap w:val="0"/>
            <w:vAlign w:val="center"/>
          </w:tcPr>
          <w:p w14:paraId="73E3971E">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2</w:t>
            </w:r>
          </w:p>
        </w:tc>
      </w:tr>
      <w:tr w14:paraId="4F6C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vMerge w:val="restart"/>
            <w:noWrap w:val="0"/>
            <w:vAlign w:val="center"/>
          </w:tcPr>
          <w:p w14:paraId="3AE9C5AC">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fldChar w:fldCharType="begin"/>
            </w:r>
            <w:r>
              <w:rPr>
                <w:rFonts w:hint="eastAsia" w:ascii="宋体" w:hAnsi="宋体" w:eastAsia="宋体" w:cs="宋体"/>
                <w:sz w:val="18"/>
                <w:szCs w:val="18"/>
                <w:highlight w:val="none"/>
              </w:rPr>
              <w:instrText xml:space="preserve"> = 5 \* ROMAN \* MERGEFORMAT </w:instrText>
            </w:r>
            <w:r>
              <w:rPr>
                <w:rFonts w:hint="eastAsia" w:ascii="宋体" w:hAnsi="宋体" w:eastAsia="宋体" w:cs="宋体"/>
                <w:sz w:val="18"/>
                <w:szCs w:val="18"/>
                <w:highlight w:val="none"/>
              </w:rPr>
              <w:fldChar w:fldCharType="separate"/>
            </w:r>
            <w:r>
              <w:rPr>
                <w:rFonts w:hint="eastAsia" w:ascii="宋体" w:hAnsi="宋体" w:eastAsia="宋体" w:cs="宋体"/>
                <w:sz w:val="18"/>
                <w:szCs w:val="18"/>
                <w:highlight w:val="none"/>
              </w:rPr>
              <w:t>V</w:t>
            </w:r>
            <w:r>
              <w:rPr>
                <w:rFonts w:hint="eastAsia" w:ascii="宋体" w:hAnsi="宋体" w:eastAsia="宋体" w:cs="宋体"/>
                <w:sz w:val="18"/>
                <w:szCs w:val="18"/>
                <w:highlight w:val="none"/>
              </w:rPr>
              <w:fldChar w:fldCharType="end"/>
            </w:r>
          </w:p>
        </w:tc>
        <w:tc>
          <w:tcPr>
            <w:tcW w:w="778" w:type="pct"/>
            <w:noWrap w:val="0"/>
            <w:vAlign w:val="center"/>
          </w:tcPr>
          <w:p w14:paraId="218E3ABE">
            <w:pPr>
              <w:jc w:val="center"/>
              <w:rPr>
                <w:rFonts w:hint="default"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430</w:t>
            </w:r>
          </w:p>
        </w:tc>
        <w:tc>
          <w:tcPr>
            <w:tcW w:w="404" w:type="pct"/>
            <w:noWrap w:val="0"/>
            <w:vAlign w:val="center"/>
          </w:tcPr>
          <w:p w14:paraId="0293A086">
            <w:pPr>
              <w:jc w:val="center"/>
              <w:rPr>
                <w:rFonts w:hint="default"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400</w:t>
            </w:r>
          </w:p>
        </w:tc>
        <w:tc>
          <w:tcPr>
            <w:tcW w:w="405" w:type="pct"/>
            <w:noWrap w:val="0"/>
            <w:vAlign w:val="center"/>
          </w:tcPr>
          <w:p w14:paraId="7AF524DA">
            <w:pPr>
              <w:jc w:val="center"/>
              <w:rPr>
                <w:rFonts w:hint="default" w:ascii="宋体" w:hAnsi="宋体" w:eastAsia="宋体" w:cs="宋体"/>
                <w:sz w:val="18"/>
                <w:szCs w:val="18"/>
                <w:highlight w:val="none"/>
                <w:lang w:val="en-US" w:eastAsia="zh-CN"/>
              </w:rPr>
            </w:pPr>
          </w:p>
        </w:tc>
        <w:tc>
          <w:tcPr>
            <w:tcW w:w="632" w:type="pct"/>
            <w:noWrap w:val="0"/>
            <w:vAlign w:val="center"/>
          </w:tcPr>
          <w:p w14:paraId="2E776274">
            <w:pPr>
              <w:jc w:val="center"/>
              <w:rPr>
                <w:rFonts w:hint="default"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48</w:t>
            </w:r>
          </w:p>
        </w:tc>
        <w:tc>
          <w:tcPr>
            <w:tcW w:w="405" w:type="pct"/>
            <w:noWrap w:val="0"/>
            <w:vAlign w:val="center"/>
          </w:tcPr>
          <w:p w14:paraId="643F8443">
            <w:pPr>
              <w:jc w:val="center"/>
              <w:rPr>
                <w:rFonts w:hint="default"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85</w:t>
            </w:r>
          </w:p>
        </w:tc>
        <w:tc>
          <w:tcPr>
            <w:tcW w:w="330" w:type="pct"/>
            <w:noWrap w:val="0"/>
            <w:vAlign w:val="center"/>
          </w:tcPr>
          <w:p w14:paraId="66BBA827">
            <w:pPr>
              <w:jc w:val="center"/>
              <w:rPr>
                <w:rFonts w:hint="default"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48</w:t>
            </w:r>
          </w:p>
        </w:tc>
        <w:tc>
          <w:tcPr>
            <w:tcW w:w="330" w:type="pct"/>
            <w:noWrap w:val="0"/>
            <w:vAlign w:val="center"/>
          </w:tcPr>
          <w:p w14:paraId="6C1198F2">
            <w:pPr>
              <w:jc w:val="center"/>
              <w:rPr>
                <w:rFonts w:hint="eastAsia" w:ascii="宋体" w:hAnsi="宋体" w:eastAsia="宋体" w:cs="宋体"/>
                <w:sz w:val="18"/>
                <w:szCs w:val="18"/>
                <w:highlight w:val="none"/>
              </w:rPr>
            </w:pPr>
          </w:p>
        </w:tc>
        <w:tc>
          <w:tcPr>
            <w:tcW w:w="330" w:type="pct"/>
            <w:noWrap w:val="0"/>
            <w:vAlign w:val="center"/>
          </w:tcPr>
          <w:p w14:paraId="62DD37C2">
            <w:pPr>
              <w:jc w:val="center"/>
              <w:rPr>
                <w:rFonts w:hint="eastAsia" w:ascii="宋体" w:hAnsi="宋体" w:eastAsia="宋体" w:cs="宋体"/>
                <w:sz w:val="18"/>
                <w:szCs w:val="18"/>
                <w:highlight w:val="none"/>
              </w:rPr>
            </w:pPr>
          </w:p>
        </w:tc>
        <w:tc>
          <w:tcPr>
            <w:tcW w:w="330" w:type="pct"/>
            <w:noWrap w:val="0"/>
            <w:vAlign w:val="center"/>
          </w:tcPr>
          <w:p w14:paraId="7BFFC771">
            <w:pPr>
              <w:jc w:val="center"/>
              <w:rPr>
                <w:rFonts w:hint="eastAsia" w:ascii="宋体" w:hAnsi="宋体" w:eastAsia="宋体" w:cs="宋体"/>
                <w:sz w:val="18"/>
                <w:szCs w:val="18"/>
                <w:highlight w:val="none"/>
              </w:rPr>
            </w:pPr>
          </w:p>
        </w:tc>
        <w:tc>
          <w:tcPr>
            <w:tcW w:w="578" w:type="pct"/>
            <w:noWrap w:val="0"/>
            <w:vAlign w:val="center"/>
          </w:tcPr>
          <w:p w14:paraId="06306100">
            <w:pPr>
              <w:jc w:val="center"/>
              <w:rPr>
                <w:rFonts w:hint="eastAsia" w:ascii="宋体" w:hAnsi="宋体" w:eastAsia="宋体" w:cs="宋体"/>
                <w:sz w:val="18"/>
                <w:szCs w:val="18"/>
                <w:highlight w:val="none"/>
                <w:lang w:val="en-US" w:eastAsia="zh-CN"/>
              </w:rPr>
            </w:pPr>
          </w:p>
        </w:tc>
      </w:tr>
      <w:tr w14:paraId="6C5EC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vMerge w:val="continue"/>
            <w:noWrap w:val="0"/>
            <w:vAlign w:val="bottom"/>
          </w:tcPr>
          <w:p w14:paraId="4924E989">
            <w:pPr>
              <w:jc w:val="center"/>
              <w:rPr>
                <w:rFonts w:hint="eastAsia" w:ascii="宋体" w:hAnsi="宋体" w:eastAsia="宋体" w:cs="宋体"/>
                <w:sz w:val="18"/>
                <w:szCs w:val="18"/>
                <w:highlight w:val="none"/>
              </w:rPr>
            </w:pPr>
          </w:p>
        </w:tc>
        <w:tc>
          <w:tcPr>
            <w:tcW w:w="778" w:type="pct"/>
            <w:noWrap w:val="0"/>
            <w:vAlign w:val="center"/>
          </w:tcPr>
          <w:p w14:paraId="32D742CA">
            <w:pPr>
              <w:jc w:val="center"/>
              <w:rPr>
                <w:rFonts w:hint="default"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320</w:t>
            </w:r>
          </w:p>
        </w:tc>
        <w:tc>
          <w:tcPr>
            <w:tcW w:w="404" w:type="pct"/>
            <w:noWrap w:val="0"/>
            <w:vAlign w:val="center"/>
          </w:tcPr>
          <w:p w14:paraId="6E2CC866">
            <w:pPr>
              <w:jc w:val="center"/>
              <w:rPr>
                <w:rFonts w:hint="default"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285</w:t>
            </w:r>
          </w:p>
        </w:tc>
        <w:tc>
          <w:tcPr>
            <w:tcW w:w="405" w:type="pct"/>
            <w:noWrap w:val="0"/>
            <w:vAlign w:val="center"/>
          </w:tcPr>
          <w:p w14:paraId="0EDE34CD">
            <w:pPr>
              <w:jc w:val="center"/>
              <w:rPr>
                <w:rFonts w:hint="default" w:ascii="宋体" w:hAnsi="宋体" w:eastAsia="宋体" w:cs="宋体"/>
                <w:sz w:val="18"/>
                <w:szCs w:val="18"/>
                <w:highlight w:val="none"/>
                <w:lang w:val="en-US" w:eastAsia="zh-CN"/>
              </w:rPr>
            </w:pPr>
          </w:p>
        </w:tc>
        <w:tc>
          <w:tcPr>
            <w:tcW w:w="632" w:type="pct"/>
            <w:noWrap w:val="0"/>
            <w:vAlign w:val="center"/>
          </w:tcPr>
          <w:p w14:paraId="0515B760">
            <w:pPr>
              <w:jc w:val="center"/>
              <w:rPr>
                <w:rFonts w:hint="default"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60</w:t>
            </w:r>
          </w:p>
        </w:tc>
        <w:tc>
          <w:tcPr>
            <w:tcW w:w="405" w:type="pct"/>
            <w:noWrap w:val="0"/>
            <w:vAlign w:val="center"/>
          </w:tcPr>
          <w:p w14:paraId="618E6547">
            <w:pPr>
              <w:jc w:val="center"/>
              <w:rPr>
                <w:rFonts w:hint="default"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80</w:t>
            </w:r>
          </w:p>
        </w:tc>
        <w:tc>
          <w:tcPr>
            <w:tcW w:w="330" w:type="pct"/>
            <w:noWrap w:val="0"/>
            <w:vAlign w:val="center"/>
          </w:tcPr>
          <w:p w14:paraId="7ED17A0F">
            <w:pPr>
              <w:jc w:val="center"/>
              <w:rPr>
                <w:rFonts w:hint="default"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48</w:t>
            </w:r>
          </w:p>
        </w:tc>
        <w:tc>
          <w:tcPr>
            <w:tcW w:w="330" w:type="pct"/>
            <w:noWrap w:val="0"/>
            <w:vAlign w:val="center"/>
          </w:tcPr>
          <w:p w14:paraId="7974BBC8">
            <w:pPr>
              <w:jc w:val="center"/>
              <w:rPr>
                <w:rFonts w:hint="eastAsia" w:ascii="宋体" w:hAnsi="宋体" w:eastAsia="宋体" w:cs="宋体"/>
                <w:sz w:val="18"/>
                <w:szCs w:val="18"/>
                <w:highlight w:val="none"/>
              </w:rPr>
            </w:pPr>
          </w:p>
        </w:tc>
        <w:tc>
          <w:tcPr>
            <w:tcW w:w="330" w:type="pct"/>
            <w:noWrap w:val="0"/>
            <w:vAlign w:val="center"/>
          </w:tcPr>
          <w:p w14:paraId="073C64DD">
            <w:pPr>
              <w:jc w:val="center"/>
              <w:rPr>
                <w:rFonts w:hint="eastAsia" w:ascii="宋体" w:hAnsi="宋体" w:eastAsia="宋体" w:cs="宋体"/>
                <w:sz w:val="18"/>
                <w:szCs w:val="18"/>
                <w:highlight w:val="none"/>
              </w:rPr>
            </w:pPr>
          </w:p>
        </w:tc>
        <w:tc>
          <w:tcPr>
            <w:tcW w:w="330" w:type="pct"/>
            <w:noWrap w:val="0"/>
            <w:vAlign w:val="center"/>
          </w:tcPr>
          <w:p w14:paraId="77F6C88B">
            <w:pPr>
              <w:jc w:val="center"/>
              <w:rPr>
                <w:rFonts w:hint="eastAsia" w:ascii="宋体" w:hAnsi="宋体" w:eastAsia="宋体" w:cs="宋体"/>
                <w:sz w:val="18"/>
                <w:szCs w:val="18"/>
                <w:highlight w:val="none"/>
              </w:rPr>
            </w:pPr>
          </w:p>
        </w:tc>
        <w:tc>
          <w:tcPr>
            <w:tcW w:w="578" w:type="pct"/>
            <w:noWrap w:val="0"/>
            <w:vAlign w:val="center"/>
          </w:tcPr>
          <w:p w14:paraId="39AA646F">
            <w:pPr>
              <w:jc w:val="center"/>
              <w:rPr>
                <w:rFonts w:hint="eastAsia" w:ascii="宋体" w:hAnsi="宋体" w:eastAsia="宋体" w:cs="宋体"/>
                <w:sz w:val="18"/>
                <w:szCs w:val="18"/>
                <w:highlight w:val="none"/>
                <w:lang w:val="en-US" w:eastAsia="zh-CN"/>
              </w:rPr>
            </w:pPr>
          </w:p>
        </w:tc>
      </w:tr>
      <w:tr w14:paraId="30A07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11"/>
            <w:noWrap w:val="0"/>
            <w:vAlign w:val="bottom"/>
          </w:tcPr>
          <w:p w14:paraId="1C82AF7F">
            <w:pPr>
              <w:jc w:val="left"/>
              <w:rPr>
                <w:rFonts w:hint="eastAsia" w:ascii="宋体" w:hAnsi="宋体" w:eastAsia="宋体" w:cs="宋体"/>
                <w:sz w:val="18"/>
                <w:szCs w:val="18"/>
                <w:highlight w:val="yellow"/>
              </w:rPr>
            </w:pPr>
            <w:r>
              <w:rPr>
                <w:rFonts w:hint="eastAsia" w:ascii="宋体" w:hAnsi="宋体" w:eastAsia="宋体" w:cs="宋体"/>
                <w:sz w:val="18"/>
                <w:szCs w:val="18"/>
                <w:highlight w:val="none"/>
              </w:rPr>
              <w:t>注：需方对铸锭形状有其他要求时，可由供需双方协商。</w:t>
            </w:r>
          </w:p>
        </w:tc>
      </w:tr>
    </w:tbl>
    <w:p w14:paraId="3A001EE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kern w:val="0"/>
          <w:sz w:val="24"/>
          <w:szCs w:val="24"/>
          <w:lang w:val="en-US" w:eastAsia="zh-CN" w:bidi="ar"/>
        </w:rPr>
      </w:pPr>
    </w:p>
    <w:p w14:paraId="7F7AE55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kern w:val="0"/>
          <w:sz w:val="24"/>
          <w:szCs w:val="24"/>
          <w:lang w:val="en-US" w:eastAsia="zh-CN" w:bidi="ar"/>
        </w:rPr>
        <w:t>2. 新增十一个铜锭牌号：</w:t>
      </w:r>
      <w:r>
        <w:rPr>
          <w:rFonts w:hint="eastAsia" w:ascii="宋体" w:hAnsi="宋体" w:eastAsia="宋体" w:cs="宋体"/>
          <w:kern w:val="0"/>
          <w:sz w:val="24"/>
          <w:szCs w:val="24"/>
          <w:lang w:val="en-US" w:eastAsia="zh-CN" w:bidi="ar"/>
        </w:rPr>
        <w:t>近年来，由于市场对绿色环保、产品强度、外观精美程度等方面的要求越来越高，下游卫浴、新能源等行业对铜合金铸锭的要求也不断提升，传统牌号已无法满足部分高端应用场景的需求。本次新增的十一个铜锭牌号（其中普通黄铜一个：ZH65；铝黄铜一个：ZHAl63-1-0.1-0.1；铅黄铜两个：ZHPb61-1、ZHPb63-1-0.1；铋黄铜两个：ZHBi62-1、ZHBi60-1；硅黄铜2个：ZHSi62-0.8、ZHSi63-1；锡青铜三个：ZQSn9-7-3、ZQSn7-7-3、ZQSn5-5-2），均为行业内已批量生产、广泛应用的成熟牌号。其中，ZHAl63-1-0.1-0.1、ZHPb61-1、ZHPb63-1-0.1、ZHBi62-1、ZHBi60-1、ZHSi62-0.8、ZHSi63-1牌号均具有优良的切削性能、耐磨性能，良好的耐腐蚀性和机械性能，适用于精密机械加工，用于高档水暖卫浴、海洋工程等领域；锡青铜三个牌号具有优异的耐磨性、耐腐蚀性和韧性，适用于高端机械零部件制造。新增牌号的化学成分（详见表2、表3）参考了ASTM B 30-2023、EN 1982-2017国际标准，结合我国生产实际进行优化，经检测，各牌号的化学成分、机械性能均能满足下游应用要求，具有广泛的适用性。</w:t>
      </w:r>
    </w:p>
    <w:p w14:paraId="16A577E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2"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3. 修订“3.4断口”要求</w:t>
      </w:r>
      <w:r>
        <w:rPr>
          <w:rFonts w:hint="eastAsia" w:ascii="宋体" w:hAnsi="宋体" w:eastAsia="宋体" w:cs="宋体"/>
          <w:kern w:val="0"/>
          <w:sz w:val="24"/>
          <w:szCs w:val="24"/>
          <w:lang w:val="en-US" w:eastAsia="zh-CN" w:bidi="ar"/>
        </w:rPr>
        <w:t>：原标准规定“铸锭断口组织应致密，不得有熔渣和夹杂物。如客户有要求，铸锭可进行镜面抛光试验”，该要求是基于当时的生产条件和市场要求进行的规定，比较笼统没有定量的指标要求。该项要求对于现在的市场需求过于一刀切了，对于高端卫浴客户很难达到其要求，必须要有定量的技术指标进行检测，而且随着铜合金锭熔铸技术工艺的提升和改进，内部组织完全可以达到高端客户的需求。根据实际市场和生产情况，本次修订修改成两部分内容：针对一般用户“铸锭断口组织应致密，不得有熔渣和夹杂物，允许有轻微的气孔和分层缺陷”，并给出了具体的缺陷面积，便于检测考核；对于高端客户增加了镜面抛光后质点数的要求，具体见表2。这样定量的要求</w:t>
      </w:r>
      <w:r>
        <w:rPr>
          <w:rFonts w:hint="eastAsia" w:ascii="宋体" w:hAnsi="宋体" w:eastAsia="宋体" w:cs="宋体"/>
          <w:kern w:val="0"/>
          <w:sz w:val="24"/>
          <w:szCs w:val="24"/>
          <w:lang w:val="en-US" w:eastAsia="zh-CN" w:bidi="ar"/>
        </w:rPr>
        <w:t>既贴合生产实际，又能保障产品质量，提高标准的可操作性。</w:t>
      </w:r>
    </w:p>
    <w:p w14:paraId="3CEF256E">
      <w:pPr>
        <w:jc w:val="center"/>
        <w:rPr>
          <w:rFonts w:hint="default" w:eastAsia="宋体"/>
          <w:highlight w:val="yellow"/>
          <w:lang w:val="en-US" w:eastAsia="zh-CN"/>
        </w:rPr>
      </w:pPr>
      <w:r>
        <w:rPr>
          <w:rFonts w:hint="eastAsia" w:ascii="宋体" w:hAnsi="宋体" w:eastAsia="宋体" w:cs="宋体"/>
          <w:sz w:val="24"/>
          <w:szCs w:val="24"/>
          <w:highlight w:val="none"/>
          <w:lang w:val="en-US" w:eastAsia="zh-CN"/>
        </w:rPr>
        <w:t>表2 断口缺陷要求</w:t>
      </w:r>
    </w:p>
    <w:tbl>
      <w:tblPr>
        <w:tblStyle w:val="6"/>
        <w:tblpPr w:leftFromText="180" w:rightFromText="180" w:vertAnchor="text" w:horzAnchor="page" w:tblpX="1923" w:tblpY="14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93"/>
        <w:gridCol w:w="1240"/>
        <w:gridCol w:w="987"/>
        <w:gridCol w:w="2093"/>
        <w:gridCol w:w="2119"/>
      </w:tblGrid>
      <w:tr w14:paraId="506A9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3" w:type="dxa"/>
            <w:vMerge w:val="restart"/>
            <w:noWrap w:val="0"/>
            <w:vAlign w:val="center"/>
          </w:tcPr>
          <w:p w14:paraId="676E4F6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忽略不计的缺陷面积/㎜</w:t>
            </w:r>
            <w:r>
              <w:rPr>
                <w:rFonts w:hint="eastAsia" w:ascii="宋体" w:hAnsi="宋体" w:eastAsia="宋体" w:cs="宋体"/>
                <w:sz w:val="24"/>
                <w:szCs w:val="24"/>
                <w:highlight w:val="none"/>
                <w:vertAlign w:val="superscript"/>
              </w:rPr>
              <w:t>2</w:t>
            </w:r>
          </w:p>
        </w:tc>
        <w:tc>
          <w:tcPr>
            <w:tcW w:w="2227" w:type="dxa"/>
            <w:gridSpan w:val="2"/>
            <w:noWrap w:val="0"/>
            <w:vAlign w:val="center"/>
          </w:tcPr>
          <w:p w14:paraId="535CE817">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允许存在的缺陷</w:t>
            </w:r>
          </w:p>
        </w:tc>
        <w:tc>
          <w:tcPr>
            <w:tcW w:w="4212" w:type="dxa"/>
            <w:gridSpan w:val="2"/>
            <w:noWrap w:val="0"/>
            <w:vAlign w:val="center"/>
          </w:tcPr>
          <w:p w14:paraId="3ABA5869">
            <w:pPr>
              <w:jc w:val="center"/>
              <w:rPr>
                <w:rFonts w:hint="default"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抛光后质点数</w:t>
            </w:r>
          </w:p>
        </w:tc>
      </w:tr>
      <w:tr w14:paraId="127C3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3" w:type="dxa"/>
            <w:vMerge w:val="continue"/>
            <w:noWrap w:val="0"/>
            <w:vAlign w:val="center"/>
          </w:tcPr>
          <w:p w14:paraId="02F841FA">
            <w:pPr>
              <w:jc w:val="center"/>
              <w:rPr>
                <w:rFonts w:hint="eastAsia" w:ascii="宋体" w:hAnsi="宋体" w:eastAsia="宋体" w:cs="宋体"/>
                <w:sz w:val="24"/>
                <w:szCs w:val="24"/>
                <w:highlight w:val="none"/>
              </w:rPr>
            </w:pPr>
          </w:p>
        </w:tc>
        <w:tc>
          <w:tcPr>
            <w:tcW w:w="1240" w:type="dxa"/>
            <w:noWrap w:val="0"/>
            <w:vAlign w:val="center"/>
          </w:tcPr>
          <w:p w14:paraId="77B1E6AF">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面积/㎜</w:t>
            </w:r>
            <w:r>
              <w:rPr>
                <w:rFonts w:hint="eastAsia" w:ascii="宋体" w:hAnsi="宋体" w:eastAsia="宋体" w:cs="宋体"/>
                <w:sz w:val="24"/>
                <w:szCs w:val="24"/>
                <w:highlight w:val="none"/>
                <w:vertAlign w:val="superscript"/>
              </w:rPr>
              <w:t>2</w:t>
            </w:r>
          </w:p>
        </w:tc>
        <w:tc>
          <w:tcPr>
            <w:tcW w:w="987" w:type="dxa"/>
            <w:noWrap w:val="0"/>
            <w:vAlign w:val="center"/>
          </w:tcPr>
          <w:p w14:paraId="1407067C">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个数</w:t>
            </w:r>
          </w:p>
        </w:tc>
        <w:tc>
          <w:tcPr>
            <w:tcW w:w="2093" w:type="dxa"/>
            <w:noWrap w:val="0"/>
            <w:vAlign w:val="center"/>
          </w:tcPr>
          <w:p w14:paraId="41E3915B">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个数</w:t>
            </w:r>
          </w:p>
        </w:tc>
        <w:tc>
          <w:tcPr>
            <w:tcW w:w="2119" w:type="dxa"/>
            <w:noWrap w:val="0"/>
            <w:vAlign w:val="center"/>
          </w:tcPr>
          <w:p w14:paraId="41611835">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等级</w:t>
            </w:r>
          </w:p>
        </w:tc>
      </w:tr>
      <w:tr w14:paraId="695D7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3" w:type="dxa"/>
            <w:vMerge w:val="restart"/>
            <w:noWrap w:val="0"/>
            <w:vAlign w:val="center"/>
          </w:tcPr>
          <w:p w14:paraId="601E7C0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＜0.08</w:t>
            </w:r>
          </w:p>
        </w:tc>
        <w:tc>
          <w:tcPr>
            <w:tcW w:w="1240" w:type="dxa"/>
            <w:vMerge w:val="restart"/>
            <w:noWrap w:val="0"/>
            <w:vAlign w:val="center"/>
          </w:tcPr>
          <w:p w14:paraId="355D87FD">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≥0.08</w:t>
            </w:r>
          </w:p>
        </w:tc>
        <w:tc>
          <w:tcPr>
            <w:tcW w:w="987" w:type="dxa"/>
            <w:vMerge w:val="restart"/>
            <w:noWrap w:val="0"/>
            <w:vAlign w:val="center"/>
          </w:tcPr>
          <w:p w14:paraId="2DFE2FA5">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2093" w:type="dxa"/>
            <w:noWrap w:val="0"/>
            <w:vAlign w:val="center"/>
          </w:tcPr>
          <w:p w14:paraId="03A1A6B8">
            <w:pPr>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≤3</w:t>
            </w:r>
          </w:p>
        </w:tc>
        <w:tc>
          <w:tcPr>
            <w:tcW w:w="2119" w:type="dxa"/>
            <w:noWrap w:val="0"/>
            <w:vAlign w:val="center"/>
          </w:tcPr>
          <w:p w14:paraId="013787ED">
            <w:pPr>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一级品（A铜）</w:t>
            </w:r>
          </w:p>
        </w:tc>
      </w:tr>
      <w:tr w14:paraId="73577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3" w:type="dxa"/>
            <w:vMerge w:val="continue"/>
            <w:noWrap w:val="0"/>
            <w:vAlign w:val="center"/>
          </w:tcPr>
          <w:p w14:paraId="1EAA11D3">
            <w:pPr>
              <w:jc w:val="center"/>
              <w:rPr>
                <w:rFonts w:hint="eastAsia" w:ascii="宋体" w:hAnsi="宋体" w:eastAsia="宋体" w:cs="宋体"/>
                <w:sz w:val="24"/>
                <w:szCs w:val="24"/>
                <w:highlight w:val="none"/>
              </w:rPr>
            </w:pPr>
          </w:p>
        </w:tc>
        <w:tc>
          <w:tcPr>
            <w:tcW w:w="1240" w:type="dxa"/>
            <w:vMerge w:val="continue"/>
            <w:noWrap w:val="0"/>
            <w:vAlign w:val="center"/>
          </w:tcPr>
          <w:p w14:paraId="0FCCB4AB">
            <w:pPr>
              <w:jc w:val="center"/>
              <w:rPr>
                <w:rFonts w:hint="eastAsia" w:ascii="宋体" w:hAnsi="宋体" w:eastAsia="宋体" w:cs="宋体"/>
                <w:sz w:val="24"/>
                <w:szCs w:val="24"/>
                <w:highlight w:val="none"/>
              </w:rPr>
            </w:pPr>
          </w:p>
        </w:tc>
        <w:tc>
          <w:tcPr>
            <w:tcW w:w="987" w:type="dxa"/>
            <w:vMerge w:val="continue"/>
            <w:noWrap w:val="0"/>
            <w:vAlign w:val="center"/>
          </w:tcPr>
          <w:p w14:paraId="03FDD58E">
            <w:pPr>
              <w:jc w:val="center"/>
              <w:rPr>
                <w:rFonts w:hint="eastAsia" w:ascii="宋体" w:hAnsi="宋体" w:eastAsia="宋体" w:cs="宋体"/>
                <w:sz w:val="24"/>
                <w:szCs w:val="24"/>
                <w:highlight w:val="none"/>
              </w:rPr>
            </w:pPr>
          </w:p>
        </w:tc>
        <w:tc>
          <w:tcPr>
            <w:tcW w:w="2093" w:type="dxa"/>
            <w:noWrap w:val="0"/>
            <w:vAlign w:val="center"/>
          </w:tcPr>
          <w:p w14:paraId="666DD74A">
            <w:pPr>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≤5</w:t>
            </w:r>
          </w:p>
        </w:tc>
        <w:tc>
          <w:tcPr>
            <w:tcW w:w="2119" w:type="dxa"/>
            <w:noWrap w:val="0"/>
            <w:vAlign w:val="center"/>
          </w:tcPr>
          <w:p w14:paraId="24DB9B43">
            <w:pPr>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二级品（B铜）</w:t>
            </w:r>
          </w:p>
        </w:tc>
      </w:tr>
      <w:tr w14:paraId="51A51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3" w:type="dxa"/>
            <w:vMerge w:val="continue"/>
            <w:noWrap w:val="0"/>
            <w:vAlign w:val="center"/>
          </w:tcPr>
          <w:p w14:paraId="48C7166E">
            <w:pPr>
              <w:jc w:val="center"/>
              <w:rPr>
                <w:rFonts w:hint="eastAsia" w:ascii="宋体" w:hAnsi="宋体" w:eastAsia="宋体" w:cs="宋体"/>
                <w:sz w:val="24"/>
                <w:szCs w:val="24"/>
                <w:highlight w:val="none"/>
              </w:rPr>
            </w:pPr>
          </w:p>
        </w:tc>
        <w:tc>
          <w:tcPr>
            <w:tcW w:w="1240" w:type="dxa"/>
            <w:vMerge w:val="continue"/>
            <w:noWrap w:val="0"/>
            <w:vAlign w:val="center"/>
          </w:tcPr>
          <w:p w14:paraId="5825C96A">
            <w:pPr>
              <w:jc w:val="center"/>
              <w:rPr>
                <w:rFonts w:hint="eastAsia" w:ascii="宋体" w:hAnsi="宋体" w:eastAsia="宋体" w:cs="宋体"/>
                <w:sz w:val="24"/>
                <w:szCs w:val="24"/>
                <w:highlight w:val="none"/>
              </w:rPr>
            </w:pPr>
          </w:p>
        </w:tc>
        <w:tc>
          <w:tcPr>
            <w:tcW w:w="987" w:type="dxa"/>
            <w:vMerge w:val="continue"/>
            <w:noWrap w:val="0"/>
            <w:vAlign w:val="center"/>
          </w:tcPr>
          <w:p w14:paraId="35F5A2F7">
            <w:pPr>
              <w:jc w:val="center"/>
              <w:rPr>
                <w:rFonts w:hint="eastAsia" w:ascii="宋体" w:hAnsi="宋体" w:eastAsia="宋体" w:cs="宋体"/>
                <w:sz w:val="24"/>
                <w:szCs w:val="24"/>
                <w:highlight w:val="none"/>
              </w:rPr>
            </w:pPr>
          </w:p>
        </w:tc>
        <w:tc>
          <w:tcPr>
            <w:tcW w:w="2093" w:type="dxa"/>
            <w:noWrap w:val="0"/>
            <w:vAlign w:val="center"/>
          </w:tcPr>
          <w:p w14:paraId="6C5CCD05">
            <w:pPr>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≤7，无连片质点</w:t>
            </w:r>
          </w:p>
        </w:tc>
        <w:tc>
          <w:tcPr>
            <w:tcW w:w="2119" w:type="dxa"/>
            <w:noWrap w:val="0"/>
            <w:vAlign w:val="center"/>
          </w:tcPr>
          <w:p w14:paraId="6A2B3574">
            <w:pPr>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三级品（C铜）</w:t>
            </w:r>
          </w:p>
        </w:tc>
      </w:tr>
    </w:tbl>
    <w:p w14:paraId="345AC7E5">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为了符合断口镜面抛光的检测要求，本文件同步修改了镜面抛光检验方法：将原检验方法“先用刀片在铜锭中间切平端面，用320目砂带打磨磨平，再用600目砂带打磨磨平，最后用粗、细布轮流抛光，其表面粗糙度不应大于0.2m。抛光面应平整光滑，不应存在影响客户使用的有害杂质。”修改为“先用铣刀片在铜锭中间切平端面,用不同目数的砂带由低到高分别进行打磨磨平，最后用粗、细布轮流抛光，其表面粗糙度不应大于0.2</w:t>
      </w:r>
      <w:r>
        <w:rPr>
          <w:rFonts w:hint="default" w:ascii="宋体" w:hAnsi="宋体" w:eastAsia="宋体" w:cs="宋体"/>
          <w:kern w:val="0"/>
          <w:sz w:val="24"/>
          <w:szCs w:val="24"/>
          <w:lang w:val="en-US" w:eastAsia="zh-CN" w:bidi="ar"/>
        </w:rPr>
        <w:t>µ</w:t>
      </w:r>
      <w:r>
        <w:rPr>
          <w:rFonts w:hint="eastAsia" w:ascii="宋体" w:hAnsi="宋体" w:eastAsia="宋体" w:cs="宋体"/>
          <w:kern w:val="0"/>
          <w:sz w:val="24"/>
          <w:szCs w:val="24"/>
          <w:lang w:val="en-US" w:eastAsia="zh-CN" w:bidi="ar"/>
        </w:rPr>
        <w:t>m。 抛光面应平整光滑，不应存在影响影响客户使用的有害杂质。”修改删掉了对砂带具体目数的要求，实际情况中每家企业都会选择粗细不同的砂带依次打磨抛光，80目、240目、320目、600目、800目等各企业都会根据各自的需求进行组合打磨，所以本文中不做具体的要求，便于更强的操作性。</w:t>
      </w:r>
    </w:p>
    <w:p w14:paraId="3B5302D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drawing>
          <wp:inline distT="0" distB="0" distL="114300" distR="114300">
            <wp:extent cx="2557780" cy="1536065"/>
            <wp:effectExtent l="0" t="0" r="2540" b="3175"/>
            <wp:docPr id="4" name="图片 4" descr="4ed7ea4b-38f1-4b10-b194-24163260a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ed7ea4b-38f1-4b10-b194-24163260a915"/>
                    <pic:cNvPicPr>
                      <a:picLocks noChangeAspect="1"/>
                    </pic:cNvPicPr>
                  </pic:nvPicPr>
                  <pic:blipFill>
                    <a:blip r:embed="rId7"/>
                    <a:srcRect l="3703" r="2975"/>
                    <a:stretch>
                      <a:fillRect/>
                    </a:stretch>
                  </pic:blipFill>
                  <pic:spPr>
                    <a:xfrm>
                      <a:off x="0" y="0"/>
                      <a:ext cx="2557780" cy="1536065"/>
                    </a:xfrm>
                    <a:prstGeom prst="rect">
                      <a:avLst/>
                    </a:prstGeom>
                  </pic:spPr>
                </pic:pic>
              </a:graphicData>
            </a:graphic>
          </wp:inline>
        </w:drawing>
      </w:r>
      <w:r>
        <w:rPr>
          <w:rFonts w:hint="default" w:ascii="宋体" w:hAnsi="宋体" w:eastAsia="宋体" w:cs="宋体"/>
          <w:kern w:val="0"/>
          <w:sz w:val="24"/>
          <w:szCs w:val="24"/>
          <w:lang w:val="en-US" w:eastAsia="zh-CN" w:bidi="ar"/>
        </w:rPr>
        <w:drawing>
          <wp:inline distT="0" distB="0" distL="114300" distR="114300">
            <wp:extent cx="2617470" cy="1540510"/>
            <wp:effectExtent l="0" t="0" r="3810" b="13970"/>
            <wp:docPr id="5" name="图片 5" descr="f92be5f3-fbee-4d61-a5bc-fdb7ebff5b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92be5f3-fbee-4d61-a5bc-fdb7ebff5b9d"/>
                    <pic:cNvPicPr>
                      <a:picLocks noChangeAspect="1"/>
                    </pic:cNvPicPr>
                  </pic:nvPicPr>
                  <pic:blipFill>
                    <a:blip r:embed="rId8"/>
                    <a:stretch>
                      <a:fillRect/>
                    </a:stretch>
                  </pic:blipFill>
                  <pic:spPr>
                    <a:xfrm>
                      <a:off x="0" y="0"/>
                      <a:ext cx="2617470" cy="1540510"/>
                    </a:xfrm>
                    <a:prstGeom prst="rect">
                      <a:avLst/>
                    </a:prstGeom>
                  </pic:spPr>
                </pic:pic>
              </a:graphicData>
            </a:graphic>
          </wp:inline>
        </w:drawing>
      </w:r>
    </w:p>
    <w:p w14:paraId="682DF08D">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720" w:firstLineChars="300"/>
        <w:jc w:val="left"/>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图4 断口不合格样品                 图5 断口合格样品</w:t>
      </w:r>
    </w:p>
    <w:p w14:paraId="784D76A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2"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4. 修订“3.5性能”要求：</w:t>
      </w:r>
      <w:r>
        <w:rPr>
          <w:rFonts w:hint="eastAsia" w:ascii="宋体" w:hAnsi="宋体" w:eastAsia="宋体" w:cs="宋体"/>
          <w:kern w:val="0"/>
          <w:sz w:val="24"/>
          <w:szCs w:val="24"/>
          <w:lang w:val="en-US" w:eastAsia="zh-CN" w:bidi="ar"/>
        </w:rPr>
        <w:t>原标准规定“如客户有要求，铸锭可进行宏观组织检验、耐脱锌腐蚀性能测试。要求由供需双方协商确定”，该要求较为模糊，无法满足下游重点行业的质量管控需求。随着卫浴行业的快速发展，卫浴用铜合金铸锭对耐脱锌腐蚀性能、晶粒度等指标要求较高，若未明确统一的测试要求，易导致产品质量参差不齐，影响下游产品的使用要求。本次修订修改为:“4.5 宏观组织，铸锭可进行宏观组织检验，检验要求可由供需双方协商确定。4.6 耐脱锌腐蚀性能 黄铜铸锭可进行脱锌腐蚀性能测试，失锌层深度不大于100</w:t>
      </w:r>
      <w:r>
        <w:rPr>
          <w:rFonts w:hint="default" w:ascii="宋体" w:hAnsi="宋体" w:eastAsia="宋体" w:cs="宋体"/>
          <w:kern w:val="0"/>
          <w:sz w:val="24"/>
          <w:szCs w:val="24"/>
          <w:lang w:val="en-US" w:eastAsia="zh-CN" w:bidi="ar"/>
        </w:rPr>
        <w:t>µ</w:t>
      </w:r>
      <w:r>
        <w:rPr>
          <w:rFonts w:hint="eastAsia" w:ascii="宋体" w:hAnsi="宋体" w:eastAsia="宋体" w:cs="宋体"/>
          <w:kern w:val="0"/>
          <w:sz w:val="24"/>
          <w:szCs w:val="24"/>
          <w:lang w:val="en-US" w:eastAsia="zh-CN" w:bidi="ar"/>
        </w:rPr>
        <w:t>m。”</w:t>
      </w:r>
    </w:p>
    <w:p w14:paraId="104B736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其中耐脱锌腐蚀性能的测试要求参考了EN 1982-2017国际标准，结合我国卫浴行业的实际应用需求确定，经多家检测机构验证，测试方法科学、可行，能够有效保障卫浴用铜合金铸锭的质量。</w:t>
      </w:r>
    </w:p>
    <w:p w14:paraId="2DD8BF1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2"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5. 增加了“晶粒度”要求：</w:t>
      </w:r>
      <w:r>
        <w:rPr>
          <w:rFonts w:hint="eastAsia" w:ascii="宋体" w:hAnsi="宋体" w:eastAsia="宋体" w:cs="宋体"/>
          <w:kern w:val="0"/>
          <w:sz w:val="24"/>
          <w:szCs w:val="24"/>
          <w:lang w:val="en-US" w:eastAsia="zh-CN" w:bidi="ar"/>
        </w:rPr>
        <w:t>为了针对高端卫浴等行业市场的需求，保证产品质量，需进一步对铸锭金相组织进行规定，本文件新增了晶粒度的要求，并规定“铸锭可进行晶粒度检测，平均晶粒度应不大于0.1mm。</w:t>
      </w:r>
      <w:r>
        <w:rPr>
          <w:rFonts w:hint="eastAsia" w:ascii="宋体" w:hAnsi="宋体" w:eastAsia="宋体" w:cs="宋体"/>
          <w:kern w:val="0"/>
          <w:sz w:val="24"/>
          <w:szCs w:val="24"/>
          <w:lang w:val="en-US" w:eastAsia="zh-CN" w:bidi="ar"/>
        </w:rPr>
        <w:t>”</w:t>
      </w:r>
    </w:p>
    <w:p w14:paraId="6769D3B4">
      <w:pPr>
        <w:jc w:val="center"/>
        <w:rPr>
          <w:rFonts w:hint="eastAsia" w:ascii="宋体" w:hAnsi="宋体" w:eastAsiaTheme="minorEastAsia"/>
          <w:lang w:eastAsia="zh-CN"/>
        </w:rPr>
      </w:pPr>
      <w:r>
        <w:rPr>
          <w:rFonts w:hint="eastAsia" w:ascii="宋体" w:hAnsi="宋体" w:eastAsiaTheme="minorEastAsia"/>
          <w:lang w:eastAsia="zh-CN"/>
        </w:rPr>
        <w:drawing>
          <wp:inline distT="0" distB="0" distL="114300" distR="114300">
            <wp:extent cx="3543300" cy="2358390"/>
            <wp:effectExtent l="0" t="0" r="7620" b="3810"/>
            <wp:docPr id="6" name="图片 6" descr="img_v3_02v8_20a4e1d5-4957-4671-a8b5-e4480d9728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v3_02v8_20a4e1d5-4957-4671-a8b5-e4480d9728cg"/>
                    <pic:cNvPicPr>
                      <a:picLocks noChangeAspect="1"/>
                    </pic:cNvPicPr>
                  </pic:nvPicPr>
                  <pic:blipFill>
                    <a:blip r:embed="rId9"/>
                    <a:stretch>
                      <a:fillRect/>
                    </a:stretch>
                  </pic:blipFill>
                  <pic:spPr>
                    <a:xfrm>
                      <a:off x="0" y="0"/>
                      <a:ext cx="3543300" cy="2358390"/>
                    </a:xfrm>
                    <a:prstGeom prst="rect">
                      <a:avLst/>
                    </a:prstGeom>
                  </pic:spPr>
                </pic:pic>
              </a:graphicData>
            </a:graphic>
          </wp:inline>
        </w:drawing>
      </w:r>
    </w:p>
    <w:p w14:paraId="3E24B57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图6 铸锭金相图</w:t>
      </w:r>
    </w:p>
    <w:p w14:paraId="279D6B2B">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kern w:val="0"/>
          <w:sz w:val="24"/>
          <w:szCs w:val="24"/>
          <w:lang w:val="en-US" w:eastAsia="zh-CN" w:bidi="ar"/>
        </w:rPr>
        <w:t>6、修订“5.2组批”要求：</w:t>
      </w:r>
      <w:r>
        <w:rPr>
          <w:rFonts w:hint="eastAsia" w:ascii="宋体" w:hAnsi="宋体" w:eastAsia="宋体" w:cs="宋体"/>
          <w:kern w:val="0"/>
          <w:sz w:val="24"/>
          <w:szCs w:val="24"/>
          <w:lang w:val="en-US" w:eastAsia="zh-CN" w:bidi="ar"/>
        </w:rPr>
        <w:t>原标准规定“产品应成批提交验收，每批应由同一炉号组成。经供需双方商定，也可多炉组成，每批不超过1000kg”，该组批要求已无法适应当前产业规模化生产的需求。近年来，我国铜合金铸锭生产企业的生产规模不断扩大，单炉产能提升，多炉组合批生产已成为行业常态，原标准规定的每批不超过1000kg的限制，增加了企业的验收成本和工作量，降低了生产效率。本次修订结合行业内骨干企业的生产规模（单炉产能可达[X]kg），参考ASTM B 30-2023国际标准的组批要求，将多炉组成批的要求修订为“每批不超过3炉，每批不超过2000kg”，既符合产业规模化生产的实际，又能保障产品质量的一致性，降低企业生产成本，提高生产效率。</w:t>
      </w:r>
    </w:p>
    <w:p w14:paraId="3AD63A97">
      <w:pPr>
        <w:pStyle w:val="2"/>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五、标准水平分析</w:t>
      </w:r>
    </w:p>
    <w:p w14:paraId="1B76022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本次修订后的YS/T 544《铸造铜合金锭》行业标准，结合我国铜合金铸锭产业技术发展现状和下游需求，吸收先进生产技术成果，参考国际先进标准，在技术内容、指标要求、检验方法等方面均进行了优化和完善，整体达到国际先进水平，具体分析如下：</w:t>
      </w:r>
    </w:p>
    <w:p w14:paraId="08F9D33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1. 与国际标准对比：本次修订参考了ASTM B 30-2023《铜合金铸锭》、EN 1982-2017《铜及铜合金 铸锭和铸件》两项国际先进标准。其中，新增的十一个铜锭牌号，化学成分、机械性能指标与ASTM B 30-2023、EN 1982-2017国际标准的相关牌号基本一致，部分指标结合我国生产实际进行了优化，更贴合我国产业需求；断口要求、性能要求、组批要求等内容，借鉴了国际标准的先进理念，同时兼顾我国生产企业的实际能力和下游用户的需求，既保证了标准的先进性，又具有较强的实用性；检验方法参考了国际标准的相关规定，确保了标准的科学性和规范性。与国际标准相比，本标准新增的三种铜锭形状，更贴合我国下游行业的个性化需求，在部分专项性能指标（如卫浴用铸锭的耐脱锌腐蚀性能）上，结合我国应用场景进行了细化，具有一定的针对性和优势。</w:t>
      </w:r>
    </w:p>
    <w:p w14:paraId="1D351CA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2. 与国内现有标准对比：我国现有同类型标准为YS/T 761-2011《饮用水系统零部件用易切削铜合金铸锭》，本标准与该标准属于并列关系，无交叉、矛盾，分别覆盖不同应用领域的铜合金铸锭产品，形成了互补的标准体系。与原YS/T 544-2009标准相比，修订后的标准新增了产品形状、牌号，优化了断口、性能、组批等核心要求，补充了先进生产工艺对应的质量指标</w:t>
      </w:r>
      <w:bookmarkStart w:id="0" w:name="_GoBack"/>
      <w:bookmarkEnd w:id="0"/>
      <w:r>
        <w:rPr>
          <w:rFonts w:hint="eastAsia" w:ascii="宋体" w:hAnsi="宋体" w:eastAsia="宋体" w:cs="宋体"/>
          <w:kern w:val="0"/>
          <w:sz w:val="24"/>
          <w:szCs w:val="24"/>
          <w:lang w:val="en-US" w:eastAsia="zh-CN" w:bidi="ar"/>
        </w:rPr>
        <w:t>，解决了原标准与产业发展脱节的问题，技术水平实现了显著提升，能够引领我国铜合金铸锭产业向高质量、规模化、精细化方向发展。</w:t>
      </w:r>
    </w:p>
    <w:p w14:paraId="2F51610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3. 与产业实际水平对比：修订后的标准充分考虑了我国铜合金铸锭生产企业的实际生产能力、检测水平，核心技术指标的确定基于行业内骨干企业的生产检测数据，兼顾了中小型企业的执行能力，确保了标准的可操作性。同时，标准吸收了潜流水平连铸磁脉冲共震铸造等先进技术的成果，将先进工艺的质量要求纳入标准，能够推动先进生产技术的推广应用，倒逼生产企业提升技术水平和产品质量，缩小我国铜合金铸锭产业与国际先进水平的差距，提升产品的市场竞争力。</w:t>
      </w:r>
    </w:p>
    <w:p w14:paraId="5670C85A">
      <w:pPr>
        <w:pStyle w:val="2"/>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b/>
          <w:bCs/>
          <w:spacing w:val="-17"/>
          <w:sz w:val="24"/>
          <w:szCs w:val="24"/>
        </w:rPr>
      </w:pPr>
      <w:r>
        <w:rPr>
          <w:rFonts w:hint="eastAsia" w:ascii="宋体" w:hAnsi="宋体" w:eastAsia="宋体" w:cs="宋体"/>
          <w:b/>
          <w:bCs/>
          <w:spacing w:val="-17"/>
          <w:sz w:val="24"/>
          <w:szCs w:val="24"/>
        </w:rPr>
        <w:t>六、与现行相关法律、法规、规章及相关标准（特别是强制性标准）的协调性</w:t>
      </w:r>
    </w:p>
    <w:p w14:paraId="4567372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1. 与相关法律、法规、规章的协调性：本次修订后的YS/T 544《铸造铜合金锭》行业标准，严格遵循《中华人民共和国标准化法》《中华人民共和国产品质量法》《中华人民共和国环境保护法》等相关法律法规的规定，符合国家产业政策和行业发展规划，特别是与《标准提升引领原材料工业优化升级行动方案（2025-2027年）》《铜产业高质量发展实施方案（2025-2027年）》等产业政策的要求高度契合，明确了铜合金铸锭产业升级、技术创新的质量导向，无任何违反现行法律、法规、规章的内容，协调性良好。</w:t>
      </w:r>
    </w:p>
    <w:p w14:paraId="76159A85">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2. 与相关标准的协调性：</w:t>
      </w:r>
    </w:p>
    <w:p w14:paraId="6BB697E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（1）与国家标准的协调性：本标准与现行国家标准无交叉、矛盾，与GB/T 5231《加工铜及铜合金牌号和化学成分》、GB/T 228《金属材料 室温拉伸试验方法》、GB/T 231《金属布氏硬度试验 第1部分：试验方法》等相关国家标准在化学成分、力学性能测试方法等方面保持一致，引用了相关国家标准的核心内容，确保了标准之间的协调性和统一性。</w:t>
      </w:r>
    </w:p>
    <w:p w14:paraId="47291BE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（2）与行业标准的协调性：本标准与YS/T 761-2011《饮用水系统零部件用易切削铜合金铸锭》属于并列的行业标准，分别覆盖不同应用领域的铜合金铸锭产品，无交叉、重复，形成了互补的铜合金铸锭行业标准体系；同时，参考了YS/T 528《铜及铜合金铸造产品》等相关行业标准的技术内容，确保了与同行业其他标准的协调性。</w:t>
      </w:r>
    </w:p>
    <w:p w14:paraId="2B9BF27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3）与强制性标准的协调性：目前，我国铜合金铸锭领域无相关强制性国家标准或行业标准，本标准为推荐性行业标准，其技术内容、指标要求均符合国家相关强制性标准的总体要求，无任何与强制性标准相抵触的内容，能够为铜合金铸锭产品的质量管控提供规范指导，与强制性标准形成有效衔接。</w:t>
      </w:r>
    </w:p>
    <w:p w14:paraId="5645887D">
      <w:pPr>
        <w:pStyle w:val="2"/>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七、重大分歧意见的处理经过和依据</w:t>
      </w:r>
    </w:p>
    <w:p w14:paraId="2221723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本次标准修订过程中，在征求意见阶段和审查阶段，共收到各类意见[X]条，其中无原则性重大分歧意见，主要分歧集中在以下3个方面，工作组对分歧意见进行了认真分析、论证和协调，最终达成一致，具体处理经过和依据如下：</w:t>
      </w:r>
    </w:p>
    <w:p w14:paraId="7B7E6DA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1. 分歧意见一：关于新增铜锭牌号的化学成分指标，部分企业建议参考ASTM B 30-2023国际标准，适当放宽部分元素的含量范围，降低生产难度；部分下游用户建议严格控制化学成分指标，确保产品性能稳定性。</w:t>
      </w:r>
    </w:p>
    <w:p w14:paraId="6BB9F52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处理经过：工作组组织生产企业、下游用户、科研院所及检测机构召开专题座谈会，对分歧意见进行深入论证；收集了行业内[X]家生产企业的实际生产数据和[X]家下游用户的使用反馈数据，对比分析了ASTM B 30-2023、EN 1982-2017国际标准的相关指标要求；结合我国铜合金铸锭的生产实际和下游应用需求，对新增牌号的化学成分指标进行了优化调整。</w:t>
      </w:r>
    </w:p>
    <w:p w14:paraId="7E7B56B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处理依据：兼顾生产企业的执行能力和下游用户的性能需求，参考国际先进标准，结合我国生产实际，确定了新增牌号的化学成分指标范围，既适当放宽了部分元素的含量范围，降低生产难度，又严格控制了关键元素的含量，确保产品性能稳定性，经检测，调整后的指标能够满足下游应用要求，得到了分歧双方的认可，达成一致意见。</w:t>
      </w:r>
    </w:p>
    <w:p w14:paraId="08F4FA1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2. 分歧意见二：关于断口轻微缺陷的允许范围，部分检测机构建议严格控制轻微气孔和分层缺陷的大小，确保产品质量；部分生产企业建议适当放宽允许范围，贴合实际生产情况。</w:t>
      </w:r>
    </w:p>
    <w:p w14:paraId="36297225">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处理经过：工作组收集了行业内[X]家骨干企业的铸锭断口检测数据，对轻微气孔和分层缺陷的影响进行了试验验证，分析了该类缺陷对铸锭后续加工和使用性能的影响；组织检测机构和生产企业进行沟通协调，明确了轻微缺陷的判定标准。</w:t>
      </w:r>
    </w:p>
    <w:p w14:paraId="61A65AF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处理依据：基于试验验证结果，轻微气孔和分层缺陷（符合表4要求）不会影响铸锭的后续加工和使用性能，结合行业生产实际，确定了断口轻微缺陷的允许范围，既保证了产品质量，又贴合生产实际，兼顾了检测机构和生产企业的需求，达成一致意见。</w:t>
      </w:r>
    </w:p>
    <w:p w14:paraId="16C25E4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3. 分歧意见三：关于组批要求中多炉组成批的数量和重量限制，部分大型企业建议将每批多炉数量放宽至5炉，重量限制放宽至3000kg，提高生产效率；部分中小型企业建议维持原标准的相关要求，避免质量管控难度增加。</w:t>
      </w:r>
    </w:p>
    <w:p w14:paraId="574F140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处理经过：工作组调研了行业内不同规模生产企业的生产现状，分析了多炉组成批数量和重量对产品质量一致性的影响；结合我国铜合金铸锭产业的规模化发展趋势，对比参考了ASTM B 30-2023国际标准的组批要求，组织不同规模生产企业进行沟通协调。</w:t>
      </w:r>
    </w:p>
    <w:p w14:paraId="2B9DDACD">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处理依据：兼顾不同规模生产企业的需求，结合产业规模化生产实际，参考国际先进标准，将多炉组成批的要求修订为“每批不超过3炉，每批不超过2000kg”，既满足了大型企业提高生产效率的需求，又避免了中小型企业质量管控难度增加的问题，达成一致意见。</w:t>
      </w:r>
    </w:p>
    <w:p w14:paraId="16B1FBB5">
      <w:pPr>
        <w:pStyle w:val="2"/>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八、标准作为强制性或推荐性标准的建议</w:t>
      </w:r>
    </w:p>
    <w:p w14:paraId="5499F6E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建议本次修订后的YS/T 544《铸造铜合金锭》继续作为推荐性行业标准实施，主要依据如下：</w:t>
      </w:r>
    </w:p>
    <w:p w14:paraId="58479DF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1. 从产业属性来看，铸造铜合金锭属于工业原材料产品，应用领域广泛，不同下游行业、不同应用场景对产品的形状、牌号、性能等指标要求存在差异，若作为强制性标准，难以兼顾各类用户的个性化需求，灵活性不足；作为推荐性标准，可允许供需双方根据实际需求，在标准基础上协商确定具体要求，更贴合产业实际和市场需求。</w:t>
      </w:r>
    </w:p>
    <w:p w14:paraId="3AB9D5A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2. 从质量管控来看，我国铜合金铸锭产业已形成较为完善的质量管控体系，行业内骨干企业具备较强的质量意识和检测能力，能够自觉执行标准要求；同时，下游用户对产品质量的关注度不断提升，能够通过市场竞争倒逼生产企业提升产品质量，无需通过强制性标准进行约束。</w:t>
      </w:r>
    </w:p>
    <w:p w14:paraId="6EB6AD4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3. 从标准定位来看，本标准主要用于规范铸造铜合金锭的产品质量、技术要求及检验方法，为生产企业、检测机构、下游用户提供技术依据，属于产业基础性、规范性标准，符合推荐性标准的定位；同时，与我国现行铜合金领域的标准体系保持一致，均以推荐性标准为主，形成了统一的标准实施模式。</w:t>
      </w:r>
    </w:p>
    <w:p w14:paraId="5FB151B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4. 从国际惯例来看，ASTM B 30-2023、EN 1982-2017等国际先进标准均为推荐性标准，本次修订参考国际惯例，将本标准作为推荐性行业标准实施，有利于我国铜合金铸锭产品参与国际合作与竞争，提升产品的国际认可度。</w:t>
      </w:r>
    </w:p>
    <w:p w14:paraId="298C7179">
      <w:pPr>
        <w:pStyle w:val="2"/>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九、贯彻标准的要求和措施建议</w:t>
      </w:r>
    </w:p>
    <w:p w14:paraId="668CA58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为确保修订后的YS/T 544《铸造铜合金锭》行业标准能够有效贯彻实施，推动铜合金铸锭产业高质量发展，结合产业实际，提出以下要求和措施建议：</w:t>
      </w:r>
    </w:p>
    <w:p w14:paraId="4A53E27B">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1. 加强标准宣贯培训：由全国有色金属标准化技术委员会牵头，联合牵头编制单位、参与编制单位，组织开展标准宣贯培训活动，覆盖行业内生产企业、下游用户、科研院所、检测机构等相关单位；通过现场培训、线上授课、手册发放等多种形式，解读标准修订的背景、意义、主要内容及核心技术指标，讲解标准的执行要点和检验方法，提高相关单位对标准的理解和执行能力，确保标准准确落地。</w:t>
      </w:r>
    </w:p>
    <w:p w14:paraId="3B7F8EA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2. 推动企业严格执行标准：要求铜合金铸锭生产企业，严格按照修订后标准的要求，规范生产过程，优化生产工艺，加强原材料采购、生产加工、成品检验等各环节的质量管控，确保产品质量符合标准要求；鼓励企业结合标准要求，提升技术创新能力，推广应用潜流水平连铸磁脉冲共震铸造等先进生产技术，提升产品质量和竞争力；下游用户应加强对采购产品的质量验收，严格按照标准要求进行检验，倒逼生产企业执行标准。</w:t>
      </w:r>
    </w:p>
    <w:p w14:paraId="738FA16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3. 强化检测机构技术支撑：督促各类检测机构，按照标准要求，完善检测设备和检测能力，规范检测流程，提高检测精度和效率，为标准的实施提供专业的检测技术支撑；鼓励检测机构开展标准验证、技术咨询等服务，帮助企业解决标准执行过程中遇到的检测难题，确保标准的有效执行。</w:t>
      </w:r>
    </w:p>
    <w:p w14:paraId="2D24A0A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4. 加强标准实施监督：由工业和信息化部原材料工业司、全国有色金属标准化技术委员会牵头，联合行业协会、检测机构，定期开展标准实施情况监督检查，重点检查生产企业对标准的执行情况、检测机构的检验情况，及时发现和解决标准实施过程中存在的问题；对不执行标准、产品质量不符合标准要求的企业，依法依规进行处理，确保标准的严肃性和权威性。</w:t>
      </w:r>
    </w:p>
    <w:p w14:paraId="7BB2485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5. 建立标准实施反馈机制：建立健全标准实施反馈机制，由牵头编制单位负责收集标准实施过程中相关单位的意见建议，包括标准内容的合理性、可操作性、与产业实际的适配性等方面；定期对反馈意见进行汇总、分析和梳理，若发现标准存在不完善之处，及时启动标准修订完善程序，确保标准能够持续适应产业发展需求。</w:t>
      </w:r>
    </w:p>
    <w:p w14:paraId="2CDFBA8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6. 推动标准与产业深度融合：鼓励科研院所、生产企业结合标准要求，开展技术创新和产品研发，推动标准与先进生产技术、下游应用需求深度融合；引导企业将标准要求融入企业质量管理体系，建立以标准为核心的质量管控模式，提升企业管理水平和生产效率；推动标准在卫浴、新能源、机械制造等下游行业的应用，提升标准的适用性和影响力。</w:t>
      </w:r>
    </w:p>
    <w:p w14:paraId="24F2B8F9">
      <w:pPr>
        <w:pStyle w:val="2"/>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jc w:val="left"/>
        <w:textAlignment w:val="auto"/>
        <w:rPr>
          <w:rFonts w:hint="eastAsia"/>
        </w:rPr>
      </w:pPr>
      <w:r>
        <w:rPr>
          <w:rFonts w:hint="eastAsia" w:ascii="宋体" w:hAnsi="宋体" w:eastAsia="宋体" w:cs="宋体"/>
          <w:sz w:val="24"/>
          <w:szCs w:val="24"/>
        </w:rPr>
        <w:t>十、废止现行有关标准的建议</w:t>
      </w:r>
    </w:p>
    <w:p w14:paraId="5E34A2D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建议本次修订后的YS/T 544《铸造铜合金锭》行业标准实施之日起，废止YS/T 544-2009《铸造铜合金锭》行业标准，主要依据如下：</w:t>
      </w:r>
    </w:p>
    <w:p w14:paraId="08BA66C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1. 修订后的标准全面替代了原标准的内容，涵盖了原标准的核心要求，同时结合产业技术发展和市场需求，新增了产品形状、牌号，优化了断口、性能、组批等核心技术要求，完善了检验方法，解决了原标准与产业发展脱节的问题，技术内容更全面、更先进、更贴合产业实际，能够完全替代原标准的功能。</w:t>
      </w:r>
    </w:p>
    <w:p w14:paraId="0638DD2E">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2. 原标准实施近15年来，我国铜合金铸锭产业的生产工艺、产品质量、市场需求均发生了显著变化，原标准的部分技术内容、指标要求已无法适应产业发展需求，继续实施原标准，将不利于先进生产技术的推广应用，不利于产品质量的提升，不利于产业的优化升级，废止原标准势在必行。</w:t>
      </w:r>
    </w:p>
    <w:p w14:paraId="6F0BC4A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3. 修订后的标准与原标准属于同一标准的修订升级，两者在标准名称、适用范围上保持一致，不存在交叉、矛盾，废止原标准能够避免标准之间的重复和冲突，确保标准体系的统一性和规范性，便于相关单位执行和监督。</w:t>
      </w:r>
    </w:p>
    <w:p w14:paraId="6FE7FE23">
      <w:pPr>
        <w:pStyle w:val="2"/>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十一、预期效果</w:t>
      </w:r>
    </w:p>
    <w:p w14:paraId="28E7B9E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本次YS/T 544《铸造铜合金锭》行业标准修订完成并实施后，预计将产生以下积极效果，为铜合金铸锭产业高质量发展提供有力支撑：</w:t>
      </w:r>
    </w:p>
    <w:p w14:paraId="23D0FFC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1. 引领产业技术升级：标准将潜流水平连铸磁脉冲共震铸造等先进生产技术的质量要求纳入其中，推动先进生产工艺的推广应用，倒逼生产企业优化生产工艺、提升技术水平，减少锌挥发、温降损失，降低能耗和锌烧损，提升铸锭内部质量和机械性能，推动铜合金铸锭产业向高质量、绿色化、精细化方向发展。</w:t>
      </w:r>
    </w:p>
    <w:p w14:paraId="7F3EB75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2. 规范市场秩序：标准明确了新增产品形状、牌号及核心技术指标，统一了检验方法和验收要求，解决了原标准缺失导致的产品质量参差不齐、市场恶性竞争等问题，规范了市场流通秩序，保障了生产企业、下游用户的合法权益，促进产业健康有序发展。</w:t>
      </w:r>
    </w:p>
    <w:p w14:paraId="6CFA964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3. 提升产品竞争力：标准参考国际先进水平，优化了技术指标，新增了符合下游需求的产品类型和性能要求，提升了我国铸造铜合金锭产品的质量和适用性，缩小了与国际先进产品的差距，增强了我国铜合金铸锭产品的国内市场竞争力和国际认可度，有利于产品出口和参与国际合作与竞争。</w:t>
      </w:r>
    </w:p>
    <w:p w14:paraId="5EFC4FEE">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4. 衔接下游产业需求：标准针对卫浴等重点下游行业，新增了专项性能要求，提升了铜合金铸锭与下游产品的适配性，推动铜合金铸锭与卫浴、新能源、机械制造等下游产业协同发展，助力铜精深加工产业先进制造业集群培育，落实国家铜产业高质量发展政策。</w:t>
      </w:r>
    </w:p>
    <w:p w14:paraId="72D2ABA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5. 降低企业生产成本：标准优化了组批要求，贴合产业规模化生产实际，降低了企业的验收成本和工作量，提高了生产效率；同时，明确了生产过程中的质量管控要求，帮助企业减少不合格产品的产生，降低生产成本，提升企业经济效益。</w:t>
      </w:r>
    </w:p>
    <w:p w14:paraId="54F3F695">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6. 完善标准体系：标准的修订填补了原标准与产业发展之间的空白，与YS/T 761-2011等相关标准形成互补，完善了我国铜合金铸锭行业标准体系，为产业发展提供了更全面、更规范的技术依据，推动我国有色金属标准化工作高质量发展，为建设制造强国提供有力支撑。</w:t>
      </w:r>
    </w:p>
    <w:p w14:paraId="4F0A669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righ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铸造铜及铜合金锭编制小组</w:t>
      </w:r>
    </w:p>
    <w:p w14:paraId="61F0B3D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right"/>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2026.3.3</w:t>
      </w:r>
    </w:p>
    <w:p w14:paraId="123F314B"/>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356005F"/>
    <w:multiLevelType w:val="singleLevel"/>
    <w:tmpl w:val="7356005F"/>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991296"/>
    <w:rsid w:val="1D0E5A8A"/>
    <w:rsid w:val="21E03E75"/>
    <w:rsid w:val="29117EA8"/>
    <w:rsid w:val="32BB0FC2"/>
    <w:rsid w:val="38D560CA"/>
    <w:rsid w:val="3AC57379"/>
    <w:rsid w:val="3C6D114E"/>
    <w:rsid w:val="3E3918F8"/>
    <w:rsid w:val="3E5A3954"/>
    <w:rsid w:val="457E630D"/>
    <w:rsid w:val="48C86651"/>
    <w:rsid w:val="5019782C"/>
    <w:rsid w:val="50F578FE"/>
    <w:rsid w:val="54285830"/>
    <w:rsid w:val="55901A60"/>
    <w:rsid w:val="5F6C3356"/>
    <w:rsid w:val="6CB83AB7"/>
    <w:rsid w:val="71505985"/>
    <w:rsid w:val="7B0459CB"/>
    <w:rsid w:val="7C0E5A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adjustRightInd w:val="0"/>
      <w:textAlignment w:val="baseline"/>
    </w:pPr>
    <w:rPr>
      <w:kern w:val="0"/>
      <w:szCs w:val="21"/>
    </w:rPr>
  </w:style>
  <w:style w:type="paragraph" w:styleId="5">
    <w:name w:val="Body Text"/>
    <w:basedOn w:val="1"/>
    <w:qFormat/>
    <w:uiPriority w:val="0"/>
    <w:pPr>
      <w:spacing w:after="120"/>
    </w:pPr>
    <w:rPr>
      <w:rFonts w:ascii="Times New Roman" w:hAnsi="Times New Roman" w:eastAsia="宋体" w:cs="Times New Roman"/>
      <w:szCs w:val="24"/>
    </w:rPr>
  </w:style>
  <w:style w:type="paragraph" w:customStyle="1" w:styleId="8">
    <w:name w:val="一级条标题"/>
    <w:basedOn w:val="9"/>
    <w:next w:val="1"/>
    <w:qFormat/>
    <w:uiPriority w:val="0"/>
    <w:pPr>
      <w:tabs>
        <w:tab w:val="left" w:pos="360"/>
      </w:tabs>
      <w:outlineLvl w:val="2"/>
    </w:pPr>
  </w:style>
  <w:style w:type="paragraph" w:customStyle="1" w:styleId="9">
    <w:name w:val="章标题"/>
    <w:next w:val="1"/>
    <w:qFormat/>
    <w:uiPriority w:val="0"/>
    <w:pPr>
      <w:spacing w:beforeLines="50" w:afterLines="50"/>
      <w:jc w:val="both"/>
      <w:outlineLvl w:val="1"/>
    </w:pPr>
    <w:rPr>
      <w:rFonts w:ascii="黑体" w:hAnsi="Times New Roman" w:eastAsia="黑体" w:cs="Times New Roman"/>
      <w:kern w:val="0"/>
      <w:sz w:val="21"/>
      <w:szCs w:val="20"/>
      <w:lang w:val="en-US" w:eastAsia="zh-CN" w:bidi="ar-SA"/>
    </w:rPr>
  </w:style>
  <w:style w:type="paragraph" w:customStyle="1" w:styleId="1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3865</Words>
  <Characters>4293</Characters>
  <Lines>0</Lines>
  <Paragraphs>0</Paragraphs>
  <TotalTime>3</TotalTime>
  <ScaleCrop>false</ScaleCrop>
  <LinksUpToDate>false</LinksUpToDate>
  <CharactersWithSpaces>4368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2026-02-05T05:38:00Z</dcterms:created>
  <dc:creator>88003400</dc:creator>
  <cp:lastModifiedBy>魏</cp:lastModifiedBy>
  <dcterms:modified xsi:type="dcterms:W3CDTF">2026-03-06T02:49:49Z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eyJoZGlkIjoiNDM0NGFhMjM1MWEwMzkyNzlkZmE1YjI1Zjk4N2RlYzEiLCJ1c2VySWQiOiI1OTc4Nzg1MTAifQ==</vt:lpwstr>
  </property>
  <property fmtid="{D5CDD505-2E9C-101B-9397-08002B2CF9AE}" pid="4" name="ICV">
    <vt:lpwstr>D44AB629B5184B3AB8171F508BBB4AD6_12</vt:lpwstr>
  </property>
</Properties>
</file>