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4"/>
        <w:rPr>
          <w:rFonts w:eastAsia="宋体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567" w:right="851" w:bottom="1361" w:left="1418" w:header="624" w:footer="0" w:gutter="0"/>
          <w:pgNumType w:start="1"/>
          <w:cols w:space="720" w:num="1"/>
          <w:titlePg/>
          <w:docGrid w:type="lines" w:linePitch="312" w:charSpace="0"/>
        </w:sectPr>
      </w:pPr>
      <w:bookmarkStart w:id="0" w:name="SectionMark0"/>
      <w:r>
        <w:rPr>
          <w:rFonts w:eastAsia="宋体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3520440</wp:posOffset>
            </wp:positionH>
            <wp:positionV relativeFrom="paragraph">
              <wp:posOffset>400685</wp:posOffset>
            </wp:positionV>
            <wp:extent cx="1895475" cy="660400"/>
            <wp:effectExtent l="0" t="0" r="0" b="0"/>
            <wp:wrapNone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8824595</wp:posOffset>
                </wp:positionV>
                <wp:extent cx="6121400" cy="0"/>
                <wp:effectExtent l="0" t="0" r="0" b="0"/>
                <wp:wrapNone/>
                <wp:docPr id="8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0.5pt;margin-top:694.85pt;height:0pt;width:482pt;z-index:251666432;mso-width-relative:page;mso-height-relative:page;" filled="f" stroked="t" coordsize="21600,21600" o:gfxdata="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52fB2AAAAAwBAAAP&#10;AAAAAAAAAAEAIAAAACIAAABkcnMvZG93bnJldi54bWxQSwECFAAUAAAACACHTuJA7g+7IN8BAADR&#10;AwAADgAAAAAAAAABACAAAAAnAQAAZHJzL2Uyb0RvYy54bWxQSwUGAAAAAAYABgBZAQAAe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2738120</wp:posOffset>
                </wp:positionV>
                <wp:extent cx="6121400" cy="0"/>
                <wp:effectExtent l="0" t="0" r="0" b="0"/>
                <wp:wrapNone/>
                <wp:docPr id="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>
                              <a:alpha val="85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5.45pt;margin-top:215.6pt;height:0pt;width:482pt;z-index:251674624;mso-width-relative:page;mso-height-relative:page;" filled="f" stroked="t" coordsize="21600,21600" o:gfxdata="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O&#10;ptrWAAAACwEAAA8AAAAAAAAAAQAgAAAAIgAAAGRycy9kb3ducmV2LnhtbFBLAQIUABQAAAAIAIdO&#10;4kDADI/U7AEAAPEDAAAOAAAAAAAAAAEAIAAAACUBAABkcnMvZTJvRG9jLnhtbFBLBQYAAAAABgAG&#10;AFkBAACDBQAAAAA=&#10;">
                <v:fill on="f" focussize="0,0"/>
                <v:stroke color="#000000" opacity="55705f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2383155</wp:posOffset>
                </wp:positionV>
                <wp:extent cx="6172200" cy="619125"/>
                <wp:effectExtent l="0" t="0" r="0" b="9525"/>
                <wp:wrapNone/>
                <wp:docPr id="2" name="fm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"/>
                              <w:spacing w:before="0"/>
                              <w:jc w:val="both"/>
                              <w:rPr>
                                <w:rFonts w:hint="default" w:ascii="黑体" w:hAnsi="黑体" w:eastAsia="黑体"/>
                                <w:color w:val="000000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</w:t>
                            </w:r>
                            <w:r>
                              <w:rPr>
                                <w:rFonts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JF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Z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（有色金属）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002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hint="eastAsia" w:ascii="黑体" w:hAnsi="黑体" w:eastAsia="黑体"/>
                                <w:bCs/>
                                <w:color w:val="000000"/>
                                <w:szCs w:val="28"/>
                                <w:lang w:val="en-US" w:eastAsia="zh-CN"/>
                              </w:rPr>
                              <w:t>2025</w:t>
                            </w:r>
                          </w:p>
                          <w:p>
                            <w:pPr>
                              <w:pStyle w:val="86"/>
                              <w:jc w:val="both"/>
                              <w:rPr>
                                <w:rFonts w:ascii="黑体" w:eastAsia="黑体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3" o:spid="_x0000_s1026" o:spt="202" type="#_x0000_t202" style="position:absolute;left:0pt;margin-left:0.5pt;margin-top:187.65pt;height:48.75pt;width:486pt;mso-position-horizontal-relative:margin;mso-position-vertical-relative:margin;z-index:251673600;mso-width-relative:page;mso-height-relative:page;" fillcolor="#FFFFFF" filled="t" stroked="f" coordsize="21600,21600" o:gfxdata="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W5WnLYAAAACQEAAA8AAAAAAAAAAQAgAAAAIgAAAGRycy9kb3du&#10;cmV2LnhtbFBLAQIUABQAAAAIAIdO4kA4bDnuxgEAAKY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86"/>
                        <w:spacing w:before="0"/>
                        <w:jc w:val="both"/>
                        <w:rPr>
                          <w:rFonts w:hint="default" w:ascii="黑体" w:hAnsi="黑体" w:eastAsia="黑体"/>
                          <w:color w:val="000000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 xml:space="preserve">                        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</w:t>
                      </w:r>
                      <w:r>
                        <w:rPr>
                          <w:rFonts w:ascii="黑体" w:hAnsi="黑体" w:eastAsia="黑体"/>
                          <w:bCs/>
                          <w:color w:val="000000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JF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Z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（有色金属）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002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</w:rPr>
                        <w:t>—</w:t>
                      </w:r>
                      <w:r>
                        <w:rPr>
                          <w:rFonts w:hint="eastAsia" w:ascii="黑体" w:hAnsi="黑体" w:eastAsia="黑体"/>
                          <w:bCs/>
                          <w:color w:val="000000"/>
                          <w:szCs w:val="28"/>
                          <w:lang w:val="en-US" w:eastAsia="zh-CN"/>
                        </w:rPr>
                        <w:t>2025</w:t>
                      </w:r>
                    </w:p>
                    <w:p>
                      <w:pPr>
                        <w:pStyle w:val="86"/>
                        <w:jc w:val="both"/>
                        <w:rPr>
                          <w:rFonts w:ascii="黑体" w:eastAsia="黑体"/>
                          <w:b/>
                          <w:color w:val="0000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margin">
                  <wp:posOffset>-102870</wp:posOffset>
                </wp:positionH>
                <wp:positionV relativeFrom="margin">
                  <wp:posOffset>1192530</wp:posOffset>
                </wp:positionV>
                <wp:extent cx="6217920" cy="1119505"/>
                <wp:effectExtent l="0" t="0" r="11430" b="4445"/>
                <wp:wrapNone/>
                <wp:docPr id="1" name="fm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7"/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中华人民共和国工业和信息化部</w:t>
                            </w:r>
                          </w:p>
                          <w:p>
                            <w:pPr>
                              <w:pStyle w:val="77"/>
                              <w:jc w:val="center"/>
                              <w:rPr>
                                <w:rFonts w:hint="eastAsia" w:ascii="方正小标宋_GBK" w:hAnsi="方正小标宋_GBK" w:eastAsia="方正小标宋_GBK" w:cs="方正小标宋_GBK"/>
                                <w:snapToGrid w:val="0"/>
                                <w:spacing w:val="26"/>
                                <w:kern w:val="36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pacing w:val="23"/>
                                <w:w w:val="120"/>
                                <w:szCs w:val="52"/>
                              </w:rPr>
                              <w:t>有色金属计量技术规范</w:t>
                            </w:r>
                          </w:p>
                          <w:p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2" o:spid="_x0000_s1026" o:spt="202" type="#_x0000_t202" style="position:absolute;left:0pt;margin-left:-8.1pt;margin-top:93.9pt;height:88.15pt;width:489.6pt;mso-position-horizontal-relative:margin;mso-position-vertical-relative:margin;z-index:251672576;mso-width-relative:page;mso-height-relative:page;" fillcolor="#FFFFFF" filled="t" stroked="f" coordsize="21600,21600" o:gfxdata="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Vo/5OdkAAAALAQAADwAAAAAAAAABACAAAAAiAAAAZHJzL2Rv&#10;d25yZXYueG1sUEsBAhQAFAAAAAgAh07iQMgl/2DHAQAApw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7"/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中华人民共和国工业和信息化部</w:t>
                      </w:r>
                    </w:p>
                    <w:p>
                      <w:pPr>
                        <w:pStyle w:val="77"/>
                        <w:jc w:val="center"/>
                        <w:rPr>
                          <w:rFonts w:hint="eastAsia" w:ascii="方正小标宋_GBK" w:hAnsi="方正小标宋_GBK" w:eastAsia="方正小标宋_GBK" w:cs="方正小标宋_GBK"/>
                          <w:snapToGrid w:val="0"/>
                          <w:spacing w:val="26"/>
                          <w:kern w:val="36"/>
                          <w:szCs w:val="5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pacing w:val="23"/>
                          <w:w w:val="120"/>
                          <w:szCs w:val="52"/>
                        </w:rPr>
                        <w:t>有色金属计量技术规范</w:t>
                      </w:r>
                    </w:p>
                    <w:p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6350</wp:posOffset>
                </wp:positionH>
                <wp:positionV relativeFrom="margin">
                  <wp:posOffset>9026525</wp:posOffset>
                </wp:positionV>
                <wp:extent cx="6120130" cy="363220"/>
                <wp:effectExtent l="0" t="0" r="0" b="0"/>
                <wp:wrapNone/>
                <wp:docPr id="6" name="fmFram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9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zCs w:val="36"/>
                              </w:rPr>
                              <w:t>中国人民共和国工业和信息化部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黑体" w:cs="黑体"/>
                                <w:bCs/>
                                <w:spacing w:val="60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7" o:spid="_x0000_s1026" o:spt="202" type="#_x0000_t202" style="position:absolute;left:0pt;margin-left:0.5pt;margin-top:710.75pt;height:28.6pt;width:481.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G5jtkAAAALAQAADwAAAAAAAAABACAAAAAiAAAAZHJzL2Rv&#10;d25yZXYueG1sUEsBAhQAFAAAAAgAh07iQDipxFzHAQAApg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69"/>
                        <w:rPr>
                          <w:b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zCs w:val="36"/>
                        </w:rPr>
                        <w:t>中国人民共和国工业和信息化部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 w:hAnsi="黑体" w:cs="黑体"/>
                          <w:bCs/>
                          <w:spacing w:val="60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margin">
                  <wp:posOffset>3823970</wp:posOffset>
                </wp:positionH>
                <wp:positionV relativeFrom="margin">
                  <wp:posOffset>8455025</wp:posOffset>
                </wp:positionV>
                <wp:extent cx="2019300" cy="312420"/>
                <wp:effectExtent l="0" t="0" r="0" b="0"/>
                <wp:wrapNone/>
                <wp:docPr id="5" name="fmFram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1"/>
                              <w:rPr>
                                <w:rFonts w:hint="eastAsia"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-XX实施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6" o:spid="_x0000_s1026" o:spt="202" type="#_x0000_t202" style="position:absolute;left:0pt;margin-left:301.1pt;margin-top:665.75pt;height:24.6pt;width:159pt;mso-position-horizontal-relative:margin;mso-position-vertical-relative:margin;z-index:251663360;mso-width-relative:page;mso-height-relative:page;" fillcolor="#FFFFFF" filled="t" stroked="f" coordsize="21600,21600" o:gfxdata="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ABWE32QAAAA0BAAAPAAAAAAAAAAEAIAAAACIAAABkcnMv&#10;ZG93bnJldi54bWxQSwECFAAUAAAACACHTuJApkpDxs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1"/>
                        <w:rPr>
                          <w:rFonts w:hint="eastAsia"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-XX实施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227330</wp:posOffset>
                </wp:positionH>
                <wp:positionV relativeFrom="margin">
                  <wp:posOffset>8470265</wp:posOffset>
                </wp:positionV>
                <wp:extent cx="2019300" cy="312420"/>
                <wp:effectExtent l="0" t="0" r="0" b="0"/>
                <wp:wrapNone/>
                <wp:docPr id="4" name="fmFra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0"/>
                              <w:rPr>
                                <w:rFonts w:hint="eastAsia" w:ascii="黑体" w:hAnsi="宋体"/>
                                <w:bCs/>
                              </w:rPr>
                            </w:pPr>
                            <w:r>
                              <w:rPr>
                                <w:rFonts w:hint="eastAsia" w:ascii="黑体"/>
                                <w:bCs/>
                              </w:rPr>
                              <w:t>202X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-</w:t>
                            </w:r>
                            <w:r>
                              <w:rPr>
                                <w:rFonts w:hint="eastAsia" w:ascii="黑体"/>
                                <w:bCs/>
                              </w:rPr>
                              <w:t>XX</w:t>
                            </w:r>
                            <w:r>
                              <w:rPr>
                                <w:rFonts w:hint="eastAsia" w:ascii="黑体" w:hAnsi="宋体"/>
                                <w:bCs/>
                              </w:rPr>
                              <w:t>发布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5" o:spid="_x0000_s1026" o:spt="202" type="#_x0000_t202" style="position:absolute;left:0pt;margin-left:17.9pt;margin-top:666.9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VkHnF2QAAAAwBAAAPAAAAAAAAAAEAIAAAACIAAABkcnMv&#10;ZG93bnJldi54bWxQSwECFAAUAAAACACHTuJAKxW4TMkBAACmAwAADgAAAAAAAAABACAAAAAo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90"/>
                        <w:rPr>
                          <w:rFonts w:hint="eastAsia" w:ascii="黑体" w:hAnsi="宋体"/>
                          <w:bCs/>
                        </w:rPr>
                      </w:pPr>
                      <w:r>
                        <w:rPr>
                          <w:rFonts w:hint="eastAsia" w:ascii="黑体"/>
                          <w:bCs/>
                        </w:rPr>
                        <w:t>202X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-</w:t>
                      </w:r>
                      <w:r>
                        <w:rPr>
                          <w:rFonts w:hint="eastAsia" w:ascii="黑体"/>
                          <w:bCs/>
                        </w:rPr>
                        <w:t>XX</w:t>
                      </w:r>
                      <w:r>
                        <w:rPr>
                          <w:rFonts w:hint="eastAsia" w:ascii="黑体" w:hAnsi="宋体"/>
                          <w:bCs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宋体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3767455</wp:posOffset>
                </wp:positionV>
                <wp:extent cx="5969000" cy="4377690"/>
                <wp:effectExtent l="0" t="0" r="0" b="0"/>
                <wp:wrapNone/>
                <wp:docPr id="3" name="fmFra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437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3"/>
                              <w:rPr>
                                <w:szCs w:val="52"/>
                              </w:rPr>
                            </w:pPr>
                            <w:bookmarkStart w:id="298" w:name="OLE_LINK1"/>
                            <w:r>
                              <w:rPr>
                                <w:rFonts w:hint="eastAsia"/>
                                <w:szCs w:val="52"/>
                              </w:rPr>
                              <w:t>液体流量计在线校准规范</w:t>
                            </w:r>
                            <w:bookmarkEnd w:id="298"/>
                          </w:p>
                          <w:p>
                            <w:pPr>
                              <w:pStyle w:val="73"/>
                              <w:spacing w:line="220" w:lineRule="exact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86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</w:pPr>
                            <w:bookmarkStart w:id="299" w:name="_Toc15844"/>
                            <w:bookmarkStart w:id="300" w:name="_Toc32585"/>
                            <w:bookmarkStart w:id="301" w:name="_Toc1542"/>
                            <w:bookmarkStart w:id="302" w:name="OLE_LINK2"/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Online Calibration Specification for</w:t>
                            </w:r>
                            <w:bookmarkEnd w:id="299"/>
                            <w:bookmarkEnd w:id="300"/>
                            <w:bookmarkEnd w:id="301"/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 xml:space="preserve"> Liquid Flowmeter</w:t>
                            </w:r>
                          </w:p>
                          <w:bookmarkEnd w:id="302"/>
                          <w:p>
                            <w:pPr>
                              <w:pStyle w:val="95"/>
                              <w:spacing w:line="220" w:lineRule="exact"/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  <w:lang w:val="en-US" w:eastAsia="zh-CN"/>
                              </w:rPr>
                              <w:t>征求意见</w:t>
                            </w:r>
                            <w:r>
                              <w:rPr>
                                <w:rFonts w:hint="eastAsia" w:ascii="黑体" w:hAnsi="黑体" w:eastAsia="黑体" w:cs="宋体"/>
                                <w:sz w:val="28"/>
                                <w:szCs w:val="28"/>
                              </w:rPr>
                              <w:t>稿）</w:t>
                            </w:r>
                          </w:p>
                          <w:p>
                            <w:pPr>
                              <w:pStyle w:val="95"/>
                              <w:rPr>
                                <w:rFonts w:ascii="黑体" w:eastAsia="黑体"/>
                                <w:sz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fmFrame4" o:spid="_x0000_s1026" o:spt="202" type="#_x0000_t202" style="position:absolute;left:0pt;margin-left:0pt;margin-top:296.65pt;height:344.7pt;width:470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JKZIvYAAAACQEAAA8AAAAAAAAAAQAgAAAAIgAAAGRycy9kb3du&#10;cmV2LnhtbFBLAQIUABQAAAAIAIdO4kBrnGgnxgEAAKcDAAAOAAAAAAAAAAEAIAAAACcBAABkcnMv&#10;ZTJvRG9jLnhtbFBLBQYAAAAABgAGAFkBAABf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73"/>
                        <w:rPr>
                          <w:szCs w:val="52"/>
                        </w:rPr>
                      </w:pPr>
                      <w:bookmarkStart w:id="298" w:name="OLE_LINK1"/>
                      <w:r>
                        <w:rPr>
                          <w:rFonts w:hint="eastAsia"/>
                          <w:szCs w:val="52"/>
                        </w:rPr>
                        <w:t>液体流量计在线校准规范</w:t>
                      </w:r>
                      <w:bookmarkEnd w:id="298"/>
                    </w:p>
                    <w:p>
                      <w:pPr>
                        <w:pStyle w:val="73"/>
                        <w:spacing w:line="220" w:lineRule="exact"/>
                        <w:jc w:val="both"/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86"/>
                        <w:jc w:val="center"/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</w:pPr>
                      <w:bookmarkStart w:id="299" w:name="_Toc15844"/>
                      <w:bookmarkStart w:id="300" w:name="_Toc32585"/>
                      <w:bookmarkStart w:id="301" w:name="_Toc1542"/>
                      <w:bookmarkStart w:id="302" w:name="OLE_LINK2"/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Online Calibration Specification for</w:t>
                      </w:r>
                      <w:bookmarkEnd w:id="299"/>
                      <w:bookmarkEnd w:id="300"/>
                      <w:bookmarkEnd w:id="301"/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 xml:space="preserve"> Liquid Flowmeter</w:t>
                      </w:r>
                    </w:p>
                    <w:bookmarkEnd w:id="302"/>
                    <w:p>
                      <w:pPr>
                        <w:pStyle w:val="95"/>
                        <w:spacing w:line="220" w:lineRule="exact"/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  <w:lang w:val="en-US" w:eastAsia="zh-CN"/>
                        </w:rPr>
                        <w:t>征求意见</w:t>
                      </w:r>
                      <w:r>
                        <w:rPr>
                          <w:rFonts w:hint="eastAsia" w:ascii="黑体" w:hAnsi="黑体" w:eastAsia="黑体" w:cs="宋体"/>
                          <w:sz w:val="28"/>
                          <w:szCs w:val="28"/>
                        </w:rPr>
                        <w:t>稿）</w:t>
                      </w:r>
                    </w:p>
                    <w:p>
                      <w:pPr>
                        <w:pStyle w:val="95"/>
                        <w:rPr>
                          <w:rFonts w:ascii="黑体" w:eastAsia="黑体"/>
                          <w:sz w:val="3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bookmarkEnd w:id="0"/>
    <w:p>
      <w:pPr>
        <w:rPr>
          <w:rFonts w:eastAsia="宋体"/>
        </w:rPr>
      </w:pPr>
      <w:bookmarkStart w:id="1" w:name="_Toc193601673"/>
      <w:bookmarkStart w:id="2" w:name="_Toc193601894"/>
      <w:bookmarkStart w:id="3" w:name="_Toc193619049"/>
      <w:bookmarkStart w:id="4" w:name="_Toc193555883"/>
      <w:bookmarkStart w:id="5" w:name="_Toc193603073"/>
      <w:bookmarkStart w:id="6" w:name="_Toc193861442"/>
      <w:bookmarkStart w:id="7" w:name="_Toc193860026"/>
      <w:bookmarkStart w:id="8" w:name="_Toc193618946"/>
      <w:bookmarkStart w:id="9" w:name="_Toc193619091"/>
      <w:bookmarkStart w:id="10" w:name="_Toc193860176"/>
      <w:bookmarkStart w:id="11" w:name="_Toc193860207"/>
      <w:bookmarkStart w:id="12" w:name="_Toc193552963"/>
      <w:bookmarkStart w:id="13" w:name="_Toc193551753"/>
      <w:bookmarkStart w:id="14" w:name="_Toc193547508"/>
      <w:r>
        <w:rPr>
          <w:rFonts w:eastAsia="宋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119380</wp:posOffset>
                </wp:positionV>
                <wp:extent cx="4048125" cy="1855470"/>
                <wp:effectExtent l="4445" t="4445" r="5080" b="6985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FFFFFF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2"/>
                              <w:spacing w:before="0" w:line="360" w:lineRule="exact"/>
                              <w:rPr>
                                <w:rFonts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pStyle w:val="72"/>
                              <w:spacing w:before="0" w:line="360" w:lineRule="auto"/>
                              <w:rPr>
                                <w:rFonts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Franklin Gothic Medium" w:hAnsi="Franklin Gothic Medium" w:eastAsia="黑体"/>
                                <w:color w:val="000000"/>
                                <w:kern w:val="36"/>
                                <w:sz w:val="44"/>
                                <w:szCs w:val="44"/>
                              </w:rPr>
                              <w:t>液体流量计在线校准规范</w:t>
                            </w:r>
                          </w:p>
                          <w:p>
                            <w:pPr>
                              <w:pStyle w:val="86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Online Calibration Specification</w:t>
                            </w:r>
                          </w:p>
                          <w:p>
                            <w:pPr>
                              <w:pStyle w:val="86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  <w:t>for Liquid Flowmeter</w:t>
                            </w:r>
                          </w:p>
                          <w:p>
                            <w:pPr>
                              <w:pStyle w:val="86"/>
                              <w:spacing w:line="360" w:lineRule="auto"/>
                              <w:jc w:val="center"/>
                              <w:rPr>
                                <w:rFonts w:hint="eastAsia" w:ascii="黑体" w:hAnsi="黑体" w:eastAsia="黑体"/>
                                <w:color w:val="000000"/>
                                <w:szCs w:val="2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黑体" w:eastAsia="黑体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lIns="91440" tIns="82800" rIns="91440" bIns="82800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-37.9pt;margin-top:9.4pt;height:146.1pt;width:318.75pt;z-index:251667456;mso-width-relative:page;mso-height-relative:page;" fillcolor="#FFFFFF" filled="t" stroked="t" coordsize="21600,21600" o:gfxdata="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iNmz82wAAAAoBAAAPAAAAAAAAAAEAIAAAACIAAABkcnMvZG93bnJldi54bWxQ&#10;SwECFAAUAAAACACHTuJAnjMrfC0CAAB6BAAADgAAAAAAAAABACAAAAAqAQAAZHJzL2Uyb0RvYy54&#10;bWxQSwUGAAAAAAYABgBZAQAAyQUAAAAA&#10;">
                <v:fill on="t" focussize="0,0"/>
                <v:stroke weight="0.25pt" color="#FFFFFF" joinstyle="miter" dashstyle="1 1" endcap="round"/>
                <v:imagedata o:title=""/>
                <o:lock v:ext="edit" aspectratio="f"/>
                <v:textbox inset="144,6.51968503937008pt,144,6.51968503937008pt">
                  <w:txbxContent>
                    <w:p>
                      <w:pPr>
                        <w:pStyle w:val="72"/>
                        <w:spacing w:before="0" w:line="360" w:lineRule="exact"/>
                        <w:rPr>
                          <w:rFonts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</w:pPr>
                    </w:p>
                    <w:p>
                      <w:pPr>
                        <w:pStyle w:val="72"/>
                        <w:spacing w:before="0" w:line="360" w:lineRule="auto"/>
                        <w:rPr>
                          <w:rFonts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Franklin Gothic Medium" w:hAnsi="Franklin Gothic Medium" w:eastAsia="黑体"/>
                          <w:color w:val="000000"/>
                          <w:kern w:val="36"/>
                          <w:sz w:val="44"/>
                          <w:szCs w:val="44"/>
                        </w:rPr>
                        <w:t>液体流量计在线校准规范</w:t>
                      </w:r>
                    </w:p>
                    <w:p>
                      <w:pPr>
                        <w:pStyle w:val="86"/>
                        <w:jc w:val="center"/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Online Calibration Specification</w:t>
                      </w:r>
                    </w:p>
                    <w:p>
                      <w:pPr>
                        <w:pStyle w:val="86"/>
                        <w:jc w:val="center"/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  <w:t>for Liquid Flowmeter</w:t>
                      </w:r>
                    </w:p>
                    <w:p>
                      <w:pPr>
                        <w:pStyle w:val="86"/>
                        <w:spacing w:line="360" w:lineRule="auto"/>
                        <w:jc w:val="center"/>
                        <w:rPr>
                          <w:rFonts w:hint="eastAsia" w:ascii="黑体" w:hAnsi="黑体" w:eastAsia="黑体"/>
                          <w:color w:val="000000"/>
                          <w:szCs w:val="28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黑体" w:eastAsia="黑体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>
      <w:pPr>
        <w:pStyle w:val="82"/>
        <w:spacing w:before="100" w:beforeAutospacing="1" w:line="240" w:lineRule="auto"/>
        <w:ind w:firstLine="640" w:firstLineChars="200"/>
        <w:jc w:val="both"/>
        <w:outlineLvl w:val="9"/>
        <w:rPr>
          <w:rFonts w:ascii="Times New Roman" w:eastAsia="宋体"/>
          <w:sz w:val="84"/>
          <w:szCs w:val="84"/>
        </w:rPr>
      </w:pPr>
      <w:r>
        <w:rPr>
          <w:rFonts w:ascii="Times New Roman" w:eastAsia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462280</wp:posOffset>
                </wp:positionV>
                <wp:extent cx="2011680" cy="558165"/>
                <wp:effectExtent l="0" t="0" r="0" b="0"/>
                <wp:wrapNone/>
                <wp:docPr id="12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textAlignment w:val="center"/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/>
                                <w:sz w:val="28"/>
                                <w:szCs w:val="28"/>
                              </w:rPr>
                              <w:t>JF（有色金属）XXX-XXXX</w:t>
                            </w:r>
                          </w:p>
                        </w:txbxContent>
                      </wps:txbx>
                      <wps:bodyPr wrap="square" lIns="54000" tIns="45720" rIns="54000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56" o:spid="_x0000_s1026" o:spt="202" type="#_x0000_t202" style="position:absolute;left:0pt;margin-left:304.2pt;margin-top:36.4pt;height:43.95pt;width:158.4pt;z-index:251670528;mso-width-relative:page;mso-height-relative:page;" fillcolor="#FFFFFF" filled="t" stroked="t" coordsize="21600,21600" o:gfxdata="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KgMZzYAAAACgEAAA8AAAAAAAAAAQAgAAAAIgAAAGRycy9kb3ducmV2LnhtbFBLAQIUABQAAAAI&#10;AIdO4kAZnXG7JgIAAHsEAAAOAAAAAAAAAAEAIAAAACcBAABkcnMvZTJvRG9jLnhtbFBLBQYAAAAA&#10;BgAGAFkBAAC/BQAAAAA=&#10;">
                <v:fill on="t" focussize="0,0"/>
                <v:stroke weight="1pt" color="#FFFFFF" joinstyle="miter"/>
                <v:imagedata o:title=""/>
                <o:lock v:ext="edit" aspectratio="f"/>
                <v:textbox inset="1.5mm,72,1.5mm,72">
                  <w:txbxContent>
                    <w:p>
                      <w:pPr>
                        <w:spacing w:line="320" w:lineRule="exact"/>
                        <w:jc w:val="center"/>
                        <w:textAlignment w:val="center"/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黑体" w:hAnsi="黑体" w:eastAsia="黑体"/>
                          <w:color w:val="000000"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hint="eastAsia" w:ascii="黑体" w:hAnsi="黑体" w:eastAsia="黑体"/>
                          <w:color w:val="000000"/>
                          <w:sz w:val="28"/>
                          <w:szCs w:val="28"/>
                        </w:rPr>
                        <w:t>JF（有色金属）XXX-XXXX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3717290</wp:posOffset>
            </wp:positionH>
            <wp:positionV relativeFrom="paragraph">
              <wp:posOffset>342265</wp:posOffset>
            </wp:positionV>
            <wp:extent cx="2236470" cy="836295"/>
            <wp:effectExtent l="0" t="0" r="0" b="0"/>
            <wp:wrapSquare wrapText="bothSides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/>
        </w:rPr>
        <w:t xml:space="preserve">                                   </w:t>
      </w:r>
    </w:p>
    <w:bookmarkEnd w:id="12"/>
    <w:bookmarkEnd w:id="13"/>
    <w:bookmarkEnd w:id="14"/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  <w:bookmarkStart w:id="15" w:name="_Toc193603075"/>
      <w:bookmarkStart w:id="16" w:name="_Toc193601896"/>
      <w:bookmarkStart w:id="17" w:name="_Toc193601675"/>
      <w:bookmarkStart w:id="18" w:name="_Toc193555885"/>
    </w:p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  <w:r>
        <w:rPr>
          <w:rFonts w:ascii="Times New Roman" w:eastAsia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943600" cy="0"/>
                <wp:effectExtent l="0" t="0" r="0" b="0"/>
                <wp:wrapNone/>
                <wp:docPr id="10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0pt;margin-top:5.45pt;height:0pt;width:468pt;z-index:251668480;mso-width-relative:page;mso-height-relative:page;" filled="f" stroked="t" coordsize="21600,21600" o:gfxdata="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OECj0wAAAAYBAAAPAAAA&#10;AAAAAAEAIAAAACIAAABkcnMvZG93bnJldi54bWxQSwECFAAUAAAACACHTuJAhyC4teEBAADR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15"/>
      <w:bookmarkEnd w:id="16"/>
      <w:bookmarkEnd w:id="17"/>
      <w:bookmarkEnd w:id="18"/>
    </w:p>
    <w:p>
      <w:pPr>
        <w:pStyle w:val="95"/>
        <w:spacing w:line="240" w:lineRule="auto"/>
        <w:jc w:val="both"/>
        <w:rPr>
          <w:rFonts w:ascii="Times New Roman" w:eastAsia="宋体"/>
          <w:sz w:val="28"/>
          <w:szCs w:val="28"/>
        </w:rPr>
      </w:pPr>
    </w:p>
    <w:p>
      <w:pPr>
        <w:pStyle w:val="43"/>
      </w:pPr>
    </w:p>
    <w:p>
      <w:pPr>
        <w:pStyle w:val="43"/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ascii="Times New Roman"/>
          <w:sz w:val="28"/>
          <w:szCs w:val="28"/>
        </w:rPr>
      </w:pPr>
      <w:r>
        <w:rPr>
          <w:rFonts w:ascii="Times New Roman"/>
          <w:spacing w:val="11"/>
          <w:sz w:val="28"/>
          <w:szCs w:val="28"/>
        </w:rPr>
        <w:t xml:space="preserve">归 口 单 </w:t>
      </w:r>
      <w:r>
        <w:rPr>
          <w:rFonts w:ascii="Times New Roman"/>
          <w:spacing w:val="4"/>
          <w:sz w:val="28"/>
          <w:szCs w:val="28"/>
        </w:rPr>
        <w:t>位</w:t>
      </w:r>
      <w:r>
        <w:rPr>
          <w:rFonts w:ascii="Times New Roman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中国有色金属工业协会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主要起草单位：</w:t>
      </w:r>
      <w:r>
        <w:rPr>
          <w:rFonts w:hint="eastAsia" w:ascii="宋体" w:hAnsi="宋体" w:eastAsia="宋体" w:cs="宋体"/>
          <w:sz w:val="28"/>
          <w:szCs w:val="28"/>
        </w:rPr>
        <w:t>西南铝业（集团）有限责任公司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Times New Roman"/>
          <w:sz w:val="28"/>
          <w:szCs w:val="28"/>
        </w:rPr>
        <w:t>参加起草单位：</w:t>
      </w: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520" w:lineRule="exact"/>
        <w:ind w:firstLine="1960" w:firstLineChars="700"/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240" w:lineRule="auto"/>
        <w:jc w:val="both"/>
        <w:rPr>
          <w:rFonts w:ascii="Times New Roman" w:eastAsia="宋体"/>
          <w:sz w:val="28"/>
          <w:szCs w:val="28"/>
        </w:rPr>
      </w:pPr>
    </w:p>
    <w:p>
      <w:pPr>
        <w:pStyle w:val="73"/>
        <w:framePr w:w="8080" w:h="6806" w:hRule="exact" w:wrap="around" w:vAnchor="page" w:hAnchor="page" w:x="2115" w:y="7035"/>
        <w:adjustRightInd w:val="0"/>
        <w:snapToGrid w:val="0"/>
        <w:spacing w:line="240" w:lineRule="auto"/>
        <w:jc w:val="both"/>
        <w:rPr>
          <w:rFonts w:ascii="Times New Roman" w:eastAsia="宋体"/>
          <w:sz w:val="28"/>
          <w:szCs w:val="28"/>
        </w:rPr>
      </w:pPr>
      <w:r>
        <w:rPr>
          <w:rFonts w:ascii="Times New Roman" w:eastAsia="宋体"/>
          <w:sz w:val="28"/>
          <w:szCs w:val="28"/>
        </w:rPr>
        <w:t xml:space="preserve">          </w:t>
      </w:r>
    </w:p>
    <w:p>
      <w:pPr>
        <w:pStyle w:val="43"/>
      </w:pPr>
    </w:p>
    <w:p>
      <w:pPr>
        <w:pStyle w:val="43"/>
        <w:ind w:left="420" w:hanging="420" w:firstLineChars="0"/>
        <w:jc w:val="center"/>
        <w:outlineLvl w:val="0"/>
        <w:rPr>
          <w:rFonts w:hint="eastAsia" w:ascii="Times New Roman" w:hAnsi="Times New Roman" w:eastAsia="宋体" w:cs="Times New Roman"/>
          <w:color w:val="auto"/>
          <w:sz w:val="28"/>
          <w:szCs w:val="28"/>
        </w:rPr>
      </w:pPr>
      <w:bookmarkStart w:id="19" w:name="_Toc8126"/>
      <w:bookmarkStart w:id="20" w:name="_Toc21747"/>
      <w:bookmarkStart w:id="21" w:name="_Toc30169"/>
      <w:r>
        <w:rPr>
          <w:rFonts w:hint="eastAsia" w:ascii="Times New Roman" w:hAnsi="Times New Roman" w:eastAsia="宋体" w:cs="Times New Roman"/>
          <w:color w:val="auto"/>
          <w:sz w:val="28"/>
          <w:szCs w:val="28"/>
        </w:rPr>
        <w:t>本规范委托有色金属行业计量技术委员会负责解释</w:t>
      </w:r>
      <w:bookmarkEnd w:id="19"/>
      <w:bookmarkEnd w:id="20"/>
      <w:bookmarkEnd w:id="21"/>
    </w:p>
    <w:p>
      <w:pPr>
        <w:pStyle w:val="43"/>
        <w:rPr>
          <w:color w:val="auto"/>
        </w:rPr>
      </w:pPr>
      <w:bookmarkStart w:id="22" w:name="_Toc193601897"/>
      <w:bookmarkStart w:id="23" w:name="_Toc193555886"/>
      <w:bookmarkStart w:id="24" w:name="_Toc193601676"/>
      <w:bookmarkStart w:id="25" w:name="_Toc193603076"/>
      <w:bookmarkStart w:id="26" w:name="_Toc193552965"/>
      <w:bookmarkStart w:id="27" w:name="_Toc193547510"/>
      <w:bookmarkStart w:id="28" w:name="_Toc193551755"/>
    </w:p>
    <w:bookmarkEnd w:id="22"/>
    <w:bookmarkEnd w:id="23"/>
    <w:bookmarkEnd w:id="24"/>
    <w:bookmarkEnd w:id="25"/>
    <w:bookmarkEnd w:id="26"/>
    <w:bookmarkEnd w:id="27"/>
    <w:bookmarkEnd w:id="28"/>
    <w:p>
      <w:pPr>
        <w:pStyle w:val="43"/>
        <w:framePr w:w="9366" w:h="7978" w:hRule="exact" w:wrap="around" w:vAnchor="page" w:hAnchor="page" w:x="1419" w:y="2667" w:anchorLock="1"/>
        <w:ind w:firstLine="562"/>
        <w:rPr>
          <w:rFonts w:ascii="黑体" w:hAnsi="黑体" w:eastAsia="黑体"/>
          <w:color w:val="auto"/>
          <w:sz w:val="30"/>
        </w:rPr>
      </w:pPr>
      <w:r>
        <w:rPr>
          <w:rFonts w:ascii="黑体" w:hAnsi="黑体" w:eastAsia="黑体"/>
          <w:b/>
          <w:color w:val="auto"/>
          <w:sz w:val="28"/>
          <w:szCs w:val="28"/>
        </w:rPr>
        <w:t>本规范主要起草人：</w:t>
      </w:r>
    </w:p>
    <w:p>
      <w:pPr>
        <w:pStyle w:val="43"/>
        <w:framePr w:w="9366" w:h="7978" w:hRule="exact" w:wrap="around" w:vAnchor="page" w:hAnchor="page" w:x="1419" w:y="2667" w:anchorLock="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210" w:leftChars="100" w:firstLine="1680" w:firstLineChars="600"/>
        <w:rPr>
          <w:rFonts w:hint="eastAsia" w:ascii="宋体" w:hAnsi="宋体" w:eastAsia="宋体" w:cs="宋体"/>
          <w:b w:val="0"/>
          <w:bCs/>
          <w:color w:val="auto"/>
          <w:sz w:val="28"/>
          <w:highlight w:val="none"/>
        </w:rPr>
      </w:pPr>
    </w:p>
    <w:p>
      <w:pPr>
        <w:pStyle w:val="43"/>
        <w:rPr>
          <w:rFonts w:hint="eastAsia"/>
        </w:rPr>
      </w:pPr>
    </w:p>
    <w:p>
      <w:pPr>
        <w:pStyle w:val="82"/>
        <w:spacing w:line="240" w:lineRule="auto"/>
        <w:jc w:val="both"/>
        <w:outlineLvl w:val="9"/>
        <w:rPr>
          <w:rFonts w:ascii="Times New Roman" w:eastAsia="宋体"/>
        </w:rPr>
      </w:pPr>
    </w:p>
    <w:p>
      <w:pPr>
        <w:sectPr>
          <w:headerReference r:id="rId8" w:type="default"/>
          <w:footerReference r:id="rId10" w:type="default"/>
          <w:headerReference r:id="rId9" w:type="even"/>
          <w:footerReference r:id="rId11" w:type="even"/>
          <w:pgSz w:w="11907" w:h="16839"/>
          <w:pgMar w:top="1418" w:right="1134" w:bottom="1134" w:left="1418" w:header="1247" w:footer="851" w:gutter="0"/>
          <w:pgNumType w:start="1"/>
          <w:cols w:space="720" w:num="1"/>
          <w:docGrid w:type="lines" w:linePitch="312" w:charSpace="0"/>
        </w:sectPr>
      </w:pPr>
    </w:p>
    <w:p>
      <w:pPr>
        <w:pStyle w:val="82"/>
        <w:spacing w:line="240" w:lineRule="auto"/>
        <w:jc w:val="both"/>
        <w:outlineLvl w:val="9"/>
        <w:rPr>
          <w:rFonts w:ascii="Times New Roman" w:eastAsia="宋体"/>
        </w:rPr>
        <w:sectPr>
          <w:headerReference r:id="rId12" w:type="default"/>
          <w:footerReference r:id="rId13" w:type="default"/>
          <w:type w:val="continuous"/>
          <w:pgSz w:w="11907" w:h="16839"/>
          <w:pgMar w:top="1418" w:right="1134" w:bottom="1134" w:left="1418" w:header="1247" w:footer="851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eastAsia="宋体"/>
        </w:rPr>
        <w:sectPr>
          <w:headerReference r:id="rId14" w:type="default"/>
          <w:footerReference r:id="rId15" w:type="default"/>
          <w:pgSz w:w="11907" w:h="16839"/>
          <w:pgMar w:top="1418" w:right="1134" w:bottom="1134" w:left="1418" w:header="1247" w:footer="851" w:gutter="0"/>
          <w:pgNumType w:fmt="upperRoman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目</w:t>
      </w: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ascii="黑体" w:hAnsi="黑体" w:eastAsia="黑体"/>
          <w:sz w:val="44"/>
          <w:szCs w:val="44"/>
        </w:rPr>
        <w:t xml:space="preserve"> 录</w:t>
      </w:r>
    </w:p>
    <w:p>
      <w:pPr>
        <w:jc w:val="center"/>
      </w:pPr>
      <w:bookmarkStart w:id="29" w:name="_Toc12273"/>
      <w:bookmarkStart w:id="30" w:name="_Toc26233"/>
      <w:bookmarkStart w:id="31" w:name="_Toc22520"/>
      <w:bookmarkStart w:id="32" w:name="_Toc20236"/>
      <w:bookmarkStart w:id="33" w:name="_Toc10757_WPSOffice_Level1"/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_Toc17366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引   言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_Toc17366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II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_Toc7396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 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_Toc7396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_Toc8614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 引用文件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_Toc8614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_Toc977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 概述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_Toc977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_Toc27499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 计量特性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_Toc11256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 校准条件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_Toc11256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_Toc24371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5.1 环境条件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_Toc24371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_Toc24371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液体介质</w:t>
      </w:r>
      <w:r>
        <w:rPr>
          <w:rFonts w:hint="eastAsia" w:ascii="宋体" w:hAnsi="宋体" w:eastAsia="宋体" w:cs="宋体"/>
          <w:sz w:val="24"/>
          <w:szCs w:val="24"/>
        </w:rPr>
        <w:t>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_Toc24371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_Toc24371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流量计安装</w:t>
      </w:r>
      <w:r>
        <w:rPr>
          <w:rFonts w:hint="eastAsia" w:ascii="宋体" w:hAnsi="宋体" w:eastAsia="宋体" w:cs="宋体"/>
          <w:sz w:val="24"/>
          <w:szCs w:val="24"/>
        </w:rPr>
        <w:t>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_Toc24371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_Toc5643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</w:t>
      </w:r>
      <w:r>
        <w:rPr>
          <w:rFonts w:hint="eastAsia" w:ascii="宋体" w:hAnsi="宋体" w:eastAsia="宋体" w:cs="宋体"/>
          <w:sz w:val="24"/>
          <w:szCs w:val="24"/>
        </w:rPr>
        <w:t>量标准及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sz w:val="24"/>
          <w:szCs w:val="24"/>
        </w:rPr>
        <w:t>设备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_Toc12887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其他条件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_Toc12887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_Toc17323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 校准方法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_Toc17323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_Toc8950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 xml:space="preserve">6.1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校准前准备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_Toc8950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 xml:space="preserve">6.2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标准流量计安装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_Toc14708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流量校准点选择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累积流量示值误差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瞬时流量示值误差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重复性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_Toc14708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变送输出误差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_Toc23960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 校准结果表达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_Toc23960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_Toc18776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8 复校时间间隔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78"/>
        <w:tabs>
          <w:tab w:val="right" w:leader="dot" w:pos="9355"/>
        </w:tabs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_Toc5202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附录A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_Toc21536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液体流量计在线</w:t>
      </w:r>
      <w:r>
        <w:rPr>
          <w:rFonts w:hint="eastAsia" w:ascii="宋体" w:hAnsi="宋体" w:eastAsia="宋体" w:cs="宋体"/>
          <w:bCs w:val="0"/>
          <w:sz w:val="24"/>
          <w:szCs w:val="24"/>
        </w:rPr>
        <w:t>校准原始记录参考格式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_Toc4146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附录B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_Toc4214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液体流量计在线</w:t>
      </w:r>
      <w:r>
        <w:rPr>
          <w:rFonts w:hint="eastAsia" w:ascii="宋体" w:hAnsi="宋体" w:eastAsia="宋体" w:cs="宋体"/>
          <w:sz w:val="24"/>
          <w:szCs w:val="24"/>
        </w:rPr>
        <w:t>校准证书内页参考格式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85"/>
        <w:tabs>
          <w:tab w:val="right" w:leader="dot" w:pos="9355"/>
        </w:tabs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_Toc2979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附录C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\l _Toc18006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液体流量计在线校准</w:t>
      </w:r>
      <w:r>
        <w:rPr>
          <w:rFonts w:hint="eastAsia" w:ascii="宋体" w:hAnsi="宋体" w:eastAsia="宋体" w:cs="宋体"/>
          <w:sz w:val="24"/>
          <w:szCs w:val="24"/>
        </w:rPr>
        <w:t>示值误差的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测量</w:t>
      </w:r>
      <w:r>
        <w:rPr>
          <w:rFonts w:hint="eastAsia" w:ascii="宋体" w:hAnsi="宋体" w:eastAsia="宋体" w:cs="宋体"/>
          <w:sz w:val="24"/>
          <w:szCs w:val="24"/>
        </w:rPr>
        <w:t>不确定度评定示例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PAGEREF _Toc18006 \h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>
      <w:pPr>
        <w:pStyle w:val="16"/>
        <w:tabs>
          <w:tab w:val="right" w:leader="dot" w:pos="9355"/>
          <w:tab w:val="clear" w:pos="9345"/>
        </w:tabs>
      </w:pPr>
      <w:r>
        <w:rPr>
          <w:rFonts w:hint="eastAsia" w:ascii="宋体" w:hAnsi="宋体" w:cs="宋体"/>
          <w:szCs w:val="24"/>
        </w:rPr>
        <w:fldChar w:fldCharType="begin"/>
      </w:r>
      <w:r>
        <w:rPr>
          <w:rFonts w:hint="eastAsia" w:ascii="宋体" w:hAnsi="宋体" w:cs="宋体"/>
          <w:szCs w:val="24"/>
        </w:rPr>
        <w:instrText xml:space="preserve">TOC \o "1-3" \h \u </w:instrText>
      </w:r>
      <w:r>
        <w:rPr>
          <w:rFonts w:hint="eastAsia" w:ascii="宋体" w:hAnsi="宋体" w:cs="宋体"/>
          <w:szCs w:val="24"/>
        </w:rPr>
        <w:fldChar w:fldCharType="separate"/>
      </w:r>
    </w:p>
    <w:p>
      <w:pPr>
        <w:pStyle w:val="16"/>
        <w:tabs>
          <w:tab w:val="right" w:leader="dot" w:pos="9355"/>
          <w:tab w:val="clear" w:pos="9345"/>
        </w:tabs>
      </w:pPr>
    </w:p>
    <w:p>
      <w:pPr>
        <w:pStyle w:val="16"/>
        <w:jc w:val="center"/>
        <w:rPr>
          <w:rFonts w:hint="eastAsia" w:ascii="宋体" w:hAnsi="宋体" w:eastAsia="宋体"/>
        </w:rPr>
      </w:pPr>
      <w:r>
        <w:rPr>
          <w:rFonts w:hint="eastAsia" w:ascii="宋体" w:hAnsi="宋体" w:cs="宋体"/>
          <w:szCs w:val="24"/>
        </w:rPr>
        <w:fldChar w:fldCharType="end"/>
      </w:r>
    </w:p>
    <w:p>
      <w:pPr>
        <w:jc w:val="center"/>
        <w:outlineLvl w:val="0"/>
        <w:rPr>
          <w:rStyle w:val="30"/>
          <w:rFonts w:hint="eastAsia" w:ascii="黑体" w:hAnsi="黑体" w:eastAsia="黑体"/>
          <w:sz w:val="44"/>
          <w:szCs w:val="44"/>
        </w:rPr>
      </w:pPr>
      <w:bookmarkStart w:id="34" w:name="_Toc313"/>
      <w:bookmarkStart w:id="35" w:name="_Toc29537"/>
      <w:r>
        <w:rPr>
          <w:rStyle w:val="30"/>
          <w:rFonts w:ascii="黑体" w:hAnsi="黑体" w:eastAsia="黑体"/>
          <w:sz w:val="44"/>
          <w:szCs w:val="44"/>
        </w:rPr>
        <w:t>引   言</w:t>
      </w:r>
      <w:bookmarkEnd w:id="29"/>
      <w:bookmarkEnd w:id="30"/>
      <w:bookmarkEnd w:id="31"/>
      <w:bookmarkEnd w:id="32"/>
      <w:bookmarkEnd w:id="33"/>
      <w:bookmarkEnd w:id="34"/>
      <w:bookmarkEnd w:id="35"/>
    </w:p>
    <w:p>
      <w:pPr>
        <w:rPr>
          <w:rFonts w:hint="eastAsia" w:ascii="宋体" w:hAnsi="宋体" w:eastAsia="宋体"/>
        </w:rPr>
      </w:pP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JJF 1071-2010</w:t>
      </w:r>
      <w:r>
        <w:rPr>
          <w:color w:val="auto"/>
        </w:rPr>
        <w:t>《国家计量校准规范编写规则》、</w:t>
      </w:r>
      <w:r>
        <w:rPr>
          <w:rFonts w:hint="eastAsia"/>
          <w:color w:val="auto"/>
        </w:rPr>
        <w:t>JJF 1001-2011</w:t>
      </w:r>
      <w:r>
        <w:rPr>
          <w:color w:val="auto"/>
        </w:rPr>
        <w:t>《通用计量术语及定义》和</w:t>
      </w:r>
      <w:r>
        <w:rPr>
          <w:rFonts w:hint="eastAsia"/>
          <w:color w:val="auto"/>
        </w:rPr>
        <w:t>JJF 1059.1-2012</w:t>
      </w:r>
      <w:r>
        <w:rPr>
          <w:color w:val="auto"/>
        </w:rPr>
        <w:t>《测量不确定度评定与表示》</w:t>
      </w:r>
      <w:r>
        <w:rPr>
          <w:rFonts w:hint="eastAsia" w:hAnsi="宋体" w:cs="宋体"/>
          <w:color w:val="auto"/>
          <w:szCs w:val="24"/>
        </w:rPr>
        <w:t>共同构成支撑校准规范制修订工作的基础性系列规范</w:t>
      </w:r>
      <w:r>
        <w:rPr>
          <w:color w:val="auto"/>
        </w:rPr>
        <w:t>。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本规范参考了JJG 1030-</w:t>
      </w:r>
      <w:r>
        <w:rPr>
          <w:rFonts w:hint="eastAsia"/>
          <w:strike w:val="0"/>
          <w:color w:val="auto"/>
        </w:rPr>
        <w:t>2007</w:t>
      </w:r>
      <w:r>
        <w:rPr>
          <w:rFonts w:hint="eastAsia"/>
          <w:color w:val="auto"/>
        </w:rPr>
        <w:t>《超声流量计》、JJG 1037-2008《涡轮流量计》和JJG 1033-2007《电磁流量计》的技术内容。</w:t>
      </w:r>
    </w:p>
    <w:p>
      <w:pPr>
        <w:pStyle w:val="43"/>
        <w:rPr>
          <w:color w:val="auto"/>
        </w:rPr>
        <w:sectPr>
          <w:footerReference r:id="rId16" w:type="default"/>
          <w:type w:val="continuous"/>
          <w:pgSz w:w="11907" w:h="16839"/>
          <w:pgMar w:top="1418" w:right="1134" w:bottom="1134" w:left="1418" w:header="1247" w:footer="851" w:gutter="0"/>
          <w:pgNumType w:fmt="upperRoman"/>
          <w:cols w:space="720" w:num="1"/>
          <w:docGrid w:type="lines" w:linePitch="312" w:charSpace="0"/>
        </w:sectPr>
      </w:pPr>
      <w:bookmarkStart w:id="36" w:name="_Toc20132"/>
      <w:bookmarkStart w:id="37" w:name="_Toc26394"/>
      <w:bookmarkStart w:id="38" w:name="_Toc10952"/>
      <w:r>
        <w:rPr>
          <w:color w:val="auto"/>
        </w:rPr>
        <w:t>本规范</w:t>
      </w:r>
      <w:r>
        <w:rPr>
          <w:rFonts w:hint="eastAsia"/>
          <w:color w:val="auto"/>
        </w:rPr>
        <w:t>为</w:t>
      </w:r>
      <w:r>
        <w:rPr>
          <w:color w:val="auto"/>
        </w:rPr>
        <w:t>首次</w:t>
      </w:r>
      <w:r>
        <w:rPr>
          <w:rFonts w:hint="eastAsia"/>
          <w:color w:val="auto"/>
        </w:rPr>
        <w:t>发布</w:t>
      </w:r>
      <w:r>
        <w:rPr>
          <w:color w:val="auto"/>
        </w:rPr>
        <w:t>。</w:t>
      </w:r>
      <w:bookmarkEnd w:id="36"/>
      <w:bookmarkEnd w:id="37"/>
      <w:bookmarkEnd w:id="38"/>
    </w:p>
    <w:p>
      <w:pPr>
        <w:rPr>
          <w:rFonts w:eastAsia="宋体"/>
          <w:sz w:val="24"/>
        </w:rPr>
      </w:pPr>
    </w:p>
    <w:p>
      <w:pPr>
        <w:rPr>
          <w:rFonts w:eastAsia="宋体"/>
        </w:rPr>
      </w:pPr>
    </w:p>
    <w:p>
      <w:pPr>
        <w:rPr>
          <w:rFonts w:eastAsia="宋体"/>
        </w:rPr>
        <w:sectPr>
          <w:footerReference r:id="rId17" w:type="default"/>
          <w:type w:val="continuous"/>
          <w:pgSz w:w="11907" w:h="16839"/>
          <w:pgMar w:top="1418" w:right="1134" w:bottom="1134" w:left="1418" w:header="1247" w:footer="851" w:gutter="0"/>
          <w:pgNumType w:fmt="upperRoman"/>
          <w:cols w:space="720" w:num="1"/>
          <w:docGrid w:type="lines" w:linePitch="312" w:charSpace="0"/>
        </w:sectPr>
      </w:pPr>
    </w:p>
    <w:p>
      <w:pPr>
        <w:rPr>
          <w:rFonts w:eastAsia="宋体"/>
          <w:b/>
          <w:bCs/>
          <w:sz w:val="44"/>
          <w:szCs w:val="44"/>
        </w:rPr>
      </w:pPr>
      <w:bookmarkStart w:id="39" w:name="_Toc23785207"/>
      <w:bookmarkStart w:id="40" w:name="_Toc23784535"/>
      <w:bookmarkStart w:id="41" w:name="_Toc23785527"/>
      <w:bookmarkStart w:id="42" w:name="_Toc23784633"/>
      <w:bookmarkStart w:id="43" w:name="_Toc193619050"/>
      <w:bookmarkStart w:id="44" w:name="_Toc193619092"/>
      <w:bookmarkStart w:id="45" w:name="_Toc193618947"/>
    </w:p>
    <w:bookmarkEnd w:id="39"/>
    <w:bookmarkEnd w:id="40"/>
    <w:bookmarkEnd w:id="41"/>
    <w:bookmarkEnd w:id="42"/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46" w:name="_Toc23236"/>
      <w:bookmarkStart w:id="47" w:name="_Toc20879"/>
      <w:bookmarkStart w:id="48" w:name="_Toc2836"/>
      <w:bookmarkStart w:id="49" w:name="_Toc5838"/>
      <w:bookmarkStart w:id="50" w:name="_Toc18706"/>
      <w:bookmarkStart w:id="51" w:name="_Toc1978"/>
      <w:r>
        <w:rPr>
          <w:rFonts w:hint="eastAsia" w:ascii="黑体" w:hAnsi="黑体" w:eastAsia="黑体" w:cs="黑体"/>
          <w:sz w:val="32"/>
          <w:szCs w:val="32"/>
        </w:rPr>
        <w:t>液体流量计在线校准规范</w:t>
      </w:r>
      <w:bookmarkEnd w:id="46"/>
      <w:bookmarkEnd w:id="47"/>
      <w:bookmarkEnd w:id="48"/>
      <w:bookmarkEnd w:id="49"/>
      <w:bookmarkEnd w:id="50"/>
      <w:bookmarkEnd w:id="51"/>
    </w:p>
    <w:p>
      <w:pPr>
        <w:rPr>
          <w:rFonts w:eastAsia="宋体"/>
        </w:rPr>
      </w:pPr>
    </w:p>
    <w:p>
      <w:pPr>
        <w:pStyle w:val="42"/>
        <w:spacing w:before="120" w:after="120" w:line="360" w:lineRule="auto"/>
        <w:outlineLvl w:val="0"/>
        <w:rPr>
          <w:rFonts w:hint="eastAsia"/>
        </w:rPr>
      </w:pPr>
      <w:bookmarkStart w:id="52" w:name="_Toc28688"/>
      <w:bookmarkStart w:id="53" w:name="_Toc23784634"/>
      <w:bookmarkStart w:id="54" w:name="_Toc23784536"/>
      <w:bookmarkStart w:id="55" w:name="_Toc23785528"/>
      <w:bookmarkStart w:id="56" w:name="_Toc193860177"/>
      <w:bookmarkStart w:id="57" w:name="_Toc416"/>
      <w:bookmarkStart w:id="58" w:name="_Toc8567"/>
      <w:bookmarkStart w:id="59" w:name="_Toc193860208"/>
      <w:bookmarkStart w:id="60" w:name="_Toc23662"/>
      <w:bookmarkStart w:id="61" w:name="_Toc24451"/>
      <w:bookmarkStart w:id="62" w:name="_Toc193860027"/>
      <w:bookmarkStart w:id="63" w:name="_Toc6679_WPSOffice_Level1"/>
      <w:r>
        <w:rPr>
          <w:rFonts w:hint="eastAsia"/>
        </w:rPr>
        <w:t xml:space="preserve"> </w:t>
      </w:r>
      <w:bookmarkStart w:id="64" w:name="_Toc23469"/>
      <w:r>
        <w:t>范围</w:t>
      </w:r>
      <w:bookmarkEnd w:id="43"/>
      <w:bookmarkEnd w:id="44"/>
      <w:bookmarkEnd w:id="4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pStyle w:val="43"/>
        <w:rPr>
          <w:rFonts w:hint="default" w:eastAsia="宋体"/>
          <w:lang w:val="en-US" w:eastAsia="zh-CN"/>
        </w:rPr>
      </w:pPr>
      <w:r>
        <w:rPr>
          <w:color w:val="auto"/>
        </w:rPr>
        <w:t>本规范适</w:t>
      </w:r>
      <w:r>
        <w:rPr>
          <w:rFonts w:hint="eastAsia"/>
          <w:color w:val="auto"/>
        </w:rPr>
        <w:t>用于</w:t>
      </w:r>
      <w:r>
        <w:rPr>
          <w:rFonts w:hint="eastAsia"/>
          <w:color w:val="auto"/>
          <w:lang w:val="en-US" w:eastAsia="zh-CN"/>
        </w:rPr>
        <w:t>工业现场</w:t>
      </w:r>
      <w:r>
        <w:rPr>
          <w:rFonts w:hint="eastAsia"/>
          <w:color w:val="auto"/>
        </w:rPr>
        <w:t>封闭管道上的非贸易结算类液体流量计（以下简称流量计）的在线校准</w:t>
      </w:r>
      <w:r>
        <w:rPr>
          <w:color w:val="auto"/>
        </w:rPr>
        <w:t>。</w:t>
      </w:r>
      <w:r>
        <w:rPr>
          <w:rFonts w:hint="eastAsia"/>
          <w:color w:val="auto"/>
        </w:rPr>
        <w:t>流量计测量介质包括水</w:t>
      </w:r>
      <w:r>
        <w:rPr>
          <w:rFonts w:hint="eastAsia"/>
          <w:color w:val="auto"/>
          <w:lang w:val="en-US" w:eastAsia="zh-CN"/>
        </w:rPr>
        <w:t>、油品、化学溶液等不含杂质和气泡的洁净</w:t>
      </w:r>
      <w:r>
        <w:rPr>
          <w:rFonts w:hint="eastAsia"/>
          <w:color w:val="auto"/>
        </w:rPr>
        <w:t>液体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eastAsia"/>
          <w:color w:val="auto"/>
        </w:rPr>
        <w:t>管径</w:t>
      </w:r>
      <w:r>
        <w:rPr>
          <w:rFonts w:hint="eastAsia"/>
          <w:color w:val="auto"/>
          <w:lang w:val="en-US" w:eastAsia="zh-CN"/>
        </w:rPr>
        <w:t>大小不低于</w:t>
      </w:r>
      <w:r>
        <w:rPr>
          <w:rFonts w:hint="eastAsia"/>
          <w:color w:val="auto"/>
        </w:rPr>
        <w:t>DN50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管道材质包含碳钢、铸铁、塑料等材料</w:t>
      </w:r>
      <w:r>
        <w:rPr>
          <w:rFonts w:hint="eastAsia"/>
          <w:color w:val="auto"/>
        </w:rPr>
        <w:t>。流量计类型包括超声流量计、涡轮流量计、差压式流量计、容积式流量计、电磁流量计、旋翼式水表和涡街流量计等。</w:t>
      </w:r>
      <w:r>
        <w:rPr>
          <w:rFonts w:hint="eastAsia"/>
          <w:color w:val="auto"/>
          <w:lang w:val="en-US" w:eastAsia="zh-CN"/>
        </w:rPr>
        <w:t>多普勒法超声波流量计在线校准不适用于本规范。</w:t>
      </w:r>
    </w:p>
    <w:p>
      <w:pPr>
        <w:pStyle w:val="42"/>
        <w:spacing w:before="120" w:after="120" w:line="360" w:lineRule="auto"/>
        <w:outlineLvl w:val="0"/>
        <w:rPr>
          <w:rFonts w:hint="eastAsia"/>
        </w:rPr>
      </w:pPr>
      <w:r>
        <w:rPr>
          <w:rFonts w:hint="eastAsia"/>
        </w:rPr>
        <w:t xml:space="preserve"> </w:t>
      </w:r>
      <w:bookmarkStart w:id="65" w:name="_Toc21517"/>
      <w:bookmarkStart w:id="66" w:name="_Toc17158"/>
      <w:bookmarkStart w:id="67" w:name="_Toc6158"/>
      <w:bookmarkStart w:id="68" w:name="_Toc9748"/>
      <w:bookmarkStart w:id="69" w:name="_Toc73"/>
      <w:r>
        <w:rPr>
          <w:rFonts w:hint="eastAsia"/>
        </w:rPr>
        <w:t>引用文件</w:t>
      </w:r>
      <w:bookmarkEnd w:id="65"/>
      <w:bookmarkEnd w:id="66"/>
      <w:bookmarkEnd w:id="67"/>
      <w:bookmarkEnd w:id="68"/>
      <w:bookmarkEnd w:id="69"/>
    </w:p>
    <w:p>
      <w:pPr>
        <w:pStyle w:val="43"/>
      </w:pP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无</w:t>
      </w:r>
      <w:bookmarkStart w:id="70" w:name="_Toc26906"/>
      <w:bookmarkStart w:id="71" w:name="_Toc11481"/>
      <w:bookmarkStart w:id="72" w:name="_Toc20610"/>
      <w:bookmarkStart w:id="73" w:name="_Toc23491"/>
      <w:bookmarkStart w:id="74" w:name="_Toc193618953"/>
      <w:bookmarkStart w:id="75" w:name="_Toc193860031"/>
      <w:bookmarkStart w:id="76" w:name="_Toc2124_WPSOffice_Level1"/>
      <w:bookmarkStart w:id="77" w:name="_Toc3994"/>
      <w:bookmarkStart w:id="78" w:name="_Toc193619056"/>
      <w:bookmarkStart w:id="79" w:name="_Toc23784645"/>
      <w:bookmarkStart w:id="80" w:name="_Toc193619098"/>
      <w:bookmarkStart w:id="81" w:name="_Toc193860181"/>
      <w:bookmarkStart w:id="82" w:name="_Toc27992"/>
      <w:bookmarkStart w:id="83" w:name="_Toc23785539"/>
      <w:bookmarkStart w:id="84" w:name="_Toc193860212"/>
      <w:bookmarkStart w:id="85" w:name="_Toc23784547"/>
    </w:p>
    <w:p>
      <w:pPr>
        <w:pStyle w:val="42"/>
        <w:spacing w:before="120" w:after="120" w:line="360" w:lineRule="auto"/>
        <w:outlineLvl w:val="0"/>
        <w:rPr>
          <w:rFonts w:hint="eastAsia" w:hAnsi="宋体" w:eastAsia="宋体"/>
          <w:szCs w:val="24"/>
        </w:rPr>
      </w:pPr>
      <w:bookmarkStart w:id="86" w:name="_Toc1017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概述</w:t>
      </w:r>
      <w:bookmarkEnd w:id="70"/>
      <w:bookmarkEnd w:id="71"/>
      <w:bookmarkEnd w:id="72"/>
      <w:bookmarkEnd w:id="73"/>
      <w:bookmarkEnd w:id="86"/>
    </w:p>
    <w:p>
      <w:pPr>
        <w:pStyle w:val="43"/>
        <w:rPr>
          <w:rFonts w:hint="default" w:eastAsia="宋体"/>
          <w:color w:val="auto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2056130</wp:posOffset>
                </wp:positionV>
                <wp:extent cx="200025" cy="2857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5pt;margin-top:161.9pt;height:22.5pt;width:15.75pt;z-index:251677696;mso-width-relative:page;mso-height-relative:page;" filled="f" stroked="f" coordsize="21600,21600" o:gfxdata="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iJmBzbAAAACwEAAA8AAAAAAAAAAQAgAAAAIgAAAGRy&#10;cy9kb3ducmV2LnhtbFBLAQIUABQAAAAIAIdO4kDOAVxf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auto"/>
        </w:rPr>
        <w:t>流量计是用于测量被测介质瞬时流量和累计流量的一种测量设备，通过流量传感器将流经流量计的</w:t>
      </w:r>
      <w:r>
        <w:rPr>
          <w:rFonts w:hint="eastAsia"/>
          <w:color w:val="auto"/>
          <w:lang w:val="en-US" w:eastAsia="zh-CN"/>
        </w:rPr>
        <w:t>液体</w:t>
      </w:r>
      <w:r>
        <w:rPr>
          <w:rFonts w:hint="eastAsia"/>
          <w:color w:val="auto"/>
        </w:rPr>
        <w:t>流量信号转换为脉冲信号、模拟信号或数字信号，利用计算装置进行流量计算，再由显示装置进行流量显示。流量计主要由表体、显示装置、计算装置、流量传感器等组成，其通用结构示意图如图1所示。</w:t>
      </w:r>
      <w:r>
        <w:rPr>
          <w:rFonts w:hint="eastAsia"/>
          <w:color w:val="auto"/>
          <w:lang w:val="en-US" w:eastAsia="zh-CN"/>
        </w:rPr>
        <w:t>工业</w:t>
      </w:r>
      <w:r>
        <w:rPr>
          <w:rFonts w:hint="eastAsia"/>
          <w:color w:val="auto"/>
        </w:rPr>
        <w:t>现场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由于拆卸不便、设备不能停机等原因，无法保证周期性的拆卸送检。</w:t>
      </w:r>
      <w:r>
        <w:rPr>
          <w:rFonts w:hint="eastAsia"/>
          <w:color w:val="auto"/>
          <w:lang w:val="en-US" w:eastAsia="zh-CN"/>
        </w:rPr>
        <w:t>本规范基于时差法原理</w:t>
      </w:r>
      <w:r>
        <w:rPr>
          <w:rFonts w:hint="eastAsia"/>
          <w:color w:val="auto"/>
        </w:rPr>
        <w:t>，不拆卸流量计，在流量计运行状态下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使用外夹式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超声波流量计</w:t>
      </w:r>
      <w:r>
        <w:rPr>
          <w:rFonts w:hint="eastAsia"/>
          <w:color w:val="auto"/>
        </w:rPr>
        <w:t>与被校流量计在同一管道串联，通过</w:t>
      </w:r>
      <w:r>
        <w:rPr>
          <w:rFonts w:hint="eastAsia"/>
          <w:color w:val="auto"/>
          <w:lang w:val="en-US" w:eastAsia="zh-CN"/>
        </w:rPr>
        <w:t>在线</w:t>
      </w:r>
      <w:r>
        <w:rPr>
          <w:rFonts w:hint="eastAsia"/>
          <w:color w:val="auto"/>
        </w:rPr>
        <w:t>校准确定被校流量计计量特性</w:t>
      </w:r>
      <w:r>
        <w:rPr>
          <w:rFonts w:hint="eastAsia"/>
          <w:color w:val="auto"/>
          <w:lang w:eastAsia="zh-CN"/>
        </w:rPr>
        <w:t>。</w:t>
      </w:r>
    </w:p>
    <w:p>
      <w:pPr>
        <w:pStyle w:val="43"/>
        <w:jc w:val="center"/>
        <w:rPr>
          <w:rFonts w:hint="eastAsia" w:eastAsia="宋体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1082675</wp:posOffset>
                </wp:positionV>
                <wp:extent cx="200025" cy="28575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35pt;margin-top:85.25pt;height:22.5pt;width:15.75pt;z-index:251679744;mso-width-relative:page;mso-height-relative:page;" filled="f" stroked="f" coordsize="21600,21600" o:gfxdata="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Tve/7bAAAACwEAAA8AAAAAAAAAAQAgAAAAIgAAAGRy&#10;cy9kb3ducmV2LnhtbFBLAQIUABQAAAAIAIdO4kAF65tr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469265</wp:posOffset>
                </wp:positionV>
                <wp:extent cx="200025" cy="2857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5.7pt;margin-top:36.95pt;height:22.5pt;width:15.75pt;z-index:251678720;mso-width-relative:page;mso-height-relative:page;" filled="f" stroked="f" coordsize="21600,21600" o:gfxdata="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vspVdsAAAAKAQAADwAAAAAAAAABACAAAAAiAAAAZHJz&#10;L2Rvd25yZXYueG1sUEsBAhQAFAAAAAgAh07iQF+UWIM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2026920</wp:posOffset>
                </wp:positionH>
                <wp:positionV relativeFrom="paragraph">
                  <wp:posOffset>457835</wp:posOffset>
                </wp:positionV>
                <wp:extent cx="200025" cy="28575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9.6pt;margin-top:36.05pt;height:22.5pt;width:15.75pt;z-index:251676672;mso-width-relative:page;mso-height-relative:page;" filled="f" stroked="f" coordsize="21600,21600" o:gfxdata="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7MRVHbAAAACgEAAA8AAAAAAAAAAQAgAAAAIgAAAGRy&#10;cy9kb3ducmV2LnhtbFBLAQIUABQAAAAIAIdO4kAKd7Vw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754370" cy="2310130"/>
            <wp:effectExtent l="0" t="0" r="17780" b="13970"/>
            <wp:docPr id="16" name="图片 16" descr="ba250641-bcc9-48f8-9c1b-cb962bf5a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a250641-bcc9-48f8-9c1b-cb962bf5add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3"/>
        <w:jc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图1 流量计通用结构示意图</w:t>
      </w:r>
    </w:p>
    <w:p>
      <w:pPr>
        <w:pStyle w:val="43"/>
        <w:jc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1-表体；2-显示装置；3-计算装置；4-流量传感器</w:t>
      </w:r>
    </w:p>
    <w:p>
      <w:pPr>
        <w:pStyle w:val="42"/>
        <w:spacing w:before="120" w:after="120" w:line="360" w:lineRule="auto"/>
        <w:outlineLvl w:val="0"/>
        <w:rPr>
          <w:rFonts w:hint="eastAsia"/>
        </w:rPr>
      </w:pPr>
      <w:r>
        <w:rPr>
          <w:rFonts w:hint="eastAsia"/>
        </w:rPr>
        <w:t xml:space="preserve"> </w:t>
      </w:r>
      <w:bookmarkStart w:id="87" w:name="_Toc19020"/>
      <w:bookmarkStart w:id="88" w:name="_Toc16770"/>
      <w:bookmarkStart w:id="89" w:name="_Toc21890"/>
      <w:bookmarkStart w:id="90" w:name="_Toc21085"/>
      <w:bookmarkStart w:id="91" w:name="_Toc26635"/>
      <w:r>
        <w:t>计量特性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7"/>
      <w:bookmarkEnd w:id="88"/>
      <w:bookmarkEnd w:id="89"/>
      <w:bookmarkEnd w:id="90"/>
      <w:bookmarkEnd w:id="91"/>
    </w:p>
    <w:p>
      <w:pPr>
        <w:pStyle w:val="43"/>
        <w:rPr>
          <w:rFonts w:hint="default" w:eastAsia="宋体"/>
          <w:color w:val="auto"/>
          <w:vertAlign w:val="baseline"/>
          <w:lang w:val="en-US" w:eastAsia="zh-CN"/>
        </w:rPr>
      </w:pPr>
      <w:r>
        <w:rPr>
          <w:rFonts w:hint="eastAsia"/>
          <w:color w:val="auto"/>
        </w:rPr>
        <w:t>流量计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校准项目和计量特性要求见表1</w:t>
      </w:r>
      <w:r>
        <w:rPr>
          <w:rFonts w:hint="eastAsia"/>
          <w:color w:val="auto"/>
          <w:lang w:eastAsia="zh-CN"/>
        </w:rPr>
        <w:t>。</w:t>
      </w:r>
      <w:r>
        <w:rPr>
          <w:rFonts w:hint="eastAsia"/>
          <w:color w:val="auto"/>
          <w:lang w:val="en-US" w:eastAsia="zh-CN"/>
        </w:rPr>
        <w:t>流量计流量范围中的最小流量q</w:t>
      </w:r>
      <w:r>
        <w:rPr>
          <w:rFonts w:hint="eastAsia"/>
          <w:color w:val="auto"/>
          <w:vertAlign w:val="subscript"/>
          <w:lang w:val="en-US" w:eastAsia="zh-CN"/>
        </w:rPr>
        <w:t>min</w:t>
      </w:r>
      <w:r>
        <w:rPr>
          <w:rFonts w:hint="eastAsia"/>
          <w:color w:val="auto"/>
          <w:vertAlign w:val="baseline"/>
          <w:lang w:val="en-US" w:eastAsia="zh-CN"/>
        </w:rPr>
        <w:t>、分界流量</w:t>
      </w:r>
      <w:r>
        <w:rPr>
          <w:rFonts w:hint="eastAsia"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t</w:t>
      </w:r>
      <w:r>
        <w:rPr>
          <w:rFonts w:hint="eastAsia"/>
          <w:color w:val="auto"/>
          <w:vertAlign w:val="baseline"/>
          <w:lang w:val="en-US" w:eastAsia="zh-CN"/>
        </w:rPr>
        <w:t>、最大流量</w:t>
      </w:r>
      <w:r>
        <w:rPr>
          <w:rFonts w:hint="eastAsia"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max</w:t>
      </w:r>
      <w:r>
        <w:rPr>
          <w:rFonts w:hint="eastAsia"/>
          <w:color w:val="auto"/>
          <w:vertAlign w:val="baseline"/>
          <w:lang w:val="en-US" w:eastAsia="zh-CN"/>
        </w:rPr>
        <w:t>在流量计说明书及铭牌上有说明或标注，分界流量</w:t>
      </w:r>
      <w:r>
        <w:rPr>
          <w:rFonts w:hint="eastAsia"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t</w:t>
      </w:r>
      <w:r>
        <w:rPr>
          <w:rFonts w:hint="eastAsia"/>
          <w:color w:val="auto"/>
          <w:vertAlign w:val="baseline"/>
          <w:lang w:val="en-US" w:eastAsia="zh-CN"/>
        </w:rPr>
        <w:t>未明确说明的，一般取最大流量</w:t>
      </w:r>
      <w:r>
        <w:rPr>
          <w:rFonts w:hint="eastAsia"/>
          <w:color w:val="auto"/>
          <w:lang w:val="en-US" w:eastAsia="zh-CN"/>
        </w:rPr>
        <w:t>q</w:t>
      </w:r>
      <w:r>
        <w:rPr>
          <w:rFonts w:hint="eastAsia"/>
          <w:color w:val="auto"/>
          <w:vertAlign w:val="subscript"/>
          <w:lang w:val="en-US" w:eastAsia="zh-CN"/>
        </w:rPr>
        <w:t>max</w:t>
      </w:r>
      <w:r>
        <w:rPr>
          <w:rFonts w:hint="eastAsia"/>
          <w:color w:val="auto"/>
          <w:vertAlign w:val="baseline"/>
          <w:lang w:val="en-US" w:eastAsia="zh-CN"/>
        </w:rPr>
        <w:t>的1/3作为分界流量。</w:t>
      </w:r>
    </w:p>
    <w:p>
      <w:pPr>
        <w:spacing w:line="360" w:lineRule="auto"/>
        <w:jc w:val="center"/>
        <w:rPr>
          <w:rStyle w:val="102"/>
          <w:rFonts w:hint="default" w:cs="Times New Roman"/>
          <w:color w:val="auto"/>
        </w:rPr>
      </w:pPr>
      <w:bookmarkStart w:id="92" w:name="_Hlk166234278"/>
      <w:r>
        <w:rPr>
          <w:rStyle w:val="102"/>
          <w:rFonts w:hint="default" w:cs="Times New Roman"/>
          <w:color w:val="auto"/>
        </w:rPr>
        <w:t>表1 流量计校准项目和计量特性要求</w:t>
      </w:r>
    </w:p>
    <w:tbl>
      <w:tblPr>
        <w:tblStyle w:val="2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13"/>
        <w:gridCol w:w="1254"/>
        <w:gridCol w:w="1425"/>
        <w:gridCol w:w="1423"/>
        <w:gridCol w:w="1423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28" w:type="pct"/>
            <w:gridSpan w:val="2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3093" w:type="pct"/>
            <w:gridSpan w:val="4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计量特性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328" w:type="pct"/>
            <w:gridSpan w:val="2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1.0级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793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.5级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8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653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累积流量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示值误差</w:t>
            </w:r>
          </w:p>
        </w:tc>
        <w:tc>
          <w:tcPr>
            <w:tcW w:w="67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min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t</w:t>
            </w:r>
          </w:p>
        </w:tc>
        <w:tc>
          <w:tcPr>
            <w:tcW w:w="76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±3.0%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±3.0%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±4.0%</w:t>
            </w:r>
          </w:p>
        </w:tc>
        <w:tc>
          <w:tcPr>
            <w:tcW w:w="793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±5.0%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95" w:hRule="atLeast"/>
          <w:jc w:val="center"/>
        </w:trPr>
        <w:tc>
          <w:tcPr>
            <w:tcW w:w="578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7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t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max</w:t>
            </w:r>
          </w:p>
        </w:tc>
        <w:tc>
          <w:tcPr>
            <w:tcW w:w="76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±1.0%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±1.5%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±2.0%</w:t>
            </w:r>
          </w:p>
        </w:tc>
        <w:tc>
          <w:tcPr>
            <w:tcW w:w="793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±2.5%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3" w:type="pct"/>
            <w:vMerge w:val="restar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瞬时流量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示值误差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min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＜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bscript"/>
              </w:rPr>
              <w:t>t</w:t>
            </w:r>
          </w:p>
        </w:tc>
        <w:tc>
          <w:tcPr>
            <w:tcW w:w="76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±3.0%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±3.0%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±4.0%</w:t>
            </w:r>
          </w:p>
        </w:tc>
        <w:tc>
          <w:tcPr>
            <w:tcW w:w="793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±5.0%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653" w:type="pct"/>
            <w:vMerge w:val="continue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t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max</w:t>
            </w:r>
          </w:p>
        </w:tc>
        <w:tc>
          <w:tcPr>
            <w:tcW w:w="76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±1.0%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±1.5%</w:t>
            </w:r>
          </w:p>
        </w:tc>
        <w:tc>
          <w:tcPr>
            <w:tcW w:w="766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±2.0%</w:t>
            </w:r>
          </w:p>
        </w:tc>
        <w:tc>
          <w:tcPr>
            <w:tcW w:w="793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±2.5%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8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重复性</w:t>
            </w:r>
          </w:p>
        </w:tc>
        <w:tc>
          <w:tcPr>
            <w:tcW w:w="3093" w:type="pct"/>
            <w:gridSpan w:val="4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不超过最大允许误差绝对值的1/3。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78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8" w:type="pct"/>
            <w:gridSpan w:val="2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变送输出误差</w:t>
            </w:r>
          </w:p>
        </w:tc>
        <w:tc>
          <w:tcPr>
            <w:tcW w:w="3093" w:type="pct"/>
            <w:gridSpan w:val="4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±0.5%</w:t>
            </w:r>
          </w:p>
        </w:tc>
      </w:tr>
      <w:bookmarkEnd w:id="92"/>
    </w:tbl>
    <w:p>
      <w:pPr>
        <w:pStyle w:val="42"/>
        <w:spacing w:before="240" w:beforeLines="100" w:after="120" w:line="360" w:lineRule="auto"/>
        <w:outlineLvl w:val="0"/>
        <w:rPr>
          <w:rFonts w:hint="eastAsia"/>
        </w:rPr>
      </w:pPr>
      <w:bookmarkStart w:id="93" w:name="_Toc22525"/>
      <w:bookmarkStart w:id="94" w:name="_Toc104"/>
      <w:bookmarkStart w:id="95" w:name="_Toc25264"/>
      <w:bookmarkStart w:id="96" w:name="_Toc31834"/>
      <w:bookmarkStart w:id="97" w:name="_Toc13070"/>
      <w:bookmarkStart w:id="98" w:name="_Toc17973"/>
      <w:r>
        <w:t>校准条件</w:t>
      </w:r>
      <w:bookmarkEnd w:id="93"/>
      <w:bookmarkEnd w:id="94"/>
      <w:bookmarkEnd w:id="95"/>
      <w:bookmarkEnd w:id="96"/>
      <w:bookmarkEnd w:id="97"/>
      <w:bookmarkEnd w:id="98"/>
    </w:p>
    <w:p>
      <w:pPr>
        <w:pStyle w:val="51"/>
        <w:spacing w:before="0" w:beforeLines="0" w:after="0" w:afterLines="0"/>
        <w:outlineLvl w:val="1"/>
        <w:rPr>
          <w:rFonts w:ascii="Times New Roman" w:hAnsi="Times New Roman"/>
        </w:rPr>
      </w:pPr>
      <w:bookmarkStart w:id="99" w:name="_Toc23784660"/>
      <w:bookmarkStart w:id="100" w:name="_Toc193860183"/>
      <w:bookmarkStart w:id="101" w:name="_Toc32245"/>
      <w:bookmarkStart w:id="102" w:name="_Toc193860214"/>
      <w:bookmarkStart w:id="103" w:name="_Toc8066_WPSOffice_Level2"/>
      <w:bookmarkStart w:id="104" w:name="_Toc23784561"/>
      <w:bookmarkStart w:id="105" w:name="_Toc23785558"/>
      <w:bookmarkStart w:id="106" w:name="_Toc17404"/>
      <w:bookmarkStart w:id="107" w:name="_Toc193860033"/>
      <w:r>
        <w:rPr>
          <w:rFonts w:ascii="Times New Roman" w:hAnsi="Times New Roman"/>
        </w:rPr>
        <w:t xml:space="preserve"> </w:t>
      </w:r>
      <w:bookmarkStart w:id="108" w:name="_Toc16082"/>
      <w:bookmarkStart w:id="109" w:name="_Toc10250"/>
      <w:bookmarkStart w:id="110" w:name="_Toc26289"/>
      <w:bookmarkStart w:id="111" w:name="_Toc19335"/>
      <w:bookmarkStart w:id="112" w:name="_Toc10368"/>
      <w:bookmarkStart w:id="113" w:name="_Toc30710"/>
      <w:bookmarkStart w:id="114" w:name="_Toc21803"/>
      <w:bookmarkStart w:id="115" w:name="_Toc99355907"/>
      <w:r>
        <w:rPr>
          <w:rFonts w:ascii="Times New Roman" w:hAnsi="Times New Roman"/>
        </w:rPr>
        <w:t>环境条件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Start w:id="116" w:name="_Toc23785560"/>
      <w:bookmarkStart w:id="117" w:name="_Toc20581_WPSOffice_Level2"/>
      <w:bookmarkStart w:id="118" w:name="_Toc23784563"/>
      <w:bookmarkStart w:id="119" w:name="_Toc23784662"/>
    </w:p>
    <w:p>
      <w:pPr>
        <w:pStyle w:val="50"/>
        <w:spacing w:before="0" w:beforeLines="0" w:after="0" w:afterLines="0" w:line="360" w:lineRule="auto"/>
        <w:outlineLvl w:val="9"/>
        <w:rPr>
          <w:lang w:bidi="zh-TW"/>
        </w:rPr>
      </w:pPr>
      <w:bookmarkStart w:id="120" w:name="_Toc19955"/>
      <w:r>
        <w:rPr>
          <w:lang w:bidi="zh-TW"/>
        </w:rPr>
        <w:t xml:space="preserve"> 环境温度：</w:t>
      </w:r>
      <w:r>
        <w:rPr>
          <w:color w:val="auto"/>
          <w:lang w:bidi="zh-TW"/>
        </w:rPr>
        <w:t>（</w:t>
      </w:r>
      <w:r>
        <w:rPr>
          <w:rFonts w:hint="eastAsia"/>
          <w:color w:val="auto"/>
          <w:lang w:val="en-US" w:eastAsia="zh-CN" w:bidi="zh-TW"/>
        </w:rPr>
        <w:t>-</w:t>
      </w:r>
      <w:bookmarkStart w:id="121" w:name="OLE_LINK4"/>
      <w:r>
        <w:rPr>
          <w:rFonts w:hint="eastAsia"/>
          <w:color w:val="auto"/>
          <w:lang w:val="en-US" w:eastAsia="zh-CN" w:bidi="zh-TW"/>
        </w:rPr>
        <w:t>20</w:t>
      </w:r>
      <w:r>
        <w:rPr>
          <w:color w:val="auto"/>
          <w:lang w:bidi="zh-TW"/>
        </w:rPr>
        <w:t>～</w:t>
      </w:r>
      <w:bookmarkEnd w:id="121"/>
      <w:r>
        <w:rPr>
          <w:rFonts w:hint="eastAsia"/>
          <w:color w:val="auto"/>
          <w:lang w:val="en-US" w:eastAsia="zh-CN" w:bidi="zh-TW"/>
        </w:rPr>
        <w:t>55</w:t>
      </w:r>
      <w:r>
        <w:rPr>
          <w:color w:val="auto"/>
          <w:lang w:bidi="zh-TW"/>
        </w:rPr>
        <w:t>）℃。</w:t>
      </w:r>
    </w:p>
    <w:p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  <w:lang w:bidi="zh-TW"/>
        </w:rPr>
        <w:t xml:space="preserve"> </w:t>
      </w:r>
      <w:r>
        <w:rPr>
          <w:lang w:bidi="zh-TW"/>
        </w:rPr>
        <w:t>相对湿度</w:t>
      </w:r>
      <w:r>
        <w:rPr>
          <w:rFonts w:hint="eastAsia"/>
          <w:lang w:bidi="zh-TW"/>
        </w:rPr>
        <w:t>：不大于9</w:t>
      </w:r>
      <w:r>
        <w:rPr>
          <w:rFonts w:hint="eastAsia"/>
          <w:lang w:val="en-US" w:eastAsia="zh-CN" w:bidi="zh-TW"/>
        </w:rPr>
        <w:t>5</w:t>
      </w:r>
      <w:r>
        <w:rPr>
          <w:lang w:bidi="zh-TW"/>
        </w:rPr>
        <w:t>%</w:t>
      </w:r>
      <w:r>
        <w:rPr>
          <w:rFonts w:hint="eastAsia"/>
          <w:lang w:eastAsia="zh-CN" w:bidi="zh-TW"/>
        </w:rPr>
        <w:t>。</w:t>
      </w:r>
    </w:p>
    <w:p>
      <w:pPr>
        <w:pStyle w:val="50"/>
        <w:spacing w:before="0" w:beforeLines="0" w:after="0" w:afterLines="0" w:line="360" w:lineRule="auto"/>
        <w:outlineLvl w:val="9"/>
      </w:pPr>
      <w:r>
        <w:rPr>
          <w:lang w:bidi="zh-TW"/>
        </w:rPr>
        <w:t xml:space="preserve"> </w:t>
      </w:r>
      <w:r>
        <w:rPr>
          <w:rFonts w:hint="eastAsia"/>
          <w:lang w:bidi="zh-TW"/>
        </w:rPr>
        <w:t>大气压力：（86</w:t>
      </w:r>
      <w:r>
        <w:rPr>
          <w:lang w:bidi="zh-TW"/>
        </w:rPr>
        <w:t>～</w:t>
      </w:r>
      <w:r>
        <w:rPr>
          <w:rFonts w:hint="eastAsia"/>
          <w:lang w:bidi="zh-TW"/>
        </w:rPr>
        <w:t>106）kPa</w:t>
      </w:r>
      <w:r>
        <w:rPr>
          <w:lang w:bidi="zh-TW"/>
        </w:rPr>
        <w:t>。</w:t>
      </w:r>
    </w:p>
    <w:p>
      <w:pPr>
        <w:pStyle w:val="50"/>
        <w:spacing w:before="0" w:beforeLines="0" w:after="0" w:afterLines="0" w:line="360" w:lineRule="auto"/>
        <w:outlineLvl w:val="9"/>
      </w:pPr>
      <w:r>
        <w:rPr>
          <w:lang w:bidi="zh-TW"/>
        </w:rPr>
        <w:t xml:space="preserve"> 工作环境中应无影响</w:t>
      </w:r>
      <w:r>
        <w:rPr>
          <w:rFonts w:hint="eastAsia"/>
          <w:lang w:bidi="zh-TW"/>
        </w:rPr>
        <w:t>流量计</w:t>
      </w:r>
      <w:r>
        <w:rPr>
          <w:lang w:bidi="zh-TW"/>
        </w:rPr>
        <w:t>正常工作的电磁场</w:t>
      </w:r>
      <w:r>
        <w:rPr>
          <w:rFonts w:hint="eastAsia"/>
          <w:lang w:eastAsia="zh-CN" w:bidi="zh-TW"/>
        </w:rPr>
        <w:t>、</w:t>
      </w:r>
      <w:r>
        <w:rPr>
          <w:rFonts w:hint="eastAsia"/>
          <w:lang w:bidi="zh-TW"/>
        </w:rPr>
        <w:t>机械振动</w:t>
      </w:r>
      <w:r>
        <w:rPr>
          <w:rFonts w:hint="eastAsia"/>
          <w:lang w:val="en-US" w:eastAsia="zh-CN" w:bidi="zh-TW"/>
        </w:rPr>
        <w:t>和噪声</w:t>
      </w:r>
      <w:r>
        <w:rPr>
          <w:rFonts w:hint="eastAsia"/>
          <w:lang w:bidi="zh-TW"/>
        </w:rPr>
        <w:t>。</w:t>
      </w:r>
    </w:p>
    <w:p>
      <w:pPr>
        <w:pStyle w:val="51"/>
        <w:spacing w:before="0" w:beforeLines="0" w:after="0" w:afterLines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>液体介质</w:t>
      </w:r>
      <w:r>
        <w:rPr>
          <w:rFonts w:ascii="Times New Roman" w:hAnsi="Times New Roman"/>
        </w:rPr>
        <w:t>条件</w:t>
      </w:r>
    </w:p>
    <w:p>
      <w:pPr>
        <w:pStyle w:val="50"/>
        <w:spacing w:before="0" w:beforeLines="0" w:after="0" w:afterLines="0" w:line="360" w:lineRule="auto"/>
        <w:outlineLvl w:val="9"/>
        <w:rPr>
          <w:lang w:bidi="zh-TW"/>
        </w:rPr>
      </w:pPr>
      <w:r>
        <w:rPr>
          <w:lang w:bidi="zh-TW"/>
        </w:rPr>
        <w:t xml:space="preserve"> </w:t>
      </w:r>
      <w:r>
        <w:rPr>
          <w:rFonts w:hint="eastAsia"/>
          <w:lang w:val="en-US" w:eastAsia="zh-CN" w:bidi="zh-TW"/>
        </w:rPr>
        <w:t>被校流量计及标准流量计测量点管道内液体应为单相液体，充满管道，无漩涡。</w:t>
      </w:r>
    </w:p>
    <w:p>
      <w:pPr>
        <w:pStyle w:val="50"/>
        <w:spacing w:before="0" w:beforeLines="0" w:after="0" w:afterLines="0" w:line="360" w:lineRule="auto"/>
        <w:outlineLvl w:val="9"/>
        <w:rPr>
          <w:lang w:bidi="zh-TW"/>
        </w:rPr>
      </w:pPr>
      <w:r>
        <w:rPr>
          <w:rFonts w:hint="eastAsia"/>
          <w:lang w:val="en-US" w:eastAsia="zh-CN" w:bidi="zh-TW"/>
        </w:rPr>
        <w:t xml:space="preserve"> 液体介质应是洁净的，无可见颗粒、纤维等杂质，不夹杂气泡。</w:t>
      </w:r>
    </w:p>
    <w:p>
      <w:pPr>
        <w:pStyle w:val="50"/>
        <w:spacing w:before="0" w:beforeLines="0" w:after="0" w:afterLines="0" w:line="360" w:lineRule="auto"/>
        <w:outlineLvl w:val="9"/>
        <w:rPr>
          <w:lang w:bidi="zh-TW"/>
        </w:rPr>
      </w:pPr>
      <w:r>
        <w:rPr>
          <w:rFonts w:hint="eastAsia"/>
          <w:lang w:val="en-US" w:eastAsia="zh-CN" w:bidi="zh-TW"/>
        </w:rPr>
        <w:t xml:space="preserve"> 校准过程中，液体流量应稳定，液体压力、温度无明显变化。</w:t>
      </w:r>
    </w:p>
    <w:p>
      <w:pPr>
        <w:pStyle w:val="51"/>
        <w:spacing w:before="0" w:beforeLines="0" w:after="0" w:afterLines="0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>流量计安装</w:t>
      </w:r>
      <w:r>
        <w:rPr>
          <w:rFonts w:ascii="Times New Roman" w:hAnsi="Times New Roman"/>
        </w:rPr>
        <w:t>条件</w:t>
      </w:r>
    </w:p>
    <w:p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rFonts w:hint="eastAsia"/>
          <w:lang w:val="en-US" w:eastAsia="zh-CN" w:bidi="zh-TW"/>
        </w:rPr>
        <w:t xml:space="preserve"> 流量计测量点管道上游10倍管道公称通径（10DN）内、下游5倍管道公称通径（5DN）内应无弯头、阀门、泵等扰流部件</w:t>
      </w:r>
      <w:r>
        <w:rPr>
          <w:rFonts w:hint="eastAsia"/>
          <w:color w:val="auto"/>
          <w:vertAlign w:val="baseline"/>
          <w:lang w:val="en-US" w:eastAsia="zh-CN"/>
        </w:rPr>
        <w:t>。若被校流量计与标准流量计安装直管段不满足要求，流量示值最大允许误差增加一个0.5%的附加误差。</w:t>
      </w:r>
    </w:p>
    <w:p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textAlignment w:val="auto"/>
        <w:outlineLvl w:val="9"/>
      </w:pPr>
      <w:r>
        <w:rPr>
          <w:rFonts w:hint="eastAsia"/>
          <w:lang w:val="en-US" w:eastAsia="zh-CN" w:bidi="zh-TW"/>
        </w:rPr>
        <w:t xml:space="preserve"> 被校流量计和标准流量计应安装在相同管径上，在无干扰的情况下，两个流量计间距应尽量短。</w:t>
      </w:r>
      <w:r>
        <w:rPr>
          <w:rFonts w:hint="eastAsia"/>
          <w:color w:val="auto"/>
          <w:vertAlign w:val="baseline"/>
          <w:lang w:val="en-US" w:eastAsia="zh-CN"/>
        </w:rPr>
        <w:t>若被校流量计使用管径与标准流量计校准管径之比大于2或小于1/2，流量示值最大允许误差增加一个0.5%的附加误差。</w:t>
      </w:r>
    </w:p>
    <w:p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  <w:lang w:val="en-US" w:eastAsia="zh-CN" w:bidi="zh-TW"/>
        </w:rPr>
        <w:t xml:space="preserve"> 流量计使用点和校准点管道内壁应无衬里、积垢、凹痕等情况，若无法避开结垢管段或衬里材质和厚度未知</w:t>
      </w:r>
      <w:r>
        <w:rPr>
          <w:rFonts w:hint="eastAsia"/>
          <w:color w:val="auto"/>
          <w:vertAlign w:val="baseline"/>
          <w:lang w:val="en-US" w:eastAsia="zh-CN"/>
        </w:rPr>
        <w:t>，流量示值最大允许误差增加一个0.5%的附加误差。</w:t>
      </w:r>
    </w:p>
    <w:bookmarkEnd w:id="120"/>
    <w:p>
      <w:pPr>
        <w:pStyle w:val="51"/>
        <w:spacing w:before="0" w:beforeLines="0" w:after="0" w:afterLines="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End w:id="116"/>
      <w:bookmarkEnd w:id="117"/>
      <w:bookmarkEnd w:id="118"/>
      <w:bookmarkEnd w:id="119"/>
      <w:bookmarkStart w:id="122" w:name="_Toc22412"/>
      <w:r>
        <w:rPr>
          <w:rFonts w:hint="eastAsia"/>
          <w:lang w:val="en-US" w:eastAsia="zh-CN"/>
        </w:rPr>
        <w:t>测量</w:t>
      </w:r>
      <w:r>
        <w:rPr>
          <w:rFonts w:hint="eastAsia"/>
        </w:rPr>
        <w:t>标准</w:t>
      </w:r>
      <w:r>
        <w:t>及</w:t>
      </w:r>
      <w:r>
        <w:rPr>
          <w:rFonts w:hint="eastAsia"/>
        </w:rPr>
        <w:t>其他</w:t>
      </w:r>
      <w:r>
        <w:t>设备</w:t>
      </w:r>
      <w:bookmarkEnd w:id="122"/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校准流量计所用的</w:t>
      </w:r>
      <w:r>
        <w:rPr>
          <w:rFonts w:hint="eastAsia"/>
          <w:color w:val="auto"/>
          <w:lang w:val="en-US" w:eastAsia="zh-CN"/>
        </w:rPr>
        <w:t>测量</w:t>
      </w:r>
      <w:r>
        <w:rPr>
          <w:rFonts w:hint="eastAsia"/>
          <w:color w:val="auto"/>
        </w:rPr>
        <w:t>标准及其他设备的技术要求见表2。</w:t>
      </w:r>
    </w:p>
    <w:p>
      <w:pPr>
        <w:spacing w:line="360" w:lineRule="auto"/>
        <w:jc w:val="center"/>
        <w:rPr>
          <w:rStyle w:val="102"/>
          <w:rFonts w:hint="default" w:cs="Times New Roman"/>
          <w:color w:val="auto"/>
        </w:rPr>
      </w:pPr>
      <w:bookmarkStart w:id="123" w:name="_Hlk166240230"/>
      <w:r>
        <w:rPr>
          <w:rStyle w:val="102"/>
          <w:rFonts w:hint="default" w:cs="Times New Roman"/>
          <w:color w:val="auto"/>
        </w:rPr>
        <w:t>表2 计量标准及其他设备技术要求</w:t>
      </w:r>
    </w:p>
    <w:tbl>
      <w:tblPr>
        <w:tblStyle w:val="2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50"/>
        <w:gridCol w:w="3198"/>
        <w:gridCol w:w="3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测量标准及其他设备</w:t>
            </w:r>
          </w:p>
        </w:tc>
        <w:tc>
          <w:tcPr>
            <w:tcW w:w="172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技术要求</w:t>
            </w:r>
          </w:p>
        </w:tc>
        <w:tc>
          <w:tcPr>
            <w:tcW w:w="1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11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标准超声波流量计</w:t>
            </w:r>
          </w:p>
        </w:tc>
        <w:tc>
          <w:tcPr>
            <w:tcW w:w="172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≤0.5%，</w:t>
            </w:r>
            <w:r>
              <w:rPr>
                <w:rFonts w:hint="eastAsia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标准流量计，测量液体流量。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测厚仪</w:t>
            </w:r>
          </w:p>
        </w:tc>
        <w:tc>
          <w:tcPr>
            <w:tcW w:w="172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≤0.1mm，</w:t>
            </w:r>
            <w:r>
              <w:rPr>
                <w:rFonts w:hint="eastAsia" w:cs="Times New Roman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k</w:t>
            </w:r>
            <w:r>
              <w:rPr>
                <w:rFonts w:hint="eastAsia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=2</w:t>
            </w:r>
          </w:p>
        </w:tc>
        <w:tc>
          <w:tcPr>
            <w:tcW w:w="1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测量管道壁厚。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秒表</w:t>
            </w:r>
          </w:p>
        </w:tc>
        <w:tc>
          <w:tcPr>
            <w:tcW w:w="172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时间间隔1h：±0.1s</w:t>
            </w:r>
          </w:p>
        </w:tc>
        <w:tc>
          <w:tcPr>
            <w:tcW w:w="1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测量累积时间。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钢卷尺</w:t>
            </w:r>
          </w:p>
        </w:tc>
        <w:tc>
          <w:tcPr>
            <w:tcW w:w="172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不低于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Ⅰ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级</w:t>
            </w:r>
          </w:p>
        </w:tc>
        <w:tc>
          <w:tcPr>
            <w:tcW w:w="1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测量管道周长、直径和标准流量计传感器安装距离，也可用满足要求的π尺、卡尺等代替。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405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数字多用表</w:t>
            </w:r>
          </w:p>
        </w:tc>
        <w:tc>
          <w:tcPr>
            <w:tcW w:w="1721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直流电流测量：（4~20）mA，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直流电压测量：（0~10）V，</w:t>
            </w:r>
          </w:p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最大允许误差：不超过±0.05%。</w:t>
            </w:r>
          </w:p>
        </w:tc>
        <w:tc>
          <w:tcPr>
            <w:tcW w:w="1714" w:type="pct"/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Fonts w:hint="default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测量检测仪变送输出的标准电信号，也可用其他满足要求的电流表或电压表代替。</w:t>
            </w:r>
          </w:p>
        </w:tc>
      </w:tr>
      <w:bookmarkEnd w:id="123"/>
    </w:tbl>
    <w:p>
      <w:pPr>
        <w:pStyle w:val="5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textAlignment w:val="auto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124" w:name="_Toc28495"/>
      <w:r>
        <w:rPr>
          <w:rFonts w:hint="eastAsia"/>
        </w:rPr>
        <w:t>其他条件</w:t>
      </w:r>
      <w:bookmarkEnd w:id="124"/>
    </w:p>
    <w:p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铭牌和标识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流量计应有流向标识，铭牌上应有清晰可见的测量范围、管道通径、准确度等级、分界流量、耐压等级、厂商信号等信息</w:t>
      </w:r>
      <w:r>
        <w:rPr>
          <w:rFonts w:hint="eastAsia"/>
        </w:rPr>
        <w:t>。</w:t>
      </w:r>
    </w:p>
    <w:p>
      <w:pPr>
        <w:pStyle w:val="50"/>
        <w:spacing w:before="0" w:beforeLines="0" w:after="0" w:afterLines="0" w:line="360" w:lineRule="auto"/>
        <w:outlineLvl w:val="9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外观和密封性：流量计外观结构应完好，无影响准确性的锈蚀和损伤情况，显示部分完整清晰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被校流量计表体各接口、法兰应无泄漏。</w:t>
      </w:r>
    </w:p>
    <w:p>
      <w:pPr>
        <w:pStyle w:val="50"/>
        <w:spacing w:before="0" w:beforeLines="0" w:after="0" w:afterLines="0" w:line="360" w:lineRule="auto"/>
        <w:outlineLvl w:val="9"/>
        <w:rPr>
          <w:rFonts w:hint="eastAsia"/>
        </w:rPr>
      </w:pPr>
      <w:r>
        <w:rPr>
          <w:rFonts w:hint="eastAsia"/>
          <w:lang w:val="en-US" w:eastAsia="zh-CN"/>
        </w:rPr>
        <w:t xml:space="preserve"> 功能参数：除机械式流量计，被校流量计界面菜单应有密码保护功能参数不被随意更改。菜单中管径、壁厚、流量系数、介质、管道材料等参数应与工况实际相一致。</w:t>
      </w:r>
    </w:p>
    <w:p>
      <w:pPr>
        <w:pStyle w:val="42"/>
        <w:spacing w:before="120" w:after="120" w:line="360" w:lineRule="auto"/>
        <w:outlineLvl w:val="0"/>
        <w:rPr>
          <w:rFonts w:hint="eastAsia"/>
        </w:rPr>
      </w:pPr>
      <w:bookmarkStart w:id="125" w:name="_Toc193860185"/>
      <w:bookmarkStart w:id="126" w:name="_Toc23784569"/>
      <w:bookmarkStart w:id="127" w:name="_Toc193619058"/>
      <w:bookmarkStart w:id="128" w:name="_Toc27992_WPSOffice_Level1"/>
      <w:bookmarkStart w:id="129" w:name="_Toc23785566"/>
      <w:bookmarkStart w:id="130" w:name="_Toc193860035"/>
      <w:bookmarkStart w:id="131" w:name="_Toc23784668"/>
      <w:bookmarkStart w:id="132" w:name="_Toc193619100"/>
      <w:bookmarkStart w:id="133" w:name="_Toc29120"/>
      <w:bookmarkStart w:id="134" w:name="_Toc193860216"/>
      <w:bookmarkStart w:id="135" w:name="_Toc5198"/>
      <w:bookmarkStart w:id="136" w:name="_Toc193618955"/>
      <w:r>
        <w:rPr>
          <w:rFonts w:hint="eastAsia"/>
        </w:rPr>
        <w:t xml:space="preserve"> </w:t>
      </w:r>
      <w:bookmarkStart w:id="137" w:name="_Toc13626"/>
      <w:bookmarkStart w:id="138" w:name="_Toc26894"/>
      <w:bookmarkStart w:id="139" w:name="_Toc4762"/>
      <w:bookmarkStart w:id="140" w:name="_Toc1347"/>
      <w:bookmarkStart w:id="141" w:name="_Toc8362"/>
      <w:r>
        <w:t>校准方法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Start w:id="142" w:name="_Toc22164"/>
      <w:bookmarkStart w:id="143" w:name="_Toc16602_WPSOffice_Level2"/>
      <w:bookmarkStart w:id="144" w:name="_Toc22399"/>
      <w:bookmarkStart w:id="145" w:name="_Toc2454"/>
      <w:bookmarkStart w:id="146" w:name="_Toc23784570"/>
      <w:bookmarkStart w:id="147" w:name="_Toc23785567"/>
      <w:bookmarkStart w:id="148" w:name="_Toc13770"/>
      <w:bookmarkStart w:id="149" w:name="_Toc29706"/>
      <w:bookmarkStart w:id="150" w:name="_Toc23784669"/>
      <w:bookmarkStart w:id="151" w:name="_Toc99355910"/>
      <w:bookmarkStart w:id="152" w:name="_Toc24148"/>
      <w:bookmarkStart w:id="153" w:name="_Toc23961"/>
      <w:bookmarkStart w:id="154" w:name="_Toc22745"/>
    </w:p>
    <w:p>
      <w:pPr>
        <w:pStyle w:val="51"/>
        <w:spacing w:before="0" w:beforeLines="0" w:after="0" w:afterLines="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155" w:name="_Toc15836"/>
      <w:r>
        <w:rPr>
          <w:rFonts w:hint="eastAsia"/>
        </w:rPr>
        <w:t>校准前</w:t>
      </w:r>
      <w:bookmarkEnd w:id="142"/>
      <w:r>
        <w:rPr>
          <w:rFonts w:hint="eastAsia"/>
        </w:rPr>
        <w:t>准备</w:t>
      </w:r>
      <w:bookmarkEnd w:id="155"/>
    </w:p>
    <w:p>
      <w:pPr>
        <w:pStyle w:val="51"/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/>
        <w:ind w:firstLine="480" w:firstLineChars="200"/>
        <w:textAlignment w:val="auto"/>
        <w:outlineLvl w:val="9"/>
        <w:rPr>
          <w:rFonts w:hint="eastAsia" w:ascii="Times New Roman" w:hAnsi="Times New Roman"/>
          <w:lang w:val="en-US" w:eastAsia="zh-CN"/>
        </w:rPr>
      </w:pPr>
      <w:bookmarkStart w:id="156" w:name="_Toc649"/>
      <w:r>
        <w:rPr>
          <w:rFonts w:hint="eastAsia" w:ascii="Times New Roman" w:hAnsi="Times New Roman"/>
          <w:lang w:val="en-US" w:eastAsia="zh-CN"/>
        </w:rPr>
        <w:t>校准前，应与客户就标准流量计安装点位、流量校准点、流量调节运行情况等进行沟通确认。</w:t>
      </w:r>
      <w:bookmarkStart w:id="157" w:name="_Toc19420"/>
      <w:bookmarkStart w:id="158" w:name="_Toc1107"/>
      <w:bookmarkStart w:id="159" w:name="_Toc842"/>
      <w:r>
        <w:rPr>
          <w:rFonts w:hint="eastAsia" w:ascii="Times New Roman" w:hAnsi="Times New Roman"/>
          <w:lang w:val="en-US" w:eastAsia="zh-CN"/>
        </w:rPr>
        <w:t>根据流量计说明书或客户提供文件和信息检查被校流量计运行情况，与工况实际不符的功能参数应进行修改，并记录各参数值</w:t>
      </w:r>
      <w:bookmarkEnd w:id="157"/>
      <w:bookmarkEnd w:id="158"/>
      <w:bookmarkEnd w:id="159"/>
      <w:r>
        <w:rPr>
          <w:rFonts w:hint="eastAsia" w:ascii="Times New Roman" w:hAnsi="Times New Roman"/>
          <w:lang w:val="en-US" w:eastAsia="zh-CN"/>
        </w:rPr>
        <w:t>。按照本规范5.3的规定，检查并记录好相应情况，为最终校准结果提供修正依据。</w:t>
      </w:r>
    </w:p>
    <w:p>
      <w:pPr>
        <w:pStyle w:val="51"/>
        <w:spacing w:before="0" w:beforeLines="0" w:after="0" w:afterLines="0"/>
        <w:outlineLvl w:val="1"/>
        <w:rPr>
          <w:rFonts w:hint="default"/>
          <w:lang w:val="en-US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标准流量计安装</w:t>
      </w:r>
    </w:p>
    <w:p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管道</w:t>
      </w:r>
      <w:r>
        <w:rPr>
          <w:rFonts w:hint="eastAsia"/>
        </w:rPr>
        <w:t>外直径测量</w:t>
      </w:r>
    </w:p>
    <w:p>
      <w:pPr>
        <w:pStyle w:val="50"/>
        <w:numPr>
          <w:ilvl w:val="2"/>
          <w:numId w:val="0"/>
        </w:numPr>
        <w:spacing w:before="0" w:beforeLines="0" w:after="0" w:afterLines="0" w:line="360" w:lineRule="auto"/>
        <w:ind w:leftChars="0" w:firstLine="480" w:firstLineChars="200"/>
        <w:outlineLvl w:val="9"/>
      </w:pPr>
      <w:r>
        <w:rPr>
          <w:rFonts w:hint="eastAsia"/>
        </w:rPr>
        <w:t>测量</w:t>
      </w:r>
      <w:r>
        <w:rPr>
          <w:rFonts w:hint="eastAsia"/>
          <w:lang w:val="en-US" w:eastAsia="zh-CN"/>
        </w:rPr>
        <w:t>前，清理标准流量计传感器（以下简称传感器）安装</w:t>
      </w:r>
      <w:r>
        <w:rPr>
          <w:rFonts w:hint="eastAsia"/>
        </w:rPr>
        <w:t>位置</w:t>
      </w:r>
      <w:r>
        <w:rPr>
          <w:rFonts w:hint="eastAsia"/>
          <w:lang w:val="en-US" w:eastAsia="zh-CN"/>
        </w:rPr>
        <w:t>区域的管壁，将管壁上的铁锈、防腐层等清除干净。</w:t>
      </w:r>
      <w:r>
        <w:rPr>
          <w:rFonts w:hint="eastAsia"/>
        </w:rPr>
        <w:t>用钢卷尺在</w:t>
      </w:r>
      <w:r>
        <w:rPr>
          <w:rFonts w:hint="eastAsia"/>
          <w:lang w:val="en-US" w:eastAsia="zh-CN"/>
        </w:rPr>
        <w:t>传感器</w:t>
      </w:r>
      <w:r>
        <w:rPr>
          <w:rFonts w:hint="eastAsia"/>
        </w:rPr>
        <w:t>安装位置附近测量</w:t>
      </w:r>
      <w:r>
        <w:rPr>
          <w:rFonts w:hint="eastAsia"/>
          <w:lang w:val="en-US" w:eastAsia="zh-CN"/>
        </w:rPr>
        <w:t>管道外径或周长（用测得周长计算外径），</w:t>
      </w:r>
      <w:r>
        <w:rPr>
          <w:rFonts w:hint="eastAsia"/>
        </w:rPr>
        <w:t>在不同点位进行3次测量，</w:t>
      </w:r>
      <w:r>
        <w:rPr>
          <w:rFonts w:hint="eastAsia"/>
          <w:lang w:val="en-US" w:eastAsia="zh-CN"/>
        </w:rPr>
        <w:t>取平均值作为管道外直径测量值</w:t>
      </w:r>
      <w:r>
        <w:rPr>
          <w:rFonts w:hint="eastAsia"/>
        </w:rPr>
        <w:t>。</w:t>
      </w:r>
      <w:r>
        <w:rPr>
          <w:rFonts w:hint="eastAsia" w:ascii="Times New Roman"/>
          <w:position w:val="-24"/>
          <w:vertAlign w:val="subscript"/>
        </w:rPr>
        <w:t xml:space="preserve">                                               </w:t>
      </w:r>
    </w:p>
    <w:p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管道</w:t>
      </w:r>
      <w:r>
        <w:rPr>
          <w:rFonts w:hint="eastAsia"/>
        </w:rPr>
        <w:t>壁厚测量</w:t>
      </w:r>
    </w:p>
    <w:p>
      <w:pPr>
        <w:pStyle w:val="50"/>
        <w:numPr>
          <w:ilvl w:val="2"/>
          <w:numId w:val="0"/>
        </w:numPr>
        <w:spacing w:before="0" w:beforeLines="0" w:after="0" w:afterLines="0" w:line="360" w:lineRule="auto"/>
        <w:ind w:leftChars="0" w:firstLine="480" w:firstLineChars="200"/>
        <w:outlineLvl w:val="9"/>
      </w:pPr>
      <w:r>
        <w:rPr>
          <w:rFonts w:hint="eastAsia"/>
          <w:lang w:val="en-US" w:eastAsia="zh-CN"/>
        </w:rPr>
        <w:t>测量前，清理传感器安装</w:t>
      </w:r>
      <w:r>
        <w:rPr>
          <w:rFonts w:hint="eastAsia"/>
        </w:rPr>
        <w:t>位置</w:t>
      </w:r>
      <w:r>
        <w:rPr>
          <w:rFonts w:hint="eastAsia"/>
          <w:lang w:val="en-US" w:eastAsia="zh-CN"/>
        </w:rPr>
        <w:t>区域的管壁，将管壁上的油漆、铁锈、防腐层等清除干净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并打磨光滑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露出管道本身材质。管壁打磨区域面积一般是传感器工作面积的1.5倍，便于校准时调整传感器位置。在打磨区域分散选择3个测量点，</w:t>
      </w:r>
      <w:r>
        <w:rPr>
          <w:rFonts w:hint="eastAsia"/>
        </w:rPr>
        <w:t>用测厚仪测量管道壁厚，</w:t>
      </w:r>
      <w:r>
        <w:rPr>
          <w:rFonts w:hint="eastAsia"/>
          <w:lang w:val="en-US" w:eastAsia="zh-CN"/>
        </w:rPr>
        <w:t>取平均值作为管道壁厚测量值</w:t>
      </w:r>
      <w:r>
        <w:rPr>
          <w:rFonts w:hint="eastAsia"/>
          <w:lang w:eastAsia="zh-CN"/>
        </w:rPr>
        <w:t>。</w:t>
      </w:r>
      <w:r>
        <w:rPr>
          <w:rFonts w:hint="eastAsia" w:ascii="Times New Roman"/>
          <w:position w:val="-24"/>
          <w:vertAlign w:val="subscript"/>
        </w:rPr>
        <w:t xml:space="preserve">                                         </w:t>
      </w:r>
    </w:p>
    <w:p>
      <w:pPr>
        <w:pStyle w:val="50"/>
        <w:spacing w:before="0" w:beforeLines="0" w:after="0" w:afterLines="0" w:line="360" w:lineRule="auto"/>
        <w:outlineLvl w:val="9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传感器</w:t>
      </w:r>
      <w:r>
        <w:rPr>
          <w:rFonts w:hint="eastAsia"/>
        </w:rPr>
        <w:t>安装</w:t>
      </w:r>
    </w:p>
    <w:p>
      <w:pPr>
        <w:pStyle w:val="50"/>
        <w:numPr>
          <w:ilvl w:val="2"/>
          <w:numId w:val="0"/>
        </w:numPr>
        <w:spacing w:before="0" w:beforeLines="0" w:after="0" w:afterLines="0" w:line="360" w:lineRule="auto"/>
        <w:ind w:leftChars="0" w:firstLine="480" w:firstLineChars="200"/>
        <w:outlineLvl w:val="9"/>
        <w:rPr>
          <w:rFonts w:hint="eastAsia"/>
        </w:rPr>
      </w:pPr>
      <w:r>
        <w:rPr>
          <w:rFonts w:hint="eastAsia"/>
          <w:lang w:val="en-US" w:eastAsia="zh-CN"/>
        </w:rPr>
        <w:t>传感器的安装方式通常由V法、Z法、W法、X法等，校准时应根据标准流量计说明书要求，结合现场安装条件，选择合适可行的方法。将标准流量计安装位置管道外直径、管道壁厚、管道材质、衬里材料及厚度、传感器型号、介质类型、传感器安装方式等参数信息输入标准流量计主机菜单中</w:t>
      </w:r>
      <w:r>
        <w:rPr>
          <w:rFonts w:hint="eastAsia"/>
        </w:rPr>
        <w:t>，自动计算得出</w:t>
      </w:r>
      <w:r>
        <w:rPr>
          <w:rFonts w:hint="eastAsia"/>
          <w:lang w:val="en-US" w:eastAsia="zh-CN"/>
        </w:rPr>
        <w:t>传感器</w:t>
      </w:r>
      <w:r>
        <w:rPr>
          <w:rFonts w:hint="eastAsia"/>
        </w:rPr>
        <w:t>安装距离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并做好记录</w:t>
      </w:r>
      <w:r>
        <w:rPr>
          <w:rFonts w:hint="eastAsia"/>
        </w:rPr>
        <w:t>。</w:t>
      </w:r>
    </w:p>
    <w:p>
      <w:pPr>
        <w:pStyle w:val="50"/>
        <w:numPr>
          <w:ilvl w:val="2"/>
          <w:numId w:val="0"/>
        </w:numPr>
        <w:spacing w:before="0" w:beforeLines="0" w:after="0" w:afterLines="0" w:line="360" w:lineRule="auto"/>
        <w:ind w:leftChars="0" w:firstLine="480" w:firstLineChars="200"/>
        <w:outlineLvl w:val="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传感器一般安装在管道水平截面上，若因现场安装条件限制，可在管道中心轴线以上45°夹角范围内确定安装位置，并保证两个传感器在同一横截平面。在传感器工作面均匀涂抹耦合剂，根据介质流动方向和安装距离安装传感器，使其信号发射面和接收面与管壁紧密接触，接触面耦合剂中不得留有气泡和杂质。根据标准流量计主机信号情况，按照标准流量计说明书规定，微调两个传感器位置直至信号状态满足标准流量计说明书要求，并用紧固件固定好传感器。标准流量计安装示意图如图2。</w:t>
      </w:r>
    </w:p>
    <w:p>
      <w:pPr>
        <w:pStyle w:val="43"/>
        <w:ind w:left="0" w:leftChars="0" w:firstLine="0" w:firstLineChars="0"/>
        <w:jc w:val="center"/>
        <w:rPr>
          <w:rFonts w:hint="eastAsia" w:eastAsia="宋体"/>
          <w:lang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1583055</wp:posOffset>
                </wp:positionV>
                <wp:extent cx="200025" cy="28575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5pt;margin-top:124.65pt;height:22.5pt;width:15.75pt;z-index:251682816;mso-width-relative:page;mso-height-relative:page;" filled="f" stroked="f" coordsize="21600,21600" o:gfxdata="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CiMot0AAAALAQAADwAAAAAAAAABACAAAAAiAAAA&#10;ZHJzL2Rvd25yZXYueG1sUEsBAhQAFAAAAAgAh07iQBV+rW8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1350010</wp:posOffset>
                </wp:positionV>
                <wp:extent cx="200025" cy="28575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55pt;margin-top:106.3pt;height:22.5pt;width:15.75pt;z-index:251680768;mso-width-relative:page;mso-height-relative:page;" filled="f" stroked="f" coordsize="21600,21600" o:gfxdata="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rz+QtsAAAALAQAADwAAAAAAAAABACAAAAAiAAAAZHJz&#10;L2Rvd25yZXYueG1sUEsBAhQAFAAAAAgAh07iQOCGWmU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165735</wp:posOffset>
                </wp:positionV>
                <wp:extent cx="200025" cy="28575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13.05pt;height:22.5pt;width:15.75pt;z-index:251681792;mso-width-relative:page;mso-height-relative:page;" filled="f" stroked="f" coordsize="21600,21600" o:gfxdata="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fiw5fbAAAACQEAAA8AAAAAAAAAAQAgAAAAIgAAAGRy&#10;cy9kb3ducmV2LnhtbFBLAQIUABQAAAAIAIdO4kC6+Zm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100830" cy="1891030"/>
            <wp:effectExtent l="0" t="0" r="13970" b="13970"/>
            <wp:docPr id="15" name="图片 15" descr="e7752a8b-469a-42ec-a986-93878ec8a9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7752a8b-469a-42ec-a986-93878ec8a9d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3"/>
        <w:jc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图</w:t>
      </w:r>
      <w:r>
        <w:rPr>
          <w:rFonts w:hint="eastAsia"/>
          <w:color w:val="auto"/>
          <w:sz w:val="18"/>
          <w:szCs w:val="18"/>
          <w:lang w:val="en-US" w:eastAsia="zh-CN"/>
        </w:rPr>
        <w:t>2</w:t>
      </w:r>
      <w:r>
        <w:rPr>
          <w:rFonts w:hint="eastAsia"/>
          <w:color w:val="auto"/>
          <w:sz w:val="18"/>
          <w:szCs w:val="18"/>
        </w:rPr>
        <w:t xml:space="preserve"> </w:t>
      </w:r>
      <w:r>
        <w:rPr>
          <w:rFonts w:hint="eastAsia"/>
          <w:color w:val="auto"/>
          <w:sz w:val="18"/>
          <w:szCs w:val="18"/>
          <w:lang w:val="en-US" w:eastAsia="zh-CN"/>
        </w:rPr>
        <w:t>标准</w:t>
      </w:r>
      <w:r>
        <w:rPr>
          <w:rFonts w:hint="eastAsia"/>
          <w:color w:val="auto"/>
          <w:sz w:val="18"/>
          <w:szCs w:val="18"/>
        </w:rPr>
        <w:t>流量计</w:t>
      </w:r>
      <w:r>
        <w:rPr>
          <w:rFonts w:hint="eastAsia"/>
          <w:color w:val="auto"/>
          <w:sz w:val="18"/>
          <w:szCs w:val="18"/>
          <w:lang w:val="en-US" w:eastAsia="zh-CN"/>
        </w:rPr>
        <w:t>安装</w:t>
      </w:r>
      <w:r>
        <w:rPr>
          <w:rFonts w:hint="eastAsia"/>
          <w:color w:val="auto"/>
          <w:sz w:val="18"/>
          <w:szCs w:val="18"/>
        </w:rPr>
        <w:t>示意图</w:t>
      </w:r>
    </w:p>
    <w:p>
      <w:pPr>
        <w:pStyle w:val="43"/>
        <w:jc w:val="center"/>
        <w:rPr>
          <w:rFonts w:hint="eastAsia" w:eastAsia="宋体"/>
          <w:lang w:eastAsia="zh-CN"/>
        </w:rPr>
      </w:pPr>
      <w:r>
        <w:rPr>
          <w:rFonts w:hint="eastAsia"/>
          <w:color w:val="auto"/>
          <w:sz w:val="18"/>
          <w:szCs w:val="18"/>
        </w:rPr>
        <w:t>1-</w:t>
      </w:r>
      <w:r>
        <w:rPr>
          <w:rFonts w:hint="eastAsia"/>
          <w:color w:val="auto"/>
          <w:sz w:val="18"/>
          <w:szCs w:val="18"/>
          <w:lang w:val="en-US" w:eastAsia="zh-CN"/>
        </w:rPr>
        <w:t>被校流量计</w:t>
      </w:r>
      <w:r>
        <w:rPr>
          <w:rFonts w:hint="eastAsia"/>
          <w:color w:val="auto"/>
          <w:sz w:val="18"/>
          <w:szCs w:val="18"/>
        </w:rPr>
        <w:t>；2-</w:t>
      </w:r>
      <w:r>
        <w:rPr>
          <w:rFonts w:hint="eastAsia"/>
          <w:color w:val="auto"/>
          <w:sz w:val="18"/>
          <w:szCs w:val="18"/>
          <w:lang w:val="en-US" w:eastAsia="zh-CN"/>
        </w:rPr>
        <w:t>传感器</w:t>
      </w:r>
      <w:r>
        <w:rPr>
          <w:rFonts w:hint="eastAsia"/>
          <w:color w:val="auto"/>
          <w:sz w:val="18"/>
          <w:szCs w:val="18"/>
        </w:rPr>
        <w:t>；3-</w:t>
      </w:r>
      <w:r>
        <w:rPr>
          <w:rFonts w:hint="eastAsia"/>
          <w:color w:val="auto"/>
          <w:sz w:val="18"/>
          <w:szCs w:val="18"/>
          <w:lang w:val="en-US" w:eastAsia="zh-CN"/>
        </w:rPr>
        <w:t>标准流量计主机</w:t>
      </w:r>
    </w:p>
    <w:bookmarkEnd w:id="156"/>
    <w:p>
      <w:pPr>
        <w:pStyle w:val="51"/>
        <w:spacing w:before="0" w:beforeLines="0" w:after="0" w:afterLines="0"/>
        <w:outlineLvl w:val="1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流量校准点选择</w:t>
      </w:r>
      <w:r>
        <w:rPr>
          <w:rFonts w:hint="eastAsia"/>
        </w:rPr>
        <w:t xml:space="preserve"> </w:t>
      </w:r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hint="eastAsia" w:ascii="Times New Roman" w:hAnsi="Times New Roman"/>
          <w:color w:val="auto"/>
        </w:rPr>
      </w:pPr>
      <w:bookmarkStart w:id="160" w:name="_Toc3288"/>
      <w:bookmarkStart w:id="161" w:name="_Toc7395"/>
      <w:r>
        <w:rPr>
          <w:rFonts w:hint="eastAsia" w:ascii="Times New Roman" w:hAnsi="Times New Roman"/>
          <w:lang w:val="en-US" w:eastAsia="zh-CN"/>
        </w:rPr>
        <w:t>根据现场实际情况</w:t>
      </w:r>
      <w:r>
        <w:rPr>
          <w:rFonts w:hint="eastAsia" w:ascii="Times New Roman" w:hAnsi="Times New Roman"/>
        </w:rPr>
        <w:t>与客户协商选取</w:t>
      </w:r>
      <w:r>
        <w:rPr>
          <w:rFonts w:hint="eastAsia" w:ascii="Times New Roman" w:hAnsi="Times New Roman"/>
          <w:lang w:val="en-US" w:eastAsia="zh-CN"/>
        </w:rPr>
        <w:t>流量</w:t>
      </w:r>
      <w:r>
        <w:rPr>
          <w:rFonts w:hint="eastAsia" w:ascii="Times New Roman" w:hAnsi="Times New Roman"/>
        </w:rPr>
        <w:t>校准点，</w:t>
      </w:r>
      <w:r>
        <w:rPr>
          <w:rFonts w:hint="eastAsia" w:ascii="Times New Roman" w:hAnsi="Times New Roman"/>
          <w:lang w:val="en-US" w:eastAsia="zh-CN"/>
        </w:rPr>
        <w:t>一般</w:t>
      </w:r>
      <w:r>
        <w:rPr>
          <w:rFonts w:hint="eastAsia" w:ascii="Times New Roman" w:hAnsi="Times New Roman"/>
        </w:rPr>
        <w:t>选取</w:t>
      </w:r>
      <w:r>
        <w:rPr>
          <w:rFonts w:hint="eastAsia" w:ascii="Times New Roman" w:hAnsi="Times New Roman"/>
          <w:lang w:eastAsia="zh-CN"/>
        </w:rPr>
        <w:t>（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~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  <w:lang w:eastAsia="zh-CN"/>
        </w:rPr>
        <w:t>）</w:t>
      </w:r>
      <w:r>
        <w:rPr>
          <w:rFonts w:hint="eastAsia" w:ascii="Times New Roman" w:hAnsi="Times New Roman"/>
        </w:rPr>
        <w:t>个点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包含常用流量点及以分界流量为界限的低流量点和高流量点</w:t>
      </w:r>
      <w:r>
        <w:rPr>
          <w:rFonts w:hint="eastAsia" w:ascii="Times New Roman" w:hAnsi="Times New Roman"/>
        </w:rPr>
        <w:t>。标准</w:t>
      </w:r>
      <w:r>
        <w:rPr>
          <w:rFonts w:hint="eastAsia" w:ascii="Times New Roman" w:hAnsi="Times New Roman"/>
          <w:lang w:val="en-US" w:eastAsia="zh-CN"/>
        </w:rPr>
        <w:t>流量计</w:t>
      </w:r>
      <w:r>
        <w:rPr>
          <w:rFonts w:hint="eastAsia" w:ascii="Times New Roman" w:hAnsi="Times New Roman"/>
        </w:rPr>
        <w:t>安装后，</w:t>
      </w:r>
      <w:r>
        <w:rPr>
          <w:rFonts w:hint="eastAsia" w:ascii="Times New Roman" w:hAnsi="Times New Roman"/>
          <w:lang w:val="en-US" w:eastAsia="zh-CN"/>
        </w:rPr>
        <w:t>通过调节泵频率或阀门开</w:t>
      </w:r>
      <w:r>
        <w:rPr>
          <w:rFonts w:hint="eastAsia" w:ascii="Times New Roman" w:hAnsi="Times New Roman"/>
          <w:color w:val="auto"/>
          <w:lang w:val="en-US" w:eastAsia="zh-CN"/>
        </w:rPr>
        <w:t>度来平稳</w:t>
      </w:r>
      <w:r>
        <w:rPr>
          <w:rFonts w:hint="eastAsia" w:ascii="Times New Roman" w:hAnsi="Times New Roman"/>
          <w:color w:val="auto"/>
        </w:rPr>
        <w:t>调整管道流量至</w:t>
      </w:r>
      <w:r>
        <w:rPr>
          <w:rFonts w:hint="eastAsia" w:ascii="Times New Roman" w:hAnsi="Times New Roman"/>
          <w:color w:val="auto"/>
          <w:lang w:val="en-US" w:eastAsia="zh-CN"/>
        </w:rPr>
        <w:t>流量</w:t>
      </w:r>
      <w:r>
        <w:rPr>
          <w:rFonts w:hint="eastAsia" w:ascii="Times New Roman" w:hAnsi="Times New Roman"/>
          <w:color w:val="auto"/>
        </w:rPr>
        <w:t>校准点</w:t>
      </w:r>
      <w:r>
        <w:rPr>
          <w:rFonts w:hint="eastAsia" w:ascii="Times New Roman" w:hAnsi="Times New Roman"/>
          <w:color w:val="auto"/>
          <w:lang w:val="en-US" w:eastAsia="zh-CN"/>
        </w:rPr>
        <w:t>附近。</w:t>
      </w:r>
      <w:r>
        <w:rPr>
          <w:rFonts w:hint="eastAsia" w:ascii="Times New Roman" w:hAnsi="Times New Roman"/>
          <w:color w:val="auto"/>
        </w:rPr>
        <w:t>当标准</w:t>
      </w:r>
      <w:r>
        <w:rPr>
          <w:rFonts w:hint="eastAsia" w:ascii="Times New Roman" w:hAnsi="Times New Roman"/>
          <w:color w:val="auto"/>
          <w:lang w:val="en-US" w:eastAsia="zh-CN"/>
        </w:rPr>
        <w:t>流量计瞬时</w:t>
      </w:r>
      <w:r>
        <w:rPr>
          <w:rFonts w:hint="eastAsia" w:ascii="Times New Roman" w:hAnsi="Times New Roman"/>
          <w:color w:val="auto"/>
        </w:rPr>
        <w:t>流量在1min内的最大流量和最小流量之差小于指定校准点流量的5%时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</w:rPr>
        <w:t>视为</w:t>
      </w:r>
      <w:r>
        <w:rPr>
          <w:rFonts w:hint="eastAsia" w:ascii="Times New Roman" w:hAnsi="Times New Roman"/>
          <w:color w:val="auto"/>
          <w:lang w:val="en-US" w:eastAsia="zh-CN"/>
        </w:rPr>
        <w:t>管道</w:t>
      </w:r>
      <w:r>
        <w:rPr>
          <w:rFonts w:hint="eastAsia" w:ascii="Times New Roman" w:hAnsi="Times New Roman"/>
          <w:color w:val="auto"/>
        </w:rPr>
        <w:t>流量稳定，稳定时间不应少于</w:t>
      </w:r>
      <w:r>
        <w:rPr>
          <w:rFonts w:hint="eastAsia" w:ascii="Times New Roman" w:hAnsi="Times New Roman"/>
          <w:color w:val="auto"/>
          <w:lang w:val="en-US" w:eastAsia="zh-CN"/>
        </w:rPr>
        <w:t>5</w:t>
      </w:r>
      <w:r>
        <w:rPr>
          <w:rFonts w:hint="eastAsia" w:ascii="Times New Roman" w:hAnsi="Times New Roman"/>
          <w:color w:val="auto"/>
        </w:rPr>
        <w:t>min。</w:t>
      </w:r>
    </w:p>
    <w:p>
      <w:pPr>
        <w:pStyle w:val="43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若现场无法调节流量，可根据客户生产情况分时段对各流量校准点进行校准。当校准过程中突然出现流量波动，应重新进行流量稳定控制后再校准。管道流量无法达到上述稳定状态时；被校流量计瞬时流量分辨力低时，只需进行累积流量示值误差的校准。被校流量计瞬时流量较低，引起累积流量末位读数变化较慢时，只需进行瞬时流量示值误差的校准。</w:t>
      </w:r>
    </w:p>
    <w:p>
      <w:pPr>
        <w:pStyle w:val="51"/>
        <w:bidi w:val="0"/>
        <w:ind w:left="0" w:leftChars="0" w:firstLine="0" w:firstLineChars="0"/>
      </w:pPr>
      <w:r>
        <w:rPr>
          <w:rFonts w:hint="eastAsia"/>
        </w:rPr>
        <w:t xml:space="preserve"> 累积流量示值误差</w:t>
      </w:r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hint="eastAsia"/>
        </w:rPr>
      </w:pPr>
      <w:r>
        <w:rPr>
          <w:rFonts w:hint="eastAsia" w:ascii="Times New Roman" w:hAnsi="Times New Roman"/>
        </w:rPr>
        <w:t>被校流量计和标准</w:t>
      </w:r>
      <w:r>
        <w:rPr>
          <w:rFonts w:hint="eastAsia" w:ascii="Times New Roman" w:hAnsi="Times New Roman"/>
          <w:lang w:val="en-US" w:eastAsia="zh-CN"/>
        </w:rPr>
        <w:t>流量计在6.3规定的稳定状态下，</w:t>
      </w:r>
      <w:r>
        <w:rPr>
          <w:rFonts w:hint="eastAsia" w:ascii="Times New Roman" w:hAnsi="Times New Roman"/>
        </w:rPr>
        <w:t>同时读取被校流量计和标准</w:t>
      </w:r>
      <w:r>
        <w:rPr>
          <w:rFonts w:hint="eastAsia" w:ascii="Times New Roman" w:hAnsi="Times New Roman"/>
          <w:lang w:val="en-US" w:eastAsia="zh-CN"/>
        </w:rPr>
        <w:t>流量计</w:t>
      </w:r>
      <w:r>
        <w:rPr>
          <w:rFonts w:hint="eastAsia" w:ascii="Times New Roman" w:hAnsi="Times New Roman"/>
        </w:rPr>
        <w:t>的初始累积流量</w:t>
      </w:r>
      <w:r>
        <w:rPr>
          <w:rFonts w:hint="eastAsia" w:ascii="Times New Roman" w:hAnsi="Times New Roman"/>
          <w:lang w:val="en-US" w:eastAsia="zh-CN"/>
        </w:rPr>
        <w:t>示</w:t>
      </w:r>
      <w:r>
        <w:rPr>
          <w:rFonts w:hint="eastAsia" w:ascii="Times New Roman" w:hAnsi="Times New Roman"/>
        </w:rPr>
        <w:t>值</w:t>
      </w:r>
      <w:r>
        <w:rPr>
          <w:rFonts w:hint="eastAsia" w:ascii="Times New Roman" w:hAnsi="Times New Roman"/>
          <w:color w:val="auto"/>
        </w:rPr>
        <w:t>，并启动秒表，</w:t>
      </w:r>
      <w:r>
        <w:rPr>
          <w:rFonts w:hint="eastAsia" w:ascii="Times New Roman" w:hAnsi="Times New Roman"/>
        </w:rPr>
        <w:t>经过</w:t>
      </w:r>
      <w:r>
        <w:rPr>
          <w:rFonts w:hint="eastAsia" w:ascii="Times New Roman" w:hAnsi="Times New Roman"/>
          <w:lang w:val="en-US" w:eastAsia="zh-CN"/>
        </w:rPr>
        <w:t>至少30min后</w:t>
      </w:r>
      <w:r>
        <w:rPr>
          <w:rFonts w:hint="eastAsia" w:ascii="Times New Roman" w:hAnsi="Times New Roman"/>
        </w:rPr>
        <w:t>再同时读取被校流量计和标准</w:t>
      </w:r>
      <w:r>
        <w:rPr>
          <w:rFonts w:hint="eastAsia" w:ascii="Times New Roman" w:hAnsi="Times New Roman"/>
          <w:lang w:val="en-US" w:eastAsia="zh-CN"/>
        </w:rPr>
        <w:t>流量计</w:t>
      </w:r>
      <w:r>
        <w:rPr>
          <w:rFonts w:hint="eastAsia" w:ascii="Times New Roman" w:hAnsi="Times New Roman"/>
        </w:rPr>
        <w:t>的终止累积流量</w:t>
      </w:r>
      <w:r>
        <w:rPr>
          <w:rFonts w:hint="eastAsia" w:ascii="Times New Roman" w:hAnsi="Times New Roman"/>
          <w:lang w:val="en-US" w:eastAsia="zh-CN"/>
        </w:rPr>
        <w:t>示</w:t>
      </w:r>
      <w:r>
        <w:rPr>
          <w:rFonts w:hint="eastAsia" w:ascii="Times New Roman" w:hAnsi="Times New Roman"/>
        </w:rPr>
        <w:t>值</w:t>
      </w:r>
      <w:bookmarkEnd w:id="160"/>
      <w:bookmarkEnd w:id="161"/>
      <w:r>
        <w:rPr>
          <w:rFonts w:hint="eastAsia" w:ascii="Times New Roman" w:hAnsi="Times New Roman"/>
        </w:rPr>
        <w:t>，并停止秒表，记录相应示值。</w:t>
      </w:r>
      <w:r>
        <w:rPr>
          <w:rFonts w:hint="eastAsia" w:ascii="Times New Roman" w:hAnsi="Times New Roman"/>
          <w:lang w:val="en-US" w:eastAsia="zh-CN"/>
        </w:rPr>
        <w:t>每</w:t>
      </w:r>
      <w:r>
        <w:rPr>
          <w:rFonts w:hint="eastAsia" w:ascii="Times New Roman" w:hAnsi="Times New Roman"/>
        </w:rPr>
        <w:t>个</w:t>
      </w:r>
      <w:r>
        <w:rPr>
          <w:rFonts w:hint="eastAsia" w:ascii="Times New Roman" w:hAnsi="Times New Roman"/>
          <w:lang w:val="en-US" w:eastAsia="zh-CN"/>
        </w:rPr>
        <w:t>流量</w:t>
      </w:r>
      <w:r>
        <w:rPr>
          <w:rFonts w:hint="eastAsia" w:ascii="Times New Roman" w:hAnsi="Times New Roman"/>
        </w:rPr>
        <w:t>校准点</w:t>
      </w:r>
      <w:r>
        <w:rPr>
          <w:rFonts w:hint="eastAsia" w:ascii="Times New Roman" w:hAnsi="Times New Roman"/>
          <w:lang w:val="en-US" w:eastAsia="zh-CN"/>
        </w:rPr>
        <w:t>一般校准</w:t>
      </w:r>
      <w:r>
        <w:rPr>
          <w:rFonts w:hint="eastAsia" w:ascii="Times New Roman" w:hAnsi="Times New Roman"/>
        </w:rPr>
        <w:t>3次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单次校准的累积流量示值误差按公式（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）、公式（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）和公式（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）计算。</w:t>
      </w:r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62" w:name="_Toc8989"/>
      <w:bookmarkStart w:id="163" w:name="_Toc11684"/>
      <w:bookmarkStart w:id="164" w:name="_Toc24434"/>
      <w:r>
        <w:rPr>
          <w:rFonts w:ascii="Times New Roman"/>
          <w:position w:val="-14"/>
          <w:vertAlign w:val="subscript"/>
        </w:rPr>
        <w:object>
          <v:shape id="_x0000_i1025" o:spt="75" type="#_x0000_t75" style="height:27.15pt;width:142.9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2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 xml:space="preserve">      （</w:t>
      </w:r>
      <w:r>
        <w:rPr>
          <w:rFonts w:hint="eastAsia" w:ascii="Times New Roman" w:hAnsi="Times New Roman"/>
          <w:lang w:val="en-US" w:eastAsia="zh-CN"/>
        </w:rPr>
        <w:t>1</w:t>
      </w:r>
      <w:r>
        <w:rPr>
          <w:rFonts w:hint="eastAsia" w:ascii="Times New Roman" w:hAnsi="Times New Roman"/>
        </w:rPr>
        <w:t>）</w:t>
      </w:r>
      <w:bookmarkEnd w:id="162"/>
      <w:bookmarkEnd w:id="163"/>
      <w:bookmarkEnd w:id="164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65" w:name="_Toc18559"/>
      <w:bookmarkStart w:id="166" w:name="_Toc2736"/>
      <w:bookmarkStart w:id="167" w:name="_Toc18142"/>
      <w:r>
        <w:rPr>
          <w:rFonts w:ascii="Times New Roman"/>
          <w:position w:val="-14"/>
          <w:vertAlign w:val="subscript"/>
        </w:rPr>
        <w:object>
          <v:shape id="_x0000_i1026" o:spt="75" type="#_x0000_t75" style="height:27.15pt;width:134.3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30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 xml:space="preserve">     （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eastAsia" w:ascii="Times New Roman" w:hAnsi="Times New Roman"/>
        </w:rPr>
        <w:t>）</w:t>
      </w:r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r>
        <w:rPr>
          <w:rFonts w:ascii="Times New Roman"/>
          <w:position w:val="-32"/>
          <w:vertAlign w:val="subscript"/>
        </w:rPr>
        <w:object>
          <v:shape id="_x0000_i1027" o:spt="75" type="#_x0000_t75" style="height:48.2pt;width:171.6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32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hint="eastAsia" w:ascii="Times New Roman" w:hAnsi="Times New Roman"/>
        </w:rPr>
        <w:t>（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）</w:t>
      </w:r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r>
        <w:rPr>
          <w:rFonts w:hint="eastAsia" w:ascii="Times New Roman" w:hAnsi="Times New Roman"/>
        </w:rPr>
        <w:t>式中：</w:t>
      </w:r>
      <w:bookmarkEnd w:id="165"/>
      <w:bookmarkEnd w:id="166"/>
      <w:bookmarkEnd w:id="167"/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28" o:spt="75" type="#_x0000_t75" style="height:19pt;width:26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3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被校流量计第</w:t>
      </w:r>
      <w:r>
        <w:rPr>
          <w:rFonts w:hint="eastAsia"/>
          <w:color w:val="auto"/>
        </w:rPr>
        <w:t>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累积流量示值误差</w:t>
      </w:r>
      <w:r>
        <w:rPr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29" o:spt="75" type="#_x0000_t75" style="height:19pt;width:24.9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3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累积流量示值</w:t>
      </w:r>
      <w:r>
        <w:rPr>
          <w:rFonts w:hint="eastAsia" w:ascii="宋体" w:hAnsi="宋体" w:cs="宋体"/>
          <w:color w:val="auto"/>
        </w:rPr>
        <w:t>，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 w:ascii="宋体" w:hAnsi="宋体" w:cs="宋体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0" o:spt="75" type="#_x0000_t75" style="height:19pt;width:23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38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标准流量计第</w:t>
      </w:r>
      <w:r>
        <w:rPr>
          <w:rFonts w:hint="eastAsia"/>
          <w:color w:val="auto"/>
        </w:rPr>
        <w:t>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的标准</w:t>
      </w:r>
      <w:r>
        <w:rPr>
          <w:rFonts w:hint="eastAsia"/>
          <w:color w:val="auto"/>
        </w:rPr>
        <w:t>累积流量示值，m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1" o:spt="75" type="#_x0000_t75" style="height:19pt;width:29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4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初始累积流量</w:t>
      </w:r>
      <w:r>
        <w:rPr>
          <w:rFonts w:hint="eastAsia"/>
          <w:color w:val="auto"/>
          <w:lang w:val="en-US" w:eastAsia="zh-CN"/>
        </w:rPr>
        <w:t>示</w:t>
      </w:r>
      <w:r>
        <w:rPr>
          <w:rFonts w:hint="eastAsia"/>
          <w:color w:val="auto"/>
        </w:rPr>
        <w:t>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2" o:spt="75" type="#_x0000_t75" style="height:19pt;width:29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4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终止累积流量</w:t>
      </w:r>
      <w:r>
        <w:rPr>
          <w:rFonts w:hint="eastAsia"/>
          <w:color w:val="auto"/>
          <w:lang w:val="en-US" w:eastAsia="zh-CN"/>
        </w:rPr>
        <w:t>示</w:t>
      </w:r>
      <w:r>
        <w:rPr>
          <w:rFonts w:hint="eastAsia"/>
          <w:color w:val="auto"/>
        </w:rPr>
        <w:t>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3" o:spt="75" type="#_x0000_t75" style="height:19pt;width:26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4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初始累积流量</w:t>
      </w:r>
      <w:r>
        <w:rPr>
          <w:rFonts w:hint="eastAsia"/>
          <w:color w:val="auto"/>
          <w:lang w:val="en-US" w:eastAsia="zh-CN"/>
        </w:rPr>
        <w:t>示</w:t>
      </w:r>
      <w:r>
        <w:rPr>
          <w:rFonts w:hint="eastAsia"/>
          <w:color w:val="auto"/>
        </w:rPr>
        <w:t>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4" o:spt="75" type="#_x0000_t75" style="height:19pt;width:26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4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点第j次校准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终止累积流量</w:t>
      </w:r>
      <w:r>
        <w:rPr>
          <w:rFonts w:hint="eastAsia"/>
          <w:color w:val="auto"/>
          <w:lang w:val="en-US" w:eastAsia="zh-CN"/>
        </w:rPr>
        <w:t>示</w:t>
      </w:r>
      <w:r>
        <w:rPr>
          <w:rFonts w:hint="eastAsia"/>
          <w:color w:val="auto"/>
        </w:rPr>
        <w:t>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；</w:t>
      </w:r>
    </w:p>
    <w:p>
      <w:pPr>
        <w:pStyle w:val="43"/>
        <w:rPr>
          <w:rFonts w:hint="eastAsia"/>
          <w:color w:val="auto"/>
        </w:rPr>
      </w:pPr>
      <w:r>
        <w:rPr>
          <w:rFonts w:hint="default" w:ascii="Times New Roman" w:hAnsi="Times New Roman" w:eastAsia="微软雅黑" w:cs="Times New Roman"/>
          <w:color w:val="auto"/>
        </w:rPr>
        <w:t>j</w: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次数；</w:t>
      </w:r>
    </w:p>
    <w:p>
      <w:pPr>
        <w:pStyle w:val="43"/>
        <w:rPr>
          <w:rFonts w:hint="eastAsia"/>
          <w:color w:val="auto"/>
        </w:rPr>
      </w:pPr>
      <w:r>
        <w:rPr>
          <w:rFonts w:hint="default" w:ascii="Times New Roman" w:hAnsi="Times New Roman" w:eastAsia="微软雅黑" w:cs="Times New Roman"/>
          <w:color w:val="auto"/>
        </w:rPr>
        <w:t>i</w: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点数。</w:t>
      </w:r>
    </w:p>
    <w:p>
      <w:pPr>
        <w:pStyle w:val="43"/>
        <w:rPr>
          <w:color w:val="auto"/>
        </w:rPr>
      </w:pPr>
      <w:bookmarkStart w:id="168" w:name="OLE_LINK6"/>
      <w:r>
        <w:rPr>
          <w:rFonts w:hint="eastAsia"/>
          <w:color w:val="auto"/>
        </w:rPr>
        <w:t>取绝对值最大的</w:t>
      </w:r>
      <w:r>
        <w:rPr>
          <w:rFonts w:hint="eastAsia"/>
          <w:color w:val="auto"/>
          <w:lang w:val="en-US" w:eastAsia="zh-CN"/>
        </w:rPr>
        <w:t>E</w:t>
      </w:r>
      <w:r>
        <w:rPr>
          <w:rFonts w:hint="eastAsia"/>
          <w:color w:val="auto"/>
          <w:vertAlign w:val="subscript"/>
          <w:lang w:val="en-US" w:eastAsia="zh-CN"/>
        </w:rPr>
        <w:t>V(ij)</w:t>
      </w:r>
      <w:r>
        <w:rPr>
          <w:rFonts w:hint="eastAsia"/>
          <w:color w:val="auto"/>
        </w:rPr>
        <w:t>作为被校流量计第i流量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点的累积流量示值误差</w:t>
      </w:r>
      <w:bookmarkEnd w:id="168"/>
      <w:r>
        <w:rPr>
          <w:rFonts w:hint="eastAsia"/>
          <w:color w:val="auto"/>
        </w:rPr>
        <w:t>。</w:t>
      </w:r>
    </w:p>
    <w:p>
      <w:pPr>
        <w:pStyle w:val="51"/>
        <w:bidi w:val="0"/>
        <w:ind w:left="0" w:leftChars="0" w:firstLine="0" w:firstLineChars="0"/>
      </w:pPr>
      <w:r>
        <w:rPr>
          <w:rFonts w:hint="eastAsia"/>
        </w:rPr>
        <w:t xml:space="preserve"> 瞬时流量示值误差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在累计流量</w:t>
      </w:r>
      <w:r>
        <w:rPr>
          <w:rFonts w:hint="eastAsia"/>
          <w:color w:val="auto"/>
          <w:lang w:val="en-US" w:eastAsia="zh-CN"/>
        </w:rPr>
        <w:t>示值误差</w:t>
      </w:r>
      <w:r>
        <w:rPr>
          <w:rFonts w:hint="eastAsia"/>
          <w:color w:val="auto"/>
        </w:rPr>
        <w:t>校准时间段内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lang w:val="en-US" w:eastAsia="zh-CN"/>
        </w:rPr>
        <w:t>任选一个时间点，</w:t>
      </w:r>
      <w:r>
        <w:rPr>
          <w:rFonts w:hint="eastAsia"/>
          <w:color w:val="auto"/>
        </w:rPr>
        <w:t>同时</w:t>
      </w:r>
      <w:r>
        <w:rPr>
          <w:rFonts w:hint="eastAsia"/>
          <w:color w:val="auto"/>
          <w:lang w:val="en-US" w:eastAsia="zh-CN"/>
        </w:rPr>
        <w:t>读取并记录1次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和被校流量计的瞬时流量</w:t>
      </w:r>
      <w:r>
        <w:rPr>
          <w:rFonts w:hint="eastAsia"/>
          <w:color w:val="auto"/>
          <w:lang w:val="en-US" w:eastAsia="zh-CN"/>
        </w:rPr>
        <w:t>示值。</w:t>
      </w:r>
      <w:r>
        <w:rPr>
          <w:rFonts w:hint="eastAsia" w:ascii="Times New Roman" w:hAnsi="Times New Roman"/>
          <w:color w:val="auto"/>
          <w:lang w:val="en-US" w:eastAsia="zh-CN"/>
        </w:rPr>
        <w:t>每</w:t>
      </w:r>
      <w:r>
        <w:rPr>
          <w:rFonts w:hint="eastAsia" w:ascii="Times New Roman" w:hAnsi="Times New Roman"/>
          <w:color w:val="auto"/>
        </w:rPr>
        <w:t>个</w:t>
      </w:r>
      <w:r>
        <w:rPr>
          <w:rFonts w:hint="eastAsia" w:ascii="Times New Roman" w:hAnsi="Times New Roman"/>
          <w:color w:val="auto"/>
          <w:lang w:val="en-US" w:eastAsia="zh-CN"/>
        </w:rPr>
        <w:t>流量</w:t>
      </w:r>
      <w:r>
        <w:rPr>
          <w:rFonts w:hint="eastAsia" w:ascii="Times New Roman" w:hAnsi="Times New Roman"/>
          <w:color w:val="auto"/>
        </w:rPr>
        <w:t>校准点</w:t>
      </w:r>
      <w:r>
        <w:rPr>
          <w:rFonts w:hint="eastAsia"/>
          <w:color w:val="auto"/>
          <w:lang w:val="en-US" w:eastAsia="zh-CN"/>
        </w:rPr>
        <w:t>同样</w:t>
      </w:r>
      <w:r>
        <w:rPr>
          <w:rFonts w:hint="eastAsia" w:ascii="Times New Roman" w:hAnsi="Times New Roman"/>
          <w:color w:val="auto"/>
          <w:lang w:val="en-US" w:eastAsia="zh-CN"/>
        </w:rPr>
        <w:t>校准</w:t>
      </w:r>
      <w:r>
        <w:rPr>
          <w:rFonts w:hint="eastAsia" w:ascii="Times New Roman" w:hAnsi="Times New Roman"/>
          <w:color w:val="auto"/>
        </w:rPr>
        <w:t>3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单次校准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瞬时流量示值误差按公式（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）计算。</w:t>
      </w:r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r>
        <w:rPr>
          <w:rFonts w:ascii="Times New Roman"/>
          <w:position w:val="-32"/>
          <w:vertAlign w:val="subscript"/>
        </w:rPr>
        <w:object>
          <v:shape id="_x0000_i1035" o:spt="75" type="#_x0000_t75" style="height:47.7pt;width:168.7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4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</w:t>
      </w:r>
      <w:r>
        <w:rPr>
          <w:rFonts w:hint="eastAsia" w:ascii="Times New Roman" w:hAnsi="Times New Roman"/>
          <w:lang w:val="en-US" w:eastAsia="zh-CN"/>
        </w:rPr>
        <w:t xml:space="preserve">     </w:t>
      </w:r>
      <w:r>
        <w:rPr>
          <w:rFonts w:hint="eastAsia" w:ascii="Times New Roman" w:hAnsi="Times New Roman"/>
        </w:rPr>
        <w:t xml:space="preserve">  </w:t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 xml:space="preserve">  （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）</w:t>
      </w:r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</w:rPr>
        <w:t>式</w:t>
      </w:r>
      <w:r>
        <w:rPr>
          <w:rFonts w:hint="eastAsia" w:ascii="Times New Roman" w:hAnsi="Times New Roman"/>
          <w:color w:val="auto"/>
        </w:rPr>
        <w:t>中：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6" o:spt="75" type="#_x0000_t75" style="height:19pt;width:24.9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5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被校流量计第</w:t>
      </w:r>
      <w:r>
        <w:rPr>
          <w:rFonts w:hint="eastAsia"/>
          <w:color w:val="auto"/>
        </w:rPr>
        <w:t>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瞬时流量示值误差</w:t>
      </w:r>
      <w:r>
        <w:rPr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37" o:spt="75" type="#_x0000_t75" style="height:19pt;width:24.9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5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瞬时流量示值</w:t>
      </w:r>
      <w:r>
        <w:rPr>
          <w:rFonts w:hint="eastAsia" w:ascii="宋体" w:hAnsi="宋体" w:cs="宋体"/>
          <w:color w:val="auto"/>
        </w:rPr>
        <w:t>，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</w:t>
      </w:r>
      <w:r>
        <w:rPr>
          <w:rFonts w:hint="eastAsia" w:ascii="宋体" w:hAnsi="宋体" w:cs="宋体"/>
          <w:color w:val="auto"/>
        </w:rPr>
        <w:t>；</w:t>
      </w:r>
    </w:p>
    <w:p>
      <w:pPr>
        <w:pStyle w:val="43"/>
        <w:rPr>
          <w:rFonts w:hint="eastAsia" w:eastAsia="宋体"/>
          <w:color w:val="auto"/>
          <w:lang w:eastAsia="zh-CN"/>
        </w:rPr>
      </w:pPr>
      <w:r>
        <w:rPr>
          <w:color w:val="auto"/>
          <w:position w:val="-14"/>
          <w:vertAlign w:val="subscript"/>
        </w:rPr>
        <w:object>
          <v:shape id="_x0000_i1038" o:spt="75" type="#_x0000_t75" style="height:19pt;width:23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5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第i流量点第j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瞬时流量示值，m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</w:t>
      </w:r>
      <w:r>
        <w:rPr>
          <w:rFonts w:hint="eastAsia"/>
          <w:color w:val="auto"/>
          <w:lang w:eastAsia="zh-CN"/>
        </w:rPr>
        <w:t>。</w:t>
      </w:r>
    </w:p>
    <w:p>
      <w:pPr>
        <w:pStyle w:val="43"/>
        <w:rPr>
          <w:color w:val="auto"/>
        </w:rPr>
      </w:pPr>
      <w:bookmarkStart w:id="169" w:name="OLE_LINK5"/>
      <w:r>
        <w:rPr>
          <w:rFonts w:hint="eastAsia"/>
          <w:color w:val="auto"/>
        </w:rPr>
        <w:t>取绝对值最大的</w:t>
      </w:r>
      <w:r>
        <w:rPr>
          <w:rFonts w:hint="eastAsia"/>
          <w:color w:val="auto"/>
          <w:lang w:val="en-US" w:eastAsia="zh-CN"/>
        </w:rPr>
        <w:t>E</w:t>
      </w:r>
      <w:r>
        <w:rPr>
          <w:rFonts w:hint="eastAsia"/>
          <w:color w:val="auto"/>
          <w:vertAlign w:val="subscript"/>
          <w:lang w:val="en-US" w:eastAsia="zh-CN"/>
        </w:rPr>
        <w:t>q(ij)</w:t>
      </w:r>
      <w:r>
        <w:rPr>
          <w:rFonts w:hint="eastAsia"/>
          <w:color w:val="auto"/>
        </w:rPr>
        <w:t>作为被校流量计第i流量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点的瞬时流量示值误差</w:t>
      </w:r>
      <w:bookmarkEnd w:id="169"/>
      <w:r>
        <w:rPr>
          <w:rFonts w:hint="eastAsia"/>
          <w:color w:val="auto"/>
        </w:rPr>
        <w:t>。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当</w:t>
      </w:r>
      <w:r>
        <w:rPr>
          <w:rFonts w:hint="eastAsia"/>
          <w:color w:val="auto"/>
          <w:lang w:val="en-US" w:eastAsia="zh-CN"/>
        </w:rPr>
        <w:t>累积或瞬时流量</w:t>
      </w:r>
      <w:r>
        <w:rPr>
          <w:rFonts w:hint="eastAsia"/>
          <w:color w:val="auto"/>
        </w:rPr>
        <w:t>示值误差校准</w:t>
      </w:r>
      <w:r>
        <w:rPr>
          <w:rFonts w:hint="eastAsia"/>
          <w:color w:val="auto"/>
          <w:lang w:val="en-US" w:eastAsia="zh-CN"/>
        </w:rPr>
        <w:t>结果</w:t>
      </w:r>
      <w:r>
        <w:rPr>
          <w:rFonts w:hint="eastAsia"/>
          <w:color w:val="auto"/>
        </w:rPr>
        <w:t>不满足</w:t>
      </w:r>
      <w:r>
        <w:rPr>
          <w:rFonts w:hint="eastAsia"/>
          <w:color w:val="auto"/>
          <w:lang w:val="en-US" w:eastAsia="zh-CN"/>
        </w:rPr>
        <w:t>客户需</w:t>
      </w:r>
      <w:r>
        <w:rPr>
          <w:rFonts w:hint="eastAsia"/>
          <w:color w:val="auto"/>
        </w:rPr>
        <w:t>求时，能够调整流量系数的</w:t>
      </w:r>
      <w:r>
        <w:rPr>
          <w:rFonts w:hint="eastAsia"/>
          <w:color w:val="auto"/>
          <w:lang w:val="en-US" w:eastAsia="zh-CN"/>
        </w:rPr>
        <w:t>被校</w:t>
      </w:r>
      <w:r>
        <w:rPr>
          <w:rFonts w:hint="eastAsia"/>
          <w:color w:val="auto"/>
        </w:rPr>
        <w:t>流量计，可根据调整前的校准</w:t>
      </w:r>
      <w:r>
        <w:rPr>
          <w:rFonts w:hint="eastAsia"/>
          <w:color w:val="auto"/>
          <w:lang w:val="en-US" w:eastAsia="zh-CN"/>
        </w:rPr>
        <w:t>结果</w:t>
      </w:r>
      <w:r>
        <w:rPr>
          <w:rFonts w:hint="eastAsia"/>
          <w:color w:val="auto"/>
        </w:rPr>
        <w:t>进行流量系数调整，调整后需再次进行校准，并记录好流量系数调整情况。</w:t>
      </w:r>
    </w:p>
    <w:p>
      <w:pPr>
        <w:pStyle w:val="51"/>
        <w:spacing w:before="0" w:beforeLines="0" w:after="0" w:afterLines="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170" w:name="_Toc12986"/>
      <w:bookmarkStart w:id="171" w:name="_Toc1954"/>
      <w:r>
        <w:rPr>
          <w:rFonts w:hint="eastAsia"/>
        </w:rPr>
        <w:t>重复性</w:t>
      </w:r>
      <w:bookmarkEnd w:id="170"/>
      <w:bookmarkEnd w:id="171"/>
    </w:p>
    <w:p>
      <w:pPr>
        <w:pStyle w:val="51"/>
        <w:numPr>
          <w:ilvl w:val="0"/>
          <w:numId w:val="0"/>
        </w:numPr>
        <w:spacing w:before="120" w:after="120"/>
        <w:ind w:firstLine="480" w:firstLineChars="200"/>
      </w:pPr>
      <w:bookmarkStart w:id="172" w:name="_Toc27188"/>
      <w:bookmarkStart w:id="173" w:name="_Toc25640"/>
      <w:bookmarkStart w:id="174" w:name="_Toc2129"/>
      <w:bookmarkStart w:id="175" w:name="_Toc15759"/>
      <w:r>
        <w:rPr>
          <w:rFonts w:hint="eastAsia"/>
          <w:lang w:val="en-US" w:eastAsia="zh-CN"/>
        </w:rPr>
        <w:t>被校</w:t>
      </w:r>
      <w:r>
        <w:rPr>
          <w:rFonts w:hint="eastAsia"/>
        </w:rPr>
        <w:t>流量计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重复性校准与</w:t>
      </w:r>
      <w:r>
        <w:rPr>
          <w:rFonts w:hint="eastAsia"/>
          <w:lang w:val="en-US" w:eastAsia="zh-CN"/>
        </w:rPr>
        <w:t>累积或瞬时流量</w:t>
      </w:r>
      <w:r>
        <w:rPr>
          <w:rFonts w:hint="eastAsia"/>
        </w:rPr>
        <w:t>示值误差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校准同时进行。</w:t>
      </w:r>
      <w:bookmarkEnd w:id="172"/>
      <w:r>
        <w:rPr>
          <w:rFonts w:hint="eastAsia"/>
        </w:rPr>
        <w:t>利用极差法按</w:t>
      </w:r>
      <w:r>
        <w:rPr>
          <w:rFonts w:hint="eastAsia"/>
          <w:lang w:val="en-US" w:eastAsia="zh-CN"/>
        </w:rPr>
        <w:t>公</w:t>
      </w:r>
      <w:r>
        <w:rPr>
          <w:rFonts w:hint="eastAsia"/>
        </w:rPr>
        <w:t>式</w:t>
      </w:r>
      <w:r>
        <w:t>（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t>）</w:t>
      </w:r>
      <w:r>
        <w:rPr>
          <w:rFonts w:hint="eastAsia"/>
        </w:rPr>
        <w:t>计算被校流量计第</w:t>
      </w:r>
      <w:r>
        <w:rPr>
          <w:rFonts w:hint="default" w:ascii="Times New Roman" w:hAnsi="Times New Roman" w:cs="Times New Roman"/>
        </w:rPr>
        <w:t>i</w:t>
      </w:r>
      <w:r>
        <w:rPr>
          <w:rFonts w:hint="eastAsia"/>
        </w:rPr>
        <w:t>流量点的累积</w:t>
      </w:r>
      <w:r>
        <w:rPr>
          <w:rFonts w:hint="eastAsia"/>
          <w:lang w:val="en-US" w:eastAsia="zh-CN"/>
        </w:rPr>
        <w:t>或瞬时</w:t>
      </w:r>
      <w:r>
        <w:rPr>
          <w:rFonts w:hint="eastAsia"/>
        </w:rPr>
        <w:t>流量重复性。</w:t>
      </w:r>
      <w:bookmarkEnd w:id="173"/>
      <w:bookmarkEnd w:id="174"/>
      <w:bookmarkEnd w:id="175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 w:hAnsi="Times New Roman"/>
        </w:rPr>
      </w:pPr>
      <w:bookmarkStart w:id="176" w:name="_Toc31980"/>
      <w:bookmarkStart w:id="177" w:name="_Toc13756"/>
      <w:bookmarkStart w:id="178" w:name="_Toc328"/>
      <w:r>
        <w:rPr>
          <w:rFonts w:ascii="Times New Roman"/>
          <w:position w:val="-32"/>
        </w:rPr>
        <w:object>
          <v:shape id="_x0000_i1039" o:spt="75" type="#_x0000_t75" style="height:45.8pt;width:168.4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56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            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 xml:space="preserve">  (</w:t>
      </w:r>
      <w:bookmarkStart w:id="303" w:name="_GoBack"/>
      <w:r>
        <w:rPr>
          <w:rFonts w:hint="eastAsia" w:ascii="Times New Roman" w:hAnsi="Times New Roman"/>
          <w:lang w:val="en-US" w:eastAsia="zh-CN"/>
        </w:rPr>
        <w:t>5</w:t>
      </w:r>
      <w:bookmarkEnd w:id="303"/>
      <w:r>
        <w:rPr>
          <w:rFonts w:hint="eastAsia" w:ascii="Times New Roman" w:hAnsi="Times New Roman"/>
        </w:rPr>
        <w:t>)</w:t>
      </w:r>
      <w:bookmarkEnd w:id="176"/>
      <w:bookmarkEnd w:id="177"/>
      <w:bookmarkEnd w:id="178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  <w:color w:val="auto"/>
        </w:rPr>
      </w:pPr>
      <w:bookmarkStart w:id="179" w:name="_Toc14362"/>
      <w:bookmarkStart w:id="180" w:name="_Toc5677"/>
      <w:bookmarkStart w:id="181" w:name="_Toc20558"/>
      <w:r>
        <w:rPr>
          <w:rFonts w:hint="eastAsia" w:ascii="Times New Roman" w:hAnsi="Times New Roman"/>
        </w:rPr>
        <w:t>式中：</w:t>
      </w:r>
      <w:bookmarkEnd w:id="179"/>
      <w:bookmarkEnd w:id="180"/>
      <w:bookmarkEnd w:id="181"/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0" o:spt="75" type="#_x0000_t75" style="height:19pt;width:23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58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被校流量计第</w:t>
      </w:r>
      <w:r>
        <w:rPr>
          <w:rFonts w:hint="eastAsia"/>
          <w:color w:val="auto"/>
        </w:rPr>
        <w:t>i流量点</w:t>
      </w:r>
      <w:r>
        <w:rPr>
          <w:rFonts w:hint="eastAsia"/>
          <w:color w:val="auto"/>
          <w:lang w:val="en-US" w:eastAsia="zh-CN"/>
        </w:rPr>
        <w:t>的累积或瞬时流量重复性；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1" o:spt="75" type="#_x0000_t75" style="height:19pt;width:31.9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6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被校流量计第i流量点</w:t>
      </w:r>
      <w:r>
        <w:rPr>
          <w:rFonts w:hint="eastAsia"/>
          <w:color w:val="auto"/>
          <w:lang w:val="en-US" w:eastAsia="zh-CN"/>
        </w:rPr>
        <w:t>的累计或瞬时</w:t>
      </w:r>
      <w:r>
        <w:rPr>
          <w:rFonts w:hint="eastAsia"/>
          <w:color w:val="auto"/>
        </w:rPr>
        <w:t>流量示值</w:t>
      </w:r>
      <w:r>
        <w:rPr>
          <w:rFonts w:hint="eastAsia"/>
          <w:color w:val="auto"/>
          <w:lang w:val="en-US" w:eastAsia="zh-CN"/>
        </w:rPr>
        <w:t>最大值</w:t>
      </w:r>
      <w:r>
        <w:rPr>
          <w:rFonts w:hint="eastAsia" w:ascii="宋体" w:hAnsi="宋体" w:cs="宋体"/>
          <w:color w:val="auto"/>
        </w:rPr>
        <w:t>，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  <w:vertAlign w:val="baseline"/>
          <w:lang w:val="en-US" w:eastAsia="zh-CN"/>
        </w:rPr>
        <w:t>或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</w:t>
      </w:r>
      <w:r>
        <w:rPr>
          <w:rFonts w:hint="eastAsia" w:ascii="宋体" w:hAnsi="宋体" w:cs="宋体"/>
          <w:color w:val="auto"/>
        </w:rPr>
        <w:t>；</w:t>
      </w:r>
    </w:p>
    <w:p>
      <w:pPr>
        <w:pStyle w:val="43"/>
        <w:rPr>
          <w:rFonts w:hint="eastAsia"/>
          <w:color w:val="auto"/>
        </w:rPr>
      </w:pPr>
      <w:r>
        <w:rPr>
          <w:color w:val="auto"/>
          <w:position w:val="-14"/>
          <w:vertAlign w:val="subscript"/>
        </w:rPr>
        <w:object>
          <v:shape id="_x0000_i1042" o:spt="75" type="#_x0000_t75" style="height:19pt;width:31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6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</w:t>
      </w:r>
      <w:r>
        <w:rPr>
          <w:rFonts w:hint="eastAsia"/>
          <w:color w:val="auto"/>
        </w:rPr>
        <w:t>第i流量点</w:t>
      </w:r>
      <w:r>
        <w:rPr>
          <w:rFonts w:hint="eastAsia"/>
          <w:color w:val="auto"/>
          <w:lang w:val="en-US" w:eastAsia="zh-CN"/>
        </w:rPr>
        <w:t>的累积或瞬时</w:t>
      </w:r>
      <w:r>
        <w:rPr>
          <w:rFonts w:hint="eastAsia"/>
          <w:color w:val="auto"/>
        </w:rPr>
        <w:t>流量</w:t>
      </w:r>
      <w:r>
        <w:rPr>
          <w:rFonts w:hint="eastAsia"/>
          <w:color w:val="auto"/>
          <w:lang w:val="en-US" w:eastAsia="zh-CN"/>
        </w:rPr>
        <w:t>示值最小值</w:t>
      </w:r>
      <w:r>
        <w:rPr>
          <w:rFonts w:hint="eastAsia"/>
          <w:color w:val="auto"/>
        </w:rPr>
        <w:t>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  <w:vertAlign w:val="baseline"/>
          <w:lang w:val="en-US" w:eastAsia="zh-CN"/>
        </w:rPr>
        <w:t>或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/h；</w:t>
      </w:r>
    </w:p>
    <w:p>
      <w:pPr>
        <w:pStyle w:val="43"/>
        <w:rPr>
          <w:rFonts w:hint="eastAsia"/>
          <w:color w:val="auto"/>
        </w:rPr>
      </w:pPr>
      <w:r>
        <w:rPr>
          <w:color w:val="auto"/>
          <w:position w:val="-14"/>
          <w:vertAlign w:val="subscript"/>
        </w:rPr>
        <w:object>
          <v:shape id="_x0000_i1043" o:spt="75" type="#_x0000_t75" style="height:20pt;width:23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6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</w:t>
      </w:r>
      <w:r>
        <w:rPr>
          <w:rFonts w:hint="eastAsia"/>
          <w:color w:val="auto"/>
        </w:rPr>
        <w:t>第i流量点</w:t>
      </w:r>
      <w:r>
        <w:rPr>
          <w:rFonts w:hint="eastAsia"/>
          <w:color w:val="auto"/>
          <w:lang w:val="en-US" w:eastAsia="zh-CN"/>
        </w:rPr>
        <w:t>的累积或瞬时</w:t>
      </w:r>
      <w:r>
        <w:rPr>
          <w:rFonts w:hint="eastAsia"/>
          <w:color w:val="auto"/>
        </w:rPr>
        <w:t>流量</w:t>
      </w:r>
      <w:r>
        <w:rPr>
          <w:rFonts w:hint="eastAsia"/>
          <w:color w:val="auto"/>
          <w:lang w:val="en-US" w:eastAsia="zh-CN"/>
        </w:rPr>
        <w:t>示值平均值</w:t>
      </w:r>
      <w:r>
        <w:rPr>
          <w:rFonts w:hint="eastAsia"/>
          <w:color w:val="auto"/>
        </w:rPr>
        <w:t>，m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  <w:vertAlign w:val="baseline"/>
          <w:lang w:val="en-US" w:eastAsia="zh-CN"/>
        </w:rPr>
        <w:t>或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/h；</w:t>
      </w:r>
    </w:p>
    <w:p>
      <w:pPr>
        <w:pStyle w:val="43"/>
      </w:pPr>
      <w:r>
        <w:rPr>
          <w:color w:val="auto"/>
          <w:position w:val="-12"/>
          <w:vertAlign w:val="subscript"/>
        </w:rPr>
        <w:object>
          <v:shape id="_x0000_i1044" o:spt="75" type="#_x0000_t75" style="height:18pt;width:15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6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极差系数，n=3时C</w:t>
      </w:r>
      <w:r>
        <w:rPr>
          <w:rFonts w:hint="eastAsia"/>
          <w:color w:val="auto"/>
          <w:vertAlign w:val="subscript"/>
          <w:lang w:val="en-US" w:eastAsia="zh-CN"/>
        </w:rPr>
        <w:t>n</w:t>
      </w:r>
      <w:r>
        <w:rPr>
          <w:rFonts w:hint="eastAsia"/>
          <w:color w:val="auto"/>
          <w:vertAlign w:val="baseline"/>
          <w:lang w:val="en-US" w:eastAsia="zh-CN"/>
        </w:rPr>
        <w:t>=1.69</w:t>
      </w:r>
      <w:r>
        <w:rPr>
          <w:rFonts w:hint="eastAsia"/>
          <w:color w:val="auto"/>
        </w:rPr>
        <w:t>。</w:t>
      </w:r>
    </w:p>
    <w:p>
      <w:pPr>
        <w:pStyle w:val="51"/>
        <w:spacing w:before="120" w:after="120"/>
        <w:outlineLvl w:val="1"/>
        <w:rPr>
          <w:rFonts w:hint="eastAsia"/>
        </w:rPr>
      </w:pPr>
      <w:r>
        <w:rPr>
          <w:rFonts w:hint="eastAsia"/>
        </w:rPr>
        <w:t xml:space="preserve"> </w:t>
      </w:r>
      <w:bookmarkStart w:id="182" w:name="_Toc5272"/>
      <w:bookmarkStart w:id="183" w:name="_Toc10357"/>
      <w:bookmarkStart w:id="184" w:name="_Toc31131"/>
      <w:r>
        <w:rPr>
          <w:rFonts w:hint="eastAsia"/>
        </w:rPr>
        <w:t>变送输出</w:t>
      </w:r>
      <w:bookmarkEnd w:id="182"/>
      <w:bookmarkEnd w:id="183"/>
      <w:r>
        <w:rPr>
          <w:rFonts w:hint="eastAsia"/>
        </w:rPr>
        <w:t>误差</w:t>
      </w:r>
      <w:bookmarkEnd w:id="184"/>
    </w:p>
    <w:p>
      <w:pPr>
        <w:pStyle w:val="51"/>
        <w:numPr>
          <w:ilvl w:val="1"/>
          <w:numId w:val="0"/>
        </w:numPr>
        <w:spacing w:before="120" w:after="120"/>
        <w:ind w:firstLine="480" w:firstLineChars="200"/>
        <w:outlineLvl w:val="9"/>
        <w:rPr>
          <w:rFonts w:ascii="Times New Roman" w:hAnsi="Times New Roman"/>
        </w:rPr>
      </w:pPr>
      <w:bookmarkStart w:id="185" w:name="_Toc30984"/>
      <w:bookmarkStart w:id="186" w:name="_Toc24395"/>
      <w:bookmarkStart w:id="187" w:name="_Toc7733"/>
      <w:r>
        <w:rPr>
          <w:rFonts w:hint="eastAsia" w:ascii="Times New Roman" w:hAnsi="Times New Roman"/>
        </w:rPr>
        <w:t>按流量计说明书接线，查看确认流量计变送输出流量范围、变送输出信号范围等参数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并做好记录</w:t>
      </w:r>
      <w:r>
        <w:rPr>
          <w:rFonts w:hint="eastAsia" w:ascii="Times New Roman" w:hAnsi="Times New Roman"/>
        </w:rPr>
        <w:t>。</w:t>
      </w:r>
      <w:r>
        <w:rPr>
          <w:rFonts w:hint="eastAsia" w:ascii="Times New Roman" w:hAnsi="Times New Roman"/>
          <w:lang w:val="en-US" w:eastAsia="zh-CN"/>
        </w:rPr>
        <w:t>被校流量计</w:t>
      </w:r>
      <w:r>
        <w:rPr>
          <w:rFonts w:hint="eastAsia" w:ascii="Times New Roman" w:hAnsi="Times New Roman"/>
        </w:rPr>
        <w:t>瞬时流量示值误差校准过程中，</w:t>
      </w:r>
      <w:r>
        <w:rPr>
          <w:rFonts w:hint="eastAsia" w:ascii="Times New Roman" w:hAnsi="Times New Roman"/>
          <w:lang w:val="en-US" w:eastAsia="zh-CN"/>
        </w:rPr>
        <w:t>同时</w:t>
      </w:r>
      <w:r>
        <w:rPr>
          <w:rFonts w:hint="eastAsia" w:ascii="Times New Roman" w:hAnsi="Times New Roman"/>
        </w:rPr>
        <w:t>读取</w:t>
      </w:r>
      <w:r>
        <w:rPr>
          <w:rFonts w:hint="eastAsia" w:ascii="Times New Roman" w:hAnsi="Times New Roman"/>
          <w:lang w:val="en-US" w:eastAsia="zh-CN"/>
        </w:rPr>
        <w:t>瞬时</w:t>
      </w:r>
      <w:r>
        <w:rPr>
          <w:rFonts w:hint="eastAsia" w:ascii="Times New Roman" w:hAnsi="Times New Roman"/>
        </w:rPr>
        <w:t>流量示值</w:t>
      </w:r>
      <w:r>
        <w:rPr>
          <w:rFonts w:hint="eastAsia" w:ascii="Times New Roman" w:hAnsi="Times New Roman"/>
          <w:lang w:val="en-US" w:eastAsia="zh-CN"/>
        </w:rPr>
        <w:t>和</w:t>
      </w:r>
      <w:r>
        <w:rPr>
          <w:rFonts w:hint="eastAsia" w:ascii="Times New Roman" w:hAnsi="Times New Roman"/>
        </w:rPr>
        <w:t>数字多用表</w:t>
      </w:r>
      <w:r>
        <w:rPr>
          <w:rFonts w:hint="eastAsia" w:ascii="Times New Roman" w:hAnsi="Times New Roman"/>
          <w:lang w:val="en-US" w:eastAsia="zh-CN"/>
        </w:rPr>
        <w:t>上被校流量计</w:t>
      </w:r>
      <w:r>
        <w:rPr>
          <w:rFonts w:hint="eastAsia" w:ascii="Times New Roman" w:hAnsi="Times New Roman"/>
        </w:rPr>
        <w:t>变送输出的电流或电压值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并记录</w:t>
      </w:r>
      <w:r>
        <w:rPr>
          <w:rFonts w:hint="eastAsia" w:ascii="Times New Roman" w:hAnsi="Times New Roman"/>
        </w:rPr>
        <w:t>。</w:t>
      </w:r>
      <w:bookmarkEnd w:id="185"/>
      <w:bookmarkStart w:id="188" w:name="_Toc31630"/>
      <w:r>
        <w:rPr>
          <w:rFonts w:hint="eastAsia" w:ascii="Times New Roman" w:hAnsi="Times New Roman"/>
          <w:color w:val="auto"/>
          <w:lang w:val="en-US" w:eastAsia="zh-CN"/>
        </w:rPr>
        <w:t>每</w:t>
      </w:r>
      <w:r>
        <w:rPr>
          <w:rFonts w:hint="eastAsia" w:ascii="Times New Roman" w:hAnsi="Times New Roman"/>
          <w:color w:val="auto"/>
        </w:rPr>
        <w:t>个</w:t>
      </w:r>
      <w:r>
        <w:rPr>
          <w:rFonts w:hint="eastAsia" w:ascii="Times New Roman" w:hAnsi="Times New Roman"/>
          <w:color w:val="auto"/>
          <w:lang w:val="en-US" w:eastAsia="zh-CN"/>
        </w:rPr>
        <w:t>流量</w:t>
      </w:r>
      <w:r>
        <w:rPr>
          <w:rFonts w:hint="eastAsia" w:ascii="Times New Roman" w:hAnsi="Times New Roman"/>
          <w:color w:val="auto"/>
        </w:rPr>
        <w:t>校准点</w:t>
      </w:r>
      <w:r>
        <w:rPr>
          <w:rFonts w:hint="eastAsia"/>
          <w:color w:val="auto"/>
          <w:lang w:val="en-US" w:eastAsia="zh-CN"/>
        </w:rPr>
        <w:t>同样</w:t>
      </w:r>
      <w:r>
        <w:rPr>
          <w:rFonts w:hint="eastAsia" w:ascii="Times New Roman" w:hAnsi="Times New Roman"/>
          <w:color w:val="auto"/>
          <w:lang w:val="en-US" w:eastAsia="zh-CN"/>
        </w:rPr>
        <w:t>校准</w:t>
      </w:r>
      <w:r>
        <w:rPr>
          <w:rFonts w:hint="eastAsia" w:ascii="Times New Roman" w:hAnsi="Times New Roman"/>
          <w:color w:val="auto"/>
        </w:rPr>
        <w:t>3</w:t>
      </w:r>
      <w:r>
        <w:rPr>
          <w:rFonts w:hint="eastAsia" w:ascii="Times New Roman" w:hAnsi="Times New Roman"/>
          <w:color w:val="auto"/>
          <w:lang w:val="en-US" w:eastAsia="zh-CN"/>
        </w:rPr>
        <w:t>次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单次校准</w:t>
      </w:r>
      <w:r>
        <w:rPr>
          <w:rFonts w:hint="eastAsia"/>
          <w:color w:val="auto"/>
          <w:lang w:val="en-US" w:eastAsia="zh-CN"/>
        </w:rPr>
        <w:t>的变送输出</w:t>
      </w:r>
      <w:r>
        <w:rPr>
          <w:rFonts w:hint="eastAsia"/>
          <w:color w:val="auto"/>
        </w:rPr>
        <w:t>误差按公式（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6</w:t>
      </w:r>
      <w:r>
        <w:rPr>
          <w:rFonts w:hint="eastAsia"/>
          <w:color w:val="auto"/>
        </w:rPr>
        <w:t>）计算</w:t>
      </w:r>
      <w:r>
        <w:rPr>
          <w:rFonts w:hint="eastAsia" w:ascii="Times New Roman" w:hAnsi="Times New Roman"/>
        </w:rPr>
        <w:t>。</w:t>
      </w:r>
      <w:bookmarkEnd w:id="186"/>
      <w:bookmarkEnd w:id="187"/>
      <w:bookmarkEnd w:id="188"/>
    </w:p>
    <w:p>
      <w:pPr>
        <w:pStyle w:val="51"/>
        <w:numPr>
          <w:ilvl w:val="1"/>
          <w:numId w:val="0"/>
        </w:numPr>
        <w:spacing w:before="120" w:after="120"/>
        <w:jc w:val="right"/>
        <w:outlineLvl w:val="9"/>
        <w:rPr>
          <w:rFonts w:ascii="Times New Roman"/>
          <w:position w:val="-30"/>
          <w:vertAlign w:val="subscript"/>
        </w:rPr>
      </w:pPr>
      <w:bookmarkStart w:id="189" w:name="_Toc29919"/>
      <w:bookmarkStart w:id="190" w:name="_Toc10394"/>
      <w:bookmarkStart w:id="191" w:name="_Toc24172"/>
      <w:r>
        <w:rPr>
          <w:rFonts w:ascii="Times New Roman"/>
          <w:position w:val="-30"/>
          <w:vertAlign w:val="subscript"/>
        </w:rPr>
        <w:object>
          <v:shape id="_x0000_i1045" o:spt="75" type="#_x0000_t75" style="height:46.45pt;width:173.9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68">
            <o:LockedField>false</o:LockedField>
          </o:OLEObject>
        </w:object>
      </w:r>
      <w:r>
        <w:rPr>
          <w:rFonts w:hint="eastAsia" w:ascii="Times New Roman" w:hAnsi="Times New Roman"/>
        </w:rPr>
        <w:t xml:space="preserve">       </w:t>
      </w:r>
      <w:r>
        <w:rPr>
          <w:rFonts w:hint="eastAsia" w:ascii="Times New Roman" w:hAnsi="Times New Roman"/>
          <w:lang w:val="en-US" w:eastAsia="zh-CN"/>
        </w:rPr>
        <w:t xml:space="preserve">      </w:t>
      </w:r>
      <w:r>
        <w:rPr>
          <w:rFonts w:hint="eastAsia" w:ascii="Times New Roman" w:hAnsi="Times New Roman"/>
        </w:rPr>
        <w:t xml:space="preserve">  （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）</w:t>
      </w:r>
    </w:p>
    <w:bookmarkEnd w:id="189"/>
    <w:bookmarkEnd w:id="190"/>
    <w:bookmarkEnd w:id="191"/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  <w:color w:val="auto"/>
        </w:rPr>
      </w:pPr>
      <w:bookmarkStart w:id="192" w:name="_Toc18612"/>
      <w:bookmarkStart w:id="193" w:name="_Toc10842"/>
      <w:bookmarkStart w:id="194" w:name="_Toc14672"/>
      <w:r>
        <w:rPr>
          <w:rFonts w:hint="eastAsia" w:ascii="Times New Roman" w:hAnsi="Times New Roman"/>
          <w:color w:val="auto"/>
        </w:rPr>
        <w:t>式中：</w:t>
      </w:r>
      <w:bookmarkEnd w:id="192"/>
      <w:bookmarkEnd w:id="193"/>
      <w:bookmarkEnd w:id="194"/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6" o:spt="75" type="#_x0000_t75" style="height:19pt;width:23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7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  <w:lang w:val="en-US" w:eastAsia="zh-CN"/>
        </w:rPr>
        <w:t>被校流量计第</w:t>
      </w:r>
      <w:r>
        <w:rPr>
          <w:rFonts w:hint="eastAsia"/>
          <w:color w:val="auto"/>
        </w:rPr>
        <w:t>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变送输出误差</w:t>
      </w:r>
      <w:r>
        <w:rPr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7" o:spt="75" type="#_x0000_t75" style="height:19pt;width:29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7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变送输出示值，mA或V</w:t>
      </w:r>
      <w:r>
        <w:rPr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4"/>
          <w:vertAlign w:val="subscript"/>
        </w:rPr>
        <w:object>
          <v:shape id="_x0000_i1048" o:spt="75" type="#_x0000_t75" style="height:19pt;width:27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7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被校流量计第i流量点第j</w:t>
      </w:r>
      <w:r>
        <w:rPr>
          <w:rFonts w:hint="eastAsia"/>
          <w:color w:val="auto"/>
          <w:lang w:val="en-US" w:eastAsia="zh-CN"/>
        </w:rPr>
        <w:t>次</w:t>
      </w:r>
      <w:r>
        <w:rPr>
          <w:rFonts w:hint="eastAsia"/>
          <w:color w:val="auto"/>
        </w:rPr>
        <w:t>校准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</w:rPr>
        <w:t>变送输出理论值，mA或V；</w:t>
      </w:r>
    </w:p>
    <w:p>
      <w:pPr>
        <w:pStyle w:val="43"/>
        <w:rPr>
          <w:color w:val="auto"/>
        </w:rPr>
      </w:pPr>
      <w:r>
        <w:rPr>
          <w:color w:val="auto"/>
          <w:position w:val="-12"/>
          <w:vertAlign w:val="subscript"/>
        </w:rPr>
        <w:object>
          <v:shape id="_x0000_i1049" o:spt="75" type="#_x0000_t75" style="height:18pt;width:17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76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/>
          <w:color w:val="auto"/>
        </w:rPr>
        <w:t>被校流量计变送输出</w:t>
      </w:r>
      <w:r>
        <w:rPr>
          <w:rFonts w:hint="eastAsia"/>
          <w:color w:val="auto"/>
          <w:lang w:val="en-US" w:eastAsia="zh-CN"/>
        </w:rPr>
        <w:t>信号</w:t>
      </w:r>
      <w:r>
        <w:rPr>
          <w:rFonts w:hint="eastAsia"/>
          <w:color w:val="auto"/>
        </w:rPr>
        <w:t>的量程，mA或V。</w:t>
      </w:r>
    </w:p>
    <w:p>
      <w:pPr>
        <w:pStyle w:val="51"/>
        <w:numPr>
          <w:ilvl w:val="1"/>
          <w:numId w:val="0"/>
        </w:numPr>
        <w:spacing w:before="0" w:beforeLines="0" w:after="0" w:afterLines="0"/>
        <w:ind w:firstLine="480" w:firstLineChars="200"/>
        <w:outlineLvl w:val="9"/>
        <w:rPr>
          <w:rFonts w:ascii="Times New Roman" w:hAnsi="Times New Roman"/>
        </w:rPr>
      </w:pPr>
      <w:r>
        <w:rPr>
          <w:rFonts w:hint="eastAsia"/>
        </w:rPr>
        <w:t xml:space="preserve"> </w:t>
      </w:r>
      <w:r>
        <w:rPr>
          <w:rFonts w:hint="eastAsia" w:ascii="Times New Roman" w:hAnsi="Times New Roman"/>
        </w:rPr>
        <w:t>取绝对值最大的</w:t>
      </w:r>
      <w:r>
        <w:rPr>
          <w:rFonts w:hint="eastAsia" w:ascii="Times New Roman" w:hAnsi="Times New Roman"/>
          <w:lang w:val="en-US" w:eastAsia="zh-CN"/>
        </w:rPr>
        <w:t>A</w:t>
      </w:r>
      <w:r>
        <w:rPr>
          <w:rFonts w:hint="eastAsia" w:ascii="Times New Roman" w:hAnsi="Times New Roman"/>
          <w:vertAlign w:val="subscript"/>
          <w:lang w:val="en-US" w:eastAsia="zh-CN"/>
        </w:rPr>
        <w:t>(ij)</w:t>
      </w:r>
      <w:r>
        <w:rPr>
          <w:rFonts w:hint="eastAsia" w:ascii="Times New Roman" w:hAnsi="Times New Roman"/>
        </w:rPr>
        <w:t>作为</w:t>
      </w:r>
      <w:r>
        <w:rPr>
          <w:rFonts w:hint="eastAsia"/>
        </w:rPr>
        <w:t>被校流量计</w:t>
      </w:r>
      <w:r>
        <w:rPr>
          <w:rFonts w:hint="eastAsia"/>
          <w:color w:val="auto"/>
        </w:rPr>
        <w:t>第</w:t>
      </w:r>
      <w:r>
        <w:rPr>
          <w:rFonts w:hint="default" w:ascii="Times New Roman" w:hAnsi="Times New Roman" w:cs="Times New Roman"/>
          <w:color w:val="auto"/>
        </w:rPr>
        <w:t>i</w:t>
      </w:r>
      <w:r>
        <w:rPr>
          <w:rFonts w:hint="eastAsia"/>
          <w:color w:val="auto"/>
        </w:rPr>
        <w:t>流量</w:t>
      </w:r>
      <w:r>
        <w:rPr>
          <w:rFonts w:hint="eastAsia"/>
          <w:color w:val="auto"/>
          <w:lang w:val="en-US" w:eastAsia="zh-CN"/>
        </w:rPr>
        <w:t>校准</w:t>
      </w:r>
      <w:r>
        <w:rPr>
          <w:rFonts w:hint="eastAsia"/>
          <w:color w:val="auto"/>
        </w:rPr>
        <w:t>点</w:t>
      </w:r>
      <w:r>
        <w:rPr>
          <w:rFonts w:hint="eastAsia"/>
        </w:rPr>
        <w:t>的变送输出误差。</w:t>
      </w:r>
    </w:p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p>
      <w:pPr>
        <w:pStyle w:val="42"/>
        <w:spacing w:before="0" w:beforeLines="0" w:after="0" w:afterLines="0" w:line="360" w:lineRule="auto"/>
        <w:outlineLvl w:val="0"/>
        <w:rPr>
          <w:rFonts w:hint="eastAsia"/>
        </w:rPr>
      </w:pPr>
      <w:bookmarkStart w:id="195" w:name="_Toc193618956"/>
      <w:bookmarkStart w:id="196" w:name="_Toc193860188"/>
      <w:bookmarkStart w:id="197" w:name="_Toc193860219"/>
      <w:bookmarkStart w:id="198" w:name="_Toc193619059"/>
      <w:bookmarkStart w:id="199" w:name="_Toc193860038"/>
      <w:bookmarkStart w:id="200" w:name="_Toc193619101"/>
      <w:bookmarkStart w:id="201" w:name="_Toc4816"/>
      <w:bookmarkStart w:id="202" w:name="_Toc31728"/>
      <w:bookmarkStart w:id="203" w:name="_Toc24685_WPSOffice_Level1"/>
      <w:bookmarkStart w:id="204" w:name="_Toc23784681"/>
      <w:bookmarkStart w:id="205" w:name="_Toc23785579"/>
      <w:bookmarkStart w:id="206" w:name="_Toc23784582"/>
      <w:r>
        <w:rPr>
          <w:rFonts w:hint="eastAsia"/>
        </w:rPr>
        <w:t xml:space="preserve"> </w:t>
      </w:r>
      <w:bookmarkStart w:id="207" w:name="_Toc21474"/>
      <w:bookmarkStart w:id="208" w:name="_Toc21497"/>
      <w:bookmarkStart w:id="209" w:name="_Toc25707"/>
      <w:bookmarkStart w:id="210" w:name="_Toc17657"/>
      <w:r>
        <w:rPr>
          <w:rFonts w:hint="eastAsia"/>
        </w:rPr>
        <w:t xml:space="preserve"> </w:t>
      </w:r>
      <w:bookmarkStart w:id="211" w:name="_Toc26701"/>
      <w:r>
        <w:t>校准结果</w:t>
      </w:r>
      <w:bookmarkEnd w:id="195"/>
      <w:bookmarkEnd w:id="196"/>
      <w:bookmarkEnd w:id="197"/>
      <w:bookmarkEnd w:id="198"/>
      <w:bookmarkEnd w:id="199"/>
      <w:bookmarkEnd w:id="200"/>
      <w:r>
        <w:t>表达</w:t>
      </w:r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>
      <w:pPr>
        <w:pStyle w:val="43"/>
        <w:rPr>
          <w:color w:val="auto"/>
        </w:rPr>
      </w:pPr>
      <w:r>
        <w:rPr>
          <w:color w:val="auto"/>
        </w:rPr>
        <w:t>经</w:t>
      </w:r>
      <w:r>
        <w:rPr>
          <w:rFonts w:hint="eastAsia" w:ascii="宋体" w:hAnsi="宋体"/>
          <w:color w:val="auto"/>
        </w:rPr>
        <w:t>校准</w:t>
      </w:r>
      <w:r>
        <w:rPr>
          <w:color w:val="auto"/>
        </w:rPr>
        <w:t>的</w:t>
      </w:r>
      <w:r>
        <w:rPr>
          <w:rFonts w:hint="eastAsia"/>
          <w:color w:val="auto"/>
        </w:rPr>
        <w:t>流量计</w:t>
      </w:r>
      <w:r>
        <w:rPr>
          <w:color w:val="auto"/>
        </w:rPr>
        <w:t>出具校准证书，</w:t>
      </w:r>
      <w:r>
        <w:rPr>
          <w:rFonts w:hint="eastAsia"/>
          <w:color w:val="auto"/>
        </w:rPr>
        <w:t>校准结果应在校准证书上反映，校准证书至少应包括以下信息：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a）</w:t>
      </w:r>
      <w:r>
        <w:rPr>
          <w:color w:val="auto"/>
        </w:rPr>
        <w:t>标题</w:t>
      </w:r>
      <w:r>
        <w:rPr>
          <w:rFonts w:hint="eastAsia"/>
          <w:color w:val="auto"/>
        </w:rPr>
        <w:t>：“</w:t>
      </w:r>
      <w:r>
        <w:rPr>
          <w:color w:val="auto"/>
        </w:rPr>
        <w:t>校准证书</w:t>
      </w:r>
      <w:r>
        <w:rPr>
          <w:rFonts w:hint="eastAsia"/>
          <w:color w:val="auto"/>
        </w:rPr>
        <w:t>”；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b）</w:t>
      </w:r>
      <w:r>
        <w:rPr>
          <w:color w:val="auto"/>
        </w:rPr>
        <w:t>实验室的名称和地址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c）实施校准活动的地点，包括客户设施、实验室固定设施以外的地点；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d）</w:t>
      </w:r>
      <w:r>
        <w:rPr>
          <w:color w:val="auto"/>
        </w:rPr>
        <w:t>证书的唯一性标识（如编号），每页及总页数的标识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e）客户的</w:t>
      </w:r>
      <w:r>
        <w:rPr>
          <w:color w:val="auto"/>
        </w:rPr>
        <w:t>名称和</w:t>
      </w:r>
      <w:r>
        <w:rPr>
          <w:rFonts w:hint="eastAsia"/>
          <w:color w:val="auto"/>
        </w:rPr>
        <w:t>联络信息；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f）</w:t>
      </w:r>
      <w:r>
        <w:rPr>
          <w:color w:val="auto"/>
        </w:rPr>
        <w:t>被校对象的描述和明确标识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g）</w:t>
      </w:r>
      <w:r>
        <w:rPr>
          <w:color w:val="auto"/>
        </w:rPr>
        <w:t>进行校准</w:t>
      </w:r>
      <w:r>
        <w:rPr>
          <w:rFonts w:hint="eastAsia"/>
          <w:color w:val="auto"/>
        </w:rPr>
        <w:t>活动</w:t>
      </w:r>
      <w:r>
        <w:rPr>
          <w:color w:val="auto"/>
        </w:rPr>
        <w:t>的日期，如果与校准结果的有效性和应用有关时，应说明被校对象的接</w:t>
      </w:r>
      <w:r>
        <w:rPr>
          <w:rFonts w:hint="eastAsia"/>
          <w:color w:val="auto"/>
        </w:rPr>
        <w:t>收</w:t>
      </w:r>
      <w:r>
        <w:rPr>
          <w:color w:val="auto"/>
        </w:rPr>
        <w:t>日期</w:t>
      </w:r>
      <w:r>
        <w:rPr>
          <w:rFonts w:hint="eastAsia"/>
          <w:color w:val="auto"/>
        </w:rPr>
        <w:t>和证书发布日期；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h）</w:t>
      </w:r>
      <w:r>
        <w:rPr>
          <w:color w:val="auto"/>
        </w:rPr>
        <w:t>校准所依据的技术规范的标识，包括名称及代号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i）</w:t>
      </w:r>
      <w:r>
        <w:rPr>
          <w:color w:val="auto"/>
        </w:rPr>
        <w:t>本次校准所用的测量标准和溯源性及有效性说明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j）</w:t>
      </w:r>
      <w:r>
        <w:rPr>
          <w:color w:val="auto"/>
        </w:rPr>
        <w:t>校准环境的描述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k）</w:t>
      </w:r>
      <w:r>
        <w:rPr>
          <w:color w:val="auto"/>
        </w:rPr>
        <w:t>校准结果及其测量不确定度的说明（给出整个测量范围校准结果测量不确定度的最大值）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l）对校准规范偏离的说明；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m）</w:t>
      </w:r>
      <w:r>
        <w:rPr>
          <w:color w:val="auto"/>
        </w:rPr>
        <w:t>校准证书签发人的签名、职务或等效标识，以及签发日期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n）</w:t>
      </w:r>
      <w:r>
        <w:rPr>
          <w:color w:val="auto"/>
        </w:rPr>
        <w:t>校准人</w:t>
      </w:r>
      <w:r>
        <w:rPr>
          <w:rFonts w:hint="eastAsia"/>
          <w:color w:val="auto"/>
        </w:rPr>
        <w:t>和核验人签名；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o）</w:t>
      </w:r>
      <w:r>
        <w:rPr>
          <w:color w:val="auto"/>
        </w:rPr>
        <w:t>校准</w:t>
      </w:r>
      <w:r>
        <w:rPr>
          <w:rFonts w:hint="eastAsia"/>
          <w:color w:val="auto"/>
        </w:rPr>
        <w:t>结果</w:t>
      </w:r>
      <w:r>
        <w:rPr>
          <w:color w:val="auto"/>
        </w:rPr>
        <w:t>仅对被校对象有效</w:t>
      </w:r>
      <w:r>
        <w:rPr>
          <w:rFonts w:hint="eastAsia"/>
          <w:color w:val="auto"/>
        </w:rPr>
        <w:t>的</w:t>
      </w:r>
      <w:r>
        <w:rPr>
          <w:color w:val="auto"/>
        </w:rPr>
        <w:t>声明</w:t>
      </w:r>
      <w:r>
        <w:rPr>
          <w:rFonts w:hint="eastAsia"/>
          <w:color w:val="auto"/>
        </w:rPr>
        <w:t>；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p）</w:t>
      </w:r>
      <w:r>
        <w:rPr>
          <w:color w:val="auto"/>
        </w:rPr>
        <w:t>未经</w:t>
      </w:r>
      <w:r>
        <w:rPr>
          <w:rFonts w:hint="eastAsia"/>
          <w:color w:val="auto"/>
        </w:rPr>
        <w:t>校准</w:t>
      </w:r>
      <w:r>
        <w:rPr>
          <w:color w:val="auto"/>
        </w:rPr>
        <w:t>实验室书面批准，不得部分复制</w:t>
      </w:r>
      <w:r>
        <w:rPr>
          <w:rFonts w:hint="eastAsia"/>
          <w:color w:val="auto"/>
        </w:rPr>
        <w:t>校准</w:t>
      </w:r>
      <w:r>
        <w:rPr>
          <w:color w:val="auto"/>
        </w:rPr>
        <w:t>证书</w:t>
      </w:r>
      <w:r>
        <w:rPr>
          <w:rFonts w:hint="eastAsia"/>
          <w:color w:val="auto"/>
        </w:rPr>
        <w:t>的声明。</w:t>
      </w:r>
    </w:p>
    <w:p>
      <w:pPr>
        <w:pStyle w:val="43"/>
        <w:rPr>
          <w:szCs w:val="22"/>
        </w:rPr>
      </w:pPr>
      <w:r>
        <w:rPr>
          <w:rFonts w:hint="eastAsia"/>
          <w:color w:val="auto"/>
        </w:rPr>
        <w:t>校准原始记录参考格式见附录A，校准证书内页参考格式见附录B。</w:t>
      </w:r>
    </w:p>
    <w:p>
      <w:pPr>
        <w:pStyle w:val="42"/>
        <w:spacing w:before="0" w:beforeLines="0" w:after="0" w:afterLines="0" w:line="360" w:lineRule="auto"/>
        <w:outlineLvl w:val="0"/>
        <w:rPr>
          <w:rFonts w:hint="eastAsia"/>
        </w:rPr>
      </w:pPr>
      <w:bookmarkStart w:id="212" w:name="_Toc193860040"/>
      <w:bookmarkStart w:id="213" w:name="_Toc193860220"/>
      <w:bookmarkStart w:id="214" w:name="_Toc5529"/>
      <w:bookmarkStart w:id="215" w:name="_Toc23784583"/>
      <w:bookmarkStart w:id="216" w:name="_Toc23784682"/>
      <w:bookmarkStart w:id="217" w:name="_Toc6291_WPSOffice_Level1"/>
      <w:bookmarkStart w:id="218" w:name="_Toc11814"/>
      <w:bookmarkStart w:id="219" w:name="_Toc193860189"/>
      <w:bookmarkStart w:id="220" w:name="_Toc23785580"/>
      <w:r>
        <w:rPr>
          <w:rFonts w:hint="eastAsia"/>
        </w:rPr>
        <w:t xml:space="preserve"> </w:t>
      </w:r>
      <w:bookmarkStart w:id="221" w:name="_Toc27825"/>
      <w:bookmarkStart w:id="222" w:name="_Toc22985"/>
      <w:bookmarkStart w:id="223" w:name="_Toc7419"/>
      <w:bookmarkStart w:id="224" w:name="_Toc5099"/>
      <w:bookmarkStart w:id="225" w:name="_Toc20137"/>
      <w:r>
        <w:t>复校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r>
        <w:rPr>
          <w:rFonts w:hint="eastAsia"/>
        </w:rPr>
        <w:t>时间间隔</w:t>
      </w:r>
      <w:bookmarkEnd w:id="221"/>
      <w:bookmarkEnd w:id="222"/>
      <w:bookmarkEnd w:id="223"/>
      <w:bookmarkEnd w:id="224"/>
      <w:bookmarkEnd w:id="225"/>
    </w:p>
    <w:p>
      <w:pPr>
        <w:pStyle w:val="43"/>
      </w:pPr>
      <w:bookmarkStart w:id="226" w:name="_Toc193860041"/>
      <w:r>
        <w:rPr>
          <w:color w:val="auto"/>
        </w:rPr>
        <w:t>建议复校</w:t>
      </w:r>
      <w:r>
        <w:rPr>
          <w:rFonts w:hint="eastAsia"/>
          <w:color w:val="auto"/>
        </w:rPr>
        <w:t>时间间隔</w:t>
      </w:r>
      <w:r>
        <w:rPr>
          <w:color w:val="auto"/>
        </w:rPr>
        <w:t>为</w:t>
      </w: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年</w:t>
      </w:r>
      <w:bookmarkEnd w:id="226"/>
      <w:r>
        <w:rPr>
          <w:rFonts w:hint="eastAsia" w:ascii="宋体" w:hAnsi="宋体" w:eastAsia="宋体" w:cs="宋体"/>
          <w:color w:val="auto"/>
          <w:lang w:val="en-US" w:eastAsia="zh-CN"/>
        </w:rPr>
        <w:t>,</w:t>
      </w:r>
      <w:r>
        <w:rPr>
          <w:rFonts w:hint="eastAsia"/>
          <w:color w:val="auto"/>
        </w:rPr>
        <w:t>流量计</w:t>
      </w:r>
      <w:r>
        <w:rPr>
          <w:rFonts w:hint="eastAsia"/>
          <w:color w:val="auto"/>
          <w:lang w:val="en-US" w:eastAsia="zh-CN"/>
        </w:rPr>
        <w:t>安装使用</w:t>
      </w:r>
      <w:r>
        <w:rPr>
          <w:rFonts w:hint="eastAsia"/>
          <w:color w:val="auto"/>
        </w:rPr>
        <w:t>现场</w:t>
      </w:r>
      <w:r>
        <w:rPr>
          <w:rFonts w:hint="eastAsia"/>
          <w:color w:val="auto"/>
          <w:lang w:val="en-US" w:eastAsia="zh-CN"/>
        </w:rPr>
        <w:t>条件恶劣的，复校时间间隔可缩短至1年。客户</w:t>
      </w:r>
      <w:r>
        <w:rPr>
          <w:rFonts w:hint="eastAsia"/>
          <w:color w:val="auto"/>
        </w:rPr>
        <w:t>可根据使用情况</w:t>
      </w:r>
      <w:r>
        <w:rPr>
          <w:rFonts w:hint="eastAsia"/>
          <w:color w:val="auto"/>
          <w:lang w:val="en-US" w:eastAsia="zh-CN"/>
        </w:rPr>
        <w:t>和重要性</w:t>
      </w:r>
      <w:r>
        <w:rPr>
          <w:rFonts w:hint="eastAsia"/>
          <w:color w:val="auto"/>
        </w:rPr>
        <w:t>自主决定复校时间间隔，</w:t>
      </w:r>
      <w:r>
        <w:rPr>
          <w:color w:val="auto"/>
        </w:rPr>
        <w:t>在使用过程中经过</w:t>
      </w:r>
      <w:r>
        <w:rPr>
          <w:rFonts w:hint="eastAsia"/>
          <w:color w:val="auto"/>
        </w:rPr>
        <w:t>流量系数调整、</w:t>
      </w:r>
      <w:r>
        <w:rPr>
          <w:color w:val="auto"/>
        </w:rPr>
        <w:t>修理、更换重要部件</w:t>
      </w:r>
      <w:r>
        <w:rPr>
          <w:rFonts w:hint="eastAsia"/>
          <w:color w:val="auto"/>
        </w:rPr>
        <w:t>的流量计</w:t>
      </w:r>
      <w:r>
        <w:rPr>
          <w:color w:val="auto"/>
        </w:rPr>
        <w:t>需要重新校准。</w:t>
      </w:r>
    </w:p>
    <w:p>
      <w:pPr>
        <w:spacing w:line="360" w:lineRule="auto"/>
        <w:jc w:val="left"/>
        <w:rPr>
          <w:b/>
          <w:bCs/>
        </w:rPr>
        <w:sectPr>
          <w:headerReference r:id="rId18" w:type="default"/>
          <w:footerReference r:id="rId19" w:type="default"/>
          <w:pgSz w:w="11906" w:h="16838"/>
          <w:pgMar w:top="1418" w:right="1418" w:bottom="1418" w:left="1418" w:header="851" w:footer="992" w:gutter="0"/>
          <w:pgNumType w:start="1"/>
          <w:cols w:space="720" w:num="1"/>
          <w:docGrid w:linePitch="312" w:charSpace="0"/>
        </w:sectPr>
      </w:pPr>
      <w:bookmarkStart w:id="227" w:name="_Toc10433"/>
      <w:bookmarkStart w:id="228" w:name="_Toc13665"/>
      <w:bookmarkStart w:id="229" w:name="_Toc26000_WPSOffice_Level1"/>
      <w:bookmarkStart w:id="230" w:name="_Toc23785581"/>
      <w:bookmarkStart w:id="231" w:name="_Toc23784683"/>
      <w:bookmarkStart w:id="232" w:name="_Toc23784584"/>
    </w:p>
    <w:p>
      <w:pPr>
        <w:spacing w:before="240" w:after="60" w:line="160" w:lineRule="exact"/>
        <w:jc w:val="left"/>
        <w:outlineLvl w:val="1"/>
        <w:rPr>
          <w:rFonts w:hint="eastAsia" w:ascii="黑体" w:hAnsi="黑体" w:eastAsia="黑体"/>
          <w:sz w:val="28"/>
          <w:szCs w:val="28"/>
        </w:rPr>
      </w:pPr>
      <w:bookmarkStart w:id="233" w:name="_Toc20204"/>
      <w:bookmarkStart w:id="234" w:name="_Toc29841"/>
      <w:bookmarkStart w:id="235" w:name="_Toc9729"/>
      <w:bookmarkStart w:id="236" w:name="_Toc1489"/>
      <w:bookmarkStart w:id="237" w:name="_Toc24403"/>
      <w:bookmarkStart w:id="238" w:name="_Toc21008"/>
      <w:r>
        <w:rPr>
          <w:rFonts w:ascii="黑体" w:hAnsi="黑体" w:eastAsia="黑体"/>
          <w:sz w:val="28"/>
          <w:szCs w:val="28"/>
        </w:rPr>
        <w:t>附录A</w:t>
      </w:r>
      <w:bookmarkEnd w:id="227"/>
      <w:bookmarkEnd w:id="228"/>
      <w:bookmarkEnd w:id="233"/>
      <w:bookmarkEnd w:id="234"/>
      <w:bookmarkEnd w:id="235"/>
      <w:bookmarkEnd w:id="236"/>
      <w:bookmarkEnd w:id="237"/>
      <w:bookmarkEnd w:id="238"/>
      <w:bookmarkStart w:id="239" w:name="_Toc19962"/>
      <w:bookmarkStart w:id="240" w:name="_Toc21898"/>
      <w:bookmarkStart w:id="241" w:name="_Toc2183"/>
      <w:bookmarkStart w:id="242" w:name="_Toc1046"/>
    </w:p>
    <w:p>
      <w:pPr>
        <w:pStyle w:val="3"/>
        <w:jc w:val="center"/>
        <w:rPr>
          <w:bCs w:val="0"/>
        </w:rPr>
      </w:pPr>
      <w:bookmarkStart w:id="243" w:name="_Toc4774"/>
      <w:bookmarkStart w:id="244" w:name="_Toc5133"/>
      <w:r>
        <w:rPr>
          <w:rFonts w:hint="eastAsia"/>
          <w:bCs w:val="0"/>
        </w:rPr>
        <w:t>液体流量计在线校准</w:t>
      </w:r>
      <w:r>
        <w:rPr>
          <w:bCs w:val="0"/>
        </w:rPr>
        <w:t>原始记录参考格式</w:t>
      </w:r>
      <w:bookmarkEnd w:id="229"/>
      <w:bookmarkEnd w:id="230"/>
      <w:bookmarkEnd w:id="231"/>
      <w:bookmarkEnd w:id="232"/>
      <w:bookmarkEnd w:id="239"/>
      <w:bookmarkEnd w:id="240"/>
      <w:bookmarkEnd w:id="241"/>
      <w:bookmarkEnd w:id="242"/>
      <w:bookmarkEnd w:id="243"/>
      <w:bookmarkEnd w:id="244"/>
    </w:p>
    <w:tbl>
      <w:tblPr>
        <w:tblStyle w:val="2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228"/>
        <w:gridCol w:w="1595"/>
        <w:gridCol w:w="911"/>
        <w:gridCol w:w="683"/>
        <w:gridCol w:w="683"/>
        <w:gridCol w:w="911"/>
        <w:gridCol w:w="456"/>
        <w:gridCol w:w="1139"/>
        <w:gridCol w:w="22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rFonts w:ascii="宋体" w:hAnsi="宋体" w:cs="宋体"/>
                <w:color w:val="auto"/>
                <w:szCs w:val="21"/>
              </w:rPr>
            </w:pPr>
            <w:r>
              <w:rPr>
                <w:rStyle w:val="101"/>
                <w:rFonts w:hint="eastAsia" w:ascii="宋体" w:hAnsi="宋体" w:cs="宋体"/>
                <w:color w:val="auto"/>
                <w:szCs w:val="21"/>
              </w:rPr>
              <w:t>记录编号:</w:t>
            </w:r>
          </w:p>
        </w:tc>
        <w:tc>
          <w:tcPr>
            <w:tcW w:w="214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rFonts w:ascii="宋体" w:hAnsi="宋体" w:cs="宋体"/>
                <w:color w:val="auto"/>
                <w:szCs w:val="21"/>
              </w:rPr>
            </w:pPr>
            <w:r>
              <w:rPr>
                <w:rStyle w:val="101"/>
                <w:rFonts w:hint="eastAsia" w:ascii="宋体" w:hAnsi="宋体" w:cs="宋体"/>
                <w:color w:val="auto"/>
                <w:szCs w:val="21"/>
              </w:rPr>
              <w:t>证书编号：</w:t>
            </w:r>
          </w:p>
        </w:tc>
        <w:tc>
          <w:tcPr>
            <w:tcW w:w="142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送校单位</w:t>
            </w:r>
          </w:p>
        </w:tc>
        <w:tc>
          <w:tcPr>
            <w:tcW w:w="2142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制造厂</w:t>
            </w:r>
          </w:p>
        </w:tc>
        <w:tc>
          <w:tcPr>
            <w:tcW w:w="1429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仪器名称</w:t>
            </w:r>
          </w:p>
        </w:tc>
        <w:tc>
          <w:tcPr>
            <w:tcW w:w="142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规格型号</w:t>
            </w: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仪器编号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校准地点</w:t>
            </w:r>
          </w:p>
        </w:tc>
        <w:tc>
          <w:tcPr>
            <w:tcW w:w="1428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环境温度</w:t>
            </w: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righ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℃</w:t>
            </w:r>
          </w:p>
        </w:tc>
        <w:tc>
          <w:tcPr>
            <w:tcW w:w="714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环境湿度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righ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distribute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校准依据</w:t>
            </w:r>
          </w:p>
        </w:tc>
        <w:tc>
          <w:tcPr>
            <w:tcW w:w="4285" w:type="pct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42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color w:val="auto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校准用主要测量标准：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名称</w:t>
            </w: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型号规格</w:t>
            </w: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技术特征</w:t>
            </w: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仪器编号</w:t>
            </w: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证书编号</w:t>
            </w: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  <w:tc>
          <w:tcPr>
            <w:tcW w:w="83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Style w:val="101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000" w:type="pct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left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校准项目：</w:t>
            </w:r>
          </w:p>
        </w:tc>
      </w:tr>
    </w:tbl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4"/>
        <w:gridCol w:w="675"/>
        <w:gridCol w:w="65"/>
        <w:gridCol w:w="572"/>
        <w:gridCol w:w="272"/>
        <w:gridCol w:w="287"/>
        <w:gridCol w:w="604"/>
        <w:gridCol w:w="9"/>
        <w:gridCol w:w="65"/>
        <w:gridCol w:w="226"/>
        <w:gridCol w:w="443"/>
        <w:gridCol w:w="166"/>
        <w:gridCol w:w="525"/>
        <w:gridCol w:w="207"/>
        <w:gridCol w:w="83"/>
        <w:gridCol w:w="366"/>
        <w:gridCol w:w="9"/>
        <w:gridCol w:w="329"/>
        <w:gridCol w:w="111"/>
        <w:gridCol w:w="898"/>
        <w:gridCol w:w="16"/>
        <w:gridCol w:w="306"/>
        <w:gridCol w:w="366"/>
        <w:gridCol w:w="243"/>
        <w:gridCol w:w="207"/>
        <w:gridCol w:w="209"/>
        <w:gridCol w:w="109"/>
        <w:gridCol w:w="12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其他条件：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外观与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密封性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   铭牌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和标识：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</w:rPr>
              <w:t xml:space="preserve">   </w:t>
            </w:r>
          </w:p>
          <w:p>
            <w:pPr>
              <w:pStyle w:val="43"/>
              <w:ind w:firstLine="1050" w:firstLineChars="500"/>
              <w:jc w:val="left"/>
              <w:rPr>
                <w:rFonts w:hint="default" w:eastAsia="宋体"/>
                <w:color w:val="auto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>液体介质：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   现场安装情况：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管道尺寸测量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测量项目</w:t>
            </w:r>
          </w:p>
        </w:tc>
        <w:tc>
          <w:tcPr>
            <w:tcW w:w="3095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测量示值</w:t>
            </w:r>
          </w:p>
        </w:tc>
        <w:tc>
          <w:tcPr>
            <w:tcW w:w="10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3"/>
              <w:spacing w:line="240" w:lineRule="auto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平均值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管道外径</w:t>
            </w:r>
          </w:p>
        </w:tc>
        <w:tc>
          <w:tcPr>
            <w:tcW w:w="9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管道壁厚</w:t>
            </w:r>
          </w:p>
        </w:tc>
        <w:tc>
          <w:tcPr>
            <w:tcW w:w="97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104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功能参数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6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管道外径</w:t>
            </w: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管道壁厚</w:t>
            </w: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探头型号</w:t>
            </w: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安装距离</w:t>
            </w:r>
          </w:p>
        </w:tc>
        <w:tc>
          <w:tcPr>
            <w:tcW w:w="7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流量系数</w:t>
            </w: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标准流量计</w:t>
            </w:r>
          </w:p>
        </w:tc>
        <w:tc>
          <w:tcPr>
            <w:tcW w:w="6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被校流量计</w:t>
            </w:r>
          </w:p>
        </w:tc>
        <w:tc>
          <w:tcPr>
            <w:tcW w:w="62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default"/>
                <w:u w:val="singl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累积流量示值误差：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40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32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标准流量计</w:t>
            </w:r>
          </w:p>
        </w:tc>
        <w:tc>
          <w:tcPr>
            <w:tcW w:w="14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被校流量计</w:t>
            </w:r>
          </w:p>
        </w:tc>
        <w:tc>
          <w:tcPr>
            <w:tcW w:w="59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误差</w:t>
            </w:r>
          </w:p>
        </w:tc>
        <w:tc>
          <w:tcPr>
            <w:tcW w:w="81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扩展不确定度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初始值</w:t>
            </w: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累计值</w:t>
            </w:r>
          </w:p>
        </w:tc>
        <w:tc>
          <w:tcPr>
            <w:tcW w:w="3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示值</w:t>
            </w: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初始值</w:t>
            </w: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累计值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示值</w:t>
            </w:r>
          </w:p>
        </w:tc>
        <w:tc>
          <w:tcPr>
            <w:tcW w:w="594" w:type="pct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pct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94" w:type="pct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pct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94" w:type="pct"/>
            <w:gridSpan w:val="5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pct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瞬时流量示值误差和变送输出误差：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标准流量计示值</w:t>
            </w:r>
          </w:p>
        </w:tc>
        <w:tc>
          <w:tcPr>
            <w:tcW w:w="7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被校流量计示值</w:t>
            </w: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输出示值</w:t>
            </w:r>
          </w:p>
        </w:tc>
        <w:tc>
          <w:tcPr>
            <w:tcW w:w="5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理论</w:t>
            </w:r>
          </w:p>
          <w:p>
            <w:pPr>
              <w:pStyle w:val="43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输出值</w:t>
            </w:r>
          </w:p>
        </w:tc>
        <w:tc>
          <w:tcPr>
            <w:tcW w:w="6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输出误差</w:t>
            </w: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示值误差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扩展</w:t>
            </w:r>
          </w:p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3" w:type="pct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6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1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000" w:type="pct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5.重复性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累积流量平均值</w:t>
            </w: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累积流量重复性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校准点</w:t>
            </w:r>
          </w:p>
        </w:tc>
        <w:tc>
          <w:tcPr>
            <w:tcW w:w="88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瞬时流量平均值</w:t>
            </w: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瞬时流量重复性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43"/>
              <w:ind w:firstLine="0" w:firstLineChars="0"/>
              <w:jc w:val="left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p>
      <w:pPr>
        <w:spacing w:before="240" w:after="60" w:line="160" w:lineRule="exact"/>
        <w:jc w:val="left"/>
        <w:outlineLvl w:val="9"/>
        <w:rPr>
          <w:rFonts w:ascii="黑体" w:hAnsi="黑体" w:eastAsia="黑体" w:cs="黑体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rPr>
          <w:rFonts w:hint="eastAsia" w:ascii="黑体" w:hAnsi="黑体" w:eastAsia="黑体"/>
          <w:sz w:val="28"/>
          <w:szCs w:val="28"/>
        </w:rPr>
      </w:pPr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  <w:bookmarkStart w:id="245" w:name="_Toc25254"/>
      <w:bookmarkStart w:id="246" w:name="_Toc32002"/>
      <w:bookmarkStart w:id="247" w:name="_Toc19104"/>
      <w:bookmarkStart w:id="248" w:name="_Toc15171"/>
      <w:bookmarkStart w:id="249" w:name="_Toc28661"/>
      <w:bookmarkStart w:id="250" w:name="_Toc15057"/>
      <w:bookmarkStart w:id="251" w:name="_Toc21627"/>
      <w:bookmarkStart w:id="252" w:name="_Toc23784587"/>
      <w:bookmarkStart w:id="253" w:name="_Toc23784686"/>
      <w:bookmarkStart w:id="254" w:name="_Toc31172_WPSOffice_Level1"/>
      <w:bookmarkStart w:id="255" w:name="_Toc23785584"/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spacing w:before="240" w:after="60" w:line="160" w:lineRule="exact"/>
        <w:jc w:val="left"/>
        <w:rPr>
          <w:rFonts w:hint="eastAsia" w:ascii="黑体" w:hAnsi="黑体" w:eastAsia="黑体" w:cs="黑体"/>
          <w:sz w:val="28"/>
          <w:szCs w:val="28"/>
        </w:rPr>
      </w:pPr>
    </w:p>
    <w:p>
      <w:pPr>
        <w:jc w:val="left"/>
        <w:outlineLvl w:val="0"/>
        <w:rPr>
          <w:rFonts w:hint="eastAsia" w:ascii="黑体" w:hAnsi="黑体" w:eastAsia="黑体" w:cs="黑体"/>
          <w:sz w:val="28"/>
          <w:szCs w:val="28"/>
        </w:rPr>
      </w:pPr>
      <w:bookmarkStart w:id="256" w:name="_Toc4891"/>
      <w:r>
        <w:rPr>
          <w:rFonts w:hint="eastAsia" w:ascii="黑体" w:hAnsi="黑体" w:eastAsia="黑体" w:cs="黑体"/>
          <w:sz w:val="28"/>
          <w:szCs w:val="28"/>
        </w:rPr>
        <w:t>附录B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6"/>
      <w:bookmarkStart w:id="257" w:name="_Toc500258594"/>
    </w:p>
    <w:p>
      <w:pPr>
        <w:pStyle w:val="3"/>
        <w:jc w:val="center"/>
      </w:pPr>
      <w:bookmarkStart w:id="258" w:name="_Toc16034"/>
      <w:bookmarkStart w:id="259" w:name="_Toc29738"/>
      <w:bookmarkStart w:id="260" w:name="_Toc8704"/>
      <w:bookmarkStart w:id="261" w:name="_Toc10093"/>
      <w:bookmarkStart w:id="262" w:name="_Toc31614"/>
      <w:bookmarkStart w:id="263" w:name="_Toc2576"/>
      <w:r>
        <w:rPr>
          <w:rFonts w:hint="eastAsia"/>
        </w:rPr>
        <w:t>液体流量计在线校</w:t>
      </w:r>
      <w:r>
        <w:t>准证书</w:t>
      </w:r>
      <w:r>
        <w:rPr>
          <w:rFonts w:hint="eastAsia"/>
        </w:rPr>
        <w:t>内页</w:t>
      </w:r>
      <w:r>
        <w:t>参考格式</w:t>
      </w:r>
      <w:bookmarkEnd w:id="252"/>
      <w:bookmarkEnd w:id="253"/>
      <w:bookmarkEnd w:id="254"/>
      <w:bookmarkEnd w:id="255"/>
      <w:bookmarkEnd w:id="257"/>
      <w:bookmarkEnd w:id="258"/>
      <w:bookmarkEnd w:id="259"/>
      <w:bookmarkEnd w:id="260"/>
      <w:bookmarkEnd w:id="261"/>
      <w:bookmarkEnd w:id="262"/>
      <w:bookmarkEnd w:id="263"/>
    </w:p>
    <w:p>
      <w:pPr>
        <w:pStyle w:val="43"/>
        <w:ind w:left="0" w:leftChars="0" w:firstLine="0" w:firstLineChars="0"/>
        <w:jc w:val="center"/>
        <w:rPr>
          <w:rFonts w:hint="eastAsia"/>
          <w:b/>
          <w:bCs/>
          <w:color w:val="auto"/>
        </w:rPr>
      </w:pPr>
      <w:r>
        <w:rPr>
          <w:rFonts w:hint="eastAsia"/>
          <w:b/>
          <w:bCs/>
          <w:color w:val="auto"/>
        </w:rPr>
        <w:t>校准结果</w:t>
      </w:r>
    </w:p>
    <w:p>
      <w:pPr>
        <w:numPr>
          <w:ilvl w:val="0"/>
          <w:numId w:val="5"/>
        </w:numPr>
        <w:spacing w:line="360" w:lineRule="auto"/>
        <w:outlineLvl w:val="0"/>
        <w:rPr>
          <w:rFonts w:eastAsia="宋体"/>
          <w:bCs/>
          <w:szCs w:val="21"/>
        </w:rPr>
      </w:pPr>
      <w:bookmarkStart w:id="264" w:name="_Toc15728"/>
      <w:bookmarkStart w:id="265" w:name="_Toc27274"/>
      <w:r>
        <w:rPr>
          <w:rFonts w:hint="eastAsia" w:eastAsia="宋体"/>
          <w:bCs/>
          <w:szCs w:val="21"/>
        </w:rPr>
        <w:t>其他条件：</w:t>
      </w:r>
      <w:bookmarkEnd w:id="264"/>
      <w:bookmarkEnd w:id="265"/>
    </w:p>
    <w:p>
      <w:p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1.1</w:t>
      </w:r>
      <w:r>
        <w:rPr>
          <w:rFonts w:eastAsia="宋体"/>
          <w:bCs/>
          <w:szCs w:val="21"/>
        </w:rPr>
        <w:t>外观</w:t>
      </w:r>
      <w:r>
        <w:rPr>
          <w:rFonts w:hint="eastAsia" w:eastAsia="宋体"/>
          <w:bCs/>
          <w:szCs w:val="21"/>
        </w:rPr>
        <w:t>与</w:t>
      </w:r>
      <w:r>
        <w:rPr>
          <w:rFonts w:hint="eastAsia" w:eastAsia="宋体"/>
          <w:bCs/>
          <w:szCs w:val="21"/>
          <w:lang w:val="en-US" w:eastAsia="zh-CN"/>
        </w:rPr>
        <w:t>密封线</w:t>
      </w:r>
      <w:r>
        <w:rPr>
          <w:rFonts w:eastAsia="宋体"/>
          <w:bCs/>
          <w:szCs w:val="21"/>
        </w:rPr>
        <w:t>：</w:t>
      </w:r>
      <w:r>
        <w:rPr>
          <w:rFonts w:hint="eastAsia" w:eastAsia="宋体"/>
          <w:bCs/>
          <w:szCs w:val="21"/>
        </w:rPr>
        <w:t xml:space="preserve">       </w:t>
      </w:r>
      <w:r>
        <w:rPr>
          <w:rFonts w:hint="eastAsia" w:eastAsia="宋体"/>
          <w:bCs/>
          <w:szCs w:val="21"/>
          <w:lang w:val="en-US" w:eastAsia="zh-CN"/>
        </w:rPr>
        <w:t xml:space="preserve">        </w:t>
      </w:r>
      <w:r>
        <w:rPr>
          <w:rFonts w:hint="eastAsia" w:eastAsia="宋体"/>
          <w:bCs/>
          <w:szCs w:val="21"/>
        </w:rPr>
        <w:t>1.2</w:t>
      </w:r>
      <w:r>
        <w:rPr>
          <w:rFonts w:hint="eastAsia" w:eastAsia="宋体"/>
          <w:bCs/>
          <w:szCs w:val="21"/>
          <w:lang w:val="en-US" w:eastAsia="zh-CN"/>
        </w:rPr>
        <w:t>铭牌和标识</w:t>
      </w:r>
      <w:r>
        <w:rPr>
          <w:rFonts w:hint="eastAsia" w:eastAsia="宋体"/>
          <w:bCs/>
          <w:szCs w:val="21"/>
        </w:rPr>
        <w:t>：</w:t>
      </w:r>
    </w:p>
    <w:p>
      <w:p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</w:rPr>
        <w:t>1.3流量计参数：</w:t>
      </w:r>
      <w:r>
        <w:rPr>
          <w:rFonts w:hint="eastAsia" w:eastAsia="宋体"/>
          <w:bCs/>
          <w:szCs w:val="21"/>
          <w:lang w:val="en-US" w:eastAsia="zh-CN"/>
        </w:rPr>
        <w:t xml:space="preserve">   介质：        </w:t>
      </w:r>
      <w:r>
        <w:rPr>
          <w:rFonts w:hint="eastAsia" w:eastAsia="宋体"/>
          <w:bCs/>
          <w:szCs w:val="21"/>
        </w:rPr>
        <w:t xml:space="preserve">管径：            流量系数：        </w:t>
      </w:r>
    </w:p>
    <w:p>
      <w:pPr>
        <w:numPr>
          <w:ilvl w:val="0"/>
          <w:numId w:val="5"/>
        </w:num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瞬时流量校准结果</w:t>
      </w:r>
      <w:r>
        <w:rPr>
          <w:rFonts w:hint="eastAsia" w:eastAsia="宋体"/>
          <w:bCs/>
          <w:szCs w:val="21"/>
        </w:rPr>
        <w:t>：</w:t>
      </w:r>
    </w:p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90"/>
        <w:gridCol w:w="1828"/>
        <w:gridCol w:w="1332"/>
        <w:gridCol w:w="1476"/>
        <w:gridCol w:w="1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校准点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标准器流量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被校表流量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示值误差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重复性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扩展不确定度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累积流量校准结果</w:t>
      </w:r>
      <w:r>
        <w:rPr>
          <w:rFonts w:hint="eastAsia" w:eastAsia="宋体"/>
          <w:bCs/>
          <w:szCs w:val="21"/>
        </w:rPr>
        <w:t>：</w:t>
      </w:r>
    </w:p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90"/>
        <w:gridCol w:w="1828"/>
        <w:gridCol w:w="1332"/>
        <w:gridCol w:w="1476"/>
        <w:gridCol w:w="1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校准点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标准器流量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被校表流量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示值误差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重复性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扩展不确定度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eastAsia="宋体"/>
          <w:bCs/>
          <w:szCs w:val="21"/>
        </w:rPr>
      </w:pPr>
      <w:r>
        <w:rPr>
          <w:rFonts w:hint="eastAsia" w:eastAsia="宋体"/>
          <w:bCs/>
          <w:szCs w:val="21"/>
          <w:lang w:val="en-US" w:eastAsia="zh-CN"/>
        </w:rPr>
        <w:t>变送输出误差校准结果：</w:t>
      </w:r>
    </w:p>
    <w:tbl>
      <w:tblPr>
        <w:tblStyle w:val="2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790"/>
        <w:gridCol w:w="1828"/>
        <w:gridCol w:w="1332"/>
        <w:gridCol w:w="1476"/>
        <w:gridCol w:w="1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bookmarkStart w:id="266" w:name="_Toc20526"/>
            <w:bookmarkStart w:id="267" w:name="_Toc3458"/>
            <w:bookmarkStart w:id="268" w:name="_Toc16754"/>
            <w:bookmarkStart w:id="269" w:name="_Toc3818"/>
            <w:bookmarkStart w:id="270" w:name="_Toc2422"/>
            <w:bookmarkStart w:id="271" w:name="_Toc23339"/>
            <w:bookmarkStart w:id="272" w:name="_Toc8870"/>
            <w:bookmarkStart w:id="273" w:name="_Toc13651"/>
            <w:bookmarkStart w:id="274" w:name="_Toc500258835"/>
            <w:bookmarkStart w:id="275" w:name="_Toc198433137"/>
            <w:bookmarkStart w:id="276" w:name="_Toc23784692"/>
            <w:bookmarkStart w:id="277" w:name="_Toc23785590"/>
            <w:bookmarkStart w:id="278" w:name="_Toc23784593"/>
            <w:bookmarkStart w:id="279" w:name="_Toc28237_WPSOffice_Level1"/>
            <w:r>
              <w:rPr>
                <w:rFonts w:hint="eastAsia"/>
                <w:color w:val="auto"/>
                <w:sz w:val="21"/>
                <w:szCs w:val="21"/>
              </w:rPr>
              <w:t>校准点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被校表流量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理论输出值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输出示值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误差</w:t>
            </w: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ind w:left="0" w:lef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扩展不确定度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  <w:tc>
          <w:tcPr>
            <w:tcW w:w="9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43"/>
            </w:pPr>
          </w:p>
        </w:tc>
      </w:tr>
    </w:tbl>
    <w:p>
      <w:pPr>
        <w:spacing w:before="240" w:after="60"/>
        <w:rPr>
          <w:rFonts w:hint="eastAsia" w:ascii="黑体" w:hAnsi="黑体" w:eastAsia="黑体"/>
          <w:sz w:val="28"/>
          <w:szCs w:val="28"/>
        </w:rPr>
      </w:pPr>
    </w:p>
    <w:p>
      <w:pPr>
        <w:spacing w:before="240" w:after="60"/>
        <w:rPr>
          <w:rFonts w:hint="eastAsia" w:ascii="黑体" w:hAnsi="黑体" w:eastAsia="黑体"/>
          <w:sz w:val="28"/>
          <w:szCs w:val="28"/>
        </w:rPr>
      </w:pPr>
    </w:p>
    <w:p>
      <w:pPr>
        <w:spacing w:before="240" w:after="60"/>
        <w:outlineLvl w:val="0"/>
        <w:rPr>
          <w:rFonts w:eastAsia="黑体"/>
          <w:sz w:val="28"/>
          <w:szCs w:val="28"/>
        </w:rPr>
      </w:pPr>
      <w:bookmarkStart w:id="280" w:name="_Toc21501"/>
      <w:r>
        <w:rPr>
          <w:rFonts w:eastAsia="黑体"/>
          <w:sz w:val="28"/>
          <w:szCs w:val="28"/>
        </w:rPr>
        <w:t>附录C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80"/>
      <w:r>
        <w:rPr>
          <w:rFonts w:eastAsia="黑体"/>
          <w:sz w:val="28"/>
          <w:szCs w:val="28"/>
        </w:rPr>
        <w:t xml:space="preserve"> </w:t>
      </w:r>
      <w:bookmarkEnd w:id="273"/>
      <w:bookmarkEnd w:id="274"/>
      <w:bookmarkEnd w:id="275"/>
      <w:bookmarkEnd w:id="276"/>
      <w:bookmarkEnd w:id="277"/>
      <w:bookmarkEnd w:id="278"/>
      <w:bookmarkEnd w:id="279"/>
    </w:p>
    <w:p>
      <w:pPr>
        <w:pStyle w:val="3"/>
        <w:jc w:val="center"/>
      </w:pPr>
      <w:bookmarkStart w:id="281" w:name="_Toc9774"/>
      <w:bookmarkStart w:id="282" w:name="_Toc26494"/>
      <w:r>
        <w:rPr>
          <w:rFonts w:hint="eastAsia"/>
        </w:rPr>
        <w:t>液体流量计在线校准示值误差的测量不确定度评定示例</w:t>
      </w:r>
      <w:bookmarkEnd w:id="281"/>
      <w:bookmarkEnd w:id="282"/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C.1 </w:t>
      </w:r>
      <w:r>
        <w:rPr>
          <w:rFonts w:hint="eastAsia" w:ascii="黑体" w:hAnsi="黑体" w:eastAsia="黑体" w:cs="黑体"/>
          <w:color w:val="auto"/>
        </w:rPr>
        <w:t>概述</w:t>
      </w:r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C</w:t>
      </w:r>
      <w:r>
        <w:rPr>
          <w:color w:val="auto"/>
        </w:rPr>
        <w:t>.1.</w:t>
      </w:r>
      <w:r>
        <w:rPr>
          <w:rFonts w:hint="eastAsia"/>
          <w:color w:val="auto"/>
        </w:rPr>
        <w:t>1 校准依据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本规范</w:t>
      </w:r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C</w:t>
      </w:r>
      <w:r>
        <w:rPr>
          <w:color w:val="auto"/>
        </w:rPr>
        <w:t>.1.2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lang w:val="en-US" w:eastAsia="zh-CN"/>
        </w:rPr>
        <w:t>测量</w:t>
      </w:r>
      <w:r>
        <w:rPr>
          <w:color w:val="auto"/>
        </w:rPr>
        <w:t>标准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表C.1中给出了</w:t>
      </w:r>
      <w:r>
        <w:rPr>
          <w:rFonts w:hint="eastAsia"/>
          <w:color w:val="auto"/>
          <w:lang w:val="en-US" w:eastAsia="zh-CN"/>
        </w:rPr>
        <w:t>测量</w:t>
      </w:r>
      <w:r>
        <w:rPr>
          <w:rFonts w:hint="eastAsia"/>
          <w:color w:val="auto"/>
        </w:rPr>
        <w:t>标准及主要技术指标。</w:t>
      </w:r>
    </w:p>
    <w:p>
      <w:pPr>
        <w:spacing w:line="360" w:lineRule="auto"/>
        <w:jc w:val="center"/>
        <w:rPr>
          <w:rFonts w:eastAsia="黑体"/>
        </w:rPr>
      </w:pPr>
      <w:bookmarkStart w:id="283" w:name="_Hlk166233067"/>
      <w:r>
        <w:rPr>
          <w:rStyle w:val="102"/>
          <w:rFonts w:hint="default" w:cs="Times New Roman"/>
          <w:color w:val="auto"/>
        </w:rPr>
        <w:t xml:space="preserve">表C.1 </w:t>
      </w:r>
      <w:r>
        <w:rPr>
          <w:rStyle w:val="102"/>
          <w:rFonts w:hint="eastAsia" w:eastAsia="黑体" w:cs="Times New Roman"/>
          <w:color w:val="auto"/>
          <w:lang w:val="en-US" w:eastAsia="zh-CN"/>
        </w:rPr>
        <w:t>测量</w:t>
      </w:r>
      <w:r>
        <w:rPr>
          <w:rStyle w:val="102"/>
          <w:rFonts w:hint="default" w:cs="Times New Roman"/>
          <w:color w:val="auto"/>
        </w:rPr>
        <w:t>标准技术指标</w:t>
      </w:r>
    </w:p>
    <w:bookmarkEnd w:id="283"/>
    <w:tbl>
      <w:tblPr>
        <w:tblStyle w:val="24"/>
        <w:tblW w:w="500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2"/>
        <w:gridCol w:w="2735"/>
        <w:gridCol w:w="59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  <w:jc w:val="center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序号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测量</w:t>
            </w:r>
            <w:r>
              <w:rPr>
                <w:rStyle w:val="101"/>
                <w:color w:val="auto"/>
              </w:rPr>
              <w:t>标准或设备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主要技术指标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  <w:jc w:val="center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1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便携式超声波流量计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相对扩展不确定度：</w:t>
            </w:r>
            <w:r>
              <w:rPr>
                <w:rStyle w:val="101"/>
                <w:i/>
                <w:iCs/>
                <w:color w:val="auto"/>
              </w:rPr>
              <w:t>U</w:t>
            </w:r>
            <w:r>
              <w:rPr>
                <w:rStyle w:val="101"/>
                <w:rFonts w:hint="eastAsia"/>
                <w:color w:val="auto"/>
                <w:vertAlign w:val="subscript"/>
              </w:rPr>
              <w:t>rel</w:t>
            </w:r>
            <w:r>
              <w:rPr>
                <w:rStyle w:val="101"/>
                <w:color w:val="auto"/>
              </w:rPr>
              <w:t>=</w:t>
            </w:r>
            <w:r>
              <w:rPr>
                <w:rStyle w:val="101"/>
                <w:rFonts w:hint="eastAsia"/>
                <w:color w:val="auto"/>
              </w:rPr>
              <w:t>0.</w:t>
            </w:r>
            <w:r>
              <w:rPr>
                <w:rStyle w:val="101"/>
                <w:rFonts w:hint="eastAsia" w:eastAsia="宋体"/>
                <w:color w:val="auto"/>
                <w:lang w:val="en-US" w:eastAsia="zh-CN"/>
              </w:rPr>
              <w:t>5</w:t>
            </w:r>
            <w:r>
              <w:rPr>
                <w:rStyle w:val="101"/>
                <w:color w:val="auto"/>
              </w:rPr>
              <w:t>%，</w:t>
            </w:r>
            <w:r>
              <w:rPr>
                <w:rStyle w:val="101"/>
                <w:i/>
                <w:iCs/>
                <w:color w:val="auto"/>
              </w:rPr>
              <w:t>k</w:t>
            </w:r>
            <w:r>
              <w:rPr>
                <w:rStyle w:val="101"/>
                <w:color w:val="auto"/>
              </w:rPr>
              <w:t>=2。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 w:eastAsia="zh-TW"/>
              </w:rPr>
            </w:pPr>
            <w:r>
              <w:rPr>
                <w:rStyle w:val="101"/>
                <w:color w:val="auto"/>
                <w:lang w:val="zh-TW" w:eastAsia="zh-TW"/>
              </w:rPr>
              <w:t>2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秒表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  <w:lang w:val="zh-TW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-SA"/>
              </w:rPr>
              <w:t>时间间隔1h：±0.1s</w:t>
            </w:r>
            <w:r>
              <w:rPr>
                <w:rStyle w:val="101"/>
                <w:color w:val="auto"/>
                <w:lang w:val="zh-TW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7" w:hRule="exact"/>
          <w:jc w:val="center"/>
        </w:trPr>
        <w:tc>
          <w:tcPr>
            <w:tcW w:w="363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color w:val="auto"/>
              </w:rPr>
              <w:t>3</w:t>
            </w:r>
          </w:p>
        </w:tc>
        <w:tc>
          <w:tcPr>
            <w:tcW w:w="1455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/>
                <w:color w:val="auto"/>
              </w:rPr>
              <w:t>钢卷尺</w:t>
            </w:r>
          </w:p>
        </w:tc>
        <w:tc>
          <w:tcPr>
            <w:tcW w:w="318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Style w:val="101"/>
                <w:color w:val="auto"/>
              </w:rPr>
            </w:pPr>
            <w:r>
              <w:rPr>
                <w:rStyle w:val="101"/>
                <w:rFonts w:hint="eastAsia" w:ascii="宋体" w:hAnsi="宋体" w:eastAsia="宋体" w:cs="宋体"/>
                <w:color w:val="auto"/>
              </w:rPr>
              <w:t>Ⅰ</w:t>
            </w:r>
            <w:r>
              <w:rPr>
                <w:rStyle w:val="101"/>
                <w:rFonts w:hint="eastAsia"/>
                <w:color w:val="auto"/>
              </w:rPr>
              <w:t>级，</w:t>
            </w:r>
            <w:r>
              <w:rPr>
                <w:rStyle w:val="101"/>
                <w:color w:val="auto"/>
                <w:lang w:val="zh-TW" w:eastAsia="zh-TW"/>
              </w:rPr>
              <w:t>测量范围（0～</w:t>
            </w:r>
            <w:r>
              <w:rPr>
                <w:rStyle w:val="101"/>
                <w:rFonts w:hint="eastAsia"/>
                <w:color w:val="auto"/>
              </w:rPr>
              <w:t>3</w:t>
            </w:r>
            <w:r>
              <w:rPr>
                <w:rStyle w:val="101"/>
                <w:color w:val="auto"/>
                <w:lang w:val="zh-TW" w:eastAsia="zh-TW"/>
              </w:rPr>
              <w:t>）</w:t>
            </w:r>
            <w:r>
              <w:rPr>
                <w:rStyle w:val="101"/>
                <w:rFonts w:hint="eastAsia"/>
                <w:color w:val="auto"/>
              </w:rPr>
              <w:t>m</w:t>
            </w:r>
            <w:r>
              <w:rPr>
                <w:rStyle w:val="101"/>
                <w:color w:val="auto"/>
                <w:lang w:val="zh-TW"/>
              </w:rPr>
              <w:t>。</w:t>
            </w:r>
          </w:p>
        </w:tc>
      </w:tr>
    </w:tbl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C</w:t>
      </w:r>
      <w:r>
        <w:rPr>
          <w:color w:val="auto"/>
        </w:rPr>
        <w:t>.1.3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>被</w:t>
      </w:r>
      <w:r>
        <w:rPr>
          <w:rFonts w:hint="eastAsia"/>
          <w:color w:val="auto"/>
        </w:rPr>
        <w:t>校</w:t>
      </w:r>
      <w:r>
        <w:rPr>
          <w:color w:val="auto"/>
        </w:rPr>
        <w:t>对象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被校准流量计为一台测量范围（0～1000）m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/h，1.0级的电磁流量计</w:t>
      </w:r>
      <w:r>
        <w:rPr>
          <w:color w:val="auto"/>
        </w:rPr>
        <w:t xml:space="preserve">。 </w:t>
      </w:r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>C.1.4 校准方法</w:t>
      </w:r>
    </w:p>
    <w:p>
      <w:pPr>
        <w:pStyle w:val="43"/>
        <w:rPr>
          <w:color w:val="auto"/>
        </w:rPr>
      </w:pPr>
      <w:r>
        <w:rPr>
          <w:rFonts w:hint="eastAsia"/>
          <w:color w:val="auto"/>
          <w:lang w:val="en-US" w:eastAsia="zh-CN"/>
        </w:rPr>
        <w:t>按照本规范的规定进行校准。本示例仅</w:t>
      </w:r>
      <w:r>
        <w:rPr>
          <w:rFonts w:hint="eastAsia"/>
          <w:color w:val="auto"/>
        </w:rPr>
        <w:t>在500</w:t>
      </w:r>
      <w:r>
        <w:rPr>
          <w:rFonts w:hint="eastAsia"/>
          <w:bCs/>
          <w:color w:val="auto"/>
        </w:rPr>
        <w:t>m</w:t>
      </w:r>
      <w:r>
        <w:rPr>
          <w:rFonts w:hint="eastAsia"/>
          <w:bCs/>
          <w:color w:val="auto"/>
          <w:vertAlign w:val="superscript"/>
        </w:rPr>
        <w:t>3</w:t>
      </w:r>
      <w:r>
        <w:rPr>
          <w:rFonts w:hint="eastAsia"/>
          <w:bCs/>
          <w:color w:val="auto"/>
        </w:rPr>
        <w:t>/h流量</w:t>
      </w:r>
      <w:r>
        <w:rPr>
          <w:rFonts w:hint="eastAsia"/>
          <w:color w:val="auto"/>
          <w:lang w:val="en-US" w:eastAsia="zh-CN"/>
        </w:rPr>
        <w:t>校准点进行说明，其他校准点参照本示例</w:t>
      </w:r>
      <w:r>
        <w:rPr>
          <w:color w:val="auto"/>
        </w:rPr>
        <w:t>。</w:t>
      </w:r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C.2 </w:t>
      </w:r>
      <w:r>
        <w:rPr>
          <w:rFonts w:hint="eastAsia" w:ascii="黑体" w:hAnsi="黑体" w:eastAsia="黑体" w:cs="黑体"/>
          <w:color w:val="auto"/>
        </w:rPr>
        <w:t>测量模型</w:t>
      </w:r>
    </w:p>
    <w:p>
      <w:pPr>
        <w:pStyle w:val="43"/>
        <w:rPr>
          <w:color w:val="auto"/>
        </w:rPr>
      </w:pPr>
      <w:bookmarkStart w:id="284" w:name="_Toc30795"/>
      <w:bookmarkStart w:id="285" w:name="_Toc13934"/>
      <w:r>
        <w:rPr>
          <w:rFonts w:hint="eastAsia"/>
          <w:color w:val="auto"/>
        </w:rPr>
        <w:t>流量计示值误差校准采用直接测量方法，其测量模型见公式（C.1）</w:t>
      </w:r>
      <w:bookmarkEnd w:id="284"/>
      <w:bookmarkEnd w:id="285"/>
    </w:p>
    <w:p>
      <w:pPr>
        <w:spacing w:line="360" w:lineRule="auto"/>
        <w:jc w:val="right"/>
        <w:rPr>
          <w:rFonts w:eastAsia="宋体"/>
          <w:sz w:val="24"/>
        </w:rPr>
      </w:pPr>
      <w:r>
        <w:rPr>
          <w:position w:val="-30"/>
          <w:vertAlign w:val="subscript"/>
        </w:rPr>
        <w:object>
          <v:shape id="_x0000_i1050" o:spt="75" type="#_x0000_t75" style="height:41.95pt;width:123.2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78">
            <o:LockedField>false</o:LockedField>
          </o:OLEObject>
        </w:object>
      </w:r>
      <w:r>
        <w:rPr>
          <w:rFonts w:eastAsia="宋体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 w:eastAsia="宋体"/>
          <w:sz w:val="24"/>
        </w:rPr>
        <w:t xml:space="preserve">           （</w:t>
      </w:r>
      <w:r>
        <w:rPr>
          <w:rFonts w:hint="eastAsia"/>
          <w:sz w:val="24"/>
        </w:rPr>
        <w:t>C.</w:t>
      </w:r>
      <w:r>
        <w:rPr>
          <w:rFonts w:hint="eastAsia" w:eastAsia="宋体"/>
          <w:sz w:val="24"/>
        </w:rPr>
        <w:t xml:space="preserve">1）                                                                                 </w:t>
      </w:r>
    </w:p>
    <w:p>
      <w:pPr>
        <w:pStyle w:val="6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式中：</w:t>
      </w:r>
    </w:p>
    <w:p>
      <w:pPr>
        <w:pStyle w:val="43"/>
        <w:rPr>
          <w:color w:val="auto"/>
        </w:rPr>
      </w:pPr>
      <w:r>
        <w:rPr>
          <w:color w:val="auto"/>
          <w:position w:val="-12"/>
          <w:vertAlign w:val="subscript"/>
        </w:rPr>
        <w:object>
          <v:shape id="_x0000_i1051" o:spt="75" type="#_x0000_t75" style="height:18pt;width:17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80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 w:ascii="宋体" w:hAnsi="宋体" w:cs="宋体"/>
          <w:color w:val="auto"/>
        </w:rPr>
        <w:t>流量计累积流量</w:t>
      </w:r>
      <w:r>
        <w:rPr>
          <w:rFonts w:hint="eastAsia"/>
          <w:color w:val="auto"/>
        </w:rPr>
        <w:t>示值</w:t>
      </w:r>
      <w:r>
        <w:rPr>
          <w:color w:val="auto"/>
        </w:rPr>
        <w:t>误差；</w:t>
      </w:r>
    </w:p>
    <w:p>
      <w:pPr>
        <w:pStyle w:val="43"/>
        <w:rPr>
          <w:color w:val="auto"/>
        </w:rPr>
      </w:pPr>
      <w:r>
        <w:rPr>
          <w:color w:val="auto"/>
          <w:position w:val="-12"/>
          <w:vertAlign w:val="subscript"/>
        </w:rPr>
        <w:object>
          <v:shape id="_x0000_i1052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82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 w:ascii="宋体" w:hAnsi="宋体" w:cs="宋体"/>
          <w:color w:val="auto"/>
        </w:rPr>
        <w:t>流量计累积示值，</w:t>
      </w:r>
      <w:r>
        <w:rPr>
          <w:rFonts w:hint="eastAsia"/>
          <w:bCs/>
          <w:color w:val="auto"/>
        </w:rPr>
        <w:t>m</w:t>
      </w:r>
      <w:r>
        <w:rPr>
          <w:rFonts w:hint="eastAsia"/>
          <w:bCs/>
          <w:color w:val="auto"/>
          <w:vertAlign w:val="superscript"/>
        </w:rPr>
        <w:t>3</w:t>
      </w:r>
      <w:r>
        <w:rPr>
          <w:rFonts w:hint="eastAsia"/>
          <w:bCs/>
          <w:color w:val="auto"/>
        </w:rPr>
        <w:t>/h</w:t>
      </w:r>
      <w:r>
        <w:rPr>
          <w:color w:val="auto"/>
        </w:rPr>
        <w:t>；</w:t>
      </w:r>
    </w:p>
    <w:p>
      <w:pPr>
        <w:pStyle w:val="43"/>
        <w:rPr>
          <w:color w:val="auto"/>
        </w:rPr>
      </w:pPr>
      <w:r>
        <w:rPr>
          <w:color w:val="auto"/>
          <w:position w:val="-12"/>
          <w:vertAlign w:val="subscript"/>
        </w:rPr>
        <w:object>
          <v:shape id="_x0000_i1053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84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color w:val="auto"/>
        </w:rPr>
        <w:t>——</w:t>
      </w:r>
      <w:r>
        <w:rPr>
          <w:rFonts w:hint="eastAsia" w:ascii="宋体" w:hAnsi="宋体" w:cs="宋体"/>
          <w:color w:val="auto"/>
        </w:rPr>
        <w:t>标准</w:t>
      </w:r>
      <w:r>
        <w:rPr>
          <w:rFonts w:hint="eastAsia" w:ascii="宋体" w:hAnsi="宋体" w:cs="宋体"/>
          <w:color w:val="auto"/>
          <w:lang w:val="en-US" w:eastAsia="zh-CN"/>
        </w:rPr>
        <w:t>流量计</w:t>
      </w:r>
      <w:r>
        <w:rPr>
          <w:rFonts w:hint="eastAsia" w:ascii="宋体" w:hAnsi="宋体" w:cs="宋体"/>
          <w:color w:val="auto"/>
        </w:rPr>
        <w:t>累积示值，</w:t>
      </w:r>
      <w:r>
        <w:rPr>
          <w:rFonts w:hint="eastAsia"/>
          <w:bCs/>
          <w:color w:val="auto"/>
        </w:rPr>
        <w:t>m</w:t>
      </w:r>
      <w:r>
        <w:rPr>
          <w:rFonts w:hint="eastAsia"/>
          <w:bCs/>
          <w:color w:val="auto"/>
          <w:vertAlign w:val="superscript"/>
        </w:rPr>
        <w:t>3</w:t>
      </w:r>
      <w:r>
        <w:rPr>
          <w:rFonts w:hint="eastAsia"/>
          <w:bCs/>
          <w:color w:val="auto"/>
        </w:rPr>
        <w:t>/h</w:t>
      </w:r>
      <w:r>
        <w:rPr>
          <w:rFonts w:hint="eastAsia"/>
          <w:color w:val="auto"/>
        </w:rPr>
        <w:t>。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由测量模型可知，输入量V</w:t>
      </w:r>
      <w:r>
        <w:rPr>
          <w:rFonts w:hint="eastAsia"/>
          <w:color w:val="auto"/>
          <w:vertAlign w:val="subscript"/>
        </w:rPr>
        <w:t>m</w:t>
      </w:r>
      <w:r>
        <w:rPr>
          <w:rFonts w:hint="eastAsia"/>
          <w:color w:val="auto"/>
        </w:rPr>
        <w:t>的灵敏系数为1，输入量V</w:t>
      </w:r>
      <w:r>
        <w:rPr>
          <w:rFonts w:hint="eastAsia"/>
          <w:color w:val="auto"/>
          <w:vertAlign w:val="subscript"/>
        </w:rPr>
        <w:t>s</w:t>
      </w:r>
      <w:r>
        <w:rPr>
          <w:rFonts w:hint="eastAsia"/>
          <w:color w:val="auto"/>
        </w:rPr>
        <w:t>的灵敏系数为-1。</w:t>
      </w:r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C.3 </w:t>
      </w:r>
      <w:r>
        <w:rPr>
          <w:rFonts w:hint="eastAsia"/>
          <w:b/>
          <w:bCs/>
          <w:color w:val="auto"/>
        </w:rPr>
        <w:t>测量不确定度来源分析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测量不确定度来源主要有：</w:t>
      </w:r>
    </w:p>
    <w:p>
      <w:pPr>
        <w:pStyle w:val="43"/>
        <w:numPr>
          <w:ilvl w:val="0"/>
          <w:numId w:val="6"/>
        </w:numPr>
        <w:ind w:firstLineChars="0"/>
        <w:rPr>
          <w:color w:val="auto"/>
        </w:rPr>
      </w:pPr>
      <w:r>
        <w:rPr>
          <w:rFonts w:hint="eastAsia"/>
          <w:color w:val="auto"/>
        </w:rPr>
        <w:t>由测量重复性引入的不确定度分量</w:t>
      </w:r>
      <w:r>
        <w:rPr>
          <w:color w:val="auto"/>
          <w:position w:val="-10"/>
          <w:vertAlign w:val="subscript"/>
        </w:rPr>
        <w:object>
          <v:shape id="_x0000_i1054" o:spt="75" type="#_x0000_t75" style="height:17pt;width:15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86">
            <o:LockedField>false</o:LockedField>
          </o:OLEObject>
        </w:object>
      </w:r>
      <w:r>
        <w:rPr>
          <w:rFonts w:hint="eastAsia"/>
          <w:color w:val="auto"/>
        </w:rPr>
        <w:t>；</w:t>
      </w:r>
    </w:p>
    <w:p>
      <w:pPr>
        <w:pStyle w:val="43"/>
        <w:numPr>
          <w:ilvl w:val="0"/>
          <w:numId w:val="6"/>
        </w:numPr>
        <w:ind w:firstLineChars="0"/>
        <w:rPr>
          <w:color w:val="auto"/>
        </w:rPr>
      </w:pPr>
      <w:r>
        <w:rPr>
          <w:rFonts w:hint="eastAsia"/>
          <w:color w:val="auto"/>
        </w:rPr>
        <w:t>由标准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不确定度引入的不确定度分量</w:t>
      </w:r>
      <w:r>
        <w:rPr>
          <w:color w:val="auto"/>
          <w:position w:val="-10"/>
          <w:vertAlign w:val="subscript"/>
        </w:rPr>
        <w:object>
          <v:shape id="_x0000_i1055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88">
            <o:LockedField>false</o:LockedField>
          </o:OLEObject>
        </w:object>
      </w:r>
      <w:r>
        <w:rPr>
          <w:rFonts w:hint="eastAsia"/>
          <w:color w:val="auto"/>
        </w:rPr>
        <w:t>。</w:t>
      </w:r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C.4 </w:t>
      </w:r>
      <w:r>
        <w:rPr>
          <w:rFonts w:hint="eastAsia" w:ascii="黑体" w:hAnsi="黑体" w:eastAsia="黑体" w:cs="黑体"/>
          <w:color w:val="auto"/>
        </w:rPr>
        <w:t>测量不确定度评定</w:t>
      </w:r>
    </w:p>
    <w:p>
      <w:pPr>
        <w:pStyle w:val="43"/>
        <w:ind w:left="0" w:leftChars="0" w:firstLine="0" w:firstLineChars="0"/>
        <w:rPr>
          <w:color w:val="auto"/>
          <w:szCs w:val="24"/>
        </w:rPr>
      </w:pPr>
      <w:bookmarkStart w:id="286" w:name="_Toc26732"/>
      <w:r>
        <w:rPr>
          <w:rFonts w:hint="eastAsia"/>
          <w:color w:val="auto"/>
          <w:szCs w:val="24"/>
        </w:rPr>
        <w:t xml:space="preserve">C.4.1 </w:t>
      </w:r>
      <w:bookmarkEnd w:id="286"/>
      <w:r>
        <w:rPr>
          <w:rFonts w:hint="eastAsia"/>
          <w:color w:val="auto"/>
          <w:szCs w:val="24"/>
        </w:rPr>
        <w:t>由测量重复性引入的不确定度分量</w:t>
      </w:r>
      <w:r>
        <w:rPr>
          <w:color w:val="auto"/>
          <w:position w:val="-10"/>
          <w:vertAlign w:val="subscript"/>
        </w:rPr>
        <w:object>
          <v:shape id="_x0000_i1056" o:spt="75" type="#_x0000_t75" style="height:17pt;width:1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90">
            <o:LockedField>false</o:LockedField>
          </o:OLEObject>
        </w:object>
      </w:r>
    </w:p>
    <w:p>
      <w:pPr>
        <w:pStyle w:val="6"/>
        <w:ind w:firstLine="480" w:firstLineChars="200"/>
        <w:jc w:val="left"/>
        <w:rPr>
          <w:rFonts w:hAnsi="Cambria Math"/>
          <w:position w:val="-26"/>
          <w:sz w:val="24"/>
          <w:szCs w:val="24"/>
        </w:rPr>
      </w:pPr>
      <w:r>
        <w:rPr>
          <w:rFonts w:hint="eastAsia" w:hAnsi="Cambria Math"/>
          <w:position w:val="-26"/>
          <w:sz w:val="24"/>
          <w:szCs w:val="24"/>
        </w:rPr>
        <w:t>对一台测量范围（0～1000）m</w:t>
      </w:r>
      <w:r>
        <w:rPr>
          <w:rFonts w:hint="eastAsia" w:hAnsi="Cambria Math"/>
          <w:position w:val="-26"/>
          <w:sz w:val="24"/>
          <w:szCs w:val="24"/>
          <w:vertAlign w:val="superscript"/>
        </w:rPr>
        <w:t>3</w:t>
      </w:r>
      <w:r>
        <w:rPr>
          <w:rFonts w:hint="eastAsia" w:hAnsi="Cambria Math"/>
          <w:position w:val="-26"/>
          <w:sz w:val="24"/>
          <w:szCs w:val="24"/>
        </w:rPr>
        <w:t>/h的流量计，重复条件下，在500m</w:t>
      </w:r>
      <w:r>
        <w:rPr>
          <w:rFonts w:hint="eastAsia" w:hAnsi="Cambria Math"/>
          <w:position w:val="-26"/>
          <w:sz w:val="24"/>
          <w:szCs w:val="24"/>
          <w:vertAlign w:val="superscript"/>
        </w:rPr>
        <w:t>3</w:t>
      </w:r>
      <w:r>
        <w:rPr>
          <w:rFonts w:hint="eastAsia" w:hAnsi="Cambria Math"/>
          <w:position w:val="-26"/>
          <w:sz w:val="24"/>
          <w:szCs w:val="24"/>
        </w:rPr>
        <w:t>/h流量点测量</w:t>
      </w:r>
      <w:r>
        <w:rPr>
          <w:rFonts w:hint="eastAsia" w:hAnsi="Cambria Math"/>
          <w:position w:val="-26"/>
          <w:sz w:val="24"/>
          <w:szCs w:val="24"/>
          <w:lang w:val="en-US" w:eastAsia="zh-CN"/>
        </w:rPr>
        <w:t>10</w:t>
      </w:r>
      <w:r>
        <w:rPr>
          <w:rFonts w:hint="eastAsia" w:hAnsi="Cambria Math"/>
          <w:position w:val="-26"/>
          <w:sz w:val="24"/>
          <w:szCs w:val="24"/>
        </w:rPr>
        <w:t>次，每次时间30min，得到数据见表C.2：</w:t>
      </w:r>
    </w:p>
    <w:p>
      <w:pPr>
        <w:spacing w:line="360" w:lineRule="auto"/>
        <w:jc w:val="center"/>
        <w:rPr>
          <w:rFonts w:eastAsia="黑体"/>
          <w:position w:val="-26"/>
          <w:szCs w:val="21"/>
        </w:rPr>
      </w:pPr>
      <w:r>
        <w:rPr>
          <w:rStyle w:val="102"/>
          <w:rFonts w:hint="default" w:cs="Times New Roman"/>
          <w:color w:val="auto"/>
          <w:szCs w:val="21"/>
        </w:rPr>
        <w:t>表C.2 测量重复性结果</w:t>
      </w:r>
    </w:p>
    <w:tbl>
      <w:tblPr>
        <w:tblStyle w:val="24"/>
        <w:tblW w:w="499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844"/>
        <w:gridCol w:w="844"/>
        <w:gridCol w:w="844"/>
        <w:gridCol w:w="844"/>
        <w:gridCol w:w="844"/>
        <w:gridCol w:w="844"/>
        <w:gridCol w:w="844"/>
        <w:gridCol w:w="844"/>
        <w:gridCol w:w="844"/>
        <w:gridCol w:w="8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序号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1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2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3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4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5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7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8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9</w:t>
            </w:r>
          </w:p>
        </w:tc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default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V</w:t>
            </w:r>
            <w:r>
              <w:rPr>
                <w:rStyle w:val="27"/>
                <w:rFonts w:hint="eastAsia" w:eastAsia="宋体"/>
                <w:b w:val="0"/>
                <w:szCs w:val="21"/>
                <w:vertAlign w:val="subscript"/>
              </w:rPr>
              <w:t>m</w:t>
            </w:r>
            <w:r>
              <w:rPr>
                <w:rStyle w:val="27"/>
                <w:rFonts w:eastAsia="宋体"/>
                <w:b w:val="0"/>
                <w:szCs w:val="21"/>
              </w:rPr>
              <w:t>/</w:t>
            </w:r>
            <w:r>
              <w:rPr>
                <w:rFonts w:eastAsia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m</w:t>
            </w:r>
            <w:r>
              <w:rPr>
                <w:rFonts w:hint="eastAsia" w:eastAsia="宋体"/>
                <w:kern w:val="0"/>
                <w:szCs w:val="21"/>
                <w:vertAlign w:val="superscript"/>
                <w:lang w:bidi="ar"/>
              </w:rPr>
              <w:t>3</w:t>
            </w:r>
            <w:r>
              <w:rPr>
                <w:rFonts w:eastAsia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249.6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249.1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Style w:val="27"/>
                <w:rFonts w:eastAsia="宋体"/>
                <w:b w:val="0"/>
                <w:szCs w:val="21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248.5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246.4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247.5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249.8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245.3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248.2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249.1</w:t>
            </w:r>
          </w:p>
        </w:tc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eastAsia="宋体"/>
                <w:kern w:val="0"/>
                <w:szCs w:val="21"/>
                <w:lang w:bidi="ar"/>
              </w:rPr>
            </w:pPr>
            <w:r>
              <w:rPr>
                <w:rStyle w:val="27"/>
                <w:rFonts w:eastAsia="宋体"/>
                <w:b w:val="0"/>
                <w:szCs w:val="21"/>
              </w:rPr>
              <w:t>V</w:t>
            </w:r>
            <w:r>
              <w:rPr>
                <w:rStyle w:val="27"/>
                <w:rFonts w:hint="eastAsia" w:eastAsia="宋体"/>
                <w:b w:val="0"/>
                <w:szCs w:val="21"/>
                <w:vertAlign w:val="subscript"/>
              </w:rPr>
              <w:t>s</w:t>
            </w:r>
            <w:r>
              <w:rPr>
                <w:rStyle w:val="27"/>
                <w:rFonts w:eastAsia="宋体"/>
                <w:b w:val="0"/>
                <w:szCs w:val="21"/>
              </w:rPr>
              <w:t>/</w:t>
            </w:r>
            <w:r>
              <w:rPr>
                <w:rFonts w:eastAsia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eastAsia="宋体"/>
                <w:kern w:val="0"/>
                <w:szCs w:val="21"/>
                <w:lang w:bidi="ar"/>
              </w:rPr>
              <w:t>m</w:t>
            </w:r>
            <w:r>
              <w:rPr>
                <w:rFonts w:hint="eastAsia" w:eastAsia="宋体"/>
                <w:kern w:val="0"/>
                <w:szCs w:val="21"/>
                <w:vertAlign w:val="superscript"/>
                <w:lang w:bidi="ar"/>
              </w:rPr>
              <w:t>3</w:t>
            </w:r>
            <w:r>
              <w:rPr>
                <w:rFonts w:eastAsia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250.3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250.6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  <w:t>249.8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248.6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248.9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249.9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247.6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250.1</w:t>
            </w:r>
          </w:p>
        </w:tc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250.8</w:t>
            </w:r>
          </w:p>
        </w:tc>
        <w:tc>
          <w:tcPr>
            <w:tcW w:w="44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251.4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585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/>
                <w:b w:val="0"/>
                <w:szCs w:val="21"/>
                <w:lang w:val="en-US" w:eastAsia="zh-CN"/>
              </w:rPr>
              <w:t>误差</w:t>
            </w:r>
            <w:r>
              <w:rPr>
                <w:rFonts w:eastAsia="宋体"/>
                <w:kern w:val="0"/>
                <w:szCs w:val="21"/>
                <w:lang w:bidi="ar"/>
              </w:rPr>
              <w:t>（</w:t>
            </w:r>
            <w:r>
              <w:rPr>
                <w:rFonts w:hint="eastAsia" w:eastAsia="宋体"/>
                <w:kern w:val="0"/>
                <w:szCs w:val="21"/>
                <w:lang w:val="en-US" w:eastAsia="zh-CN" w:bidi="ar"/>
              </w:rPr>
              <w:t>%</w:t>
            </w:r>
            <w:r>
              <w:rPr>
                <w:rFonts w:eastAsia="宋体"/>
                <w:kern w:val="0"/>
                <w:szCs w:val="21"/>
                <w:lang w:bidi="ar"/>
              </w:rPr>
              <w:t>）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-0.28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-0.60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-0.52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-0.88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-0.56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-0.04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-0.93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-0.76</w:t>
            </w:r>
          </w:p>
        </w:tc>
        <w:tc>
          <w:tcPr>
            <w:tcW w:w="84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-0.68</w:t>
            </w:r>
          </w:p>
        </w:tc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22"/>
                <w:szCs w:val="22"/>
                <w:lang w:val="en-US" w:eastAsia="zh-CN" w:bidi="ar"/>
              </w:rPr>
              <w:t>-0.68</w:t>
            </w:r>
          </w:p>
        </w:tc>
      </w:tr>
    </w:tbl>
    <w:p>
      <w:pPr>
        <w:spacing w:line="360" w:lineRule="auto"/>
        <w:ind w:firstLine="480" w:firstLineChars="200"/>
        <w:jc w:val="left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  <w:lang w:val="en-US" w:eastAsia="zh-CN"/>
        </w:rPr>
        <w:t>示值误差的</w:t>
      </w:r>
      <w:r>
        <w:rPr>
          <w:rStyle w:val="27"/>
          <w:rFonts w:hint="eastAsia" w:ascii="宋体" w:hAnsi="宋体" w:eastAsia="宋体" w:cs="宋体"/>
          <w:b w:val="0"/>
          <w:sz w:val="24"/>
        </w:rPr>
        <w:t>算术平均值为：</w:t>
      </w:r>
      <w:bookmarkStart w:id="287" w:name="_Hlk104130921"/>
      <w:bookmarkStart w:id="288" w:name="_Hlk104130747"/>
    </w:p>
    <w:bookmarkEnd w:id="287"/>
    <w:bookmarkEnd w:id="288"/>
    <w:p>
      <w:pPr>
        <w:spacing w:line="360" w:lineRule="auto"/>
        <w:ind w:firstLine="480" w:firstLineChars="200"/>
        <w:jc w:val="center"/>
        <w:rPr>
          <w:position w:val="-28"/>
          <w:sz w:val="24"/>
        </w:rPr>
      </w:pPr>
      <w:r>
        <w:rPr>
          <w:position w:val="-28"/>
          <w:sz w:val="24"/>
        </w:rPr>
        <w:object>
          <v:shape id="_x0000_i1057" o:spt="75" type="#_x0000_t75" style="height:34pt;width:118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92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ascii="宋体" w:hAnsi="宋体" w:eastAsia="宋体" w:cs="宋体"/>
          <w:b w:val="0"/>
          <w:sz w:val="24"/>
        </w:rPr>
      </w:pPr>
      <w:r>
        <w:rPr>
          <w:rStyle w:val="27"/>
          <w:rFonts w:hint="eastAsia" w:ascii="宋体" w:hAnsi="宋体" w:eastAsia="宋体" w:cs="宋体"/>
          <w:b w:val="0"/>
          <w:sz w:val="24"/>
        </w:rPr>
        <w:t>单次实验标准差为：</w:t>
      </w:r>
    </w:p>
    <w:p>
      <w:pPr>
        <w:spacing w:line="360" w:lineRule="auto"/>
        <w:ind w:firstLine="480" w:firstLineChars="200"/>
        <w:jc w:val="center"/>
        <w:rPr>
          <w:rStyle w:val="27"/>
          <w:rFonts w:eastAsia="宋体"/>
          <w:b w:val="0"/>
          <w:sz w:val="24"/>
        </w:rPr>
      </w:pPr>
      <w:r>
        <w:rPr>
          <w:rFonts w:hint="eastAsia"/>
          <w:position w:val="-30"/>
          <w:sz w:val="24"/>
        </w:rPr>
        <w:object>
          <v:shape id="_x0000_i1058" o:spt="75" type="#_x0000_t75" style="height:38pt;width:163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94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Style w:val="27"/>
          <w:rFonts w:eastAsia="宋体"/>
          <w:b w:val="0"/>
          <w:sz w:val="24"/>
        </w:rPr>
      </w:pPr>
      <w:r>
        <w:rPr>
          <w:rStyle w:val="27"/>
          <w:rFonts w:eastAsia="宋体"/>
          <w:b w:val="0"/>
          <w:sz w:val="24"/>
        </w:rPr>
        <w:t>由于实际校准过程中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n</w:t>
      </w:r>
      <w:r>
        <w:rPr>
          <w:rStyle w:val="27"/>
          <w:rFonts w:eastAsia="宋体"/>
          <w:b w:val="0"/>
          <w:sz w:val="24"/>
        </w:rPr>
        <w:t>是取3次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的</w:t>
      </w:r>
      <w:r>
        <w:rPr>
          <w:rStyle w:val="27"/>
          <w:rFonts w:hint="eastAsia" w:eastAsia="宋体"/>
          <w:b w:val="0"/>
          <w:sz w:val="24"/>
        </w:rPr>
        <w:t>最大值</w:t>
      </w:r>
      <w:r>
        <w:rPr>
          <w:rStyle w:val="27"/>
          <w:rFonts w:eastAsia="宋体"/>
          <w:b w:val="0"/>
          <w:sz w:val="24"/>
        </w:rPr>
        <w:t>作为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测量结果</w:t>
      </w:r>
      <w:r>
        <w:rPr>
          <w:rStyle w:val="27"/>
          <w:rFonts w:eastAsia="宋体"/>
          <w:b w:val="0"/>
          <w:sz w:val="24"/>
        </w:rPr>
        <w:t>，则测量重复性引入的不确定</w:t>
      </w:r>
      <w:r>
        <w:rPr>
          <w:rStyle w:val="27"/>
          <w:rFonts w:hint="eastAsia" w:eastAsia="宋体"/>
          <w:b w:val="0"/>
          <w:sz w:val="24"/>
        </w:rPr>
        <w:t>度</w:t>
      </w:r>
      <w:r>
        <w:rPr>
          <w:rStyle w:val="27"/>
          <w:rFonts w:eastAsia="宋体"/>
          <w:b w:val="0"/>
          <w:sz w:val="24"/>
        </w:rPr>
        <w:t>为：</w:t>
      </w:r>
    </w:p>
    <w:p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</w:rPr>
      </w:pPr>
      <w:r>
        <w:rPr>
          <w:rFonts w:eastAsia="宋体"/>
          <w:color w:val="auto"/>
          <w:position w:val="-28"/>
          <w:sz w:val="24"/>
        </w:rPr>
        <w:object>
          <v:shape id="_x0000_i1059" o:spt="75" type="#_x0000_t75" style="height:33pt;width:89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96">
            <o:LockedField>false</o:LockedField>
          </o:OLEObject>
        </w:object>
      </w:r>
    </w:p>
    <w:p>
      <w:pPr>
        <w:pStyle w:val="43"/>
        <w:ind w:left="0" w:leftChars="0" w:firstLine="0" w:firstLineChars="0"/>
        <w:rPr>
          <w:color w:val="auto"/>
          <w:szCs w:val="24"/>
        </w:rPr>
      </w:pPr>
      <w:bookmarkStart w:id="289" w:name="_Toc19857"/>
      <w:r>
        <w:rPr>
          <w:rFonts w:hint="eastAsia"/>
          <w:color w:val="auto"/>
          <w:szCs w:val="24"/>
        </w:rPr>
        <w:t>C.4.2  由</w:t>
      </w:r>
      <w:r>
        <w:rPr>
          <w:rFonts w:hint="eastAsia"/>
          <w:color w:val="auto"/>
        </w:rPr>
        <w:t>标准</w:t>
      </w:r>
      <w:r>
        <w:rPr>
          <w:rFonts w:hint="eastAsia"/>
          <w:color w:val="auto"/>
          <w:lang w:val="en-US" w:eastAsia="zh-CN"/>
        </w:rPr>
        <w:t>流量计</w:t>
      </w:r>
      <w:r>
        <w:rPr>
          <w:rFonts w:hint="eastAsia"/>
          <w:color w:val="auto"/>
        </w:rPr>
        <w:t>不确定度引入</w:t>
      </w:r>
      <w:r>
        <w:rPr>
          <w:rFonts w:hint="eastAsia"/>
          <w:color w:val="auto"/>
          <w:szCs w:val="24"/>
        </w:rPr>
        <w:t>的不确定度分量</w:t>
      </w:r>
      <w:bookmarkEnd w:id="289"/>
      <w:r>
        <w:rPr>
          <w:color w:val="auto"/>
          <w:position w:val="-10"/>
          <w:vertAlign w:val="subscript"/>
        </w:rPr>
        <w:object>
          <v:shape id="_x0000_i1060" o:spt="75" type="#_x0000_t75" style="height:17pt;width:13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98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eastAsia="宋体"/>
          <w:kern w:val="0"/>
          <w:sz w:val="24"/>
          <w:lang w:bidi="ar"/>
        </w:rPr>
      </w:pPr>
      <w:r>
        <w:rPr>
          <w:rStyle w:val="27"/>
          <w:rFonts w:eastAsia="宋体"/>
          <w:b w:val="0"/>
          <w:sz w:val="24"/>
        </w:rPr>
        <w:t>标准</w:t>
      </w:r>
      <w:r>
        <w:rPr>
          <w:rStyle w:val="27"/>
          <w:rFonts w:hint="eastAsia" w:eastAsia="宋体"/>
          <w:b w:val="0"/>
          <w:sz w:val="24"/>
          <w:lang w:val="en-US" w:eastAsia="zh-CN"/>
        </w:rPr>
        <w:t>流量计</w:t>
      </w:r>
      <w:r>
        <w:rPr>
          <w:rStyle w:val="27"/>
          <w:rFonts w:eastAsia="宋体"/>
          <w:b w:val="0"/>
          <w:sz w:val="24"/>
        </w:rPr>
        <w:t>的</w:t>
      </w:r>
      <w:r>
        <w:rPr>
          <w:rFonts w:eastAsia="宋体"/>
          <w:kern w:val="0"/>
          <w:sz w:val="24"/>
          <w:lang w:bidi="ar"/>
        </w:rPr>
        <w:t>相对扩展不确定度为：</w:t>
      </w:r>
      <w:r>
        <w:rPr>
          <w:rFonts w:eastAsia="宋体"/>
          <w:i/>
          <w:iCs/>
          <w:kern w:val="0"/>
          <w:sz w:val="24"/>
          <w:lang w:bidi="ar"/>
        </w:rPr>
        <w:t>U</w:t>
      </w:r>
      <w:r>
        <w:rPr>
          <w:rFonts w:hint="eastAsia" w:eastAsia="宋体"/>
          <w:kern w:val="0"/>
          <w:sz w:val="24"/>
          <w:vertAlign w:val="subscript"/>
          <w:lang w:bidi="ar"/>
        </w:rPr>
        <w:t>rel</w:t>
      </w:r>
      <w:r>
        <w:rPr>
          <w:rFonts w:eastAsia="宋体"/>
          <w:kern w:val="0"/>
          <w:sz w:val="24"/>
          <w:lang w:bidi="ar"/>
        </w:rPr>
        <w:t>=</w:t>
      </w:r>
      <w:r>
        <w:rPr>
          <w:rFonts w:hint="eastAsia" w:eastAsia="宋体"/>
          <w:kern w:val="0"/>
          <w:sz w:val="24"/>
          <w:lang w:bidi="ar"/>
        </w:rPr>
        <w:t>0.</w:t>
      </w:r>
      <w:r>
        <w:rPr>
          <w:rFonts w:hint="eastAsia" w:eastAsia="宋体"/>
          <w:kern w:val="0"/>
          <w:sz w:val="24"/>
          <w:lang w:val="en-US" w:eastAsia="zh-CN" w:bidi="ar"/>
        </w:rPr>
        <w:t>5</w:t>
      </w:r>
      <w:r>
        <w:rPr>
          <w:rFonts w:eastAsia="宋体"/>
          <w:kern w:val="0"/>
          <w:sz w:val="24"/>
          <w:lang w:bidi="ar"/>
        </w:rPr>
        <w:t>%，</w:t>
      </w:r>
      <w:r>
        <w:rPr>
          <w:rFonts w:eastAsia="宋体"/>
          <w:i/>
          <w:iCs/>
          <w:kern w:val="0"/>
          <w:sz w:val="24"/>
          <w:lang w:bidi="ar"/>
        </w:rPr>
        <w:t>k</w:t>
      </w:r>
      <w:r>
        <w:rPr>
          <w:rFonts w:eastAsia="宋体"/>
          <w:kern w:val="0"/>
          <w:sz w:val="24"/>
          <w:lang w:bidi="ar"/>
        </w:rPr>
        <w:t>=2。属B类评定，服从正态分布，</w:t>
      </w:r>
      <w:r>
        <w:rPr>
          <w:rFonts w:hint="eastAsia" w:eastAsia="宋体"/>
          <w:kern w:val="0"/>
          <w:sz w:val="24"/>
          <w:lang w:bidi="ar"/>
        </w:rPr>
        <w:t>包含因子为2，</w:t>
      </w:r>
      <w:r>
        <w:rPr>
          <w:rFonts w:eastAsia="宋体"/>
          <w:kern w:val="0"/>
          <w:sz w:val="24"/>
          <w:lang w:bidi="ar"/>
        </w:rPr>
        <w:t>则</w:t>
      </w:r>
      <w:r>
        <w:rPr>
          <w:rFonts w:hint="eastAsia" w:eastAsia="宋体"/>
          <w:kern w:val="0"/>
          <w:sz w:val="24"/>
          <w:lang w:bidi="ar"/>
        </w:rPr>
        <w:t>在500m</w:t>
      </w:r>
      <w:r>
        <w:rPr>
          <w:rFonts w:hint="eastAsia" w:eastAsia="宋体"/>
          <w:kern w:val="0"/>
          <w:sz w:val="24"/>
          <w:vertAlign w:val="superscript"/>
          <w:lang w:bidi="ar"/>
        </w:rPr>
        <w:t>3</w:t>
      </w:r>
      <w:r>
        <w:rPr>
          <w:rFonts w:hint="eastAsia" w:eastAsia="宋体"/>
          <w:kern w:val="0"/>
          <w:sz w:val="24"/>
          <w:lang w:bidi="ar"/>
        </w:rPr>
        <w:t>/h流量点时，累积30min情况下，有</w:t>
      </w:r>
      <w:r>
        <w:rPr>
          <w:rFonts w:eastAsia="宋体"/>
          <w:kern w:val="0"/>
          <w:sz w:val="24"/>
          <w:lang w:bidi="ar"/>
        </w:rPr>
        <w:t>：</w:t>
      </w:r>
    </w:p>
    <w:p>
      <w:pPr>
        <w:spacing w:line="360" w:lineRule="auto"/>
        <w:ind w:firstLine="420" w:firstLineChars="200"/>
        <w:jc w:val="center"/>
        <w:rPr>
          <w:rStyle w:val="27"/>
          <w:rFonts w:eastAsia="宋体"/>
          <w:b w:val="0"/>
          <w:sz w:val="24"/>
        </w:rPr>
      </w:pPr>
      <w:r>
        <w:rPr>
          <w:position w:val="-24"/>
          <w:vertAlign w:val="subscript"/>
        </w:rPr>
        <w:object>
          <v:shape id="_x0000_i1061" o:spt="75" type="#_x0000_t75" style="height:31pt;width:80pt;" o:ole="t" filled="f" o:preferrelative="t" stroked="f" coordsize="21600,21600">
            <v:path/>
            <v:fill on="f" focussize="0,0"/>
            <v:stroke on="f"/>
            <v:imagedata r:id="rId100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99">
            <o:LockedField>false</o:LockedField>
          </o:OLEObject>
        </w:object>
      </w:r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C.5  </w:t>
      </w:r>
      <w:r>
        <w:rPr>
          <w:rFonts w:hint="eastAsia" w:ascii="黑体" w:hAnsi="黑体" w:eastAsia="黑体" w:cs="黑体"/>
          <w:color w:val="auto"/>
        </w:rPr>
        <w:t>标准不确定度分量汇总表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标准不确定度分量汇总见表C.3所示：</w:t>
      </w:r>
    </w:p>
    <w:p>
      <w:pPr>
        <w:spacing w:line="360" w:lineRule="auto"/>
        <w:jc w:val="center"/>
        <w:rPr>
          <w:rStyle w:val="102"/>
          <w:rFonts w:hint="default" w:cs="Times New Roman"/>
          <w:color w:val="auto"/>
          <w:szCs w:val="21"/>
        </w:rPr>
      </w:pPr>
      <w:r>
        <w:rPr>
          <w:rStyle w:val="102"/>
          <w:rFonts w:hint="default" w:cs="Times New Roman"/>
          <w:color w:val="auto"/>
          <w:szCs w:val="21"/>
        </w:rPr>
        <w:t>表C.3 标准不确定度</w:t>
      </w:r>
      <w:r>
        <w:rPr>
          <w:rStyle w:val="102"/>
          <w:rFonts w:hint="eastAsia" w:eastAsia="黑体" w:cs="Times New Roman"/>
          <w:color w:val="auto"/>
          <w:szCs w:val="21"/>
          <w:lang w:val="en-US" w:eastAsia="zh-CN"/>
        </w:rPr>
        <w:t>分量</w:t>
      </w:r>
      <w:r>
        <w:rPr>
          <w:rStyle w:val="102"/>
          <w:rFonts w:hint="default" w:cs="Times New Roman"/>
          <w:color w:val="auto"/>
          <w:szCs w:val="21"/>
        </w:rPr>
        <w:t>汇总表</w:t>
      </w:r>
    </w:p>
    <w:tbl>
      <w:tblPr>
        <w:tblStyle w:val="25"/>
        <w:tblW w:w="5086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334"/>
        <w:gridCol w:w="972"/>
        <w:gridCol w:w="2042"/>
        <w:gridCol w:w="1748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5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序号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标准不确定度来源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Style w:val="101"/>
                <w:rFonts w:hint="default" w:ascii="Times New Roman" w:hAnsi="Times New Roman" w:cs="Times New Roman"/>
                <w:color w:val="auto"/>
                <w:szCs w:val="21"/>
              </w:rPr>
              <w:t>符号</w: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标准不确定度</w:t>
            </w:r>
          </w:p>
        </w:tc>
        <w:tc>
          <w:tcPr>
            <w:tcW w:w="89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vertAlign w:val="subscript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灵敏系数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C</w:t>
            </w:r>
            <w:r>
              <w:rPr>
                <w:rStyle w:val="101"/>
                <w:rFonts w:hint="eastAsia" w:eastAsia="宋体" w:cs="Times New Roman"/>
                <w:color w:val="auto"/>
                <w:szCs w:val="21"/>
                <w:vertAlign w:val="subscript"/>
                <w:lang w:val="en-US" w:eastAsia="zh-CN"/>
              </w:rPr>
              <w:t>i</w:t>
            </w:r>
          </w:p>
        </w:tc>
        <w:tc>
          <w:tcPr>
            <w:tcW w:w="98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Style w:val="101"/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>不确定度分量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75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default" w:ascii="Times New Roman" w:hAnsi="Times New Roman" w:eastAsia="宋体" w:cs="Times New Roman"/>
                <w:b w:val="0"/>
                <w:color w:val="auto"/>
                <w:sz w:val="21"/>
                <w:szCs w:val="21"/>
              </w:rPr>
              <w:t>测量重复性</w:t>
            </w: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引入的不确定度分量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62" o:spt="75" type="#_x0000_t75" style="height:17pt;width:12pt;" o:ole="t" filled="f" o:preferrelative="t" stroked="f" coordsize="21600,21600">
                  <v:path/>
                  <v:fill on="f" focussize="0,0"/>
                  <v:stroke on="f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KSEE3" ShapeID="_x0000_i1062" DrawAspect="Content" ObjectID="_1468075762" r:id="rId101">
                  <o:LockedField>false</o:LockedField>
                </o:OLEObject>
              </w:objec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0.16</w:t>
            </w:r>
          </w:p>
        </w:tc>
        <w:tc>
          <w:tcPr>
            <w:tcW w:w="89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szCs w:val="21"/>
                <w:lang w:val="en-US" w:eastAsia="zh-CN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75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Style w:val="101"/>
                <w:rFonts w:hint="eastAsia" w:eastAsia="宋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198" w:type="pct"/>
            <w:tcBorders>
              <w:tl2br w:val="nil"/>
              <w:tr2bl w:val="nil"/>
            </w:tcBorders>
            <w:vAlign w:val="center"/>
          </w:tcPr>
          <w:p>
            <w:pPr>
              <w:pStyle w:val="43"/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由</w:t>
            </w:r>
            <w:r>
              <w:rPr>
                <w:rStyle w:val="27"/>
                <w:rFonts w:hint="eastAsia" w:cs="Times New Roman"/>
                <w:b w:val="0"/>
                <w:color w:val="auto"/>
                <w:sz w:val="21"/>
                <w:szCs w:val="21"/>
                <w:lang w:val="en-US" w:eastAsia="zh-CN"/>
              </w:rPr>
              <w:t>标准流量计不确定度</w:t>
            </w: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引入的不</w:t>
            </w:r>
            <w:r>
              <w:rPr>
                <w:rStyle w:val="27"/>
                <w:rFonts w:hint="eastAsia" w:ascii="Times New Roman" w:hAnsi="Times New Roman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确定</w:t>
            </w:r>
            <w:r>
              <w:rPr>
                <w:rStyle w:val="27"/>
                <w:rFonts w:hint="eastAsia" w:eastAsia="宋体" w:cs="Times New Roman"/>
                <w:b w:val="0"/>
                <w:color w:val="auto"/>
                <w:sz w:val="21"/>
                <w:szCs w:val="21"/>
                <w:lang w:val="en-US" w:eastAsia="zh-CN"/>
              </w:rPr>
              <w:t>度分量</w:t>
            </w:r>
          </w:p>
        </w:tc>
        <w:tc>
          <w:tcPr>
            <w:tcW w:w="499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position w:val="-10"/>
                <w:vertAlign w:val="subscript"/>
              </w:rPr>
              <w:object>
                <v:shape id="_x0000_i1063" o:spt="75" type="#_x0000_t75" style="height:17pt;width:13pt;" o:ole="t" filled="f" o:preferrelative="t" stroked="f" coordsize="21600,21600">
                  <v:path/>
                  <v:fill on="f" focussize="0,0"/>
                  <v:stroke on="f" joinstyle="miter"/>
                  <v:imagedata r:id="rId89" o:title=""/>
                  <o:lock v:ext="edit" aspectratio="t"/>
                  <w10:wrap type="none"/>
                  <w10:anchorlock/>
                </v:shape>
                <o:OLEObject Type="Embed" ProgID="Equation.KSEE3" ShapeID="_x0000_i1063" DrawAspect="Content" ObjectID="_1468075763" r:id="rId103">
                  <o:LockedField>false</o:LockedField>
                </o:OLEObject>
              </w:object>
            </w:r>
          </w:p>
        </w:tc>
        <w:tc>
          <w:tcPr>
            <w:tcW w:w="1048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.25</w:t>
            </w:r>
          </w:p>
        </w:tc>
        <w:tc>
          <w:tcPr>
            <w:tcW w:w="897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-1</w:t>
            </w:r>
          </w:p>
        </w:tc>
        <w:tc>
          <w:tcPr>
            <w:tcW w:w="980" w:type="pc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-0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.25</w:t>
            </w:r>
          </w:p>
        </w:tc>
      </w:tr>
    </w:tbl>
    <w:p>
      <w:pPr>
        <w:pStyle w:val="43"/>
        <w:ind w:left="0" w:leftChars="0" w:firstLine="0" w:firstLineChars="0"/>
        <w:rPr>
          <w:rFonts w:eastAsia="黑体" w:cs="宋体"/>
          <w:bCs/>
          <w:color w:val="auto"/>
          <w:szCs w:val="24"/>
        </w:rPr>
      </w:pPr>
      <w:bookmarkStart w:id="290" w:name="_Toc4312"/>
      <w:bookmarkStart w:id="291" w:name="_Toc6631"/>
      <w:bookmarkStart w:id="292" w:name="_Toc29016"/>
      <w:bookmarkStart w:id="293" w:name="_Toc10184"/>
      <w:bookmarkStart w:id="294" w:name="_Toc1654"/>
      <w:r>
        <w:rPr>
          <w:rFonts w:hint="eastAsia"/>
          <w:color w:val="auto"/>
          <w:szCs w:val="24"/>
        </w:rPr>
        <w:t>C</w:t>
      </w:r>
      <w:r>
        <w:rPr>
          <w:color w:val="auto"/>
          <w:szCs w:val="24"/>
        </w:rPr>
        <w:t>.</w:t>
      </w:r>
      <w:r>
        <w:rPr>
          <w:rFonts w:hint="eastAsia"/>
          <w:color w:val="auto"/>
          <w:szCs w:val="24"/>
        </w:rPr>
        <w:t xml:space="preserve">6  </w:t>
      </w:r>
      <w:r>
        <w:rPr>
          <w:rFonts w:hint="eastAsia" w:eastAsia="黑体"/>
          <w:color w:val="auto"/>
          <w:szCs w:val="24"/>
        </w:rPr>
        <w:t>合成</w:t>
      </w:r>
      <w:r>
        <w:rPr>
          <w:rFonts w:hint="eastAsia" w:eastAsia="黑体" w:cs="宋体"/>
          <w:bCs/>
          <w:color w:val="auto"/>
          <w:szCs w:val="24"/>
        </w:rPr>
        <w:t>标准不确定度</w:t>
      </w:r>
      <w:r>
        <w:rPr>
          <w:color w:val="auto"/>
          <w:position w:val="-12"/>
          <w:vertAlign w:val="subscript"/>
        </w:rPr>
        <w:object>
          <v:shape id="_x0000_i1064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104">
            <o:LockedField>false</o:LockedField>
          </o:OLEObject>
        </w:object>
      </w:r>
      <w:r>
        <w:rPr>
          <w:rFonts w:hint="eastAsia" w:eastAsia="黑体" w:cs="宋体"/>
          <w:bCs/>
          <w:color w:val="auto"/>
          <w:szCs w:val="24"/>
        </w:rPr>
        <w:t>的计算</w:t>
      </w:r>
      <w:bookmarkEnd w:id="290"/>
      <w:bookmarkEnd w:id="291"/>
      <w:bookmarkEnd w:id="292"/>
      <w:bookmarkEnd w:id="293"/>
      <w:bookmarkEnd w:id="294"/>
    </w:p>
    <w:p>
      <w:pPr>
        <w:pStyle w:val="43"/>
        <w:ind w:firstLine="480"/>
        <w:rPr>
          <w:rFonts w:eastAsia="黑体" w:cs="宋体"/>
          <w:bCs/>
          <w:color w:val="auto"/>
          <w:szCs w:val="24"/>
        </w:rPr>
      </w:pPr>
      <w:r>
        <w:rPr>
          <w:rFonts w:hint="eastAsia" w:cs="宋体"/>
          <w:color w:val="auto"/>
          <w:szCs w:val="24"/>
        </w:rPr>
        <w:t>合成标准不确定度</w:t>
      </w:r>
      <w:r>
        <w:rPr>
          <w:color w:val="auto"/>
          <w:position w:val="-12"/>
          <w:vertAlign w:val="subscript"/>
        </w:rPr>
        <w:object>
          <v:shape id="_x0000_i1065" o:spt="75" type="#_x0000_t75" style="height:18pt;width:13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106">
            <o:LockedField>false</o:LockedField>
          </o:OLEObject>
        </w:object>
      </w:r>
      <w:r>
        <w:rPr>
          <w:rFonts w:hint="eastAsia" w:cs="宋体"/>
          <w:color w:val="auto"/>
          <w:szCs w:val="24"/>
        </w:rPr>
        <w:t>按下式计算</w:t>
      </w:r>
      <w:r>
        <w:rPr>
          <w:rFonts w:hint="eastAsia" w:ascii="宋体" w:hAnsi="宋体" w:cs="宋体"/>
          <w:bCs/>
          <w:color w:val="auto"/>
          <w:szCs w:val="24"/>
        </w:rPr>
        <w:t>：</w:t>
      </w:r>
    </w:p>
    <w:p>
      <w:pPr>
        <w:pStyle w:val="43"/>
        <w:jc w:val="center"/>
        <w:rPr>
          <w:rFonts w:hint="eastAsia"/>
          <w:color w:val="auto"/>
        </w:rPr>
      </w:pPr>
      <w:r>
        <w:rPr>
          <w:rFonts w:hint="default" w:ascii="Times New Roman" w:hAnsi="Times New Roman" w:eastAsia="宋体" w:cs="Times New Roman"/>
          <w:i w:val="0"/>
          <w:iCs/>
          <w:color w:val="auto"/>
          <w:position w:val="-12"/>
          <w:sz w:val="24"/>
        </w:rPr>
        <w:object>
          <v:shape id="_x0000_i1066" o:spt="75" type="#_x0000_t75" style="height:22pt;width:149pt;" o:ole="t" filled="f" o:preferrelative="t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108">
            <o:LockedField>false</o:LockedField>
          </o:OLEObject>
        </w:object>
      </w:r>
    </w:p>
    <w:p>
      <w:pPr>
        <w:pStyle w:val="43"/>
        <w:ind w:left="0" w:leftChars="0" w:firstLine="0" w:firstLineChars="0"/>
        <w:rPr>
          <w:color w:val="auto"/>
        </w:rPr>
      </w:pPr>
      <w:r>
        <w:rPr>
          <w:rFonts w:hint="eastAsia"/>
          <w:color w:val="auto"/>
        </w:rPr>
        <w:t xml:space="preserve">C.7  </w:t>
      </w:r>
      <w:r>
        <w:rPr>
          <w:rFonts w:hint="eastAsia" w:ascii="黑体" w:hAnsi="黑体" w:eastAsia="黑体" w:cs="黑体"/>
          <w:color w:val="auto"/>
        </w:rPr>
        <w:t>扩展不确定度的评定</w: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取包含因子</w:t>
      </w:r>
      <w:r>
        <w:rPr>
          <w:rFonts w:hint="eastAsia"/>
          <w:i/>
          <w:iCs/>
          <w:color w:val="auto"/>
        </w:rPr>
        <w:t>k</w:t>
      </w:r>
      <w:r>
        <w:rPr>
          <w:rFonts w:hint="eastAsia"/>
          <w:color w:val="auto"/>
        </w:rPr>
        <w:t>=2，示值误差测量结果扩展不确定度为：</w:t>
      </w:r>
    </w:p>
    <w:p>
      <w:pPr>
        <w:pStyle w:val="43"/>
        <w:jc w:val="center"/>
        <w:rPr>
          <w:color w:val="auto"/>
        </w:rPr>
      </w:pPr>
      <w:r>
        <w:rPr>
          <w:rFonts w:hint="default" w:ascii="Times New Roman" w:hAnsi="Times New Roman" w:cs="Times New Roman"/>
          <w:i w:val="0"/>
          <w:iCs/>
          <w:position w:val="-12"/>
          <w:szCs w:val="24"/>
        </w:rPr>
        <w:object>
          <v:shape id="_x0000_i1067" o:spt="75" type="#_x0000_t75" style="height:18pt;width:85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110">
            <o:LockedField>false</o:LockedField>
          </o:OLEObject>
        </w:object>
      </w:r>
    </w:p>
    <w:p>
      <w:pPr>
        <w:pStyle w:val="43"/>
        <w:rPr>
          <w:color w:val="auto"/>
        </w:rPr>
      </w:pPr>
      <w:r>
        <w:rPr>
          <w:rFonts w:hint="eastAsia"/>
          <w:color w:val="auto"/>
        </w:rPr>
        <w:t>故，该流量计在在500m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/h流量点时，累积30min情况下的校准结果为248.</w:t>
      </w:r>
      <w:r>
        <w:rPr>
          <w:rFonts w:hint="eastAsia"/>
          <w:color w:val="auto"/>
          <w:lang w:val="en-US" w:eastAsia="zh-CN"/>
        </w:rPr>
        <w:t>32</w:t>
      </w:r>
      <w:r>
        <w:rPr>
          <w:rFonts w:hint="eastAsia"/>
          <w:color w:val="auto"/>
        </w:rPr>
        <w:t>m</w:t>
      </w:r>
      <w:r>
        <w:rPr>
          <w:rFonts w:hint="eastAsia"/>
          <w:color w:val="auto"/>
          <w:vertAlign w:val="superscript"/>
        </w:rPr>
        <w:t>3</w:t>
      </w:r>
      <w:r>
        <w:rPr>
          <w:rFonts w:hint="eastAsia"/>
          <w:color w:val="auto"/>
        </w:rPr>
        <w:t>，其扩展不确定度为：</w:t>
      </w:r>
      <w:r>
        <w:rPr>
          <w:rFonts w:hint="eastAsia"/>
          <w:i/>
          <w:color w:val="auto"/>
        </w:rPr>
        <w:t>U</w:t>
      </w:r>
      <w:r>
        <w:rPr>
          <w:rFonts w:hint="eastAsia"/>
          <w:color w:val="auto"/>
          <w:vertAlign w:val="subscript"/>
        </w:rPr>
        <w:t>rel</w:t>
      </w:r>
      <w:r>
        <w:rPr>
          <w:rFonts w:hint="eastAsia"/>
          <w:color w:val="auto"/>
        </w:rPr>
        <w:t>=0.6%，</w:t>
      </w:r>
      <w:r>
        <w:rPr>
          <w:rFonts w:hint="eastAsia"/>
          <w:i/>
          <w:color w:val="auto"/>
        </w:rPr>
        <w:t>k</w:t>
      </w:r>
      <w:r>
        <w:rPr>
          <w:rFonts w:hint="eastAsia"/>
          <w:color w:val="auto"/>
        </w:rPr>
        <w:t xml:space="preserve">=2。  </w:t>
      </w:r>
    </w:p>
    <w:p>
      <w:pPr>
        <w:rPr>
          <w:rFonts w:cs="宋体"/>
          <w:position w:val="-10"/>
          <w:sz w:val="24"/>
        </w:rPr>
      </w:pPr>
      <w:bookmarkStart w:id="295" w:name="_Toc13778"/>
      <w:bookmarkStart w:id="296" w:name="_Toc5293"/>
      <w:bookmarkStart w:id="297" w:name="_Toc7812"/>
    </w:p>
    <w:bookmarkEnd w:id="295"/>
    <w:bookmarkEnd w:id="296"/>
    <w:bookmarkEnd w:id="297"/>
    <w:p>
      <w:pPr>
        <w:rPr>
          <w:iCs/>
          <w:position w:val="-12"/>
        </w:rPr>
      </w:pPr>
      <w:r>
        <w:rPr>
          <w:rFonts w:hint="eastAsia" w:eastAsia="宋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239395</wp:posOffset>
                </wp:positionV>
                <wp:extent cx="270002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2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35pt;margin-top:18.85pt;height:0.05pt;width:212.6pt;z-index:251675648;mso-width-relative:page;mso-height-relative:page;" filled="f" stroked="t" coordsize="21600,21600" o:gfxdata="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BWNR81wAAAAkBAAAPAAAAAAAAAAEAIAAAACIAAABkcnMvZG93bnJldi54bWxQSwECFAAU&#10;AAAACACHTuJAlzbFv/IBAADrAwAADgAAAAAAAAABACAAAAAm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position w:val="-6"/>
          <w:sz w:val="28"/>
          <w:szCs w:val="28"/>
        </w:rPr>
        <w:br w:type="page"/>
      </w:r>
    </w:p>
    <w:p>
      <w:pPr>
        <w:pStyle w:val="43"/>
        <w:sectPr>
          <w:headerReference r:id="rId20" w:type="default"/>
          <w:footerReference r:id="rId21" w:type="default"/>
          <w:pgSz w:w="11907" w:h="16839"/>
          <w:pgMar w:top="1418" w:right="1134" w:bottom="1134" w:left="1418" w:header="1021" w:footer="737" w:gutter="0"/>
          <w:cols w:space="720" w:num="1"/>
          <w:docGrid w:type="lines" w:linePitch="312" w:charSpace="0"/>
        </w:sectPr>
      </w:pPr>
    </w:p>
    <w:p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>
      <w:pPr>
        <w:wordWrap w:val="0"/>
        <w:spacing w:line="360" w:lineRule="auto"/>
        <w:jc w:val="right"/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rPr>
          <w:rFonts w:ascii="黑体" w:eastAsia="黑体"/>
          <w:sz w:val="28"/>
          <w:szCs w:val="28"/>
        </w:rPr>
      </w:pPr>
    </w:p>
    <w:p>
      <w:pPr>
        <w:wordWrap w:val="0"/>
        <w:spacing w:line="360" w:lineRule="auto"/>
        <w:jc w:val="right"/>
        <w:rPr>
          <w:position w:val="-6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JJF</w:t>
      </w:r>
      <w:r>
        <w:rPr>
          <w:rFonts w:ascii="黑体" w:eastAsia="黑体"/>
          <w:sz w:val="28"/>
          <w:szCs w:val="28"/>
        </w:rPr>
        <w:t>Z</w:t>
      </w:r>
      <w:r>
        <w:rPr>
          <w:rFonts w:hint="eastAsia" w:ascii="黑体" w:eastAsia="黑体"/>
          <w:sz w:val="28"/>
          <w:szCs w:val="28"/>
        </w:rPr>
        <w:t>(有色金属)XXX-XXXX</w:t>
      </w:r>
    </w:p>
    <w:p>
      <w:pPr>
        <w:rPr>
          <w:rFonts w:ascii="黑体" w:eastAsia="黑体"/>
          <w:sz w:val="28"/>
          <w:szCs w:val="28"/>
        </w:rPr>
      </w:pPr>
    </w:p>
    <w:sectPr>
      <w:footerReference r:id="rId22" w:type="default"/>
      <w:pgSz w:w="11907" w:h="16839"/>
      <w:pgMar w:top="2438" w:right="1134" w:bottom="1134" w:left="1418" w:header="102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D7DDDC-7574-4D8F-914F-736150D723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6AC41C8-CC1D-4CC1-B293-69FAAB7E6AA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29887B5-E911-4420-93C6-82163616FA83}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  <w:embedRegular r:id="rId4" w:fontKey="{94844010-2CF6-4AE7-B806-9ED787A775D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C06C7B2-9819-4FED-A4FC-41F75CC281FA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FBB18873-3531-438C-ADC1-FEC39B2D4A6D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6"/>
      <w:rPr>
        <w:rStyle w:val="28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6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cifdr9MAAAAFAQAADwAAAAAAAAABACAAAAAiAAAAZHJzL2Rvd25y&#10;ZXYueG1sUEsBAhQAFAAAAAgAh07iQAUOZOjKAQAAmAMAAA4AAAAAAAAAAQAgAAAAIgEAAGRycy9l&#10;Mm9Eb2MueG1sUEsFBgAAAAAGAAYAWQEAAF4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6"/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6"/>
      <w:jc w:val="both"/>
      <w:rPr>
        <w:rStyle w:val="28"/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1828800" cy="1828800"/>
              <wp:effectExtent l="0" t="0" r="0" b="0"/>
              <wp:wrapNone/>
              <wp:docPr id="2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2.2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cgBuzXAAAABgEAAA8AAAAAAAAAAQAgAAAAIgAAAGRycy9k&#10;b3ducmV2LnhtbFBLAQIUABQAAAAIAIdO4kDAWEhsygEAAJgDAAAOAAAAAAAAAAEAIAAAACYBAABk&#10;cnMvZTJvRG9jLnhtbFBLBQYAAAAABgAGAFkBAABi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6"/>
      <w:jc w:val="both"/>
      <w:rPr>
        <w:rStyle w:val="28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5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rPr>
        <w:rStyle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II</w:t>
    </w:r>
    <w:r>
      <w:fldChar w:fldCharType="end"/>
    </w:r>
  </w:p>
  <w:p>
    <w:pPr>
      <w:pStyle w:val="75"/>
      <w:ind w:right="360"/>
      <w:rPr>
        <w:rStyle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rPr>
        <w:rStyle w:val="28"/>
      </w:rP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In3a/TAAAABQEAAA8AAAAAAAAAAQAgAAAAIgAAAGRycy9kb3du&#10;cmV2LnhtbFBLAQIUABQAAAAIAIdO4kDcgOFKywEAAJgDAAAOAAAAAAAAAAEAIAAAACIBAABkcnMv&#10;ZTJvRG9jLnhtbFBLBQYAAAAABgAGAFkBAABf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hint="eastAsia" w:eastAsia="宋体"/>
                      </w:rPr>
                      <w:t>1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36"/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76200" cy="262890"/>
              <wp:effectExtent l="0" t="0" r="0" b="0"/>
              <wp:wrapNone/>
              <wp:docPr id="23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2.2pt;height:20.7pt;width:6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NKdxNQAAAAEAQAADwAAAAAAAAABACAAAAAiAAAAZHJz&#10;L2Rvd25yZXYueG1sUEsBAhQAFAAAAAgAh07iQMLLDkTPAQAAlgMAAA4AAAAAAAAAAQAgAAAAIwEA&#10;AGRycy9lMm9Eb2MueG1sUEsFBgAAAAAGAAYAWQEAAGQ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right"/>
                      <w:textAlignment w:val="bottom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J92v0wAAAAUBAAAPAAAAAAAAAAEAIAAAACIAAABkcnMvZG93bnJl&#10;di54bWxQSwECFAAUAAAACACHTuJAL6kmvckBAACZAwAADgAAAAAAAAABACAAAAAiAQAAZHJzL2Uy&#10;b0RvYy54bWxQSwUGAAAAAAYABgBZAQAAX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436"/>
        <w:tab w:val="right" w:pos="9475"/>
      </w:tabs>
      <w:rPr>
        <w:rStyle w:val="28"/>
      </w:rPr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76200" cy="262890"/>
              <wp:effectExtent l="0" t="0" r="0" b="0"/>
              <wp:wrapNone/>
              <wp:docPr id="2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  <w:jc w:val="right"/>
                            <w:textAlignment w:val="bottom"/>
                            <w:rPr>
                              <w:rStyle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8"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2.2pt;height:20.7pt;width:6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NKdxNQAAAAEAQAADwAAAAAAAAABACAAAAAiAAAAZHJz&#10;L2Rvd25yZXYueG1sUEsBAhQAFAAAAAgAh07iQH9BUNXPAQAAlgMAAA4AAAAAAAAAAQAgAAAAIwEA&#10;AGRycy9lMm9Eb2MueG1sUEsFBgAAAAAGAAYAWQEAAGQ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right"/>
                      <w:textAlignment w:val="bottom"/>
                      <w:rPr>
                        <w:rStyle w:val="28"/>
                      </w:rPr>
                    </w:pPr>
                    <w:r>
                      <w:fldChar w:fldCharType="begin"/>
                    </w:r>
                    <w:r>
                      <w:rPr>
                        <w:rStyle w:val="2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28"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  <w:r>
      <w:rPr>
        <w:rStyle w:val="28"/>
        <w:rFonts w:hint="eastAsia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36"/>
        <w:tab w:val="center" w:pos="4153"/>
        <w:tab w:val="right" w:pos="8306"/>
        <w:tab w:val="right" w:pos="9475"/>
      </w:tabs>
      <w:snapToGrid w:val="0"/>
      <w:jc w:val="left"/>
      <w:rPr>
        <w:rFonts w:eastAsia="宋体"/>
        <w:sz w:val="18"/>
        <w:szCs w:val="18"/>
      </w:rPr>
    </w:pPr>
    <w:r>
      <w:rPr>
        <w:rFonts w:eastAsia="宋体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76200" cy="262890"/>
              <wp:effectExtent l="0" t="0" r="0" b="0"/>
              <wp:wrapNone/>
              <wp:docPr id="27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26289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right"/>
                            <w:textAlignment w:val="bottom"/>
                            <w:rPr>
                              <w:rFonts w:eastAsia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PAGE  </w:instrTex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III</w:t>
                          </w:r>
                          <w:r>
                            <w:rPr>
                              <w:rFonts w:eastAsia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2.2pt;height:20.7pt;width:6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0p3E1AAAAAQBAAAPAAAAAAAAAAEAIAAAACIAAABkcnMv&#10;ZG93bnJldi54bWxQSwECFAAUAAAACACHTuJAtVyZrM4BAACWAwAADgAAAAAAAAABACAAAAAjAQAA&#10;ZHJzL2Uyb0RvYy54bWxQSwUGAAAAAAYABgBZAQAAYw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right"/>
                      <w:textAlignment w:val="bottom"/>
                      <w:rPr>
                        <w:rFonts w:eastAsia="宋体"/>
                        <w:sz w:val="18"/>
                        <w:szCs w:val="18"/>
                      </w:rPr>
                    </w:pP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PAGE  </w:instrTex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III</w:t>
                    </w:r>
                    <w:r>
                      <w:rPr>
                        <w:rFonts w:eastAsia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</w:pPr>
    <w:r>
      <w:t>JB/T 4278.1—××××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2"/>
    </w:pPr>
    <w:r>
      <w:t>JB/T 4278.1—××××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0"/>
    </w:pPr>
    <w:r>
      <w:t xml:space="preserve">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rFonts w:hint="eastAsia" w:ascii="黑体" w:hAnsi="黑体" w:cs="黑体"/>
        <w:szCs w:val="21"/>
      </w:rPr>
    </w:pPr>
    <w:r>
      <w:rPr>
        <w:rFonts w:hint="eastAsia" w:ascii="黑体" w:hAnsi="黑体" w:cs="黑体"/>
        <w:szCs w:val="21"/>
      </w:rPr>
      <w:t>JJ</w:t>
    </w:r>
    <w:r>
      <w:rPr>
        <w:rFonts w:hint="eastAsia" w:ascii="黑体" w:hAnsi="黑体" w:cs="黑体"/>
        <w:color w:val="000000"/>
        <w:szCs w:val="21"/>
      </w:rPr>
      <w:t>F</w:t>
    </w:r>
    <w:r>
      <w:rPr>
        <w:rFonts w:hint="eastAsia" w:ascii="黑体" w:hAnsi="黑体" w:cs="黑体"/>
        <w:szCs w:val="21"/>
      </w:rPr>
      <w:t>（有色金属）XXX—XXXX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0" name="直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8" o:spid="_x0000_s1026" o:spt="20" style="position:absolute;left:0pt;margin-left:0pt;margin-top:0.05pt;height:0pt;width:468pt;z-index:251659264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DsHn8H3wEAANE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</w:pPr>
    <w:r>
      <w:t>J</w:t>
    </w:r>
    <w:r>
      <w:rPr>
        <w:rFonts w:hint="eastAsia"/>
      </w:rPr>
      <w:t>JF</w:t>
    </w:r>
    <w:r>
      <w:t xml:space="preserve"> ××××—××××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b/>
        <w:bCs/>
        <w:sz w:val="24"/>
      </w:rPr>
    </w:pPr>
    <w:r>
      <w:rPr>
        <w:b/>
        <w:bCs/>
        <w:sz w:val="24"/>
      </w:rPr>
      <w:t>J</w:t>
    </w:r>
    <w:r>
      <w:rPr>
        <w:rFonts w:hint="eastAsia"/>
        <w:b/>
        <w:bCs/>
        <w:sz w:val="24"/>
      </w:rPr>
      <w:t>JFX</w:t>
    </w:r>
    <w:r>
      <w:rPr>
        <w:rFonts w:hint="eastAsia"/>
        <w:b/>
        <w:bCs/>
      </w:rPr>
      <w:t>（机械）</w:t>
    </w:r>
    <w:r>
      <w:rPr>
        <w:rFonts w:hint="eastAsia"/>
        <w:b/>
        <w:bCs/>
        <w:sz w:val="24"/>
      </w:rPr>
      <w:t>0001-2018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1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0pt;margin-top:0.05pt;height:0pt;width:468pt;z-index:251660288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C1FlW0QAAAAIBAAAPAAAAAAAA&#10;AAEAIAAAACIAAABkcnMvZG93bnJldi54bWxQSwECFAAUAAAACACHTuJAhUz71uABAADRAwAADgAA&#10;AAAAAAABACAAAAAgAQAAZHJzL2Uyb0RvYy54bWxQSwUGAAAAAAYABgBZAQAAcg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0"/>
      <w:jc w:val="center"/>
      <w:rPr>
        <w:rFonts w:ascii="黑体"/>
        <w:color w:val="000000"/>
        <w:szCs w:val="21"/>
      </w:rPr>
    </w:pPr>
    <w:r>
      <w:rPr>
        <w:rFonts w:hint="eastAsia" w:ascii="黑体"/>
        <w:color w:val="000000"/>
        <w:szCs w:val="21"/>
      </w:rPr>
      <w:t>JJF（有色金属）XXX-XXXX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943600" cy="0"/>
              <wp:effectExtent l="0" t="0" r="0" b="0"/>
              <wp:wrapNone/>
              <wp:docPr id="22" name="直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0" o:spid="_x0000_s1026" o:spt="20" style="position:absolute;left:0pt;margin-left:0pt;margin-top:0.05pt;height:0pt;width:468pt;z-index:251661312;mso-width-relative:page;mso-height-relative:page;" filled="f" stroked="t" coordsize="21600,21600" o:gfxdata="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LUWVbRAAAAAgEAAA8AAAAAAAAA&#10;AQAgAAAAIgAAAGRycy9kb3ducmV2LnhtbFBLAQIUABQAAAAIAIdO4kAGoZ8/3wEAANIDAAAOAAAA&#10;AAAAAAEAIAAAACABAABkcnMvZTJvRG9jLnhtbFBLBQYAAAAABgAGAFkBAABx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center"/>
      <w:rPr>
        <w:rFonts w:ascii="黑体" w:eastAsia="黑体"/>
        <w:szCs w:val="21"/>
      </w:rPr>
    </w:pPr>
    <w:r>
      <w:rPr>
        <w:rFonts w:hint="eastAsia" w:ascii="黑体" w:eastAsia="黑体"/>
        <w:szCs w:val="21"/>
      </w:rPr>
      <w:t>JJF(有色金属)XXX-XXXX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single" w:color="auto" w:sz="4" w:space="0"/>
      </w:pBdr>
      <w:rPr>
        <w:rFonts w:ascii="黑体" w:eastAsia="黑体"/>
        <w:sz w:val="21"/>
        <w:szCs w:val="21"/>
      </w:rPr>
    </w:pPr>
    <w:r>
      <w:rPr>
        <w:rFonts w:hint="eastAsia" w:ascii="黑体" w:eastAsia="黑体"/>
        <w:sz w:val="21"/>
        <w:szCs w:val="21"/>
      </w:rPr>
      <w:t>JJF(有色金属)XXX-XXXX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255D7"/>
    <w:multiLevelType w:val="multilevel"/>
    <w:tmpl w:val="81C255D7"/>
    <w:lvl w:ilvl="0" w:tentative="0">
      <w:start w:val="1"/>
      <w:numFmt w:val="none"/>
      <w:pStyle w:val="83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270" w:hanging="270"/>
      </w:pPr>
      <w:rPr>
        <w:rFonts w:hint="eastAsia" w:ascii="黑体" w:hAnsi="Times New Roman" w:eastAsia="黑体"/>
        <w:b/>
        <w:i w:val="0"/>
        <w:sz w:val="24"/>
        <w:szCs w:val="24"/>
      </w:rPr>
    </w:lvl>
    <w:lvl w:ilvl="2" w:tentative="0">
      <w:start w:val="1"/>
      <w:numFmt w:val="decimal"/>
      <w:suff w:val="nothing"/>
      <w:lvlText w:val="%1%2.%3　"/>
      <w:lvlJc w:val="left"/>
      <w:pPr>
        <w:ind w:left="1418" w:firstLine="0"/>
      </w:pPr>
      <w:rPr>
        <w:rFonts w:hint="eastAsia" w:ascii="宋体" w:hAnsi="宋体" w:eastAsia="宋体"/>
        <w:b w:val="0"/>
        <w:i w:val="0"/>
        <w:color w:val="000000"/>
        <w:sz w:val="24"/>
        <w:szCs w:val="24"/>
      </w:rPr>
    </w:lvl>
    <w:lvl w:ilvl="3" w:tentative="0">
      <w:start w:val="1"/>
      <w:numFmt w:val="decimal"/>
      <w:suff w:val="nothing"/>
      <w:lvlText w:val="%1%2.%3.%4　"/>
      <w:lvlJc w:val="left"/>
      <w:pPr>
        <w:ind w:left="1084" w:firstLine="0"/>
      </w:pPr>
      <w:rPr>
        <w:rFonts w:hint="eastAsia" w:ascii="宋体" w:hAnsi="宋体" w:eastAsia="宋体"/>
        <w:b w:val="0"/>
        <w:i w:val="0"/>
        <w:sz w:val="24"/>
        <w:szCs w:val="24"/>
      </w:rPr>
    </w:lvl>
    <w:lvl w:ilvl="4" w:tentative="0">
      <w:start w:val="1"/>
      <w:numFmt w:val="decimal"/>
      <w:pStyle w:val="49"/>
      <w:suff w:val="nothing"/>
      <w:lvlText w:val="%1%2.%3.%4.%5　"/>
      <w:lvlJc w:val="left"/>
      <w:pPr>
        <w:ind w:left="0" w:firstLine="0"/>
      </w:pPr>
      <w:rPr>
        <w:rFonts w:hint="eastAsia" w:ascii="黑体"/>
        <w:b w:val="0"/>
        <w:i w:val="0"/>
        <w:sz w:val="21"/>
      </w:rPr>
    </w:lvl>
    <w:lvl w:ilvl="5" w:tentative="0">
      <w:start w:val="1"/>
      <w:numFmt w:val="decimal"/>
      <w:pStyle w:val="48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93EA20E4"/>
    <w:multiLevelType w:val="singleLevel"/>
    <w:tmpl w:val="93EA20E4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ADA9EF9B"/>
    <w:multiLevelType w:val="multilevel"/>
    <w:tmpl w:val="ADA9EF9B"/>
    <w:lvl w:ilvl="0" w:tentative="0">
      <w:start w:val="1"/>
      <w:numFmt w:val="decimal"/>
      <w:pStyle w:val="42"/>
      <w:suff w:val="space"/>
      <w:lvlText w:val="%1"/>
      <w:lvlJc w:val="left"/>
      <w:pPr>
        <w:ind w:left="425" w:hanging="425"/>
      </w:pPr>
      <w:rPr>
        <w:rFonts w:hint="default" w:ascii="黑体" w:hAnsi="黑体" w:eastAsia="黑体" w:cs="黑体"/>
      </w:rPr>
    </w:lvl>
    <w:lvl w:ilvl="1" w:tentative="0">
      <w:start w:val="1"/>
      <w:numFmt w:val="decimal"/>
      <w:pStyle w:val="51"/>
      <w:suff w:val="space"/>
      <w:lvlText w:val="%1.%2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decimal"/>
      <w:pStyle w:val="50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 w:cs="Times New Roman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宋体" w:cs="Times New Roman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D3774554"/>
    <w:multiLevelType w:val="singleLevel"/>
    <w:tmpl w:val="D37745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ED16621"/>
    <w:multiLevelType w:val="singleLevel"/>
    <w:tmpl w:val="DED16621"/>
    <w:lvl w:ilvl="0" w:tentative="0">
      <w:start w:val="1"/>
      <w:numFmt w:val="decimal"/>
      <w:pStyle w:val="88"/>
      <w:lvlText w:val="%1)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68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6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MjU1MDY0ZmYzNWYzMzY3ZTZiNjMwY2EwMTIzZjkifQ=="/>
  </w:docVars>
  <w:rsids>
    <w:rsidRoot w:val="00172A27"/>
    <w:rsid w:val="00002B4F"/>
    <w:rsid w:val="00003BE5"/>
    <w:rsid w:val="0000454F"/>
    <w:rsid w:val="00006C0B"/>
    <w:rsid w:val="00006EA1"/>
    <w:rsid w:val="00006EF2"/>
    <w:rsid w:val="00013671"/>
    <w:rsid w:val="00015FB7"/>
    <w:rsid w:val="00020191"/>
    <w:rsid w:val="00020C05"/>
    <w:rsid w:val="000229D0"/>
    <w:rsid w:val="000243DA"/>
    <w:rsid w:val="0002555F"/>
    <w:rsid w:val="00026C96"/>
    <w:rsid w:val="00027BBC"/>
    <w:rsid w:val="000324B9"/>
    <w:rsid w:val="00032BE7"/>
    <w:rsid w:val="00033A98"/>
    <w:rsid w:val="0003508D"/>
    <w:rsid w:val="00035BB8"/>
    <w:rsid w:val="00035DA0"/>
    <w:rsid w:val="00041E9A"/>
    <w:rsid w:val="000440D0"/>
    <w:rsid w:val="00045DA8"/>
    <w:rsid w:val="00045DBE"/>
    <w:rsid w:val="0004696E"/>
    <w:rsid w:val="00047FCE"/>
    <w:rsid w:val="00050573"/>
    <w:rsid w:val="00051730"/>
    <w:rsid w:val="00052A1E"/>
    <w:rsid w:val="0005597D"/>
    <w:rsid w:val="00060121"/>
    <w:rsid w:val="00061046"/>
    <w:rsid w:val="000635AA"/>
    <w:rsid w:val="0006638E"/>
    <w:rsid w:val="00070A27"/>
    <w:rsid w:val="00070ACA"/>
    <w:rsid w:val="000713CB"/>
    <w:rsid w:val="0007299A"/>
    <w:rsid w:val="00074700"/>
    <w:rsid w:val="00080051"/>
    <w:rsid w:val="000804B6"/>
    <w:rsid w:val="0008434B"/>
    <w:rsid w:val="00084AF0"/>
    <w:rsid w:val="00085B5F"/>
    <w:rsid w:val="00086130"/>
    <w:rsid w:val="00092C30"/>
    <w:rsid w:val="000945F0"/>
    <w:rsid w:val="00095210"/>
    <w:rsid w:val="0009785B"/>
    <w:rsid w:val="000A3760"/>
    <w:rsid w:val="000A4256"/>
    <w:rsid w:val="000A427E"/>
    <w:rsid w:val="000A4DA3"/>
    <w:rsid w:val="000A5506"/>
    <w:rsid w:val="000A6257"/>
    <w:rsid w:val="000B1F19"/>
    <w:rsid w:val="000B2F4C"/>
    <w:rsid w:val="000C0F00"/>
    <w:rsid w:val="000C1730"/>
    <w:rsid w:val="000C1BE7"/>
    <w:rsid w:val="000C3107"/>
    <w:rsid w:val="000C43F0"/>
    <w:rsid w:val="000D0552"/>
    <w:rsid w:val="000D3D7D"/>
    <w:rsid w:val="000D4BE2"/>
    <w:rsid w:val="000D5F07"/>
    <w:rsid w:val="000D71BF"/>
    <w:rsid w:val="000D736F"/>
    <w:rsid w:val="000D7B3F"/>
    <w:rsid w:val="000D7F6C"/>
    <w:rsid w:val="000E22AB"/>
    <w:rsid w:val="000E24D6"/>
    <w:rsid w:val="000E3E57"/>
    <w:rsid w:val="000E4800"/>
    <w:rsid w:val="000E4A41"/>
    <w:rsid w:val="000E4AA0"/>
    <w:rsid w:val="000E7CBB"/>
    <w:rsid w:val="000F1FC4"/>
    <w:rsid w:val="000F2BA9"/>
    <w:rsid w:val="000F3869"/>
    <w:rsid w:val="000F38DA"/>
    <w:rsid w:val="000F40CE"/>
    <w:rsid w:val="000F6072"/>
    <w:rsid w:val="0010233B"/>
    <w:rsid w:val="00104881"/>
    <w:rsid w:val="00107DEC"/>
    <w:rsid w:val="001112E4"/>
    <w:rsid w:val="001122A7"/>
    <w:rsid w:val="00112373"/>
    <w:rsid w:val="00113286"/>
    <w:rsid w:val="00113B0C"/>
    <w:rsid w:val="00116098"/>
    <w:rsid w:val="00116841"/>
    <w:rsid w:val="0012108E"/>
    <w:rsid w:val="00123340"/>
    <w:rsid w:val="00123996"/>
    <w:rsid w:val="00123FE8"/>
    <w:rsid w:val="00126B52"/>
    <w:rsid w:val="00126D02"/>
    <w:rsid w:val="0012749F"/>
    <w:rsid w:val="0012787F"/>
    <w:rsid w:val="00127906"/>
    <w:rsid w:val="00131A6D"/>
    <w:rsid w:val="00131FC3"/>
    <w:rsid w:val="001336B4"/>
    <w:rsid w:val="00134BA1"/>
    <w:rsid w:val="00135F02"/>
    <w:rsid w:val="00141FF8"/>
    <w:rsid w:val="0014220D"/>
    <w:rsid w:val="00144ED3"/>
    <w:rsid w:val="00145631"/>
    <w:rsid w:val="0014613D"/>
    <w:rsid w:val="001478B5"/>
    <w:rsid w:val="001507B0"/>
    <w:rsid w:val="00153045"/>
    <w:rsid w:val="00156084"/>
    <w:rsid w:val="001561E2"/>
    <w:rsid w:val="00160B60"/>
    <w:rsid w:val="00163812"/>
    <w:rsid w:val="00163BE4"/>
    <w:rsid w:val="001650C2"/>
    <w:rsid w:val="00172A27"/>
    <w:rsid w:val="001731B8"/>
    <w:rsid w:val="00174006"/>
    <w:rsid w:val="00174716"/>
    <w:rsid w:val="0017490B"/>
    <w:rsid w:val="001776F7"/>
    <w:rsid w:val="00180ED2"/>
    <w:rsid w:val="001810E8"/>
    <w:rsid w:val="001838C7"/>
    <w:rsid w:val="00184AF2"/>
    <w:rsid w:val="00185AC9"/>
    <w:rsid w:val="0018612C"/>
    <w:rsid w:val="00191D95"/>
    <w:rsid w:val="00196A1F"/>
    <w:rsid w:val="001A0175"/>
    <w:rsid w:val="001A1458"/>
    <w:rsid w:val="001A1710"/>
    <w:rsid w:val="001A3AAE"/>
    <w:rsid w:val="001A44C6"/>
    <w:rsid w:val="001A53C8"/>
    <w:rsid w:val="001A56D3"/>
    <w:rsid w:val="001A5B97"/>
    <w:rsid w:val="001A6050"/>
    <w:rsid w:val="001A752F"/>
    <w:rsid w:val="001B08AE"/>
    <w:rsid w:val="001B3136"/>
    <w:rsid w:val="001B6D25"/>
    <w:rsid w:val="001B70B2"/>
    <w:rsid w:val="001C141C"/>
    <w:rsid w:val="001C169C"/>
    <w:rsid w:val="001C1F36"/>
    <w:rsid w:val="001C2BD4"/>
    <w:rsid w:val="001C2E3F"/>
    <w:rsid w:val="001C3CEB"/>
    <w:rsid w:val="001C5703"/>
    <w:rsid w:val="001C575F"/>
    <w:rsid w:val="001C75B8"/>
    <w:rsid w:val="001C7B9D"/>
    <w:rsid w:val="001D15E4"/>
    <w:rsid w:val="001D16FD"/>
    <w:rsid w:val="001D1F51"/>
    <w:rsid w:val="001D54BD"/>
    <w:rsid w:val="001D637A"/>
    <w:rsid w:val="001D734A"/>
    <w:rsid w:val="001E1A84"/>
    <w:rsid w:val="001E1C24"/>
    <w:rsid w:val="001E20C7"/>
    <w:rsid w:val="001E2EB0"/>
    <w:rsid w:val="001E354B"/>
    <w:rsid w:val="001E3F78"/>
    <w:rsid w:val="001E4014"/>
    <w:rsid w:val="001E4FD2"/>
    <w:rsid w:val="001E55B0"/>
    <w:rsid w:val="001E56BB"/>
    <w:rsid w:val="001E61C4"/>
    <w:rsid w:val="001E6680"/>
    <w:rsid w:val="001E6AB3"/>
    <w:rsid w:val="001E6D6C"/>
    <w:rsid w:val="001F2695"/>
    <w:rsid w:val="001F36BD"/>
    <w:rsid w:val="001F3EBA"/>
    <w:rsid w:val="001F4365"/>
    <w:rsid w:val="001F5920"/>
    <w:rsid w:val="001F72DF"/>
    <w:rsid w:val="00200482"/>
    <w:rsid w:val="00200F26"/>
    <w:rsid w:val="0020238B"/>
    <w:rsid w:val="00203360"/>
    <w:rsid w:val="00204609"/>
    <w:rsid w:val="0020493B"/>
    <w:rsid w:val="00207B7A"/>
    <w:rsid w:val="00210C00"/>
    <w:rsid w:val="0021147E"/>
    <w:rsid w:val="00211522"/>
    <w:rsid w:val="0021199B"/>
    <w:rsid w:val="00213408"/>
    <w:rsid w:val="002165A3"/>
    <w:rsid w:val="00217175"/>
    <w:rsid w:val="002208FD"/>
    <w:rsid w:val="0022298C"/>
    <w:rsid w:val="00223AD8"/>
    <w:rsid w:val="00223F7D"/>
    <w:rsid w:val="00224680"/>
    <w:rsid w:val="00224C1A"/>
    <w:rsid w:val="00226B25"/>
    <w:rsid w:val="00226C26"/>
    <w:rsid w:val="00231AEF"/>
    <w:rsid w:val="00234886"/>
    <w:rsid w:val="0023502D"/>
    <w:rsid w:val="00235948"/>
    <w:rsid w:val="00235E24"/>
    <w:rsid w:val="00236AAD"/>
    <w:rsid w:val="0023799B"/>
    <w:rsid w:val="002402B1"/>
    <w:rsid w:val="00243A7A"/>
    <w:rsid w:val="002476A0"/>
    <w:rsid w:val="00247CE8"/>
    <w:rsid w:val="00250684"/>
    <w:rsid w:val="00252313"/>
    <w:rsid w:val="00254F88"/>
    <w:rsid w:val="00255763"/>
    <w:rsid w:val="00256140"/>
    <w:rsid w:val="00256F41"/>
    <w:rsid w:val="00257E87"/>
    <w:rsid w:val="002607DD"/>
    <w:rsid w:val="00261E03"/>
    <w:rsid w:val="00261E65"/>
    <w:rsid w:val="00264D82"/>
    <w:rsid w:val="00265A44"/>
    <w:rsid w:val="00265F54"/>
    <w:rsid w:val="002677E6"/>
    <w:rsid w:val="00270FF7"/>
    <w:rsid w:val="002721A6"/>
    <w:rsid w:val="00276346"/>
    <w:rsid w:val="00276BDF"/>
    <w:rsid w:val="00280202"/>
    <w:rsid w:val="00281C85"/>
    <w:rsid w:val="00283BD5"/>
    <w:rsid w:val="00284573"/>
    <w:rsid w:val="0028606E"/>
    <w:rsid w:val="00287823"/>
    <w:rsid w:val="00291245"/>
    <w:rsid w:val="00292158"/>
    <w:rsid w:val="0029448A"/>
    <w:rsid w:val="002954F4"/>
    <w:rsid w:val="0029682E"/>
    <w:rsid w:val="00296DDC"/>
    <w:rsid w:val="00297007"/>
    <w:rsid w:val="002975C6"/>
    <w:rsid w:val="002A0A96"/>
    <w:rsid w:val="002A1A10"/>
    <w:rsid w:val="002A4DED"/>
    <w:rsid w:val="002A551B"/>
    <w:rsid w:val="002A5A8B"/>
    <w:rsid w:val="002A7856"/>
    <w:rsid w:val="002B2E27"/>
    <w:rsid w:val="002B42E9"/>
    <w:rsid w:val="002B4741"/>
    <w:rsid w:val="002B51BD"/>
    <w:rsid w:val="002B6FAE"/>
    <w:rsid w:val="002B722A"/>
    <w:rsid w:val="002B74EB"/>
    <w:rsid w:val="002B7933"/>
    <w:rsid w:val="002B7A95"/>
    <w:rsid w:val="002C3B18"/>
    <w:rsid w:val="002C4319"/>
    <w:rsid w:val="002C48E1"/>
    <w:rsid w:val="002C6457"/>
    <w:rsid w:val="002C7288"/>
    <w:rsid w:val="002C7743"/>
    <w:rsid w:val="002D0303"/>
    <w:rsid w:val="002D05D7"/>
    <w:rsid w:val="002D3AB7"/>
    <w:rsid w:val="002D4019"/>
    <w:rsid w:val="002D6B04"/>
    <w:rsid w:val="002D7639"/>
    <w:rsid w:val="002E435A"/>
    <w:rsid w:val="002E67DD"/>
    <w:rsid w:val="002E69F9"/>
    <w:rsid w:val="002F1E73"/>
    <w:rsid w:val="002F2A05"/>
    <w:rsid w:val="002F4D77"/>
    <w:rsid w:val="002F5104"/>
    <w:rsid w:val="002F77D2"/>
    <w:rsid w:val="00300578"/>
    <w:rsid w:val="0030096F"/>
    <w:rsid w:val="00300DE7"/>
    <w:rsid w:val="00301F68"/>
    <w:rsid w:val="00302EBB"/>
    <w:rsid w:val="00304483"/>
    <w:rsid w:val="00304888"/>
    <w:rsid w:val="003071EE"/>
    <w:rsid w:val="0031039B"/>
    <w:rsid w:val="00311BB2"/>
    <w:rsid w:val="00311F9C"/>
    <w:rsid w:val="00312E6B"/>
    <w:rsid w:val="00314060"/>
    <w:rsid w:val="0031759F"/>
    <w:rsid w:val="00321D85"/>
    <w:rsid w:val="00321DF1"/>
    <w:rsid w:val="00323376"/>
    <w:rsid w:val="00324338"/>
    <w:rsid w:val="0032590F"/>
    <w:rsid w:val="00326690"/>
    <w:rsid w:val="003272CA"/>
    <w:rsid w:val="00327461"/>
    <w:rsid w:val="00330B7E"/>
    <w:rsid w:val="003346E2"/>
    <w:rsid w:val="0033783E"/>
    <w:rsid w:val="0034691A"/>
    <w:rsid w:val="003478AC"/>
    <w:rsid w:val="00347CC5"/>
    <w:rsid w:val="0035075D"/>
    <w:rsid w:val="00350E14"/>
    <w:rsid w:val="00351D3C"/>
    <w:rsid w:val="0035355F"/>
    <w:rsid w:val="00354D7A"/>
    <w:rsid w:val="003572B8"/>
    <w:rsid w:val="00362DFB"/>
    <w:rsid w:val="003641BD"/>
    <w:rsid w:val="00366CD1"/>
    <w:rsid w:val="00367813"/>
    <w:rsid w:val="00370E7E"/>
    <w:rsid w:val="00372D02"/>
    <w:rsid w:val="003737D3"/>
    <w:rsid w:val="00373FC6"/>
    <w:rsid w:val="00382041"/>
    <w:rsid w:val="00382068"/>
    <w:rsid w:val="00382421"/>
    <w:rsid w:val="00382ACE"/>
    <w:rsid w:val="00382C39"/>
    <w:rsid w:val="00383961"/>
    <w:rsid w:val="00383A8F"/>
    <w:rsid w:val="00383AC5"/>
    <w:rsid w:val="0038622E"/>
    <w:rsid w:val="003866E5"/>
    <w:rsid w:val="0039033B"/>
    <w:rsid w:val="00391026"/>
    <w:rsid w:val="0039157F"/>
    <w:rsid w:val="003919D1"/>
    <w:rsid w:val="00391A6A"/>
    <w:rsid w:val="00395E6F"/>
    <w:rsid w:val="003A151C"/>
    <w:rsid w:val="003A5204"/>
    <w:rsid w:val="003A5420"/>
    <w:rsid w:val="003A6FF4"/>
    <w:rsid w:val="003B3013"/>
    <w:rsid w:val="003B41BF"/>
    <w:rsid w:val="003C02EB"/>
    <w:rsid w:val="003C3320"/>
    <w:rsid w:val="003C565B"/>
    <w:rsid w:val="003E1A3C"/>
    <w:rsid w:val="003E4A5F"/>
    <w:rsid w:val="003E609B"/>
    <w:rsid w:val="003F0FD2"/>
    <w:rsid w:val="003F10DE"/>
    <w:rsid w:val="003F1238"/>
    <w:rsid w:val="003F21CC"/>
    <w:rsid w:val="003F621C"/>
    <w:rsid w:val="003F7000"/>
    <w:rsid w:val="004021D0"/>
    <w:rsid w:val="00405AEE"/>
    <w:rsid w:val="00407D33"/>
    <w:rsid w:val="00410301"/>
    <w:rsid w:val="00411C06"/>
    <w:rsid w:val="0041241B"/>
    <w:rsid w:val="00427482"/>
    <w:rsid w:val="004278E4"/>
    <w:rsid w:val="00430F63"/>
    <w:rsid w:val="00434FC1"/>
    <w:rsid w:val="004355BF"/>
    <w:rsid w:val="00436D71"/>
    <w:rsid w:val="004375D6"/>
    <w:rsid w:val="00437BB2"/>
    <w:rsid w:val="0044135C"/>
    <w:rsid w:val="00443040"/>
    <w:rsid w:val="00444240"/>
    <w:rsid w:val="0044700E"/>
    <w:rsid w:val="00450457"/>
    <w:rsid w:val="00451E0C"/>
    <w:rsid w:val="00455452"/>
    <w:rsid w:val="004557AC"/>
    <w:rsid w:val="00455E20"/>
    <w:rsid w:val="00457185"/>
    <w:rsid w:val="0045730B"/>
    <w:rsid w:val="00460DCB"/>
    <w:rsid w:val="004658E5"/>
    <w:rsid w:val="00466D50"/>
    <w:rsid w:val="00467A15"/>
    <w:rsid w:val="00467EC1"/>
    <w:rsid w:val="00472B9D"/>
    <w:rsid w:val="00476A32"/>
    <w:rsid w:val="00476B83"/>
    <w:rsid w:val="00476DD5"/>
    <w:rsid w:val="00480B38"/>
    <w:rsid w:val="00481EAD"/>
    <w:rsid w:val="004821B5"/>
    <w:rsid w:val="00482790"/>
    <w:rsid w:val="00487F93"/>
    <w:rsid w:val="004906EA"/>
    <w:rsid w:val="00491516"/>
    <w:rsid w:val="00494177"/>
    <w:rsid w:val="00494C07"/>
    <w:rsid w:val="004966D0"/>
    <w:rsid w:val="0049696E"/>
    <w:rsid w:val="004975B6"/>
    <w:rsid w:val="004A12F9"/>
    <w:rsid w:val="004A4984"/>
    <w:rsid w:val="004A57A5"/>
    <w:rsid w:val="004A6C2F"/>
    <w:rsid w:val="004B3762"/>
    <w:rsid w:val="004B4B1F"/>
    <w:rsid w:val="004B4DD9"/>
    <w:rsid w:val="004B5215"/>
    <w:rsid w:val="004B6B2E"/>
    <w:rsid w:val="004C1D86"/>
    <w:rsid w:val="004C5874"/>
    <w:rsid w:val="004C5B1F"/>
    <w:rsid w:val="004C61EE"/>
    <w:rsid w:val="004C642A"/>
    <w:rsid w:val="004D0CDD"/>
    <w:rsid w:val="004D1B0E"/>
    <w:rsid w:val="004E1885"/>
    <w:rsid w:val="004E2B8B"/>
    <w:rsid w:val="004E3F08"/>
    <w:rsid w:val="004E4618"/>
    <w:rsid w:val="004E4DAB"/>
    <w:rsid w:val="004E563F"/>
    <w:rsid w:val="004E5A85"/>
    <w:rsid w:val="004F0679"/>
    <w:rsid w:val="004F49EA"/>
    <w:rsid w:val="004F60BF"/>
    <w:rsid w:val="004F72B7"/>
    <w:rsid w:val="004F783F"/>
    <w:rsid w:val="004F7D3A"/>
    <w:rsid w:val="005000A1"/>
    <w:rsid w:val="0050399B"/>
    <w:rsid w:val="0050681E"/>
    <w:rsid w:val="005070B9"/>
    <w:rsid w:val="00511ABE"/>
    <w:rsid w:val="005159F6"/>
    <w:rsid w:val="0051798A"/>
    <w:rsid w:val="00517F62"/>
    <w:rsid w:val="0052101A"/>
    <w:rsid w:val="00521BDD"/>
    <w:rsid w:val="00522E87"/>
    <w:rsid w:val="005309D8"/>
    <w:rsid w:val="0053217D"/>
    <w:rsid w:val="00537744"/>
    <w:rsid w:val="0054343E"/>
    <w:rsid w:val="005455BA"/>
    <w:rsid w:val="005458A3"/>
    <w:rsid w:val="00546D7F"/>
    <w:rsid w:val="00547137"/>
    <w:rsid w:val="005504A5"/>
    <w:rsid w:val="00550D0E"/>
    <w:rsid w:val="00550D14"/>
    <w:rsid w:val="00552117"/>
    <w:rsid w:val="00552738"/>
    <w:rsid w:val="0055539D"/>
    <w:rsid w:val="00555857"/>
    <w:rsid w:val="00555A3E"/>
    <w:rsid w:val="005565BC"/>
    <w:rsid w:val="005569B0"/>
    <w:rsid w:val="00560309"/>
    <w:rsid w:val="005624AC"/>
    <w:rsid w:val="00563547"/>
    <w:rsid w:val="00564845"/>
    <w:rsid w:val="00567558"/>
    <w:rsid w:val="00571BAE"/>
    <w:rsid w:val="00571E42"/>
    <w:rsid w:val="00575511"/>
    <w:rsid w:val="00580CF4"/>
    <w:rsid w:val="005810BB"/>
    <w:rsid w:val="00581E46"/>
    <w:rsid w:val="005829B0"/>
    <w:rsid w:val="00582A70"/>
    <w:rsid w:val="005845A7"/>
    <w:rsid w:val="00585822"/>
    <w:rsid w:val="005859B4"/>
    <w:rsid w:val="00586043"/>
    <w:rsid w:val="00587547"/>
    <w:rsid w:val="00591449"/>
    <w:rsid w:val="005928E8"/>
    <w:rsid w:val="00593C50"/>
    <w:rsid w:val="005947C8"/>
    <w:rsid w:val="00596509"/>
    <w:rsid w:val="00597AF9"/>
    <w:rsid w:val="00597FC9"/>
    <w:rsid w:val="005A16B9"/>
    <w:rsid w:val="005A30CB"/>
    <w:rsid w:val="005A3AB9"/>
    <w:rsid w:val="005A4A03"/>
    <w:rsid w:val="005A50D7"/>
    <w:rsid w:val="005B32D2"/>
    <w:rsid w:val="005B7B6C"/>
    <w:rsid w:val="005B7C63"/>
    <w:rsid w:val="005C0928"/>
    <w:rsid w:val="005C4B26"/>
    <w:rsid w:val="005C620C"/>
    <w:rsid w:val="005C7366"/>
    <w:rsid w:val="005D14FF"/>
    <w:rsid w:val="005D163C"/>
    <w:rsid w:val="005D2A8E"/>
    <w:rsid w:val="005D602D"/>
    <w:rsid w:val="005E3E64"/>
    <w:rsid w:val="005E4239"/>
    <w:rsid w:val="005F340F"/>
    <w:rsid w:val="005F488C"/>
    <w:rsid w:val="005F5D60"/>
    <w:rsid w:val="005F6D8D"/>
    <w:rsid w:val="00601A0C"/>
    <w:rsid w:val="00603F40"/>
    <w:rsid w:val="006045D9"/>
    <w:rsid w:val="006067E5"/>
    <w:rsid w:val="00607097"/>
    <w:rsid w:val="00610483"/>
    <w:rsid w:val="0061068C"/>
    <w:rsid w:val="006109CD"/>
    <w:rsid w:val="00612EE1"/>
    <w:rsid w:val="006150DE"/>
    <w:rsid w:val="00615949"/>
    <w:rsid w:val="006166CA"/>
    <w:rsid w:val="006167C8"/>
    <w:rsid w:val="00616CB2"/>
    <w:rsid w:val="00621972"/>
    <w:rsid w:val="00621EF9"/>
    <w:rsid w:val="00623455"/>
    <w:rsid w:val="00624BE6"/>
    <w:rsid w:val="006264B8"/>
    <w:rsid w:val="00627BA2"/>
    <w:rsid w:val="00632876"/>
    <w:rsid w:val="006333E6"/>
    <w:rsid w:val="00634514"/>
    <w:rsid w:val="00634784"/>
    <w:rsid w:val="00634B6E"/>
    <w:rsid w:val="006360D4"/>
    <w:rsid w:val="00636247"/>
    <w:rsid w:val="00640F58"/>
    <w:rsid w:val="00641035"/>
    <w:rsid w:val="0064735F"/>
    <w:rsid w:val="006505DF"/>
    <w:rsid w:val="006507F0"/>
    <w:rsid w:val="00653A57"/>
    <w:rsid w:val="00654AFA"/>
    <w:rsid w:val="0065543B"/>
    <w:rsid w:val="00655769"/>
    <w:rsid w:val="00655A58"/>
    <w:rsid w:val="00656C35"/>
    <w:rsid w:val="00657830"/>
    <w:rsid w:val="00660991"/>
    <w:rsid w:val="00662BA9"/>
    <w:rsid w:val="00663654"/>
    <w:rsid w:val="006659B6"/>
    <w:rsid w:val="00666A77"/>
    <w:rsid w:val="0066708C"/>
    <w:rsid w:val="00667188"/>
    <w:rsid w:val="00673077"/>
    <w:rsid w:val="00674BB4"/>
    <w:rsid w:val="00674E5A"/>
    <w:rsid w:val="00675383"/>
    <w:rsid w:val="00675CDD"/>
    <w:rsid w:val="00676A8F"/>
    <w:rsid w:val="006803D2"/>
    <w:rsid w:val="0068339E"/>
    <w:rsid w:val="00683A25"/>
    <w:rsid w:val="00683DEA"/>
    <w:rsid w:val="00684C9C"/>
    <w:rsid w:val="00684E96"/>
    <w:rsid w:val="006855E9"/>
    <w:rsid w:val="00687642"/>
    <w:rsid w:val="00687B11"/>
    <w:rsid w:val="00687CE5"/>
    <w:rsid w:val="00693915"/>
    <w:rsid w:val="00693EE5"/>
    <w:rsid w:val="00694BE1"/>
    <w:rsid w:val="00696F45"/>
    <w:rsid w:val="006A0D84"/>
    <w:rsid w:val="006A27BE"/>
    <w:rsid w:val="006A28BC"/>
    <w:rsid w:val="006A4993"/>
    <w:rsid w:val="006A58D6"/>
    <w:rsid w:val="006A5D08"/>
    <w:rsid w:val="006A6675"/>
    <w:rsid w:val="006B1B53"/>
    <w:rsid w:val="006B2DBB"/>
    <w:rsid w:val="006B48A1"/>
    <w:rsid w:val="006B50B7"/>
    <w:rsid w:val="006B5796"/>
    <w:rsid w:val="006B72F2"/>
    <w:rsid w:val="006B7864"/>
    <w:rsid w:val="006B787D"/>
    <w:rsid w:val="006B78C5"/>
    <w:rsid w:val="006B7908"/>
    <w:rsid w:val="006C10F0"/>
    <w:rsid w:val="006C130B"/>
    <w:rsid w:val="006C140B"/>
    <w:rsid w:val="006C1472"/>
    <w:rsid w:val="006C4D08"/>
    <w:rsid w:val="006C7C3F"/>
    <w:rsid w:val="006D06F9"/>
    <w:rsid w:val="006D0EC1"/>
    <w:rsid w:val="006D7582"/>
    <w:rsid w:val="006E13FB"/>
    <w:rsid w:val="006E2464"/>
    <w:rsid w:val="006E563E"/>
    <w:rsid w:val="006E5AF6"/>
    <w:rsid w:val="006F32CB"/>
    <w:rsid w:val="006F4DC9"/>
    <w:rsid w:val="006F4F44"/>
    <w:rsid w:val="007001AB"/>
    <w:rsid w:val="007011CF"/>
    <w:rsid w:val="00701BB1"/>
    <w:rsid w:val="00705919"/>
    <w:rsid w:val="007077F7"/>
    <w:rsid w:val="00707E2E"/>
    <w:rsid w:val="00711CB5"/>
    <w:rsid w:val="00714F9C"/>
    <w:rsid w:val="007203CF"/>
    <w:rsid w:val="00721FA6"/>
    <w:rsid w:val="00725F97"/>
    <w:rsid w:val="00730198"/>
    <w:rsid w:val="00730CCB"/>
    <w:rsid w:val="00732820"/>
    <w:rsid w:val="00734C8D"/>
    <w:rsid w:val="0073797C"/>
    <w:rsid w:val="00737D12"/>
    <w:rsid w:val="0074010A"/>
    <w:rsid w:val="007428C1"/>
    <w:rsid w:val="00747DAF"/>
    <w:rsid w:val="00747FF0"/>
    <w:rsid w:val="00751A66"/>
    <w:rsid w:val="00752104"/>
    <w:rsid w:val="00753B68"/>
    <w:rsid w:val="007556F6"/>
    <w:rsid w:val="0075710A"/>
    <w:rsid w:val="00764100"/>
    <w:rsid w:val="007648FF"/>
    <w:rsid w:val="00766D0E"/>
    <w:rsid w:val="00767019"/>
    <w:rsid w:val="00767416"/>
    <w:rsid w:val="00772C90"/>
    <w:rsid w:val="007741E9"/>
    <w:rsid w:val="00774747"/>
    <w:rsid w:val="0077545F"/>
    <w:rsid w:val="007770CC"/>
    <w:rsid w:val="00781D8F"/>
    <w:rsid w:val="00782EBF"/>
    <w:rsid w:val="00784AEA"/>
    <w:rsid w:val="00796458"/>
    <w:rsid w:val="007966E0"/>
    <w:rsid w:val="007A0175"/>
    <w:rsid w:val="007A1378"/>
    <w:rsid w:val="007A1CE1"/>
    <w:rsid w:val="007A7A87"/>
    <w:rsid w:val="007B0AA0"/>
    <w:rsid w:val="007B1D4B"/>
    <w:rsid w:val="007B2DC1"/>
    <w:rsid w:val="007B47D9"/>
    <w:rsid w:val="007B4EC2"/>
    <w:rsid w:val="007B6DCC"/>
    <w:rsid w:val="007B7337"/>
    <w:rsid w:val="007C1153"/>
    <w:rsid w:val="007C173C"/>
    <w:rsid w:val="007C2839"/>
    <w:rsid w:val="007C3A2D"/>
    <w:rsid w:val="007C6ADC"/>
    <w:rsid w:val="007D07D2"/>
    <w:rsid w:val="007D39FE"/>
    <w:rsid w:val="007D5524"/>
    <w:rsid w:val="007D78E9"/>
    <w:rsid w:val="007E4BB6"/>
    <w:rsid w:val="007E5AF3"/>
    <w:rsid w:val="007E7C78"/>
    <w:rsid w:val="007F3E97"/>
    <w:rsid w:val="007F54E9"/>
    <w:rsid w:val="0080179E"/>
    <w:rsid w:val="00801C41"/>
    <w:rsid w:val="008026C4"/>
    <w:rsid w:val="008028A8"/>
    <w:rsid w:val="00803D3B"/>
    <w:rsid w:val="00804418"/>
    <w:rsid w:val="00804D66"/>
    <w:rsid w:val="00804FB7"/>
    <w:rsid w:val="008056AC"/>
    <w:rsid w:val="00805E55"/>
    <w:rsid w:val="008101F1"/>
    <w:rsid w:val="00812205"/>
    <w:rsid w:val="00812455"/>
    <w:rsid w:val="00812B9C"/>
    <w:rsid w:val="00813036"/>
    <w:rsid w:val="008147E7"/>
    <w:rsid w:val="00814D76"/>
    <w:rsid w:val="00816521"/>
    <w:rsid w:val="008179E6"/>
    <w:rsid w:val="00817CE2"/>
    <w:rsid w:val="008210D7"/>
    <w:rsid w:val="00821630"/>
    <w:rsid w:val="00821D88"/>
    <w:rsid w:val="00823197"/>
    <w:rsid w:val="008241B2"/>
    <w:rsid w:val="0082454A"/>
    <w:rsid w:val="00826E3A"/>
    <w:rsid w:val="0082790B"/>
    <w:rsid w:val="00827D04"/>
    <w:rsid w:val="00831287"/>
    <w:rsid w:val="00832060"/>
    <w:rsid w:val="00832210"/>
    <w:rsid w:val="00833112"/>
    <w:rsid w:val="00834F4A"/>
    <w:rsid w:val="008350D9"/>
    <w:rsid w:val="00835AAC"/>
    <w:rsid w:val="00835B04"/>
    <w:rsid w:val="00836169"/>
    <w:rsid w:val="00836A6B"/>
    <w:rsid w:val="008370E5"/>
    <w:rsid w:val="008373FA"/>
    <w:rsid w:val="00847C81"/>
    <w:rsid w:val="00847CD4"/>
    <w:rsid w:val="0085148D"/>
    <w:rsid w:val="008531F6"/>
    <w:rsid w:val="008541FA"/>
    <w:rsid w:val="00854FC8"/>
    <w:rsid w:val="008568B0"/>
    <w:rsid w:val="00861D62"/>
    <w:rsid w:val="00861FFE"/>
    <w:rsid w:val="008633D7"/>
    <w:rsid w:val="00866651"/>
    <w:rsid w:val="008701A2"/>
    <w:rsid w:val="00872214"/>
    <w:rsid w:val="00872485"/>
    <w:rsid w:val="00873158"/>
    <w:rsid w:val="00875596"/>
    <w:rsid w:val="008768DE"/>
    <w:rsid w:val="00880B9D"/>
    <w:rsid w:val="00880EF6"/>
    <w:rsid w:val="008816F0"/>
    <w:rsid w:val="00881BD9"/>
    <w:rsid w:val="00883636"/>
    <w:rsid w:val="00883A36"/>
    <w:rsid w:val="00883F90"/>
    <w:rsid w:val="00884889"/>
    <w:rsid w:val="0089012F"/>
    <w:rsid w:val="0089039A"/>
    <w:rsid w:val="00891EF2"/>
    <w:rsid w:val="00892A2A"/>
    <w:rsid w:val="00896E28"/>
    <w:rsid w:val="0089786E"/>
    <w:rsid w:val="008A2301"/>
    <w:rsid w:val="008A36F7"/>
    <w:rsid w:val="008A3C89"/>
    <w:rsid w:val="008A6776"/>
    <w:rsid w:val="008A6AC4"/>
    <w:rsid w:val="008A7ACC"/>
    <w:rsid w:val="008B3EC5"/>
    <w:rsid w:val="008B4C4F"/>
    <w:rsid w:val="008B5513"/>
    <w:rsid w:val="008C34A9"/>
    <w:rsid w:val="008C3F4E"/>
    <w:rsid w:val="008C45AA"/>
    <w:rsid w:val="008C5035"/>
    <w:rsid w:val="008C5473"/>
    <w:rsid w:val="008C61E1"/>
    <w:rsid w:val="008C6A1F"/>
    <w:rsid w:val="008C6C05"/>
    <w:rsid w:val="008C7542"/>
    <w:rsid w:val="008C787C"/>
    <w:rsid w:val="008D09EA"/>
    <w:rsid w:val="008D33EE"/>
    <w:rsid w:val="008D4E8E"/>
    <w:rsid w:val="008D56EF"/>
    <w:rsid w:val="008D5A78"/>
    <w:rsid w:val="008D7633"/>
    <w:rsid w:val="008E0628"/>
    <w:rsid w:val="008E0CCA"/>
    <w:rsid w:val="008E170A"/>
    <w:rsid w:val="008E3EEB"/>
    <w:rsid w:val="008E3F47"/>
    <w:rsid w:val="008E432B"/>
    <w:rsid w:val="008E4BB9"/>
    <w:rsid w:val="008E4C30"/>
    <w:rsid w:val="008E73D4"/>
    <w:rsid w:val="008F0824"/>
    <w:rsid w:val="008F22F2"/>
    <w:rsid w:val="008F4C54"/>
    <w:rsid w:val="008F5CAB"/>
    <w:rsid w:val="008F6E34"/>
    <w:rsid w:val="00901623"/>
    <w:rsid w:val="0090526D"/>
    <w:rsid w:val="00911250"/>
    <w:rsid w:val="00912D71"/>
    <w:rsid w:val="00913DFD"/>
    <w:rsid w:val="00914551"/>
    <w:rsid w:val="00916A57"/>
    <w:rsid w:val="00916E67"/>
    <w:rsid w:val="009177D0"/>
    <w:rsid w:val="0092115E"/>
    <w:rsid w:val="00922D5A"/>
    <w:rsid w:val="00923DA9"/>
    <w:rsid w:val="00925A57"/>
    <w:rsid w:val="0092676E"/>
    <w:rsid w:val="0092755A"/>
    <w:rsid w:val="009306A9"/>
    <w:rsid w:val="00930CC9"/>
    <w:rsid w:val="009336F9"/>
    <w:rsid w:val="00935BE8"/>
    <w:rsid w:val="0093655F"/>
    <w:rsid w:val="00943C8C"/>
    <w:rsid w:val="00946559"/>
    <w:rsid w:val="00947CB1"/>
    <w:rsid w:val="009508FC"/>
    <w:rsid w:val="00951245"/>
    <w:rsid w:val="00951DB9"/>
    <w:rsid w:val="0095381E"/>
    <w:rsid w:val="00955CC6"/>
    <w:rsid w:val="00957736"/>
    <w:rsid w:val="00957F2B"/>
    <w:rsid w:val="00961FE5"/>
    <w:rsid w:val="009640F0"/>
    <w:rsid w:val="00964524"/>
    <w:rsid w:val="00966A0E"/>
    <w:rsid w:val="00966FF7"/>
    <w:rsid w:val="00967301"/>
    <w:rsid w:val="00967702"/>
    <w:rsid w:val="0097005A"/>
    <w:rsid w:val="00971BE3"/>
    <w:rsid w:val="00973DB9"/>
    <w:rsid w:val="009762F7"/>
    <w:rsid w:val="0097680C"/>
    <w:rsid w:val="00976C25"/>
    <w:rsid w:val="00977C40"/>
    <w:rsid w:val="00981A59"/>
    <w:rsid w:val="00982A8E"/>
    <w:rsid w:val="009834C8"/>
    <w:rsid w:val="00983B18"/>
    <w:rsid w:val="00983DA4"/>
    <w:rsid w:val="00986097"/>
    <w:rsid w:val="00986E68"/>
    <w:rsid w:val="009947D2"/>
    <w:rsid w:val="009954CE"/>
    <w:rsid w:val="009961B2"/>
    <w:rsid w:val="009A3E8C"/>
    <w:rsid w:val="009A604A"/>
    <w:rsid w:val="009A73A8"/>
    <w:rsid w:val="009B1440"/>
    <w:rsid w:val="009B14BB"/>
    <w:rsid w:val="009B2927"/>
    <w:rsid w:val="009B2BE7"/>
    <w:rsid w:val="009B45DD"/>
    <w:rsid w:val="009B7454"/>
    <w:rsid w:val="009C4272"/>
    <w:rsid w:val="009C7073"/>
    <w:rsid w:val="009D3F3B"/>
    <w:rsid w:val="009D3FD7"/>
    <w:rsid w:val="009D5A08"/>
    <w:rsid w:val="009D6ED0"/>
    <w:rsid w:val="009E0087"/>
    <w:rsid w:val="009E0205"/>
    <w:rsid w:val="009E1ABD"/>
    <w:rsid w:val="009E1F29"/>
    <w:rsid w:val="009E5C4A"/>
    <w:rsid w:val="009E6947"/>
    <w:rsid w:val="009E6B11"/>
    <w:rsid w:val="009F1BCB"/>
    <w:rsid w:val="009F3C5A"/>
    <w:rsid w:val="009F4504"/>
    <w:rsid w:val="009F624C"/>
    <w:rsid w:val="00A0608F"/>
    <w:rsid w:val="00A11629"/>
    <w:rsid w:val="00A12527"/>
    <w:rsid w:val="00A17672"/>
    <w:rsid w:val="00A178A8"/>
    <w:rsid w:val="00A17A1B"/>
    <w:rsid w:val="00A20BD3"/>
    <w:rsid w:val="00A218AC"/>
    <w:rsid w:val="00A21FF8"/>
    <w:rsid w:val="00A24E7E"/>
    <w:rsid w:val="00A25382"/>
    <w:rsid w:val="00A253D2"/>
    <w:rsid w:val="00A27917"/>
    <w:rsid w:val="00A31BBB"/>
    <w:rsid w:val="00A324F0"/>
    <w:rsid w:val="00A35A0E"/>
    <w:rsid w:val="00A35EBD"/>
    <w:rsid w:val="00A376BE"/>
    <w:rsid w:val="00A4071D"/>
    <w:rsid w:val="00A42258"/>
    <w:rsid w:val="00A46446"/>
    <w:rsid w:val="00A47875"/>
    <w:rsid w:val="00A47897"/>
    <w:rsid w:val="00A605BF"/>
    <w:rsid w:val="00A67AC7"/>
    <w:rsid w:val="00A70695"/>
    <w:rsid w:val="00A73741"/>
    <w:rsid w:val="00A75BA8"/>
    <w:rsid w:val="00A76156"/>
    <w:rsid w:val="00A80070"/>
    <w:rsid w:val="00A81A03"/>
    <w:rsid w:val="00A82E4A"/>
    <w:rsid w:val="00A870F5"/>
    <w:rsid w:val="00A87B88"/>
    <w:rsid w:val="00A90382"/>
    <w:rsid w:val="00A927E3"/>
    <w:rsid w:val="00A953B3"/>
    <w:rsid w:val="00A962F4"/>
    <w:rsid w:val="00A96C16"/>
    <w:rsid w:val="00A96E5E"/>
    <w:rsid w:val="00A97C61"/>
    <w:rsid w:val="00AA0EBA"/>
    <w:rsid w:val="00AA1673"/>
    <w:rsid w:val="00AA1CCB"/>
    <w:rsid w:val="00AA2582"/>
    <w:rsid w:val="00AA2771"/>
    <w:rsid w:val="00AA2942"/>
    <w:rsid w:val="00AA2A37"/>
    <w:rsid w:val="00AA3ED1"/>
    <w:rsid w:val="00AA5342"/>
    <w:rsid w:val="00AA6255"/>
    <w:rsid w:val="00AA79CD"/>
    <w:rsid w:val="00AB06E0"/>
    <w:rsid w:val="00AB24E0"/>
    <w:rsid w:val="00AB282E"/>
    <w:rsid w:val="00AB4EF5"/>
    <w:rsid w:val="00AB5871"/>
    <w:rsid w:val="00AB6DC5"/>
    <w:rsid w:val="00AB74B7"/>
    <w:rsid w:val="00AB7A61"/>
    <w:rsid w:val="00AC0DAB"/>
    <w:rsid w:val="00AC341A"/>
    <w:rsid w:val="00AC349E"/>
    <w:rsid w:val="00AC34A6"/>
    <w:rsid w:val="00AC481C"/>
    <w:rsid w:val="00AC4B2E"/>
    <w:rsid w:val="00AC5B88"/>
    <w:rsid w:val="00AC6CC2"/>
    <w:rsid w:val="00AD05F6"/>
    <w:rsid w:val="00AD0643"/>
    <w:rsid w:val="00AD1FFB"/>
    <w:rsid w:val="00AD45FD"/>
    <w:rsid w:val="00AD7A94"/>
    <w:rsid w:val="00AE102A"/>
    <w:rsid w:val="00AE3DD5"/>
    <w:rsid w:val="00AE4344"/>
    <w:rsid w:val="00AE4B8A"/>
    <w:rsid w:val="00AE4C8E"/>
    <w:rsid w:val="00AE6576"/>
    <w:rsid w:val="00AF004F"/>
    <w:rsid w:val="00AF024B"/>
    <w:rsid w:val="00AF0582"/>
    <w:rsid w:val="00AF17EA"/>
    <w:rsid w:val="00AF25A7"/>
    <w:rsid w:val="00AF416E"/>
    <w:rsid w:val="00AF42CC"/>
    <w:rsid w:val="00B019BA"/>
    <w:rsid w:val="00B01E42"/>
    <w:rsid w:val="00B032DC"/>
    <w:rsid w:val="00B03341"/>
    <w:rsid w:val="00B05489"/>
    <w:rsid w:val="00B06DBC"/>
    <w:rsid w:val="00B077D7"/>
    <w:rsid w:val="00B077EE"/>
    <w:rsid w:val="00B10CC0"/>
    <w:rsid w:val="00B17C44"/>
    <w:rsid w:val="00B17D53"/>
    <w:rsid w:val="00B25FE9"/>
    <w:rsid w:val="00B26C37"/>
    <w:rsid w:val="00B35879"/>
    <w:rsid w:val="00B40C89"/>
    <w:rsid w:val="00B4241D"/>
    <w:rsid w:val="00B446B3"/>
    <w:rsid w:val="00B44CB0"/>
    <w:rsid w:val="00B45D27"/>
    <w:rsid w:val="00B46109"/>
    <w:rsid w:val="00B54435"/>
    <w:rsid w:val="00B55AB2"/>
    <w:rsid w:val="00B565CE"/>
    <w:rsid w:val="00B57716"/>
    <w:rsid w:val="00B57838"/>
    <w:rsid w:val="00B60383"/>
    <w:rsid w:val="00B608E1"/>
    <w:rsid w:val="00B63806"/>
    <w:rsid w:val="00B65912"/>
    <w:rsid w:val="00B65B9B"/>
    <w:rsid w:val="00B663E5"/>
    <w:rsid w:val="00B66DF3"/>
    <w:rsid w:val="00B70D09"/>
    <w:rsid w:val="00B71848"/>
    <w:rsid w:val="00B7283C"/>
    <w:rsid w:val="00B72F87"/>
    <w:rsid w:val="00B746CF"/>
    <w:rsid w:val="00B8008F"/>
    <w:rsid w:val="00B8184D"/>
    <w:rsid w:val="00B83BA9"/>
    <w:rsid w:val="00B83E6E"/>
    <w:rsid w:val="00B8413B"/>
    <w:rsid w:val="00B85297"/>
    <w:rsid w:val="00B861BD"/>
    <w:rsid w:val="00B86D9F"/>
    <w:rsid w:val="00B91B1A"/>
    <w:rsid w:val="00B93371"/>
    <w:rsid w:val="00B93A2F"/>
    <w:rsid w:val="00B97679"/>
    <w:rsid w:val="00BA4D1F"/>
    <w:rsid w:val="00BA4F7F"/>
    <w:rsid w:val="00BA5E5C"/>
    <w:rsid w:val="00BA68E7"/>
    <w:rsid w:val="00BB000C"/>
    <w:rsid w:val="00BB205D"/>
    <w:rsid w:val="00BB263B"/>
    <w:rsid w:val="00BB51D8"/>
    <w:rsid w:val="00BB51E6"/>
    <w:rsid w:val="00BB63C7"/>
    <w:rsid w:val="00BB7362"/>
    <w:rsid w:val="00BB7E8B"/>
    <w:rsid w:val="00BC0216"/>
    <w:rsid w:val="00BC03D9"/>
    <w:rsid w:val="00BC2ED0"/>
    <w:rsid w:val="00BC346D"/>
    <w:rsid w:val="00BC7FC9"/>
    <w:rsid w:val="00BD0B21"/>
    <w:rsid w:val="00BD1C33"/>
    <w:rsid w:val="00BD409E"/>
    <w:rsid w:val="00BD7E38"/>
    <w:rsid w:val="00BE021F"/>
    <w:rsid w:val="00BE148F"/>
    <w:rsid w:val="00BE3637"/>
    <w:rsid w:val="00BE6A2C"/>
    <w:rsid w:val="00BE7C51"/>
    <w:rsid w:val="00BF0FE6"/>
    <w:rsid w:val="00BF245C"/>
    <w:rsid w:val="00BF495B"/>
    <w:rsid w:val="00BF71A1"/>
    <w:rsid w:val="00BF7A26"/>
    <w:rsid w:val="00C001A2"/>
    <w:rsid w:val="00C034DC"/>
    <w:rsid w:val="00C063E0"/>
    <w:rsid w:val="00C06446"/>
    <w:rsid w:val="00C065FB"/>
    <w:rsid w:val="00C067DE"/>
    <w:rsid w:val="00C071DD"/>
    <w:rsid w:val="00C07990"/>
    <w:rsid w:val="00C10848"/>
    <w:rsid w:val="00C12B41"/>
    <w:rsid w:val="00C1381D"/>
    <w:rsid w:val="00C13BD7"/>
    <w:rsid w:val="00C13D47"/>
    <w:rsid w:val="00C15BBA"/>
    <w:rsid w:val="00C15C86"/>
    <w:rsid w:val="00C15E1F"/>
    <w:rsid w:val="00C200FC"/>
    <w:rsid w:val="00C20919"/>
    <w:rsid w:val="00C21CD4"/>
    <w:rsid w:val="00C23A38"/>
    <w:rsid w:val="00C2557B"/>
    <w:rsid w:val="00C2583A"/>
    <w:rsid w:val="00C2622C"/>
    <w:rsid w:val="00C31A0F"/>
    <w:rsid w:val="00C333F4"/>
    <w:rsid w:val="00C3353C"/>
    <w:rsid w:val="00C3554E"/>
    <w:rsid w:val="00C36EBF"/>
    <w:rsid w:val="00C43908"/>
    <w:rsid w:val="00C45578"/>
    <w:rsid w:val="00C50DBD"/>
    <w:rsid w:val="00C511DC"/>
    <w:rsid w:val="00C51A2F"/>
    <w:rsid w:val="00C51EED"/>
    <w:rsid w:val="00C52D5F"/>
    <w:rsid w:val="00C54037"/>
    <w:rsid w:val="00C546B0"/>
    <w:rsid w:val="00C54B3D"/>
    <w:rsid w:val="00C570DF"/>
    <w:rsid w:val="00C57A7E"/>
    <w:rsid w:val="00C66E4E"/>
    <w:rsid w:val="00C70448"/>
    <w:rsid w:val="00C726FF"/>
    <w:rsid w:val="00C74DEF"/>
    <w:rsid w:val="00C8037C"/>
    <w:rsid w:val="00C81617"/>
    <w:rsid w:val="00C81D58"/>
    <w:rsid w:val="00C81FCC"/>
    <w:rsid w:val="00C83CED"/>
    <w:rsid w:val="00C851EE"/>
    <w:rsid w:val="00C86490"/>
    <w:rsid w:val="00C86F8F"/>
    <w:rsid w:val="00C90B3C"/>
    <w:rsid w:val="00C92A96"/>
    <w:rsid w:val="00C9395B"/>
    <w:rsid w:val="00C939F7"/>
    <w:rsid w:val="00C96C5C"/>
    <w:rsid w:val="00CA04DC"/>
    <w:rsid w:val="00CA23FC"/>
    <w:rsid w:val="00CA44E0"/>
    <w:rsid w:val="00CA6ED9"/>
    <w:rsid w:val="00CA7C82"/>
    <w:rsid w:val="00CB17EE"/>
    <w:rsid w:val="00CB3EF4"/>
    <w:rsid w:val="00CB4577"/>
    <w:rsid w:val="00CB4B4E"/>
    <w:rsid w:val="00CB5C67"/>
    <w:rsid w:val="00CB6E36"/>
    <w:rsid w:val="00CC2A3C"/>
    <w:rsid w:val="00CC4B01"/>
    <w:rsid w:val="00CC6C19"/>
    <w:rsid w:val="00CD0104"/>
    <w:rsid w:val="00CD3BC9"/>
    <w:rsid w:val="00CD5449"/>
    <w:rsid w:val="00CD6DCA"/>
    <w:rsid w:val="00CE014E"/>
    <w:rsid w:val="00CE4C38"/>
    <w:rsid w:val="00CE4C5A"/>
    <w:rsid w:val="00CE6F22"/>
    <w:rsid w:val="00CE793D"/>
    <w:rsid w:val="00CF1CD8"/>
    <w:rsid w:val="00CF6B04"/>
    <w:rsid w:val="00D00853"/>
    <w:rsid w:val="00D00966"/>
    <w:rsid w:val="00D02B68"/>
    <w:rsid w:val="00D03138"/>
    <w:rsid w:val="00D102D8"/>
    <w:rsid w:val="00D13AA9"/>
    <w:rsid w:val="00D14538"/>
    <w:rsid w:val="00D17569"/>
    <w:rsid w:val="00D20DC4"/>
    <w:rsid w:val="00D22765"/>
    <w:rsid w:val="00D2299D"/>
    <w:rsid w:val="00D233A2"/>
    <w:rsid w:val="00D24110"/>
    <w:rsid w:val="00D250C5"/>
    <w:rsid w:val="00D27388"/>
    <w:rsid w:val="00D31357"/>
    <w:rsid w:val="00D34708"/>
    <w:rsid w:val="00D34D3A"/>
    <w:rsid w:val="00D37D6A"/>
    <w:rsid w:val="00D40214"/>
    <w:rsid w:val="00D409E3"/>
    <w:rsid w:val="00D42BA3"/>
    <w:rsid w:val="00D44C0E"/>
    <w:rsid w:val="00D47BEF"/>
    <w:rsid w:val="00D510FF"/>
    <w:rsid w:val="00D51E6B"/>
    <w:rsid w:val="00D51FE2"/>
    <w:rsid w:val="00D52F0C"/>
    <w:rsid w:val="00D53475"/>
    <w:rsid w:val="00D54B94"/>
    <w:rsid w:val="00D551BB"/>
    <w:rsid w:val="00D564E6"/>
    <w:rsid w:val="00D564EB"/>
    <w:rsid w:val="00D568C6"/>
    <w:rsid w:val="00D611C8"/>
    <w:rsid w:val="00D64803"/>
    <w:rsid w:val="00D65B63"/>
    <w:rsid w:val="00D6700C"/>
    <w:rsid w:val="00D676FA"/>
    <w:rsid w:val="00D71D78"/>
    <w:rsid w:val="00D74689"/>
    <w:rsid w:val="00D76B9E"/>
    <w:rsid w:val="00D7731C"/>
    <w:rsid w:val="00D80382"/>
    <w:rsid w:val="00D8084F"/>
    <w:rsid w:val="00D82F43"/>
    <w:rsid w:val="00D842A6"/>
    <w:rsid w:val="00D84D8F"/>
    <w:rsid w:val="00D861AF"/>
    <w:rsid w:val="00D868D2"/>
    <w:rsid w:val="00D87EEF"/>
    <w:rsid w:val="00D92962"/>
    <w:rsid w:val="00D94676"/>
    <w:rsid w:val="00DA326B"/>
    <w:rsid w:val="00DA4EC2"/>
    <w:rsid w:val="00DB147E"/>
    <w:rsid w:val="00DB3779"/>
    <w:rsid w:val="00DB514F"/>
    <w:rsid w:val="00DB6A7D"/>
    <w:rsid w:val="00DB733E"/>
    <w:rsid w:val="00DC32C5"/>
    <w:rsid w:val="00DC3A96"/>
    <w:rsid w:val="00DC3B80"/>
    <w:rsid w:val="00DC5648"/>
    <w:rsid w:val="00DC6406"/>
    <w:rsid w:val="00DC6CF1"/>
    <w:rsid w:val="00DD2BB9"/>
    <w:rsid w:val="00DD3046"/>
    <w:rsid w:val="00DD3671"/>
    <w:rsid w:val="00DD3841"/>
    <w:rsid w:val="00DD462C"/>
    <w:rsid w:val="00DD53F0"/>
    <w:rsid w:val="00DE0BF4"/>
    <w:rsid w:val="00DE161A"/>
    <w:rsid w:val="00DE2E26"/>
    <w:rsid w:val="00DE3A09"/>
    <w:rsid w:val="00DE5F9C"/>
    <w:rsid w:val="00DE7A82"/>
    <w:rsid w:val="00DF0901"/>
    <w:rsid w:val="00DF2CE3"/>
    <w:rsid w:val="00DF36CE"/>
    <w:rsid w:val="00DF5425"/>
    <w:rsid w:val="00DF6AD1"/>
    <w:rsid w:val="00DF6D9A"/>
    <w:rsid w:val="00DF72CA"/>
    <w:rsid w:val="00DF7FF0"/>
    <w:rsid w:val="00E00F2A"/>
    <w:rsid w:val="00E03962"/>
    <w:rsid w:val="00E03B38"/>
    <w:rsid w:val="00E04253"/>
    <w:rsid w:val="00E102D7"/>
    <w:rsid w:val="00E10405"/>
    <w:rsid w:val="00E104BC"/>
    <w:rsid w:val="00E10F67"/>
    <w:rsid w:val="00E14699"/>
    <w:rsid w:val="00E20E7B"/>
    <w:rsid w:val="00E22D06"/>
    <w:rsid w:val="00E31013"/>
    <w:rsid w:val="00E33E81"/>
    <w:rsid w:val="00E342F7"/>
    <w:rsid w:val="00E34AA8"/>
    <w:rsid w:val="00E37FAE"/>
    <w:rsid w:val="00E418BF"/>
    <w:rsid w:val="00E426F8"/>
    <w:rsid w:val="00E4287F"/>
    <w:rsid w:val="00E42FDE"/>
    <w:rsid w:val="00E43048"/>
    <w:rsid w:val="00E43D29"/>
    <w:rsid w:val="00E4456C"/>
    <w:rsid w:val="00E45812"/>
    <w:rsid w:val="00E45871"/>
    <w:rsid w:val="00E458D4"/>
    <w:rsid w:val="00E5096F"/>
    <w:rsid w:val="00E51786"/>
    <w:rsid w:val="00E5220E"/>
    <w:rsid w:val="00E534C5"/>
    <w:rsid w:val="00E53943"/>
    <w:rsid w:val="00E54AC8"/>
    <w:rsid w:val="00E56829"/>
    <w:rsid w:val="00E60719"/>
    <w:rsid w:val="00E64AED"/>
    <w:rsid w:val="00E64C73"/>
    <w:rsid w:val="00E660DE"/>
    <w:rsid w:val="00E6669E"/>
    <w:rsid w:val="00E67105"/>
    <w:rsid w:val="00E72FEF"/>
    <w:rsid w:val="00E75E48"/>
    <w:rsid w:val="00E76A5B"/>
    <w:rsid w:val="00E773D2"/>
    <w:rsid w:val="00E803EA"/>
    <w:rsid w:val="00E80751"/>
    <w:rsid w:val="00E80962"/>
    <w:rsid w:val="00E81093"/>
    <w:rsid w:val="00E83044"/>
    <w:rsid w:val="00E92079"/>
    <w:rsid w:val="00E922A2"/>
    <w:rsid w:val="00E95B33"/>
    <w:rsid w:val="00E97D5E"/>
    <w:rsid w:val="00EA5893"/>
    <w:rsid w:val="00EA67DA"/>
    <w:rsid w:val="00EA68C1"/>
    <w:rsid w:val="00EA7A8E"/>
    <w:rsid w:val="00EB07BB"/>
    <w:rsid w:val="00EB0C4B"/>
    <w:rsid w:val="00EB4040"/>
    <w:rsid w:val="00EC086C"/>
    <w:rsid w:val="00EC0ABA"/>
    <w:rsid w:val="00EC2D6A"/>
    <w:rsid w:val="00EC39ED"/>
    <w:rsid w:val="00EC63EE"/>
    <w:rsid w:val="00EC6990"/>
    <w:rsid w:val="00EC7734"/>
    <w:rsid w:val="00ED0548"/>
    <w:rsid w:val="00ED0ADC"/>
    <w:rsid w:val="00ED1BFC"/>
    <w:rsid w:val="00ED2654"/>
    <w:rsid w:val="00ED2DA9"/>
    <w:rsid w:val="00ED3806"/>
    <w:rsid w:val="00ED40E3"/>
    <w:rsid w:val="00ED4612"/>
    <w:rsid w:val="00ED524A"/>
    <w:rsid w:val="00ED575C"/>
    <w:rsid w:val="00ED7512"/>
    <w:rsid w:val="00EE22D5"/>
    <w:rsid w:val="00EE261B"/>
    <w:rsid w:val="00EE64F3"/>
    <w:rsid w:val="00EF2B0E"/>
    <w:rsid w:val="00EF46E5"/>
    <w:rsid w:val="00EF55DC"/>
    <w:rsid w:val="00EF772B"/>
    <w:rsid w:val="00EF7CBB"/>
    <w:rsid w:val="00F11908"/>
    <w:rsid w:val="00F16992"/>
    <w:rsid w:val="00F16B73"/>
    <w:rsid w:val="00F1792B"/>
    <w:rsid w:val="00F17A07"/>
    <w:rsid w:val="00F17BD9"/>
    <w:rsid w:val="00F2079D"/>
    <w:rsid w:val="00F211B5"/>
    <w:rsid w:val="00F21D93"/>
    <w:rsid w:val="00F236B3"/>
    <w:rsid w:val="00F25D40"/>
    <w:rsid w:val="00F260EC"/>
    <w:rsid w:val="00F3026F"/>
    <w:rsid w:val="00F3064C"/>
    <w:rsid w:val="00F323BB"/>
    <w:rsid w:val="00F3416B"/>
    <w:rsid w:val="00F34D83"/>
    <w:rsid w:val="00F36F32"/>
    <w:rsid w:val="00F40ACF"/>
    <w:rsid w:val="00F435BF"/>
    <w:rsid w:val="00F43A8D"/>
    <w:rsid w:val="00F4438B"/>
    <w:rsid w:val="00F44B38"/>
    <w:rsid w:val="00F44E1F"/>
    <w:rsid w:val="00F455CD"/>
    <w:rsid w:val="00F46010"/>
    <w:rsid w:val="00F51B66"/>
    <w:rsid w:val="00F52426"/>
    <w:rsid w:val="00F542BC"/>
    <w:rsid w:val="00F55209"/>
    <w:rsid w:val="00F563ED"/>
    <w:rsid w:val="00F61B7E"/>
    <w:rsid w:val="00F66515"/>
    <w:rsid w:val="00F73A68"/>
    <w:rsid w:val="00F773F7"/>
    <w:rsid w:val="00F809BF"/>
    <w:rsid w:val="00F81625"/>
    <w:rsid w:val="00F8330E"/>
    <w:rsid w:val="00F841C4"/>
    <w:rsid w:val="00F85636"/>
    <w:rsid w:val="00F86498"/>
    <w:rsid w:val="00F8772E"/>
    <w:rsid w:val="00F87D9A"/>
    <w:rsid w:val="00F914E3"/>
    <w:rsid w:val="00F91F73"/>
    <w:rsid w:val="00F9302F"/>
    <w:rsid w:val="00F93F4A"/>
    <w:rsid w:val="00F94475"/>
    <w:rsid w:val="00F9740C"/>
    <w:rsid w:val="00FA15BA"/>
    <w:rsid w:val="00FA3A9E"/>
    <w:rsid w:val="00FA434D"/>
    <w:rsid w:val="00FA4AE6"/>
    <w:rsid w:val="00FA4F99"/>
    <w:rsid w:val="00FA5B86"/>
    <w:rsid w:val="00FA7390"/>
    <w:rsid w:val="00FA7ADE"/>
    <w:rsid w:val="00FA7E6B"/>
    <w:rsid w:val="00FB06F7"/>
    <w:rsid w:val="00FB14CF"/>
    <w:rsid w:val="00FB2556"/>
    <w:rsid w:val="00FB32E1"/>
    <w:rsid w:val="00FC33DB"/>
    <w:rsid w:val="00FC5372"/>
    <w:rsid w:val="00FD0DD6"/>
    <w:rsid w:val="00FD0FD1"/>
    <w:rsid w:val="00FD373F"/>
    <w:rsid w:val="00FD4EEA"/>
    <w:rsid w:val="00FD6E66"/>
    <w:rsid w:val="00FD6E8D"/>
    <w:rsid w:val="00FE00D9"/>
    <w:rsid w:val="00FE08B0"/>
    <w:rsid w:val="00FE3579"/>
    <w:rsid w:val="00FE3ABE"/>
    <w:rsid w:val="00FE43B3"/>
    <w:rsid w:val="00FE617E"/>
    <w:rsid w:val="00FE639A"/>
    <w:rsid w:val="00FE797E"/>
    <w:rsid w:val="00FF040D"/>
    <w:rsid w:val="00FF2E6E"/>
    <w:rsid w:val="00FF2F71"/>
    <w:rsid w:val="00FF31F6"/>
    <w:rsid w:val="00FF39E8"/>
    <w:rsid w:val="00FF4F15"/>
    <w:rsid w:val="00FF5C28"/>
    <w:rsid w:val="00FF6C8A"/>
    <w:rsid w:val="00FF71C8"/>
    <w:rsid w:val="00FF7409"/>
    <w:rsid w:val="017D31AE"/>
    <w:rsid w:val="018B5403"/>
    <w:rsid w:val="01FD6356"/>
    <w:rsid w:val="02097669"/>
    <w:rsid w:val="02E9239C"/>
    <w:rsid w:val="02F97B00"/>
    <w:rsid w:val="030654B3"/>
    <w:rsid w:val="03150FBF"/>
    <w:rsid w:val="03451CC6"/>
    <w:rsid w:val="03520482"/>
    <w:rsid w:val="0357188F"/>
    <w:rsid w:val="0365793C"/>
    <w:rsid w:val="03A03C13"/>
    <w:rsid w:val="03AF0465"/>
    <w:rsid w:val="04037F85"/>
    <w:rsid w:val="04561534"/>
    <w:rsid w:val="046D5102"/>
    <w:rsid w:val="049E13D4"/>
    <w:rsid w:val="04F83A68"/>
    <w:rsid w:val="05641A97"/>
    <w:rsid w:val="061F0008"/>
    <w:rsid w:val="06D45E42"/>
    <w:rsid w:val="078725A1"/>
    <w:rsid w:val="079F3753"/>
    <w:rsid w:val="07A21AC6"/>
    <w:rsid w:val="07A768F4"/>
    <w:rsid w:val="07B72AF7"/>
    <w:rsid w:val="07C95455"/>
    <w:rsid w:val="07ED7A9D"/>
    <w:rsid w:val="07FD6DB5"/>
    <w:rsid w:val="08312E95"/>
    <w:rsid w:val="090A5322"/>
    <w:rsid w:val="094E2F8E"/>
    <w:rsid w:val="0A064F39"/>
    <w:rsid w:val="0A4831C7"/>
    <w:rsid w:val="0AB2218E"/>
    <w:rsid w:val="0AE4560E"/>
    <w:rsid w:val="0AF73A9D"/>
    <w:rsid w:val="0AFC6CA1"/>
    <w:rsid w:val="0B094AB8"/>
    <w:rsid w:val="0B7F03DE"/>
    <w:rsid w:val="0B9C31F5"/>
    <w:rsid w:val="0BB261B4"/>
    <w:rsid w:val="0C1A378D"/>
    <w:rsid w:val="0C264442"/>
    <w:rsid w:val="0C4442CF"/>
    <w:rsid w:val="0C9B5551"/>
    <w:rsid w:val="0C9F6ADE"/>
    <w:rsid w:val="0CE265BB"/>
    <w:rsid w:val="0D037ED7"/>
    <w:rsid w:val="0D1B1FB3"/>
    <w:rsid w:val="0D3276FA"/>
    <w:rsid w:val="0D3F3A0E"/>
    <w:rsid w:val="0D4620C4"/>
    <w:rsid w:val="0D6C7986"/>
    <w:rsid w:val="0E5D56D6"/>
    <w:rsid w:val="0E8E2E4B"/>
    <w:rsid w:val="0EE875A6"/>
    <w:rsid w:val="0EFC4988"/>
    <w:rsid w:val="0F1265DE"/>
    <w:rsid w:val="0F21682A"/>
    <w:rsid w:val="0F376AE9"/>
    <w:rsid w:val="0FD80E22"/>
    <w:rsid w:val="1008458B"/>
    <w:rsid w:val="100E4F4D"/>
    <w:rsid w:val="101B1EBB"/>
    <w:rsid w:val="1079268B"/>
    <w:rsid w:val="107C2364"/>
    <w:rsid w:val="10CF7F6C"/>
    <w:rsid w:val="115D3413"/>
    <w:rsid w:val="119A32D5"/>
    <w:rsid w:val="11B8062E"/>
    <w:rsid w:val="1270150D"/>
    <w:rsid w:val="12844FAC"/>
    <w:rsid w:val="12CB3CCE"/>
    <w:rsid w:val="139C292F"/>
    <w:rsid w:val="13B41F5F"/>
    <w:rsid w:val="14295017"/>
    <w:rsid w:val="14407908"/>
    <w:rsid w:val="14504E56"/>
    <w:rsid w:val="14784274"/>
    <w:rsid w:val="1491347E"/>
    <w:rsid w:val="14AA3D0B"/>
    <w:rsid w:val="14D907C0"/>
    <w:rsid w:val="14EB6229"/>
    <w:rsid w:val="156F3860"/>
    <w:rsid w:val="15C373C0"/>
    <w:rsid w:val="15CD6ACF"/>
    <w:rsid w:val="15DE2DD1"/>
    <w:rsid w:val="16215294"/>
    <w:rsid w:val="16D164BC"/>
    <w:rsid w:val="16FF25C0"/>
    <w:rsid w:val="174C3557"/>
    <w:rsid w:val="17F20816"/>
    <w:rsid w:val="1804388A"/>
    <w:rsid w:val="183D10D6"/>
    <w:rsid w:val="186038F3"/>
    <w:rsid w:val="189A41EE"/>
    <w:rsid w:val="19F71887"/>
    <w:rsid w:val="1A3F549D"/>
    <w:rsid w:val="1A672D7D"/>
    <w:rsid w:val="1B5213BB"/>
    <w:rsid w:val="1BC7492A"/>
    <w:rsid w:val="1BDC5B53"/>
    <w:rsid w:val="1CA0798D"/>
    <w:rsid w:val="1CFF2DD8"/>
    <w:rsid w:val="1D520E2A"/>
    <w:rsid w:val="1DD277B8"/>
    <w:rsid w:val="1E0169AC"/>
    <w:rsid w:val="1E2E57E0"/>
    <w:rsid w:val="1E911BEF"/>
    <w:rsid w:val="1F4F40EC"/>
    <w:rsid w:val="1FF03521"/>
    <w:rsid w:val="202E4094"/>
    <w:rsid w:val="204752C1"/>
    <w:rsid w:val="20611842"/>
    <w:rsid w:val="206D21E8"/>
    <w:rsid w:val="208027EC"/>
    <w:rsid w:val="208F31C4"/>
    <w:rsid w:val="210E1006"/>
    <w:rsid w:val="210F7BDE"/>
    <w:rsid w:val="21180F0D"/>
    <w:rsid w:val="216D1447"/>
    <w:rsid w:val="21B22A5A"/>
    <w:rsid w:val="21D723D0"/>
    <w:rsid w:val="21DC3FC8"/>
    <w:rsid w:val="22132232"/>
    <w:rsid w:val="222A43E0"/>
    <w:rsid w:val="22782470"/>
    <w:rsid w:val="229F2B14"/>
    <w:rsid w:val="22C038DF"/>
    <w:rsid w:val="22CC769A"/>
    <w:rsid w:val="2354395B"/>
    <w:rsid w:val="23616679"/>
    <w:rsid w:val="23D3585B"/>
    <w:rsid w:val="24245322"/>
    <w:rsid w:val="2448004A"/>
    <w:rsid w:val="247D1660"/>
    <w:rsid w:val="24D26D11"/>
    <w:rsid w:val="24FE1BA3"/>
    <w:rsid w:val="250F6430"/>
    <w:rsid w:val="25CA15FA"/>
    <w:rsid w:val="25EF3CC1"/>
    <w:rsid w:val="268F1C52"/>
    <w:rsid w:val="26956D24"/>
    <w:rsid w:val="26FE6FC9"/>
    <w:rsid w:val="2714000A"/>
    <w:rsid w:val="27395304"/>
    <w:rsid w:val="274D1514"/>
    <w:rsid w:val="27922449"/>
    <w:rsid w:val="29227C90"/>
    <w:rsid w:val="29424069"/>
    <w:rsid w:val="29443598"/>
    <w:rsid w:val="29BC11D6"/>
    <w:rsid w:val="2A8E79ED"/>
    <w:rsid w:val="2A961C0F"/>
    <w:rsid w:val="2B816AAA"/>
    <w:rsid w:val="2BBF28EA"/>
    <w:rsid w:val="2BC51433"/>
    <w:rsid w:val="2C250B47"/>
    <w:rsid w:val="2CC650DB"/>
    <w:rsid w:val="2D0465F8"/>
    <w:rsid w:val="2DBD29B6"/>
    <w:rsid w:val="2E445076"/>
    <w:rsid w:val="2E4731CC"/>
    <w:rsid w:val="2E5C17B4"/>
    <w:rsid w:val="2E7A1714"/>
    <w:rsid w:val="2ED94018"/>
    <w:rsid w:val="2EF61E24"/>
    <w:rsid w:val="2F071DD4"/>
    <w:rsid w:val="2F1523E9"/>
    <w:rsid w:val="2F324E12"/>
    <w:rsid w:val="300114AB"/>
    <w:rsid w:val="30701118"/>
    <w:rsid w:val="31734AE5"/>
    <w:rsid w:val="31BB1982"/>
    <w:rsid w:val="322D0A1D"/>
    <w:rsid w:val="3240150B"/>
    <w:rsid w:val="325F4858"/>
    <w:rsid w:val="32951C1A"/>
    <w:rsid w:val="332A3621"/>
    <w:rsid w:val="334B0336"/>
    <w:rsid w:val="337377F8"/>
    <w:rsid w:val="337A31B1"/>
    <w:rsid w:val="33C608F0"/>
    <w:rsid w:val="33D80DE4"/>
    <w:rsid w:val="343541A1"/>
    <w:rsid w:val="344C0550"/>
    <w:rsid w:val="34923C5E"/>
    <w:rsid w:val="357B6346"/>
    <w:rsid w:val="3592377A"/>
    <w:rsid w:val="35A30F5A"/>
    <w:rsid w:val="35F44E13"/>
    <w:rsid w:val="3612365C"/>
    <w:rsid w:val="36346297"/>
    <w:rsid w:val="36563464"/>
    <w:rsid w:val="3660579E"/>
    <w:rsid w:val="36711403"/>
    <w:rsid w:val="371509AD"/>
    <w:rsid w:val="374411E9"/>
    <w:rsid w:val="37CF28A5"/>
    <w:rsid w:val="37FF0E28"/>
    <w:rsid w:val="38236495"/>
    <w:rsid w:val="384D5E10"/>
    <w:rsid w:val="38C00E28"/>
    <w:rsid w:val="391A61C3"/>
    <w:rsid w:val="39221E2D"/>
    <w:rsid w:val="39285AF2"/>
    <w:rsid w:val="3971346A"/>
    <w:rsid w:val="399C2E5B"/>
    <w:rsid w:val="39BF2699"/>
    <w:rsid w:val="39FB0221"/>
    <w:rsid w:val="3AAF434D"/>
    <w:rsid w:val="3B2A692E"/>
    <w:rsid w:val="3B330233"/>
    <w:rsid w:val="3B8D1DF5"/>
    <w:rsid w:val="3CDC7E72"/>
    <w:rsid w:val="3CF00E09"/>
    <w:rsid w:val="3CF6765B"/>
    <w:rsid w:val="3D01313C"/>
    <w:rsid w:val="3D3E0BEC"/>
    <w:rsid w:val="3DF43396"/>
    <w:rsid w:val="3DF62960"/>
    <w:rsid w:val="3ECD0E99"/>
    <w:rsid w:val="3ED56171"/>
    <w:rsid w:val="3FCE45FA"/>
    <w:rsid w:val="400D6DDD"/>
    <w:rsid w:val="402C6700"/>
    <w:rsid w:val="403118EF"/>
    <w:rsid w:val="40674342"/>
    <w:rsid w:val="408F0E48"/>
    <w:rsid w:val="40965E93"/>
    <w:rsid w:val="40F41BE6"/>
    <w:rsid w:val="41547434"/>
    <w:rsid w:val="43552F20"/>
    <w:rsid w:val="43916F36"/>
    <w:rsid w:val="4441404F"/>
    <w:rsid w:val="44DA5705"/>
    <w:rsid w:val="45211DD2"/>
    <w:rsid w:val="45310096"/>
    <w:rsid w:val="45AA03F8"/>
    <w:rsid w:val="45EE4532"/>
    <w:rsid w:val="46431DDE"/>
    <w:rsid w:val="46FE218B"/>
    <w:rsid w:val="47C767A2"/>
    <w:rsid w:val="48C37188"/>
    <w:rsid w:val="48E327A6"/>
    <w:rsid w:val="49B001DB"/>
    <w:rsid w:val="4A2B4D10"/>
    <w:rsid w:val="4A312D2C"/>
    <w:rsid w:val="4B585A7B"/>
    <w:rsid w:val="4BC9556A"/>
    <w:rsid w:val="4BCF1E76"/>
    <w:rsid w:val="4C212AFC"/>
    <w:rsid w:val="4C577725"/>
    <w:rsid w:val="4D131DAF"/>
    <w:rsid w:val="4E13021E"/>
    <w:rsid w:val="4E423DD5"/>
    <w:rsid w:val="4EE6571E"/>
    <w:rsid w:val="4EF96F8F"/>
    <w:rsid w:val="4F760567"/>
    <w:rsid w:val="4F9F7699"/>
    <w:rsid w:val="4FCE427F"/>
    <w:rsid w:val="502A22E5"/>
    <w:rsid w:val="50837450"/>
    <w:rsid w:val="50B90274"/>
    <w:rsid w:val="5111145E"/>
    <w:rsid w:val="513149E8"/>
    <w:rsid w:val="51402E7D"/>
    <w:rsid w:val="517C1FDB"/>
    <w:rsid w:val="517F16E2"/>
    <w:rsid w:val="5188417B"/>
    <w:rsid w:val="518E0D5A"/>
    <w:rsid w:val="52017C7D"/>
    <w:rsid w:val="523D7A9D"/>
    <w:rsid w:val="5258238B"/>
    <w:rsid w:val="525A7653"/>
    <w:rsid w:val="52BB73AC"/>
    <w:rsid w:val="537A62E3"/>
    <w:rsid w:val="542E763B"/>
    <w:rsid w:val="54A510DF"/>
    <w:rsid w:val="55240368"/>
    <w:rsid w:val="55C91693"/>
    <w:rsid w:val="562C0C09"/>
    <w:rsid w:val="565004A8"/>
    <w:rsid w:val="56550E39"/>
    <w:rsid w:val="56BB0085"/>
    <w:rsid w:val="56DF18D5"/>
    <w:rsid w:val="5798044E"/>
    <w:rsid w:val="579E2608"/>
    <w:rsid w:val="57B173BB"/>
    <w:rsid w:val="57E46348"/>
    <w:rsid w:val="5813069E"/>
    <w:rsid w:val="5819504E"/>
    <w:rsid w:val="589B364F"/>
    <w:rsid w:val="58E26541"/>
    <w:rsid w:val="58FB2815"/>
    <w:rsid w:val="5944495F"/>
    <w:rsid w:val="59BF5174"/>
    <w:rsid w:val="5A532DAD"/>
    <w:rsid w:val="5AEE2B1C"/>
    <w:rsid w:val="5B481735"/>
    <w:rsid w:val="5B89030C"/>
    <w:rsid w:val="5C14118E"/>
    <w:rsid w:val="5D4B4041"/>
    <w:rsid w:val="5D52443D"/>
    <w:rsid w:val="5D617242"/>
    <w:rsid w:val="5DBD054B"/>
    <w:rsid w:val="5DD46B57"/>
    <w:rsid w:val="5E1B2429"/>
    <w:rsid w:val="5E4759B9"/>
    <w:rsid w:val="5E6B63E2"/>
    <w:rsid w:val="5ED219E0"/>
    <w:rsid w:val="5EEF24A4"/>
    <w:rsid w:val="5F6D6725"/>
    <w:rsid w:val="601A1645"/>
    <w:rsid w:val="60654E0A"/>
    <w:rsid w:val="60D16641"/>
    <w:rsid w:val="6118527D"/>
    <w:rsid w:val="61370DEA"/>
    <w:rsid w:val="616E0D3D"/>
    <w:rsid w:val="61A553CC"/>
    <w:rsid w:val="61C31521"/>
    <w:rsid w:val="630B04BB"/>
    <w:rsid w:val="632C02D8"/>
    <w:rsid w:val="637A5100"/>
    <w:rsid w:val="63C4726B"/>
    <w:rsid w:val="63D11F8F"/>
    <w:rsid w:val="63EF5D46"/>
    <w:rsid w:val="642665BA"/>
    <w:rsid w:val="64361247"/>
    <w:rsid w:val="645933E5"/>
    <w:rsid w:val="647E189B"/>
    <w:rsid w:val="6483738E"/>
    <w:rsid w:val="64D4441E"/>
    <w:rsid w:val="64EA3589"/>
    <w:rsid w:val="64FB500E"/>
    <w:rsid w:val="65544D98"/>
    <w:rsid w:val="65C717C5"/>
    <w:rsid w:val="66A86653"/>
    <w:rsid w:val="67EC2600"/>
    <w:rsid w:val="68AD70F9"/>
    <w:rsid w:val="68DB349A"/>
    <w:rsid w:val="68DB5512"/>
    <w:rsid w:val="692F042D"/>
    <w:rsid w:val="69FA56E9"/>
    <w:rsid w:val="6B5E2426"/>
    <w:rsid w:val="6BB838ED"/>
    <w:rsid w:val="6BDF09F6"/>
    <w:rsid w:val="6BE60A7A"/>
    <w:rsid w:val="6BF6142F"/>
    <w:rsid w:val="6C0C6879"/>
    <w:rsid w:val="6C4455E8"/>
    <w:rsid w:val="6C74198C"/>
    <w:rsid w:val="6CCA33CF"/>
    <w:rsid w:val="6CE507CD"/>
    <w:rsid w:val="6D3B4B17"/>
    <w:rsid w:val="6DBF6DFB"/>
    <w:rsid w:val="6DE602AC"/>
    <w:rsid w:val="6EB674FE"/>
    <w:rsid w:val="6EC3727D"/>
    <w:rsid w:val="6ECD166B"/>
    <w:rsid w:val="6EEE522A"/>
    <w:rsid w:val="6F5116C9"/>
    <w:rsid w:val="6F752D91"/>
    <w:rsid w:val="7005763C"/>
    <w:rsid w:val="7073427E"/>
    <w:rsid w:val="70A16B63"/>
    <w:rsid w:val="70C35227"/>
    <w:rsid w:val="71920ECB"/>
    <w:rsid w:val="71E34ABE"/>
    <w:rsid w:val="72145CEC"/>
    <w:rsid w:val="722E35F8"/>
    <w:rsid w:val="72941885"/>
    <w:rsid w:val="72CD26F6"/>
    <w:rsid w:val="72ED7B95"/>
    <w:rsid w:val="733F59BC"/>
    <w:rsid w:val="73917B0C"/>
    <w:rsid w:val="73B63354"/>
    <w:rsid w:val="74052600"/>
    <w:rsid w:val="740653EF"/>
    <w:rsid w:val="75887905"/>
    <w:rsid w:val="75B15B14"/>
    <w:rsid w:val="75B7545F"/>
    <w:rsid w:val="760E3181"/>
    <w:rsid w:val="76934486"/>
    <w:rsid w:val="76B571DF"/>
    <w:rsid w:val="76C84CA5"/>
    <w:rsid w:val="77346FD1"/>
    <w:rsid w:val="7750356B"/>
    <w:rsid w:val="775A17ED"/>
    <w:rsid w:val="77CC0135"/>
    <w:rsid w:val="78410085"/>
    <w:rsid w:val="78654DF4"/>
    <w:rsid w:val="789F52F2"/>
    <w:rsid w:val="78B81351"/>
    <w:rsid w:val="78C57641"/>
    <w:rsid w:val="78ED5874"/>
    <w:rsid w:val="796815C7"/>
    <w:rsid w:val="79AA7D1F"/>
    <w:rsid w:val="7A1F3A84"/>
    <w:rsid w:val="7B7E1B70"/>
    <w:rsid w:val="7BA52AE2"/>
    <w:rsid w:val="7BD73063"/>
    <w:rsid w:val="7C3228D0"/>
    <w:rsid w:val="7C4E2E4C"/>
    <w:rsid w:val="7C577762"/>
    <w:rsid w:val="7D0844A1"/>
    <w:rsid w:val="7D247928"/>
    <w:rsid w:val="7DD10836"/>
    <w:rsid w:val="7DD65096"/>
    <w:rsid w:val="7E26214D"/>
    <w:rsid w:val="7E4F3982"/>
    <w:rsid w:val="7E7E1F77"/>
    <w:rsid w:val="7E8C4596"/>
    <w:rsid w:val="7F29181D"/>
    <w:rsid w:val="7F507ACB"/>
    <w:rsid w:val="7F541C4F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pt" color="#000000" dashstyle="1 1" endcap="round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99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Batang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semiHidden/>
    <w:qFormat/>
    <w:uiPriority w:val="0"/>
    <w:pPr>
      <w:ind w:left="1050"/>
      <w:jc w:val="left"/>
    </w:pPr>
  </w:style>
  <w:style w:type="paragraph" w:styleId="6">
    <w:name w:val="Normal Indent"/>
    <w:basedOn w:val="1"/>
    <w:autoRedefine/>
    <w:qFormat/>
    <w:uiPriority w:val="99"/>
    <w:pPr>
      <w:spacing w:line="360" w:lineRule="auto"/>
      <w:ind w:firstLine="420"/>
    </w:pPr>
    <w:rPr>
      <w:rFonts w:eastAsia="宋体"/>
      <w:szCs w:val="20"/>
    </w:rPr>
  </w:style>
  <w:style w:type="paragraph" w:styleId="7">
    <w:name w:val="annotation text"/>
    <w:basedOn w:val="1"/>
    <w:link w:val="34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toc 5"/>
    <w:basedOn w:val="1"/>
    <w:next w:val="1"/>
    <w:autoRedefine/>
    <w:semiHidden/>
    <w:qFormat/>
    <w:uiPriority w:val="0"/>
    <w:pPr>
      <w:ind w:left="630"/>
      <w:jc w:val="left"/>
    </w:pPr>
  </w:style>
  <w:style w:type="paragraph" w:styleId="10">
    <w:name w:val="toc 3"/>
    <w:basedOn w:val="1"/>
    <w:next w:val="1"/>
    <w:autoRedefine/>
    <w:qFormat/>
    <w:uiPriority w:val="39"/>
    <w:pPr>
      <w:tabs>
        <w:tab w:val="right" w:leader="dot" w:pos="9345"/>
      </w:tabs>
      <w:spacing w:line="440" w:lineRule="exact"/>
      <w:ind w:left="210" w:leftChars="100"/>
      <w:jc w:val="left"/>
    </w:pPr>
    <w:rPr>
      <w:rFonts w:ascii="宋体" w:hAnsi="宋体"/>
      <w:color w:val="FF0000"/>
      <w:sz w:val="24"/>
    </w:rPr>
  </w:style>
  <w:style w:type="paragraph" w:styleId="11">
    <w:name w:val="toc 8"/>
    <w:basedOn w:val="1"/>
    <w:next w:val="1"/>
    <w:autoRedefine/>
    <w:semiHidden/>
    <w:qFormat/>
    <w:uiPriority w:val="0"/>
    <w:pPr>
      <w:ind w:left="1260"/>
      <w:jc w:val="left"/>
    </w:pPr>
  </w:style>
  <w:style w:type="paragraph" w:styleId="12">
    <w:name w:val="Date"/>
    <w:basedOn w:val="1"/>
    <w:next w:val="1"/>
    <w:link w:val="35"/>
    <w:autoRedefine/>
    <w:qFormat/>
    <w:uiPriority w:val="0"/>
    <w:pPr>
      <w:ind w:left="100" w:leftChars="2500"/>
    </w:pPr>
  </w:style>
  <w:style w:type="paragraph" w:styleId="13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next w:val="1"/>
    <w:autoRedefine/>
    <w:qFormat/>
    <w:uiPriority w:val="39"/>
    <w:pPr>
      <w:widowControl w:val="0"/>
      <w:tabs>
        <w:tab w:val="right" w:leader="dot" w:pos="9345"/>
      </w:tabs>
      <w:spacing w:line="360" w:lineRule="auto"/>
    </w:pPr>
    <w:rPr>
      <w:rFonts w:ascii="Arial" w:hAnsi="Arial" w:eastAsia="宋体" w:cs="Times New Roman"/>
      <w:bCs/>
      <w:caps/>
      <w:kern w:val="2"/>
      <w:sz w:val="24"/>
      <w:szCs w:val="21"/>
      <w:lang w:val="en-US" w:eastAsia="zh-CN" w:bidi="ar-SA"/>
    </w:rPr>
  </w:style>
  <w:style w:type="paragraph" w:styleId="17">
    <w:name w:val="toc 4"/>
    <w:basedOn w:val="10"/>
    <w:next w:val="1"/>
    <w:autoRedefine/>
    <w:semiHidden/>
    <w:qFormat/>
    <w:uiPriority w:val="0"/>
    <w:pPr>
      <w:ind w:left="420"/>
    </w:pPr>
  </w:style>
  <w:style w:type="paragraph" w:styleId="18">
    <w:name w:val="footnote text"/>
    <w:basedOn w:val="1"/>
    <w:link w:val="37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9">
    <w:name w:val="toc 6"/>
    <w:basedOn w:val="1"/>
    <w:next w:val="1"/>
    <w:autoRedefine/>
    <w:semiHidden/>
    <w:qFormat/>
    <w:uiPriority w:val="0"/>
    <w:pPr>
      <w:ind w:left="840"/>
      <w:jc w:val="left"/>
    </w:pPr>
  </w:style>
  <w:style w:type="paragraph" w:styleId="20">
    <w:name w:val="toc 2"/>
    <w:basedOn w:val="1"/>
    <w:next w:val="1"/>
    <w:autoRedefine/>
    <w:qFormat/>
    <w:uiPriority w:val="39"/>
    <w:pPr>
      <w:tabs>
        <w:tab w:val="right" w:leader="dot" w:pos="9345"/>
      </w:tabs>
      <w:adjustRightInd w:val="0"/>
      <w:snapToGrid w:val="0"/>
      <w:spacing w:line="360" w:lineRule="auto"/>
      <w:jc w:val="center"/>
    </w:pPr>
    <w:rPr>
      <w:rFonts w:eastAsia="宋体"/>
      <w:bCs/>
      <w:sz w:val="24"/>
    </w:rPr>
  </w:style>
  <w:style w:type="paragraph" w:styleId="21">
    <w:name w:val="toc 9"/>
    <w:basedOn w:val="1"/>
    <w:next w:val="1"/>
    <w:autoRedefine/>
    <w:semiHidden/>
    <w:qFormat/>
    <w:uiPriority w:val="0"/>
    <w:pPr>
      <w:ind w:left="1470"/>
      <w:jc w:val="left"/>
    </w:pPr>
  </w:style>
  <w:style w:type="paragraph" w:styleId="22">
    <w:name w:val="Title"/>
    <w:basedOn w:val="1"/>
    <w:next w:val="1"/>
    <w:link w:val="38"/>
    <w:autoRedefine/>
    <w:qFormat/>
    <w:uiPriority w:val="0"/>
    <w:pPr>
      <w:spacing w:line="360" w:lineRule="auto"/>
      <w:jc w:val="center"/>
      <w:outlineLvl w:val="0"/>
    </w:pPr>
    <w:rPr>
      <w:rFonts w:eastAsia="黑体"/>
      <w:b/>
      <w:bCs/>
      <w:szCs w:val="32"/>
    </w:rPr>
  </w:style>
  <w:style w:type="paragraph" w:styleId="23">
    <w:name w:val="annotation subject"/>
    <w:basedOn w:val="7"/>
    <w:next w:val="7"/>
    <w:link w:val="39"/>
    <w:autoRedefine/>
    <w:qFormat/>
    <w:uiPriority w:val="0"/>
    <w:rPr>
      <w:b/>
      <w:bCs/>
    </w:rPr>
  </w:style>
  <w:style w:type="table" w:styleId="25">
    <w:name w:val="Table Grid"/>
    <w:basedOn w:val="2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autoRedefine/>
    <w:qFormat/>
    <w:uiPriority w:val="0"/>
    <w:rPr>
      <w:b/>
    </w:rPr>
  </w:style>
  <w:style w:type="character" w:styleId="28">
    <w:name w:val="page number"/>
    <w:qFormat/>
    <w:uiPriority w:val="0"/>
    <w:rPr>
      <w:rFonts w:ascii="Times New Roman" w:hAnsi="Times New Roman" w:eastAsia="宋体"/>
      <w:sz w:val="18"/>
    </w:rPr>
  </w:style>
  <w:style w:type="character" w:styleId="29">
    <w:name w:val="Emphasis"/>
    <w:autoRedefine/>
    <w:qFormat/>
    <w:uiPriority w:val="0"/>
    <w:rPr>
      <w:color w:val="CC0000"/>
    </w:rPr>
  </w:style>
  <w:style w:type="character" w:styleId="30">
    <w:name w:val="Hyperlink"/>
    <w:autoRedefine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1">
    <w:name w:val="annotation reference"/>
    <w:autoRedefine/>
    <w:qFormat/>
    <w:uiPriority w:val="0"/>
    <w:rPr>
      <w:sz w:val="21"/>
      <w:szCs w:val="21"/>
    </w:rPr>
  </w:style>
  <w:style w:type="character" w:styleId="32">
    <w:name w:val="HTML Cite"/>
    <w:autoRedefine/>
    <w:qFormat/>
    <w:uiPriority w:val="0"/>
    <w:rPr>
      <w:color w:val="008000"/>
    </w:rPr>
  </w:style>
  <w:style w:type="character" w:styleId="33">
    <w:name w:val="footnote reference"/>
    <w:autoRedefine/>
    <w:qFormat/>
    <w:uiPriority w:val="0"/>
    <w:rPr>
      <w:vertAlign w:val="superscript"/>
    </w:rPr>
  </w:style>
  <w:style w:type="character" w:customStyle="1" w:styleId="34">
    <w:name w:val="批注文字 字符"/>
    <w:link w:val="7"/>
    <w:autoRedefine/>
    <w:qFormat/>
    <w:uiPriority w:val="0"/>
    <w:rPr>
      <w:kern w:val="2"/>
      <w:sz w:val="21"/>
      <w:szCs w:val="24"/>
    </w:rPr>
  </w:style>
  <w:style w:type="character" w:customStyle="1" w:styleId="35">
    <w:name w:val="日期 字符"/>
    <w:link w:val="12"/>
    <w:autoRedefine/>
    <w:qFormat/>
    <w:uiPriority w:val="0"/>
    <w:rPr>
      <w:kern w:val="2"/>
      <w:sz w:val="21"/>
      <w:szCs w:val="24"/>
    </w:rPr>
  </w:style>
  <w:style w:type="character" w:customStyle="1" w:styleId="36">
    <w:name w:val="批注框文本 字符"/>
    <w:link w:val="13"/>
    <w:autoRedefine/>
    <w:qFormat/>
    <w:uiPriority w:val="0"/>
    <w:rPr>
      <w:kern w:val="2"/>
      <w:sz w:val="18"/>
      <w:szCs w:val="18"/>
    </w:rPr>
  </w:style>
  <w:style w:type="character" w:customStyle="1" w:styleId="37">
    <w:name w:val="脚注文本 字符"/>
    <w:link w:val="18"/>
    <w:autoRedefine/>
    <w:qFormat/>
    <w:uiPriority w:val="0"/>
    <w:rPr>
      <w:kern w:val="2"/>
      <w:sz w:val="18"/>
      <w:szCs w:val="18"/>
    </w:rPr>
  </w:style>
  <w:style w:type="character" w:customStyle="1" w:styleId="38">
    <w:name w:val="标题 字符"/>
    <w:link w:val="22"/>
    <w:autoRedefine/>
    <w:qFormat/>
    <w:uiPriority w:val="0"/>
    <w:rPr>
      <w:rFonts w:ascii="Times New Roman" w:hAnsi="Times New Roman" w:eastAsia="黑体" w:cs="Times New Roman"/>
      <w:b/>
      <w:bCs/>
      <w:kern w:val="2"/>
      <w:sz w:val="21"/>
      <w:szCs w:val="32"/>
    </w:rPr>
  </w:style>
  <w:style w:type="character" w:customStyle="1" w:styleId="39">
    <w:name w:val="批注主题 字符"/>
    <w:link w:val="23"/>
    <w:autoRedefine/>
    <w:qFormat/>
    <w:uiPriority w:val="0"/>
    <w:rPr>
      <w:b/>
      <w:bCs/>
      <w:kern w:val="2"/>
      <w:sz w:val="21"/>
      <w:szCs w:val="24"/>
    </w:rPr>
  </w:style>
  <w:style w:type="character" w:customStyle="1" w:styleId="40">
    <w:name w:val="hover23"/>
    <w:autoRedefine/>
    <w:qFormat/>
    <w:uiPriority w:val="0"/>
  </w:style>
  <w:style w:type="character" w:customStyle="1" w:styleId="41">
    <w:name w:val="章标题 Char"/>
    <w:link w:val="42"/>
    <w:autoRedefine/>
    <w:qFormat/>
    <w:uiPriority w:val="0"/>
    <w:rPr>
      <w:rFonts w:ascii="黑体" w:hAnsi="黑体" w:eastAsia="黑体"/>
      <w:sz w:val="24"/>
      <w:lang w:val="en-US" w:eastAsia="zh-CN" w:bidi="ar-SA"/>
    </w:rPr>
  </w:style>
  <w:style w:type="paragraph" w:customStyle="1" w:styleId="42">
    <w:name w:val="章标题"/>
    <w:next w:val="43"/>
    <w:link w:val="41"/>
    <w:autoRedefine/>
    <w:qFormat/>
    <w:uiPriority w:val="0"/>
    <w:pPr>
      <w:numPr>
        <w:ilvl w:val="0"/>
        <w:numId w:val="1"/>
      </w:numPr>
      <w:tabs>
        <w:tab w:val="left" w:pos="420"/>
      </w:tabs>
      <w:spacing w:before="50" w:beforeLines="50" w:after="50" w:afterLines="50"/>
      <w:jc w:val="both"/>
      <w:outlineLvl w:val="1"/>
    </w:pPr>
    <w:rPr>
      <w:rFonts w:ascii="黑体" w:hAnsi="黑体" w:eastAsia="黑体" w:cs="Times New Roman"/>
      <w:sz w:val="24"/>
      <w:lang w:val="en-US" w:eastAsia="zh-CN" w:bidi="ar-SA"/>
    </w:rPr>
  </w:style>
  <w:style w:type="paragraph" w:customStyle="1" w:styleId="43">
    <w:name w:val="段"/>
    <w:autoRedefine/>
    <w:qFormat/>
    <w:uiPriority w:val="0"/>
    <w:pPr>
      <w:autoSpaceDE w:val="0"/>
      <w:autoSpaceDN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EE0000"/>
      <w:sz w:val="24"/>
      <w:lang w:val="en-US" w:eastAsia="zh-CN" w:bidi="ar-SA"/>
    </w:rPr>
  </w:style>
  <w:style w:type="character" w:customStyle="1" w:styleId="44">
    <w:name w:val="font121"/>
    <w:autoRedefine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45">
    <w:name w:val="hover1"/>
    <w:autoRedefine/>
    <w:qFormat/>
    <w:uiPriority w:val="0"/>
    <w:rPr>
      <w:color w:val="315EFB"/>
    </w:rPr>
  </w:style>
  <w:style w:type="character" w:customStyle="1" w:styleId="46">
    <w:name w:val="五级条标题 Char"/>
    <w:link w:val="47"/>
    <w:autoRedefine/>
    <w:qFormat/>
    <w:uiPriority w:val="0"/>
  </w:style>
  <w:style w:type="paragraph" w:customStyle="1" w:styleId="47">
    <w:name w:val="五级条标题"/>
    <w:basedOn w:val="48"/>
    <w:next w:val="43"/>
    <w:link w:val="46"/>
    <w:autoRedefine/>
    <w:qFormat/>
    <w:uiPriority w:val="0"/>
    <w:pPr>
      <w:numPr>
        <w:ilvl w:val="6"/>
      </w:numPr>
      <w:tabs>
        <w:tab w:val="left" w:pos="0"/>
        <w:tab w:val="left" w:pos="420"/>
        <w:tab w:val="left" w:pos="3260"/>
      </w:tabs>
      <w:outlineLvl w:val="6"/>
    </w:pPr>
  </w:style>
  <w:style w:type="paragraph" w:customStyle="1" w:styleId="48">
    <w:name w:val="四级条标题"/>
    <w:basedOn w:val="49"/>
    <w:next w:val="43"/>
    <w:autoRedefine/>
    <w:qFormat/>
    <w:uiPriority w:val="0"/>
    <w:pPr>
      <w:numPr>
        <w:ilvl w:val="5"/>
      </w:numPr>
      <w:tabs>
        <w:tab w:val="left" w:pos="0"/>
        <w:tab w:val="left" w:pos="420"/>
        <w:tab w:val="left" w:pos="3260"/>
      </w:tabs>
      <w:outlineLvl w:val="5"/>
    </w:pPr>
  </w:style>
  <w:style w:type="paragraph" w:customStyle="1" w:styleId="49">
    <w:name w:val="三级条标题"/>
    <w:basedOn w:val="50"/>
    <w:next w:val="43"/>
    <w:autoRedefine/>
    <w:qFormat/>
    <w:uiPriority w:val="0"/>
    <w:pPr>
      <w:numPr>
        <w:ilvl w:val="4"/>
        <w:numId w:val="2"/>
      </w:numPr>
      <w:tabs>
        <w:tab w:val="left" w:pos="0"/>
        <w:tab w:val="left" w:pos="420"/>
        <w:tab w:val="left" w:pos="3260"/>
      </w:tabs>
      <w:outlineLvl w:val="4"/>
    </w:pPr>
  </w:style>
  <w:style w:type="paragraph" w:customStyle="1" w:styleId="50">
    <w:name w:val="二级条标题"/>
    <w:basedOn w:val="51"/>
    <w:next w:val="43"/>
    <w:qFormat/>
    <w:uiPriority w:val="0"/>
    <w:pPr>
      <w:numPr>
        <w:ilvl w:val="2"/>
      </w:numPr>
      <w:tabs>
        <w:tab w:val="left" w:pos="0"/>
        <w:tab w:val="left" w:pos="420"/>
        <w:tab w:val="left" w:pos="3260"/>
      </w:tabs>
      <w:spacing w:line="240" w:lineRule="auto"/>
      <w:outlineLvl w:val="3"/>
    </w:pPr>
    <w:rPr>
      <w:rFonts w:ascii="Times New Roman" w:hAnsi="Times New Roman"/>
    </w:rPr>
  </w:style>
  <w:style w:type="paragraph" w:customStyle="1" w:styleId="51">
    <w:name w:val="一级条标题"/>
    <w:basedOn w:val="42"/>
    <w:next w:val="43"/>
    <w:link w:val="52"/>
    <w:autoRedefine/>
    <w:qFormat/>
    <w:uiPriority w:val="0"/>
    <w:pPr>
      <w:numPr>
        <w:ilvl w:val="1"/>
      </w:numPr>
      <w:tabs>
        <w:tab w:val="left" w:pos="0"/>
        <w:tab w:val="left" w:pos="3260"/>
      </w:tabs>
      <w:snapToGrid w:val="0"/>
      <w:spacing w:line="360" w:lineRule="auto"/>
      <w:jc w:val="left"/>
      <w:outlineLvl w:val="0"/>
    </w:pPr>
    <w:rPr>
      <w:rFonts w:eastAsia="宋体"/>
    </w:rPr>
  </w:style>
  <w:style w:type="character" w:customStyle="1" w:styleId="52">
    <w:name w:val="一级条标题 Char"/>
    <w:link w:val="51"/>
    <w:autoRedefine/>
    <w:qFormat/>
    <w:uiPriority w:val="0"/>
    <w:rPr>
      <w:rFonts w:hAnsi="黑体" w:eastAsia="宋体"/>
      <w:sz w:val="24"/>
    </w:rPr>
  </w:style>
  <w:style w:type="character" w:customStyle="1" w:styleId="53">
    <w:name w:val="font11"/>
    <w:autoRedefine/>
    <w:qFormat/>
    <w:uiPriority w:val="0"/>
    <w:rPr>
      <w:rFonts w:hint="default" w:ascii="Times New Roman" w:hAnsi="Times New Roman" w:cs="Times New Roman"/>
      <w:b/>
      <w:color w:val="000000"/>
      <w:sz w:val="12"/>
      <w:szCs w:val="12"/>
      <w:u w:val="none"/>
    </w:rPr>
  </w:style>
  <w:style w:type="character" w:customStyle="1" w:styleId="54">
    <w:name w:val="font91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5">
    <w:name w:val="font21"/>
    <w:autoRedefine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56">
    <w:name w:val="font181"/>
    <w:autoRedefine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57">
    <w:name w:val="font221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58">
    <w:name w:val="c-icon25"/>
    <w:autoRedefine/>
    <w:qFormat/>
    <w:uiPriority w:val="0"/>
  </w:style>
  <w:style w:type="character" w:customStyle="1" w:styleId="59">
    <w:name w:val="标准书眉一 Char"/>
    <w:link w:val="60"/>
    <w:autoRedefine/>
    <w:qFormat/>
    <w:uiPriority w:val="0"/>
    <w:rPr>
      <w:lang w:val="en-US" w:eastAsia="zh-CN" w:bidi="ar-SA"/>
    </w:rPr>
  </w:style>
  <w:style w:type="paragraph" w:customStyle="1" w:styleId="60">
    <w:name w:val="标准书眉一"/>
    <w:link w:val="59"/>
    <w:autoRedefine/>
    <w:qFormat/>
    <w:uiPriority w:val="0"/>
    <w:pPr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61">
    <w:name w:val="hover"/>
    <w:autoRedefine/>
    <w:qFormat/>
    <w:uiPriority w:val="0"/>
  </w:style>
  <w:style w:type="character" w:customStyle="1" w:styleId="62">
    <w:name w:val="font71"/>
    <w:autoRedefine/>
    <w:qFormat/>
    <w:uiPriority w:val="0"/>
    <w:rPr>
      <w:rFonts w:hint="eastAsia" w:ascii="黑体" w:hAnsi="宋体" w:eastAsia="黑体" w:cs="黑体"/>
      <w:b/>
      <w:color w:val="000000"/>
      <w:sz w:val="40"/>
      <w:szCs w:val="40"/>
      <w:u w:val="none"/>
    </w:rPr>
  </w:style>
  <w:style w:type="character" w:customStyle="1" w:styleId="63">
    <w:name w:val="hover24"/>
    <w:autoRedefine/>
    <w:qFormat/>
    <w:uiPriority w:val="0"/>
    <w:rPr>
      <w:color w:val="315EFB"/>
    </w:rPr>
  </w:style>
  <w:style w:type="character" w:customStyle="1" w:styleId="64">
    <w:name w:val="c-icon28"/>
    <w:autoRedefine/>
    <w:qFormat/>
    <w:uiPriority w:val="0"/>
  </w:style>
  <w:style w:type="paragraph" w:customStyle="1" w:styleId="65">
    <w:name w:val="封面一致性程度标识"/>
    <w:autoRedefine/>
    <w:qFormat/>
    <w:uiPriority w:val="0"/>
    <w:pPr>
      <w:spacing w:before="440" w:line="400" w:lineRule="exact"/>
      <w:jc w:val="center"/>
    </w:pPr>
    <w:rPr>
      <w:rFonts w:ascii="宋体" w:hAnsi="Times New Roman" w:eastAsia="Batang" w:cs="Times New Roman"/>
      <w:sz w:val="28"/>
      <w:lang w:val="en-US" w:eastAsia="zh-CN" w:bidi="ar-SA"/>
    </w:rPr>
  </w:style>
  <w:style w:type="paragraph" w:customStyle="1" w:styleId="66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Batang" w:cs="Times New Roman"/>
      <w:sz w:val="18"/>
      <w:lang w:val="en-US" w:eastAsia="zh-CN" w:bidi="ar-SA"/>
    </w:rPr>
  </w:style>
  <w:style w:type="paragraph" w:customStyle="1" w:styleId="67">
    <w:name w:val="附录一级条标题"/>
    <w:basedOn w:val="68"/>
    <w:next w:val="43"/>
    <w:autoRedefine/>
    <w:qFormat/>
    <w:uiPriority w:val="0"/>
    <w:pPr>
      <w:numPr>
        <w:ilvl w:val="2"/>
      </w:numPr>
      <w:autoSpaceDN w:val="0"/>
      <w:spacing w:before="0" w:beforeLines="0" w:after="0" w:afterLines="0"/>
      <w:outlineLvl w:val="2"/>
    </w:pPr>
  </w:style>
  <w:style w:type="paragraph" w:customStyle="1" w:styleId="68">
    <w:name w:val="附录章标题"/>
    <w:next w:val="43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="156" w:beforeLines="50" w:after="156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69">
    <w:name w:val="其他发布部门"/>
    <w:basedOn w:val="1"/>
    <w:autoRedefine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36"/>
      <w:szCs w:val="20"/>
    </w:rPr>
  </w:style>
  <w:style w:type="paragraph" w:customStyle="1" w:styleId="70">
    <w:name w:val="Body text|1"/>
    <w:basedOn w:val="1"/>
    <w:autoRedefine/>
    <w:qFormat/>
    <w:uiPriority w:val="0"/>
    <w:pPr>
      <w:spacing w:after="80" w:line="377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71">
    <w:name w:val="_Style 70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customStyle="1" w:styleId="72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Batang" w:cs="Times New Roman"/>
      <w:sz w:val="28"/>
      <w:lang w:val="en-US" w:eastAsia="zh-CN" w:bidi="ar-SA"/>
    </w:rPr>
  </w:style>
  <w:style w:type="paragraph" w:customStyle="1" w:styleId="73">
    <w:name w:val="封面标准名称"/>
    <w:autoRedefine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74">
    <w:name w:val="封面正文"/>
    <w:autoRedefine/>
    <w:qFormat/>
    <w:uiPriority w:val="0"/>
    <w:pPr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75">
    <w:name w:val="标准书脚_偶数页"/>
    <w:autoRedefine/>
    <w:qFormat/>
    <w:uiPriority w:val="0"/>
    <w:pPr>
      <w:spacing w:before="120"/>
    </w:pPr>
    <w:rPr>
      <w:rFonts w:ascii="Times New Roman" w:hAnsi="Times New Roman" w:eastAsia="Batang" w:cs="Times New Roman"/>
      <w:sz w:val="18"/>
      <w:lang w:val="en-US" w:eastAsia="zh-CN" w:bidi="ar-SA"/>
    </w:rPr>
  </w:style>
  <w:style w:type="paragraph" w:customStyle="1" w:styleId="76">
    <w:name w:val="默认段落字体 Para Char Char Char Char Char Char Char Char Char Char"/>
    <w:basedOn w:val="1"/>
    <w:autoRedefine/>
    <w:qFormat/>
    <w:uiPriority w:val="0"/>
  </w:style>
  <w:style w:type="paragraph" w:customStyle="1" w:styleId="77">
    <w:name w:val="其他标准称谓"/>
    <w:autoRedefine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78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79">
    <w:name w:val="Char Char"/>
    <w:basedOn w:val="1"/>
    <w:autoRedefine/>
    <w:qFormat/>
    <w:uiPriority w:val="0"/>
  </w:style>
  <w:style w:type="paragraph" w:customStyle="1" w:styleId="80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81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Batang" w:cs="Times New Roman"/>
      <w:sz w:val="21"/>
      <w:lang w:val="en-US" w:eastAsia="zh-CN" w:bidi="ar-SA"/>
    </w:rPr>
  </w:style>
  <w:style w:type="paragraph" w:customStyle="1" w:styleId="82">
    <w:name w:val="目次、标准名称标题"/>
    <w:basedOn w:val="83"/>
    <w:next w:val="43"/>
    <w:qFormat/>
    <w:uiPriority w:val="0"/>
    <w:pPr>
      <w:numPr>
        <w:numId w:val="0"/>
      </w:numPr>
      <w:spacing w:line="460" w:lineRule="exact"/>
    </w:pPr>
  </w:style>
  <w:style w:type="paragraph" w:customStyle="1" w:styleId="83">
    <w:name w:val="前言、引言标题"/>
    <w:next w:val="1"/>
    <w:autoRedefine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4">
    <w:name w:val="Other|1"/>
    <w:basedOn w:val="1"/>
    <w:autoRedefine/>
    <w:qFormat/>
    <w:uiPriority w:val="0"/>
    <w:pPr>
      <w:spacing w:after="80" w:line="377" w:lineRule="auto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85">
    <w:name w:val="WPSOffice手动目录 1"/>
    <w:autoRedefine/>
    <w:qFormat/>
    <w:uiPriority w:val="0"/>
    <w:rPr>
      <w:rFonts w:ascii="Times New Roman" w:hAnsi="Times New Roman" w:eastAsia="Batang" w:cs="Times New Roman"/>
      <w:lang w:val="en-US" w:eastAsia="zh-CN" w:bidi="ar-SA"/>
    </w:rPr>
  </w:style>
  <w:style w:type="paragraph" w:customStyle="1" w:styleId="86">
    <w:name w:val="封面标准号2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kern w:val="0"/>
      <w:sz w:val="28"/>
      <w:szCs w:val="20"/>
    </w:rPr>
  </w:style>
  <w:style w:type="paragraph" w:customStyle="1" w:styleId="87">
    <w:name w:val="Body text|2"/>
    <w:basedOn w:val="1"/>
    <w:autoRedefine/>
    <w:qFormat/>
    <w:uiPriority w:val="0"/>
    <w:pPr>
      <w:spacing w:line="384" w:lineRule="auto"/>
    </w:pPr>
  </w:style>
  <w:style w:type="paragraph" w:customStyle="1" w:styleId="88">
    <w:name w:val="注"/>
    <w:basedOn w:val="1"/>
    <w:next w:val="8"/>
    <w:autoRedefine/>
    <w:qFormat/>
    <w:uiPriority w:val="0"/>
    <w:pPr>
      <w:numPr>
        <w:ilvl w:val="0"/>
        <w:numId w:val="4"/>
      </w:numPr>
      <w:adjustRightInd w:val="0"/>
      <w:spacing w:line="360" w:lineRule="auto"/>
      <w:ind w:firstLine="480" w:firstLineChars="200"/>
      <w:textAlignment w:val="baseline"/>
      <w:outlineLvl w:val="0"/>
    </w:pPr>
    <w:rPr>
      <w:rFonts w:eastAsia="宋体"/>
      <w:kern w:val="0"/>
      <w:sz w:val="24"/>
      <w:szCs w:val="20"/>
    </w:rPr>
  </w:style>
  <w:style w:type="paragraph" w:customStyle="1" w:styleId="89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Batang" w:cs="Times New Roman"/>
      <w:sz w:val="24"/>
      <w:lang w:val="en-US" w:eastAsia="zh-CN" w:bidi="ar-SA"/>
    </w:rPr>
  </w:style>
  <w:style w:type="paragraph" w:customStyle="1" w:styleId="90">
    <w:name w:val="发布日期"/>
    <w:autoRedefine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1">
    <w:name w:val="实施日期"/>
    <w:basedOn w:val="90"/>
    <w:autoRedefine/>
    <w:qFormat/>
    <w:uiPriority w:val="0"/>
    <w:pPr>
      <w:framePr w:hSpace="0" w:wrap="around" w:xAlign="right"/>
      <w:jc w:val="right"/>
    </w:pPr>
  </w:style>
  <w:style w:type="paragraph" w:customStyle="1" w:styleId="92">
    <w:name w:val="标准书眉_偶数页"/>
    <w:basedOn w:val="80"/>
    <w:next w:val="1"/>
    <w:autoRedefine/>
    <w:qFormat/>
    <w:uiPriority w:val="0"/>
    <w:pPr>
      <w:jc w:val="left"/>
    </w:pPr>
  </w:style>
  <w:style w:type="paragraph" w:customStyle="1" w:styleId="93">
    <w:name w:val="标准标志"/>
    <w:next w:val="1"/>
    <w:autoRedefine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Batang" w:cs="Times New Roman"/>
      <w:b/>
      <w:w w:val="130"/>
      <w:sz w:val="96"/>
      <w:lang w:val="en-US" w:eastAsia="zh-CN" w:bidi="ar-SA"/>
    </w:rPr>
  </w:style>
  <w:style w:type="paragraph" w:customStyle="1" w:styleId="94">
    <w:name w:val="Char"/>
    <w:basedOn w:val="1"/>
    <w:autoRedefine/>
    <w:qFormat/>
    <w:uiPriority w:val="0"/>
    <w:pPr>
      <w:adjustRightInd w:val="0"/>
      <w:snapToGrid w:val="0"/>
      <w:ind w:firstLine="200" w:firstLineChars="200"/>
    </w:pPr>
    <w:rPr>
      <w:rFonts w:ascii="Tahoma" w:hAnsi="Tahoma" w:eastAsia="仿宋_GB2312"/>
      <w:snapToGrid w:val="0"/>
      <w:kern w:val="0"/>
      <w:sz w:val="24"/>
      <w:szCs w:val="20"/>
    </w:rPr>
  </w:style>
  <w:style w:type="paragraph" w:customStyle="1" w:styleId="95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Batang" w:cs="Times New Roman"/>
      <w:sz w:val="21"/>
      <w:lang w:val="en-US" w:eastAsia="zh-CN" w:bidi="ar-SA"/>
    </w:rPr>
  </w:style>
  <w:style w:type="paragraph" w:customStyle="1" w:styleId="96">
    <w:name w:val="Table caption|1"/>
    <w:basedOn w:val="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7">
    <w:name w:val="Header or footer|2"/>
    <w:basedOn w:val="1"/>
    <w:autoRedefine/>
    <w:qFormat/>
    <w:uiPriority w:val="0"/>
    <w:rPr>
      <w:sz w:val="20"/>
      <w:szCs w:val="20"/>
    </w:rPr>
  </w:style>
  <w:style w:type="character" w:customStyle="1" w:styleId="98">
    <w:name w:val="font0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9">
    <w:name w:val="font51"/>
    <w:autoRedefine/>
    <w:qFormat/>
    <w:uiPriority w:val="0"/>
    <w:rPr>
      <w:rFonts w:hint="eastAsia" w:ascii="宋体" w:hAnsi="宋体" w:eastAsia="宋体" w:cs="宋体"/>
      <w:i/>
      <w:color w:val="000000"/>
      <w:sz w:val="18"/>
      <w:szCs w:val="18"/>
      <w:u w:val="none"/>
    </w:rPr>
  </w:style>
  <w:style w:type="character" w:customStyle="1" w:styleId="100">
    <w:name w:val="font41"/>
    <w:autoRedefine/>
    <w:qFormat/>
    <w:uiPriority w:val="0"/>
    <w:rPr>
      <w:rFonts w:hint="eastAsia" w:ascii="宋体" w:hAnsi="宋体" w:eastAsia="宋体" w:cs="宋体"/>
      <w:i/>
      <w:color w:val="000000"/>
      <w:sz w:val="18"/>
      <w:szCs w:val="18"/>
      <w:u w:val="none"/>
      <w:vertAlign w:val="subscript"/>
    </w:rPr>
  </w:style>
  <w:style w:type="character" w:customStyle="1" w:styleId="101">
    <w:name w:val="图题及表格"/>
    <w:basedOn w:val="26"/>
    <w:autoRedefine/>
    <w:qFormat/>
    <w:uiPriority w:val="0"/>
    <w:rPr>
      <w:rFonts w:ascii="Times New Roman" w:hAnsi="Times New Roman" w:eastAsia="宋体"/>
      <w:color w:val="000000" w:themeColor="text1"/>
      <w:sz w:val="21"/>
      <w14:textFill>
        <w14:solidFill>
          <w14:schemeClr w14:val="tx1"/>
        </w14:solidFill>
      </w14:textFill>
    </w:rPr>
  </w:style>
  <w:style w:type="character" w:customStyle="1" w:styleId="102">
    <w:name w:val="表题"/>
    <w:autoRedefine/>
    <w:qFormat/>
    <w:uiPriority w:val="0"/>
    <w:rPr>
      <w:rFonts w:hint="eastAsia" w:ascii="Times New Roman" w:hAnsi="Times New Roman" w:eastAsia="黑体" w:cs="黑体"/>
      <w:color w:val="000000"/>
      <w:sz w:val="21"/>
      <w:szCs w:val="20"/>
      <w:u w:val="none"/>
    </w:rPr>
  </w:style>
  <w:style w:type="paragraph" w:styleId="103">
    <w:name w:val="List Paragraph"/>
    <w:basedOn w:val="1"/>
    <w:autoRedefine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7.bin"/><Relationship Id="rId98" Type="http://schemas.openxmlformats.org/officeDocument/2006/relationships/oleObject" Target="embeddings/oleObject36.bin"/><Relationship Id="rId97" Type="http://schemas.openxmlformats.org/officeDocument/2006/relationships/image" Target="media/image39.wmf"/><Relationship Id="rId96" Type="http://schemas.openxmlformats.org/officeDocument/2006/relationships/oleObject" Target="embeddings/oleObject35.bin"/><Relationship Id="rId95" Type="http://schemas.openxmlformats.org/officeDocument/2006/relationships/image" Target="media/image38.wmf"/><Relationship Id="rId94" Type="http://schemas.openxmlformats.org/officeDocument/2006/relationships/oleObject" Target="embeddings/oleObject34.bin"/><Relationship Id="rId93" Type="http://schemas.openxmlformats.org/officeDocument/2006/relationships/image" Target="media/image37.wmf"/><Relationship Id="rId92" Type="http://schemas.openxmlformats.org/officeDocument/2006/relationships/oleObject" Target="embeddings/oleObject33.bin"/><Relationship Id="rId91" Type="http://schemas.openxmlformats.org/officeDocument/2006/relationships/image" Target="media/image36.wmf"/><Relationship Id="rId90" Type="http://schemas.openxmlformats.org/officeDocument/2006/relationships/oleObject" Target="embeddings/oleObject32.bin"/><Relationship Id="rId9" Type="http://schemas.openxmlformats.org/officeDocument/2006/relationships/header" Target="header5.xml"/><Relationship Id="rId89" Type="http://schemas.openxmlformats.org/officeDocument/2006/relationships/image" Target="media/image35.wmf"/><Relationship Id="rId88" Type="http://schemas.openxmlformats.org/officeDocument/2006/relationships/oleObject" Target="embeddings/oleObject31.bin"/><Relationship Id="rId87" Type="http://schemas.openxmlformats.org/officeDocument/2006/relationships/image" Target="media/image34.wmf"/><Relationship Id="rId86" Type="http://schemas.openxmlformats.org/officeDocument/2006/relationships/oleObject" Target="embeddings/oleObject30.bin"/><Relationship Id="rId85" Type="http://schemas.openxmlformats.org/officeDocument/2006/relationships/image" Target="media/image33.wmf"/><Relationship Id="rId84" Type="http://schemas.openxmlformats.org/officeDocument/2006/relationships/oleObject" Target="embeddings/oleObject29.bin"/><Relationship Id="rId83" Type="http://schemas.openxmlformats.org/officeDocument/2006/relationships/image" Target="media/image32.wmf"/><Relationship Id="rId82" Type="http://schemas.openxmlformats.org/officeDocument/2006/relationships/oleObject" Target="embeddings/oleObject28.bin"/><Relationship Id="rId81" Type="http://schemas.openxmlformats.org/officeDocument/2006/relationships/image" Target="media/image31.wmf"/><Relationship Id="rId80" Type="http://schemas.openxmlformats.org/officeDocument/2006/relationships/oleObject" Target="embeddings/oleObject27.bin"/><Relationship Id="rId8" Type="http://schemas.openxmlformats.org/officeDocument/2006/relationships/header" Target="header4.xml"/><Relationship Id="rId79" Type="http://schemas.openxmlformats.org/officeDocument/2006/relationships/image" Target="media/image30.wmf"/><Relationship Id="rId78" Type="http://schemas.openxmlformats.org/officeDocument/2006/relationships/oleObject" Target="embeddings/oleObject26.bin"/><Relationship Id="rId77" Type="http://schemas.openxmlformats.org/officeDocument/2006/relationships/image" Target="media/image29.wmf"/><Relationship Id="rId76" Type="http://schemas.openxmlformats.org/officeDocument/2006/relationships/oleObject" Target="embeddings/oleObject25.bin"/><Relationship Id="rId75" Type="http://schemas.openxmlformats.org/officeDocument/2006/relationships/image" Target="media/image28.wmf"/><Relationship Id="rId74" Type="http://schemas.openxmlformats.org/officeDocument/2006/relationships/oleObject" Target="embeddings/oleObject24.bin"/><Relationship Id="rId73" Type="http://schemas.openxmlformats.org/officeDocument/2006/relationships/image" Target="media/image27.wmf"/><Relationship Id="rId72" Type="http://schemas.openxmlformats.org/officeDocument/2006/relationships/oleObject" Target="embeddings/oleObject23.bin"/><Relationship Id="rId71" Type="http://schemas.openxmlformats.org/officeDocument/2006/relationships/image" Target="media/image26.wmf"/><Relationship Id="rId70" Type="http://schemas.openxmlformats.org/officeDocument/2006/relationships/oleObject" Target="embeddings/oleObject22.bin"/><Relationship Id="rId7" Type="http://schemas.openxmlformats.org/officeDocument/2006/relationships/footer" Target="footer2.xml"/><Relationship Id="rId69" Type="http://schemas.openxmlformats.org/officeDocument/2006/relationships/image" Target="media/image25.wmf"/><Relationship Id="rId68" Type="http://schemas.openxmlformats.org/officeDocument/2006/relationships/oleObject" Target="embeddings/oleObject21.bin"/><Relationship Id="rId67" Type="http://schemas.openxmlformats.org/officeDocument/2006/relationships/image" Target="media/image24.wmf"/><Relationship Id="rId66" Type="http://schemas.openxmlformats.org/officeDocument/2006/relationships/oleObject" Target="embeddings/oleObject20.bin"/><Relationship Id="rId65" Type="http://schemas.openxmlformats.org/officeDocument/2006/relationships/image" Target="media/image23.wmf"/><Relationship Id="rId64" Type="http://schemas.openxmlformats.org/officeDocument/2006/relationships/oleObject" Target="embeddings/oleObject19.bin"/><Relationship Id="rId63" Type="http://schemas.openxmlformats.org/officeDocument/2006/relationships/image" Target="media/image22.wmf"/><Relationship Id="rId62" Type="http://schemas.openxmlformats.org/officeDocument/2006/relationships/oleObject" Target="embeddings/oleObject18.bin"/><Relationship Id="rId61" Type="http://schemas.openxmlformats.org/officeDocument/2006/relationships/image" Target="media/image21.wmf"/><Relationship Id="rId60" Type="http://schemas.openxmlformats.org/officeDocument/2006/relationships/oleObject" Target="embeddings/oleObject17.bin"/><Relationship Id="rId6" Type="http://schemas.openxmlformats.org/officeDocument/2006/relationships/footer" Target="footer1.xml"/><Relationship Id="rId59" Type="http://schemas.openxmlformats.org/officeDocument/2006/relationships/image" Target="media/image20.wmf"/><Relationship Id="rId58" Type="http://schemas.openxmlformats.org/officeDocument/2006/relationships/oleObject" Target="embeddings/oleObject16.bin"/><Relationship Id="rId57" Type="http://schemas.openxmlformats.org/officeDocument/2006/relationships/image" Target="media/image19.wmf"/><Relationship Id="rId56" Type="http://schemas.openxmlformats.org/officeDocument/2006/relationships/oleObject" Target="embeddings/oleObject15.bin"/><Relationship Id="rId55" Type="http://schemas.openxmlformats.org/officeDocument/2006/relationships/image" Target="media/image18.wmf"/><Relationship Id="rId54" Type="http://schemas.openxmlformats.org/officeDocument/2006/relationships/oleObject" Target="embeddings/oleObject14.bin"/><Relationship Id="rId53" Type="http://schemas.openxmlformats.org/officeDocument/2006/relationships/image" Target="media/image17.wmf"/><Relationship Id="rId52" Type="http://schemas.openxmlformats.org/officeDocument/2006/relationships/oleObject" Target="embeddings/oleObject13.bin"/><Relationship Id="rId51" Type="http://schemas.openxmlformats.org/officeDocument/2006/relationships/image" Target="media/image16.wmf"/><Relationship Id="rId50" Type="http://schemas.openxmlformats.org/officeDocument/2006/relationships/oleObject" Target="embeddings/oleObject12.bin"/><Relationship Id="rId5" Type="http://schemas.openxmlformats.org/officeDocument/2006/relationships/header" Target="header3.xml"/><Relationship Id="rId49" Type="http://schemas.openxmlformats.org/officeDocument/2006/relationships/image" Target="media/image15.wmf"/><Relationship Id="rId48" Type="http://schemas.openxmlformats.org/officeDocument/2006/relationships/oleObject" Target="embeddings/oleObject11.bin"/><Relationship Id="rId47" Type="http://schemas.openxmlformats.org/officeDocument/2006/relationships/image" Target="media/image14.wmf"/><Relationship Id="rId46" Type="http://schemas.openxmlformats.org/officeDocument/2006/relationships/oleObject" Target="embeddings/oleObject10.bin"/><Relationship Id="rId45" Type="http://schemas.openxmlformats.org/officeDocument/2006/relationships/image" Target="media/image13.wmf"/><Relationship Id="rId44" Type="http://schemas.openxmlformats.org/officeDocument/2006/relationships/oleObject" Target="embeddings/oleObject9.bin"/><Relationship Id="rId43" Type="http://schemas.openxmlformats.org/officeDocument/2006/relationships/image" Target="media/image12.wmf"/><Relationship Id="rId42" Type="http://schemas.openxmlformats.org/officeDocument/2006/relationships/oleObject" Target="embeddings/oleObject8.bin"/><Relationship Id="rId41" Type="http://schemas.openxmlformats.org/officeDocument/2006/relationships/image" Target="media/image11.wmf"/><Relationship Id="rId40" Type="http://schemas.openxmlformats.org/officeDocument/2006/relationships/oleObject" Target="embeddings/oleObject7.bin"/><Relationship Id="rId4" Type="http://schemas.openxmlformats.org/officeDocument/2006/relationships/header" Target="header2.xml"/><Relationship Id="rId39" Type="http://schemas.openxmlformats.org/officeDocument/2006/relationships/image" Target="media/image10.wmf"/><Relationship Id="rId38" Type="http://schemas.openxmlformats.org/officeDocument/2006/relationships/oleObject" Target="embeddings/oleObject6.bin"/><Relationship Id="rId37" Type="http://schemas.openxmlformats.org/officeDocument/2006/relationships/image" Target="media/image9.wmf"/><Relationship Id="rId36" Type="http://schemas.openxmlformats.org/officeDocument/2006/relationships/oleObject" Target="embeddings/oleObject5.bin"/><Relationship Id="rId35" Type="http://schemas.openxmlformats.org/officeDocument/2006/relationships/image" Target="media/image8.wmf"/><Relationship Id="rId34" Type="http://schemas.openxmlformats.org/officeDocument/2006/relationships/oleObject" Target="embeddings/oleObject4.bin"/><Relationship Id="rId33" Type="http://schemas.openxmlformats.org/officeDocument/2006/relationships/image" Target="media/image7.wmf"/><Relationship Id="rId32" Type="http://schemas.openxmlformats.org/officeDocument/2006/relationships/oleObject" Target="embeddings/oleObject3.bin"/><Relationship Id="rId31" Type="http://schemas.openxmlformats.org/officeDocument/2006/relationships/image" Target="media/image6.wmf"/><Relationship Id="rId30" Type="http://schemas.openxmlformats.org/officeDocument/2006/relationships/oleObject" Target="embeddings/oleObject2.bin"/><Relationship Id="rId3" Type="http://schemas.openxmlformats.org/officeDocument/2006/relationships/header" Target="header1.xml"/><Relationship Id="rId29" Type="http://schemas.openxmlformats.org/officeDocument/2006/relationships/image" Target="media/image5.wmf"/><Relationship Id="rId28" Type="http://schemas.openxmlformats.org/officeDocument/2006/relationships/oleObject" Target="embeddings/oleObject1.bin"/><Relationship Id="rId27" Type="http://schemas.openxmlformats.org/officeDocument/2006/relationships/image" Target="media/image4.png"/><Relationship Id="rId26" Type="http://schemas.openxmlformats.org/officeDocument/2006/relationships/image" Target="media/image3.png"/><Relationship Id="rId25" Type="http://schemas.openxmlformats.org/officeDocument/2006/relationships/image" Target="media/image2.emf"/><Relationship Id="rId24" Type="http://schemas.openxmlformats.org/officeDocument/2006/relationships/image" Target="media/image1.emf"/><Relationship Id="rId23" Type="http://schemas.openxmlformats.org/officeDocument/2006/relationships/theme" Target="theme/theme1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footer" Target="footer7.xml"/><Relationship Id="rId15" Type="http://schemas.openxmlformats.org/officeDocument/2006/relationships/footer" Target="footer6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header" Target="header6.xml"/><Relationship Id="rId114" Type="http://schemas.openxmlformats.org/officeDocument/2006/relationships/fontTable" Target="fontTable.xml"/><Relationship Id="rId113" Type="http://schemas.openxmlformats.org/officeDocument/2006/relationships/numbering" Target="numbering.xml"/><Relationship Id="rId112" Type="http://schemas.openxmlformats.org/officeDocument/2006/relationships/customXml" Target="../customXml/item1.xml"/><Relationship Id="rId111" Type="http://schemas.openxmlformats.org/officeDocument/2006/relationships/image" Target="media/image45.wmf"/><Relationship Id="rId110" Type="http://schemas.openxmlformats.org/officeDocument/2006/relationships/oleObject" Target="embeddings/oleObject43.bin"/><Relationship Id="rId11" Type="http://schemas.openxmlformats.org/officeDocument/2006/relationships/footer" Target="footer4.xml"/><Relationship Id="rId109" Type="http://schemas.openxmlformats.org/officeDocument/2006/relationships/image" Target="media/image44.wmf"/><Relationship Id="rId108" Type="http://schemas.openxmlformats.org/officeDocument/2006/relationships/oleObject" Target="embeddings/oleObject42.bin"/><Relationship Id="rId107" Type="http://schemas.openxmlformats.org/officeDocument/2006/relationships/image" Target="media/image43.wmf"/><Relationship Id="rId106" Type="http://schemas.openxmlformats.org/officeDocument/2006/relationships/oleObject" Target="embeddings/oleObject41.bin"/><Relationship Id="rId105" Type="http://schemas.openxmlformats.org/officeDocument/2006/relationships/image" Target="media/image42.wmf"/><Relationship Id="rId104" Type="http://schemas.openxmlformats.org/officeDocument/2006/relationships/oleObject" Target="embeddings/oleObject40.bin"/><Relationship Id="rId103" Type="http://schemas.openxmlformats.org/officeDocument/2006/relationships/oleObject" Target="embeddings/oleObject39.bin"/><Relationship Id="rId102" Type="http://schemas.openxmlformats.org/officeDocument/2006/relationships/image" Target="media/image41.wmf"/><Relationship Id="rId101" Type="http://schemas.openxmlformats.org/officeDocument/2006/relationships/oleObject" Target="embeddings/oleObject38.bin"/><Relationship Id="rId100" Type="http://schemas.openxmlformats.org/officeDocument/2006/relationships/image" Target="media/image40.wmf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4996</Words>
  <Characters>5597</Characters>
  <Lines>699</Lines>
  <Paragraphs>623</Paragraphs>
  <TotalTime>9</TotalTime>
  <ScaleCrop>false</ScaleCrop>
  <LinksUpToDate>false</LinksUpToDate>
  <CharactersWithSpaces>9970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2017-12-06T03:12:00Z</dcterms:created>
  <dc:creator>User</dc:creator>
  <cp:lastModifiedBy>包超强</cp:lastModifiedBy>
  <cp:lastPrinted>2024-03-29T02:09:00Z</cp:lastPrinted>
  <dcterms:modified xsi:type="dcterms:W3CDTF">2026-01-16T11:05:18Z</dcterms:modified>
  <dc:title> 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6807190A835743CE8FBBF94FE54F85D7_13</vt:lpwstr>
  </property>
  <property fmtid="{D5CDD505-2E9C-101B-9397-08002B2CF9AE}" pid="4" name="KSOTemplateDocerSaveRecord">
    <vt:lpwstr>eyJoZGlkIjoiMzEwNTM5NzYwMDRjMzkwZTVkZjY2ODkwMGIxNGU0OTUiLCJ1c2VySWQiOiIzMDg2MTU0NTUifQ==</vt:lpwstr>
  </property>
</Properties>
</file>