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214D">
      <w:pPr>
        <w:pStyle w:val="82"/>
        <w:rPr>
          <w:sz w:val="24"/>
          <w:szCs w:val="24"/>
        </w:rPr>
      </w:pPr>
      <w:bookmarkStart w:id="0" w:name="SectionMark0"/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2710815</wp:posOffset>
                </wp:positionV>
                <wp:extent cx="6121400" cy="0"/>
                <wp:effectExtent l="0" t="4445" r="0" b="0"/>
                <wp:wrapNone/>
                <wp:docPr id="6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6pt;margin-top:213.45pt;height:0pt;width:482pt;z-index:251664384;mso-width-relative:page;mso-height-relative:page;" filled="f" stroked="t" coordsize="21600,21600" o:gfxdata="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LrFVDY&#10;AAAACwEAAA8AAAAAAAAAAQAgAAAAIgAAAGRycy9kb3ducmV2LnhtbFBLAQIUABQAAAAIAIdO4kC/&#10;Ki5x5wEAANwDAAAOAAAAAAAAAAEAIAAAAC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3531870</wp:posOffset>
            </wp:positionH>
            <wp:positionV relativeFrom="paragraph">
              <wp:posOffset>1905</wp:posOffset>
            </wp:positionV>
            <wp:extent cx="1895475" cy="660400"/>
            <wp:effectExtent l="0" t="0" r="9525" b="6350"/>
            <wp:wrapNone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2632710"/>
                <wp:effectExtent l="0" t="0" r="0" b="8890"/>
                <wp:wrapNone/>
                <wp:docPr id="2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263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189245">
                            <w:pPr>
                              <w:pStyle w:val="66"/>
                              <w:rPr>
                                <w:rFonts w:hint="eastAsia" w:hAnsi="Times New Roman" w:cs="Times New Roman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Times New Roman" w:cs="Times New Roman"/>
                                <w:szCs w:val="52"/>
                                <w:lang w:val="en-US" w:eastAsia="zh-CN"/>
                              </w:rPr>
                              <w:t>动态热机械分析仪校准规范</w:t>
                            </w:r>
                          </w:p>
                          <w:p w14:paraId="56DCEE21">
                            <w:pPr>
                              <w:pStyle w:val="95"/>
                              <w:spacing w:line="220" w:lineRule="exact"/>
                              <w:rPr>
                                <w:rFonts w:hint="eastAsia" w:ascii="黑体" w:eastAsia="黑体"/>
                                <w:sz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</w:rPr>
                              <w:t>（讨论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  <w:lang w:val="en-US" w:eastAsia="zh-CN"/>
                              </w:rPr>
                              <w:t>稿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</w:rPr>
                              <w:t>）</w:t>
                            </w:r>
                          </w:p>
                          <w:p w14:paraId="6EBF7CAE">
                            <w:pPr>
                              <w:pStyle w:val="66"/>
                              <w:spacing w:line="220" w:lineRule="exact"/>
                              <w:jc w:val="both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  <w:p w14:paraId="31E5DC34">
                            <w:pPr>
                              <w:pStyle w:val="86"/>
                              <w:framePr w:w="0" w:hRule="auto" w:wrap="auto" w:vAnchor="margin" w:hAnchor="text" w:yAlign="inline"/>
                              <w:jc w:val="center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/>
                                <w:szCs w:val="28"/>
                              </w:rPr>
                              <w:t xml:space="preserve">Calibration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/>
                                <w:szCs w:val="28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/>
                                <w:szCs w:val="28"/>
                              </w:rPr>
                              <w:t xml:space="preserve">pecification for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/>
                                <w:szCs w:val="28"/>
                                <w:lang w:val="en-US" w:eastAsia="zh-CN"/>
                              </w:rPr>
                              <w:t>Dynamic mechanical analyzers</w:t>
                            </w:r>
                          </w:p>
                          <w:p w14:paraId="653F8D64">
                            <w:pPr>
                              <w:pStyle w:val="86"/>
                              <w:framePr w:w="0" w:hRule="auto" w:wrap="auto" w:vAnchor="margin" w:hAnchor="text" w:yAlign="inline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8"/>
                              </w:rPr>
                            </w:pPr>
                          </w:p>
                          <w:p w14:paraId="2D207C3E">
                            <w:pPr>
                              <w:pStyle w:val="86"/>
                              <w:framePr w:w="0" w:hRule="auto" w:wrap="auto" w:vAnchor="margin" w:hAnchor="text" w:yAlign="inline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8"/>
                              </w:rPr>
                            </w:pPr>
                          </w:p>
                          <w:p w14:paraId="06F6A2AC">
                            <w:pPr>
                              <w:pStyle w:val="86"/>
                              <w:framePr w:w="0" w:hRule="auto" w:wrap="auto" w:vAnchor="margin" w:hAnchor="text" w:yAlign="inline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8"/>
                              </w:rPr>
                            </w:pPr>
                          </w:p>
                          <w:p w14:paraId="2782C838">
                            <w:pPr>
                              <w:pStyle w:val="95"/>
                              <w:rPr>
                                <w:rFonts w:hint="eastAsia" w:ascii="黑体" w:eastAsia="黑体"/>
                                <w:sz w:val="30"/>
                              </w:rPr>
                            </w:pPr>
                          </w:p>
                          <w:p w14:paraId="67241548">
                            <w:pPr>
                              <w:pStyle w:val="95"/>
                              <w:rPr>
                                <w:rFonts w:hint="eastAsia" w:ascii="黑体" w:eastAsia="黑体"/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left:0pt;margin-top:286.25pt;height:207.3pt;width:470pt;mso-position-horizontal-relative:margin;mso-position-vertical-relative:margin;z-index:251660288;mso-width-relative:page;mso-height-relative:page;" fillcolor="#FFFFFF" filled="t" stroked="f" coordsize="21600,21600" o:gfxdata="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0NAMo2AAAAAgBAAAPAAAAAAAAAAEAIAAAACIAAABkcnMv&#10;ZG93bnJldi54bWxQSwECFAAUAAAACACHTuJAUEMQsMoBAACnAwAADgAAAAAAAAABACAAAAAn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4189245">
                      <w:pPr>
                        <w:pStyle w:val="66"/>
                        <w:rPr>
                          <w:rFonts w:hint="eastAsia" w:hAnsi="Times New Roman" w:cs="Times New Roman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hAnsi="Times New Roman" w:cs="Times New Roman"/>
                          <w:szCs w:val="52"/>
                          <w:lang w:val="en-US" w:eastAsia="zh-CN"/>
                        </w:rPr>
                        <w:t>动态热机械分析仪校准规范</w:t>
                      </w:r>
                    </w:p>
                    <w:p w14:paraId="56DCEE21">
                      <w:pPr>
                        <w:pStyle w:val="95"/>
                        <w:spacing w:line="220" w:lineRule="exact"/>
                        <w:rPr>
                          <w:rFonts w:hint="eastAsia" w:ascii="黑体" w:eastAsia="黑体"/>
                          <w:sz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</w:rPr>
                        <w:t>（讨论</w:t>
                      </w:r>
                      <w:r>
                        <w:rPr>
                          <w:rFonts w:hint="eastAsia" w:ascii="黑体" w:eastAsia="黑体"/>
                          <w:sz w:val="30"/>
                          <w:lang w:val="en-US" w:eastAsia="zh-CN"/>
                        </w:rPr>
                        <w:t>稿</w:t>
                      </w:r>
                      <w:r>
                        <w:rPr>
                          <w:rFonts w:hint="eastAsia" w:ascii="黑体" w:eastAsia="黑体"/>
                          <w:sz w:val="30"/>
                        </w:rPr>
                        <w:t>）</w:t>
                      </w:r>
                    </w:p>
                    <w:p w14:paraId="6EBF7CAE">
                      <w:pPr>
                        <w:pStyle w:val="66"/>
                        <w:spacing w:line="220" w:lineRule="exact"/>
                        <w:jc w:val="both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  <w:p w14:paraId="31E5DC34">
                      <w:pPr>
                        <w:pStyle w:val="86"/>
                        <w:framePr w:w="0" w:hRule="auto" w:wrap="auto" w:vAnchor="margin" w:hAnchor="text" w:yAlign="inline"/>
                        <w:jc w:val="center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/>
                          <w:szCs w:val="28"/>
                        </w:rPr>
                        <w:t xml:space="preserve">Calibration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/>
                          <w:szCs w:val="28"/>
                          <w:lang w:val="en-US" w:eastAsia="zh-CN"/>
                        </w:rPr>
                        <w:t>S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/>
                          <w:szCs w:val="28"/>
                        </w:rPr>
                        <w:t xml:space="preserve">pecification for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/>
                          <w:szCs w:val="28"/>
                          <w:lang w:val="en-US" w:eastAsia="zh-CN"/>
                        </w:rPr>
                        <w:t>Dynamic mechanical analyzers</w:t>
                      </w:r>
                    </w:p>
                    <w:p w14:paraId="653F8D64">
                      <w:pPr>
                        <w:pStyle w:val="86"/>
                        <w:framePr w:w="0" w:hRule="auto" w:wrap="auto" w:vAnchor="margin" w:hAnchor="text" w:yAlign="inline"/>
                        <w:jc w:val="center"/>
                        <w:rPr>
                          <w:rFonts w:hint="eastAsia"/>
                          <w:b/>
                          <w:bCs/>
                          <w:color w:val="000000"/>
                          <w:szCs w:val="28"/>
                        </w:rPr>
                      </w:pPr>
                    </w:p>
                    <w:p w14:paraId="2D207C3E">
                      <w:pPr>
                        <w:pStyle w:val="86"/>
                        <w:framePr w:w="0" w:hRule="auto" w:wrap="auto" w:vAnchor="margin" w:hAnchor="text" w:yAlign="inline"/>
                        <w:jc w:val="center"/>
                        <w:rPr>
                          <w:rFonts w:hint="eastAsia"/>
                          <w:b/>
                          <w:bCs/>
                          <w:color w:val="000000"/>
                          <w:szCs w:val="28"/>
                        </w:rPr>
                      </w:pPr>
                    </w:p>
                    <w:p w14:paraId="06F6A2AC">
                      <w:pPr>
                        <w:pStyle w:val="86"/>
                        <w:framePr w:w="0" w:hRule="auto" w:wrap="auto" w:vAnchor="margin" w:hAnchor="text" w:yAlign="inline"/>
                        <w:jc w:val="center"/>
                        <w:rPr>
                          <w:rFonts w:hint="eastAsia"/>
                          <w:b/>
                          <w:bCs/>
                          <w:color w:val="000000"/>
                          <w:szCs w:val="28"/>
                        </w:rPr>
                      </w:pPr>
                    </w:p>
                    <w:p w14:paraId="2782C838">
                      <w:pPr>
                        <w:pStyle w:val="95"/>
                        <w:rPr>
                          <w:rFonts w:hint="eastAsia" w:ascii="黑体" w:eastAsia="黑体"/>
                          <w:sz w:val="30"/>
                        </w:rPr>
                      </w:pPr>
                    </w:p>
                    <w:p w14:paraId="67241548">
                      <w:pPr>
                        <w:pStyle w:val="95"/>
                        <w:rPr>
                          <w:rFonts w:hint="eastAsia" w:ascii="黑体" w:eastAsia="黑体"/>
                          <w:sz w:val="3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35560</wp:posOffset>
                </wp:positionH>
                <wp:positionV relativeFrom="margin">
                  <wp:posOffset>2233930</wp:posOffset>
                </wp:positionV>
                <wp:extent cx="6172200" cy="619125"/>
                <wp:effectExtent l="0" t="0" r="0" b="9525"/>
                <wp:wrapNone/>
                <wp:docPr id="1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B445C7">
                            <w:pPr>
                              <w:pStyle w:val="86"/>
                              <w:spacing w:before="0"/>
                              <w:jc w:val="both"/>
                              <w:rPr>
                                <w:rFonts w:hint="default" w:ascii="黑体" w:eastAsia="黑体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color w:val="000000"/>
                                <w:szCs w:val="28"/>
                              </w:rPr>
                              <w:t>JJF（有色金属）XXXX—20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color w:val="000000"/>
                                <w:szCs w:val="28"/>
                                <w:lang w:val="en-US" w:eastAsia="zh-CN"/>
                              </w:rPr>
                              <w:t>XX</w:t>
                            </w:r>
                          </w:p>
                          <w:p w14:paraId="0972CA93">
                            <w:pPr>
                              <w:pStyle w:val="86"/>
                              <w:jc w:val="both"/>
                              <w:rPr>
                                <w:rFonts w:hint="eastAsia" w:ascii="黑体" w:eastAsia="黑体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3" o:spid="_x0000_s1026" o:spt="202" type="#_x0000_t202" style="position:absolute;left:0pt;margin-left:2.8pt;margin-top:175.9pt;height:48.75pt;width:486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0Wycm2QAAAAkBAAAPAAAAAAAAAAEAIAAAACIAAABkcnMvZG93&#10;bnJldi54bWxQSwECFAAUAAAACACHTuJAl6JGUMYBAACmAwAADgAAAAAAAAABACAAAAAoAQAAZHJz&#10;L2Uyb0RvYy54bWxQSwUGAAAAAAYABgBZAQAAY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3B445C7">
                      <w:pPr>
                        <w:pStyle w:val="86"/>
                        <w:spacing w:before="0"/>
                        <w:jc w:val="both"/>
                        <w:rPr>
                          <w:rFonts w:hint="default" w:ascii="黑体" w:eastAsia="黑体"/>
                          <w:color w:val="00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Cs/>
                          <w:color w:val="000000"/>
                          <w:szCs w:val="28"/>
                        </w:rPr>
                        <w:t>JJF（有色金属）XXXX—20</w:t>
                      </w:r>
                      <w:r>
                        <w:rPr>
                          <w:rFonts w:hint="eastAsia" w:ascii="黑体" w:hAnsi="黑体" w:eastAsia="黑体" w:cs="黑体"/>
                          <w:bCs/>
                          <w:color w:val="000000"/>
                          <w:szCs w:val="28"/>
                          <w:lang w:val="en-US" w:eastAsia="zh-CN"/>
                        </w:rPr>
                        <w:t>XX</w:t>
                      </w:r>
                    </w:p>
                    <w:p w14:paraId="0972CA93">
                      <w:pPr>
                        <w:pStyle w:val="86"/>
                        <w:jc w:val="both"/>
                        <w:rPr>
                          <w:rFonts w:hint="eastAsia" w:ascii="黑体" w:eastAsia="黑体"/>
                          <w:b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5DC987">
      <w:pPr>
        <w:pStyle w:val="82"/>
        <w:rPr>
          <w:sz w:val="24"/>
          <w:szCs w:val="24"/>
        </w:rPr>
      </w:pPr>
    </w:p>
    <w:p w14:paraId="07946243">
      <w:pPr>
        <w:pStyle w:val="82"/>
        <w:rPr>
          <w:sz w:val="24"/>
          <w:szCs w:val="24"/>
        </w:rPr>
      </w:pPr>
    </w:p>
    <w:p w14:paraId="46298CD1">
      <w:pPr>
        <w:pStyle w:val="82"/>
        <w:rPr>
          <w:sz w:val="24"/>
          <w:szCs w:val="24"/>
        </w:rPr>
      </w:pPr>
    </w:p>
    <w:p w14:paraId="0C634ECE">
      <w:pPr>
        <w:pStyle w:val="82"/>
        <w:rPr>
          <w:sz w:val="24"/>
          <w:szCs w:val="24"/>
        </w:rPr>
      </w:pPr>
    </w:p>
    <w:p w14:paraId="1D6C7C4F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  <w:r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  <w:pict>
          <v:shape id="_x0000_i1025" o:spt="136" type="#_x0000_t136" style="height:25.5pt;width:439.5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中华人民共和国工业和信息化部" style="font-family:方正小标宋_GBK;font-size:36pt;v-text-align:center;"/>
            <w10:wrap type="none"/>
            <w10:anchorlock/>
          </v:shape>
        </w:pict>
      </w:r>
      <w:r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  <w:pict>
          <v:shape id="_x0000_i1026" o:spt="136" type="#_x0000_t136" style="height:25.5pt;width:284.25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有色金属计量技术规范" style="font-family:方正小标宋_GBK;font-size:32pt;v-text-align:center;"/>
            <w10:wrap type="none"/>
            <w10:anchorlock/>
          </v:shape>
        </w:pict>
      </w:r>
    </w:p>
    <w:p w14:paraId="7E55420C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03F7224C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1251A235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686C5931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4FF15C8F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1DD1611A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0B896031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690AAFBF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59F308BA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6A34C71C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29212670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13E2F460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2F5F0784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7F9BEB39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32317B1A">
      <w:pPr>
        <w:pStyle w:val="82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1BBF815E">
      <w:pPr>
        <w:pStyle w:val="82"/>
        <w:jc w:val="both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</w:p>
    <w:p w14:paraId="78B28EB7">
      <w:pPr>
        <w:pStyle w:val="82"/>
        <w:jc w:val="both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567" w:right="851" w:bottom="1361" w:left="1418" w:header="624" w:footer="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titlePg/>
          <w:docGrid w:type="lines" w:linePitch="312" w:charSpace="0"/>
        </w:sectPr>
      </w:pPr>
      <w:r>
        <w:rPr>
          <w:rFonts w:ascii="黑体" w:eastAsia="黑体" w:cs="黑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356235</wp:posOffset>
                </wp:positionV>
                <wp:extent cx="5840095" cy="635"/>
                <wp:effectExtent l="0" t="6350" r="1905" b="12065"/>
                <wp:wrapNone/>
                <wp:docPr id="1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09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1.35pt;margin-top:28.05pt;height:0.05pt;width:459.85pt;z-index:251673600;mso-width-relative:page;mso-height-relative:page;" filled="f" stroked="t" coordsize="21600,21600" o:gfxdata="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qjkJY2AAAAAgB&#10;AAAPAAAAAAAAAAEAIAAAACIAAABkcnMvZG93bnJldi54bWxQSwECFAAUAAAACACHTuJAx3AGZ+IB&#10;AADUAwAADgAAAAAAAAABACAAAAAn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_GBK" w:hAnsi="宋体" w:eastAsia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458470</wp:posOffset>
                </wp:positionV>
                <wp:extent cx="631190" cy="321945"/>
                <wp:effectExtent l="0" t="0" r="3810" b="8255"/>
                <wp:wrapNone/>
                <wp:docPr id="21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EA33F5"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发 布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53" o:spid="_x0000_s1026" o:spt="202" type="#_x0000_t202" style="position:absolute;left:0pt;margin-left:386.3pt;margin-top:36.1pt;height:25.35pt;width:49.7pt;z-index:251671552;mso-width-relative:page;mso-height-relative:margin;mso-height-percent:200;" fillcolor="#FFFFFF" filled="t" stroked="f" coordsize="21600,21600" o:gfxdata="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tnBqPXAAAACgEAAA8AAAAAAAAAAQAgAAAAIgAAAGRy&#10;cy9kb3ducmV2LnhtbFBLAQIUABQAAAAIAIdO4kCBROsHzQEAAJIDAAAOAAAAAAAAAAEAIAAAACYB&#10;AABkcnMvZTJvRG9jLnhtbFBLBQYAAAAABgAGAFkBAABl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0EA33F5"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发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372110</wp:posOffset>
                </wp:positionV>
                <wp:extent cx="4116070" cy="524510"/>
                <wp:effectExtent l="0" t="0" r="11430" b="8890"/>
                <wp:wrapNone/>
                <wp:docPr id="20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07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DCE2DD">
                            <w:pPr>
                              <w:rPr>
                                <w:rFonts w:ascii="方正小标宋_GBK" w:eastAsia="方正小标宋_GB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sz w:val="44"/>
                                <w:szCs w:val="44"/>
                              </w:rPr>
                              <w:t>中华人民共和国工业和信息化部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55" o:spid="_x0000_s1026" o:spt="202" type="#_x0000_t202" style="position:absolute;left:0pt;margin-left:54.8pt;margin-top:29.3pt;height:41.3pt;width:324.1pt;z-index:251670528;mso-width-relative:page;mso-height-relative:margin;mso-height-percent:200;" fillcolor="#FFFFFF" filled="t" stroked="f" coordsize="21600,21600" o:gfxdata="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qb5ErYAAAACgEAAA8AAAAAAAAAAQAgAAAAIgAA&#10;AGRycy9kb3ducmV2LnhtbFBLAQIUABQAAAAIAIdO4kDFdlJLzwEAAJM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6DCE2DD">
                      <w:pPr>
                        <w:rPr>
                          <w:rFonts w:ascii="方正小标宋_GBK" w:eastAsia="方正小标宋_GBK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_GBK" w:eastAsia="方正小标宋_GBK"/>
                          <w:sz w:val="44"/>
                          <w:szCs w:val="44"/>
                        </w:rPr>
                        <w:t>中华人民共和国工业和信息化部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黑体"/>
          <w:kern w:val="0"/>
          <w:sz w:val="28"/>
          <w:szCs w:val="28"/>
        </w:rPr>
        <w:t>20</w:t>
      </w:r>
      <w:r>
        <w:rPr>
          <w:rFonts w:hint="eastAsia" w:ascii="黑体" w:eastAsia="黑体" w:cs="黑体"/>
          <w:kern w:val="0"/>
          <w:sz w:val="28"/>
          <w:szCs w:val="28"/>
        </w:rPr>
        <w:t xml:space="preserve">××-××-××发布                            </w:t>
      </w:r>
      <w:r>
        <w:rPr>
          <w:rFonts w:ascii="Times New Roman" w:hAnsi="Times New Roman" w:eastAsia="黑体"/>
          <w:kern w:val="0"/>
          <w:sz w:val="28"/>
          <w:szCs w:val="28"/>
        </w:rPr>
        <w:t>20</w:t>
      </w:r>
      <w:r>
        <w:rPr>
          <w:rFonts w:hint="eastAsia" w:ascii="黑体" w:eastAsia="黑体" w:cs="黑体"/>
          <w:kern w:val="0"/>
          <w:sz w:val="28"/>
          <w:szCs w:val="28"/>
        </w:rPr>
        <w:t>××-××-××实施</w:t>
      </w:r>
    </w:p>
    <w:bookmarkEnd w:id="0"/>
    <w:p w14:paraId="68453862">
      <w:pPr>
        <w:rPr>
          <w:sz w:val="24"/>
        </w:rPr>
      </w:pPr>
      <w:bookmarkStart w:id="1" w:name="_Toc193860026"/>
      <w:bookmarkStart w:id="2" w:name="_Toc193618946"/>
      <w:bookmarkStart w:id="3" w:name="_Toc193603073"/>
      <w:bookmarkStart w:id="4" w:name="_Toc193601673"/>
      <w:bookmarkStart w:id="5" w:name="_Toc193619049"/>
      <w:bookmarkStart w:id="6" w:name="_Toc193861442"/>
      <w:bookmarkStart w:id="7" w:name="_Toc193860176"/>
      <w:bookmarkStart w:id="8" w:name="_Toc193619091"/>
      <w:bookmarkStart w:id="9" w:name="_Toc193860207"/>
      <w:bookmarkStart w:id="10" w:name="_Toc193555883"/>
      <w:bookmarkStart w:id="11" w:name="_Toc193601894"/>
      <w:bookmarkStart w:id="12" w:name="_Toc193547508"/>
      <w:bookmarkStart w:id="13" w:name="_Toc193552963"/>
      <w:bookmarkStart w:id="14" w:name="_Toc193551753"/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34925</wp:posOffset>
                </wp:positionV>
                <wp:extent cx="3616960" cy="1834515"/>
                <wp:effectExtent l="4445" t="4445" r="10795" b="15240"/>
                <wp:wrapNone/>
                <wp:docPr id="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960" cy="183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877F1E">
                            <w:pPr>
                              <w:pStyle w:val="66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Franklin Gothic Medium" w:hAnsi="Franklin Gothic Medium" w:eastAsia="黑体" w:cs="Times New Roman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动态热机械分析仪校准规范</w:t>
                            </w:r>
                          </w:p>
                          <w:p w14:paraId="16B32A14">
                            <w:pPr>
                              <w:pStyle w:val="86"/>
                              <w:spacing w:before="0" w:line="400" w:lineRule="exact"/>
                              <w:jc w:val="center"/>
                              <w:rPr>
                                <w:rFonts w:hint="eastAsia" w:ascii="黑体" w:hAnsi="黑体" w:eastAsia="黑体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8"/>
                              </w:rPr>
                              <w:t>Calibration Specification for Dynamic mechanical analyzer</w:t>
                            </w:r>
                            <w:r>
                              <w:rPr>
                                <w:rFonts w:hint="eastAsia" w:ascii="黑体" w:hAnsi="黑体" w:eastAsia="黑体"/>
                                <w:szCs w:val="28"/>
                                <w:lang w:val="en-US" w:eastAsia="zh-CN"/>
                              </w:rPr>
                              <w:t>s</w:t>
                            </w:r>
                          </w:p>
                        </w:txbxContent>
                      </wps:txbx>
                      <wps:bodyPr vert="horz" wrap="square" lIns="91440" tIns="82800" rIns="91440" bIns="828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0.25pt;margin-top:2.75pt;height:144.45pt;width:284.8pt;z-index:251665408;mso-width-relative:page;mso-height-relative:page;" fillcolor="#FFFFFF" filled="t" stroked="t" coordsize="21600,21600" o:gfxdata="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NOSCtgAAAAGAQAADwAAAAAAAAABACAAAAAiAAAA&#10;ZHJzL2Rvd25yZXYueG1sUEsBAhQAFAAAAAgAh07iQFUQBhxAAgAAnwQAAA4AAAAAAAAAAQAgAAAA&#10;JwEAAGRycy9lMm9Eb2MueG1sUEsFBgAAAAAGAAYAWQEAANkFAAAAAA==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inset="2.54mm,2.3mm,2.54mm,2.3mm">
                  <w:txbxContent>
                    <w:p w14:paraId="60877F1E">
                      <w:pPr>
                        <w:pStyle w:val="66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Franklin Gothic Medium" w:hAnsi="Franklin Gothic Medium" w:eastAsia="黑体" w:cs="Times New Roman"/>
                          <w:color w:val="000000"/>
                          <w:kern w:val="36"/>
                          <w:sz w:val="44"/>
                          <w:szCs w:val="44"/>
                        </w:rPr>
                        <w:t>动态热机械分析仪校准规范</w:t>
                      </w:r>
                    </w:p>
                    <w:p w14:paraId="16B32A14">
                      <w:pPr>
                        <w:pStyle w:val="86"/>
                        <w:spacing w:before="0" w:line="400" w:lineRule="exact"/>
                        <w:jc w:val="center"/>
                        <w:rPr>
                          <w:rFonts w:hint="eastAsia" w:ascii="黑体" w:hAnsi="黑体" w:eastAsia="黑体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8"/>
                        </w:rPr>
                        <w:t>Calibration Specification for Dynamic mechanical analyzer</w:t>
                      </w:r>
                      <w:r>
                        <w:rPr>
                          <w:rFonts w:hint="eastAsia" w:ascii="黑体" w:hAnsi="黑体" w:eastAsia="黑体"/>
                          <w:szCs w:val="28"/>
                          <w:lang w:val="en-US" w:eastAsia="zh-CN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CE6710F">
      <w:pPr>
        <w:pStyle w:val="92"/>
        <w:spacing w:before="100" w:beforeAutospacing="1" w:line="240" w:lineRule="auto"/>
        <w:ind w:firstLine="480" w:firstLineChars="200"/>
        <w:jc w:val="both"/>
        <w:outlineLvl w:val="9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646430</wp:posOffset>
                </wp:positionV>
                <wp:extent cx="2011680" cy="317500"/>
                <wp:effectExtent l="6350" t="6350" r="13970" b="6350"/>
                <wp:wrapNone/>
                <wp:docPr id="11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AF5919">
                            <w:pPr>
                              <w:pStyle w:val="88"/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bCs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</w:rPr>
                              <w:t>（有色金属）XXXX—</w:t>
                            </w:r>
                            <w:r>
                              <w:rPr>
                                <w:rFonts w:ascii="Times New Roman" w:hAnsi="Times New Roman" w:eastAsia="黑体"/>
                                <w:bCs/>
                              </w:rPr>
                              <w:t>20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</w:rPr>
                              <w:t>XX</w:t>
                            </w:r>
                          </w:p>
                          <w:p w14:paraId="0E629046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lIns="54000" tIns="45720" rIns="5400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301.7pt;margin-top:50.9pt;height:25pt;width:158.4pt;z-index:251668480;mso-width-relative:page;mso-height-relative:page;" fillcolor="#FFFFFF" filled="t" stroked="t" coordsize="21600,21600" o:gfxdata="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XxAT11gAAAAsBAAAPAAAAAAAAAAEAIAAAACIAAABkcnMvZG93bnJldi54bWxQSwECFAAUAAAA&#10;CACHTuJAVz/+AykCAAB7BAAADgAAAAAAAAABACAAAAAlAQAAZHJzL2Uyb0RvYy54bWxQSwUGAAAA&#10;AAYABgBZAQAAwAUAAAAA&#10;">
                <v:fill on="t" focussize="0,0"/>
                <v:stroke weight="1pt" color="#FFFFFF" joinstyle="miter"/>
                <v:imagedata o:title=""/>
                <o:lock v:ext="edit" aspectratio="f"/>
                <v:textbox inset="1.5mm,1.27mm,1.5mm,1.27mm">
                  <w:txbxContent>
                    <w:p w14:paraId="6FAF5919">
                      <w:pPr>
                        <w:pStyle w:val="88"/>
                        <w:jc w:val="center"/>
                        <w:rPr>
                          <w:b/>
                          <w:bCs/>
                          <w:color w:val="000000"/>
                          <w:sz w:val="16"/>
                        </w:rPr>
                      </w:pPr>
                      <w:r>
                        <w:rPr>
                          <w:rFonts w:ascii="黑体" w:hAnsi="黑体" w:eastAsia="黑体"/>
                          <w:bCs/>
                          <w:sz w:val="24"/>
                        </w:rPr>
                        <w:t>J</w:t>
                      </w:r>
                      <w:r>
                        <w:rPr>
                          <w:rFonts w:hint="eastAsia" w:ascii="黑体" w:hAnsi="黑体" w:eastAsia="黑体"/>
                          <w:bCs/>
                          <w:sz w:val="24"/>
                        </w:rPr>
                        <w:t>J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 w:val="24"/>
                        </w:rPr>
                        <w:t>F</w:t>
                      </w:r>
                      <w:r>
                        <w:rPr>
                          <w:rFonts w:hint="eastAsia" w:ascii="黑体" w:hAnsi="黑体" w:eastAsia="黑体"/>
                          <w:bCs/>
                        </w:rPr>
                        <w:t>（有色金属）XXXX—</w:t>
                      </w:r>
                      <w:r>
                        <w:rPr>
                          <w:rFonts w:ascii="Times New Roman" w:hAnsi="Times New Roman" w:eastAsia="黑体"/>
                          <w:bCs/>
                        </w:rPr>
                        <w:t>20</w:t>
                      </w:r>
                      <w:r>
                        <w:rPr>
                          <w:rFonts w:hint="eastAsia" w:ascii="黑体" w:hAnsi="黑体" w:eastAsia="黑体"/>
                          <w:bCs/>
                        </w:rPr>
                        <w:t>XX</w:t>
                      </w:r>
                    </w:p>
                    <w:p w14:paraId="0E629046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342265</wp:posOffset>
            </wp:positionV>
            <wp:extent cx="2236470" cy="836295"/>
            <wp:effectExtent l="0" t="0" r="11430" b="1905"/>
            <wp:wrapSquare wrapText="bothSides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/>
          <w:sz w:val="24"/>
          <w:szCs w:val="24"/>
        </w:rPr>
        <w:t xml:space="preserve">                                   </w:t>
      </w:r>
    </w:p>
    <w:p w14:paraId="6B1E2AE8">
      <w:pPr>
        <w:pStyle w:val="44"/>
        <w:ind w:firstLine="480"/>
        <w:rPr>
          <w:rFonts w:ascii="Times New Roman"/>
          <w:sz w:val="24"/>
          <w:szCs w:val="24"/>
        </w:rPr>
      </w:pPr>
    </w:p>
    <w:bookmarkEnd w:id="12"/>
    <w:bookmarkEnd w:id="13"/>
    <w:bookmarkEnd w:id="14"/>
    <w:p w14:paraId="00E11A8A">
      <w:pPr>
        <w:pStyle w:val="82"/>
        <w:rPr>
          <w:sz w:val="24"/>
          <w:szCs w:val="24"/>
        </w:rPr>
      </w:pPr>
      <w:bookmarkStart w:id="15" w:name="_Toc193603075"/>
      <w:bookmarkStart w:id="16" w:name="_Toc193601896"/>
      <w:bookmarkStart w:id="17" w:name="_Toc193601675"/>
      <w:bookmarkStart w:id="18" w:name="_Toc193555885"/>
    </w:p>
    <w:p w14:paraId="3A24D7D7">
      <w:pPr>
        <w:pStyle w:val="82"/>
        <w:rPr>
          <w:sz w:val="24"/>
          <w:szCs w:val="24"/>
        </w:rPr>
      </w:pPr>
    </w:p>
    <w:p w14:paraId="1E67FB92">
      <w:pPr>
        <w:pStyle w:val="95"/>
        <w:spacing w:line="240" w:lineRule="auto"/>
        <w:ind w:firstLine="560"/>
        <w:jc w:val="right"/>
        <w:rPr>
          <w:rFonts w:ascii="Times New Roman"/>
          <w:sz w:val="24"/>
          <w:szCs w:val="24"/>
        </w:rPr>
      </w:pPr>
      <w:bookmarkStart w:id="19" w:name="_Toc193555884"/>
      <w:bookmarkStart w:id="20" w:name="_Toc193603074"/>
      <w:bookmarkStart w:id="21" w:name="_Toc193601674"/>
      <w:bookmarkStart w:id="22" w:name="_Toc193601895"/>
    </w:p>
    <w:p w14:paraId="794F69F7">
      <w:pPr>
        <w:pStyle w:val="95"/>
        <w:spacing w:line="240" w:lineRule="auto"/>
        <w:ind w:firstLine="560"/>
        <w:jc w:val="right"/>
        <w:rPr>
          <w:rFonts w:ascii="Times New Roman"/>
          <w:sz w:val="24"/>
          <w:szCs w:val="24"/>
        </w:rPr>
      </w:pPr>
    </w:p>
    <w:bookmarkEnd w:id="19"/>
    <w:bookmarkEnd w:id="20"/>
    <w:bookmarkEnd w:id="21"/>
    <w:bookmarkEnd w:id="22"/>
    <w:p w14:paraId="05CC9FAB">
      <w:pPr>
        <w:pStyle w:val="95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943600" cy="0"/>
                <wp:effectExtent l="0" t="4445" r="0" b="5080"/>
                <wp:wrapNone/>
                <wp:docPr id="9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0pt;margin-top:5.45pt;height:0pt;width:468pt;z-index:251666432;mso-width-relative:page;mso-height-relative:page;" filled="f" stroked="t" coordsize="21600,21600" o:gfxdata="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DhAo9MAAAAG&#10;AQAADwAAAAAAAAABACAAAAAiAAAAZHJzL2Rvd25yZXYueG1sUEsBAhQAFAAAAAgAh07iQNPNaF3o&#10;AQAA3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15"/>
      <w:bookmarkEnd w:id="16"/>
      <w:bookmarkEnd w:id="17"/>
      <w:bookmarkEnd w:id="18"/>
    </w:p>
    <w:p w14:paraId="5DA04B17">
      <w:pPr>
        <w:jc w:val="center"/>
        <w:rPr>
          <w:sz w:val="28"/>
          <w:szCs w:val="28"/>
        </w:rPr>
      </w:pPr>
    </w:p>
    <w:p w14:paraId="64CE117E">
      <w:pPr>
        <w:jc w:val="center"/>
        <w:rPr>
          <w:sz w:val="28"/>
          <w:szCs w:val="28"/>
        </w:rPr>
      </w:pPr>
    </w:p>
    <w:p w14:paraId="56505270">
      <w:pPr>
        <w:jc w:val="center"/>
        <w:rPr>
          <w:sz w:val="28"/>
          <w:szCs w:val="28"/>
        </w:rPr>
      </w:pPr>
      <w:r>
        <w:rPr>
          <w:sz w:val="28"/>
          <w:szCs w:val="28"/>
        </w:rPr>
        <w:t>本规范</w:t>
      </w:r>
      <w:r>
        <w:rPr>
          <w:rFonts w:hint="eastAsia"/>
          <w:sz w:val="28"/>
          <w:szCs w:val="28"/>
        </w:rPr>
        <w:t>委托</w:t>
      </w:r>
      <w:r>
        <w:rPr>
          <w:sz w:val="28"/>
          <w:szCs w:val="28"/>
        </w:rPr>
        <w:t>有色金属</w:t>
      </w:r>
      <w:r>
        <w:rPr>
          <w:rFonts w:hint="eastAsia"/>
          <w:sz w:val="28"/>
          <w:szCs w:val="28"/>
        </w:rPr>
        <w:t>行业计量技术委员会</w:t>
      </w:r>
      <w:r>
        <w:rPr>
          <w:sz w:val="28"/>
          <w:szCs w:val="28"/>
        </w:rPr>
        <w:t>负责解释</w:t>
      </w:r>
    </w:p>
    <w:p w14:paraId="0E1C5B99">
      <w:pPr>
        <w:pStyle w:val="44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jc w:val="center"/>
        <w:rPr>
          <w:rFonts w:hint="eastAsia" w:ascii="黑体" w:hAnsi="黑体" w:eastAsia="黑体" w:cs="黑体"/>
          <w:sz w:val="24"/>
          <w:szCs w:val="24"/>
        </w:rPr>
      </w:pPr>
    </w:p>
    <w:p w14:paraId="7C0ED39B">
      <w:pPr>
        <w:pStyle w:val="66"/>
        <w:keepNext w:val="0"/>
        <w:keepLines w:val="0"/>
        <w:pageBreakBefore w:val="0"/>
        <w:framePr w:w="8080" w:h="6806" w:hRule="exact" w:wrap="around" w:vAnchor="page" w:hAnchor="page" w:x="1978" w:y="7486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pacing w:val="11"/>
          <w:sz w:val="28"/>
          <w:szCs w:val="28"/>
        </w:rPr>
        <w:t xml:space="preserve">归 口 单 </w:t>
      </w:r>
      <w:r>
        <w:rPr>
          <w:rFonts w:hint="eastAsia" w:ascii="黑体" w:hAnsi="黑体" w:eastAsia="黑体" w:cs="黑体"/>
          <w:spacing w:val="4"/>
          <w:sz w:val="28"/>
          <w:szCs w:val="28"/>
        </w:rPr>
        <w:t>位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中国有色金属工业协会</w:t>
      </w:r>
    </w:p>
    <w:p w14:paraId="0073D43B">
      <w:pPr>
        <w:pStyle w:val="66"/>
        <w:keepNext w:val="0"/>
        <w:keepLines w:val="0"/>
        <w:pageBreakBefore w:val="0"/>
        <w:framePr w:w="8080" w:h="6806" w:hRule="exact" w:wrap="around" w:vAnchor="page" w:hAnchor="page" w:x="1978" w:y="7486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both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主要起草单位：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国标（北京）检验认证有限公司</w:t>
      </w:r>
    </w:p>
    <w:p w14:paraId="780313EB">
      <w:pPr>
        <w:pStyle w:val="66"/>
        <w:keepNext w:val="0"/>
        <w:keepLines w:val="0"/>
        <w:pageBreakBefore w:val="0"/>
        <w:framePr w:w="8080" w:h="6806" w:hRule="exact" w:wrap="around" w:vAnchor="page" w:hAnchor="page" w:x="1978" w:y="7486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XXXXX公司</w:t>
      </w:r>
    </w:p>
    <w:p w14:paraId="7E407D39">
      <w:pPr>
        <w:pStyle w:val="66"/>
        <w:keepNext w:val="0"/>
        <w:keepLines w:val="0"/>
        <w:pageBreakBefore w:val="0"/>
        <w:framePr w:w="8080" w:h="6806" w:hRule="exact" w:wrap="around" w:vAnchor="page" w:hAnchor="page" w:x="1978" w:y="748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XXXXX公司</w:t>
      </w:r>
    </w:p>
    <w:p w14:paraId="78433B9A">
      <w:pPr>
        <w:pStyle w:val="66"/>
        <w:keepNext w:val="0"/>
        <w:keepLines w:val="0"/>
        <w:pageBreakBefore w:val="0"/>
        <w:framePr w:w="8080" w:h="6806" w:hRule="exact" w:wrap="around" w:vAnchor="page" w:hAnchor="page" w:x="1978" w:y="7486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5C2952F">
      <w:pPr>
        <w:pStyle w:val="66"/>
        <w:keepNext w:val="0"/>
        <w:keepLines w:val="0"/>
        <w:pageBreakBefore w:val="0"/>
        <w:framePr w:w="8080" w:h="6806" w:hRule="exact" w:wrap="around" w:vAnchor="page" w:hAnchor="page" w:x="1978" w:y="7486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headerReference r:id="rId9" w:type="default"/>
          <w:footerReference r:id="rId11" w:type="default"/>
          <w:headerReference r:id="rId10" w:type="even"/>
          <w:footerReference r:id="rId12" w:type="even"/>
          <w:pgSz w:w="11907" w:h="16839"/>
          <w:pgMar w:top="1418" w:right="1134" w:bottom="1134" w:left="1418" w:header="1247" w:footer="85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</w:p>
    <w:p w14:paraId="64B1C700">
      <w:pPr>
        <w:pStyle w:val="66"/>
        <w:keepNext w:val="0"/>
        <w:keepLines w:val="0"/>
        <w:pageBreakBefore w:val="0"/>
        <w:framePr w:w="8080" w:h="6806" w:hRule="exact" w:wrap="around" w:vAnchor="page" w:hAnchor="page" w:x="1978" w:y="7486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960" w:firstLineChars="700"/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7F48559">
      <w:pPr>
        <w:pStyle w:val="66"/>
        <w:keepNext w:val="0"/>
        <w:keepLines w:val="0"/>
        <w:pageBreakBefore w:val="0"/>
        <w:framePr w:w="8080" w:h="6806" w:hRule="exact" w:wrap="around" w:vAnchor="page" w:hAnchor="page" w:x="1978" w:y="7486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FF8F3D1">
      <w:pPr>
        <w:pStyle w:val="66"/>
        <w:keepNext w:val="0"/>
        <w:keepLines w:val="0"/>
        <w:pageBreakBefore w:val="0"/>
        <w:framePr w:w="8080" w:h="6806" w:hRule="exact" w:wrap="around" w:vAnchor="page" w:hAnchor="page" w:x="1978" w:y="7486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960" w:firstLineChars="700"/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249C57C">
      <w:pPr>
        <w:pStyle w:val="66"/>
        <w:framePr w:w="8080" w:h="6806" w:hRule="exact" w:wrap="around" w:vAnchor="page" w:hAnchor="page" w:x="1978" w:y="7486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E2B9488">
      <w:pPr>
        <w:pStyle w:val="66"/>
        <w:framePr w:w="8080" w:h="6806" w:hRule="exact" w:wrap="around" w:vAnchor="page" w:hAnchor="page" w:x="1978" w:y="7486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4D33F1F">
      <w:pPr>
        <w:pStyle w:val="66"/>
        <w:framePr w:w="8080" w:h="6806" w:hRule="exact" w:wrap="around" w:vAnchor="page" w:hAnchor="page" w:x="1978" w:y="7486"/>
        <w:adjustRightInd w:val="0"/>
        <w:snapToGrid w:val="0"/>
        <w:spacing w:line="360" w:lineRule="auto"/>
        <w:ind w:firstLine="1680" w:firstLineChars="700"/>
        <w:jc w:val="both"/>
        <w:rPr>
          <w:rFonts w:hint="default" w:asci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eastAsia="宋体"/>
          <w:sz w:val="24"/>
          <w:szCs w:val="24"/>
          <w:lang w:val="en-US" w:eastAsia="zh-CN"/>
        </w:rPr>
        <w:t xml:space="preserve">    </w:t>
      </w:r>
    </w:p>
    <w:p w14:paraId="5D41B88A">
      <w:pPr>
        <w:ind w:firstLine="560" w:firstLineChars="200"/>
        <w:jc w:val="center"/>
        <w:rPr>
          <w:sz w:val="28"/>
          <w:szCs w:val="28"/>
        </w:rPr>
      </w:pPr>
      <w:bookmarkStart w:id="23" w:name="_Toc30762"/>
    </w:p>
    <w:p w14:paraId="26F39831">
      <w:pPr>
        <w:ind w:firstLine="560" w:firstLineChars="200"/>
        <w:jc w:val="center"/>
        <w:rPr>
          <w:sz w:val="28"/>
          <w:szCs w:val="28"/>
        </w:rPr>
      </w:pPr>
    </w:p>
    <w:p w14:paraId="109E2A4F">
      <w:pPr>
        <w:ind w:firstLine="560" w:firstLineChars="200"/>
        <w:jc w:val="center"/>
        <w:rPr>
          <w:sz w:val="28"/>
          <w:szCs w:val="28"/>
        </w:rPr>
      </w:pPr>
    </w:p>
    <w:p w14:paraId="6FE4B473">
      <w:pPr>
        <w:pStyle w:val="44"/>
        <w:ind w:firstLine="562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24" w:name="_Toc193551755"/>
      <w:bookmarkStart w:id="25" w:name="_Toc193552965"/>
      <w:bookmarkStart w:id="26" w:name="_Toc193601676"/>
      <w:bookmarkStart w:id="27" w:name="_Toc193603076"/>
      <w:bookmarkStart w:id="28" w:name="_Toc193547510"/>
      <w:bookmarkStart w:id="29" w:name="_Toc193601897"/>
      <w:bookmarkStart w:id="30" w:name="_Toc193555886"/>
      <w:r>
        <w:rPr>
          <w:rFonts w:hint="eastAsia" w:ascii="黑体" w:hAnsi="黑体" w:eastAsia="黑体" w:cs="黑体"/>
          <w:b w:val="0"/>
          <w:bCs/>
          <w:sz w:val="28"/>
          <w:szCs w:val="28"/>
        </w:rPr>
        <w:t>本规范主要起草人：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2847E1B7">
      <w:pPr>
        <w:pStyle w:val="44"/>
        <w:ind w:firstLine="1960" w:firstLineChars="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28"/>
        </w:rPr>
        <w:t>（国标（北京）检验认证有限公司）</w:t>
      </w:r>
    </w:p>
    <w:p w14:paraId="5AD779CD">
      <w:pPr>
        <w:rPr>
          <w:rFonts w:hint="eastAsia" w:hAnsi="宋体" w:eastAsia="宋体" w:cs="宋体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sz w:val="28"/>
          <w:szCs w:val="28"/>
          <w:lang w:val="en-US" w:eastAsia="zh-CN"/>
        </w:rPr>
        <w:br w:type="page"/>
      </w:r>
    </w:p>
    <w:bookmarkEnd w:id="23"/>
    <w:p w14:paraId="3F71F61E">
      <w:pPr>
        <w:pStyle w:val="73"/>
        <w:tabs>
          <w:tab w:val="right" w:leader="dot" w:pos="9355"/>
        </w:tabs>
        <w:spacing w:line="360" w:lineRule="auto"/>
        <w:jc w:val="both"/>
        <w:rPr>
          <w:rFonts w:asciiTheme="minorEastAsia" w:hAnsiTheme="minorEastAsia" w:eastAsiaTheme="minorEastAsia"/>
          <w:sz w:val="24"/>
          <w:szCs w:val="24"/>
        </w:rPr>
      </w:pPr>
      <w:bookmarkStart w:id="31" w:name="_Toc32159_WPSOffice_Type2"/>
      <w:bookmarkStart w:id="32" w:name="_Toc3601"/>
      <w:bookmarkStart w:id="33" w:name="_Toc4093"/>
      <w:bookmarkStart w:id="34" w:name="_Toc1811"/>
      <w:bookmarkStart w:id="35" w:name="_Toc10757_WPSOffice_Level1"/>
      <w:bookmarkStart w:id="36" w:name="_Toc31333"/>
      <w:bookmarkStart w:id="37" w:name="_Toc9591"/>
      <w:bookmarkStart w:id="38" w:name="_Toc16435"/>
    </w:p>
    <w:p w14:paraId="21122B47"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fldChar w:fldCharType="begin"/>
      </w:r>
      <w:r>
        <w:instrText xml:space="preserve"> HYPERLINK \l "_Toc5266_WPSOffice_Level1" </w:instrText>
      </w:r>
      <w:r>
        <w:fldChar w:fldCharType="separate"/>
      </w:r>
      <w:r>
        <w:rPr>
          <w:rFonts w:hint="eastAsia" w:ascii="黑体" w:hAnsi="黑体" w:eastAsia="黑体"/>
          <w:bCs/>
          <w:color w:val="000000"/>
          <w:sz w:val="44"/>
          <w:szCs w:val="44"/>
        </w:rPr>
        <w:t>目   录</w:t>
      </w:r>
      <w:r>
        <w:rPr>
          <w:rFonts w:ascii="黑体" w:hAnsi="黑体" w:eastAsia="黑体"/>
          <w:color w:val="000000"/>
          <w:sz w:val="44"/>
          <w:szCs w:val="44"/>
        </w:rPr>
        <w:fldChar w:fldCharType="begin"/>
      </w:r>
      <w:r>
        <w:rPr>
          <w:rStyle w:val="29"/>
          <w:rFonts w:ascii="黑体" w:hAnsi="黑体" w:eastAsia="黑体"/>
          <w:color w:val="000000"/>
          <w:sz w:val="44"/>
          <w:szCs w:val="44"/>
        </w:rPr>
        <w:instrText xml:space="preserve"> TOC \o "1-3" \h \z </w:instrText>
      </w:r>
      <w:r>
        <w:rPr>
          <w:rFonts w:ascii="黑体" w:hAnsi="黑体" w:eastAsia="黑体"/>
          <w:color w:val="000000"/>
          <w:sz w:val="44"/>
          <w:szCs w:val="44"/>
        </w:rPr>
        <w:fldChar w:fldCharType="end"/>
      </w:r>
    </w:p>
    <w:p w14:paraId="3A8943CE"/>
    <w:p w14:paraId="1E876140">
      <w:pPr>
        <w:pStyle w:val="73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39" w:name="_Toc15154"/>
      <w:r>
        <w:fldChar w:fldCharType="begin"/>
      </w:r>
      <w:r>
        <w:instrText xml:space="preserve"> HYPERLINK \l "_Toc9228_WPSOffice_Level1"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引   言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t>Ⅱ)</w:t>
      </w:r>
      <w:bookmarkEnd w:id="39"/>
    </w:p>
    <w:p w14:paraId="15F2A1DD">
      <w:pPr>
        <w:pStyle w:val="73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40" w:name="_Toc28218"/>
      <w:r>
        <w:fldChar w:fldCharType="begin"/>
      </w:r>
      <w:r>
        <w:instrText xml:space="preserve"> HYPERLINK \l "_Toc23837_WPSOffice_Level1"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1 范围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(1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t>)</w:t>
      </w:r>
      <w:bookmarkEnd w:id="40"/>
    </w:p>
    <w:p w14:paraId="5CA49985">
      <w:pPr>
        <w:pStyle w:val="73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41" w:name="_Toc2746"/>
      <w:r>
        <w:fldChar w:fldCharType="begin"/>
      </w:r>
      <w:r>
        <w:instrText xml:space="preserve"> HYPERLINK \l "_Toc7848_WPSOffice_Level1"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2 引用文件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(1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t>)</w:t>
      </w:r>
      <w:bookmarkEnd w:id="41"/>
    </w:p>
    <w:p w14:paraId="0024DA61">
      <w:pPr>
        <w:pStyle w:val="73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42" w:name="_Toc26467"/>
      <w:r>
        <w:fldChar w:fldCharType="begin"/>
      </w:r>
      <w:r>
        <w:instrText xml:space="preserve"> HYPERLINK \l "_Toc13054_WPSOffice_Level1"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3 概述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(1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t>)</w:t>
      </w:r>
      <w:bookmarkEnd w:id="42"/>
    </w:p>
    <w:p w14:paraId="716DCA58">
      <w:pPr>
        <w:pStyle w:val="73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43" w:name="_Toc542"/>
      <w:r>
        <w:fldChar w:fldCharType="begin"/>
      </w:r>
      <w:r>
        <w:instrText xml:space="preserve"> HYPERLINK \l "_Toc19851_WPSOffice_Level1"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4 计量特性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t>)</w:t>
      </w:r>
      <w:bookmarkEnd w:id="43"/>
    </w:p>
    <w:p w14:paraId="3D0AF00C">
      <w:pPr>
        <w:pStyle w:val="73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44" w:name="_Toc2614"/>
      <w:r>
        <w:fldChar w:fldCharType="begin"/>
      </w:r>
      <w:r>
        <w:instrText xml:space="preserve"> HYPERLINK \l "_Toc25829_WPSOffice_Level1"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5 校准条件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bookmarkEnd w:id="44"/>
    </w:p>
    <w:p w14:paraId="5155CA4E">
      <w:pPr>
        <w:pStyle w:val="94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45" w:name="_Toc27076"/>
      <w:r>
        <w:fldChar w:fldCharType="begin"/>
      </w:r>
      <w:r>
        <w:instrText xml:space="preserve"> HYPERLINK \l "_Toc5126_WPSOffice_Level2"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5.1 环境条件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bookmarkEnd w:id="45"/>
    </w:p>
    <w:p w14:paraId="12EAB521">
      <w:pPr>
        <w:pStyle w:val="94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46" w:name="_Toc8582"/>
      <w:r>
        <w:fldChar w:fldCharType="begin"/>
      </w:r>
      <w:r>
        <w:instrText xml:space="preserve"> HYPERLINK \l "_Toc9866_WPSOffice_Level2"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5.2 测量标准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(2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t>)</w:t>
      </w:r>
      <w:bookmarkEnd w:id="46"/>
    </w:p>
    <w:p w14:paraId="62973508">
      <w:pPr>
        <w:pStyle w:val="73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47" w:name="_Toc32047"/>
      <w:r>
        <w:fldChar w:fldCharType="begin"/>
      </w:r>
      <w:r>
        <w:instrText xml:space="preserve"> HYPERLINK \l "_Toc2741_WPSOffice_Level1"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6 校准项目和校准方法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t>)</w:t>
      </w:r>
      <w:bookmarkEnd w:id="47"/>
    </w:p>
    <w:p w14:paraId="076A9964">
      <w:pPr>
        <w:pStyle w:val="94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48" w:name="_Toc3806"/>
      <w:r>
        <w:fldChar w:fldCharType="begin"/>
      </w:r>
      <w:r>
        <w:instrText xml:space="preserve"> HYPERLINK \l "_Toc22718_WPSOffice_Level2"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6.1 校准项目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t>)</w:t>
      </w:r>
      <w:bookmarkEnd w:id="48"/>
    </w:p>
    <w:p w14:paraId="7E7D9885">
      <w:pPr>
        <w:pStyle w:val="94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49" w:name="_Toc9089"/>
      <w:r>
        <w:fldChar w:fldCharType="begin"/>
      </w:r>
      <w:r>
        <w:instrText xml:space="preserve"> HYPERLINK \l "_Toc22008_WPSOffice_Level2"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6.2 校准方法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bookmarkEnd w:id="49"/>
    </w:p>
    <w:p w14:paraId="0F8EB734">
      <w:pPr>
        <w:pStyle w:val="73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50" w:name="_Toc8563"/>
      <w:r>
        <w:fldChar w:fldCharType="begin"/>
      </w:r>
      <w:r>
        <w:instrText xml:space="preserve"> HYPERLINK \l "_Toc25466_WPSOffice_Level1"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7 校准结果表达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7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bookmarkEnd w:id="50"/>
    </w:p>
    <w:p w14:paraId="0E247B54">
      <w:pPr>
        <w:pStyle w:val="73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51" w:name="_Toc26939"/>
      <w:r>
        <w:fldChar w:fldCharType="begin"/>
      </w:r>
      <w:r>
        <w:instrText xml:space="preserve"> HYPERLINK \l "_Toc14803_WPSOffice_Level1"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 xml:space="preserve">8 复校时间间隔 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7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bookmarkEnd w:id="51"/>
    </w:p>
    <w:p w14:paraId="49E7642B">
      <w:pPr>
        <w:pStyle w:val="73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附录A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参考使用的标准物质认定值和升温范围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Style w:val="29"/>
          <w:rFonts w:hint="eastAsia" w:asciiTheme="minorEastAsia" w:hAnsiTheme="minorEastAsia" w:eastAsiaTheme="minorEastAsia"/>
          <w:sz w:val="24"/>
        </w:rPr>
        <w:t>(</w:t>
      </w:r>
      <w:r>
        <w:rPr>
          <w:rStyle w:val="29"/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Style w:val="29"/>
          <w:rFonts w:hint="eastAsia" w:asciiTheme="minorEastAsia" w:hAnsiTheme="minorEastAsia" w:eastAsiaTheme="minorEastAsia"/>
          <w:sz w:val="24"/>
        </w:rPr>
        <w:t>)</w:t>
      </w:r>
    </w:p>
    <w:p w14:paraId="1A7D0EA9">
      <w:pPr>
        <w:pStyle w:val="73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</w:rPr>
      </w:pPr>
      <w:bookmarkStart w:id="52" w:name="_Toc11642"/>
      <w:r>
        <w:rPr>
          <w:rFonts w:hint="eastAsia" w:asciiTheme="minorEastAsia" w:hAnsiTheme="minorEastAsia" w:eastAsiaTheme="minorEastAsia"/>
          <w:sz w:val="24"/>
          <w:szCs w:val="24"/>
        </w:rPr>
        <w:t>附录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B 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动态热机械分析仪校准记录参考格式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Style w:val="29"/>
          <w:rFonts w:hint="eastAsia" w:asciiTheme="minorEastAsia" w:hAnsiTheme="minorEastAsia" w:eastAsiaTheme="minorEastAsia"/>
          <w:sz w:val="24"/>
        </w:rPr>
        <w:t>(</w:t>
      </w:r>
      <w:r>
        <w:rPr>
          <w:rStyle w:val="29"/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Style w:val="29"/>
          <w:rFonts w:hint="eastAsia" w:asciiTheme="minorEastAsia" w:hAnsiTheme="minorEastAsia" w:eastAsiaTheme="minorEastAsia"/>
          <w:sz w:val="24"/>
        </w:rPr>
        <w:t>)</w:t>
      </w:r>
      <w:bookmarkEnd w:id="52"/>
    </w:p>
    <w:p w14:paraId="303392EE">
      <w:pPr>
        <w:pStyle w:val="73"/>
        <w:tabs>
          <w:tab w:val="right" w:leader="dot" w:pos="9355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53" w:name="_Toc11429"/>
      <w:r>
        <w:fldChar w:fldCharType="begin"/>
      </w:r>
      <w:r>
        <w:instrText xml:space="preserve"> HYPERLINK \l "_Toc20191_WPSOffice_Level1"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附录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C 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动态热机械分析仪校准证书内页参考格式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bookmarkEnd w:id="53"/>
    </w:p>
    <w:p w14:paraId="34CF79FB">
      <w:pPr>
        <w:pStyle w:val="73"/>
        <w:tabs>
          <w:tab w:val="right" w:leader="dot" w:pos="9355"/>
          <w:tab w:val="right" w:pos="9460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bookmarkStart w:id="54" w:name="_Toc12123"/>
      <w:r>
        <w:fldChar w:fldCharType="begin"/>
      </w:r>
      <w:r>
        <w:instrText xml:space="preserve"> HYPERLINK \l "_Toc5266_WPSOffice_Level1" </w:instrText>
      </w:r>
      <w:r>
        <w:fldChar w:fldCharType="separate"/>
      </w:r>
      <w:r>
        <w:rPr>
          <w:rStyle w:val="29"/>
          <w:rFonts w:asciiTheme="minorEastAsia" w:hAnsiTheme="minorEastAsia" w:eastAsiaTheme="minorEastAsia"/>
          <w:sz w:val="24"/>
          <w:szCs w:val="24"/>
        </w:rPr>
        <w:t>附录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D </w:t>
      </w: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动态热机械分析仪温度示值误差测量结果不确定度评定示例</w:t>
      </w:r>
      <w:r>
        <w:rPr>
          <w:rStyle w:val="29"/>
          <w:rFonts w:asciiTheme="minorEastAsia" w:hAnsiTheme="minorEastAsia" w:eastAsiaTheme="minorEastAsia"/>
          <w:sz w:val="24"/>
          <w:szCs w:val="24"/>
        </w:rPr>
        <w:tab/>
      </w:r>
      <w:r>
        <w:rPr>
          <w:rStyle w:val="29"/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Style w:val="29"/>
          <w:rFonts w:asciiTheme="minorEastAsia" w:hAnsiTheme="minorEastAsia" w:eastAsiaTheme="minorEastAsia"/>
          <w:sz w:val="24"/>
          <w:szCs w:val="24"/>
        </w:rPr>
        <w:t>(</w:t>
      </w:r>
      <w:r>
        <w:rPr>
          <w:rStyle w:val="29"/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bookmarkEnd w:id="54"/>
    </w:p>
    <w:p w14:paraId="2ED1C995">
      <w:pPr>
        <w:pStyle w:val="73"/>
        <w:tabs>
          <w:tab w:val="right" w:leader="dot" w:pos="9355"/>
          <w:tab w:val="right" w:pos="9460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fldChar w:fldCharType="begin"/>
      </w:r>
      <w:r>
        <w:instrText xml:space="preserve"> HYPERLINK \l "_Toc5266_WPSOffice_Level1" </w:instrText>
      </w:r>
      <w:r>
        <w:fldChar w:fldCharType="separate"/>
      </w:r>
      <w:r>
        <w:rPr>
          <w:rStyle w:val="29"/>
          <w:rFonts w:asciiTheme="minorEastAsia" w:hAnsiTheme="minorEastAsia" w:eastAsiaTheme="minorEastAsia"/>
          <w:sz w:val="24"/>
          <w:szCs w:val="24"/>
        </w:rPr>
        <w:t>附录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E 动态热机械分析仪位移示值误差测量结果不确定度评定示例</w:t>
      </w:r>
      <w:r>
        <w:rPr>
          <w:rStyle w:val="29"/>
          <w:rFonts w:asciiTheme="minorEastAsia" w:hAnsiTheme="minorEastAsia" w:eastAsiaTheme="minorEastAsia"/>
          <w:sz w:val="24"/>
          <w:szCs w:val="24"/>
        </w:rPr>
        <w:tab/>
      </w:r>
      <w:r>
        <w:rPr>
          <w:rStyle w:val="29"/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Style w:val="29"/>
          <w:rFonts w:asciiTheme="minorEastAsia" w:hAnsiTheme="minorEastAsia" w:eastAsiaTheme="minorEastAsia"/>
          <w:sz w:val="24"/>
          <w:szCs w:val="24"/>
        </w:rPr>
        <w:t>(</w:t>
      </w:r>
      <w:r>
        <w:rPr>
          <w:rStyle w:val="29"/>
          <w:rFonts w:hint="eastAsia" w:asciiTheme="minorEastAsia" w:hAnsiTheme="minorEastAsia" w:eastAsiaTheme="minorEastAsia"/>
          <w:sz w:val="24"/>
          <w:szCs w:val="24"/>
          <w:lang w:val="en-US" w:eastAsia="zh-CN"/>
        </w:rPr>
        <w:t>14</w:t>
      </w:r>
      <w:r>
        <w:rPr>
          <w:rFonts w:asciiTheme="minorEastAsia" w:hAnsiTheme="minorEastAsia" w:eastAsiaTheme="minorEastAsia"/>
          <w:sz w:val="24"/>
          <w:szCs w:val="24"/>
        </w:rPr>
        <w:t>)</w:t>
      </w:r>
    </w:p>
    <w:p w14:paraId="2376DD85">
      <w:pPr>
        <w:pStyle w:val="73"/>
        <w:tabs>
          <w:tab w:val="right" w:leader="dot" w:pos="9355"/>
          <w:tab w:val="right" w:pos="9460"/>
        </w:tabs>
        <w:spacing w:line="360" w:lineRule="auto"/>
        <w:ind w:left="-105" w:leftChars="-50"/>
        <w:jc w:val="both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fldChar w:fldCharType="begin"/>
      </w:r>
      <w:r>
        <w:instrText xml:space="preserve"> HYPERLINK \l "_Toc5266_WPSOffice_Level1" </w:instrText>
      </w:r>
      <w:r>
        <w:fldChar w:fldCharType="separate"/>
      </w:r>
      <w:r>
        <w:rPr>
          <w:rStyle w:val="29"/>
          <w:rFonts w:asciiTheme="minorEastAsia" w:hAnsiTheme="minorEastAsia" w:eastAsiaTheme="minorEastAsia"/>
          <w:sz w:val="24"/>
          <w:szCs w:val="24"/>
        </w:rPr>
        <w:t>附录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F 动态热机械分析仪储能模量示值误差测量结果不确定度评定示例</w:t>
      </w:r>
      <w:r>
        <w:rPr>
          <w:rStyle w:val="29"/>
          <w:rFonts w:asciiTheme="minorEastAsia" w:hAnsiTheme="minorEastAsia" w:eastAsiaTheme="minorEastAsia"/>
          <w:sz w:val="24"/>
          <w:szCs w:val="24"/>
        </w:rPr>
        <w:tab/>
      </w:r>
      <w:r>
        <w:rPr>
          <w:rStyle w:val="29"/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Style w:val="29"/>
          <w:rFonts w:asciiTheme="minorEastAsia" w:hAnsiTheme="minorEastAsia" w:eastAsiaTheme="minorEastAsia"/>
          <w:sz w:val="24"/>
          <w:szCs w:val="24"/>
        </w:rPr>
        <w:t>(</w:t>
      </w:r>
      <w:r>
        <w:rPr>
          <w:rStyle w:val="29"/>
          <w:rFonts w:hint="eastAsia" w:asciiTheme="minorEastAsia" w:hAnsiTheme="minorEastAsia" w:eastAsiaTheme="minorEastAsia"/>
          <w:sz w:val="24"/>
          <w:szCs w:val="24"/>
          <w:lang w:val="en-US" w:eastAsia="zh-CN"/>
        </w:rPr>
        <w:t>16</w:t>
      </w:r>
      <w:r>
        <w:rPr>
          <w:rFonts w:asciiTheme="minorEastAsia" w:hAnsiTheme="minorEastAsia" w:eastAsiaTheme="minorEastAsia"/>
          <w:sz w:val="24"/>
          <w:szCs w:val="24"/>
        </w:rPr>
        <w:t>)</w:t>
      </w:r>
    </w:p>
    <w:p w14:paraId="485F7630">
      <w:pPr>
        <w:pStyle w:val="73"/>
        <w:tabs>
          <w:tab w:val="right" w:leader="dot" w:pos="9355"/>
        </w:tabs>
        <w:spacing w:line="360" w:lineRule="auto"/>
        <w:rPr>
          <w:rStyle w:val="29"/>
          <w:rFonts w:hint="eastAsia" w:ascii="黑体" w:hAnsi="黑体" w:eastAsia="黑体" w:cs="黑体"/>
          <w:sz w:val="44"/>
          <w:szCs w:val="44"/>
        </w:rPr>
        <w:sectPr>
          <w:headerReference r:id="rId13" w:type="default"/>
          <w:footerReference r:id="rId14" w:type="default"/>
          <w:type w:val="continuous"/>
          <w:pgSz w:w="11907" w:h="16839"/>
          <w:pgMar w:top="1418" w:right="1134" w:bottom="1134" w:left="1418" w:header="1021" w:footer="73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  <w:r>
        <w:rPr>
          <w:rStyle w:val="29"/>
          <w:rFonts w:asciiTheme="minorEastAsia" w:hAnsiTheme="minorEastAsia" w:eastAsiaTheme="minorEastAsia"/>
          <w:sz w:val="24"/>
          <w:szCs w:val="24"/>
        </w:rPr>
        <w:fldChar w:fldCharType="end"/>
      </w:r>
      <w:bookmarkEnd w:id="31"/>
    </w:p>
    <w:p w14:paraId="2F6BEEC2">
      <w:pPr>
        <w:pStyle w:val="43"/>
        <w:numPr>
          <w:ilvl w:val="0"/>
          <w:numId w:val="0"/>
        </w:numPr>
        <w:spacing w:before="156" w:after="156"/>
        <w:jc w:val="center"/>
        <w:outlineLvl w:val="0"/>
        <w:rPr>
          <w:rFonts w:ascii="Times New Roman" w:eastAsia="宋体"/>
          <w:szCs w:val="24"/>
        </w:rPr>
      </w:pPr>
      <w:r>
        <w:rPr>
          <w:rStyle w:val="29"/>
          <w:rFonts w:hint="eastAsia" w:ascii="黑体" w:hAnsi="黑体" w:eastAsia="黑体" w:cs="黑体"/>
          <w:sz w:val="44"/>
          <w:szCs w:val="44"/>
        </w:rPr>
        <w:br w:type="page"/>
      </w:r>
      <w:bookmarkStart w:id="55" w:name="_Toc28252"/>
      <w:bookmarkStart w:id="56" w:name="_Toc15044"/>
      <w:r>
        <w:rPr>
          <w:rStyle w:val="29"/>
          <w:rFonts w:hint="eastAsia" w:ascii="黑体" w:hAnsi="黑体" w:eastAsia="黑体" w:cs="黑体"/>
          <w:sz w:val="44"/>
          <w:szCs w:val="44"/>
        </w:rPr>
        <w:t>引   言</w:t>
      </w:r>
      <w:bookmarkEnd w:id="32"/>
      <w:bookmarkEnd w:id="33"/>
      <w:bookmarkEnd w:id="34"/>
      <w:bookmarkEnd w:id="35"/>
      <w:bookmarkEnd w:id="36"/>
      <w:bookmarkEnd w:id="37"/>
      <w:bookmarkEnd w:id="38"/>
      <w:bookmarkEnd w:id="55"/>
      <w:bookmarkEnd w:id="56"/>
    </w:p>
    <w:p w14:paraId="4F277E2A">
      <w:pPr>
        <w:rPr>
          <w:sz w:val="24"/>
        </w:rPr>
      </w:pPr>
    </w:p>
    <w:p w14:paraId="56AAFBE3">
      <w:pPr>
        <w:pStyle w:val="44"/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JJF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1071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《国家计量校准规范编写规则》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JJF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>01《通用计量术语及定义》和JJF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1059.1《测量不确定度评定与表示》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共同构成支撑校准规范制修订工作的基础性系列规范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  <w:bookmarkStart w:id="57" w:name="_Toc193618947"/>
      <w:bookmarkStart w:id="58" w:name="_Toc193619092"/>
      <w:bookmarkStart w:id="59" w:name="_Toc6679_WPSOffice_Level1"/>
      <w:bookmarkStart w:id="60" w:name="_Toc23785528"/>
      <w:bookmarkStart w:id="61" w:name="_Toc193860027"/>
      <w:bookmarkStart w:id="62" w:name="_Toc23784536"/>
      <w:bookmarkStart w:id="63" w:name="_Toc23784634"/>
      <w:bookmarkStart w:id="64" w:name="_Toc193860208"/>
      <w:bookmarkStart w:id="65" w:name="_Toc17126"/>
      <w:bookmarkStart w:id="66" w:name="_Toc193860177"/>
      <w:bookmarkStart w:id="67" w:name="_Toc416"/>
      <w:bookmarkStart w:id="68" w:name="_Toc9713"/>
      <w:bookmarkStart w:id="69" w:name="_Toc193619050"/>
      <w:bookmarkStart w:id="70" w:name="_Toc5293"/>
    </w:p>
    <w:p w14:paraId="7481DD6A">
      <w:pPr>
        <w:pStyle w:val="44"/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caps w:val="0"/>
          <w:kern w:val="0"/>
          <w:sz w:val="24"/>
          <w:szCs w:val="24"/>
          <w:lang w:val="en-US" w:eastAsia="zh-CN" w:bidi="ar-SA"/>
        </w:rPr>
        <w:t>本规范参考</w:t>
      </w:r>
      <w:r>
        <w:rPr>
          <w:rFonts w:hint="default" w:ascii="Times New Roman" w:hAnsi="Times New Roman" w:eastAsia="宋体" w:cs="Times New Roman"/>
          <w:sz w:val="24"/>
          <w:szCs w:val="24"/>
        </w:rPr>
        <w:t>了JJG</w:t>
      </w:r>
      <w:r>
        <w:rPr>
          <w:rFonts w:hint="eastAsia" w:asci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936《示差扫描热量计》、ASTM</w:t>
      </w:r>
      <w:r>
        <w:rPr>
          <w:rFonts w:hint="eastAsia" w:asci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E1867《动态热机械分析仪温度校准的标准试验方法》（Standard</w:t>
      </w:r>
      <w:r>
        <w:rPr>
          <w:rFonts w:hint="eastAsia" w:asci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Test</w:t>
      </w:r>
      <w:r>
        <w:rPr>
          <w:rFonts w:hint="eastAsia" w:asci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Methods for Temperature Calibration of Dynamic Mechanical Analyzers）、GB/T 3306.1《塑料 动态力学性能的测定 第一部分：通则》的技术内容。</w:t>
      </w:r>
    </w:p>
    <w:p w14:paraId="0A85200E">
      <w:pPr>
        <w:pStyle w:val="44"/>
        <w:spacing w:line="360" w:lineRule="auto"/>
        <w:ind w:firstLine="48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 w:val="0"/>
          <w:caps w:val="0"/>
          <w:kern w:val="0"/>
          <w:sz w:val="24"/>
          <w:szCs w:val="24"/>
          <w:lang w:val="en-US" w:eastAsia="zh-CN" w:bidi="ar-SA"/>
        </w:rPr>
        <w:t>本规范为首次发布。</w:t>
      </w:r>
    </w:p>
    <w:p w14:paraId="7F1F24D0">
      <w:pPr>
        <w:pStyle w:val="15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  <w:sectPr>
          <w:type w:val="continuous"/>
          <w:pgSz w:w="11907" w:h="16839"/>
          <w:pgMar w:top="1418" w:right="1134" w:bottom="1134" w:left="1418" w:header="1021" w:footer="73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</w:p>
    <w:p w14:paraId="6B022CFA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 w:val="0"/>
          <w:bCs/>
          <w:caps/>
          <w:sz w:val="32"/>
          <w:szCs w:val="32"/>
          <w:lang w:val="en-US" w:eastAsia="zh-CN"/>
        </w:rPr>
      </w:pPr>
      <w:bookmarkStart w:id="71" w:name="_Toc20579"/>
      <w:bookmarkStart w:id="72" w:name="_Toc24923"/>
      <w:r>
        <w:rPr>
          <w:rFonts w:hint="eastAsia" w:ascii="黑体" w:hAnsi="黑体" w:eastAsia="黑体" w:cs="黑体"/>
          <w:b w:val="0"/>
          <w:bCs/>
          <w:caps/>
          <w:sz w:val="32"/>
          <w:szCs w:val="32"/>
          <w:lang w:val="en-US" w:eastAsia="zh-CN"/>
        </w:rPr>
        <w:t>动态热机械分析仪校准规范</w:t>
      </w:r>
      <w:bookmarkEnd w:id="71"/>
      <w:bookmarkEnd w:id="72"/>
    </w:p>
    <w:p w14:paraId="25DCF402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outlineLvl w:val="0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bookmarkStart w:id="73" w:name="_Toc18640"/>
      <w:bookmarkStart w:id="74" w:name="_Toc32693"/>
      <w:bookmarkStart w:id="75" w:name="_Toc22755"/>
      <w:bookmarkStart w:id="76" w:name="_Toc22613"/>
      <w:bookmarkStart w:id="77" w:name="_Toc9037"/>
      <w:r>
        <w:rPr>
          <w:rFonts w:hint="eastAsia" w:ascii="黑体" w:hAnsi="黑体" w:eastAsia="黑体" w:cs="黑体"/>
          <w:b w:val="0"/>
          <w:bCs/>
          <w:sz w:val="24"/>
          <w:szCs w:val="24"/>
        </w:rPr>
        <w:t>1 范围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3"/>
      <w:bookmarkEnd w:id="74"/>
      <w:bookmarkEnd w:id="75"/>
      <w:bookmarkEnd w:id="76"/>
      <w:bookmarkEnd w:id="77"/>
    </w:p>
    <w:p w14:paraId="2C68677E">
      <w:pPr>
        <w:pStyle w:val="44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</w:t>
      </w:r>
      <w:bookmarkStart w:id="78" w:name="_Toc193860028"/>
      <w:bookmarkStart w:id="79" w:name="_Toc193860178"/>
      <w:bookmarkStart w:id="80" w:name="_Toc193860209"/>
      <w:bookmarkStart w:id="81" w:name="_Toc19639"/>
      <w:bookmarkStart w:id="82" w:name="_Toc31539"/>
      <w:bookmarkStart w:id="83" w:name="_Toc19304"/>
      <w:bookmarkStart w:id="84" w:name="_Toc23784537"/>
      <w:bookmarkStart w:id="85" w:name="_Toc20348"/>
      <w:bookmarkStart w:id="86" w:name="_Toc23784635"/>
      <w:bookmarkStart w:id="87" w:name="_Toc30934"/>
      <w:bookmarkStart w:id="88" w:name="_Toc10155"/>
      <w:bookmarkStart w:id="89" w:name="_Toc6820_WPSOffice_Level1"/>
      <w:bookmarkStart w:id="90" w:name="_Toc21794"/>
      <w:bookmarkStart w:id="91" w:name="_Toc23785529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规范适用于温度范围从室温到800℃的动态热机械分析仪（Dynamic Mechanical Analyzers，简称DMA）的校准，其他温度测量范围的也可参考本规范。</w:t>
      </w:r>
    </w:p>
    <w:p w14:paraId="11907E5D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/>
        <w:textAlignment w:val="auto"/>
        <w:outlineLvl w:val="0"/>
        <w:rPr>
          <w:rFonts w:hint="eastAsia" w:ascii="黑体" w:hAnsi="黑体" w:eastAsia="黑体" w:cs="黑体"/>
          <w:b w:val="0"/>
          <w:bCs/>
          <w:caps/>
          <w:color w:val="auto"/>
          <w:sz w:val="24"/>
          <w:szCs w:val="24"/>
        </w:rPr>
      </w:pPr>
      <w:bookmarkStart w:id="92" w:name="_Toc2974"/>
      <w:bookmarkStart w:id="93" w:name="_Toc8112"/>
      <w:r>
        <w:rPr>
          <w:rFonts w:hint="eastAsia" w:ascii="黑体" w:hAnsi="黑体" w:eastAsia="黑体" w:cs="黑体"/>
          <w:b w:val="0"/>
          <w:bCs/>
          <w:caps/>
          <w:color w:val="auto"/>
          <w:sz w:val="24"/>
          <w:szCs w:val="24"/>
          <w:lang w:val="en-US" w:eastAsia="zh-CN"/>
        </w:rPr>
        <w:t xml:space="preserve">2 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引用</w:t>
      </w:r>
      <w:r>
        <w:rPr>
          <w:rFonts w:hint="eastAsia" w:ascii="黑体" w:hAnsi="黑体" w:eastAsia="黑体" w:cs="黑体"/>
          <w:b w:val="0"/>
          <w:bCs/>
          <w:caps/>
          <w:color w:val="auto"/>
          <w:sz w:val="24"/>
          <w:szCs w:val="24"/>
        </w:rPr>
        <w:t>文</w:t>
      </w:r>
      <w:bookmarkEnd w:id="78"/>
      <w:bookmarkEnd w:id="79"/>
      <w:bookmarkEnd w:id="80"/>
      <w:r>
        <w:rPr>
          <w:rFonts w:hint="eastAsia" w:ascii="黑体" w:hAnsi="黑体" w:eastAsia="黑体" w:cs="黑体"/>
          <w:b w:val="0"/>
          <w:bCs/>
          <w:caps/>
          <w:color w:val="auto"/>
          <w:sz w:val="24"/>
          <w:szCs w:val="24"/>
        </w:rPr>
        <w:t>件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3CECC777">
      <w:pPr>
        <w:pStyle w:val="21"/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Times New Roman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kern w:val="0"/>
          <w:sz w:val="24"/>
          <w:szCs w:val="20"/>
        </w:rPr>
        <w:t>本规范</w:t>
      </w:r>
      <w:r>
        <w:rPr>
          <w:rFonts w:hint="eastAsia" w:asciiTheme="minorEastAsia" w:hAnsiTheme="minorEastAsia" w:eastAsiaTheme="minorEastAsia"/>
          <w:kern w:val="0"/>
          <w:sz w:val="24"/>
          <w:szCs w:val="20"/>
          <w:lang w:val="en-US" w:eastAsia="zh-CN"/>
        </w:rPr>
        <w:t>无</w:t>
      </w:r>
      <w:r>
        <w:rPr>
          <w:rFonts w:hint="eastAsia" w:asciiTheme="minorEastAsia" w:hAnsiTheme="minorEastAsia" w:eastAsiaTheme="minorEastAsia"/>
          <w:kern w:val="0"/>
          <w:sz w:val="24"/>
          <w:szCs w:val="20"/>
        </w:rPr>
        <w:t>引用文件</w:t>
      </w:r>
      <w:r>
        <w:rPr>
          <w:rFonts w:hint="eastAsia" w:asciiTheme="minorEastAsia" w:hAnsiTheme="minorEastAsia" w:eastAsiaTheme="minorEastAsia"/>
          <w:kern w:val="0"/>
          <w:sz w:val="24"/>
          <w:szCs w:val="20"/>
          <w:lang w:eastAsia="zh-CN"/>
        </w:rPr>
        <w:t>。</w:t>
      </w:r>
    </w:p>
    <w:p w14:paraId="563DBD22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/>
        <w:textAlignment w:val="auto"/>
        <w:outlineLvl w:val="0"/>
        <w:rPr>
          <w:rFonts w:hint="eastAsia" w:ascii="黑体" w:hAnsi="黑体" w:eastAsia="黑体" w:cs="黑体"/>
          <w:b/>
        </w:rPr>
      </w:pPr>
      <w:bookmarkStart w:id="94" w:name="_Toc17417"/>
      <w:bookmarkStart w:id="95" w:name="_Toc13932"/>
      <w:bookmarkStart w:id="96" w:name="_Toc15607"/>
      <w:bookmarkStart w:id="97" w:name="_Toc5945"/>
      <w:bookmarkStart w:id="98" w:name="_Toc8427"/>
      <w:bookmarkStart w:id="99" w:name="_Toc29732"/>
      <w:bookmarkStart w:id="100" w:name="_Toc22149"/>
      <w:bookmarkStart w:id="101" w:name="_Toc7590"/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 xml:space="preserve">3 </w:t>
      </w:r>
      <w:bookmarkEnd w:id="94"/>
      <w:bookmarkEnd w:id="95"/>
      <w:bookmarkEnd w:id="96"/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概述</w:t>
      </w:r>
      <w:bookmarkEnd w:id="97"/>
      <w:bookmarkEnd w:id="98"/>
      <w:bookmarkEnd w:id="99"/>
      <w:bookmarkEnd w:id="100"/>
      <w:bookmarkEnd w:id="101"/>
    </w:p>
    <w:p w14:paraId="6288704F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</w:pPr>
      <w:bookmarkStart w:id="102" w:name="_Toc15119"/>
      <w:bookmarkStart w:id="103" w:name="_Toc193618953"/>
      <w:bookmarkStart w:id="104" w:name="_Toc3994"/>
      <w:bookmarkStart w:id="105" w:name="_Toc10575"/>
      <w:bookmarkStart w:id="106" w:name="_Toc24809"/>
      <w:bookmarkStart w:id="107" w:name="_Toc23784645"/>
      <w:bookmarkStart w:id="108" w:name="_Toc193860031"/>
      <w:bookmarkStart w:id="109" w:name="_Toc2124_WPSOffice_Level1"/>
      <w:bookmarkStart w:id="110" w:name="_Toc193619098"/>
      <w:bookmarkStart w:id="111" w:name="_Toc193860181"/>
      <w:bookmarkStart w:id="112" w:name="_Toc193860212"/>
      <w:bookmarkStart w:id="113" w:name="_Toc23784547"/>
      <w:bookmarkStart w:id="114" w:name="_Toc193619056"/>
      <w:bookmarkStart w:id="115" w:name="_Toc23785539"/>
      <w:r>
        <w:rPr>
          <w:rFonts w:ascii="Times New Roman"/>
          <w:color w:val="auto"/>
          <w:sz w:val="24"/>
          <w:szCs w:val="24"/>
        </w:rPr>
        <w:t>动态热机械分析仪是测量样品黏弹性能与时间或温度关系的仪器。常用于材料的刚性、黏弹性、玻璃化温度、相转变、软化温度、应力与应变等测量。动态热机械分析仪通常由加热炉、样品支架、</w:t>
      </w:r>
      <w:r>
        <w:rPr>
          <w:rFonts w:hint="eastAsia" w:ascii="Times New Roman"/>
          <w:color w:val="auto"/>
          <w:sz w:val="24"/>
          <w:szCs w:val="24"/>
          <w:lang w:val="en-US" w:eastAsia="zh-CN"/>
        </w:rPr>
        <w:t>活动推杆、</w:t>
      </w:r>
      <w:r>
        <w:rPr>
          <w:rFonts w:ascii="Times New Roman"/>
          <w:color w:val="auto"/>
          <w:sz w:val="24"/>
          <w:szCs w:val="24"/>
        </w:rPr>
        <w:t>位移传感器</w:t>
      </w:r>
      <w:r>
        <w:rPr>
          <w:rFonts w:hint="eastAsia" w:ascii="Times New Roman"/>
          <w:color w:val="auto"/>
          <w:sz w:val="24"/>
          <w:szCs w:val="24"/>
          <w:lang w:val="en-US" w:eastAsia="zh-CN"/>
        </w:rPr>
        <w:t>、</w:t>
      </w:r>
      <w:r>
        <w:rPr>
          <w:rFonts w:ascii="Times New Roman"/>
          <w:color w:val="auto"/>
          <w:sz w:val="24"/>
          <w:szCs w:val="24"/>
        </w:rPr>
        <w:t>振荡马</w:t>
      </w:r>
      <w:r>
        <w:rPr>
          <w:rFonts w:hint="eastAsia" w:ascii="Times New Roman"/>
          <w:color w:val="auto"/>
          <w:sz w:val="24"/>
          <w:szCs w:val="24"/>
          <w:lang w:val="en-US" w:eastAsia="zh-CN"/>
        </w:rPr>
        <w:t>达及仪器操作软件等构</w:t>
      </w:r>
      <w:r>
        <w:rPr>
          <w:rFonts w:ascii="Times New Roman"/>
          <w:color w:val="auto"/>
          <w:sz w:val="24"/>
          <w:szCs w:val="24"/>
        </w:rPr>
        <w:t>成。动态热机械分析仪的测量模式有单双悬臂梁、三点弯曲、拉伸、压缩和穿刺等。测量时需要根据样品的形态与模量选择相对应的夹具类型。</w:t>
      </w:r>
      <w:r>
        <w:rPr>
          <w:rFonts w:hint="eastAsia" w:ascii="Times New Roman"/>
          <w:color w:val="auto"/>
          <w:sz w:val="24"/>
          <w:szCs w:val="24"/>
          <w:lang w:val="en-US" w:eastAsia="zh-CN"/>
        </w:rPr>
        <w:t>其结构</w:t>
      </w:r>
      <w:r>
        <w:rPr>
          <w:rFonts w:ascii="Times New Roman"/>
          <w:color w:val="auto"/>
          <w:sz w:val="24"/>
          <w:szCs w:val="24"/>
        </w:rPr>
        <w:t>示意图</w:t>
      </w:r>
      <w:r>
        <w:rPr>
          <w:rFonts w:hint="eastAsia" w:ascii="Times New Roman"/>
          <w:color w:val="auto"/>
          <w:sz w:val="24"/>
          <w:szCs w:val="24"/>
          <w:lang w:val="en-US" w:eastAsia="zh-CN"/>
        </w:rPr>
        <w:t>见图1</w:t>
      </w:r>
      <w:r>
        <w:rPr>
          <w:rFonts w:ascii="Times New Roman"/>
          <w:color w:val="auto"/>
          <w:sz w:val="24"/>
          <w:szCs w:val="24"/>
        </w:rPr>
        <w:t>。</w:t>
      </w:r>
    </w:p>
    <w:p w14:paraId="1901FF39">
      <w:pPr>
        <w:autoSpaceDE w:val="0"/>
        <w:autoSpaceDN w:val="0"/>
        <w:spacing w:before="156" w:beforeLines="50" w:after="156" w:afterLines="50"/>
        <w:jc w:val="center"/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2879725" cy="3938270"/>
            <wp:effectExtent l="0" t="0" r="15875" b="5080"/>
            <wp:docPr id="4" name="图片 4" descr="企业微信截图_1768452400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企业微信截图_176845240028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EAA38">
      <w:pPr>
        <w:autoSpaceDE w:val="0"/>
        <w:autoSpaceDN w:val="0"/>
        <w:spacing w:before="156" w:beforeLines="50" w:after="156" w:afterLines="50"/>
        <w:jc w:val="center"/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  <w:t>图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  <w:t xml:space="preserve"> 动态热机械分析仪</w:t>
      </w:r>
      <w:r>
        <w:rPr>
          <w:rFonts w:hint="eastAsia" w:ascii="宋体" w:hAnsi="宋体" w:cs="宋体"/>
          <w:bCs/>
          <w:kern w:val="0"/>
          <w:sz w:val="21"/>
          <w:szCs w:val="21"/>
          <w:lang w:val="en-US" w:eastAsia="zh-CN"/>
        </w:rPr>
        <w:t>结构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  <w:t>示意图</w:t>
      </w:r>
      <w:bookmarkStart w:id="116" w:name="_Toc14021"/>
      <w:bookmarkStart w:id="117" w:name="_Toc1642"/>
      <w:bookmarkStart w:id="118" w:name="_Toc9462"/>
    </w:p>
    <w:p w14:paraId="2DB819BC">
      <w:pPr>
        <w:autoSpaceDE w:val="0"/>
        <w:autoSpaceDN w:val="0"/>
        <w:spacing w:before="156" w:beforeLines="50" w:after="156" w:afterLines="50"/>
        <w:jc w:val="center"/>
        <w:rPr>
          <w:rFonts w:hint="default" w:ascii="宋体" w:hAnsi="宋体" w:cs="宋体"/>
          <w:bCs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kern w:val="0"/>
          <w:sz w:val="21"/>
          <w:szCs w:val="21"/>
          <w:lang w:val="en-US" w:eastAsia="zh-CN"/>
        </w:rPr>
        <w:t>—加热炉；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21"/>
          <w:szCs w:val="21"/>
          <w:lang w:val="en-US" w:eastAsia="zh-CN"/>
        </w:rPr>
        <w:t>—样品支架；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 w:val="21"/>
          <w:szCs w:val="21"/>
          <w:lang w:val="en-US" w:eastAsia="zh-CN"/>
        </w:rPr>
        <w:t>—活动推杆；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 w:val="21"/>
          <w:szCs w:val="21"/>
          <w:lang w:val="en-US" w:eastAsia="zh-CN"/>
        </w:rPr>
        <w:t>—位移传感器；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 w:val="21"/>
          <w:szCs w:val="21"/>
          <w:lang w:val="en-US" w:eastAsia="zh-CN"/>
        </w:rPr>
        <w:t>—振荡马达</w:t>
      </w:r>
    </w:p>
    <w:p w14:paraId="722E3B48"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/>
        <w:textAlignment w:val="auto"/>
        <w:outlineLvl w:val="0"/>
        <w:rPr>
          <w:rFonts w:hint="eastAsia" w:ascii="黑体" w:hAnsi="黑体" w:eastAsia="黑体" w:cs="黑体"/>
          <w:b/>
        </w:rPr>
      </w:pPr>
      <w:bookmarkStart w:id="119" w:name="_Toc5660"/>
      <w:bookmarkStart w:id="120" w:name="_Toc2867"/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 xml:space="preserve">4 </w:t>
      </w:r>
      <w:r>
        <w:rPr>
          <w:rFonts w:hint="eastAsia" w:ascii="黑体" w:hAnsi="黑体" w:eastAsia="黑体" w:cs="黑体"/>
          <w:b w:val="0"/>
          <w:bCs w:val="0"/>
          <w:color w:val="auto"/>
        </w:rPr>
        <w:t>计量特性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375C2D6B">
      <w:pPr>
        <w:pStyle w:val="4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firstLine="480" w:firstLineChars="200"/>
        <w:textAlignment w:val="auto"/>
        <w:outlineLvl w:val="9"/>
        <w:rPr>
          <w:rFonts w:hint="default" w:asci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动态热机械分析仪</w:t>
      </w:r>
      <w:r>
        <w:rPr>
          <w:rFonts w:hint="eastAsia" w:ascii="Times New Roman" w:eastAsia="宋体" w:cs="Times New Roman"/>
          <w:sz w:val="24"/>
          <w:szCs w:val="24"/>
          <w:lang w:val="en-US" w:eastAsia="zh-CN"/>
        </w:rPr>
        <w:t>的计量特性见表1</w:t>
      </w:r>
      <w:r>
        <w:rPr>
          <w:rFonts w:ascii="Times New Roman"/>
          <w:color w:val="auto"/>
          <w:sz w:val="24"/>
          <w:szCs w:val="24"/>
        </w:rPr>
        <w:t>。</w:t>
      </w:r>
    </w:p>
    <w:p w14:paraId="4F3BD46E">
      <w:pPr>
        <w:pStyle w:val="44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Cs w:val="21"/>
        </w:rPr>
        <w:t>表</w:t>
      </w:r>
      <w:r>
        <w:rPr>
          <w:rFonts w:hint="eastAsia" w:ascii="黑体" w:hAnsi="黑体" w:eastAsia="黑体" w:cs="黑体"/>
          <w:szCs w:val="21"/>
          <w:lang w:val="en-US" w:eastAsia="zh-CN"/>
        </w:rPr>
        <w:t>1 计量特性</w:t>
      </w:r>
    </w:p>
    <w:tbl>
      <w:tblPr>
        <w:tblStyle w:val="25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3"/>
        <w:gridCol w:w="5320"/>
      </w:tblGrid>
      <w:tr w14:paraId="2FCD329A">
        <w:trPr>
          <w:trHeight w:val="463" w:hRule="atLeast"/>
          <w:jc w:val="center"/>
        </w:trPr>
        <w:tc>
          <w:tcPr>
            <w:tcW w:w="3903" w:type="dxa"/>
            <w:vAlign w:val="center"/>
          </w:tcPr>
          <w:p w14:paraId="68E45C91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5320" w:type="dxa"/>
            <w:vAlign w:val="center"/>
          </w:tcPr>
          <w:p w14:paraId="41DDBA1B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技术指标</w:t>
            </w:r>
          </w:p>
        </w:tc>
      </w:tr>
      <w:tr w14:paraId="68602863">
        <w:trPr>
          <w:trHeight w:val="454" w:hRule="atLeast"/>
          <w:jc w:val="center"/>
        </w:trPr>
        <w:tc>
          <w:tcPr>
            <w:tcW w:w="3903" w:type="dxa"/>
            <w:vAlign w:val="center"/>
          </w:tcPr>
          <w:p w14:paraId="0B374925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位移示值误差</w:t>
            </w:r>
          </w:p>
        </w:tc>
        <w:tc>
          <w:tcPr>
            <w:tcW w:w="5320" w:type="dxa"/>
            <w:vAlign w:val="center"/>
          </w:tcPr>
          <w:p w14:paraId="580F2A53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vertAlign w:val="baseline"/>
                <w:lang w:val="en-US" w:eastAsia="zh-CN"/>
              </w:rPr>
              <w:t>不超过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±0.05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mm</w:t>
            </w:r>
          </w:p>
        </w:tc>
      </w:tr>
      <w:tr w14:paraId="446CB341">
        <w:trPr>
          <w:trHeight w:val="454" w:hRule="atLeast"/>
          <w:jc w:val="center"/>
        </w:trPr>
        <w:tc>
          <w:tcPr>
            <w:tcW w:w="3903" w:type="dxa"/>
            <w:vAlign w:val="center"/>
          </w:tcPr>
          <w:p w14:paraId="170CA1EA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vertAlign w:val="baseline"/>
                <w:lang w:val="en-US" w:eastAsia="zh-CN"/>
              </w:rPr>
              <w:t>升温速率示值误差</w:t>
            </w:r>
          </w:p>
        </w:tc>
        <w:tc>
          <w:tcPr>
            <w:tcW w:w="5320" w:type="dxa"/>
            <w:vAlign w:val="center"/>
          </w:tcPr>
          <w:p w14:paraId="5515999B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vertAlign w:val="baseline"/>
                <w:lang w:val="en-US" w:eastAsia="zh-CN"/>
              </w:rPr>
              <w:t>不超过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±5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%</w:t>
            </w:r>
          </w:p>
        </w:tc>
      </w:tr>
      <w:tr w14:paraId="57FB8706">
        <w:trPr>
          <w:trHeight w:val="454" w:hRule="atLeast"/>
          <w:jc w:val="center"/>
        </w:trPr>
        <w:tc>
          <w:tcPr>
            <w:tcW w:w="3903" w:type="dxa"/>
            <w:vAlign w:val="center"/>
          </w:tcPr>
          <w:p w14:paraId="3DEDA8C7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温度示值误差</w:t>
            </w:r>
          </w:p>
        </w:tc>
        <w:tc>
          <w:tcPr>
            <w:tcW w:w="5320" w:type="dxa"/>
            <w:vAlign w:val="center"/>
          </w:tcPr>
          <w:p w14:paraId="62268352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vertAlign w:val="baseline"/>
                <w:lang w:val="en-US" w:eastAsia="zh-CN"/>
              </w:rPr>
              <w:t>不超过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±6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℃</w:t>
            </w:r>
          </w:p>
        </w:tc>
      </w:tr>
      <w:tr w14:paraId="2FB5A2ED">
        <w:trPr>
          <w:trHeight w:val="454" w:hRule="atLeast"/>
          <w:jc w:val="center"/>
        </w:trPr>
        <w:tc>
          <w:tcPr>
            <w:tcW w:w="3903" w:type="dxa"/>
            <w:vAlign w:val="center"/>
          </w:tcPr>
          <w:p w14:paraId="71DBCA07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温度重复性</w:t>
            </w:r>
          </w:p>
        </w:tc>
        <w:tc>
          <w:tcPr>
            <w:tcW w:w="5320" w:type="dxa"/>
            <w:vAlign w:val="center"/>
          </w:tcPr>
          <w:p w14:paraId="4065FB90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℃</w:t>
            </w:r>
          </w:p>
        </w:tc>
      </w:tr>
      <w:tr w14:paraId="46D0913D">
        <w:trPr>
          <w:trHeight w:val="454" w:hRule="atLeast"/>
          <w:jc w:val="center"/>
        </w:trPr>
        <w:tc>
          <w:tcPr>
            <w:tcW w:w="3903" w:type="dxa"/>
            <w:vAlign w:val="center"/>
          </w:tcPr>
          <w:p w14:paraId="69912F01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bookmarkStart w:id="121" w:name="_Toc20048"/>
            <w:bookmarkStart w:id="122" w:name="_Toc7235"/>
            <w:bookmarkStart w:id="123" w:name="_Toc18151"/>
            <w:bookmarkStart w:id="124" w:name="_Toc20223"/>
            <w:bookmarkStart w:id="125" w:name="_Toc8411"/>
            <w:bookmarkStart w:id="126" w:name="_Toc2818"/>
            <w:bookmarkStart w:id="127" w:name="_Toc2455"/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储能模量示值误差</w:t>
            </w:r>
          </w:p>
        </w:tc>
        <w:tc>
          <w:tcPr>
            <w:tcW w:w="5320" w:type="dxa"/>
            <w:vAlign w:val="center"/>
          </w:tcPr>
          <w:p w14:paraId="52AF1054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vertAlign w:val="baseline"/>
                <w:lang w:val="en-US" w:eastAsia="zh-CN"/>
              </w:rPr>
              <w:t>不超过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±1</w:t>
            </w:r>
            <w:r>
              <w:rPr>
                <w:rFonts w:hint="eastAsia" w:asci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%</w:t>
            </w:r>
          </w:p>
        </w:tc>
      </w:tr>
      <w:tr w14:paraId="1640D62C">
        <w:trPr>
          <w:trHeight w:val="454" w:hRule="atLeast"/>
          <w:jc w:val="center"/>
        </w:trPr>
        <w:tc>
          <w:tcPr>
            <w:tcW w:w="3903" w:type="dxa"/>
            <w:vAlign w:val="center"/>
          </w:tcPr>
          <w:p w14:paraId="314F76D4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储能模量重复性</w:t>
            </w:r>
          </w:p>
        </w:tc>
        <w:tc>
          <w:tcPr>
            <w:tcW w:w="5320" w:type="dxa"/>
            <w:vAlign w:val="center"/>
          </w:tcPr>
          <w:p w14:paraId="6B5D1066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≤</w:t>
            </w:r>
            <w:r>
              <w:rPr>
                <w:rFonts w:hint="eastAsia" w:asci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%</w:t>
            </w:r>
          </w:p>
        </w:tc>
      </w:tr>
      <w:tr w14:paraId="067B1948">
        <w:trPr>
          <w:trHeight w:val="454" w:hRule="atLeast"/>
          <w:jc w:val="center"/>
        </w:trPr>
        <w:tc>
          <w:tcPr>
            <w:tcW w:w="9223" w:type="dxa"/>
            <w:gridSpan w:val="2"/>
            <w:vAlign w:val="center"/>
          </w:tcPr>
          <w:p w14:paraId="439AEF91">
            <w:pPr>
              <w:pStyle w:val="4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lang w:val="en-US" w:eastAsia="zh-CN"/>
              </w:rPr>
              <w:t>注：如果仪器本身不具备样品测长功能，则不需要进行位移示值误差校准。</w:t>
            </w:r>
          </w:p>
        </w:tc>
      </w:tr>
    </w:tbl>
    <w:p w14:paraId="7824DEA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4"/>
        </w:rPr>
      </w:pPr>
    </w:p>
    <w:p w14:paraId="6BC21AA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/>
        <w:textAlignment w:val="auto"/>
        <w:outlineLvl w:val="0"/>
        <w:rPr>
          <w:rFonts w:hint="eastAsia" w:ascii="黑体" w:hAnsi="黑体" w:eastAsia="黑体" w:cs="黑体"/>
          <w:b/>
          <w:lang w:val="en-US" w:eastAsia="zh-CN"/>
        </w:rPr>
      </w:pPr>
      <w:bookmarkStart w:id="128" w:name="_Toc10176"/>
      <w:r>
        <w:rPr>
          <w:rFonts w:hint="eastAsia" w:ascii="黑体" w:hAnsi="黑体" w:eastAsia="黑体" w:cs="黑体"/>
          <w:b w:val="0"/>
          <w:bCs w:val="0"/>
          <w:sz w:val="24"/>
        </w:rPr>
        <w:t>5 校准条件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07265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sz w:val="24"/>
        </w:rPr>
      </w:pPr>
      <w:bookmarkStart w:id="129" w:name="_Toc23784661"/>
      <w:bookmarkStart w:id="130" w:name="_Toc23785235"/>
      <w:bookmarkStart w:id="131" w:name="_Toc23785559"/>
      <w:bookmarkStart w:id="132" w:name="_Toc23784562"/>
      <w:bookmarkStart w:id="133" w:name="_Toc24517"/>
      <w:bookmarkStart w:id="134" w:name="_Toc2162"/>
      <w:bookmarkStart w:id="135" w:name="_Toc14367"/>
      <w:bookmarkStart w:id="136" w:name="_Toc6038"/>
      <w:bookmarkStart w:id="137" w:name="_Toc21015"/>
      <w:bookmarkStart w:id="138" w:name="_Toc27738"/>
      <w:bookmarkStart w:id="139" w:name="_Toc12670"/>
      <w:bookmarkStart w:id="140" w:name="_Toc24356"/>
      <w:r>
        <w:rPr>
          <w:rFonts w:hint="eastAsia"/>
          <w:sz w:val="24"/>
        </w:rPr>
        <w:t>5</w:t>
      </w:r>
      <w:r>
        <w:rPr>
          <w:sz w:val="24"/>
        </w:rPr>
        <w:t>.1</w:t>
      </w:r>
      <w:bookmarkEnd w:id="129"/>
      <w:bookmarkEnd w:id="130"/>
      <w:bookmarkEnd w:id="131"/>
      <w:bookmarkEnd w:id="132"/>
      <w:bookmarkStart w:id="141" w:name="_Toc20581_WPSOffice_Level2"/>
      <w:r>
        <w:rPr>
          <w:sz w:val="24"/>
        </w:rPr>
        <w:t xml:space="preserve"> 环境条件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31890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/>
          <w:sz w:val="24"/>
          <w:lang w:val="en-US" w:eastAsia="zh-CN"/>
        </w:rPr>
      </w:pPr>
      <w:r>
        <w:rPr>
          <w:sz w:val="24"/>
        </w:rPr>
        <w:t>5.1.1</w:t>
      </w:r>
      <w:r>
        <w:rPr>
          <w:rFonts w:hint="eastAsia"/>
          <w:sz w:val="24"/>
          <w:lang w:val="en-US" w:eastAsia="zh-CN"/>
        </w:rPr>
        <w:t xml:space="preserve"> 环境温度；(15～30)℃。</w:t>
      </w:r>
    </w:p>
    <w:p w14:paraId="718DD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/>
          <w:sz w:val="24"/>
          <w:lang w:val="en-US" w:eastAsia="zh-CN"/>
        </w:rPr>
      </w:pPr>
      <w:r>
        <w:rPr>
          <w:sz w:val="24"/>
        </w:rPr>
        <w:t>5.1.</w:t>
      </w:r>
      <w:r>
        <w:rPr>
          <w:rFonts w:hint="eastAsia"/>
          <w:sz w:val="24"/>
          <w:lang w:val="en-US" w:eastAsia="zh-CN"/>
        </w:rPr>
        <w:t>2 相对湿度：≤85%。</w:t>
      </w:r>
    </w:p>
    <w:p w14:paraId="39982F95">
      <w:pPr>
        <w:pStyle w:val="44"/>
        <w:widowControl/>
        <w:autoSpaceDE w:val="0"/>
        <w:autoSpaceDN w:val="0"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5.1.3</w:t>
      </w:r>
      <w:r>
        <w:rPr>
          <w:rFonts w:hint="eastAsia" w:ascii="Times New Roman" w:cs="Times New Roman"/>
          <w:kern w:val="2"/>
          <w:sz w:val="24"/>
          <w:szCs w:val="24"/>
          <w:lang w:val="en-US" w:eastAsia="zh-CN" w:bidi="ar-SA"/>
        </w:rPr>
        <w:t xml:space="preserve"> 仪器应置于平稳且牢固的工作台上，并调至水平状态，校准环境周围</w:t>
      </w:r>
      <w:r>
        <w:rPr>
          <w:rFonts w:hint="eastAsia" w:ascii="Times New Roman" w:hAnsi="Times New Roman" w:eastAsia="宋体" w:cs="Times New Roman"/>
          <w:sz w:val="24"/>
          <w:szCs w:val="24"/>
        </w:rPr>
        <w:t>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应</w:t>
      </w:r>
      <w:r>
        <w:rPr>
          <w:rFonts w:hint="eastAsia" w:ascii="Times New Roman" w:hAnsi="Times New Roman" w:eastAsia="宋体" w:cs="Times New Roman"/>
          <w:sz w:val="24"/>
          <w:szCs w:val="24"/>
        </w:rPr>
        <w:t>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腐蚀性介质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</w:t>
      </w:r>
      <w:r>
        <w:rPr>
          <w:rFonts w:hint="eastAsia" w:ascii="Times New Roman" w:cs="Times New Roman"/>
          <w:kern w:val="2"/>
          <w:sz w:val="24"/>
          <w:szCs w:val="24"/>
          <w:lang w:val="en-US" w:eastAsia="zh-CN" w:bidi="ar-SA"/>
        </w:rPr>
        <w:t>影响仪器正常工作的震源。在校准过程中避免触碰实验台，以消除震动干扰。</w:t>
      </w:r>
    </w:p>
    <w:p w14:paraId="68C80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eastAsia="宋体"/>
          <w:sz w:val="24"/>
          <w:lang w:val="en-US" w:eastAsia="zh-CN"/>
        </w:rPr>
      </w:pPr>
      <w:bookmarkStart w:id="142" w:name="_Toc3528"/>
      <w:bookmarkStart w:id="143" w:name="_Toc15841"/>
      <w:bookmarkStart w:id="144" w:name="_Toc18184"/>
      <w:bookmarkStart w:id="145" w:name="_Toc8829"/>
      <w:bookmarkStart w:id="146" w:name="_Toc26988"/>
      <w:bookmarkStart w:id="147" w:name="_Toc26676"/>
      <w:bookmarkStart w:id="148" w:name="_Toc27110"/>
      <w:bookmarkStart w:id="149" w:name="_Toc12046"/>
      <w:r>
        <w:rPr>
          <w:rFonts w:hint="eastAsia"/>
          <w:sz w:val="24"/>
        </w:rPr>
        <w:t>5</w:t>
      </w:r>
      <w:r>
        <w:rPr>
          <w:sz w:val="24"/>
        </w:rPr>
        <w:t>.2</w:t>
      </w:r>
      <w:bookmarkEnd w:id="142"/>
      <w:r>
        <w:rPr>
          <w:rFonts w:hint="eastAsia"/>
          <w:sz w:val="24"/>
        </w:rPr>
        <w:t xml:space="preserve"> </w:t>
      </w:r>
      <w:bookmarkEnd w:id="143"/>
      <w:bookmarkEnd w:id="144"/>
      <w:bookmarkEnd w:id="145"/>
      <w:bookmarkEnd w:id="146"/>
      <w:bookmarkEnd w:id="147"/>
      <w:bookmarkEnd w:id="148"/>
      <w:bookmarkEnd w:id="149"/>
      <w:r>
        <w:rPr>
          <w:rFonts w:hint="eastAsia"/>
          <w:sz w:val="24"/>
          <w:lang w:val="en-US" w:eastAsia="zh-CN"/>
        </w:rPr>
        <w:t>测量标准</w:t>
      </w:r>
    </w:p>
    <w:p w14:paraId="02C5E8D3">
      <w:pPr>
        <w:pStyle w:val="44"/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both"/>
        <w:rPr>
          <w:rFonts w:hint="default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校准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项目和测量标准及辅助设备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见表2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。</w:t>
      </w:r>
    </w:p>
    <w:p w14:paraId="54C0381E"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2"/>
        <w:rPr>
          <w:rFonts w:hint="default" w:ascii="黑体" w:hAnsi="黑体" w:eastAsia="黑体" w:cs="黑体"/>
          <w:b w:val="0"/>
          <w:bCs w:val="0"/>
          <w:color w:val="0000FF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 xml:space="preserve">表2 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校准项目和测量标准及辅助设备</w:t>
      </w:r>
    </w:p>
    <w:tbl>
      <w:tblPr>
        <w:tblStyle w:val="2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616"/>
        <w:gridCol w:w="2457"/>
        <w:gridCol w:w="2457"/>
      </w:tblGrid>
      <w:tr w14:paraId="2831D6B4">
        <w:trPr>
          <w:trHeight w:val="397" w:hRule="atLeast"/>
          <w:jc w:val="center"/>
        </w:trPr>
        <w:tc>
          <w:tcPr>
            <w:tcW w:w="1016" w:type="pct"/>
            <w:vAlign w:val="center"/>
          </w:tcPr>
          <w:p w14:paraId="5E3019A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50" w:name="_Toc19335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测量标准</w:t>
            </w:r>
            <w:bookmarkEnd w:id="150"/>
          </w:p>
        </w:tc>
        <w:tc>
          <w:tcPr>
            <w:tcW w:w="1383" w:type="pct"/>
            <w:vAlign w:val="center"/>
          </w:tcPr>
          <w:p w14:paraId="1126F17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51" w:name="_Toc14411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技术指标</w:t>
            </w:r>
            <w:bookmarkEnd w:id="151"/>
          </w:p>
        </w:tc>
        <w:tc>
          <w:tcPr>
            <w:tcW w:w="1299" w:type="pct"/>
            <w:vAlign w:val="center"/>
          </w:tcPr>
          <w:p w14:paraId="2231805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52" w:name="_Toc808"/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用途</w:t>
            </w:r>
            <w:bookmarkEnd w:id="152"/>
          </w:p>
        </w:tc>
        <w:tc>
          <w:tcPr>
            <w:tcW w:w="1299" w:type="pct"/>
            <w:vAlign w:val="center"/>
          </w:tcPr>
          <w:p w14:paraId="24D35E8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校准项目</w:t>
            </w:r>
          </w:p>
        </w:tc>
      </w:tr>
      <w:tr w14:paraId="5B819F0E">
        <w:trPr>
          <w:trHeight w:val="397" w:hRule="atLeast"/>
          <w:jc w:val="center"/>
        </w:trPr>
        <w:tc>
          <w:tcPr>
            <w:tcW w:w="1016" w:type="pct"/>
            <w:vAlign w:val="center"/>
          </w:tcPr>
          <w:p w14:paraId="611C3A72">
            <w:pPr>
              <w:pStyle w:val="4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0"/>
              <w:rPr>
                <w:rStyle w:val="38"/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bookmarkStart w:id="153" w:name="_Toc25285"/>
            <w:r>
              <w:rPr>
                <w:rFonts w:hint="eastAsia" w:asci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卡尺</w:t>
            </w:r>
            <w:bookmarkEnd w:id="153"/>
          </w:p>
        </w:tc>
        <w:tc>
          <w:tcPr>
            <w:tcW w:w="1383" w:type="pct"/>
            <w:vAlign w:val="center"/>
          </w:tcPr>
          <w:p w14:paraId="01C9C8C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Style w:val="38"/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bookmarkStart w:id="154" w:name="_Toc26689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测量范围不小于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0mm，最大允许误差±25µ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  <w:bookmarkEnd w:id="154"/>
          </w:p>
        </w:tc>
        <w:tc>
          <w:tcPr>
            <w:tcW w:w="1299" w:type="pct"/>
            <w:shd w:val="clear" w:color="auto" w:fill="auto"/>
            <w:vAlign w:val="center"/>
          </w:tcPr>
          <w:p w14:paraId="72C871E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55" w:name="_Toc31750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测量储能模量标块的尺寸</w:t>
            </w:r>
            <w:bookmarkEnd w:id="155"/>
          </w:p>
        </w:tc>
        <w:tc>
          <w:tcPr>
            <w:tcW w:w="1299" w:type="pct"/>
            <w:shd w:val="clear" w:color="auto" w:fill="auto"/>
            <w:vAlign w:val="center"/>
          </w:tcPr>
          <w:p w14:paraId="35DB7C8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—</w:t>
            </w:r>
          </w:p>
        </w:tc>
      </w:tr>
      <w:tr w14:paraId="6AAEBE67">
        <w:trPr>
          <w:trHeight w:val="397" w:hRule="atLeast"/>
          <w:jc w:val="center"/>
        </w:trPr>
        <w:tc>
          <w:tcPr>
            <w:tcW w:w="1016" w:type="pct"/>
            <w:vAlign w:val="center"/>
          </w:tcPr>
          <w:p w14:paraId="6023E07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Style w:val="38"/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bookmarkStart w:id="156" w:name="_Toc24700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量块</w:t>
            </w:r>
            <w:bookmarkEnd w:id="156"/>
          </w:p>
        </w:tc>
        <w:tc>
          <w:tcPr>
            <w:tcW w:w="1383" w:type="pct"/>
            <w:vAlign w:val="center"/>
          </w:tcPr>
          <w:p w14:paraId="1074C69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Style w:val="38"/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bookmarkStart w:id="157" w:name="_Toc28277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标称长度（1~20）mm的量块，标称长度的不确定度满足3等量块的要求</w:t>
            </w:r>
            <w:bookmarkEnd w:id="157"/>
          </w:p>
        </w:tc>
        <w:tc>
          <w:tcPr>
            <w:tcW w:w="1299" w:type="pct"/>
            <w:vAlign w:val="center"/>
          </w:tcPr>
          <w:p w14:paraId="20C0306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299" w:type="pct"/>
            <w:vAlign w:val="center"/>
          </w:tcPr>
          <w:p w14:paraId="0EBEBA0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58" w:name="_Toc618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校准位移示值误差</w:t>
            </w:r>
            <w:bookmarkEnd w:id="158"/>
          </w:p>
        </w:tc>
      </w:tr>
      <w:tr w14:paraId="42E711F8">
        <w:trPr>
          <w:trHeight w:val="397" w:hRule="atLeast"/>
          <w:jc w:val="center"/>
        </w:trPr>
        <w:tc>
          <w:tcPr>
            <w:tcW w:w="1016" w:type="pct"/>
            <w:vAlign w:val="center"/>
          </w:tcPr>
          <w:p w14:paraId="2BEA699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59" w:name="_Toc32032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电子秒表</w:t>
            </w:r>
            <w:bookmarkEnd w:id="159"/>
          </w:p>
        </w:tc>
        <w:tc>
          <w:tcPr>
            <w:tcW w:w="1383" w:type="pct"/>
            <w:vAlign w:val="center"/>
          </w:tcPr>
          <w:p w14:paraId="6CD18E4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60" w:name="_Toc22703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分辨力不大于0.01s</w:t>
            </w:r>
            <w:bookmarkEnd w:id="160"/>
          </w:p>
        </w:tc>
        <w:tc>
          <w:tcPr>
            <w:tcW w:w="1299" w:type="pct"/>
            <w:vAlign w:val="center"/>
          </w:tcPr>
          <w:p w14:paraId="15F9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299" w:type="pct"/>
            <w:vAlign w:val="center"/>
          </w:tcPr>
          <w:p w14:paraId="3195F03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升温速率示值误差</w:t>
            </w:r>
          </w:p>
        </w:tc>
      </w:tr>
      <w:tr w14:paraId="5CEDFF8B">
        <w:trPr>
          <w:trHeight w:val="397" w:hRule="atLeast"/>
          <w:jc w:val="center"/>
        </w:trPr>
        <w:tc>
          <w:tcPr>
            <w:tcW w:w="1016" w:type="pct"/>
            <w:vAlign w:val="center"/>
          </w:tcPr>
          <w:p w14:paraId="3948465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61" w:name="_Toc8161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热分析标准物质</w:t>
            </w:r>
            <w:bookmarkEnd w:id="161"/>
          </w:p>
        </w:tc>
        <w:tc>
          <w:tcPr>
            <w:tcW w:w="1383" w:type="pct"/>
            <w:vAlign w:val="center"/>
          </w:tcPr>
          <w:p w14:paraId="5ABDC8C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62" w:name="_Toc13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热分析标准物质</w:t>
            </w:r>
            <w:bookmarkEnd w:id="162"/>
          </w:p>
        </w:tc>
        <w:tc>
          <w:tcPr>
            <w:tcW w:w="1299" w:type="pct"/>
            <w:vAlign w:val="center"/>
          </w:tcPr>
          <w:p w14:paraId="1B6E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299" w:type="pct"/>
            <w:vAlign w:val="center"/>
          </w:tcPr>
          <w:p w14:paraId="753D057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温度重复性、温度示值误差</w:t>
            </w:r>
          </w:p>
        </w:tc>
      </w:tr>
      <w:tr w14:paraId="6A16FA72">
        <w:trPr>
          <w:trHeight w:val="397" w:hRule="atLeast"/>
          <w:jc w:val="center"/>
        </w:trPr>
        <w:tc>
          <w:tcPr>
            <w:tcW w:w="1016" w:type="pct"/>
          </w:tcPr>
          <w:p w14:paraId="05C8B49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63" w:name="_Toc19079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玻璃化转变温度标准物质</w:t>
            </w:r>
            <w:bookmarkEnd w:id="163"/>
          </w:p>
        </w:tc>
        <w:tc>
          <w:tcPr>
            <w:tcW w:w="1383" w:type="pct"/>
          </w:tcPr>
          <w:p w14:paraId="793F9AC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64" w:name="_Toc19769"/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玻璃化转变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温度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标准物质</w:t>
            </w:r>
            <w:bookmarkEnd w:id="164"/>
          </w:p>
        </w:tc>
        <w:tc>
          <w:tcPr>
            <w:tcW w:w="1299" w:type="pct"/>
            <w:vAlign w:val="center"/>
          </w:tcPr>
          <w:p w14:paraId="76F8F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299" w:type="pct"/>
            <w:vAlign w:val="center"/>
          </w:tcPr>
          <w:p w14:paraId="69AB70D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温度重复性、温度示值误差</w:t>
            </w:r>
          </w:p>
        </w:tc>
      </w:tr>
      <w:tr w14:paraId="5D797356">
        <w:trPr>
          <w:trHeight w:val="397" w:hRule="atLeast"/>
          <w:jc w:val="center"/>
        </w:trPr>
        <w:tc>
          <w:tcPr>
            <w:tcW w:w="1016" w:type="pct"/>
            <w:vAlign w:val="center"/>
          </w:tcPr>
          <w:p w14:paraId="54D2085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65" w:name="_Toc14797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储能模量标块</w:t>
            </w:r>
            <w:bookmarkEnd w:id="165"/>
          </w:p>
        </w:tc>
        <w:tc>
          <w:tcPr>
            <w:tcW w:w="1383" w:type="pct"/>
          </w:tcPr>
          <w:p w14:paraId="2D55A1F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66" w:name="_Toc30536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储能模量值为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2.35GPa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，相对不确定度不大于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5%</w:t>
            </w:r>
            <w:bookmarkEnd w:id="166"/>
          </w:p>
        </w:tc>
        <w:tc>
          <w:tcPr>
            <w:tcW w:w="1299" w:type="pct"/>
            <w:vAlign w:val="center"/>
          </w:tcPr>
          <w:p w14:paraId="78FA7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299" w:type="pct"/>
            <w:vAlign w:val="center"/>
          </w:tcPr>
          <w:p w14:paraId="30018D3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校准储能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模量重复性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及</w:t>
            </w:r>
          </w:p>
          <w:p w14:paraId="3E76016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模量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储能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示值误差</w:t>
            </w:r>
          </w:p>
        </w:tc>
      </w:tr>
      <w:bookmarkEnd w:id="141"/>
    </w:tbl>
    <w:p w14:paraId="77AC07A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outlineLvl w:val="0"/>
        <w:rPr>
          <w:rFonts w:hint="eastAsia" w:ascii="黑体" w:hAnsi="黑体" w:eastAsia="黑体" w:cs="黑体"/>
          <w:sz w:val="24"/>
        </w:rPr>
      </w:pPr>
      <w:bookmarkStart w:id="167" w:name="_Toc7085"/>
      <w:bookmarkStart w:id="168" w:name="_Toc12797"/>
      <w:bookmarkStart w:id="169" w:name="_Toc1818"/>
      <w:bookmarkStart w:id="170" w:name="_Toc7975"/>
      <w:bookmarkStart w:id="171" w:name="_Toc1970"/>
      <w:bookmarkStart w:id="172" w:name="_Toc19080"/>
      <w:bookmarkStart w:id="173" w:name="_Toc19373"/>
      <w:bookmarkStart w:id="174" w:name="_Toc23968"/>
      <w:bookmarkStart w:id="175" w:name="_Toc11533"/>
      <w:r>
        <w:rPr>
          <w:rFonts w:hint="eastAsia" w:ascii="黑体" w:hAnsi="黑体" w:eastAsia="黑体" w:cs="黑体"/>
          <w:b w:val="0"/>
          <w:bCs/>
          <w:kern w:val="0"/>
          <w:sz w:val="24"/>
        </w:rPr>
        <w:t xml:space="preserve">6 </w:t>
      </w:r>
      <w:r>
        <w:rPr>
          <w:rStyle w:val="38"/>
          <w:rFonts w:hint="eastAsia" w:ascii="黑体" w:hAnsi="黑体" w:eastAsia="黑体" w:cs="黑体"/>
          <w:b w:val="0"/>
          <w:bCs/>
          <w:sz w:val="24"/>
        </w:rPr>
        <w:t>校准项目和校准方法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64CEA592">
      <w:pPr>
        <w:pStyle w:val="4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0" w:firstLineChars="0"/>
        <w:textAlignment w:val="auto"/>
        <w:outlineLvl w:val="1"/>
        <w:rPr>
          <w:rFonts w:hint="eastAsia" w:ascii="Times New Roman"/>
          <w:sz w:val="24"/>
          <w:szCs w:val="24"/>
        </w:rPr>
      </w:pPr>
      <w:bookmarkStart w:id="176" w:name="_Toc10967"/>
      <w:bookmarkStart w:id="177" w:name="_Toc15625"/>
      <w:bookmarkStart w:id="178" w:name="_Toc23104"/>
      <w:bookmarkStart w:id="179" w:name="_Toc14936"/>
      <w:r>
        <w:rPr>
          <w:rFonts w:hint="eastAsia" w:ascii="Times New Roman"/>
          <w:sz w:val="24"/>
          <w:szCs w:val="24"/>
        </w:rPr>
        <w:t>6.1 校准项目</w:t>
      </w:r>
      <w:bookmarkEnd w:id="176"/>
      <w:bookmarkEnd w:id="177"/>
      <w:bookmarkEnd w:id="178"/>
      <w:bookmarkEnd w:id="179"/>
    </w:p>
    <w:p w14:paraId="1D5D80E2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位移示值误差</w:t>
      </w:r>
      <w:r>
        <w:rPr>
          <w:rFonts w:hint="eastAsia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升温速率示值误差</w:t>
      </w:r>
      <w:r>
        <w:rPr>
          <w:rFonts w:hint="eastAsia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温度示值误差</w:t>
      </w:r>
      <w:r>
        <w:rPr>
          <w:rFonts w:hint="eastAsia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温度重复性</w:t>
      </w:r>
      <w:r>
        <w:rPr>
          <w:rFonts w:hint="eastAsia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储能模量示值误</w:t>
      </w:r>
      <w:r>
        <w:rPr>
          <w:rFonts w:hint="eastAsia" w:hAnsi="宋体" w:cs="宋体"/>
          <w:sz w:val="24"/>
          <w:szCs w:val="24"/>
          <w:lang w:val="en-US" w:eastAsia="zh-CN"/>
        </w:rPr>
        <w:t>差和</w:t>
      </w:r>
      <w:r>
        <w:rPr>
          <w:rFonts w:hint="eastAsia" w:ascii="宋体" w:hAnsi="宋体" w:eastAsia="宋体" w:cs="宋体"/>
          <w:sz w:val="24"/>
          <w:szCs w:val="24"/>
        </w:rPr>
        <w:t>储能模量重复性</w:t>
      </w:r>
      <w:r>
        <w:rPr>
          <w:rFonts w:hint="eastAsia" w:hAnsi="宋体" w:cs="宋体"/>
          <w:sz w:val="24"/>
          <w:szCs w:val="24"/>
          <w:lang w:eastAsia="zh-CN"/>
        </w:rPr>
        <w:t>。</w:t>
      </w:r>
    </w:p>
    <w:p w14:paraId="67C844D4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auto"/>
        <w:outlineLvl w:val="1"/>
        <w:rPr>
          <w:rFonts w:ascii="Times New Roman"/>
          <w:sz w:val="24"/>
          <w:szCs w:val="24"/>
        </w:rPr>
      </w:pPr>
      <w:bookmarkStart w:id="180" w:name="_Toc11682"/>
      <w:bookmarkStart w:id="181" w:name="_Toc29525"/>
      <w:bookmarkStart w:id="182" w:name="_Toc28313"/>
      <w:bookmarkStart w:id="183" w:name="_Toc12337"/>
      <w:r>
        <w:rPr>
          <w:rFonts w:hint="eastAsia" w:ascii="Times New Roman"/>
          <w:sz w:val="24"/>
          <w:szCs w:val="24"/>
        </w:rPr>
        <w:t>6</w:t>
      </w:r>
      <w:r>
        <w:rPr>
          <w:rFonts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 xml:space="preserve"> 校准方法</w:t>
      </w:r>
      <w:bookmarkEnd w:id="180"/>
      <w:bookmarkEnd w:id="181"/>
      <w:bookmarkEnd w:id="182"/>
      <w:bookmarkEnd w:id="183"/>
    </w:p>
    <w:p w14:paraId="771A0461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auto"/>
        <w:outlineLvl w:val="2"/>
        <w:rPr>
          <w:rFonts w:hint="default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 xml:space="preserve">6.2.1 </w:t>
      </w:r>
      <w:r>
        <w:rPr>
          <w:rFonts w:ascii="宋体" w:hAnsi="宋体" w:eastAsia="宋体" w:cs="宋体"/>
          <w:sz w:val="24"/>
          <w:szCs w:val="24"/>
        </w:rPr>
        <w:t>外观检查</w:t>
      </w:r>
    </w:p>
    <w:p w14:paraId="1F6A57D0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用目视的方法检查仪器中各夹具无锈蚀且连接牢固。</w:t>
      </w:r>
    </w:p>
    <w:p w14:paraId="758BD0FD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outlineLvl w:val="2"/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6.2.2 位移示值误差</w:t>
      </w:r>
    </w:p>
    <w:p w14:paraId="21D9E49E">
      <w:pPr>
        <w:pStyle w:val="44"/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both"/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  <w:t>使DMA设备保持空载状态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、加热炉保持关闭状态，</w:t>
      </w:r>
      <w:r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  <w:t>选用压缩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夹具进行</w:t>
      </w:r>
      <w:r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  <w:t>测量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，负载力设为0.01N，待设备稳定后将位移示数清零。打开加热炉，将量块置于样品支架的测量位置后关闭炉体，待稳定后记录该量块长度的测量值，按相同步骤重复测量两次，取三次测量值的平均值作为该量块长度的测量值</w:t>
      </w:r>
      <w:r>
        <w:rPr>
          <w:rFonts w:hint="eastAsia" w:ascii="Times New Roman" w:cs="Times New Roman"/>
          <w:i/>
          <w:iCs/>
          <w:sz w:val="24"/>
          <w:szCs w:val="24"/>
          <w:highlight w:val="none"/>
          <w:lang w:val="en-US" w:eastAsia="zh-CN"/>
        </w:rPr>
        <w:t>L</w:t>
      </w:r>
      <w:r>
        <w:rPr>
          <w:rFonts w:hint="eastAsia" w:ascii="Times New Roman" w:cs="Times New Roman"/>
          <w:sz w:val="24"/>
          <w:szCs w:val="24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，按相同的操作步骤测量另一量块，其测量值计为</w:t>
      </w:r>
      <w:r>
        <w:rPr>
          <w:rFonts w:hint="eastAsia" w:ascii="Times New Roman" w:cs="Times New Roman"/>
          <w:i/>
          <w:iCs/>
          <w:sz w:val="24"/>
          <w:szCs w:val="24"/>
          <w:highlight w:val="none"/>
          <w:lang w:val="en-US" w:eastAsia="zh-CN"/>
        </w:rPr>
        <w:t>L</w:t>
      </w:r>
      <w:r>
        <w:rPr>
          <w:rFonts w:hint="eastAsia" w:ascii="Times New Roman" w:cs="Times New Roman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，按公式（1）和公式（2）计算量块长度的测量平均值，按公式（3）计算位移示值误差。</w:t>
      </w:r>
    </w:p>
    <w:p w14:paraId="6AA62ABB">
      <w:pPr>
        <w:pStyle w:val="44"/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line="360" w:lineRule="auto"/>
        <w:ind w:left="0" w:leftChars="0" w:firstLine="0" w:firstLineChars="0"/>
        <w:jc w:val="right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position w:val="-12"/>
          <w:sz w:val="21"/>
          <w:szCs w:val="21"/>
          <w:highlight w:val="none"/>
          <w:lang w:val="en-US" w:eastAsia="zh-CN"/>
        </w:rPr>
        <w:object>
          <v:shape id="_x0000_i1027" o:spt="75" type="#_x0000_t75" style="height:18pt;width:109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27" DrawAspect="Content" ObjectID="_1468075725" r:id="rId20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highlight w:val="none"/>
          <w:lang w:val="en-US" w:eastAsia="zh-CN"/>
        </w:rPr>
        <w:t>（1）</w:t>
      </w:r>
    </w:p>
    <w:p w14:paraId="3D26B2EF">
      <w:pPr>
        <w:pStyle w:val="44"/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line="360" w:lineRule="auto"/>
        <w:ind w:left="0" w:leftChars="0" w:firstLine="0" w:firstLineChars="0"/>
        <w:jc w:val="right"/>
        <w:rPr>
          <w:rFonts w:hint="eastAsia" w:hAnsi="Cambria Math" w:cs="Times New Roman"/>
          <w:i w:val="0"/>
          <w:iCs/>
          <w:sz w:val="24"/>
          <w:szCs w:val="24"/>
          <w:highlight w:val="none"/>
          <w:lang w:val="en-US" w:eastAsia="zh-CN" w:bidi="ar-SA"/>
        </w:rPr>
      </w:pPr>
      <w:r>
        <w:rPr>
          <w:rFonts w:hint="eastAsia" w:hAnsi="Cambria Math" w:cs="Times New Roman"/>
          <w:i w:val="0"/>
          <w:iCs/>
          <w:position w:val="-12"/>
          <w:sz w:val="24"/>
          <w:szCs w:val="24"/>
          <w:highlight w:val="none"/>
          <w:lang w:val="en-US" w:eastAsia="zh-CN" w:bidi="ar-SA"/>
        </w:rPr>
        <w:object>
          <v:shape id="_x0000_i1028" o:spt="75" type="#_x0000_t75" style="height:18pt;width:113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28" DrawAspect="Content" ObjectID="_1468075726" r:id="rId22">
            <o:LockedField>false</o:LockedField>
          </o:OLEObject>
        </w:object>
      </w:r>
      <w:r>
        <w:rPr>
          <w:rFonts w:hint="eastAsia" w:hAnsi="Cambria Math" w:cs="Times New Roman"/>
          <w:i w:val="0"/>
          <w:iCs/>
          <w:sz w:val="24"/>
          <w:szCs w:val="24"/>
          <w:highlight w:val="none"/>
          <w:lang w:val="en-US" w:eastAsia="zh-CN" w:bidi="ar-SA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Times New Roman" w:eastAsia="仿宋_GB2312" w:cs="Times New Roman"/>
          <w:bCs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highlight w:val="none"/>
          <w:lang w:val="en-US" w:eastAsia="zh-CN"/>
        </w:rPr>
        <w:t>）</w:t>
      </w:r>
    </w:p>
    <w:p w14:paraId="5995BF4F">
      <w:pPr>
        <w:pStyle w:val="44"/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line="360" w:lineRule="auto"/>
        <w:ind w:left="0" w:leftChars="0" w:firstLine="0" w:firstLineChars="0"/>
        <w:jc w:val="right"/>
        <w:rPr>
          <w:rFonts w:hint="eastAsia" w:hAnsi="Cambria Math" w:cs="Times New Roman"/>
          <w:i w:val="0"/>
          <w:iCs/>
          <w:sz w:val="24"/>
          <w:szCs w:val="24"/>
          <w:highlight w:val="none"/>
          <w:lang w:val="en-US" w:eastAsia="zh-CN" w:bidi="ar-SA"/>
        </w:rPr>
      </w:pPr>
      <w:r>
        <w:rPr>
          <w:rFonts w:hint="eastAsia" w:hAnsi="Cambria Math" w:cs="Times New Roman"/>
          <w:i w:val="0"/>
          <w:iCs/>
          <w:position w:val="-14"/>
          <w:sz w:val="24"/>
          <w:szCs w:val="24"/>
          <w:highlight w:val="none"/>
          <w:lang w:val="en-US" w:eastAsia="zh-CN" w:bidi="ar-SA"/>
        </w:rPr>
        <w:object>
          <v:shape id="_x0000_i1029" o:spt="75" type="#_x0000_t75" style="height:20pt;width:120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29" DrawAspect="Content" ObjectID="_1468075727" r:id="rId24">
            <o:LockedField>false</o:LockedField>
          </o:OLEObject>
        </w:object>
      </w:r>
      <w:r>
        <w:rPr>
          <w:rFonts w:hint="eastAsia" w:hAnsi="Cambria Math" w:cs="Times New Roman"/>
          <w:i w:val="0"/>
          <w:iCs/>
          <w:sz w:val="24"/>
          <w:szCs w:val="24"/>
          <w:highlight w:val="none"/>
          <w:lang w:val="en-US" w:eastAsia="zh-CN" w:bidi="ar-SA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Times New Roman" w:eastAsia="仿宋_GB2312" w:cs="Times New Roman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highlight w:val="none"/>
          <w:lang w:val="en-US" w:eastAsia="zh-CN"/>
        </w:rPr>
        <w:t>）</w:t>
      </w:r>
    </w:p>
    <w:p w14:paraId="29D8775B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式中：</w:t>
      </w:r>
    </w:p>
    <w:p w14:paraId="46336FF6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11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量块1的第一次测量值，mm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151517EE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12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量块1的第二次测量值，mm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47DAE9ED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13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量块1的第三次测量值，mm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1F25ED4C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21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量块2的第一次测量值，mm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0B126BC8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22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量块2的第二次测量值，mm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0BD6F94F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23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量块2的第三次测量值，mm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003C08E1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量块1的测量平均值，mm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7D853F4B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量块2的测量平均值，mm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30FCCBCE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10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量块1的标称值，mm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2D6E9813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20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量块2的标称值，mm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75A610BA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Δ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L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 xml:space="preserve">位移示值误差，mm。                          </w:t>
      </w:r>
    </w:p>
    <w:p w14:paraId="73AC2BF4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outlineLvl w:val="2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84" w:name="_Toc1667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.2.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bookmarkEnd w:id="184"/>
      <w:r>
        <w:rPr>
          <w:rFonts w:hint="eastAsia" w:ascii="Times New Roman" w:cs="Times New Roman"/>
          <w:sz w:val="24"/>
          <w:szCs w:val="24"/>
          <w:lang w:val="en-US" w:eastAsia="zh-CN"/>
        </w:rPr>
        <w:t>升温速率示值误差</w:t>
      </w:r>
    </w:p>
    <w:p w14:paraId="7F3B07FC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Theme="minorEastAsia"/>
          <w:sz w:val="24"/>
          <w:highlight w:val="none"/>
          <w:lang w:val="en-US" w:eastAsia="zh-CN"/>
        </w:rPr>
      </w:pPr>
      <w:bookmarkStart w:id="185" w:name="_Toc126"/>
      <w:r>
        <w:rPr>
          <w:rFonts w:hint="eastAsia" w:ascii="Times New Roman" w:eastAsiaTheme="minorEastAsia"/>
          <w:sz w:val="24"/>
          <w:highlight w:val="none"/>
          <w:lang w:val="en-US" w:eastAsia="zh-CN"/>
        </w:rPr>
        <w:t>支架上放置一个高熔点热分析标物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eastAsiaTheme="minorEastAsia"/>
          <w:sz w:val="24"/>
          <w:highlight w:val="none"/>
          <w:lang w:val="en-US" w:eastAsia="zh-CN"/>
        </w:rPr>
        <w:t>关闭加热炉，以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3℃/min</w:t>
      </w:r>
      <w:r>
        <w:rPr>
          <w:rFonts w:hint="eastAsia" w:ascii="Times New Roman" w:eastAsiaTheme="minorEastAsia"/>
          <w:sz w:val="24"/>
          <w:highlight w:val="none"/>
          <w:lang w:val="en-US" w:eastAsia="zh-CN"/>
        </w:rPr>
        <w:t>的升温速率进行加热，待升温稳定后用秒表开始计时，此时样品温度为</w:t>
      </w:r>
      <w:r>
        <w:rPr>
          <w:rFonts w:hint="eastAsia" w:ascii="Times New Roman" w:eastAsiaTheme="minorEastAsia"/>
          <w:i/>
          <w:iCs/>
          <w:sz w:val="24"/>
          <w:highlight w:val="none"/>
          <w:lang w:val="en-US" w:eastAsia="zh-CN"/>
        </w:rPr>
        <w:t>T</w:t>
      </w:r>
      <w:r>
        <w:rPr>
          <w:rFonts w:hint="eastAsia" w:ascii="Times New Roman" w:eastAsiaTheme="minorEastAsia"/>
          <w:sz w:val="24"/>
          <w:highlight w:val="none"/>
          <w:vertAlign w:val="subscript"/>
          <w:lang w:val="en-US" w:eastAsia="zh-CN"/>
        </w:rPr>
        <w:t>0</w:t>
      </w:r>
      <w:r>
        <w:rPr>
          <w:rFonts w:hint="eastAsia" w:ascii="Times New Roman" w:eastAsiaTheme="minorEastAsia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eastAsia" w:ascii="Times New Roman" w:eastAsiaTheme="minorEastAsia"/>
          <w:sz w:val="24"/>
          <w:highlight w:val="none"/>
          <w:lang w:val="en-US" w:eastAsia="zh-CN"/>
        </w:rPr>
        <w:t>分钟后记录样品温度</w:t>
      </w:r>
      <w:r>
        <w:rPr>
          <w:rFonts w:hint="eastAsia" w:ascii="Times New Roman" w:eastAsiaTheme="minorEastAsia"/>
          <w:i/>
          <w:iCs/>
          <w:sz w:val="24"/>
          <w:highlight w:val="none"/>
          <w:lang w:val="en-US" w:eastAsia="zh-CN"/>
        </w:rPr>
        <w:t>T</w:t>
      </w:r>
      <w:r>
        <w:rPr>
          <w:rFonts w:hint="eastAsia" w:ascii="Times New Roman" w:eastAsiaTheme="minorEastAsia"/>
          <w:sz w:val="24"/>
          <w:highlight w:val="none"/>
          <w:vertAlign w:val="subscript"/>
          <w:lang w:val="en-US" w:eastAsia="zh-CN"/>
        </w:rPr>
        <w:t>10</w:t>
      </w:r>
      <w:r>
        <w:rPr>
          <w:rFonts w:hint="eastAsia" w:ascii="Times New Roman" w:eastAsiaTheme="minorEastAsia"/>
          <w:sz w:val="24"/>
          <w:highlight w:val="none"/>
          <w:lang w:val="en-US" w:eastAsia="zh-CN"/>
        </w:rPr>
        <w:t>，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按公式（4）</w:t>
      </w:r>
      <w:r>
        <w:rPr>
          <w:rFonts w:hint="eastAsia" w:ascii="Times New Roman" w:eastAsiaTheme="minorEastAsia"/>
          <w:sz w:val="24"/>
          <w:highlight w:val="none"/>
          <w:lang w:val="en-US" w:eastAsia="zh-CN"/>
        </w:rPr>
        <w:t xml:space="preserve">计算升温速率示值误差。 </w:t>
      </w:r>
    </w:p>
    <w:bookmarkEnd w:id="185"/>
    <w:p w14:paraId="47F7550A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right"/>
        <w:textAlignment w:val="auto"/>
        <w:outlineLvl w:val="9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                 </w:t>
      </w:r>
      <w:r>
        <w:rPr>
          <w:rFonts w:hint="eastAsia" w:ascii="Times New Roman" w:hAnsi="Times New Roman" w:eastAsia="宋体" w:cs="Times New Roman"/>
          <w:position w:val="-28"/>
          <w:sz w:val="24"/>
          <w:szCs w:val="24"/>
          <w:highlight w:val="none"/>
          <w:lang w:val="en-US" w:eastAsia="zh-CN"/>
        </w:rPr>
        <w:object>
          <v:shape id="_x0000_i1030" o:spt="75" type="#_x0000_t75" style="height:34pt;width:127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0" DrawAspect="Content" ObjectID="_1468075728" r:id="rId26">
            <o:LockedField>false</o:LockedField>
          </o:OLEObject>
        </w:objec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Times New Roman" w:eastAsia="仿宋_GB2312" w:cs="Times New Roman"/>
          <w:bCs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                    </w:t>
      </w: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   </w:t>
      </w:r>
    </w:p>
    <w:p w14:paraId="7668E0DB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outlineLvl w:val="9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式中：</w:t>
      </w:r>
    </w:p>
    <w:p w14:paraId="69138678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T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0</w:t>
      </w:r>
      <w:r>
        <w:t>——</w:t>
      </w:r>
      <w:r>
        <w:rPr>
          <w:rFonts w:ascii="宋体" w:hAnsi="宋体" w:eastAsia="宋体" w:cs="宋体"/>
          <w:sz w:val="24"/>
          <w:szCs w:val="24"/>
        </w:rPr>
        <w:t>计时开始时样品温度，</w:t>
      </w:r>
      <w:r>
        <w:rPr>
          <w:rFonts w:hint="default" w:ascii="Times New Roman" w:hAnsi="Times New Roman" w:eastAsia="宋体" w:cs="Times New Roman"/>
          <w:sz w:val="24"/>
          <w:szCs w:val="24"/>
        </w:rPr>
        <w:t>℃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5754C7DE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T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10</w:t>
      </w:r>
      <w:r>
        <w:rPr>
          <w:rFonts w:hint="eastAsia" w:ascii="Times New Roman" w:cs="Times New Roman"/>
          <w:i/>
          <w:iCs/>
          <w:highlight w:val="none"/>
          <w:vertAlign w:val="subscript"/>
          <w:lang w:val="en-US" w:eastAsia="zh-CN"/>
        </w:rPr>
        <w:t xml:space="preserve"> </w:t>
      </w:r>
      <w:r>
        <w:t>——</w:t>
      </w:r>
      <w:r>
        <w:rPr>
          <w:rFonts w:ascii="宋体" w:hAnsi="宋体" w:eastAsia="宋体" w:cs="宋体"/>
          <w:sz w:val="24"/>
          <w:szCs w:val="24"/>
        </w:rPr>
        <w:t>开始计时后</w:t>
      </w:r>
      <w:r>
        <w:rPr>
          <w:rFonts w:hint="default" w:ascii="Times New Roman" w:hAnsi="Times New Roman" w:eastAsia="宋体" w:cs="Times New Roman"/>
          <w:sz w:val="24"/>
          <w:szCs w:val="24"/>
        </w:rPr>
        <w:t>10min</w:t>
      </w:r>
      <w:r>
        <w:rPr>
          <w:rFonts w:ascii="宋体" w:hAnsi="宋体" w:eastAsia="宋体" w:cs="宋体"/>
          <w:sz w:val="24"/>
          <w:szCs w:val="24"/>
        </w:rPr>
        <w:t>时样品温度，</w:t>
      </w:r>
      <w:r>
        <w:rPr>
          <w:rFonts w:hint="default" w:ascii="Times New Roman" w:hAnsi="Times New Roman" w:eastAsia="宋体" w:cs="Times New Roman"/>
          <w:sz w:val="24"/>
          <w:szCs w:val="24"/>
        </w:rPr>
        <w:t>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;</w:t>
      </w:r>
    </w:p>
    <w:p w14:paraId="2E502365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t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T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温度时秒表示数，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10min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5FA67580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——升温速率，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3℃/min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0A34AECF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Δ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υ</w:t>
      </w:r>
      <w:r>
        <w:t>——</w:t>
      </w:r>
      <w:r>
        <w:rPr>
          <w:rFonts w:ascii="宋体" w:hAnsi="宋体" w:eastAsia="宋体" w:cs="宋体"/>
          <w:sz w:val="24"/>
          <w:szCs w:val="24"/>
        </w:rPr>
        <w:t>升温速率</w:t>
      </w:r>
      <w:r>
        <w:rPr>
          <w:rFonts w:hint="eastAsia" w:ascii="Times New Roman" w:hAnsi="Times New Roman" w:eastAsiaTheme="minorEastAsia"/>
          <w:kern w:val="2"/>
          <w:sz w:val="24"/>
          <w:highlight w:val="none"/>
        </w:rPr>
        <w:t>示值误差</w:t>
      </w:r>
      <w:r>
        <w:rPr>
          <w:rFonts w:hint="eastAsia" w:ascii="Times New Roman" w:eastAsiaTheme="minorEastAsia"/>
          <w:kern w:val="2"/>
          <w:sz w:val="24"/>
          <w:highlight w:val="none"/>
          <w:lang w:eastAsia="zh-CN"/>
        </w:rPr>
        <w:t>，</w:t>
      </w:r>
      <w:r>
        <w:rPr>
          <w:rFonts w:hint="eastAsia" w:ascii="Times New Roman" w:eastAsiaTheme="minorEastAsia"/>
          <w:kern w:val="2"/>
          <w:sz w:val="24"/>
          <w:highlight w:val="none"/>
          <w:lang w:val="en-US" w:eastAsia="zh-CN"/>
        </w:rPr>
        <w:t>%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6D0B548C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注：如需校准其他程序升温速率可参照上述方法。</w:t>
      </w:r>
    </w:p>
    <w:p w14:paraId="4A406A2A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outlineLvl w:val="2"/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6.2.4 温度示值误差及重复性</w:t>
      </w:r>
    </w:p>
    <w:p w14:paraId="568B9790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auto"/>
        <w:rPr>
          <w:rFonts w:hint="eastAsia" w:ascii="E-BZ" w:hAnsi="E-BZ" w:cs="宋体"/>
          <w:color w:val="000000"/>
          <w:kern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6.2.4.1 穿刺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或压缩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夹具校准温度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示值误差及重复性</w:t>
      </w:r>
    </w:p>
    <w:p w14:paraId="51A64E87">
      <w:pPr>
        <w:spacing w:line="360" w:lineRule="auto"/>
        <w:ind w:firstLine="480" w:firstLineChars="200"/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具有穿刺</w:t>
      </w:r>
      <w:r>
        <w:rPr>
          <w:rFonts w:hint="eastAsia" w:cs="Times New Roman"/>
          <w:i w:val="0"/>
          <w:iCs w:val="0"/>
          <w:sz w:val="24"/>
          <w:szCs w:val="24"/>
          <w:highlight w:val="none"/>
          <w:lang w:val="en-US" w:eastAsia="zh-CN"/>
        </w:rPr>
        <w:t>或压缩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夹具的使用热分析标准物质进行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校准</w:t>
      </w:r>
      <w:r>
        <w:rPr>
          <w:rFonts w:hint="eastAsia" w:cs="Times New Roman"/>
          <w:sz w:val="24"/>
          <w:szCs w:val="24"/>
          <w:lang w:val="en-US" w:eastAsia="zh-CN"/>
        </w:rPr>
        <w:t>。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选择</w:t>
      </w:r>
      <w:r>
        <w:rPr>
          <w:rFonts w:hint="eastAsia" w:cs="Times New Roman"/>
          <w:i w:val="0"/>
          <w:iCs w:val="0"/>
          <w:sz w:val="24"/>
          <w:szCs w:val="24"/>
          <w:highlight w:val="none"/>
          <w:lang w:val="en-US" w:eastAsia="zh-CN"/>
        </w:rPr>
        <w:t>穿刺或压缩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夹具</w:t>
      </w:r>
      <w:r>
        <w:rPr>
          <w:rFonts w:hint="eastAsia" w:cs="Times New Roman"/>
          <w:i w:val="0"/>
          <w:iCs w:val="0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完成夹具校正</w:t>
      </w:r>
      <w:r>
        <w:rPr>
          <w:rFonts w:hint="eastAsia" w:cs="Times New Roman"/>
          <w:i w:val="0"/>
          <w:iCs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根据DMA实际使用的温度范围，从附录A选取两种热分析标准物质</w:t>
      </w:r>
      <w:r>
        <w:rPr>
          <w:rFonts w:hint="eastAsia" w:cs="Times New Roman"/>
          <w:i w:val="0"/>
          <w:iCs w:val="0"/>
          <w:sz w:val="24"/>
          <w:szCs w:val="24"/>
          <w:highlight w:val="none"/>
          <w:lang w:val="en-US" w:eastAsia="zh-CN"/>
        </w:rPr>
        <w:t>，每种标准物质至少取2mg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。将其中一个热分析标准物质放置在支架测量位置</w:t>
      </w:r>
      <w:r>
        <w:rPr>
          <w:rFonts w:hint="eastAsia" w:cs="Times New Roman"/>
          <w:i w:val="0"/>
          <w:iCs w:val="0"/>
          <w:sz w:val="24"/>
          <w:szCs w:val="24"/>
          <w:highlight w:val="none"/>
          <w:lang w:val="en-US" w:eastAsia="zh-CN"/>
        </w:rPr>
        <w:t>（若待测温度高于350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℃</w:t>
      </w:r>
      <w:r>
        <w:rPr>
          <w:rFonts w:hint="eastAsia" w:cs="Times New Roman"/>
          <w:i w:val="0"/>
          <w:iCs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通入</w:t>
      </w:r>
      <w:r>
        <w:rPr>
          <w:rFonts w:hint="eastAsia" w:cs="Times New Roman"/>
          <w:i w:val="0"/>
          <w:iCs w:val="0"/>
          <w:sz w:val="24"/>
          <w:szCs w:val="24"/>
          <w:highlight w:val="none"/>
          <w:lang w:val="en-US" w:eastAsia="zh-CN"/>
        </w:rPr>
        <w:t>保护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气氛，并调节</w:t>
      </w:r>
      <w:r>
        <w:rPr>
          <w:rFonts w:hint="eastAsia" w:cs="Times New Roman"/>
          <w:i w:val="0"/>
          <w:iCs w:val="0"/>
          <w:sz w:val="24"/>
          <w:szCs w:val="24"/>
          <w:highlight w:val="none"/>
          <w:lang w:val="en-US" w:eastAsia="zh-CN"/>
        </w:rPr>
        <w:t>保护气氛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流量至仪器说明书推荐的流量值</w:t>
      </w:r>
      <w:r>
        <w:rPr>
          <w:rFonts w:hint="eastAsia" w:cs="Times New Roman"/>
          <w:i w:val="0"/>
          <w:iCs w:val="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，升温速率设定为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3℃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/min，初始力0.01N，参照附录A设定温度程序。实验结束后，获得温度—位移变化曲线（如图2所示），计算标准物质的熔化温度。</w:t>
      </w:r>
    </w:p>
    <w:p w14:paraId="3B3FA5FB">
      <w:pPr>
        <w:spacing w:line="360" w:lineRule="auto"/>
        <w:ind w:firstLine="480" w:firstLineChars="200"/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依据上述测量方法，更换样品，重复测量1次，共计测量2次。按公式（5）计算温度平均值，按公式（6）计算温度重复性，按公式（7）计算温度示值误差。</w:t>
      </w:r>
    </w:p>
    <w:p w14:paraId="25AA5105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right"/>
        <w:textAlignment w:val="auto"/>
        <w:rPr>
          <w:rFonts w:hint="default" w:ascii="Times New Roman" w:cs="Times New Roman"/>
          <w:i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cs="Times New Roman"/>
          <w:i w:val="0"/>
          <w:position w:val="-14"/>
          <w:sz w:val="24"/>
          <w:szCs w:val="24"/>
          <w:highlight w:val="none"/>
          <w:lang w:val="en-US" w:eastAsia="zh-CN" w:bidi="ar-SA"/>
        </w:rPr>
        <w:object>
          <v:shape id="_x0000_i1031" o:spt="75" type="#_x0000_t75" style="height:21pt;width:93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31" DrawAspect="Content" ObjectID="_1468075729" r:id="rId28">
            <o:LockedField>false</o:LockedField>
          </o:OLEObject>
        </w:object>
      </w:r>
      <w:r>
        <w:rPr>
          <w:rFonts w:hint="eastAsia" w:ascii="Times New Roman" w:cs="Times New Roman"/>
          <w:i w:val="0"/>
          <w:sz w:val="24"/>
          <w:szCs w:val="24"/>
          <w:highlight w:val="none"/>
          <w:lang w:val="en-US" w:eastAsia="zh-CN" w:bidi="ar-SA"/>
        </w:rPr>
        <w:t xml:space="preserve">                            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(</w:t>
      </w:r>
      <w:r>
        <w:rPr>
          <w:rFonts w:hint="eastAsia" w:asci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)</w:t>
      </w:r>
      <w:r>
        <w:rPr>
          <w:rFonts w:hint="eastAsia" w:ascii="Times New Roman" w:cs="Times New Roman"/>
          <w:i w:val="0"/>
          <w:sz w:val="24"/>
          <w:szCs w:val="24"/>
          <w:highlight w:val="none"/>
          <w:lang w:val="en-US" w:eastAsia="zh-CN" w:bidi="ar-SA"/>
        </w:rPr>
        <w:t xml:space="preserve">         </w:t>
      </w:r>
    </w:p>
    <w:p w14:paraId="69383ED3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right"/>
        <w:textAlignment w:val="auto"/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cs="Times New Roman"/>
          <w:i w:val="0"/>
          <w:sz w:val="24"/>
          <w:szCs w:val="24"/>
          <w:highlight w:val="none"/>
          <w:lang w:val="en-US" w:eastAsia="zh-CN" w:bidi="ar-SA"/>
        </w:rPr>
        <w:t xml:space="preserve">     </w:t>
      </w:r>
      <w:r>
        <w:rPr>
          <w:rFonts w:hint="eastAsia" w:ascii="Times New Roman" w:cs="Times New Roman"/>
          <w:i w:val="0"/>
          <w:position w:val="-16"/>
          <w:sz w:val="24"/>
          <w:szCs w:val="24"/>
          <w:highlight w:val="none"/>
          <w:lang w:val="en-US" w:eastAsia="zh-CN" w:bidi="ar-SA"/>
        </w:rPr>
        <w:object>
          <v:shape id="_x0000_i1032" o:spt="75" type="#_x0000_t75" style="height:22pt;width:80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32" DrawAspect="Content" ObjectID="_1468075730" r:id="rId30">
            <o:LockedField>false</o:LockedField>
          </o:OLEObject>
        </w:object>
      </w:r>
      <w:r>
        <w:rPr>
          <w:rFonts w:hint="eastAsia" w:ascii="Times New Roman" w:cs="Times New Roman"/>
          <w:i w:val="0"/>
          <w:sz w:val="24"/>
          <w:szCs w:val="24"/>
          <w:highlight w:val="none"/>
          <w:lang w:val="en-US" w:eastAsia="zh-CN" w:bidi="ar-SA"/>
        </w:rPr>
        <w:t xml:space="preserve">     </w:t>
      </w:r>
      <w:r>
        <w:rPr>
          <w:rFonts w:hint="eastAsia" w:hAnsi="Cambria Math" w:cs="Times New Roman"/>
          <w:i w:val="0"/>
          <w:iCs/>
          <w:sz w:val="24"/>
          <w:szCs w:val="24"/>
          <w:highlight w:val="none"/>
          <w:lang w:val="en-US" w:eastAsia="zh-CN" w:bidi="ar-SA"/>
        </w:rPr>
        <w:t xml:space="preserve">                         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(</w:t>
      </w:r>
      <w:r>
        <w:rPr>
          <w:rFonts w:hint="eastAsia" w:asci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)</w:t>
      </w:r>
    </w:p>
    <w:p w14:paraId="2FCF0C90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right"/>
        <w:textAlignment w:val="auto"/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i w:val="0"/>
          <w:iCs/>
          <w:position w:val="-18"/>
          <w:sz w:val="24"/>
          <w:szCs w:val="24"/>
          <w:highlight w:val="none"/>
          <w:lang w:val="en-US" w:eastAsia="zh-CN" w:bidi="ar-SA"/>
        </w:rPr>
        <w:object>
          <v:shape id="_x0000_i1033" o:spt="75" type="#_x0000_t75" style="height:24pt;width:80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3" DrawAspect="Content" ObjectID="_1468075731" r:id="rId32">
            <o:LockedField>false</o:LockedField>
          </o:OLEObject>
        </w:object>
      </w:r>
      <w:r>
        <w:rPr>
          <w:rFonts w:hint="eastAsia" w:asci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 xml:space="preserve">                              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(</w:t>
      </w:r>
      <w:r>
        <w:rPr>
          <w:rFonts w:hint="eastAsia" w:asci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)</w:t>
      </w:r>
    </w:p>
    <w:p w14:paraId="7EEA8305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式中：</w:t>
      </w:r>
    </w:p>
    <w:p w14:paraId="1B0F866B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>
        <w:rPr>
          <w:rFonts w:hint="eastAsia" w:ascii="Times New Roman" w:cs="Times New Roman"/>
          <w:sz w:val="24"/>
          <w:szCs w:val="24"/>
          <w:vertAlign w:val="subscript"/>
          <w:lang w:val="en-US" w:eastAsia="zh-CN"/>
        </w:rPr>
        <w:t>m,1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熔点的第一次测量值，</w:t>
      </w:r>
      <w:r>
        <w:rPr>
          <w:rFonts w:hint="default" w:ascii="Times New Roman" w:hAnsi="Times New Roman" w:eastAsia="宋体" w:cs="Times New Roman"/>
          <w:i w:val="0"/>
          <w:iCs w:val="0"/>
          <w:kern w:val="2"/>
          <w:sz w:val="24"/>
          <w:szCs w:val="24"/>
          <w:highlight w:val="none"/>
          <w:lang w:val="en-US" w:eastAsia="zh-CN" w:bidi="ar-SA"/>
        </w:rPr>
        <w:t>℃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5B80DAA8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>
        <w:rPr>
          <w:rFonts w:hint="eastAsia" w:ascii="Times New Roman" w:cs="Times New Roman"/>
          <w:sz w:val="24"/>
          <w:szCs w:val="24"/>
          <w:vertAlign w:val="subscript"/>
          <w:lang w:val="en-US" w:eastAsia="zh-CN"/>
        </w:rPr>
        <w:t>m,2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熔点的第二次测量值，</w:t>
      </w:r>
      <w:r>
        <w:rPr>
          <w:rFonts w:hint="default" w:ascii="Times New Roman" w:hAnsi="Times New Roman" w:eastAsia="宋体" w:cs="Times New Roman"/>
          <w:i w:val="0"/>
          <w:iCs w:val="0"/>
          <w:kern w:val="2"/>
          <w:sz w:val="24"/>
          <w:szCs w:val="24"/>
          <w:highlight w:val="none"/>
          <w:lang w:val="en-US" w:eastAsia="zh-CN" w:bidi="ar-SA"/>
        </w:rPr>
        <w:t>℃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3CF4C57C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position w:val="-12"/>
        </w:rPr>
        <w:object>
          <v:shape id="_x0000_i1034" o:spt="75" type="#_x0000_t75" style="height:20pt;width:16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34" DrawAspect="Content" ObjectID="_1468075732" r:id="rId34">
            <o:LockedField>false</o:LockedField>
          </o:OLEObject>
        </w:objec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熔点的测量平均值，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℃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23373DDE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m,s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熔点的标称值，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℃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0D940413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highlight w:val="none"/>
          <w:lang w:val="en-US" w:eastAsia="zh-CN"/>
        </w:rPr>
        <w:t>S</w:t>
      </w:r>
      <w:r>
        <w:rPr>
          <w:rFonts w:hint="eastAsia" w:ascii="Times New Roman" w:cs="Times New Roman"/>
          <w:sz w:val="24"/>
          <w:szCs w:val="24"/>
          <w:highlight w:val="none"/>
          <w:vertAlign w:val="subscript"/>
          <w:lang w:val="en-US" w:eastAsia="zh-CN"/>
        </w:rPr>
        <w:t>Tm</w:t>
      </w:r>
      <w:r>
        <w:t>——</w:t>
      </w:r>
      <w:r>
        <w:rPr>
          <w:rFonts w:ascii="宋体" w:hAnsi="宋体" w:eastAsia="宋体" w:cs="宋体"/>
          <w:sz w:val="24"/>
          <w:szCs w:val="24"/>
        </w:rPr>
        <w:t>熔点的测量重复性，</w:t>
      </w:r>
      <w:r>
        <w:rPr>
          <w:rFonts w:hint="default" w:ascii="Times New Roman" w:hAnsi="Times New Roman" w:eastAsia="宋体" w:cs="Times New Roman"/>
          <w:sz w:val="24"/>
          <w:szCs w:val="24"/>
        </w:rPr>
        <w:t>℃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16191E24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eastAsiaTheme="minorEastAsia"/>
          <w:kern w:val="2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Δ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T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m</w:t>
      </w:r>
      <w:r>
        <w:t>——</w:t>
      </w:r>
      <w:r>
        <w:rPr>
          <w:rFonts w:ascii="宋体" w:hAnsi="宋体" w:eastAsia="宋体" w:cs="宋体"/>
          <w:sz w:val="24"/>
          <w:szCs w:val="24"/>
        </w:rPr>
        <w:t>熔点的</w:t>
      </w:r>
      <w:r>
        <w:rPr>
          <w:rFonts w:hint="eastAsia" w:ascii="Times New Roman" w:hAnsi="Times New Roman" w:eastAsiaTheme="minorEastAsia"/>
          <w:kern w:val="2"/>
          <w:sz w:val="24"/>
          <w:highlight w:val="none"/>
        </w:rPr>
        <w:t>示值误差</w:t>
      </w:r>
      <w:r>
        <w:rPr>
          <w:rFonts w:hint="eastAsia" w:ascii="Times New Roman" w:eastAsiaTheme="minorEastAsia"/>
          <w:kern w:val="2"/>
          <w:sz w:val="24"/>
          <w:highlight w:val="none"/>
          <w:lang w:eastAsia="zh-CN"/>
        </w:rPr>
        <w:t>，</w:t>
      </w:r>
      <w:r>
        <w:rPr>
          <w:rFonts w:hint="eastAsia" w:ascii="Times New Roman" w:eastAsiaTheme="minorEastAsia"/>
          <w:kern w:val="2"/>
          <w:sz w:val="24"/>
          <w:highlight w:val="none"/>
          <w:lang w:val="en-US" w:eastAsia="zh-CN"/>
        </w:rPr>
        <w:t>%。</w:t>
      </w:r>
    </w:p>
    <w:p w14:paraId="4A6E3CAF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i w:val="0"/>
          <w:iCs w:val="0"/>
          <w:kern w:val="2"/>
          <w:sz w:val="24"/>
          <w:szCs w:val="24"/>
          <w:highlight w:val="none"/>
          <w:lang w:val="en-US" w:eastAsia="zh-CN" w:bidi="ar-SA"/>
        </w:rPr>
        <w:t>选取另一种热分析标准物质，参考上述测量方法和附录A的温度程序，重复测量2次。计算温度平均值，温度重复性，温度示值误差。</w:t>
      </w:r>
    </w:p>
    <w:p w14:paraId="4D5BD340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i w:val="0"/>
          <w:i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i w:val="0"/>
          <w:iCs w:val="0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3012440" cy="2087880"/>
            <wp:effectExtent l="0" t="0" r="16510" b="7620"/>
            <wp:docPr id="5" name="图片 5" descr="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n"/>
                    <pic:cNvPicPr>
                      <a:picLocks noChangeAspect="1"/>
                    </pic:cNvPicPr>
                  </pic:nvPicPr>
                  <pic:blipFill>
                    <a:blip r:embed="rId36"/>
                    <a:srcRect t="7582"/>
                    <a:stretch>
                      <a:fillRect/>
                    </a:stretch>
                  </pic:blipFill>
                  <pic:spPr>
                    <a:xfrm>
                      <a:off x="0" y="0"/>
                      <a:ext cx="301244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4D906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i w:val="0"/>
          <w:i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i w:val="0"/>
          <w:iCs w:val="0"/>
          <w:kern w:val="2"/>
          <w:sz w:val="21"/>
          <w:szCs w:val="21"/>
          <w:highlight w:val="none"/>
          <w:lang w:val="en-US" w:eastAsia="zh-CN" w:bidi="ar-SA"/>
        </w:rPr>
        <w:t>图2 温度—位移变化曲线</w:t>
      </w:r>
    </w:p>
    <w:p w14:paraId="69BE6DD9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outlineLvl w:val="2"/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6.2.4.2 单悬臂夹具校准温度示值误差及重复性</w:t>
      </w:r>
    </w:p>
    <w:p w14:paraId="6B7B758B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sz w:val="24"/>
          <w:szCs w:val="24"/>
          <w:lang w:val="en-US" w:eastAsia="zh-CN"/>
        </w:rPr>
        <w:t>不具有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穿刺或压缩夹具的使用玻璃化转变温度标准物质进行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校准。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选择单悬臂夹具</w:t>
      </w:r>
      <w:r>
        <w:rPr>
          <w:rFonts w:hint="eastAsia" w:cs="Times New Roman"/>
          <w:i w:val="0"/>
          <w:iCs w:val="0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完成夹具校正，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将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其中一个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玻璃化转变温度标准物质放置在支架测量位置，在起始温度30℃下恒温5min，升温速率设定为3℃/min，初始力设为0.01N，振幅设为25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µ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m，频率设为1Hz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参照附录A设定温度程序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。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实验结束后，获得温度—储能模量变化曲线（如图3所示）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计算标准物质的玻璃化转变温度。</w:t>
      </w:r>
    </w:p>
    <w:p w14:paraId="54536E64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依据上述测量方法，更换样品，重复测量1次，共计测量2次。按公式（8）计算温度平均值，按公式（9）计算温度重复性，按公式（10）计算温度示值误差。</w:t>
      </w:r>
    </w:p>
    <w:p w14:paraId="7E67936A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right"/>
        <w:textAlignment w:val="auto"/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cs="Times New Roman"/>
          <w:i w:val="0"/>
          <w:iCs w:val="0"/>
          <w:position w:val="-14"/>
          <w:sz w:val="24"/>
          <w:szCs w:val="24"/>
          <w:highlight w:val="none"/>
          <w:lang w:val="en-US" w:eastAsia="zh-CN"/>
        </w:rPr>
        <w:object>
          <v:shape id="_x0000_i1035" o:spt="75" type="#_x0000_t75" style="height:21pt;width:90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035" DrawAspect="Content" ObjectID="_1468075733" r:id="rId37">
            <o:LockedField>false</o:LockedField>
          </o:OLEObject>
        </w:objec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（8）</w:t>
      </w:r>
    </w:p>
    <w:p w14:paraId="52AF5E39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right"/>
        <w:textAlignment w:val="auto"/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cs="Times New Roman"/>
          <w:i w:val="0"/>
          <w:iCs w:val="0"/>
          <w:position w:val="-16"/>
          <w:sz w:val="24"/>
          <w:szCs w:val="24"/>
          <w:highlight w:val="none"/>
          <w:lang w:val="en-US" w:eastAsia="zh-CN"/>
        </w:rPr>
        <w:object>
          <v:shape id="_x0000_i1036" o:spt="75" type="#_x0000_t75" style="height:22pt;width:78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36" DrawAspect="Content" ObjectID="_1468075734" r:id="rId39">
            <o:LockedField>false</o:LockedField>
          </o:OLEObject>
        </w:objec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）</w:t>
      </w:r>
    </w:p>
    <w:p w14:paraId="124997D2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right"/>
        <w:textAlignment w:val="auto"/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cs="Times New Roman"/>
          <w:i w:val="0"/>
          <w:iCs w:val="0"/>
          <w:position w:val="-18"/>
          <w:sz w:val="24"/>
          <w:szCs w:val="24"/>
          <w:highlight w:val="none"/>
          <w:lang w:val="en-US" w:eastAsia="zh-CN"/>
        </w:rPr>
        <w:object>
          <v:shape id="_x0000_i1037" o:spt="75" type="#_x0000_t75" style="height:24pt;width:78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37" DrawAspect="Content" ObjectID="_1468075735" r:id="rId41">
            <o:LockedField>false</o:LockedField>
          </o:OLEObject>
        </w:objec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 xml:space="preserve">                           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）</w:t>
      </w:r>
    </w:p>
    <w:p w14:paraId="08DAB570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式中：</w:t>
      </w:r>
    </w:p>
    <w:p w14:paraId="52F8CC8B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>
        <w:rPr>
          <w:rFonts w:hint="eastAsia" w:ascii="Times New Roman" w:cs="Times New Roman"/>
          <w:sz w:val="24"/>
          <w:szCs w:val="24"/>
          <w:vertAlign w:val="subscript"/>
          <w:lang w:val="en-US" w:eastAsia="zh-CN"/>
        </w:rPr>
        <w:t>g,1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玻璃化转变温度的第一次测量值，</w:t>
      </w:r>
      <w:r>
        <w:rPr>
          <w:rFonts w:hint="default" w:ascii="Times New Roman" w:hAnsi="Times New Roman" w:eastAsia="宋体" w:cs="Times New Roman"/>
          <w:i w:val="0"/>
          <w:iCs w:val="0"/>
          <w:kern w:val="2"/>
          <w:sz w:val="24"/>
          <w:szCs w:val="24"/>
          <w:highlight w:val="none"/>
          <w:lang w:val="en-US" w:eastAsia="zh-CN" w:bidi="ar-SA"/>
        </w:rPr>
        <w:t>℃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59910C02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>
        <w:rPr>
          <w:rFonts w:hint="eastAsia" w:ascii="Times New Roman" w:cs="Times New Roman"/>
          <w:sz w:val="24"/>
          <w:szCs w:val="24"/>
          <w:vertAlign w:val="subscript"/>
          <w:lang w:val="en-US" w:eastAsia="zh-CN"/>
        </w:rPr>
        <w:t>g,2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玻璃化转变温度的第二次测量值，</w:t>
      </w:r>
      <w:r>
        <w:rPr>
          <w:rFonts w:hint="default" w:ascii="Times New Roman" w:hAnsi="Times New Roman" w:eastAsia="宋体" w:cs="Times New Roman"/>
          <w:i w:val="0"/>
          <w:iCs w:val="0"/>
          <w:kern w:val="2"/>
          <w:sz w:val="24"/>
          <w:szCs w:val="24"/>
          <w:highlight w:val="none"/>
          <w:lang w:val="en-US" w:eastAsia="zh-CN" w:bidi="ar-SA"/>
        </w:rPr>
        <w:t>℃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7EE1EAD8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position w:val="-14"/>
        </w:rPr>
        <w:object>
          <v:shape id="_x0000_i1038" o:spt="75" type="#_x0000_t75" style="height:21pt;width:15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38" DrawAspect="Content" ObjectID="_1468075736" r:id="rId43">
            <o:LockedField>false</o:LockedField>
          </o:OLEObject>
        </w:objec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玻璃化转变温度的测量平均值，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℃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09F67D2C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T</w:t>
      </w:r>
      <w:r>
        <w:rPr>
          <w:rFonts w:hint="eastAsia" w:ascii="Times New Roman" w:cs="Times New Roman"/>
          <w:sz w:val="24"/>
          <w:szCs w:val="24"/>
          <w:vertAlign w:val="subscript"/>
          <w:lang w:val="en-US" w:eastAsia="zh-CN"/>
        </w:rPr>
        <w:t>g,s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玻璃化转变温度的标称值，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℃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0B68054F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highlight w:val="none"/>
          <w:lang w:val="en-US" w:eastAsia="zh-CN"/>
        </w:rPr>
        <w:t>S</w:t>
      </w:r>
      <w:r>
        <w:rPr>
          <w:rFonts w:hint="eastAsia" w:ascii="Times New Roman" w:cs="Times New Roman"/>
          <w:sz w:val="24"/>
          <w:szCs w:val="24"/>
          <w:highlight w:val="none"/>
          <w:vertAlign w:val="subscript"/>
          <w:lang w:val="en-US" w:eastAsia="zh-CN"/>
        </w:rPr>
        <w:t>T</w:t>
      </w:r>
      <w:r>
        <w:rPr>
          <w:rFonts w:hint="eastAsia" w:ascii="Times New Roman" w:cs="Times New Roman"/>
          <w:sz w:val="22"/>
          <w:szCs w:val="22"/>
          <w:highlight w:val="none"/>
          <w:vertAlign w:val="subscript"/>
          <w:lang w:val="en-US" w:eastAsia="zh-CN"/>
        </w:rPr>
        <w:t>g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玻璃化转变温度</w:t>
      </w:r>
      <w:r>
        <w:rPr>
          <w:rFonts w:ascii="宋体" w:hAnsi="宋体" w:eastAsia="宋体" w:cs="宋体"/>
          <w:sz w:val="24"/>
          <w:szCs w:val="24"/>
        </w:rPr>
        <w:t>的测量重复性，</w:t>
      </w:r>
      <w:r>
        <w:rPr>
          <w:rFonts w:hint="default" w:ascii="Times New Roman" w:hAnsi="Times New Roman" w:eastAsia="宋体" w:cs="Times New Roman"/>
          <w:sz w:val="24"/>
          <w:szCs w:val="24"/>
        </w:rPr>
        <w:t>℃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673DB795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eastAsiaTheme="minorEastAsia"/>
          <w:kern w:val="2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Δ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T</w:t>
      </w:r>
      <w:r>
        <w:rPr>
          <w:rFonts w:hint="eastAsia" w:ascii="Times New Roman" w:cs="Times New Roman"/>
          <w:i/>
          <w:iCs/>
          <w:sz w:val="24"/>
          <w:szCs w:val="24"/>
          <w:vertAlign w:val="subscript"/>
          <w:lang w:val="en-US" w:eastAsia="zh-CN"/>
        </w:rPr>
        <w:t>g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玻璃化转变温度</w:t>
      </w:r>
      <w:r>
        <w:rPr>
          <w:rFonts w:ascii="宋体" w:hAnsi="宋体" w:eastAsia="宋体" w:cs="宋体"/>
          <w:sz w:val="24"/>
          <w:szCs w:val="24"/>
        </w:rPr>
        <w:t>的</w:t>
      </w:r>
      <w:r>
        <w:rPr>
          <w:rFonts w:hint="eastAsia" w:ascii="Times New Roman" w:hAnsi="Times New Roman" w:eastAsiaTheme="minorEastAsia"/>
          <w:kern w:val="2"/>
          <w:sz w:val="24"/>
          <w:highlight w:val="none"/>
        </w:rPr>
        <w:t>示值误差</w:t>
      </w:r>
      <w:r>
        <w:rPr>
          <w:rFonts w:hint="eastAsia" w:ascii="Times New Roman" w:eastAsiaTheme="minorEastAsia"/>
          <w:kern w:val="2"/>
          <w:sz w:val="24"/>
          <w:highlight w:val="none"/>
          <w:lang w:eastAsia="zh-CN"/>
        </w:rPr>
        <w:t>，</w:t>
      </w:r>
      <w:r>
        <w:rPr>
          <w:rFonts w:hint="eastAsia" w:ascii="Times New Roman" w:eastAsiaTheme="minorEastAsia"/>
          <w:kern w:val="2"/>
          <w:sz w:val="24"/>
          <w:highlight w:val="none"/>
          <w:lang w:val="en-US" w:eastAsia="zh-CN"/>
        </w:rPr>
        <w:t>%。</w:t>
      </w:r>
    </w:p>
    <w:p w14:paraId="7AA7A5B5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962910" cy="2087880"/>
            <wp:effectExtent l="0" t="0" r="8890" b="7620"/>
            <wp:docPr id="7" name="图片 7" descr="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c"/>
                    <pic:cNvPicPr>
                      <a:picLocks noChangeAspect="1"/>
                    </pic:cNvPicPr>
                  </pic:nvPicPr>
                  <pic:blipFill>
                    <a:blip r:embed="rId45"/>
                    <a:srcRect t="6066"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AEB8C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i w:val="0"/>
          <w:i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i w:val="0"/>
          <w:iCs w:val="0"/>
          <w:kern w:val="2"/>
          <w:sz w:val="21"/>
          <w:szCs w:val="21"/>
          <w:highlight w:val="none"/>
          <w:lang w:val="en-US" w:eastAsia="zh-CN" w:bidi="ar-SA"/>
        </w:rPr>
        <w:t>图</w:t>
      </w:r>
      <w:r>
        <w:rPr>
          <w:rFonts w:hint="eastAsia" w:ascii="Times New Roman" w:cs="Times New Roman"/>
          <w:i w:val="0"/>
          <w:iCs w:val="0"/>
          <w:kern w:val="2"/>
          <w:sz w:val="21"/>
          <w:szCs w:val="21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i w:val="0"/>
          <w:iCs w:val="0"/>
          <w:kern w:val="2"/>
          <w:sz w:val="21"/>
          <w:szCs w:val="21"/>
          <w:highlight w:val="none"/>
          <w:lang w:val="en-US" w:eastAsia="zh-CN" w:bidi="ar-SA"/>
        </w:rPr>
        <w:t xml:space="preserve"> 温度—</w:t>
      </w:r>
      <w:r>
        <w:rPr>
          <w:rFonts w:hint="eastAsia" w:ascii="Times New Roman" w:cs="Times New Roman"/>
          <w:i w:val="0"/>
          <w:iCs w:val="0"/>
          <w:kern w:val="2"/>
          <w:sz w:val="21"/>
          <w:szCs w:val="21"/>
          <w:highlight w:val="none"/>
          <w:lang w:val="en-US" w:eastAsia="zh-CN" w:bidi="ar-SA"/>
        </w:rPr>
        <w:t>储能模量</w:t>
      </w:r>
      <w:r>
        <w:rPr>
          <w:rFonts w:hint="eastAsia" w:ascii="Times New Roman" w:hAnsi="Times New Roman" w:eastAsia="宋体" w:cs="Times New Roman"/>
          <w:i w:val="0"/>
          <w:iCs w:val="0"/>
          <w:kern w:val="2"/>
          <w:sz w:val="21"/>
          <w:szCs w:val="21"/>
          <w:highlight w:val="none"/>
          <w:lang w:val="en-US" w:eastAsia="zh-CN" w:bidi="ar-SA"/>
        </w:rPr>
        <w:t>变化曲线</w:t>
      </w:r>
    </w:p>
    <w:p w14:paraId="3CE765E6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  <w:t>选取另一种玻璃化转变温度标准物质，参考上述测量方法和附录A的温度程序，重复测量2次。计算温度平均值，温度重复性，温度示值误差。</w:t>
      </w:r>
    </w:p>
    <w:p w14:paraId="1CF69E95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auto"/>
        <w:outlineLvl w:val="2"/>
        <w:rPr>
          <w:rFonts w:hint="default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 xml:space="preserve">6.2.5 </w:t>
      </w:r>
      <w:r>
        <w:rPr>
          <w:rFonts w:ascii="宋体" w:hAnsi="宋体" w:eastAsia="宋体" w:cs="宋体"/>
          <w:sz w:val="24"/>
          <w:szCs w:val="24"/>
        </w:rPr>
        <w:t>储能模量示值误差</w:t>
      </w:r>
      <w:r>
        <w:rPr>
          <w:rFonts w:hint="eastAsia" w:hAnsi="宋体" w:cs="宋体"/>
          <w:sz w:val="24"/>
          <w:szCs w:val="24"/>
          <w:lang w:val="en-US" w:eastAsia="zh-CN"/>
        </w:rPr>
        <w:t>及</w:t>
      </w:r>
      <w:r>
        <w:rPr>
          <w:rFonts w:ascii="宋体" w:hAnsi="宋体" w:eastAsia="宋体" w:cs="宋体"/>
          <w:sz w:val="24"/>
          <w:szCs w:val="24"/>
        </w:rPr>
        <w:t>重复性</w:t>
      </w:r>
    </w:p>
    <w:p w14:paraId="5D12A3D7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选择单悬臂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夹具并完成夹具校正，</w:t>
      </w:r>
      <w:r>
        <w:rPr>
          <w:rFonts w:hint="eastAsia" w:hAnsi="宋体" w:cs="宋体"/>
          <w:sz w:val="24"/>
          <w:szCs w:val="24"/>
          <w:lang w:val="en-US" w:eastAsia="zh-CN"/>
        </w:rPr>
        <w:t>用卡尺</w:t>
      </w:r>
      <w:bookmarkStart w:id="327" w:name="_GoBack"/>
      <w:bookmarkEnd w:id="327"/>
      <w:r>
        <w:rPr>
          <w:rFonts w:hint="eastAsia" w:hAnsi="宋体" w:cs="宋体"/>
          <w:sz w:val="24"/>
          <w:szCs w:val="24"/>
          <w:lang w:val="en-US" w:eastAsia="zh-CN"/>
        </w:rPr>
        <w:t>测量储能模量标块的宽度和厚度，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待设备稳定后将储能模量标块置于样品支架的测量位置，关闭加热炉。程序温度设为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30℃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振幅设为</w:t>
      </w:r>
      <w:r>
        <w:rPr>
          <w:rFonts w:hint="default" w:ascii="Times New Roman" w:hAnsi="Times New Roman" w:eastAsia="宋体" w:cs="Times New Roman"/>
          <w:sz w:val="24"/>
          <w:szCs w:val="24"/>
        </w:rPr>
        <w:t>30µm</w:t>
      </w:r>
      <w:r>
        <w:rPr>
          <w:rFonts w:ascii="宋体" w:hAnsi="宋体" w:eastAsia="宋体" w:cs="宋体"/>
          <w:sz w:val="24"/>
          <w:szCs w:val="24"/>
        </w:rPr>
        <w:t>，频率设为</w:t>
      </w:r>
      <w:r>
        <w:rPr>
          <w:rFonts w:hint="default" w:ascii="Times New Roman" w:hAnsi="Times New Roman" w:eastAsia="宋体" w:cs="Times New Roman"/>
          <w:sz w:val="24"/>
          <w:szCs w:val="24"/>
        </w:rPr>
        <w:t>1Hz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30℃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稳定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10min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后记录储能模量标块的示值。按相同的步骤重复测量1次，共计测量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次，按公式（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）计算储能模量平均值，按公式（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）计算储能模量重复性，按公式（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）计算储能模量示值误差。</w:t>
      </w:r>
    </w:p>
    <w:p w14:paraId="3617AE1F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right"/>
        <w:textAlignment w:val="auto"/>
        <w:rPr>
          <w:rFonts w:hint="default" w:ascii="Times New Roman" w:cs="Times New Roman"/>
          <w:i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cs="Times New Roman"/>
          <w:i w:val="0"/>
          <w:position w:val="-10"/>
          <w:sz w:val="24"/>
          <w:szCs w:val="24"/>
          <w:highlight w:val="none"/>
          <w:lang w:val="en-US" w:eastAsia="zh-CN" w:bidi="ar-SA"/>
        </w:rPr>
        <w:object>
          <v:shape id="_x0000_i1039" o:spt="75" type="#_x0000_t75" style="height:19pt;width:78.95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39" DrawAspect="Content" ObjectID="_1468075737" r:id="rId46">
            <o:LockedField>false</o:LockedField>
          </o:OLEObject>
        </w:object>
      </w:r>
      <w:r>
        <w:rPr>
          <w:rFonts w:hint="eastAsia" w:ascii="Times New Roman" w:cs="Times New Roman"/>
          <w:i w:val="0"/>
          <w:sz w:val="24"/>
          <w:szCs w:val="24"/>
          <w:highlight w:val="none"/>
          <w:lang w:val="en-US" w:eastAsia="zh-CN" w:bidi="ar-SA"/>
        </w:rPr>
        <w:t xml:space="preserve">                            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(</w:t>
      </w:r>
      <w:r>
        <w:rPr>
          <w:rFonts w:hint="eastAsia" w:asci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11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)</w:t>
      </w:r>
      <w:r>
        <w:rPr>
          <w:rFonts w:hint="eastAsia" w:ascii="Times New Roman" w:cs="Times New Roman"/>
          <w:i w:val="0"/>
          <w:sz w:val="24"/>
          <w:szCs w:val="24"/>
          <w:highlight w:val="none"/>
          <w:lang w:val="en-US" w:eastAsia="zh-CN" w:bidi="ar-SA"/>
        </w:rPr>
        <w:t xml:space="preserve">         </w:t>
      </w:r>
    </w:p>
    <w:p w14:paraId="54CC7CB7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right"/>
        <w:textAlignment w:val="auto"/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cs="Times New Roman"/>
          <w:i w:val="0"/>
          <w:sz w:val="24"/>
          <w:szCs w:val="24"/>
          <w:highlight w:val="none"/>
          <w:lang w:val="en-US" w:eastAsia="zh-CN" w:bidi="ar-SA"/>
        </w:rPr>
        <w:t xml:space="preserve">     </w:t>
      </w:r>
      <w:r>
        <w:rPr>
          <w:rFonts w:hint="eastAsia" w:ascii="Times New Roman" w:cs="Times New Roman"/>
          <w:i w:val="0"/>
          <w:position w:val="-24"/>
          <w:sz w:val="24"/>
          <w:szCs w:val="24"/>
          <w:highlight w:val="none"/>
          <w:lang w:val="en-US" w:eastAsia="zh-CN" w:bidi="ar-SA"/>
        </w:rPr>
        <w:object>
          <v:shape id="_x0000_i1040" o:spt="75" type="#_x0000_t75" style="height:33pt;width:10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40" DrawAspect="Content" ObjectID="_1468075738" r:id="rId48">
            <o:LockedField>false</o:LockedField>
          </o:OLEObject>
        </w:object>
      </w:r>
      <w:r>
        <w:rPr>
          <w:rFonts w:hint="eastAsia" w:ascii="Times New Roman" w:cs="Times New Roman"/>
          <w:i w:val="0"/>
          <w:sz w:val="24"/>
          <w:szCs w:val="24"/>
          <w:highlight w:val="none"/>
          <w:lang w:val="en-US" w:eastAsia="zh-CN" w:bidi="ar-SA"/>
        </w:rPr>
        <w:t xml:space="preserve">     </w:t>
      </w:r>
      <w:r>
        <w:rPr>
          <w:rFonts w:hint="eastAsia" w:hAnsi="Cambria Math" w:cs="Times New Roman"/>
          <w:i w:val="0"/>
          <w:iCs/>
          <w:sz w:val="24"/>
          <w:szCs w:val="24"/>
          <w:highlight w:val="none"/>
          <w:lang w:val="en-US" w:eastAsia="zh-CN" w:bidi="ar-SA"/>
        </w:rPr>
        <w:t xml:space="preserve">                    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(</w:t>
      </w:r>
      <w:r>
        <w:rPr>
          <w:rFonts w:hint="eastAsia" w:asci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12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)</w:t>
      </w:r>
    </w:p>
    <w:p w14:paraId="2D725FCD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auto"/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i w:val="0"/>
          <w:iCs/>
          <w:position w:val="-30"/>
          <w:sz w:val="24"/>
          <w:szCs w:val="24"/>
          <w:highlight w:val="none"/>
          <w:lang w:val="en-US" w:eastAsia="zh-CN" w:bidi="ar-SA"/>
        </w:rPr>
        <w:object>
          <v:shape id="_x0000_i1041" o:spt="75" type="#_x0000_t75" style="height:41pt;width:105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KSEE3" ShapeID="_x0000_i1041" DrawAspect="Content" ObjectID="_1468075739" r:id="rId50">
            <o:LockedField>false</o:LockedField>
          </o:OLEObject>
        </w:object>
      </w:r>
      <w:r>
        <w:rPr>
          <w:rFonts w:hint="eastAsia" w:asci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 xml:space="preserve">                         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(</w:t>
      </w:r>
      <w:r>
        <w:rPr>
          <w:rFonts w:hint="eastAsia" w:asci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13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)</w:t>
      </w:r>
    </w:p>
    <w:p w14:paraId="667FAA95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cs="Times New Roman"/>
          <w:i w:val="0"/>
          <w:iCs w:val="0"/>
          <w:sz w:val="24"/>
          <w:szCs w:val="24"/>
          <w:lang w:val="en-US" w:eastAsia="zh-CN"/>
        </w:rPr>
        <w:t>式中：</w:t>
      </w:r>
    </w:p>
    <w:p w14:paraId="1E8CB884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 w:eastAsia="zh-CN"/>
        </w:rPr>
        <w:t>1</w:t>
      </w:r>
      <w:r>
        <w:t>——</w:t>
      </w:r>
      <w:r>
        <w:rPr>
          <w:rFonts w:ascii="宋体" w:hAnsi="宋体" w:eastAsia="宋体" w:cs="宋体"/>
          <w:sz w:val="24"/>
          <w:szCs w:val="24"/>
        </w:rPr>
        <w:t>储能模量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的第一次测量值，MPa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53451C65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E</w:t>
      </w:r>
      <w:r>
        <w:rPr>
          <w:rFonts w:hint="eastAsia" w:ascii="Times New Roman" w:cs="Times New Roman"/>
          <w:sz w:val="24"/>
          <w:szCs w:val="24"/>
          <w:vertAlign w:val="subscript"/>
          <w:lang w:val="en-US" w:eastAsia="zh-CN"/>
        </w:rPr>
        <w:t>2</w:t>
      </w:r>
      <w:r>
        <w:t>——</w:t>
      </w:r>
      <w:r>
        <w:rPr>
          <w:rFonts w:ascii="宋体" w:hAnsi="宋体" w:eastAsia="宋体" w:cs="宋体"/>
          <w:sz w:val="24"/>
          <w:szCs w:val="24"/>
        </w:rPr>
        <w:t>储能模量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的第二次测量值，MPa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72BDCBDE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position w:val="-4"/>
        </w:rPr>
        <w:object>
          <v:shape id="_x0000_i1042" o:spt="75" type="#_x0000_t75" style="height:16pt;width:12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42" DrawAspect="Content" ObjectID="_1468075740" r:id="rId52">
            <o:LockedField>false</o:LockedField>
          </o:OLEObject>
        </w:object>
      </w:r>
      <w:r>
        <w:t>——</w:t>
      </w:r>
      <w:r>
        <w:rPr>
          <w:rFonts w:ascii="宋体" w:hAnsi="宋体" w:eastAsia="宋体" w:cs="宋体"/>
          <w:sz w:val="24"/>
          <w:szCs w:val="24"/>
        </w:rPr>
        <w:t>储能模量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的测量平均值，MPa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49F9FA8B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E</w:t>
      </w:r>
      <w:r>
        <w:rPr>
          <w:rFonts w:hint="eastAsia" w:ascii="Times New Roman" w:cs="Times New Roman"/>
          <w:sz w:val="24"/>
          <w:szCs w:val="24"/>
          <w:vertAlign w:val="subscript"/>
          <w:lang w:val="en-US" w:eastAsia="zh-CN"/>
        </w:rPr>
        <w:t>S</w:t>
      </w:r>
      <w:r>
        <w:t>——</w:t>
      </w:r>
      <w:r>
        <w:rPr>
          <w:rFonts w:ascii="宋体" w:hAnsi="宋体" w:eastAsia="宋体" w:cs="宋体"/>
          <w:sz w:val="24"/>
          <w:szCs w:val="24"/>
        </w:rPr>
        <w:t>储能模量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的标称值，MPa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0ED6CB20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highlight w:val="none"/>
          <w:lang w:val="en-US" w:eastAsia="zh-CN"/>
        </w:rPr>
        <w:t>S</w:t>
      </w:r>
      <w:r>
        <w:rPr>
          <w:rFonts w:hint="eastAsia" w:ascii="Times New Roman" w:cs="Times New Roman"/>
          <w:sz w:val="24"/>
          <w:szCs w:val="24"/>
          <w:highlight w:val="none"/>
          <w:vertAlign w:val="subscript"/>
          <w:lang w:val="en-US" w:eastAsia="zh-CN"/>
        </w:rPr>
        <w:t>E</w:t>
      </w:r>
      <w:r>
        <w:t>——</w:t>
      </w:r>
      <w:r>
        <w:rPr>
          <w:rFonts w:ascii="宋体" w:hAnsi="宋体" w:eastAsia="宋体" w:cs="宋体"/>
          <w:sz w:val="24"/>
          <w:szCs w:val="24"/>
        </w:rPr>
        <w:t>储能模量的测量重复性，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%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0152D9D0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Δ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E</w:t>
      </w:r>
      <w:r>
        <w:t>——</w:t>
      </w:r>
      <w:r>
        <w:rPr>
          <w:rFonts w:ascii="宋体" w:hAnsi="宋体" w:eastAsia="宋体" w:cs="宋体"/>
          <w:sz w:val="24"/>
          <w:szCs w:val="24"/>
        </w:rPr>
        <w:t>储能模量的</w:t>
      </w:r>
      <w:r>
        <w:rPr>
          <w:rFonts w:hint="eastAsia" w:ascii="Times New Roman" w:hAnsi="Times New Roman" w:eastAsiaTheme="minorEastAsia"/>
          <w:kern w:val="2"/>
          <w:sz w:val="24"/>
          <w:highlight w:val="none"/>
        </w:rPr>
        <w:t>示值误差</w:t>
      </w:r>
      <w:r>
        <w:rPr>
          <w:rFonts w:hint="eastAsia" w:ascii="Times New Roman" w:eastAsiaTheme="minorEastAsia"/>
          <w:kern w:val="2"/>
          <w:sz w:val="24"/>
          <w:highlight w:val="none"/>
          <w:lang w:eastAsia="zh-CN"/>
        </w:rPr>
        <w:t>，</w:t>
      </w:r>
      <w:r>
        <w:rPr>
          <w:rFonts w:hint="eastAsia" w:ascii="Times New Roman" w:eastAsiaTheme="minorEastAsia"/>
          <w:kern w:val="2"/>
          <w:sz w:val="24"/>
          <w:highlight w:val="none"/>
          <w:lang w:val="en-US" w:eastAsia="zh-CN"/>
        </w:rPr>
        <w:t>%。</w:t>
      </w:r>
    </w:p>
    <w:p w14:paraId="7EE19BEF">
      <w:pPr>
        <w:pStyle w:val="4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0" w:firstLineChars="0"/>
        <w:textAlignment w:val="auto"/>
        <w:outlineLvl w:val="0"/>
        <w:rPr>
          <w:rStyle w:val="38"/>
          <w:rFonts w:hint="eastAsia" w:ascii="黑体" w:hAnsi="黑体" w:eastAsia="黑体" w:cs="黑体"/>
          <w:b w:val="0"/>
          <w:bCs w:val="0"/>
          <w:kern w:val="2"/>
          <w:sz w:val="24"/>
          <w:szCs w:val="24"/>
        </w:rPr>
      </w:pPr>
      <w:bookmarkStart w:id="186" w:name="_Toc28571"/>
      <w:bookmarkStart w:id="187" w:name="_Toc9263"/>
      <w:bookmarkStart w:id="188" w:name="_Toc25583"/>
      <w:bookmarkStart w:id="189" w:name="_Toc8332"/>
      <w:bookmarkStart w:id="190" w:name="_Toc13965"/>
      <w:bookmarkStart w:id="191" w:name="_Toc26159"/>
      <w:bookmarkStart w:id="192" w:name="_Toc8316"/>
      <w:r>
        <w:rPr>
          <w:rStyle w:val="38"/>
          <w:rFonts w:hint="eastAsia" w:ascii="黑体" w:hAnsi="黑体" w:eastAsia="黑体" w:cs="黑体"/>
          <w:b w:val="0"/>
          <w:bCs w:val="0"/>
          <w:kern w:val="2"/>
          <w:sz w:val="24"/>
          <w:szCs w:val="24"/>
        </w:rPr>
        <w:t>7 校准结果表达</w:t>
      </w:r>
      <w:bookmarkEnd w:id="186"/>
      <w:bookmarkEnd w:id="187"/>
      <w:bookmarkEnd w:id="188"/>
      <w:bookmarkEnd w:id="189"/>
      <w:bookmarkEnd w:id="190"/>
      <w:bookmarkEnd w:id="191"/>
      <w:bookmarkEnd w:id="192"/>
    </w:p>
    <w:p w14:paraId="5F9BE994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为</w:t>
      </w:r>
      <w:r>
        <w:rPr>
          <w:rFonts w:hint="eastAsia" w:ascii="Times New Roman"/>
          <w:sz w:val="24"/>
          <w:szCs w:val="24"/>
        </w:rPr>
        <w:t>经</w:t>
      </w:r>
      <w:r>
        <w:rPr>
          <w:rFonts w:hint="eastAsia" w:ascii="Times New Roman" w:hAnsi="Times New Roman" w:cs="Times New Roman"/>
          <w:sz w:val="24"/>
          <w:szCs w:val="24"/>
        </w:rPr>
        <w:t>校准的动态热机械分析仪出具</w:t>
      </w:r>
      <w:r>
        <w:rPr>
          <w:rFonts w:hint="eastAsia" w:ascii="Times New Roman"/>
          <w:sz w:val="24"/>
          <w:szCs w:val="24"/>
        </w:rPr>
        <w:t>校准证书，校准结果应在校准证书上反映，校准证书至少应包括以下信息：</w:t>
      </w:r>
    </w:p>
    <w:p w14:paraId="27D0C9DB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a）</w:t>
      </w:r>
      <w:r>
        <w:rPr>
          <w:rFonts w:ascii="Times New Roman"/>
          <w:sz w:val="24"/>
          <w:szCs w:val="24"/>
        </w:rPr>
        <w:t>标题</w:t>
      </w:r>
      <w:r>
        <w:rPr>
          <w:rFonts w:hint="eastAsia" w:ascii="Times New Roman"/>
          <w:sz w:val="24"/>
          <w:szCs w:val="24"/>
          <w:lang w:eastAsia="zh-CN"/>
        </w:rPr>
        <w:t>：“</w:t>
      </w:r>
      <w:r>
        <w:rPr>
          <w:rFonts w:ascii="Times New Roman"/>
          <w:sz w:val="24"/>
          <w:szCs w:val="24"/>
        </w:rPr>
        <w:t>校准证书</w:t>
      </w:r>
      <w:r>
        <w:rPr>
          <w:rFonts w:hint="eastAsia" w:ascii="Times New Roman"/>
          <w:sz w:val="24"/>
          <w:szCs w:val="24"/>
          <w:lang w:eastAsia="zh-CN"/>
        </w:rPr>
        <w:t>”</w:t>
      </w:r>
      <w:r>
        <w:rPr>
          <w:rFonts w:hint="eastAsia" w:ascii="Times New Roman"/>
          <w:sz w:val="24"/>
          <w:szCs w:val="24"/>
        </w:rPr>
        <w:t>；</w:t>
      </w:r>
    </w:p>
    <w:p w14:paraId="46B499F1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b）</w:t>
      </w:r>
      <w:r>
        <w:rPr>
          <w:rFonts w:ascii="Times New Roman"/>
          <w:sz w:val="24"/>
          <w:szCs w:val="24"/>
        </w:rPr>
        <w:t>实验室的名称和地址</w:t>
      </w:r>
      <w:r>
        <w:rPr>
          <w:rFonts w:hint="eastAsia" w:ascii="Times New Roman"/>
          <w:sz w:val="24"/>
          <w:szCs w:val="24"/>
        </w:rPr>
        <w:t>；</w:t>
      </w:r>
    </w:p>
    <w:p w14:paraId="5D685DD9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c）实施校准活动的地点，包括客户设施、实验室固定设施以外的地点；</w:t>
      </w:r>
    </w:p>
    <w:p w14:paraId="44F9C18A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d）</w:t>
      </w:r>
      <w:r>
        <w:rPr>
          <w:rFonts w:ascii="Times New Roman"/>
          <w:sz w:val="24"/>
          <w:szCs w:val="24"/>
        </w:rPr>
        <w:t>证书的唯一性标识（如编号），每页及总页数的标识</w:t>
      </w:r>
      <w:r>
        <w:rPr>
          <w:rFonts w:hint="eastAsia" w:ascii="Times New Roman"/>
          <w:sz w:val="24"/>
          <w:szCs w:val="24"/>
        </w:rPr>
        <w:t>；</w:t>
      </w:r>
    </w:p>
    <w:p w14:paraId="2A96A88B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e）客户的</w:t>
      </w:r>
      <w:r>
        <w:rPr>
          <w:rFonts w:ascii="Times New Roman"/>
          <w:sz w:val="24"/>
          <w:szCs w:val="24"/>
        </w:rPr>
        <w:t>名称和</w:t>
      </w:r>
      <w:r>
        <w:rPr>
          <w:rFonts w:hint="eastAsia" w:ascii="Times New Roman"/>
          <w:sz w:val="24"/>
          <w:szCs w:val="24"/>
        </w:rPr>
        <w:t>联络信息；</w:t>
      </w:r>
    </w:p>
    <w:p w14:paraId="08620F58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f）</w:t>
      </w:r>
      <w:r>
        <w:rPr>
          <w:rFonts w:ascii="Times New Roman"/>
          <w:sz w:val="24"/>
          <w:szCs w:val="24"/>
        </w:rPr>
        <w:t>被校对象的描述和明确标识</w:t>
      </w:r>
      <w:r>
        <w:rPr>
          <w:rFonts w:hint="eastAsia" w:ascii="Times New Roman"/>
          <w:sz w:val="24"/>
          <w:szCs w:val="24"/>
        </w:rPr>
        <w:t>；</w:t>
      </w:r>
    </w:p>
    <w:p w14:paraId="57AAC5D9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g）</w:t>
      </w:r>
      <w:r>
        <w:rPr>
          <w:rFonts w:ascii="Times New Roman"/>
          <w:sz w:val="24"/>
          <w:szCs w:val="24"/>
        </w:rPr>
        <w:t>进行校准</w:t>
      </w:r>
      <w:r>
        <w:rPr>
          <w:rFonts w:hint="eastAsia" w:ascii="Times New Roman"/>
          <w:sz w:val="24"/>
          <w:szCs w:val="24"/>
        </w:rPr>
        <w:t>活动</w:t>
      </w:r>
      <w:r>
        <w:rPr>
          <w:rFonts w:ascii="Times New Roman"/>
          <w:sz w:val="24"/>
          <w:szCs w:val="24"/>
        </w:rPr>
        <w:t>的日期，如果与校准结果的有效性和应用有关时，应说明被校对象的接</w:t>
      </w:r>
      <w:r>
        <w:rPr>
          <w:rFonts w:hint="eastAsia" w:ascii="Times New Roman"/>
          <w:sz w:val="24"/>
          <w:szCs w:val="24"/>
        </w:rPr>
        <w:t>收</w:t>
      </w:r>
      <w:r>
        <w:rPr>
          <w:rFonts w:ascii="Times New Roman"/>
          <w:sz w:val="24"/>
          <w:szCs w:val="24"/>
        </w:rPr>
        <w:t>日期</w:t>
      </w:r>
      <w:r>
        <w:rPr>
          <w:rFonts w:hint="eastAsia" w:ascii="Times New Roman"/>
          <w:sz w:val="24"/>
          <w:szCs w:val="24"/>
        </w:rPr>
        <w:t>和证书发布日期；</w:t>
      </w:r>
    </w:p>
    <w:p w14:paraId="65607BF5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h）</w:t>
      </w:r>
      <w:r>
        <w:rPr>
          <w:rFonts w:ascii="Times New Roman"/>
          <w:sz w:val="24"/>
          <w:szCs w:val="24"/>
        </w:rPr>
        <w:t>校准所依据的技术规范的标识，包括名称及代号</w:t>
      </w:r>
      <w:r>
        <w:rPr>
          <w:rFonts w:hint="eastAsia" w:ascii="Times New Roman"/>
          <w:sz w:val="24"/>
          <w:szCs w:val="24"/>
        </w:rPr>
        <w:t>；</w:t>
      </w:r>
    </w:p>
    <w:p w14:paraId="625E9FE1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i）</w:t>
      </w:r>
      <w:r>
        <w:rPr>
          <w:rFonts w:ascii="Times New Roman"/>
          <w:sz w:val="24"/>
          <w:szCs w:val="24"/>
        </w:rPr>
        <w:t>本次校准所用的测量标准和溯源性及有效性说明</w:t>
      </w:r>
      <w:r>
        <w:rPr>
          <w:rFonts w:hint="eastAsia" w:ascii="Times New Roman"/>
          <w:sz w:val="24"/>
          <w:szCs w:val="24"/>
        </w:rPr>
        <w:t>；</w:t>
      </w:r>
    </w:p>
    <w:p w14:paraId="300356E9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j）</w:t>
      </w:r>
      <w:r>
        <w:rPr>
          <w:rFonts w:ascii="Times New Roman"/>
          <w:sz w:val="24"/>
          <w:szCs w:val="24"/>
        </w:rPr>
        <w:t>校准环境的描述</w:t>
      </w:r>
      <w:r>
        <w:rPr>
          <w:rFonts w:hint="eastAsia" w:ascii="Times New Roman"/>
          <w:sz w:val="24"/>
          <w:szCs w:val="24"/>
        </w:rPr>
        <w:t>；</w:t>
      </w:r>
    </w:p>
    <w:p w14:paraId="7043548A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k）</w:t>
      </w:r>
      <w:r>
        <w:rPr>
          <w:rFonts w:ascii="Times New Roman"/>
          <w:sz w:val="24"/>
          <w:szCs w:val="24"/>
        </w:rPr>
        <w:t>校准结果及其测量不确定度的说明（给出整个测量范围校准结果测量不确定度的最大值）</w:t>
      </w:r>
      <w:r>
        <w:rPr>
          <w:rFonts w:hint="eastAsia" w:ascii="Times New Roman"/>
          <w:sz w:val="24"/>
          <w:szCs w:val="24"/>
        </w:rPr>
        <w:t>；</w:t>
      </w:r>
    </w:p>
    <w:p w14:paraId="5C3CF48F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</w:rPr>
        <w:t>l）</w:t>
      </w:r>
      <w:r>
        <w:rPr>
          <w:rFonts w:hint="eastAsia" w:ascii="Times New Roman"/>
          <w:sz w:val="24"/>
          <w:szCs w:val="24"/>
          <w:lang w:val="en-US" w:eastAsia="zh-CN"/>
        </w:rPr>
        <w:t>对校准规范偏离的说明；</w:t>
      </w:r>
    </w:p>
    <w:p w14:paraId="240C4031">
      <w:pPr>
        <w:pStyle w:val="4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m）</w:t>
      </w:r>
      <w:r>
        <w:rPr>
          <w:rFonts w:ascii="Times New Roman"/>
          <w:sz w:val="24"/>
          <w:szCs w:val="24"/>
        </w:rPr>
        <w:t>校准证书签发人的签名、职务或等效标识，以及签发日期</w:t>
      </w:r>
      <w:r>
        <w:rPr>
          <w:rFonts w:hint="eastAsia" w:ascii="Times New Roman"/>
          <w:sz w:val="24"/>
          <w:szCs w:val="24"/>
        </w:rPr>
        <w:t>；</w:t>
      </w:r>
    </w:p>
    <w:p w14:paraId="769F99CE">
      <w:pPr>
        <w:pStyle w:val="4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n</w:t>
      </w:r>
      <w:r>
        <w:rPr>
          <w:rFonts w:hint="eastAsia" w:ascii="Times New Roman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校准人</w:t>
      </w:r>
      <w:r>
        <w:rPr>
          <w:rFonts w:hint="eastAsia" w:ascii="Times New Roman"/>
          <w:sz w:val="24"/>
          <w:szCs w:val="24"/>
        </w:rPr>
        <w:t>和核验人签名；</w:t>
      </w:r>
    </w:p>
    <w:p w14:paraId="041DD561">
      <w:pPr>
        <w:pStyle w:val="4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eastAsia="宋体"/>
          <w:sz w:val="24"/>
          <w:szCs w:val="24"/>
          <w:lang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o</w:t>
      </w:r>
      <w:r>
        <w:rPr>
          <w:rFonts w:hint="eastAsia" w:ascii="Times New Roman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校准</w:t>
      </w:r>
      <w:r>
        <w:rPr>
          <w:rFonts w:hint="eastAsia" w:ascii="Times New Roman"/>
          <w:sz w:val="24"/>
          <w:szCs w:val="24"/>
          <w:lang w:val="en-US" w:eastAsia="zh-CN"/>
        </w:rPr>
        <w:t>结果</w:t>
      </w:r>
      <w:r>
        <w:rPr>
          <w:rFonts w:ascii="Times New Roman"/>
          <w:sz w:val="24"/>
          <w:szCs w:val="24"/>
        </w:rPr>
        <w:t>仅对被校对象有效</w:t>
      </w:r>
      <w:r>
        <w:rPr>
          <w:rFonts w:hint="eastAsia" w:ascii="Times New Roman"/>
          <w:sz w:val="24"/>
          <w:szCs w:val="24"/>
          <w:lang w:val="en-US" w:eastAsia="zh-CN"/>
        </w:rPr>
        <w:t>的</w:t>
      </w:r>
      <w:r>
        <w:rPr>
          <w:rFonts w:ascii="Times New Roman"/>
          <w:sz w:val="24"/>
          <w:szCs w:val="24"/>
        </w:rPr>
        <w:t>声明</w:t>
      </w:r>
      <w:r>
        <w:rPr>
          <w:rFonts w:hint="eastAsia" w:ascii="Times New Roman"/>
          <w:sz w:val="24"/>
          <w:szCs w:val="24"/>
          <w:lang w:eastAsia="zh-CN"/>
        </w:rPr>
        <w:t>；</w:t>
      </w:r>
    </w:p>
    <w:p w14:paraId="4FE7B32A">
      <w:pPr>
        <w:pStyle w:val="4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eastAsia="宋体"/>
          <w:sz w:val="24"/>
          <w:szCs w:val="24"/>
          <w:lang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p</w:t>
      </w:r>
      <w:r>
        <w:rPr>
          <w:rFonts w:hint="eastAsia" w:ascii="Times New Roman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未经</w:t>
      </w:r>
      <w:r>
        <w:rPr>
          <w:rFonts w:hint="eastAsia" w:ascii="Times New Roman"/>
          <w:sz w:val="24"/>
          <w:szCs w:val="24"/>
        </w:rPr>
        <w:t>校准</w:t>
      </w:r>
      <w:r>
        <w:rPr>
          <w:rFonts w:ascii="Times New Roman"/>
          <w:sz w:val="24"/>
          <w:szCs w:val="24"/>
        </w:rPr>
        <w:t>实验室书面批准，不得部分复制</w:t>
      </w:r>
      <w:r>
        <w:rPr>
          <w:rFonts w:hint="eastAsia" w:ascii="Times New Roman"/>
          <w:sz w:val="24"/>
          <w:szCs w:val="24"/>
        </w:rPr>
        <w:t>校准</w:t>
      </w:r>
      <w:r>
        <w:rPr>
          <w:rFonts w:ascii="Times New Roman"/>
          <w:sz w:val="24"/>
          <w:szCs w:val="24"/>
        </w:rPr>
        <w:t>证书</w:t>
      </w:r>
      <w:r>
        <w:rPr>
          <w:rFonts w:hint="eastAsia" w:ascii="Times New Roman"/>
          <w:sz w:val="24"/>
          <w:szCs w:val="24"/>
        </w:rPr>
        <w:t>的声明</w:t>
      </w:r>
      <w:r>
        <w:rPr>
          <w:rFonts w:hint="eastAsia" w:ascii="Times New Roman"/>
          <w:sz w:val="24"/>
          <w:szCs w:val="24"/>
          <w:lang w:eastAsia="zh-CN"/>
        </w:rPr>
        <w:t>。</w:t>
      </w:r>
    </w:p>
    <w:p w14:paraId="58A3CE75">
      <w:pPr>
        <w:pStyle w:val="4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校准原始记录参考格式见附录</w:t>
      </w:r>
      <w:r>
        <w:rPr>
          <w:rFonts w:hint="eastAsia" w:ascii="Times New Roman"/>
          <w:sz w:val="24"/>
          <w:szCs w:val="24"/>
          <w:lang w:val="en-US" w:eastAsia="zh-CN"/>
        </w:rPr>
        <w:t>B</w:t>
      </w:r>
      <w:r>
        <w:rPr>
          <w:rFonts w:hint="eastAsia" w:ascii="Times New Roman"/>
          <w:sz w:val="24"/>
          <w:szCs w:val="24"/>
        </w:rPr>
        <w:t>，校准证书</w:t>
      </w:r>
      <w:r>
        <w:rPr>
          <w:rFonts w:hint="eastAsia" w:ascii="Times New Roman"/>
          <w:sz w:val="24"/>
          <w:szCs w:val="24"/>
          <w:lang w:val="en-US" w:eastAsia="zh-CN"/>
        </w:rPr>
        <w:t>内页</w:t>
      </w:r>
      <w:r>
        <w:rPr>
          <w:rFonts w:hint="eastAsia" w:ascii="Times New Roman"/>
          <w:sz w:val="24"/>
          <w:szCs w:val="24"/>
        </w:rPr>
        <w:t>参考格式见附录</w:t>
      </w: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hint="eastAsia" w:ascii="Times New Roman"/>
          <w:sz w:val="24"/>
          <w:szCs w:val="24"/>
        </w:rPr>
        <w:t>。</w:t>
      </w:r>
    </w:p>
    <w:p w14:paraId="4B3EC1F4">
      <w:pPr>
        <w:pStyle w:val="4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4"/>
          <w:szCs w:val="24"/>
        </w:rPr>
      </w:pPr>
      <w:bookmarkStart w:id="193" w:name="_Toc32413"/>
      <w:bookmarkStart w:id="194" w:name="_Toc1835"/>
      <w:bookmarkStart w:id="195" w:name="_Toc7966"/>
      <w:bookmarkStart w:id="196" w:name="_Toc18838"/>
      <w:bookmarkStart w:id="197" w:name="_Toc14162"/>
      <w:bookmarkStart w:id="198" w:name="_Toc11130"/>
      <w:bookmarkStart w:id="199" w:name="_Toc15252"/>
      <w:bookmarkStart w:id="200" w:name="_Toc18447"/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8 </w:t>
      </w:r>
      <w:r>
        <w:rPr>
          <w:rStyle w:val="35"/>
          <w:rFonts w:hint="eastAsia" w:ascii="黑体" w:hAnsi="黑体" w:eastAsia="黑体" w:cs="黑体"/>
          <w:b w:val="0"/>
          <w:bCs w:val="0"/>
          <w:sz w:val="24"/>
          <w:szCs w:val="24"/>
        </w:rPr>
        <w:t>复校时间间隔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42FE5DC8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201" w:name="_Toc1907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建议复校时间间隔最长不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超过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12个月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，使用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单位也可根据实际使用情况选择复校的时间间隔。</w:t>
      </w:r>
      <w:bookmarkStart w:id="202" w:name="_Toc10433"/>
      <w:bookmarkStart w:id="203" w:name="_Toc2489"/>
      <w:bookmarkStart w:id="204" w:name="_Toc10955"/>
      <w:bookmarkStart w:id="205" w:name="_Toc14103"/>
      <w:bookmarkStart w:id="206" w:name="_Toc26000_WPSOffice_Level1"/>
      <w:bookmarkStart w:id="207" w:name="_Toc23784683"/>
      <w:bookmarkStart w:id="208" w:name="_Toc24405"/>
      <w:bookmarkStart w:id="209" w:name="_Toc26472"/>
      <w:bookmarkStart w:id="210" w:name="_Toc25856"/>
      <w:bookmarkStart w:id="211" w:name="_Toc23784584"/>
      <w:bookmarkStart w:id="212" w:name="_Toc23785581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  <w:bookmarkEnd w:id="201"/>
    </w:p>
    <w:p w14:paraId="14B6DCB0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outlineLvl w:val="0"/>
        <w:rPr>
          <w:rStyle w:val="42"/>
          <w:rFonts w:ascii="Times New Roman" w:hAnsi="Times New Roman" w:eastAsia="宋体"/>
          <w:sz w:val="24"/>
          <w:szCs w:val="24"/>
        </w:rPr>
      </w:pPr>
      <w:bookmarkStart w:id="213" w:name="_Toc59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附录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A</w:t>
      </w:r>
      <w:bookmarkEnd w:id="213"/>
    </w:p>
    <w:p w14:paraId="10BA438C">
      <w:pPr>
        <w:bidi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214" w:name="_Toc798313278"/>
      <w:bookmarkStart w:id="215" w:name="_Toc1027037846"/>
      <w:bookmarkStart w:id="216" w:name="_Toc831661992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参考使用的标准物质认定值和升温范围</w:t>
      </w:r>
      <w:bookmarkEnd w:id="214"/>
      <w:bookmarkEnd w:id="215"/>
      <w:bookmarkEnd w:id="216"/>
    </w:p>
    <w:p w14:paraId="6EC59521">
      <w:pPr>
        <w:bidi w:val="0"/>
        <w:jc w:val="center"/>
        <w:rPr>
          <w:rFonts w:hint="eastAsia" w:eastAsia="宋体"/>
          <w:sz w:val="24"/>
          <w:lang w:val="en-US" w:eastAsia="zh-CN"/>
        </w:rPr>
      </w:pPr>
    </w:p>
    <w:p w14:paraId="29445B66">
      <w:pPr>
        <w:bidi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表A.1参考使用的标准物质认定值和升温范围</w:t>
      </w:r>
    </w:p>
    <w:tbl>
      <w:tblPr>
        <w:tblStyle w:val="25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64"/>
        <w:gridCol w:w="2364"/>
        <w:gridCol w:w="2364"/>
      </w:tblGrid>
      <w:tr w14:paraId="6C848818">
        <w:tc>
          <w:tcPr>
            <w:tcW w:w="2364" w:type="dxa"/>
            <w:vAlign w:val="center"/>
          </w:tcPr>
          <w:p w14:paraId="6BFD518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标准物质名称</w:t>
            </w:r>
          </w:p>
        </w:tc>
        <w:tc>
          <w:tcPr>
            <w:tcW w:w="2364" w:type="dxa"/>
            <w:vAlign w:val="center"/>
          </w:tcPr>
          <w:p w14:paraId="4817515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熔点认定值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℃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10E6358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玻璃转变温度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℃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36161F2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升温范围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℃</w:t>
            </w:r>
          </w:p>
        </w:tc>
      </w:tr>
      <w:tr w14:paraId="2761E1B1">
        <w:tc>
          <w:tcPr>
            <w:tcW w:w="2364" w:type="dxa"/>
            <w:shd w:val="clear" w:color="auto" w:fill="auto"/>
            <w:vAlign w:val="top"/>
          </w:tcPr>
          <w:p w14:paraId="5A67425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铟（</w:t>
            </w:r>
            <w:r>
              <w:rPr>
                <w:rFonts w:hint="default"/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319BEA9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156.52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27F661A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440B7EB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50~200</w:t>
            </w:r>
          </w:p>
        </w:tc>
      </w:tr>
      <w:tr w14:paraId="2FA02879">
        <w:tc>
          <w:tcPr>
            <w:tcW w:w="2364" w:type="dxa"/>
            <w:shd w:val="clear" w:color="auto" w:fill="auto"/>
            <w:vAlign w:val="top"/>
          </w:tcPr>
          <w:p w14:paraId="2AE0256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锡（</w:t>
            </w:r>
            <w:r>
              <w:rPr>
                <w:rFonts w:hint="default"/>
                <w:lang w:val="en-US" w:eastAsia="zh-CN"/>
              </w:rPr>
              <w:t>Sn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75141C8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231.81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2D86334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0A95CAC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130~280</w:t>
            </w:r>
          </w:p>
        </w:tc>
      </w:tr>
      <w:tr w14:paraId="5E451C25">
        <w:tc>
          <w:tcPr>
            <w:tcW w:w="2364" w:type="dxa"/>
            <w:shd w:val="clear" w:color="auto" w:fill="auto"/>
            <w:vAlign w:val="top"/>
          </w:tcPr>
          <w:p w14:paraId="7ED0EB5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铅（</w:t>
            </w:r>
            <w:r>
              <w:rPr>
                <w:rFonts w:hint="default"/>
                <w:lang w:val="en-US" w:eastAsia="zh-CN"/>
              </w:rPr>
              <w:t>Pb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59509D8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327.77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362B9E2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6AC67B8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220~380</w:t>
            </w:r>
          </w:p>
        </w:tc>
      </w:tr>
      <w:tr w14:paraId="45166206">
        <w:tc>
          <w:tcPr>
            <w:tcW w:w="2364" w:type="dxa"/>
            <w:shd w:val="clear" w:color="auto" w:fill="auto"/>
            <w:vAlign w:val="top"/>
          </w:tcPr>
          <w:p w14:paraId="02C06CF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锌（</w:t>
            </w:r>
            <w:r>
              <w:rPr>
                <w:rFonts w:hint="default"/>
                <w:lang w:val="en-US" w:eastAsia="zh-CN"/>
              </w:rPr>
              <w:t>Zn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530BDC7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420.67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5A937C2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0D036A8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320～480</w:t>
            </w:r>
          </w:p>
        </w:tc>
      </w:tr>
      <w:tr w14:paraId="5FD95A53">
        <w:tc>
          <w:tcPr>
            <w:tcW w:w="2364" w:type="dxa"/>
            <w:shd w:val="clear" w:color="auto" w:fill="auto"/>
            <w:vAlign w:val="center"/>
          </w:tcPr>
          <w:p w14:paraId="261C96E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聚氯乙烯（</w:t>
            </w:r>
            <w:r>
              <w:rPr>
                <w:rFonts w:hint="default"/>
                <w:lang w:val="en-US" w:eastAsia="zh-CN"/>
              </w:rPr>
              <w:t>P</w:t>
            </w:r>
            <w:r>
              <w:rPr>
                <w:rFonts w:hint="eastAsia"/>
                <w:lang w:val="en-US" w:eastAsia="zh-CN"/>
              </w:rPr>
              <w:t>V</w:t>
            </w:r>
            <w:r>
              <w:rPr>
                <w:rFonts w:hint="default"/>
                <w:lang w:val="en-US" w:eastAsia="zh-CN"/>
              </w:rPr>
              <w:t>C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6CE455C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5902AB2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68.1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7FF2266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30~100</w:t>
            </w:r>
          </w:p>
        </w:tc>
      </w:tr>
      <w:tr w14:paraId="740C86E5">
        <w:tc>
          <w:tcPr>
            <w:tcW w:w="2364" w:type="dxa"/>
            <w:shd w:val="clear" w:color="auto" w:fill="auto"/>
            <w:vAlign w:val="center"/>
          </w:tcPr>
          <w:p w14:paraId="3ABBA2DB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聚碳酸酯（</w:t>
            </w:r>
            <w:r>
              <w:rPr>
                <w:rFonts w:hint="default"/>
                <w:lang w:val="en-US" w:eastAsia="zh-CN"/>
              </w:rPr>
              <w:t>PC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04DBDA8E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149F34E5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147.3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23FE1033">
            <w:pPr>
              <w:bidi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0～170</w:t>
            </w:r>
          </w:p>
        </w:tc>
      </w:tr>
    </w:tbl>
    <w:p w14:paraId="2823C8F6">
      <w:pPr>
        <w:bidi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B88A642">
      <w:pPr>
        <w:bidi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17501AE">
      <w:pPr>
        <w:bidi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7D026E8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</w:p>
    <w:p w14:paraId="0C725153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outlineLvl w:val="0"/>
        <w:rPr>
          <w:rStyle w:val="42"/>
          <w:rFonts w:hint="eastAsia" w:ascii="Times New Roman" w:hAnsi="Times New Roman" w:eastAsia="黑体"/>
          <w:sz w:val="24"/>
          <w:szCs w:val="24"/>
          <w:lang w:val="en-US" w:eastAsia="zh-CN"/>
        </w:rPr>
      </w:pPr>
      <w:bookmarkStart w:id="217" w:name="_Toc28245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附录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B</w:t>
      </w:r>
      <w:bookmarkEnd w:id="217"/>
    </w:p>
    <w:p w14:paraId="0F4AF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default"/>
          <w:sz w:val="24"/>
          <w:lang w:val="en-US"/>
        </w:rPr>
      </w:pPr>
      <w:bookmarkStart w:id="218" w:name="_Toc1203"/>
      <w:bookmarkStart w:id="219" w:name="_Toc4770"/>
      <w:bookmarkStart w:id="220" w:name="_Toc16260"/>
      <w:bookmarkStart w:id="221" w:name="_Toc22722"/>
      <w:bookmarkStart w:id="222" w:name="_Toc29827"/>
      <w:bookmarkStart w:id="223" w:name="_Toc9158"/>
      <w:bookmarkStart w:id="224" w:name="_Toc10261"/>
      <w:bookmarkStart w:id="225" w:name="_Toc5539"/>
      <w:bookmarkStart w:id="226" w:name="_Toc13651"/>
      <w:bookmarkStart w:id="227" w:name="_Toc500258835"/>
      <w:bookmarkStart w:id="228" w:name="_Toc198433137"/>
      <w:bookmarkStart w:id="229" w:name="_Toc23785590"/>
      <w:bookmarkStart w:id="230" w:name="_Toc28237_WPSOffice_Level1"/>
      <w:bookmarkStart w:id="231" w:name="_Toc23784593"/>
      <w:bookmarkStart w:id="232" w:name="_Toc23784692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动态热机械分析仪校准记录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参考格式</w:t>
      </w:r>
    </w:p>
    <w:p w14:paraId="49BF89C6">
      <w:pPr>
        <w:jc w:val="left"/>
        <w:rPr>
          <w:sz w:val="24"/>
        </w:rPr>
      </w:pPr>
      <w:r>
        <w:rPr>
          <w:sz w:val="21"/>
          <w:szCs w:val="21"/>
        </w:rPr>
        <w:t xml:space="preserve">      </w:t>
      </w:r>
    </w:p>
    <w:tbl>
      <w:tblPr>
        <w:tblStyle w:val="2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96"/>
        <w:gridCol w:w="30"/>
        <w:gridCol w:w="44"/>
        <w:gridCol w:w="76"/>
        <w:gridCol w:w="1"/>
        <w:gridCol w:w="30"/>
        <w:gridCol w:w="595"/>
        <w:gridCol w:w="529"/>
        <w:gridCol w:w="8"/>
        <w:gridCol w:w="669"/>
        <w:gridCol w:w="21"/>
        <w:gridCol w:w="4"/>
        <w:gridCol w:w="546"/>
        <w:gridCol w:w="56"/>
        <w:gridCol w:w="17"/>
        <w:gridCol w:w="4"/>
        <w:gridCol w:w="54"/>
        <w:gridCol w:w="1105"/>
        <w:gridCol w:w="152"/>
        <w:gridCol w:w="14"/>
        <w:gridCol w:w="20"/>
        <w:gridCol w:w="3"/>
        <w:gridCol w:w="399"/>
        <w:gridCol w:w="6"/>
        <w:gridCol w:w="863"/>
        <w:gridCol w:w="128"/>
        <w:gridCol w:w="116"/>
        <w:gridCol w:w="434"/>
        <w:gridCol w:w="15"/>
        <w:gridCol w:w="12"/>
        <w:gridCol w:w="145"/>
        <w:gridCol w:w="32"/>
        <w:gridCol w:w="8"/>
        <w:gridCol w:w="414"/>
        <w:gridCol w:w="1241"/>
      </w:tblGrid>
      <w:tr w14:paraId="52313209">
        <w:trPr>
          <w:trHeight w:val="397" w:hRule="atLeast"/>
          <w:jc w:val="center"/>
        </w:trPr>
        <w:tc>
          <w:tcPr>
            <w:tcW w:w="15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CD45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证书编号</w:t>
            </w:r>
          </w:p>
        </w:tc>
        <w:tc>
          <w:tcPr>
            <w:tcW w:w="2610" w:type="dxa"/>
            <w:gridSpan w:val="1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63D0E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0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B7624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校准日期</w:t>
            </w:r>
          </w:p>
        </w:tc>
        <w:tc>
          <w:tcPr>
            <w:tcW w:w="2417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DA2A6C">
            <w:pPr>
              <w:jc w:val="center"/>
              <w:rPr>
                <w:sz w:val="21"/>
                <w:szCs w:val="21"/>
              </w:rPr>
            </w:pPr>
          </w:p>
        </w:tc>
      </w:tr>
      <w:tr w14:paraId="050EE64C">
        <w:trPr>
          <w:trHeight w:val="397" w:hRule="atLeast"/>
          <w:jc w:val="center"/>
        </w:trPr>
        <w:tc>
          <w:tcPr>
            <w:tcW w:w="15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CBAA4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委托单位</w:t>
            </w:r>
          </w:p>
        </w:tc>
        <w:tc>
          <w:tcPr>
            <w:tcW w:w="2610" w:type="dxa"/>
            <w:gridSpan w:val="1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70DF7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0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00CDE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校准依据</w:t>
            </w:r>
          </w:p>
        </w:tc>
        <w:tc>
          <w:tcPr>
            <w:tcW w:w="2417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E9F105">
            <w:pPr>
              <w:jc w:val="center"/>
              <w:rPr>
                <w:sz w:val="21"/>
                <w:szCs w:val="21"/>
              </w:rPr>
            </w:pPr>
          </w:p>
        </w:tc>
      </w:tr>
      <w:tr w14:paraId="76DE9F03">
        <w:trPr>
          <w:trHeight w:val="397" w:hRule="atLeast"/>
          <w:jc w:val="center"/>
        </w:trPr>
        <w:tc>
          <w:tcPr>
            <w:tcW w:w="9287" w:type="dxa"/>
            <w:gridSpan w:val="3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B871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被校设备信息</w:t>
            </w:r>
          </w:p>
        </w:tc>
      </w:tr>
      <w:tr w14:paraId="1F2F7988">
        <w:trPr>
          <w:trHeight w:val="397" w:hRule="atLeast"/>
          <w:jc w:val="center"/>
        </w:trPr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31F0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</w:t>
            </w: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2849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DBE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37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402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出厂编号</w:t>
            </w:r>
          </w:p>
        </w:tc>
        <w:tc>
          <w:tcPr>
            <w:tcW w:w="230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553836">
            <w:pPr>
              <w:jc w:val="center"/>
              <w:rPr>
                <w:sz w:val="21"/>
                <w:szCs w:val="21"/>
              </w:rPr>
            </w:pPr>
          </w:p>
        </w:tc>
      </w:tr>
      <w:tr w14:paraId="6F440002">
        <w:trPr>
          <w:trHeight w:val="397" w:hRule="atLeast"/>
          <w:jc w:val="center"/>
        </w:trPr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742B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型号</w:t>
            </w:r>
            <w:r>
              <w:rPr>
                <w:i/>
                <w:iCs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规格</w:t>
            </w:r>
          </w:p>
        </w:tc>
        <w:tc>
          <w:tcPr>
            <w:tcW w:w="2849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5FBA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37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5D49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设备编号</w:t>
            </w:r>
          </w:p>
        </w:tc>
        <w:tc>
          <w:tcPr>
            <w:tcW w:w="230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96BB83">
            <w:pPr>
              <w:jc w:val="center"/>
              <w:rPr>
                <w:sz w:val="21"/>
                <w:szCs w:val="21"/>
              </w:rPr>
            </w:pPr>
          </w:p>
        </w:tc>
      </w:tr>
      <w:tr w14:paraId="3CE1AA2C">
        <w:trPr>
          <w:trHeight w:val="397" w:hRule="atLeast"/>
          <w:jc w:val="center"/>
        </w:trPr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DC6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制造厂</w:t>
            </w:r>
          </w:p>
        </w:tc>
        <w:tc>
          <w:tcPr>
            <w:tcW w:w="2849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70E0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37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4FF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环境条件</w:t>
            </w:r>
          </w:p>
        </w:tc>
        <w:tc>
          <w:tcPr>
            <w:tcW w:w="230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7B2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℃       %RH</w:t>
            </w:r>
          </w:p>
        </w:tc>
      </w:tr>
      <w:tr w14:paraId="22B0FD0F">
        <w:trPr>
          <w:trHeight w:val="397" w:hRule="atLeast"/>
          <w:jc w:val="center"/>
        </w:trPr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B891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校准地点</w:t>
            </w:r>
          </w:p>
        </w:tc>
        <w:tc>
          <w:tcPr>
            <w:tcW w:w="8087" w:type="dxa"/>
            <w:gridSpan w:val="3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C7A0A4">
            <w:pPr>
              <w:jc w:val="center"/>
              <w:rPr>
                <w:sz w:val="21"/>
                <w:szCs w:val="21"/>
              </w:rPr>
            </w:pPr>
          </w:p>
        </w:tc>
      </w:tr>
      <w:tr w14:paraId="4F42A618">
        <w:trPr>
          <w:trHeight w:val="397" w:hRule="atLeast"/>
          <w:jc w:val="center"/>
        </w:trPr>
        <w:tc>
          <w:tcPr>
            <w:tcW w:w="9287" w:type="dxa"/>
            <w:gridSpan w:val="3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1535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测量</w:t>
            </w:r>
            <w:r>
              <w:rPr>
                <w:sz w:val="21"/>
                <w:szCs w:val="21"/>
              </w:rPr>
              <w:t>标准信息</w:t>
            </w:r>
          </w:p>
        </w:tc>
      </w:tr>
      <w:tr w14:paraId="5CC0A516">
        <w:trPr>
          <w:trHeight w:val="397" w:hRule="atLeast"/>
          <w:jc w:val="center"/>
        </w:trPr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B2DC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107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A8D2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型号</w:t>
            </w:r>
          </w:p>
        </w:tc>
        <w:tc>
          <w:tcPr>
            <w:tcW w:w="177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977DF1"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12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82C385"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2307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C2D348">
            <w:pPr>
              <w:jc w:val="center"/>
              <w:rPr>
                <w:rFonts w:ascii="Times New Roman" w:hAnsi="Times New Roman" w:eastAsia="宋体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szCs w:val="21"/>
                <w:highlight w:val="none"/>
              </w:rPr>
              <w:t>不确定度/               准确度等级/</w:t>
            </w:r>
          </w:p>
          <w:p w14:paraId="1B28BF67">
            <w:pPr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szCs w:val="21"/>
                <w:highlight w:val="none"/>
              </w:rPr>
              <w:t>最大允许误差</w:t>
            </w:r>
          </w:p>
        </w:tc>
        <w:tc>
          <w:tcPr>
            <w:tcW w:w="169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A0E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有效期</w:t>
            </w:r>
          </w:p>
        </w:tc>
      </w:tr>
      <w:tr w14:paraId="41741697">
        <w:trPr>
          <w:trHeight w:val="397" w:hRule="atLeast"/>
          <w:jc w:val="center"/>
        </w:trPr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1CDE32">
            <w:pPr>
              <w:jc w:val="center"/>
              <w:rPr>
                <w:sz w:val="24"/>
              </w:rPr>
            </w:pPr>
          </w:p>
        </w:tc>
        <w:tc>
          <w:tcPr>
            <w:tcW w:w="107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6D99C6">
            <w:pPr>
              <w:jc w:val="left"/>
              <w:rPr>
                <w:sz w:val="24"/>
              </w:rPr>
            </w:pPr>
          </w:p>
        </w:tc>
        <w:tc>
          <w:tcPr>
            <w:tcW w:w="177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A76718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C043B8">
            <w:pPr>
              <w:jc w:val="center"/>
              <w:rPr>
                <w:sz w:val="24"/>
              </w:rPr>
            </w:pPr>
          </w:p>
        </w:tc>
        <w:tc>
          <w:tcPr>
            <w:tcW w:w="2307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95D517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BF04C3">
            <w:pPr>
              <w:jc w:val="center"/>
              <w:rPr>
                <w:sz w:val="24"/>
              </w:rPr>
            </w:pPr>
          </w:p>
        </w:tc>
      </w:tr>
      <w:tr w14:paraId="36A43031">
        <w:trPr>
          <w:trHeight w:val="397" w:hRule="atLeast"/>
          <w:jc w:val="center"/>
        </w:trPr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E4545F">
            <w:pPr>
              <w:jc w:val="center"/>
              <w:rPr>
                <w:sz w:val="24"/>
              </w:rPr>
            </w:pPr>
          </w:p>
        </w:tc>
        <w:tc>
          <w:tcPr>
            <w:tcW w:w="107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58A1DC">
            <w:pPr>
              <w:jc w:val="left"/>
              <w:rPr>
                <w:sz w:val="24"/>
              </w:rPr>
            </w:pPr>
          </w:p>
        </w:tc>
        <w:tc>
          <w:tcPr>
            <w:tcW w:w="177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01DFE6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56323F">
            <w:pPr>
              <w:jc w:val="center"/>
              <w:rPr>
                <w:sz w:val="24"/>
              </w:rPr>
            </w:pPr>
          </w:p>
        </w:tc>
        <w:tc>
          <w:tcPr>
            <w:tcW w:w="2307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78B56A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ABA85F">
            <w:pPr>
              <w:jc w:val="center"/>
              <w:rPr>
                <w:sz w:val="24"/>
              </w:rPr>
            </w:pPr>
          </w:p>
        </w:tc>
      </w:tr>
      <w:tr w14:paraId="3C82A6D3">
        <w:trPr>
          <w:trHeight w:val="397" w:hRule="atLeast"/>
          <w:jc w:val="center"/>
        </w:trPr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00B0DE">
            <w:pPr>
              <w:jc w:val="center"/>
              <w:rPr>
                <w:sz w:val="24"/>
              </w:rPr>
            </w:pPr>
          </w:p>
        </w:tc>
        <w:tc>
          <w:tcPr>
            <w:tcW w:w="107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391E7A">
            <w:pPr>
              <w:jc w:val="left"/>
              <w:rPr>
                <w:sz w:val="24"/>
              </w:rPr>
            </w:pPr>
          </w:p>
        </w:tc>
        <w:tc>
          <w:tcPr>
            <w:tcW w:w="177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B789A3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250B0E">
            <w:pPr>
              <w:jc w:val="center"/>
              <w:rPr>
                <w:sz w:val="24"/>
              </w:rPr>
            </w:pPr>
          </w:p>
        </w:tc>
        <w:tc>
          <w:tcPr>
            <w:tcW w:w="2307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A10BB0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FB2C1E">
            <w:pPr>
              <w:jc w:val="center"/>
              <w:rPr>
                <w:sz w:val="24"/>
              </w:rPr>
            </w:pPr>
          </w:p>
        </w:tc>
      </w:tr>
      <w:tr w14:paraId="69E96FF8">
        <w:trPr>
          <w:trHeight w:val="397" w:hRule="atLeast"/>
          <w:jc w:val="center"/>
        </w:trPr>
        <w:tc>
          <w:tcPr>
            <w:tcW w:w="9287" w:type="dxa"/>
            <w:gridSpan w:val="3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CF738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校准结果</w:t>
            </w:r>
          </w:p>
        </w:tc>
      </w:tr>
      <w:tr w14:paraId="199D649D">
        <w:trPr>
          <w:trHeight w:val="397" w:hRule="atLeast"/>
          <w:jc w:val="center"/>
        </w:trPr>
        <w:tc>
          <w:tcPr>
            <w:tcW w:w="9287" w:type="dxa"/>
            <w:gridSpan w:val="3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97CB9B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 位移示值误差</w:t>
            </w:r>
          </w:p>
        </w:tc>
      </w:tr>
      <w:tr w14:paraId="3B7BCFFE">
        <w:trPr>
          <w:trHeight w:val="397" w:hRule="atLeast"/>
          <w:jc w:val="center"/>
        </w:trPr>
        <w:tc>
          <w:tcPr>
            <w:tcW w:w="16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773176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标准量块</w:t>
            </w:r>
          </w:p>
        </w:tc>
        <w:tc>
          <w:tcPr>
            <w:tcW w:w="3791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889A5F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量块1</w:t>
            </w:r>
          </w:p>
        </w:tc>
        <w:tc>
          <w:tcPr>
            <w:tcW w:w="385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161B6EE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量块2</w:t>
            </w:r>
          </w:p>
        </w:tc>
      </w:tr>
      <w:tr w14:paraId="5105AB63">
        <w:trPr>
          <w:trHeight w:val="397" w:hRule="atLeast"/>
          <w:jc w:val="center"/>
        </w:trPr>
        <w:tc>
          <w:tcPr>
            <w:tcW w:w="16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41FABE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标称值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791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6EA6C3E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85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6E44E0A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962B94F">
        <w:trPr>
          <w:trHeight w:val="397" w:hRule="atLeast"/>
          <w:jc w:val="center"/>
        </w:trPr>
        <w:tc>
          <w:tcPr>
            <w:tcW w:w="16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B9DA07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实测值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i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1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8E8F96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0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FC51B53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03D4847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19E67E4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C1FF314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1649ED51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9C61CA7">
        <w:trPr>
          <w:trHeight w:val="397" w:hRule="atLeast"/>
          <w:jc w:val="center"/>
        </w:trPr>
        <w:tc>
          <w:tcPr>
            <w:tcW w:w="16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54C3D9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量块测量平均值</w:t>
            </w:r>
            <w:r>
              <w:rPr>
                <w:rFonts w:hint="eastAsia" w:ascii="Times New Roman" w:hAnsi="Times New Roman" w:cs="Times New Roman"/>
                <w:color w:val="000000"/>
                <w:position w:val="-10"/>
                <w:sz w:val="21"/>
                <w:szCs w:val="21"/>
                <w:lang w:val="en-US" w:eastAsia="zh-CN"/>
              </w:rPr>
              <w:object>
                <v:shape id="_x0000_i1043" o:spt="75" type="#_x0000_t75" style="height:19pt;width:13.95pt;" o:ole="t" filled="f" o:preferrelative="t" stroked="f" coordsize="21600,21600">
                  <v:path/>
                  <v:fill on="f" focussize="0,0"/>
                  <v:stroke on="f"/>
                  <v:imagedata r:id="rId55" o:title=""/>
                  <o:lock v:ext="edit" aspectratio="t"/>
                  <w10:wrap type="none"/>
                  <w10:anchorlock/>
                </v:shape>
                <o:OLEObject Type="Embed" ProgID="Equation.KSEE3" ShapeID="_x0000_i1043" DrawAspect="Content" ObjectID="_1468075741" r:id="rId54">
                  <o:LockedField>false</o:LockedField>
                </o:OLEObject>
              </w:objec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791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36D2E9F3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85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3A1CD7BB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93C72EB">
        <w:trPr>
          <w:trHeight w:val="397" w:hRule="atLeast"/>
          <w:jc w:val="center"/>
        </w:trPr>
        <w:tc>
          <w:tcPr>
            <w:tcW w:w="16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2366D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示值误差Δ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L</w:t>
            </w:r>
          </w:p>
          <w:p w14:paraId="1CC9274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(mm)</w:t>
            </w:r>
          </w:p>
        </w:tc>
        <w:tc>
          <w:tcPr>
            <w:tcW w:w="3791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3C2280C9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85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3E87EDA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BB63A3A">
        <w:trPr>
          <w:trHeight w:val="397" w:hRule="atLeast"/>
          <w:jc w:val="center"/>
        </w:trPr>
        <w:tc>
          <w:tcPr>
            <w:tcW w:w="9287" w:type="dxa"/>
            <w:gridSpan w:val="36"/>
            <w:tcBorders>
              <w:tl2br w:val="nil"/>
              <w:tr2bl w:val="nil"/>
            </w:tcBorders>
            <w:noWrap w:val="0"/>
            <w:vAlign w:val="center"/>
          </w:tcPr>
          <w:p w14:paraId="68AFEBEA">
            <w:pPr>
              <w:spacing w:line="240" w:lineRule="auto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扩展不确定度：</w:t>
            </w:r>
          </w:p>
        </w:tc>
      </w:tr>
      <w:tr w14:paraId="3EA3FC6C">
        <w:trPr>
          <w:trHeight w:val="397" w:hRule="atLeast"/>
          <w:jc w:val="center"/>
        </w:trPr>
        <w:tc>
          <w:tcPr>
            <w:tcW w:w="9287" w:type="dxa"/>
            <w:gridSpan w:val="36"/>
            <w:tcBorders>
              <w:tl2br w:val="nil"/>
              <w:tr2bl w:val="nil"/>
            </w:tcBorders>
            <w:noWrap w:val="0"/>
            <w:vAlign w:val="center"/>
          </w:tcPr>
          <w:p w14:paraId="63EB99E1">
            <w:pP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 升温速率示值误差</w:t>
            </w:r>
          </w:p>
        </w:tc>
      </w:tr>
      <w:tr w14:paraId="2FCF8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67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5F3958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升温速率设定值</w:t>
            </w:r>
            <w:r>
              <w:rPr>
                <w:rFonts w:hint="default"/>
                <w:i/>
                <w:iCs/>
                <w:sz w:val="21"/>
                <w:szCs w:val="21"/>
                <w:lang w:val="en-US" w:eastAsia="zh-CN"/>
              </w:rPr>
              <w:t>V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（℃/min）</w:t>
            </w:r>
          </w:p>
        </w:tc>
        <w:tc>
          <w:tcPr>
            <w:tcW w:w="18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C20C17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开始计时温度</w:t>
            </w:r>
            <w:r>
              <w:rPr>
                <w:rFonts w:hint="default"/>
                <w:i/>
                <w:iCs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/>
                <w:sz w:val="21"/>
                <w:szCs w:val="21"/>
                <w:vertAlign w:val="subscript"/>
                <w:lang w:val="en-US" w:eastAsia="zh-CN"/>
              </w:rPr>
              <w:t>0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（℃）</w:t>
            </w:r>
          </w:p>
        </w:tc>
        <w:tc>
          <w:tcPr>
            <w:tcW w:w="196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1846F4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终止计时温度</w:t>
            </w:r>
            <w:r>
              <w:rPr>
                <w:rFonts w:hint="default"/>
                <w:i/>
                <w:iCs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/>
                <w:sz w:val="21"/>
                <w:szCs w:val="21"/>
                <w:vertAlign w:val="subscript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（℃）</w:t>
            </w:r>
          </w:p>
        </w:tc>
        <w:tc>
          <w:tcPr>
            <w:tcW w:w="196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3630C0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计时时间t（min）</w:t>
            </w:r>
          </w:p>
        </w:tc>
        <w:tc>
          <w:tcPr>
            <w:tcW w:w="185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A3C87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升温速率示值误差Δ</w:t>
            </w:r>
            <w:r>
              <w:rPr>
                <w:rFonts w:hint="default"/>
                <w:i/>
                <w:iCs/>
                <w:sz w:val="21"/>
                <w:szCs w:val="21"/>
                <w:lang w:val="en-US" w:eastAsia="zh-CN"/>
              </w:rPr>
              <w:t>v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（%）</w:t>
            </w:r>
          </w:p>
        </w:tc>
      </w:tr>
      <w:tr w14:paraId="2D21C2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67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77C28D6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8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269E7D0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96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A121B87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96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7DAB485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85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5D4834C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4B653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9287" w:type="dxa"/>
            <w:gridSpan w:val="36"/>
            <w:tcBorders>
              <w:tl2br w:val="nil"/>
              <w:tr2bl w:val="nil"/>
            </w:tcBorders>
            <w:noWrap w:val="0"/>
            <w:vAlign w:val="center"/>
          </w:tcPr>
          <w:p w14:paraId="3E814DC8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 温度重复性和示值误差（方法1）</w:t>
            </w:r>
          </w:p>
        </w:tc>
      </w:tr>
      <w:tr w14:paraId="4D55B81F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6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3A391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标准物质</w:t>
            </w:r>
          </w:p>
        </w:tc>
        <w:tc>
          <w:tcPr>
            <w:tcW w:w="3804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F618CD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标准物质1</w:t>
            </w:r>
          </w:p>
        </w:tc>
        <w:tc>
          <w:tcPr>
            <w:tcW w:w="383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475CB6F">
            <w:pPr>
              <w:jc w:val="center"/>
              <w:rPr>
                <w:rFonts w:hint="default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标准物质2</w:t>
            </w:r>
          </w:p>
        </w:tc>
      </w:tr>
      <w:tr w14:paraId="0DEA70A6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6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2B0F96">
            <w:pPr>
              <w:jc w:val="center"/>
              <w:rPr>
                <w:rFonts w:hint="default"/>
                <w:i/>
                <w:iCs/>
                <w:sz w:val="21"/>
                <w:szCs w:val="21"/>
                <w:vertAlign w:val="subscrip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熔点标称值</w:t>
            </w:r>
            <w:r>
              <w:rPr>
                <w:rFonts w:hint="default"/>
                <w:i/>
                <w:iCs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/>
                <w:i w:val="0"/>
                <w:iCs w:val="0"/>
                <w:sz w:val="21"/>
                <w:szCs w:val="21"/>
                <w:vertAlign w:val="subscript"/>
                <w:lang w:val="en-US" w:eastAsia="zh-CN"/>
              </w:rPr>
              <w:t>m,s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804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0B2B1F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83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23B2FB3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9083F7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6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D1230E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熔点测量值</w:t>
            </w:r>
            <w:r>
              <w:rPr>
                <w:rFonts w:hint="default"/>
                <w:i/>
                <w:iCs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/>
                <w:i w:val="0"/>
                <w:iCs w:val="0"/>
                <w:sz w:val="21"/>
                <w:szCs w:val="21"/>
                <w:vertAlign w:val="subscript"/>
                <w:lang w:val="en-US" w:eastAsia="zh-CN"/>
              </w:rPr>
              <w:t>m,i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70406D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4EF1EA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1B32F8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8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E467DB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2881651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6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DE3AB8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熔点测量平均值</w:t>
            </w:r>
            <w:r>
              <w:rPr>
                <w:rFonts w:hint="eastAsia"/>
                <w:position w:val="-12"/>
                <w:sz w:val="21"/>
                <w:szCs w:val="21"/>
                <w:lang w:val="en-US" w:eastAsia="zh-CN"/>
              </w:rPr>
              <w:object>
                <v:shape id="_x0000_i1044" o:spt="75" type="#_x0000_t75" style="height:20pt;width:16pt;" o:ole="t" filled="f" o:preferrelative="t" stroked="f" coordsize="21600,21600">
                  <v:path/>
                  <v:fill on="f" focussize="0,0"/>
                  <v:stroke on="f"/>
                  <v:imagedata r:id="rId57" o:title=""/>
                  <o:lock v:ext="edit" aspectratio="t"/>
                  <w10:wrap type="none"/>
                  <w10:anchorlock/>
                </v:shape>
                <o:OLEObject Type="Embed" ProgID="Equation.KSEE3" ShapeID="_x0000_i1044" DrawAspect="Content" ObjectID="_1468075742" r:id="rId56">
                  <o:LockedField>false</o:LockedField>
                </o:OLEObject>
              </w:objec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804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1FE25E2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83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6C31D66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6A88312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6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B996A7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重复性</w:t>
            </w:r>
            <w:r>
              <w:rPr>
                <w:rFonts w:hint="eastAsia"/>
                <w:position w:val="-14"/>
                <w:sz w:val="21"/>
                <w:szCs w:val="21"/>
                <w:lang w:val="en-US" w:eastAsia="zh-CN"/>
              </w:rPr>
              <w:object>
                <v:shape id="_x0000_i1045" o:spt="75" type="#_x0000_t75" style="height:19pt;width:18pt;" o:ole="t" filled="f" o:preferrelative="t" stroked="f" coordsize="21600,21600">
                  <v:path/>
                  <v:fill on="f" focussize="0,0"/>
                  <v:stroke on="f"/>
                  <v:imagedata r:id="rId59" o:title=""/>
                  <o:lock v:ext="edit" aspectratio="t"/>
                  <w10:wrap type="none"/>
                  <w10:anchorlock/>
                </v:shape>
                <o:OLEObject Type="Embed" ProgID="Equation.KSEE3" ShapeID="_x0000_i1045" DrawAspect="Content" ObjectID="_1468075743" r:id="rId58">
                  <o:LockedField>false</o:LockedField>
                </o:OLEObject>
              </w:objec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804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18F4DC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83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76D7117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1FAB223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6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AF9F7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示值误差</w:t>
            </w:r>
            <m:oMath>
              <m:r>
                <m:rPr>
                  <m:nor/>
                </m:rPr>
                <w:rPr>
                  <w:rFonts w:hint="eastAsia"/>
                  <w:i/>
                  <w:iCs/>
                  <w:sz w:val="21"/>
                  <w:szCs w:val="21"/>
                  <w:lang w:val="en-US" w:eastAsia="zh-CN"/>
                </w:rPr>
                <m:t>∆</m:t>
              </m:r>
            </m:oMath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/>
                <w:i w:val="0"/>
                <w:iCs w:val="0"/>
                <w:sz w:val="21"/>
                <w:szCs w:val="21"/>
                <w:vertAlign w:val="subscript"/>
                <w:lang w:val="en-US" w:eastAsia="zh-CN"/>
              </w:rPr>
              <w:t>m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804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A36F7F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83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3A76BF1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30372FDA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9287" w:type="dxa"/>
            <w:gridSpan w:val="36"/>
            <w:tcBorders>
              <w:tl2br w:val="nil"/>
              <w:tr2bl w:val="nil"/>
            </w:tcBorders>
            <w:noWrap w:val="0"/>
            <w:vAlign w:val="center"/>
          </w:tcPr>
          <w:p w14:paraId="296D5428">
            <w:pPr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扩展不确定度：</w:t>
            </w:r>
          </w:p>
        </w:tc>
      </w:tr>
      <w:tr w14:paraId="10464B32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9287" w:type="dxa"/>
            <w:gridSpan w:val="36"/>
            <w:tcBorders>
              <w:tl2br w:val="nil"/>
              <w:tr2bl w:val="nil"/>
            </w:tcBorders>
            <w:noWrap w:val="0"/>
            <w:vAlign w:val="center"/>
          </w:tcPr>
          <w:p w14:paraId="65DAA548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 温度重复性和示值误差（方法2）</w:t>
            </w:r>
          </w:p>
        </w:tc>
      </w:tr>
      <w:tr w14:paraId="6CDFD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5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E4A59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标准物质</w:t>
            </w:r>
          </w:p>
        </w:tc>
        <w:tc>
          <w:tcPr>
            <w:tcW w:w="3948" w:type="dxa"/>
            <w:gridSpan w:val="20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8E9B1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标准物质1</w:t>
            </w:r>
          </w:p>
        </w:tc>
        <w:tc>
          <w:tcPr>
            <w:tcW w:w="3813" w:type="dxa"/>
            <w:gridSpan w:val="1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6B6E1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标准物质2</w:t>
            </w:r>
          </w:p>
        </w:tc>
      </w:tr>
      <w:tr w14:paraId="09E0C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5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EA4F31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玻璃化转变温度标称值</w:t>
            </w: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 w:ascii="Times New Roman" w:cs="Times New Roman"/>
                <w:sz w:val="21"/>
                <w:szCs w:val="21"/>
                <w:vertAlign w:val="subscript"/>
                <w:lang w:val="en-US" w:eastAsia="zh-CN"/>
              </w:rPr>
              <w:t>g,s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948" w:type="dxa"/>
            <w:gridSpan w:val="20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79857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13" w:type="dxa"/>
            <w:gridSpan w:val="1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FBFF7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34B8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5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8CB9D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玻璃化转变温度测量值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Times New Roman" w:cs="Times New Roman"/>
                <w:sz w:val="24"/>
                <w:szCs w:val="24"/>
                <w:vertAlign w:val="subscript"/>
                <w:lang w:val="en-US" w:eastAsia="zh-CN"/>
              </w:rPr>
              <w:t>g,i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7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B2A104B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34F0928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2F7C603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05E2FCD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616FD7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5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CA6D6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玻璃化转变温度测量平均值</w:t>
            </w:r>
            <w:r>
              <w:rPr>
                <w:position w:val="-14"/>
              </w:rPr>
              <w:object>
                <v:shape id="_x0000_i1046" o:spt="75" type="#_x0000_t75" style="height:21pt;width:15pt;" o:ole="t" filled="f" o:preferrelative="t" stroked="f" coordsize="21600,21600">
                  <v:path/>
                  <v:fill on="f" focussize="0,0"/>
                  <v:stroke on="f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KSEE3" ShapeID="_x0000_i1046" DrawAspect="Content" ObjectID="_1468075744" r:id="rId60">
                  <o:LockedField>false</o:LockedField>
                </o:OLEObject>
              </w:objec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94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2E389951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81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55DD6683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7BC86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5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6E935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重复性</w:t>
            </w:r>
            <w:r>
              <w:rPr>
                <w:rFonts w:hint="eastAsia" w:ascii="Times New Roman" w:cs="Times New Roman"/>
                <w:i/>
                <w:iCs/>
                <w:sz w:val="24"/>
                <w:szCs w:val="24"/>
                <w:highlight w:val="none"/>
                <w:lang w:val="en-US" w:eastAsia="zh-CN"/>
              </w:rPr>
              <w:t>S</w:t>
            </w:r>
            <w:r>
              <w:rPr>
                <w:rFonts w:hint="eastAsia" w:ascii="Times New Roman" w:cs="Times New Roman"/>
                <w:sz w:val="24"/>
                <w:szCs w:val="24"/>
                <w:highlight w:val="none"/>
                <w:vertAlign w:val="subscript"/>
                <w:lang w:val="en-US" w:eastAsia="zh-CN"/>
              </w:rPr>
              <w:t>T</w:t>
            </w:r>
            <w:r>
              <w:rPr>
                <w:rFonts w:hint="eastAsia" w:ascii="Times New Roman" w:cs="Times New Roman"/>
                <w:sz w:val="22"/>
                <w:szCs w:val="22"/>
                <w:highlight w:val="none"/>
                <w:vertAlign w:val="subscript"/>
                <w:lang w:val="en-US" w:eastAsia="zh-CN"/>
              </w:rPr>
              <w:t>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94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112F1E0D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81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200BB69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6BFA7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5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772E8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示值误差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Δ</w:t>
            </w:r>
            <w:r>
              <w:rPr>
                <w:rFonts w:hint="eastAsia" w:ascii="Times New Roman" w:cs="Times New Roman"/>
                <w:i/>
                <w:iCs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Times New Roman" w:cs="Times New Roman"/>
                <w:i/>
                <w:iCs/>
                <w:sz w:val="24"/>
                <w:szCs w:val="24"/>
                <w:vertAlign w:val="subscript"/>
                <w:lang w:val="en-US" w:eastAsia="zh-CN"/>
              </w:rPr>
              <w:t>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94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628AB01F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81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11B909F9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6801C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9287" w:type="dxa"/>
            <w:gridSpan w:val="36"/>
            <w:tcBorders>
              <w:tl2br w:val="nil"/>
              <w:tr2bl w:val="nil"/>
            </w:tcBorders>
            <w:noWrap w:val="0"/>
            <w:vAlign w:val="center"/>
          </w:tcPr>
          <w:p w14:paraId="07AF4331"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扩展不确定度：</w:t>
            </w:r>
          </w:p>
        </w:tc>
      </w:tr>
      <w:tr w14:paraId="2C374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9287" w:type="dxa"/>
            <w:gridSpan w:val="36"/>
            <w:tcBorders>
              <w:tl2br w:val="nil"/>
              <w:tr2bl w:val="nil"/>
            </w:tcBorders>
            <w:noWrap w:val="0"/>
            <w:vAlign w:val="center"/>
          </w:tcPr>
          <w:p w14:paraId="0AE787B6">
            <w:pPr>
              <w:jc w:val="both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 储能模量示值误差和重复性</w:t>
            </w:r>
          </w:p>
        </w:tc>
      </w:tr>
      <w:tr w14:paraId="0B72D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4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4BF807">
            <w:pPr>
              <w:jc w:val="center"/>
              <w:rPr>
                <w:rFonts w:hint="default" w:ascii="Times New Roman Italic" w:hAnsi="Times New Roman Italic" w:cs="Times New Roman Italic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标称值</w:t>
            </w:r>
            <w:r>
              <w:rPr>
                <w:rFonts w:hint="default" w:ascii="Times New Roman Italic" w:hAnsi="Times New Roman Italic" w:cs="Times New Roman Italic"/>
                <w:i/>
                <w:iCs/>
                <w:kern w:val="2"/>
                <w:sz w:val="21"/>
                <w:szCs w:val="21"/>
                <w:lang w:val="en-US" w:eastAsia="zh-CN" w:bidi="ar-SA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MPa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630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FA9229D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实测值</w:t>
            </w:r>
            <w:r>
              <w:rPr>
                <w:rFonts w:hint="default"/>
                <w:i/>
                <w:iCs/>
                <w:kern w:val="2"/>
                <w:sz w:val="21"/>
                <w:szCs w:val="21"/>
                <w:lang w:val="en-US" w:eastAsia="zh-CN" w:bidi="ar-SA"/>
              </w:rPr>
              <w:t>E</w:t>
            </w:r>
            <w:r>
              <w:rPr>
                <w:rFonts w:hint="eastAsia"/>
                <w:i w:val="0"/>
                <w:iCs w:val="0"/>
                <w:kern w:val="2"/>
                <w:sz w:val="21"/>
                <w:szCs w:val="21"/>
                <w:vertAlign w:val="subscript"/>
                <w:lang w:val="en-US" w:eastAsia="zh-CN" w:bidi="ar-SA"/>
              </w:rPr>
              <w:t>i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MPa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7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4DA4C5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测量平均值</w:t>
            </w:r>
            <m:oMath>
              <m:acc>
                <m:accPr>
                  <m:chr m:val="̅"/>
                  <m:ctrlPr>
                    <w:rPr>
                      <w:rFonts w:hint="default" w:ascii="DejaVu Math TeX Gyre" w:hAnsi="DejaVu Math TeX Gyre" w:cs="Times New Roman Italic"/>
                      <w:i/>
                      <w:iCs/>
                      <w:sz w:val="21"/>
                      <w:szCs w:val="21"/>
                      <w:highlight w:val="none"/>
                      <w:lang w:val="en-US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 Italic"/>
                      <w:i/>
                      <w:iCs/>
                      <w:sz w:val="21"/>
                      <w:szCs w:val="21"/>
                      <w:highlight w:val="none"/>
                      <w:lang w:val="en-US"/>
                    </w:rPr>
                    <m:t>E</m:t>
                  </m:r>
                  <m:ctrlPr>
                    <w:rPr>
                      <w:rFonts w:hint="default" w:ascii="DejaVu Math TeX Gyre" w:hAnsi="DejaVu Math TeX Gyre" w:cs="Times New Roman Italic"/>
                      <w:i/>
                      <w:iCs/>
                      <w:sz w:val="21"/>
                      <w:szCs w:val="21"/>
                      <w:highlight w:val="none"/>
                      <w:lang w:val="en-US"/>
                    </w:rPr>
                  </m:ctrlPr>
                </m:e>
              </m:acc>
            </m:oMath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MPa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75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E9C38D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示值误差</w:t>
            </w:r>
            <m:oMath>
              <m:r>
                <m:rPr>
                  <m:nor/>
                  <m:sty m:val="p"/>
                </m:rPr>
                <w:rPr>
                  <w:rFonts w:hint="eastAsia"/>
                  <w:b w:val="0"/>
                  <w:i w:val="0"/>
                  <w:sz w:val="21"/>
                  <w:szCs w:val="21"/>
                  <w:lang w:val="en-US" w:eastAsia="zh-CN"/>
                </w:rPr>
                <m:t>∆</m:t>
              </m:r>
              <m:r>
                <m:rPr>
                  <m:nor/>
                </m:rPr>
                <w:rPr>
                  <w:rFonts w:hint="default" w:ascii="Times New Roman" w:hAnsi="Times New Roman" w:cs="Times New Roman Italic"/>
                  <w:i/>
                  <w:iCs/>
                  <w:sz w:val="21"/>
                  <w:szCs w:val="21"/>
                  <w:lang w:val="en-US" w:eastAsia="zh-CN"/>
                </w:rPr>
                <m:t>E</m:t>
              </m:r>
            </m:oMath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6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9DC60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重复性</w:t>
            </w:r>
            <m:oMath>
              <m:sSub>
                <m:sSubPr>
                  <m:ctrlPr>
                    <w:rPr>
                      <w:rFonts w:hint="default" w:ascii="DejaVu Math TeX Gyre" w:hAnsi="DejaVu Math TeX Gyre" w:cs="Times New Roman Italic"/>
                      <w:i/>
                      <w:iCs/>
                      <w:sz w:val="21"/>
                      <w:szCs w:val="21"/>
                      <w:lang w:val="en-US" w:eastAsia="zh-CN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 Italic"/>
                      <w:i/>
                      <w:iCs/>
                      <w:sz w:val="21"/>
                      <w:szCs w:val="21"/>
                      <w:lang w:val="en-US" w:eastAsia="zh-CN"/>
                    </w:rPr>
                    <m:t>S</m:t>
                  </m:r>
                  <m:ctrlPr>
                    <w:rPr>
                      <w:rFonts w:hint="default" w:ascii="DejaVu Math TeX Gyre" w:hAnsi="DejaVu Math TeX Gyre" w:cs="Times New Roman Italic"/>
                      <w:i/>
                      <w:iCs/>
                      <w:sz w:val="21"/>
                      <w:szCs w:val="21"/>
                      <w:lang w:val="en-US" w:eastAsia="zh-CN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hint="default" w:ascii="Times New Roman" w:hAnsi="Times New Roman" w:cs="Times New Roman Italic"/>
                      <w:i/>
                      <w:iCs/>
                      <w:sz w:val="21"/>
                      <w:szCs w:val="21"/>
                      <w:lang w:val="en-US" w:eastAsia="zh-CN"/>
                    </w:rPr>
                    <m:t>E</m:t>
                  </m:r>
                  <m:ctrlPr>
                    <w:rPr>
                      <w:rFonts w:hint="default" w:ascii="DejaVu Math TeX Gyre" w:hAnsi="DejaVu Math TeX Gyre" w:cs="Times New Roman Italic"/>
                      <w:i/>
                      <w:iCs/>
                      <w:sz w:val="21"/>
                      <w:szCs w:val="21"/>
                      <w:lang w:val="en-US" w:eastAsia="zh-CN"/>
                    </w:rPr>
                  </m:ctrlPr>
                </m:sub>
              </m:sSub>
            </m:oMath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MPa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</w:tr>
      <w:tr w14:paraId="2D99B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14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066A9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130A41C"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ED06D30">
            <w:pPr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EE8235B">
            <w:pPr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2349E28">
            <w:pPr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901203">
            <w:pPr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A018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97" w:hRule="atLeast"/>
          <w:jc w:val="center"/>
        </w:trPr>
        <w:tc>
          <w:tcPr>
            <w:tcW w:w="9287" w:type="dxa"/>
            <w:gridSpan w:val="36"/>
            <w:tcBorders>
              <w:tl2br w:val="nil"/>
              <w:tr2bl w:val="nil"/>
            </w:tcBorders>
            <w:noWrap w:val="0"/>
            <w:vAlign w:val="center"/>
          </w:tcPr>
          <w:p w14:paraId="472F1257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扩展不确定度：</w:t>
            </w:r>
          </w:p>
        </w:tc>
      </w:tr>
    </w:tbl>
    <w:p w14:paraId="6E2116DD">
      <w:pPr>
        <w:jc w:val="both"/>
        <w:outlineLvl w:val="9"/>
        <w:rPr>
          <w:rFonts w:hint="eastAsia" w:cs="Times New Roman"/>
          <w:sz w:val="21"/>
          <w:szCs w:val="21"/>
          <w:lang w:val="en-US" w:eastAsia="zh-CN"/>
        </w:rPr>
      </w:pPr>
    </w:p>
    <w:p w14:paraId="1A4B2B4A">
      <w:pP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</w:pPr>
      <w:bookmarkStart w:id="233" w:name="_Toc23531"/>
      <w:bookmarkStart w:id="234" w:name="_Toc12249"/>
      <w:bookmarkStart w:id="235" w:name="_Toc14793"/>
      <w:bookmarkStart w:id="236" w:name="_Toc31146"/>
    </w:p>
    <w:p w14:paraId="1430ED3B">
      <w:pP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br w:type="page"/>
      </w:r>
    </w:p>
    <w:p w14:paraId="6816A345">
      <w:pPr>
        <w:outlineLvl w:val="0"/>
        <w:rPr>
          <w:rFonts w:hint="eastAsia" w:ascii="黑体" w:hAnsi="黑体" w:eastAsia="黑体" w:cs="黑体"/>
          <w:b w:val="0"/>
          <w:sz w:val="28"/>
          <w:szCs w:val="28"/>
          <w:highlight w:val="none"/>
          <w:lang w:val="en-US" w:eastAsia="zh-CN"/>
        </w:rPr>
      </w:pPr>
      <w:bookmarkStart w:id="237" w:name="_Toc15136"/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>附录</w:t>
      </w:r>
      <w:bookmarkEnd w:id="233"/>
      <w:bookmarkEnd w:id="234"/>
      <w:bookmarkEnd w:id="235"/>
      <w:bookmarkEnd w:id="236"/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C</w:t>
      </w:r>
      <w:bookmarkEnd w:id="237"/>
    </w:p>
    <w:p w14:paraId="4C538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238" w:name="_Toc23667"/>
      <w:bookmarkStart w:id="239" w:name="_Toc31203"/>
      <w:bookmarkStart w:id="240" w:name="_Toc25816"/>
      <w:bookmarkStart w:id="241" w:name="_Toc26504"/>
      <w:bookmarkStart w:id="242" w:name="_Toc22774"/>
      <w:bookmarkStart w:id="243" w:name="_Toc12054"/>
      <w:bookmarkStart w:id="244" w:name="_Toc5706"/>
      <w:bookmarkStart w:id="245" w:name="_Toc2694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动态热机械分析仪校准证书</w:t>
      </w:r>
      <w:bookmarkEnd w:id="238"/>
      <w:bookmarkEnd w:id="239"/>
      <w:bookmarkEnd w:id="240"/>
      <w:bookmarkEnd w:id="241"/>
      <w:bookmarkEnd w:id="242"/>
      <w:bookmarkEnd w:id="243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内页参考格式</w:t>
      </w:r>
      <w:bookmarkEnd w:id="244"/>
      <w:bookmarkEnd w:id="245"/>
    </w:p>
    <w:tbl>
      <w:tblPr>
        <w:tblStyle w:val="25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2"/>
        <w:gridCol w:w="4933"/>
      </w:tblGrid>
      <w:tr w14:paraId="48BEFD75">
        <w:trPr>
          <w:trHeight w:val="442" w:hRule="atLeast"/>
          <w:jc w:val="center"/>
        </w:trPr>
        <w:tc>
          <w:tcPr>
            <w:tcW w:w="4172" w:type="dxa"/>
            <w:tcBorders>
              <w:tl2br w:val="nil"/>
              <w:tr2bl w:val="nil"/>
            </w:tcBorders>
            <w:vAlign w:val="center"/>
          </w:tcPr>
          <w:p w14:paraId="5E08D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校准项目</w:t>
            </w:r>
          </w:p>
        </w:tc>
        <w:tc>
          <w:tcPr>
            <w:tcW w:w="4933" w:type="dxa"/>
            <w:tcBorders>
              <w:tl2br w:val="nil"/>
              <w:tr2bl w:val="nil"/>
            </w:tcBorders>
            <w:vAlign w:val="center"/>
          </w:tcPr>
          <w:p w14:paraId="11121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校准结果</w:t>
            </w:r>
          </w:p>
        </w:tc>
      </w:tr>
      <w:tr w14:paraId="17A27777">
        <w:trPr>
          <w:trHeight w:val="397" w:hRule="atLeast"/>
          <w:jc w:val="center"/>
        </w:trPr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7369B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 位移示值误差</w:t>
            </w:r>
          </w:p>
        </w:tc>
        <w:tc>
          <w:tcPr>
            <w:tcW w:w="4933" w:type="dxa"/>
            <w:tcBorders>
              <w:tl2br w:val="nil"/>
              <w:tr2bl w:val="nil"/>
            </w:tcBorders>
            <w:vAlign w:val="center"/>
          </w:tcPr>
          <w:p w14:paraId="7C28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0D40C5">
        <w:trPr>
          <w:trHeight w:val="397" w:hRule="atLeast"/>
          <w:jc w:val="center"/>
        </w:trPr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49B7A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升温速率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示值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误差</w:t>
            </w:r>
          </w:p>
        </w:tc>
        <w:tc>
          <w:tcPr>
            <w:tcW w:w="4933" w:type="dxa"/>
            <w:tcBorders>
              <w:tl2br w:val="nil"/>
              <w:tr2bl w:val="nil"/>
            </w:tcBorders>
            <w:vAlign w:val="center"/>
          </w:tcPr>
          <w:p w14:paraId="2136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C3257D">
        <w:trPr>
          <w:trHeight w:val="397" w:hRule="atLeast"/>
          <w:jc w:val="center"/>
        </w:trPr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61497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 温度示值误差</w:t>
            </w:r>
          </w:p>
        </w:tc>
        <w:tc>
          <w:tcPr>
            <w:tcW w:w="4933" w:type="dxa"/>
            <w:tcBorders>
              <w:tl2br w:val="nil"/>
              <w:tr2bl w:val="nil"/>
            </w:tcBorders>
            <w:vAlign w:val="center"/>
          </w:tcPr>
          <w:p w14:paraId="2F865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54E268">
        <w:trPr>
          <w:trHeight w:val="397" w:hRule="atLeast"/>
          <w:jc w:val="center"/>
        </w:trPr>
        <w:tc>
          <w:tcPr>
            <w:tcW w:w="4172" w:type="dxa"/>
            <w:tcBorders>
              <w:tl2br w:val="nil"/>
              <w:tr2bl w:val="nil"/>
            </w:tcBorders>
            <w:vAlign w:val="center"/>
          </w:tcPr>
          <w:p w14:paraId="5D754288"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 温度重复性</w:t>
            </w:r>
          </w:p>
        </w:tc>
        <w:tc>
          <w:tcPr>
            <w:tcW w:w="4933" w:type="dxa"/>
            <w:tcBorders>
              <w:tl2br w:val="nil"/>
              <w:tr2bl w:val="nil"/>
            </w:tcBorders>
            <w:vAlign w:val="center"/>
          </w:tcPr>
          <w:p w14:paraId="429CC7C4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229B6C81">
        <w:trPr>
          <w:trHeight w:val="397" w:hRule="atLeast"/>
          <w:jc w:val="center"/>
        </w:trPr>
        <w:tc>
          <w:tcPr>
            <w:tcW w:w="4172" w:type="dxa"/>
            <w:tcBorders>
              <w:tl2br w:val="nil"/>
              <w:tr2bl w:val="nil"/>
            </w:tcBorders>
            <w:vAlign w:val="center"/>
          </w:tcPr>
          <w:p w14:paraId="19863C57">
            <w:pPr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 储能模量示值误差</w:t>
            </w:r>
          </w:p>
        </w:tc>
        <w:tc>
          <w:tcPr>
            <w:tcW w:w="4933" w:type="dxa"/>
            <w:tcBorders>
              <w:tl2br w:val="nil"/>
              <w:tr2bl w:val="nil"/>
            </w:tcBorders>
            <w:vAlign w:val="center"/>
          </w:tcPr>
          <w:p w14:paraId="25306037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0DDFA8DA">
        <w:trPr>
          <w:trHeight w:val="397" w:hRule="atLeast"/>
          <w:jc w:val="center"/>
        </w:trPr>
        <w:tc>
          <w:tcPr>
            <w:tcW w:w="4172" w:type="dxa"/>
            <w:tcBorders>
              <w:tl2br w:val="nil"/>
              <w:tr2bl w:val="nil"/>
            </w:tcBorders>
            <w:vAlign w:val="center"/>
          </w:tcPr>
          <w:p w14:paraId="3215D62F">
            <w:pPr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 储能模量重复性</w:t>
            </w:r>
          </w:p>
        </w:tc>
        <w:tc>
          <w:tcPr>
            <w:tcW w:w="4933" w:type="dxa"/>
            <w:tcBorders>
              <w:tl2br w:val="nil"/>
              <w:tr2bl w:val="nil"/>
            </w:tcBorders>
            <w:vAlign w:val="center"/>
          </w:tcPr>
          <w:p w14:paraId="1672A95E"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0601E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9137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sz w:val="24"/>
          <w:lang w:val="en-US" w:eastAsia="zh-CN"/>
        </w:rPr>
      </w:pPr>
    </w:p>
    <w:p w14:paraId="44A6E14B">
      <w:pPr>
        <w:outlineLvl w:val="0"/>
        <w:rPr>
          <w:rStyle w:val="42"/>
          <w:rFonts w:ascii="Times New Roman" w:eastAsia="宋体"/>
          <w:sz w:val="24"/>
        </w:rPr>
      </w:pPr>
      <w:bookmarkStart w:id="246" w:name="_Toc3759"/>
      <w:bookmarkStart w:id="247" w:name="_Toc24096"/>
      <w:bookmarkStart w:id="248" w:name="_Toc7883"/>
      <w:bookmarkStart w:id="249" w:name="_Toc7660"/>
      <w:bookmarkStart w:id="250" w:name="_Toc22409"/>
      <w:bookmarkStart w:id="251" w:name="_Toc21272"/>
      <w:r>
        <w:rPr>
          <w:rFonts w:hint="eastAsia" w:ascii="黑体" w:hAnsi="黑体" w:eastAsia="黑体" w:cs="黑体"/>
          <w:sz w:val="28"/>
          <w:szCs w:val="28"/>
        </w:rPr>
        <w:br w:type="page"/>
      </w:r>
      <w:bookmarkStart w:id="252" w:name="_Toc28895"/>
      <w:bookmarkStart w:id="253" w:name="_Toc1999661375"/>
      <w:bookmarkStart w:id="254" w:name="_Toc11523"/>
      <w:r>
        <w:rPr>
          <w:rFonts w:hint="eastAsia" w:ascii="黑体" w:hAnsi="黑体" w:eastAsia="黑体" w:cs="黑体"/>
          <w:sz w:val="28"/>
          <w:szCs w:val="28"/>
        </w:rPr>
        <w:t>附录</w:t>
      </w:r>
      <w:r>
        <w:rPr>
          <w:rFonts w:hint="default" w:eastAsia="黑体" w:cs="Times New Roman"/>
          <w:sz w:val="28"/>
          <w:szCs w:val="28"/>
          <w:lang w:val="en-US"/>
        </w:rPr>
        <w:t>D</w:t>
      </w:r>
      <w:bookmarkEnd w:id="252"/>
      <w:bookmarkEnd w:id="253"/>
      <w:r>
        <w:rPr>
          <w:rStyle w:val="42"/>
          <w:rFonts w:ascii="Times New Roman" w:eastAsia="宋体"/>
          <w:sz w:val="24"/>
        </w:rPr>
        <w:t xml:space="preserve"> </w:t>
      </w:r>
    </w:p>
    <w:p w14:paraId="5BD8C1B6">
      <w:pPr>
        <w:keepNext w:val="0"/>
        <w:keepLines w:val="0"/>
        <w:pageBreakBefore w:val="0"/>
        <w:widowControl w:val="0"/>
        <w:tabs>
          <w:tab w:val="left" w:pos="12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/>
          <w:sz w:val="24"/>
        </w:rPr>
      </w:pPr>
      <w:bookmarkStart w:id="255" w:name="_Toc26704"/>
      <w:bookmarkStart w:id="256" w:name="_Toc30360"/>
      <w:bookmarkStart w:id="257" w:name="_Toc23161"/>
      <w:bookmarkStart w:id="258" w:name="_Toc17068"/>
      <w:bookmarkStart w:id="259" w:name="_Toc6340"/>
      <w:bookmarkStart w:id="260" w:name="_Toc4532"/>
      <w:bookmarkStart w:id="261" w:name="_Toc7954"/>
      <w:bookmarkStart w:id="262" w:name="_Toc14553"/>
      <w:bookmarkStart w:id="263" w:name="_Toc7568"/>
      <w:bookmarkStart w:id="264" w:name="_Toc32010"/>
      <w:bookmarkStart w:id="265" w:name="_Toc8159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动态热机械分析仪温度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示值误差</w:t>
      </w:r>
      <w:bookmarkEnd w:id="255"/>
      <w:bookmarkEnd w:id="256"/>
      <w:bookmarkEnd w:id="257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测量结果不确定度评定示例</w:t>
      </w:r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14:paraId="3931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4"/>
        </w:rPr>
      </w:pPr>
      <w:r>
        <w:rPr>
          <w:rFonts w:hint="default" w:ascii="黑体" w:hAnsi="黑体" w:eastAsia="黑体" w:cs="黑体"/>
          <w:b w:val="0"/>
          <w:bCs w:val="0"/>
          <w:sz w:val="24"/>
          <w:lang w:val="en-US"/>
        </w:rPr>
        <w:t>D</w:t>
      </w:r>
      <w:r>
        <w:rPr>
          <w:rFonts w:hint="eastAsia" w:ascii="黑体" w:hAnsi="黑体" w:eastAsia="黑体" w:cs="黑体"/>
          <w:b w:val="0"/>
          <w:bCs w:val="0"/>
          <w:sz w:val="24"/>
        </w:rPr>
        <w:t>.1 概述</w:t>
      </w:r>
    </w:p>
    <w:p w14:paraId="13D9D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b w:val="0"/>
          <w:bCs/>
          <w:sz w:val="24"/>
        </w:rPr>
      </w:pPr>
      <w:r>
        <w:rPr>
          <w:rFonts w:hint="default"/>
          <w:b w:val="0"/>
          <w:bCs/>
          <w:sz w:val="24"/>
          <w:lang w:val="en-US"/>
        </w:rPr>
        <w:t>D</w:t>
      </w:r>
      <w:r>
        <w:rPr>
          <w:rFonts w:hint="eastAsia"/>
          <w:b w:val="0"/>
          <w:bCs/>
          <w:sz w:val="24"/>
        </w:rPr>
        <w:t xml:space="preserve">.1.1 </w:t>
      </w:r>
      <w:r>
        <w:rPr>
          <w:b w:val="0"/>
          <w:bCs/>
          <w:sz w:val="24"/>
        </w:rPr>
        <w:t>评定依据</w:t>
      </w:r>
    </w:p>
    <w:p w14:paraId="540236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360" w:lineRule="auto"/>
        <w:ind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本规范。</w:t>
      </w:r>
    </w:p>
    <w:p w14:paraId="4B451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lang w:val="en-US" w:eastAsia="zh-CN"/>
        </w:rPr>
      </w:pPr>
      <w:r>
        <w:rPr>
          <w:rFonts w:hint="default" w:cs="Times New Roman"/>
          <w:b w:val="0"/>
          <w:bCs/>
          <w:sz w:val="24"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b w:val="0"/>
          <w:bCs/>
          <w:sz w:val="24"/>
          <w:lang w:val="en-US" w:eastAsia="zh-CN"/>
        </w:rPr>
        <w:t xml:space="preserve">.1.2 </w:t>
      </w:r>
      <w:r>
        <w:rPr>
          <w:rFonts w:hint="default" w:ascii="Times New Roman" w:hAnsi="Times New Roman" w:eastAsia="宋体" w:cs="Times New Roman"/>
          <w:b w:val="0"/>
          <w:bCs/>
          <w:sz w:val="24"/>
          <w:lang w:val="en-US" w:eastAsia="zh-CN"/>
        </w:rPr>
        <w:t>测量标准</w:t>
      </w:r>
    </w:p>
    <w:p w14:paraId="462B8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热分析标准物质铟</w:t>
      </w:r>
      <w:r>
        <w:rPr>
          <w:rFonts w:hint="default" w:cs="Times New Roman"/>
          <w:sz w:val="24"/>
          <w:szCs w:val="24"/>
          <w:lang w:val="en-US" w:eastAsia="zh-CN"/>
        </w:rPr>
        <w:t>GBW(E)130182</w:t>
      </w:r>
      <w:r>
        <w:rPr>
          <w:rFonts w:hint="eastAsia" w:cs="Times New Roman"/>
          <w:sz w:val="24"/>
          <w:szCs w:val="24"/>
          <w:lang w:val="en-US" w:eastAsia="zh-CN"/>
        </w:rPr>
        <w:t>，熔点为（156</w:t>
      </w:r>
      <w:r>
        <w:rPr>
          <w:rFonts w:hint="default" w:cs="Times New Roman"/>
          <w:sz w:val="24"/>
          <w:szCs w:val="24"/>
          <w:lang w:val="en-US" w:eastAsia="zh-CN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>52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</w:t>
      </w:r>
      <w:r>
        <w:rPr>
          <w:rFonts w:hint="eastAsia" w:eastAsia="宋体" w:cs="Times New Roman"/>
          <w:sz w:val="24"/>
          <w:szCs w:val="24"/>
          <w:lang w:val="en-US" w:eastAsia="zh-CN"/>
        </w:rPr>
        <w:t>0.26</w:t>
      </w:r>
      <w:r>
        <w:rPr>
          <w:rFonts w:hint="eastAsia" w:cs="Times New Roman"/>
          <w:sz w:val="24"/>
          <w:szCs w:val="24"/>
          <w:lang w:val="en-US" w:eastAsia="zh-CN"/>
        </w:rPr>
        <w:t>）</w:t>
      </w:r>
      <w:r>
        <w:rPr>
          <w:sz w:val="24"/>
        </w:rPr>
        <w:t>℃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测量仪器的温度示值误差。</w:t>
      </w:r>
    </w:p>
    <w:p w14:paraId="4BA8E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sz w:val="24"/>
        </w:rPr>
      </w:pPr>
      <w:r>
        <w:rPr>
          <w:rFonts w:hint="default"/>
          <w:b w:val="0"/>
          <w:bCs/>
          <w:sz w:val="24"/>
          <w:lang w:val="en-US"/>
        </w:rPr>
        <w:t>D</w:t>
      </w:r>
      <w:r>
        <w:rPr>
          <w:rFonts w:hint="eastAsia"/>
          <w:b w:val="0"/>
          <w:bCs/>
          <w:sz w:val="24"/>
        </w:rPr>
        <w:t>.1.</w:t>
      </w:r>
      <w:r>
        <w:rPr>
          <w:rFonts w:hint="eastAsia"/>
          <w:b w:val="0"/>
          <w:bCs/>
          <w:sz w:val="24"/>
          <w:lang w:val="en-US" w:eastAsia="zh-CN"/>
        </w:rPr>
        <w:t xml:space="preserve">3 </w:t>
      </w:r>
      <w:r>
        <w:rPr>
          <w:rFonts w:hint="eastAsia"/>
          <w:b w:val="0"/>
          <w:bCs/>
          <w:sz w:val="24"/>
        </w:rPr>
        <w:t>被测对象</w:t>
      </w:r>
    </w:p>
    <w:p w14:paraId="0584C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textAlignment w:val="auto"/>
        <w:outlineLvl w:val="9"/>
        <w:rPr>
          <w:rFonts w:hint="default" w:eastAsia="宋体"/>
          <w:b w:val="0"/>
          <w:bCs/>
          <w:sz w:val="24"/>
          <w:highlight w:val="none"/>
          <w:lang w:val="en-US" w:eastAsia="zh-CN"/>
        </w:rPr>
      </w:pPr>
      <w:r>
        <w:rPr>
          <w:rFonts w:hint="eastAsia"/>
          <w:b w:val="0"/>
          <w:bCs/>
          <w:sz w:val="24"/>
          <w:highlight w:val="none"/>
          <w:lang w:val="en-US" w:eastAsia="zh-CN"/>
        </w:rPr>
        <w:t>动态热机械分析仪。</w:t>
      </w:r>
    </w:p>
    <w:p w14:paraId="05E64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b/>
          <w:sz w:val="24"/>
        </w:rPr>
      </w:pPr>
      <w:r>
        <w:rPr>
          <w:rFonts w:hint="default" w:cs="Times New Roman"/>
          <w:b w:val="0"/>
          <w:bCs/>
          <w:sz w:val="24"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b w:val="0"/>
          <w:bCs/>
          <w:sz w:val="24"/>
          <w:lang w:val="en-US" w:eastAsia="zh-CN"/>
        </w:rPr>
        <w:t xml:space="preserve">.1.4 </w:t>
      </w:r>
      <w:r>
        <w:rPr>
          <w:b w:val="0"/>
          <w:bCs/>
          <w:sz w:val="24"/>
        </w:rPr>
        <w:t>测量方法</w:t>
      </w:r>
    </w:p>
    <w:p w14:paraId="61296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outlineLvl w:val="9"/>
        <w:rPr>
          <w:rFonts w:hint="default" w:eastAsia="宋体"/>
          <w:sz w:val="24"/>
          <w:lang w:val="en-US" w:eastAsia="zh-CN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实验前取标准物质至少2mg，按规范的要求设定相关的测量参数。待仪器稳定后运行程序温度进行实验，获取温度—位移变化曲线，根据曲线得到样品的熔点测量值。样品的熔点测量值与证书标准值的差值为仪器的温度测量示值误差。</w:t>
      </w:r>
    </w:p>
    <w:p w14:paraId="66B13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24"/>
        </w:rPr>
      </w:pPr>
      <w:r>
        <w:rPr>
          <w:rFonts w:hint="default" w:ascii="黑体" w:hAnsi="黑体" w:eastAsia="黑体" w:cs="黑体"/>
          <w:b w:val="0"/>
          <w:bCs w:val="0"/>
          <w:sz w:val="24"/>
          <w:lang w:val="en-US" w:eastAsia="zh-CN"/>
        </w:rPr>
        <w:t>D.</w:t>
      </w: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2</w:t>
      </w:r>
      <w:r>
        <w:rPr>
          <w:rFonts w:hint="default" w:ascii="黑体" w:hAnsi="黑体" w:eastAsia="黑体" w:cs="黑体"/>
          <w:b w:val="0"/>
          <w:bCs w:val="0"/>
          <w:sz w:val="24"/>
          <w:lang w:val="en-US" w:eastAsia="zh-CN"/>
        </w:rPr>
        <w:t xml:space="preserve"> 测量</w:t>
      </w:r>
      <w:r>
        <w:rPr>
          <w:rFonts w:hint="default" w:ascii="黑体" w:hAnsi="黑体" w:eastAsia="黑体" w:cs="黑体"/>
          <w:b w:val="0"/>
          <w:bCs w:val="0"/>
          <w:sz w:val="24"/>
        </w:rPr>
        <w:t>模型</w:t>
      </w:r>
    </w:p>
    <w:p w14:paraId="07C1849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/>
          <w:position w:val="-10"/>
          <w:sz w:val="24"/>
          <w:lang w:val="en-US" w:eastAsia="zh-CN"/>
        </w:rPr>
        <w:t>温度示值误差</w:t>
      </w:r>
      <w:r>
        <w:rPr>
          <w:rFonts w:hint="default"/>
          <w:position w:val="-10"/>
          <w:sz w:val="24"/>
          <w:lang w:val="en-US" w:eastAsia="zh-CN"/>
        </w:rPr>
        <w:t>的测量模型见式</w:t>
      </w:r>
      <w:r>
        <w:rPr>
          <w:rFonts w:hint="eastAsia"/>
          <w:position w:val="-10"/>
          <w:sz w:val="24"/>
          <w:lang w:val="en-US" w:eastAsia="zh-CN"/>
        </w:rPr>
        <w:t>（</w:t>
      </w:r>
      <w:r>
        <w:rPr>
          <w:rFonts w:hint="default"/>
          <w:position w:val="-10"/>
          <w:sz w:val="24"/>
          <w:lang w:val="en-US" w:eastAsia="zh-CN"/>
        </w:rPr>
        <w:t>D.1</w:t>
      </w:r>
      <w:r>
        <w:rPr>
          <w:rFonts w:hint="eastAsia"/>
          <w:position w:val="-10"/>
          <w:sz w:val="24"/>
          <w:lang w:val="en-US" w:eastAsia="zh-CN"/>
        </w:rPr>
        <w:t>）和（</w:t>
      </w:r>
      <w:r>
        <w:rPr>
          <w:rFonts w:hint="default"/>
          <w:position w:val="-10"/>
          <w:sz w:val="24"/>
          <w:lang w:val="en-US" w:eastAsia="zh-CN"/>
        </w:rPr>
        <w:t>D</w:t>
      </w:r>
      <w:r>
        <w:rPr>
          <w:rFonts w:hint="eastAsia"/>
          <w:position w:val="-10"/>
          <w:sz w:val="24"/>
          <w:lang w:val="en-US" w:eastAsia="zh-CN"/>
        </w:rPr>
        <w:t>.2）</w:t>
      </w:r>
      <w:r>
        <w:rPr>
          <w:rFonts w:hint="default"/>
          <w:position w:val="-10"/>
          <w:sz w:val="24"/>
          <w:lang w:val="en-US" w:eastAsia="zh-CN"/>
        </w:rPr>
        <w:t>：</w:t>
      </w:r>
    </w:p>
    <w:p w14:paraId="7356C991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rPr>
          <w:rFonts w:hint="eastAsia" w:hAnsi="DejaVu Math TeX Gyre" w:eastAsia="宋体" w:cs="Times New Roman"/>
          <w:i w:val="0"/>
          <w:sz w:val="24"/>
          <w:szCs w:val="24"/>
          <w:highlight w:val="none"/>
          <w:lang w:val="en-US" w:eastAsia="zh-CN"/>
        </w:rPr>
      </w:pPr>
      <w:r>
        <w:rPr>
          <w:rFonts w:hint="eastAsia" w:hAnsi="DejaVu Math TeX Gyre" w:eastAsia="宋体" w:cs="Times New Roman"/>
          <w:i w:val="0"/>
          <w:position w:val="-24"/>
          <w:sz w:val="24"/>
          <w:szCs w:val="24"/>
          <w:highlight w:val="none"/>
          <w:lang w:val="en-US" w:eastAsia="zh-CN"/>
        </w:rPr>
        <w:object>
          <v:shape id="_x0000_i1047" o:spt="75" type="#_x0000_t75" style="height:31pt;width:55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KSEE3" ShapeID="_x0000_i1047" DrawAspect="Content" ObjectID="_1468075745" r:id="rId61">
            <o:LockedField>false</o:LockedField>
          </o:OLEObject>
        </w:object>
      </w:r>
    </w:p>
    <w:p w14:paraId="0F293D4E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m:oMathPara>
        <m:oMathParaPr>
          <m:jc m:val="right"/>
        </m:oMathParaPr>
        <m:oMath>
          <m:eqArr>
            <m:eqArrPr>
              <m:maxDist m:val="1"/>
              <m:ctrlPr>
                <w:rPr>
                  <w:rFonts w:hint="eastAsia" w:ascii="DejaVu Math TeX Gyre" w:hAnsi="DejaVu Math TeX Gyre" w:eastAsia="宋体" w:cs="Times New Roman"/>
                  <w:sz w:val="24"/>
                  <w:szCs w:val="24"/>
                  <w:highlight w:val="none"/>
                  <w:lang w:val="en-US" w:eastAsia="zh-CN"/>
                </w:rPr>
              </m:ctrlPr>
            </m:eqArrPr>
            <m:e>
              <m:acc>
                <m:accPr>
                  <m:chr m:val="̅"/>
                  <m:ctrlPr>
                    <w:rPr>
                      <w:rFonts w:hint="eastAsia" w:ascii="DejaVu Math TeX Gyre" w:hAnsi="DejaVu Math TeX Gyre" w:eastAsia="宋体" w:cs="Times New Roman"/>
                      <w:sz w:val="24"/>
                      <w:szCs w:val="24"/>
                      <w:highlight w:val="none"/>
                      <w:lang w:val="en-US" w:eastAsia="zh-C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hint="default" w:ascii="Times New Roman" w:eastAsia="宋体" w:cs="Times New Roman"/>
                      <w:sz w:val="24"/>
                      <w:szCs w:val="24"/>
                      <w:highlight w:val="none"/>
                      <w:lang w:val="en-US" w:eastAsia="zh-CN"/>
                    </w:rPr>
                    <m:t>T</m:t>
                  </m:r>
                  <m:ctrlPr>
                    <w:rPr>
                      <w:rFonts w:hint="eastAsia" w:ascii="DejaVu Math TeX Gyre" w:hAnsi="DejaVu Math TeX Gyre" w:eastAsia="宋体" w:cs="Times New Roman"/>
                      <w:sz w:val="24"/>
                      <w:szCs w:val="24"/>
                      <w:highlight w:val="none"/>
                      <w:lang w:val="en-US" w:eastAsia="zh-CN"/>
                    </w:rPr>
                  </m:ctrlPr>
                </m:e>
              </m:acc>
              <m:r>
                <m:rPr>
                  <m:sty m:val="p"/>
                </m:rPr>
                <w:rPr>
                  <w:rFonts w:hint="eastAsia" w:ascii="Times New Roman" w:hAnsi="Times New Roman" w:eastAsia="宋体" w:cs="Times New Roman"/>
                  <w:sz w:val="24"/>
                  <w:szCs w:val="24"/>
                  <w:highlight w:val="none"/>
                  <w:lang w:val="en-US" w:eastAsia="zh-CN"/>
                </w:rPr>
                <m:t>=</m:t>
              </m:r>
              <m:f>
                <m:fPr>
                  <m:ctrlPr>
                    <w:rPr>
                      <w:rFonts w:hint="eastAsia" w:ascii="DejaVu Math TeX Gyre" w:hAnsi="DejaVu Math TeX Gyre" w:eastAsia="宋体" w:cs="Times New Roman"/>
                      <w:sz w:val="24"/>
                      <w:szCs w:val="24"/>
                      <w:highlight w:val="none"/>
                      <w:lang w:val="en-US"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hint="eastAsia" w:ascii="DejaVu Math TeX Gyre" w:hAnsi="DejaVu Math TeX Gyre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Times New Roman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  <m:t>T</m:t>
                      </m:r>
                      <m:ctrlPr>
                        <w:rPr>
                          <w:rFonts w:hint="eastAsia" w:ascii="DejaVu Math TeX Gyre" w:hAnsi="DejaVu Math TeX Gyre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eastAsia" w:ascii="Times New Roman" w:hAnsi="Times New Roman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  <m:t>1</m:t>
                      </m:r>
                      <m:ctrlPr>
                        <w:rPr>
                          <w:rFonts w:hint="eastAsia" w:ascii="DejaVu Math TeX Gyre" w:hAnsi="DejaVu Math TeX Gyre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highlight w:val="none"/>
                      <w:lang w:val="en-US" w:eastAsia="zh-CN"/>
                    </w:rPr>
                    <m:t>+</m:t>
                  </m:r>
                  <m:sSub>
                    <m:sSubPr>
                      <m:ctrlPr>
                        <w:rPr>
                          <w:rFonts w:hint="eastAsia" w:ascii="DejaVu Math TeX Gyre" w:hAnsi="DejaVu Math TeX Gyre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Times New Roman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  <m:t>T</m:t>
                      </m:r>
                      <m:ctrlPr>
                        <w:rPr>
                          <w:rFonts w:hint="eastAsia" w:ascii="DejaVu Math TeX Gyre" w:hAnsi="DejaVu Math TeX Gyre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eastAsia" w:ascii="Times New Roman" w:hAnsi="Times New Roman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  <m:t>2</m:t>
                      </m:r>
                      <m:ctrlPr>
                        <w:rPr>
                          <w:rFonts w:hint="eastAsia" w:ascii="DejaVu Math TeX Gyre" w:hAnsi="DejaVu Math TeX Gyre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</m:ctrlPr>
                    </m:sub>
                  </m:sSub>
                  <m:ctrlPr>
                    <w:rPr>
                      <w:rFonts w:hint="eastAsia" w:ascii="DejaVu Math TeX Gyre" w:hAnsi="DejaVu Math TeX Gyre" w:eastAsia="宋体" w:cs="Times New Roman"/>
                      <w:sz w:val="24"/>
                      <w:szCs w:val="24"/>
                      <w:highlight w:val="none"/>
                      <w:lang w:val="en-US" w:eastAsia="zh-CN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highlight w:val="none"/>
                      <w:lang w:val="en-US" w:eastAsia="zh-CN"/>
                    </w:rPr>
                    <m:t>2</m:t>
                  </m:r>
                  <m:ctrlPr>
                    <w:rPr>
                      <w:rFonts w:hint="eastAsia" w:ascii="DejaVu Math TeX Gyre" w:hAnsi="DejaVu Math TeX Gyre" w:eastAsia="宋体" w:cs="Times New Roman"/>
                      <w:sz w:val="24"/>
                      <w:szCs w:val="24"/>
                      <w:highlight w:val="none"/>
                      <w:lang w:val="en-US" w:eastAsia="zh-CN"/>
                    </w:rPr>
                  </m:ctrlPr>
                </m:den>
              </m:f>
              <m:r>
                <m:rPr>
                  <m:sty m:val="p"/>
                </m:rPr>
                <w:rPr>
                  <w:rFonts w:hint="default" w:ascii="DejaVu Math TeX Gyre" w:hAnsi="DejaVu Math TeX Gyre" w:eastAsia="宋体" w:cs="Times New Roman"/>
                  <w:sz w:val="24"/>
                  <w:szCs w:val="24"/>
                  <w:highlight w:val="none"/>
                  <w:lang w:val="en-US" w:eastAsia="zh-CN"/>
                </w:rPr>
                <m:t xml:space="preserve">                                              </m:t>
              </m:r>
              <m:r>
                <m:rPr>
                  <m:sty m:val="p"/>
                </m:rPr>
                <w:rPr>
                  <w:rFonts w:hint="eastAsia" w:ascii="Times New Roman" w:hAnsi="Times New Roman" w:eastAsia="宋体" w:cs="Times New Roman"/>
                  <w:sz w:val="24"/>
                  <w:szCs w:val="24"/>
                  <w:highlight w:val="none"/>
                  <w:lang w:val="en-US" w:eastAsia="zh-CN"/>
                </w:rPr>
                <m:t>(</m:t>
              </m:r>
              <m:r>
                <m:rPr>
                  <m:sty m:val="p"/>
                </m:rPr>
                <w:rPr>
                  <w:rFonts w:hint="default" w:ascii="Times New Roman" w:cs="Times New Roman"/>
                  <w:sz w:val="24"/>
                  <w:szCs w:val="24"/>
                  <w:highlight w:val="none"/>
                  <w:lang w:val="en-US" w:eastAsia="zh-CN"/>
                </w:rPr>
                <m:t>D.1</m:t>
              </m:r>
              <m:r>
                <m:rPr>
                  <m:sty m:val="p"/>
                </m:rPr>
                <w:rPr>
                  <w:rFonts w:hint="eastAsia" w:ascii="Times New Roman" w:hAnsi="Times New Roman" w:eastAsia="宋体" w:cs="Times New Roman"/>
                  <w:sz w:val="24"/>
                  <w:szCs w:val="24"/>
                  <w:highlight w:val="none"/>
                  <w:lang w:val="en-US" w:eastAsia="zh-CN"/>
                </w:rPr>
                <m:t>)</m:t>
              </m:r>
              <m:ctrlPr>
                <w:rPr>
                  <w:rFonts w:hint="eastAsia" w:ascii="DejaVu Math TeX Gyre" w:hAnsi="DejaVu Math TeX Gyre" w:eastAsia="宋体" w:cs="Times New Roman"/>
                  <w:sz w:val="24"/>
                  <w:szCs w:val="24"/>
                  <w:highlight w:val="none"/>
                  <w:lang w:val="en-US" w:eastAsia="zh-CN"/>
                </w:rPr>
              </m:ctrlPr>
            </m:e>
          </m:eqArr>
        </m:oMath>
      </m:oMathPara>
    </w:p>
    <w:p w14:paraId="04F0E2EF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hAnsi="DejaVu Math TeX Gyre" w:eastAsia="宋体" w:cs="Times New Roman"/>
          <w:i w:val="0"/>
          <w:sz w:val="24"/>
          <w:szCs w:val="24"/>
          <w:highlight w:val="none"/>
          <w:lang w:val="en-US" w:eastAsia="zh-CN"/>
        </w:rPr>
      </w:pPr>
      <m:oMathPara>
        <m:oMathParaPr>
          <m:jc m:val="right"/>
        </m:oMathParaPr>
        <m:oMath>
          <m:eqArr>
            <m:eqArrPr>
              <m:maxDist m:val="1"/>
              <m:ctrlPr>
                <w:rPr>
                  <w:rFonts w:hint="eastAsia" w:ascii="DejaVu Math TeX Gyre" w:hAnsi="DejaVu Math TeX Gyre" w:eastAsia="宋体" w:cs="Times New Roman"/>
                  <w:sz w:val="24"/>
                  <w:szCs w:val="24"/>
                  <w:highlight w:val="none"/>
                  <w:lang w:val="en-US" w:eastAsia="zh-CN"/>
                </w:rPr>
              </m:ctrlPr>
            </m:eqArrPr>
            <m:e>
              <m:r>
                <m:rPr>
                  <m:nor/>
                  <m:sty m:val="p"/>
                </m:rPr>
                <w:rPr>
                  <w:rFonts w:hint="eastAsia" w:ascii="Times New Roman" w:hAnsi="Times New Roman" w:eastAsia="宋体" w:cs="Times New Roman"/>
                  <w:b w:val="0"/>
                  <w:i w:val="0"/>
                  <w:sz w:val="24"/>
                  <w:szCs w:val="24"/>
                  <w:highlight w:val="none"/>
                  <w:lang w:val="en-US" w:eastAsia="zh-CN"/>
                </w:rPr>
                <m:t>∆</m:t>
              </m:r>
              <m:r>
                <m:rPr>
                  <m:nor/>
                  <m:sty m:val="p"/>
                </m:rPr>
                <w:rPr>
                  <w:rFonts w:hint="default" w:ascii="Times New Roman" w:eastAsia="宋体" w:cs="Times New Roman"/>
                  <w:b w:val="0"/>
                  <w:i w:val="0"/>
                  <w:sz w:val="24"/>
                  <w:szCs w:val="24"/>
                  <w:highlight w:val="none"/>
                  <w:lang w:val="en-US" w:eastAsia="zh-CN"/>
                </w:rPr>
                <m:t>T</m:t>
              </m:r>
              <m:r>
                <m:rPr>
                  <m:nor/>
                  <m:sty m:val="p"/>
                </m:rPr>
                <w:rPr>
                  <w:rFonts w:hint="eastAsia" w:ascii="Times New Roman" w:hAnsi="Times New Roman" w:eastAsia="宋体" w:cs="Times New Roman"/>
                  <w:b w:val="0"/>
                  <w:i w:val="0"/>
                  <w:sz w:val="24"/>
                  <w:szCs w:val="24"/>
                  <w:highlight w:val="none"/>
                  <w:lang w:val="en-US" w:eastAsia="zh-CN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hint="eastAsia" w:ascii="DejaVu Math TeX Gyre" w:hAnsi="DejaVu Math TeX Gyre" w:eastAsia="宋体" w:cs="Times New Roman"/>
                      <w:sz w:val="24"/>
                      <w:szCs w:val="24"/>
                      <w:highlight w:val="none"/>
                      <w:lang w:val="en-US" w:eastAsia="zh-CN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hint="eastAsia" w:ascii="DejaVu Math TeX Gyre" w:hAnsi="DejaVu Math TeX Gyre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hint="default" w:ascii="Times New Roman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  <m:t>T</m:t>
                      </m:r>
                      <m:ctrlPr>
                        <w:rPr>
                          <w:rFonts w:hint="eastAsia" w:ascii="DejaVu Math TeX Gyre" w:hAnsi="DejaVu Math TeX Gyre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</m:ctrlPr>
                    </m:e>
                  </m:acc>
                  <m:r>
                    <m:rPr>
                      <m:nor/>
                      <m:sty m:val="p"/>
                    </m:rPr>
                    <w:rPr>
                      <w:rFonts w:hint="eastAsia" w:ascii="Times New Roman" w:hAnsi="Times New Roman" w:eastAsia="宋体" w:cs="Times New Roman"/>
                      <w:b w:val="0"/>
                      <w:i w:val="0"/>
                      <w:sz w:val="24"/>
                      <w:szCs w:val="24"/>
                      <w:highlight w:val="none"/>
                      <w:lang w:val="en-US" w:eastAsia="zh-CN"/>
                    </w:rPr>
                    <m:t>−</m:t>
                  </m:r>
                  <m:sSub>
                    <m:sSubPr>
                      <m:ctrlPr>
                        <w:rPr>
                          <w:rFonts w:hint="eastAsia" w:ascii="DejaVu Math TeX Gyre" w:hAnsi="DejaVu Math TeX Gyre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</m:ctrlPr>
                    </m:sSubPr>
                    <m:e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eastAsia="宋体" w:cs="Times New Roman"/>
                          <w:b w:val="0"/>
                          <w:i w:val="0"/>
                          <w:sz w:val="24"/>
                          <w:szCs w:val="24"/>
                          <w:highlight w:val="none"/>
                          <w:lang w:val="en-US" w:eastAsia="zh-CN"/>
                        </w:rPr>
                        <m:t>T</m:t>
                      </m:r>
                      <m:ctrlPr>
                        <w:rPr>
                          <w:rFonts w:hint="eastAsia" w:ascii="DejaVu Math TeX Gyre" w:hAnsi="DejaVu Math TeX Gyre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eastAsia" w:ascii="Times New Roman" w:hAnsi="Times New Roman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  <m:t>S</m:t>
                      </m:r>
                      <m:ctrlPr>
                        <w:rPr>
                          <w:rFonts w:hint="eastAsia" w:ascii="DejaVu Math TeX Gyre" w:hAnsi="DejaVu Math TeX Gyre" w:eastAsia="宋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</m:ctrlPr>
                    </m:sub>
                  </m:sSub>
                  <m:ctrlPr>
                    <w:rPr>
                      <w:rFonts w:hint="eastAsia" w:ascii="DejaVu Math TeX Gyre" w:hAnsi="DejaVu Math TeX Gyre" w:eastAsia="宋体" w:cs="Times New Roman"/>
                      <w:sz w:val="24"/>
                      <w:szCs w:val="24"/>
                      <w:highlight w:val="none"/>
                      <w:lang w:val="en-US" w:eastAsia="zh-CN"/>
                    </w:rPr>
                  </m:ctrlPr>
                </m:e>
              </m:d>
              <m:r>
                <m:rPr>
                  <m:sty m:val="p"/>
                </m:rPr>
                <w:rPr>
                  <w:rFonts w:hint="default" w:ascii="DejaVu Math TeX Gyre" w:hAnsi="DejaVu Math TeX Gyre" w:eastAsia="宋体" w:cs="Times New Roman"/>
                  <w:sz w:val="24"/>
                  <w:szCs w:val="24"/>
                  <w:highlight w:val="none"/>
                  <w:lang w:val="en-US" w:eastAsia="zh-CN"/>
                </w:rPr>
                <m:t xml:space="preserve">                                               </m:t>
              </m:r>
              <m:r>
                <m:rPr>
                  <m:sty m:val="p"/>
                </m:rPr>
                <w:rPr>
                  <w:rFonts w:hint="eastAsia" w:ascii="Times New Roman" w:hAnsi="Times New Roman" w:eastAsia="宋体" w:cs="Times New Roman"/>
                  <w:sz w:val="24"/>
                  <w:szCs w:val="24"/>
                  <w:highlight w:val="none"/>
                  <w:lang w:val="en-US" w:eastAsia="zh-CN"/>
                </w:rPr>
                <m:t>(</m:t>
              </m:r>
              <m:r>
                <m:rPr>
                  <m:sty m:val="p"/>
                </m:rPr>
                <w:rPr>
                  <w:rFonts w:hint="default" w:ascii="Times New Roman" w:eastAsia="宋体" w:cs="Times New Roman"/>
                  <w:sz w:val="24"/>
                  <w:szCs w:val="24"/>
                  <w:highlight w:val="none"/>
                  <w:lang w:val="en-US" w:eastAsia="zh-CN"/>
                </w:rPr>
                <m:t>D.2</m:t>
              </m:r>
              <m:r>
                <m:rPr>
                  <m:sty m:val="p"/>
                </m:rPr>
                <w:rPr>
                  <w:rFonts w:hint="eastAsia" w:ascii="Times New Roman" w:hAnsi="Times New Roman" w:eastAsia="宋体" w:cs="Times New Roman"/>
                  <w:sz w:val="24"/>
                  <w:szCs w:val="24"/>
                  <w:highlight w:val="none"/>
                  <w:lang w:val="en-US" w:eastAsia="zh-CN"/>
                </w:rPr>
                <m:t>)</m:t>
              </m:r>
              <m:ctrlPr>
                <w:rPr>
                  <w:rFonts w:hint="eastAsia" w:ascii="DejaVu Math TeX Gyre" w:hAnsi="DejaVu Math TeX Gyre" w:eastAsia="宋体" w:cs="Times New Roman"/>
                  <w:sz w:val="24"/>
                  <w:szCs w:val="24"/>
                  <w:highlight w:val="none"/>
                  <w:lang w:val="en-US" w:eastAsia="zh-CN"/>
                </w:rPr>
              </m:ctrlPr>
            </m:e>
          </m:eqArr>
        </m:oMath>
      </m:oMathPara>
    </w:p>
    <w:p w14:paraId="32B72161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hAnsi="DejaVu Math TeX Gyre" w:eastAsia="宋体" w:cs="Times New Roman"/>
          <w:i w:val="0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式中：</w:t>
      </w:r>
    </w:p>
    <w:p w14:paraId="17F6D452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m:oMath>
        <m:sSub>
          <m:sSubPr>
            <m:ctrlPr>
              <w:rPr>
                <w:rFonts w:hint="eastAsia" w:ascii="DejaVu Math TeX Gyre" w:hAnsi="DejaVu Math TeX Gyre" w:eastAsia="宋体" w:cs="Times New Roman"/>
                <w:b w:val="0"/>
                <w:i/>
                <w:iCs/>
                <w:sz w:val="24"/>
                <w:szCs w:val="24"/>
                <w:highlight w:val="none"/>
                <w:lang w:val="en-US" w:eastAsia="zh-CN"/>
              </w:rPr>
            </m:ctrlPr>
          </m:sSubPr>
          <m:e>
            <m:r>
              <m:rPr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m:t>T</m:t>
            </m:r>
            <m:ctrlPr>
              <w:rPr>
                <w:rFonts w:hint="eastAsia" w:ascii="DejaVu Math TeX Gyre" w:hAnsi="DejaVu Math TeX Gyre" w:eastAsia="宋体" w:cs="Times New Roman"/>
                <w:b w:val="0"/>
                <w:i/>
                <w:iCs/>
                <w:sz w:val="24"/>
                <w:szCs w:val="24"/>
                <w:highlight w:val="none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Times New Roman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eastAsia" w:ascii="DejaVu Math TeX Gyre" w:hAnsi="DejaVu Math TeX Gyre" w:eastAsia="宋体" w:cs="Times New Roman"/>
                <w:b w:val="0"/>
                <w:i/>
                <w:iCs/>
                <w:sz w:val="24"/>
                <w:szCs w:val="24"/>
                <w:highlight w:val="none"/>
                <w:lang w:val="en-US" w:eastAsia="zh-CN"/>
              </w:rPr>
            </m:ctrlPr>
          </m:sub>
        </m:sSub>
      </m:oMath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熔点的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第一次测量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值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;</w:t>
      </w:r>
    </w:p>
    <w:p w14:paraId="79BD96F9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m:oMath>
        <m:sSub>
          <m:sSubPr>
            <m:ctrlPr>
              <w:rPr>
                <w:rFonts w:hint="eastAsia" w:ascii="DejaVu Math TeX Gyre" w:hAnsi="DejaVu Math TeX Gyre" w:eastAsia="宋体" w:cs="Times New Roman"/>
                <w:b w:val="0"/>
                <w:i/>
                <w:iCs/>
                <w:sz w:val="24"/>
                <w:szCs w:val="24"/>
                <w:highlight w:val="none"/>
                <w:lang w:val="en-US" w:eastAsia="zh-CN"/>
              </w:rPr>
            </m:ctrlPr>
          </m:sSubPr>
          <m:e>
            <m:r>
              <m:rPr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m:t>T</m:t>
            </m:r>
            <m:ctrlPr>
              <w:rPr>
                <w:rFonts w:hint="eastAsia" w:ascii="DejaVu Math TeX Gyre" w:hAnsi="DejaVu Math TeX Gyre" w:eastAsia="宋体" w:cs="Times New Roman"/>
                <w:b w:val="0"/>
                <w:i/>
                <w:iCs/>
                <w:sz w:val="24"/>
                <w:szCs w:val="24"/>
                <w:highlight w:val="none"/>
                <w:lang w:val="en-US" w:eastAsia="zh-CN"/>
              </w:rPr>
            </m:ctrlPr>
          </m:e>
          <m:sub>
            <m:r>
              <m:rPr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m:t>2</m:t>
            </m:r>
            <m:ctrlPr>
              <w:rPr>
                <w:rFonts w:hint="eastAsia" w:ascii="DejaVu Math TeX Gyre" w:hAnsi="DejaVu Math TeX Gyre" w:eastAsia="宋体" w:cs="Times New Roman"/>
                <w:b w:val="0"/>
                <w:i/>
                <w:iCs/>
                <w:sz w:val="24"/>
                <w:szCs w:val="24"/>
                <w:highlight w:val="none"/>
                <w:lang w:val="en-US" w:eastAsia="zh-CN"/>
              </w:rPr>
            </m:ctrlPr>
          </m:sub>
        </m:sSub>
      </m:oMath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熔点的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第二次测量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值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;</w:t>
      </w:r>
    </w:p>
    <w:p w14:paraId="4F8C10AC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m:oMath>
        <m:acc>
          <m:accPr>
            <m:chr m:val="̅"/>
            <m:ctrlPr>
              <w:rPr>
                <w:rFonts w:hint="eastAsia" w:ascii="DejaVu Math TeX Gyre" w:hAnsi="DejaVu Math TeX Gyre" w:eastAsia="宋体" w:cs="Times New Roman"/>
                <w:b w:val="0"/>
                <w:i/>
                <w:iCs/>
                <w:sz w:val="24"/>
                <w:szCs w:val="24"/>
                <w:highlight w:val="none"/>
                <w:lang w:val="en-US" w:eastAsia="zh-CN"/>
              </w:rPr>
            </m:ctrlPr>
          </m:accPr>
          <m:e>
            <m:r>
              <m:rPr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m:t>T</m:t>
            </m:r>
            <m:ctrlPr>
              <w:rPr>
                <w:rFonts w:hint="eastAsia" w:ascii="DejaVu Math TeX Gyre" w:hAnsi="DejaVu Math TeX Gyre" w:eastAsia="宋体" w:cs="Times New Roman"/>
                <w:b w:val="0"/>
                <w:i/>
                <w:iCs/>
                <w:sz w:val="24"/>
                <w:szCs w:val="24"/>
                <w:highlight w:val="none"/>
                <w:lang w:val="en-US" w:eastAsia="zh-CN"/>
              </w:rPr>
            </m:ctrlPr>
          </m:e>
        </m:acc>
      </m:oMath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熔点两次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的测量平均值，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;</w:t>
      </w:r>
    </w:p>
    <w:p w14:paraId="594F55CD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m:oMath>
        <m:r>
          <m:rPr>
            <m:nor/>
          </m:rPr>
          <w:rPr>
            <w:rFonts w:hint="eastAsia" w:ascii="Times New Roman" w:hAnsi="Times New Roman" w:eastAsia="宋体" w:cs="Times New Roman"/>
            <w:b w:val="0"/>
            <w:i/>
            <w:iCs/>
            <w:sz w:val="24"/>
            <w:szCs w:val="24"/>
            <w:highlight w:val="none"/>
            <w:lang w:val="en-US" w:eastAsia="zh-CN"/>
          </w:rPr>
          <m:t>∆</m:t>
        </m:r>
      </m:oMath>
      <w:r>
        <w:rPr>
          <w:rFonts w:hint="default" w:ascii="Times New Roman" w:hAnsi="Times New Roman" w:eastAsia="宋体" w:cs="Times New Roman"/>
          <w:b w:val="0"/>
          <w:i/>
          <w:iCs/>
          <w:sz w:val="24"/>
          <w:szCs w:val="24"/>
          <w:highlight w:val="none"/>
          <w:lang w:val="en-US" w:eastAsia="zh-CN"/>
        </w:rPr>
        <w:t>T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Times New Roman" w:eastAsia="宋体" w:cs="Times New Roman"/>
          <w:sz w:val="24"/>
          <w:szCs w:val="24"/>
          <w:highlight w:val="none"/>
          <w:lang w:val="en-US" w:eastAsia="zh-CN"/>
        </w:rPr>
        <w:t>温度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示值误差，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;</w:t>
      </w:r>
    </w:p>
    <w:p w14:paraId="5479DBF9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rPr>
          <w:rFonts w:hint="eastAsia" w:hAnsi="DejaVu Math TeX Gyre" w:eastAsia="宋体" w:cs="Times New Roman"/>
          <w:i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i/>
          <w:iCs/>
          <w:sz w:val="24"/>
          <w:szCs w:val="24"/>
          <w:highlight w:val="none"/>
          <w:lang w:val="en-US" w:eastAsia="zh-CN"/>
        </w:rPr>
        <w:t>Ts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熔点的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标称值，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℃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。</w:t>
      </w:r>
    </w:p>
    <w:p w14:paraId="3EB4A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lang w:val="en-US" w:eastAsia="zh-CN"/>
        </w:rPr>
        <w:t>D</w:t>
      </w: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.3 测量不确定度的来源分析</w:t>
      </w:r>
    </w:p>
    <w:p w14:paraId="0397B558">
      <w:pPr>
        <w:autoSpaceDE w:val="0"/>
        <w:autoSpaceDN w:val="0"/>
        <w:adjustRightInd w:val="0"/>
        <w:spacing w:line="360" w:lineRule="auto"/>
        <w:ind w:firstLine="480" w:firstLineChars="200"/>
        <w:jc w:val="both"/>
        <w:outlineLvl w:val="9"/>
        <w:rPr>
          <w:rFonts w:hint="eastAsia" w:ascii="Times New Roman" w:hAnsi="Times New Roman" w:eastAsia="宋体" w:cs="Times New Roman"/>
          <w:position w:val="-1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position w:val="-10"/>
          <w:sz w:val="24"/>
          <w:lang w:val="en-US" w:eastAsia="zh-CN"/>
        </w:rPr>
        <w:t>测量不确定度的来源有：</w:t>
      </w:r>
    </w:p>
    <w:p w14:paraId="3951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position w:val="-1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由</w:t>
      </w:r>
      <w:r>
        <w:rPr>
          <w:rFonts w:hint="eastAsia" w:cs="Times New Roman"/>
          <w:sz w:val="24"/>
          <w:szCs w:val="24"/>
          <w:lang w:val="en-US" w:eastAsia="zh-CN"/>
        </w:rPr>
        <w:t>标准物质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引入的不确定度分量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3A309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eastAsia="宋体"/>
          <w:position w:val="-1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2) 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t>由</w:t>
      </w:r>
      <w:r>
        <w:rPr>
          <w:rFonts w:hint="eastAsia" w:cs="Times New Roman"/>
          <w:position w:val="-10"/>
          <w:sz w:val="24"/>
          <w:szCs w:val="24"/>
          <w:lang w:val="en-US" w:eastAsia="zh-CN"/>
        </w:rPr>
        <w:t>仪器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t>测量重复性引入的不确定度分量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  <w:t>；</w:t>
      </w:r>
      <w:r>
        <w:rPr>
          <w:rFonts w:hint="eastAsia"/>
          <w:position w:val="-10"/>
          <w:sz w:val="24"/>
          <w:lang w:val="en-US" w:eastAsia="zh-CN"/>
        </w:rPr>
        <w:t xml:space="preserve">                    </w:t>
      </w:r>
    </w:p>
    <w:p w14:paraId="18312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default" w:ascii="黑体" w:hAnsi="黑体" w:eastAsia="黑体" w:cs="黑体"/>
          <w:b w:val="0"/>
          <w:bCs/>
          <w:sz w:val="24"/>
          <w:lang w:val="en-US" w:eastAsia="zh-CN"/>
        </w:rPr>
        <w:t>D</w:t>
      </w:r>
      <w:r>
        <w:rPr>
          <w:rFonts w:hint="eastAsia" w:ascii="黑体" w:hAnsi="黑体" w:eastAsia="黑体" w:cs="黑体"/>
          <w:b w:val="0"/>
          <w:bCs/>
          <w:sz w:val="24"/>
        </w:rPr>
        <w:t>.</w:t>
      </w: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24"/>
        </w:rPr>
        <w:t xml:space="preserve"> 测量不确定</w:t>
      </w: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度</w:t>
      </w:r>
      <w:r>
        <w:rPr>
          <w:rFonts w:hint="eastAsia" w:ascii="黑体" w:hAnsi="黑体" w:eastAsia="黑体" w:cs="黑体"/>
          <w:b w:val="0"/>
          <w:bCs/>
          <w:sz w:val="24"/>
        </w:rPr>
        <w:t>评定</w:t>
      </w:r>
    </w:p>
    <w:p w14:paraId="3D41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b w:val="0"/>
          <w:bCs/>
          <w:sz w:val="24"/>
          <w:vertAlign w:val="subscript"/>
          <w:lang w:val="en-US" w:eastAsia="zh-CN"/>
        </w:rPr>
      </w:pPr>
      <w:r>
        <w:rPr>
          <w:rFonts w:hint="default" w:cs="Times New Roman"/>
          <w:b w:val="0"/>
          <w:bCs/>
          <w:sz w:val="24"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b w:val="0"/>
          <w:bCs/>
          <w:sz w:val="24"/>
          <w:lang w:val="en-US" w:eastAsia="zh-CN"/>
        </w:rPr>
        <w:t>.4.1 由</w:t>
      </w:r>
      <w:r>
        <w:rPr>
          <w:rFonts w:hint="eastAsia" w:cs="Times New Roman"/>
          <w:sz w:val="24"/>
          <w:szCs w:val="24"/>
          <w:lang w:val="en-US" w:eastAsia="zh-CN"/>
        </w:rPr>
        <w:t>标准物质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引入的不确定度分量</w:t>
      </w:r>
      <w:r>
        <w:rPr>
          <w:rFonts w:hint="eastAsia" w:ascii="Times New Roman" w:hAnsi="Times New Roman" w:eastAsia="宋体" w:cs="Times New Roman"/>
          <w:b w:val="0"/>
          <w:bCs/>
          <w:i/>
          <w:iCs/>
          <w:sz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b w:val="0"/>
          <w:bCs/>
          <w:sz w:val="24"/>
          <w:vertAlign w:val="subscript"/>
          <w:lang w:val="en-US" w:eastAsia="zh-CN"/>
        </w:rPr>
        <w:t>1</w:t>
      </w:r>
    </w:p>
    <w:p w14:paraId="29F38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eastAsia="宋体" w:cs="Times New Roman"/>
          <w:position w:val="0"/>
          <w:sz w:val="24"/>
          <w:szCs w:val="24"/>
          <w:highlight w:val="none"/>
          <w:lang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根据热分析标准物质（铟）的证书，其熔点为（156</w:t>
      </w:r>
      <w:r>
        <w:rPr>
          <w:rFonts w:hint="default" w:cs="Times New Roman"/>
          <w:sz w:val="24"/>
          <w:szCs w:val="24"/>
          <w:lang w:val="en-US" w:eastAsia="zh-CN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>52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</w:t>
      </w:r>
      <w:r>
        <w:rPr>
          <w:rFonts w:hint="eastAsia" w:eastAsia="宋体" w:cs="Times New Roman"/>
          <w:sz w:val="24"/>
          <w:szCs w:val="24"/>
          <w:lang w:val="en-US" w:eastAsia="zh-CN"/>
        </w:rPr>
        <w:t>0.26</w:t>
      </w:r>
      <w:r>
        <w:rPr>
          <w:rFonts w:hint="eastAsia" w:cs="Times New Roman"/>
          <w:sz w:val="24"/>
          <w:szCs w:val="24"/>
          <w:lang w:val="en-US" w:eastAsia="zh-CN"/>
        </w:rPr>
        <w:t>）</w:t>
      </w:r>
      <w:r>
        <w:rPr>
          <w:sz w:val="24"/>
        </w:rPr>
        <w:t>℃</w:t>
      </w:r>
      <w:r>
        <w:rPr>
          <w:rFonts w:hint="eastAsia"/>
          <w:sz w:val="24"/>
          <w:lang w:eastAsia="zh-CN"/>
        </w:rPr>
        <w:t>，</w:t>
      </w:r>
      <w:r>
        <w:rPr>
          <w:rFonts w:hint="eastAsia" w:ascii="Times New Roman" w:hAnsi="Times New Roman" w:cs="Times New Roman"/>
          <w:i/>
          <w:iCs/>
          <w:sz w:val="24"/>
          <w:lang w:val="en-US" w:eastAsia="zh-CN"/>
        </w:rPr>
        <w:t>k</w:t>
      </w:r>
      <w:r>
        <w:rPr>
          <w:rFonts w:hint="eastAsia" w:ascii="Times New Roman" w:hAnsi="Times New Roman" w:cs="Times New Roman"/>
          <w:i w:val="0"/>
          <w:iCs w:val="0"/>
          <w:sz w:val="24"/>
          <w:lang w:val="en-US" w:eastAsia="zh-CN"/>
        </w:rPr>
        <w:t>=2，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所以由</w:t>
      </w:r>
      <w:r>
        <w:rPr>
          <w:rFonts w:hint="eastAsia" w:cs="Times New Roman"/>
          <w:sz w:val="24"/>
          <w:szCs w:val="24"/>
          <w:lang w:val="en-US" w:eastAsia="zh-CN"/>
        </w:rPr>
        <w:t>标准物质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引入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的不确定度分量</w:t>
      </w:r>
      <w:r>
        <w:rPr>
          <w:rFonts w:hint="eastAsia" w:ascii="Times New Roman" w:hAnsi="Times New Roman" w:eastAsia="宋体" w:cs="Times New Roman"/>
          <w:b w:val="0"/>
          <w:bCs/>
          <w:i/>
          <w:iCs/>
          <w:sz w:val="24"/>
          <w:highlight w:val="none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b w:val="0"/>
          <w:bCs/>
          <w:sz w:val="24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position w:val="0"/>
          <w:sz w:val="24"/>
          <w:szCs w:val="24"/>
          <w:highlight w:val="none"/>
          <w:lang w:eastAsia="zh-CN"/>
        </w:rPr>
        <w:t>为</w:t>
      </w:r>
      <w:r>
        <w:rPr>
          <w:rFonts w:hint="eastAsia" w:eastAsia="宋体" w:cs="Times New Roman"/>
          <w:position w:val="0"/>
          <w:sz w:val="24"/>
          <w:szCs w:val="24"/>
          <w:highlight w:val="none"/>
          <w:lang w:eastAsia="zh-CN"/>
        </w:rPr>
        <w:t>：</w:t>
      </w:r>
    </w:p>
    <w:p w14:paraId="1F66D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hAnsi="DejaVu Math TeX Gyre" w:eastAsia="宋体" w:cs="Times New Roman Italic"/>
          <w:i w:val="0"/>
          <w:iCs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hAnsi="DejaVu Math TeX Gyre" w:eastAsia="宋体" w:cs="Times New Roman Italic"/>
          <w:i w:val="0"/>
          <w:iCs w:val="0"/>
          <w:position w:val="-24"/>
          <w:sz w:val="24"/>
          <w:szCs w:val="24"/>
          <w:highlight w:val="none"/>
          <w:lang w:val="en-US" w:eastAsia="zh-CN"/>
        </w:rPr>
        <w:object>
          <v:shape id="_x0000_i1048" o:spt="75" type="#_x0000_t75" style="height:31pt;width:80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KSEE3" ShapeID="_x0000_i1048" DrawAspect="Content" ObjectID="_1468075746" r:id="rId63">
            <o:LockedField>false</o:LockedField>
          </o:OLEObject>
        </w:object>
      </w:r>
      <w:r>
        <w:rPr>
          <w:sz w:val="24"/>
        </w:rPr>
        <w:t>℃</w:t>
      </w:r>
    </w:p>
    <w:p w14:paraId="13F36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cs="Times New Roman"/>
          <w:position w:val="-10"/>
          <w:sz w:val="24"/>
          <w:szCs w:val="24"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.4.2 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  <w:t>由</w:t>
      </w:r>
      <w:r>
        <w:rPr>
          <w:rFonts w:hint="eastAsia" w:cs="Times New Roman"/>
          <w:position w:val="-10"/>
          <w:sz w:val="24"/>
          <w:szCs w:val="24"/>
          <w:lang w:val="en-US" w:eastAsia="zh-CN"/>
        </w:rPr>
        <w:t>仪器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t>测量重复性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  <w:t>引入的不确定度分量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vertAlign w:val="subscript"/>
          <w:lang w:val="en-US" w:eastAsia="zh-CN"/>
        </w:rPr>
        <w:t>2</w:t>
      </w:r>
    </w:p>
    <w:p w14:paraId="56B95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eastAsia" w:cs="Times New Roman"/>
          <w:sz w:val="24"/>
          <w:szCs w:val="24"/>
          <w:lang w:val="en-US" w:eastAsia="zh-CN"/>
        </w:rPr>
        <w:t>热分析标准物质熔点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重复测量</w:t>
      </w:r>
      <w:r>
        <w:rPr>
          <w:rFonts w:hint="eastAsia" w:cs="Times New Roman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次，测量数据</w:t>
      </w:r>
      <w:r>
        <w:rPr>
          <w:rFonts w:hint="eastAsia" w:eastAsia="宋体" w:cs="Times New Roman"/>
          <w:sz w:val="24"/>
          <w:szCs w:val="24"/>
          <w:lang w:val="en-US" w:eastAsia="zh-CN"/>
        </w:rPr>
        <w:t>结果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见表</w:t>
      </w:r>
      <w:r>
        <w:rPr>
          <w:rFonts w:hint="default" w:eastAsia="宋体" w:cs="Times New Roman"/>
          <w:sz w:val="24"/>
          <w:szCs w:val="24"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.1</w:t>
      </w:r>
    </w:p>
    <w:p w14:paraId="2BE15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表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D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.1 熔点重复性测量数据</w:t>
      </w:r>
    </w:p>
    <w:tbl>
      <w:tblPr>
        <w:tblStyle w:val="2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697"/>
        <w:gridCol w:w="786"/>
        <w:gridCol w:w="786"/>
        <w:gridCol w:w="786"/>
        <w:gridCol w:w="786"/>
        <w:gridCol w:w="786"/>
        <w:gridCol w:w="786"/>
        <w:gridCol w:w="786"/>
        <w:gridCol w:w="786"/>
        <w:gridCol w:w="808"/>
      </w:tblGrid>
      <w:tr w14:paraId="4B2FB7A4">
        <w:trPr>
          <w:trHeight w:val="397" w:hRule="atLeast"/>
          <w:jc w:val="center"/>
        </w:trPr>
        <w:tc>
          <w:tcPr>
            <w:tcW w:w="875" w:type="pct"/>
            <w:noWrap w:val="0"/>
            <w:vAlign w:val="center"/>
          </w:tcPr>
          <w:p w14:paraId="0B139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测量次数</w:t>
            </w:r>
          </w:p>
        </w:tc>
        <w:tc>
          <w:tcPr>
            <w:tcW w:w="369" w:type="pct"/>
            <w:noWrap w:val="0"/>
            <w:vAlign w:val="center"/>
          </w:tcPr>
          <w:p w14:paraId="6256997D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17AB760A">
            <w:pPr>
              <w:spacing w:line="240" w:lineRule="auto"/>
              <w:jc w:val="center"/>
              <w:outlineLvl w:val="9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16" w:type="pct"/>
            <w:noWrap w:val="0"/>
            <w:vAlign w:val="center"/>
          </w:tcPr>
          <w:p w14:paraId="2B0D397C">
            <w:pPr>
              <w:spacing w:line="240" w:lineRule="auto"/>
              <w:jc w:val="center"/>
              <w:outlineLvl w:val="9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16" w:type="pct"/>
            <w:noWrap w:val="0"/>
            <w:vAlign w:val="center"/>
          </w:tcPr>
          <w:p w14:paraId="0119B0B8">
            <w:pPr>
              <w:spacing w:line="240" w:lineRule="auto"/>
              <w:jc w:val="center"/>
              <w:outlineLvl w:val="9"/>
              <w:rPr>
                <w:rFonts w:hint="eastAsia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16" w:type="pct"/>
            <w:noWrap w:val="0"/>
            <w:vAlign w:val="center"/>
          </w:tcPr>
          <w:p w14:paraId="384A2D20">
            <w:pPr>
              <w:spacing w:line="240" w:lineRule="auto"/>
              <w:jc w:val="center"/>
              <w:outlineLvl w:val="9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16" w:type="pct"/>
            <w:noWrap w:val="0"/>
            <w:vAlign w:val="center"/>
          </w:tcPr>
          <w:p w14:paraId="6B95979E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16" w:type="pct"/>
            <w:noWrap w:val="0"/>
            <w:vAlign w:val="center"/>
          </w:tcPr>
          <w:p w14:paraId="63F07C25">
            <w:pPr>
              <w:spacing w:line="240" w:lineRule="auto"/>
              <w:jc w:val="center"/>
              <w:outlineLvl w:val="9"/>
              <w:rPr>
                <w:rFonts w:hint="default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3E65FD45">
            <w:pPr>
              <w:spacing w:line="240" w:lineRule="auto"/>
              <w:jc w:val="center"/>
              <w:outlineLvl w:val="9"/>
              <w:rPr>
                <w:rFonts w:hint="default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16" w:type="pct"/>
            <w:noWrap w:val="0"/>
            <w:vAlign w:val="center"/>
          </w:tcPr>
          <w:p w14:paraId="6D925F61">
            <w:pPr>
              <w:spacing w:line="240" w:lineRule="auto"/>
              <w:jc w:val="center"/>
              <w:outlineLvl w:val="9"/>
              <w:rPr>
                <w:rFonts w:hint="default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26" w:type="pct"/>
            <w:noWrap w:val="0"/>
            <w:vAlign w:val="center"/>
          </w:tcPr>
          <w:p w14:paraId="3CDEFCBF">
            <w:pPr>
              <w:spacing w:line="240" w:lineRule="auto"/>
              <w:jc w:val="center"/>
              <w:outlineLvl w:val="9"/>
              <w:rPr>
                <w:rFonts w:hint="default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0EC366D2">
        <w:trPr>
          <w:trHeight w:val="397" w:hRule="atLeast"/>
          <w:jc w:val="center"/>
        </w:trPr>
        <w:tc>
          <w:tcPr>
            <w:tcW w:w="875" w:type="pct"/>
            <w:noWrap w:val="0"/>
            <w:vAlign w:val="top"/>
          </w:tcPr>
          <w:p w14:paraId="13424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测量值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369" w:type="pct"/>
            <w:noWrap w:val="0"/>
            <w:vAlign w:val="center"/>
          </w:tcPr>
          <w:p w14:paraId="62099B60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  <w:r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7.9</w:t>
            </w:r>
          </w:p>
        </w:tc>
        <w:tc>
          <w:tcPr>
            <w:tcW w:w="416" w:type="pct"/>
            <w:noWrap w:val="0"/>
            <w:vAlign w:val="center"/>
          </w:tcPr>
          <w:p w14:paraId="6344BEBB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158.1</w:t>
            </w:r>
          </w:p>
        </w:tc>
        <w:tc>
          <w:tcPr>
            <w:tcW w:w="416" w:type="pct"/>
            <w:noWrap w:val="0"/>
            <w:vAlign w:val="center"/>
          </w:tcPr>
          <w:p w14:paraId="2EFE32D6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157.5</w:t>
            </w:r>
          </w:p>
        </w:tc>
        <w:tc>
          <w:tcPr>
            <w:tcW w:w="416" w:type="pct"/>
            <w:noWrap w:val="0"/>
            <w:vAlign w:val="center"/>
          </w:tcPr>
          <w:p w14:paraId="5B8848EA">
            <w:pPr>
              <w:spacing w:line="240" w:lineRule="auto"/>
              <w:jc w:val="center"/>
              <w:outlineLvl w:val="9"/>
              <w:rPr>
                <w:rFonts w:hint="default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kern w:val="2"/>
                <w:sz w:val="21"/>
                <w:szCs w:val="21"/>
                <w:highlight w:val="none"/>
                <w:lang w:val="en-US" w:eastAsia="zh-CN" w:bidi="ar-SA"/>
              </w:rPr>
              <w:t>157.7</w:t>
            </w:r>
          </w:p>
        </w:tc>
        <w:tc>
          <w:tcPr>
            <w:tcW w:w="416" w:type="pct"/>
            <w:noWrap w:val="0"/>
            <w:vAlign w:val="center"/>
          </w:tcPr>
          <w:p w14:paraId="6A0CD644">
            <w:pPr>
              <w:spacing w:line="240" w:lineRule="auto"/>
              <w:jc w:val="center"/>
              <w:outlineLvl w:val="9"/>
              <w:rPr>
                <w:rFonts w:hint="default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kern w:val="2"/>
                <w:sz w:val="21"/>
                <w:szCs w:val="21"/>
                <w:highlight w:val="none"/>
                <w:lang w:val="en-US" w:eastAsia="zh-CN" w:bidi="ar-SA"/>
              </w:rPr>
              <w:t>158.2</w:t>
            </w:r>
          </w:p>
        </w:tc>
        <w:tc>
          <w:tcPr>
            <w:tcW w:w="416" w:type="pct"/>
            <w:noWrap w:val="0"/>
            <w:vAlign w:val="center"/>
          </w:tcPr>
          <w:p w14:paraId="5CB6A257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157.3</w:t>
            </w:r>
          </w:p>
        </w:tc>
        <w:tc>
          <w:tcPr>
            <w:tcW w:w="416" w:type="pct"/>
            <w:noWrap w:val="0"/>
            <w:vAlign w:val="center"/>
          </w:tcPr>
          <w:p w14:paraId="51F34AD1">
            <w:pPr>
              <w:spacing w:line="240" w:lineRule="auto"/>
              <w:jc w:val="center"/>
              <w:outlineLvl w:val="9"/>
              <w:rPr>
                <w:rFonts w:hint="default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157.5</w:t>
            </w:r>
          </w:p>
        </w:tc>
        <w:tc>
          <w:tcPr>
            <w:tcW w:w="416" w:type="pct"/>
            <w:noWrap w:val="0"/>
            <w:vAlign w:val="center"/>
          </w:tcPr>
          <w:p w14:paraId="59CDBEBF">
            <w:pPr>
              <w:spacing w:line="240" w:lineRule="auto"/>
              <w:jc w:val="center"/>
              <w:outlineLvl w:val="9"/>
              <w:rPr>
                <w:rFonts w:hint="default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158.1</w:t>
            </w:r>
          </w:p>
        </w:tc>
        <w:tc>
          <w:tcPr>
            <w:tcW w:w="416" w:type="pct"/>
            <w:noWrap w:val="0"/>
            <w:vAlign w:val="center"/>
          </w:tcPr>
          <w:p w14:paraId="100A7458">
            <w:pPr>
              <w:spacing w:line="240" w:lineRule="auto"/>
              <w:jc w:val="center"/>
              <w:outlineLvl w:val="9"/>
              <w:rPr>
                <w:rFonts w:hint="default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157.6</w:t>
            </w:r>
          </w:p>
        </w:tc>
        <w:tc>
          <w:tcPr>
            <w:tcW w:w="426" w:type="pct"/>
            <w:noWrap w:val="0"/>
            <w:vAlign w:val="center"/>
          </w:tcPr>
          <w:p w14:paraId="72916909">
            <w:pPr>
              <w:spacing w:line="240" w:lineRule="auto"/>
              <w:jc w:val="center"/>
              <w:outlineLvl w:val="9"/>
              <w:rPr>
                <w:rFonts w:hint="default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158.0</w:t>
            </w:r>
          </w:p>
        </w:tc>
      </w:tr>
      <w:tr w14:paraId="68E78696">
        <w:trPr>
          <w:trHeight w:val="397" w:hRule="atLeast"/>
          <w:jc w:val="center"/>
        </w:trPr>
        <w:tc>
          <w:tcPr>
            <w:tcW w:w="875" w:type="pct"/>
            <w:noWrap w:val="0"/>
            <w:vAlign w:val="center"/>
          </w:tcPr>
          <w:p w14:paraId="7539E248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平均值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4124" w:type="pct"/>
            <w:gridSpan w:val="10"/>
            <w:noWrap w:val="0"/>
            <w:vAlign w:val="top"/>
          </w:tcPr>
          <w:p w14:paraId="270D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157.8</w:t>
            </w:r>
          </w:p>
        </w:tc>
      </w:tr>
      <w:tr w14:paraId="43EC323B">
        <w:trPr>
          <w:trHeight w:val="397" w:hRule="atLeast"/>
          <w:jc w:val="center"/>
        </w:trPr>
        <w:tc>
          <w:tcPr>
            <w:tcW w:w="875" w:type="pct"/>
            <w:shd w:val="clear" w:color="auto" w:fill="auto"/>
            <w:noWrap w:val="0"/>
            <w:vAlign w:val="center"/>
          </w:tcPr>
          <w:p w14:paraId="4ECD90E8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标准偏差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4124" w:type="pct"/>
            <w:gridSpan w:val="10"/>
            <w:shd w:val="clear" w:color="auto" w:fill="auto"/>
            <w:noWrap w:val="0"/>
            <w:vAlign w:val="top"/>
          </w:tcPr>
          <w:p w14:paraId="2369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0.29</w:t>
            </w:r>
          </w:p>
        </w:tc>
      </w:tr>
    </w:tbl>
    <w:p w14:paraId="0150B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position w:val="0"/>
          <w:sz w:val="24"/>
          <w:szCs w:val="24"/>
          <w:highlight w:val="none"/>
          <w:lang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根据6.2.4可知，每次校准均对同一标准物质进行2次测量，则由测量重复性引入的不确定度分量</w:t>
      </w:r>
      <w:r>
        <w:rPr>
          <w:rFonts w:hint="eastAsia" w:ascii="Times New Roman" w:hAnsi="Times New Roman" w:eastAsia="宋体" w:cs="Times New Roman"/>
          <w:b w:val="0"/>
          <w:bCs/>
          <w:i/>
          <w:iCs/>
          <w:sz w:val="24"/>
          <w:highlight w:val="none"/>
          <w:lang w:val="en-US" w:eastAsia="zh-CN"/>
        </w:rPr>
        <w:t>u</w:t>
      </w:r>
      <w:r>
        <w:rPr>
          <w:rFonts w:hint="eastAsia" w:eastAsia="宋体" w:cs="Times New Roman"/>
          <w:b w:val="0"/>
          <w:bCs/>
          <w:sz w:val="24"/>
          <w:highlight w:val="none"/>
          <w:vertAlign w:val="subscript"/>
          <w:lang w:val="en-US" w:eastAsia="zh-CN"/>
        </w:rPr>
        <w:t>2</w:t>
      </w:r>
      <w:r>
        <w:rPr>
          <w:rFonts w:hint="eastAsia" w:eastAsia="宋体" w:cs="Times New Roman"/>
          <w:sz w:val="24"/>
          <w:szCs w:val="24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position w:val="0"/>
          <w:sz w:val="24"/>
          <w:szCs w:val="24"/>
          <w:highlight w:val="none"/>
          <w:lang w:eastAsia="zh-CN"/>
        </w:rPr>
        <w:t>：</w:t>
      </w:r>
    </w:p>
    <w:p w14:paraId="51089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default" w:ascii="Times New Roman" w:hAnsi="Times New Roman" w:eastAsia="宋体" w:cs="Times New Roman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position w:val="-28"/>
          <w:sz w:val="24"/>
          <w:szCs w:val="24"/>
          <w:highlight w:val="none"/>
          <w:lang w:eastAsia="zh-CN"/>
        </w:rPr>
        <w:object>
          <v:shape id="_x0000_i1049" o:spt="75" type="#_x0000_t75" style="height:33pt;width:110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49" DrawAspect="Content" ObjectID="_1468075747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℃</w:t>
      </w:r>
    </w:p>
    <w:p w14:paraId="005E8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  <w:t>D.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 xml:space="preserve">5 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合成标准不确定度计算</w:t>
      </w:r>
    </w:p>
    <w:p w14:paraId="232CC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标准不确定度分量见表</w:t>
      </w:r>
      <w:r>
        <w:rPr>
          <w:rFonts w:hint="default" w:eastAsia="宋体" w:cs="Times New Roman"/>
          <w:sz w:val="24"/>
          <w:szCs w:val="24"/>
          <w:lang w:val="en-US" w:eastAsia="zh-CN"/>
        </w:rPr>
        <w:t>D.</w:t>
      </w:r>
      <w:r>
        <w:rPr>
          <w:rFonts w:hint="eastAsia" w:eastAsia="宋体" w:cs="Times New Roman"/>
          <w:sz w:val="24"/>
          <w:szCs w:val="24"/>
          <w:lang w:val="en-US" w:eastAsia="zh-CN"/>
        </w:rPr>
        <w:t>2。</w:t>
      </w:r>
    </w:p>
    <w:p w14:paraId="6B034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表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D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.2 标准不确定度来源汇总表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64"/>
        <w:gridCol w:w="2364"/>
        <w:gridCol w:w="2364"/>
      </w:tblGrid>
      <w:tr w14:paraId="1C3F553C">
        <w:trPr>
          <w:trHeight w:val="397" w:hRule="atLeast"/>
        </w:trPr>
        <w:tc>
          <w:tcPr>
            <w:tcW w:w="2364" w:type="dxa"/>
          </w:tcPr>
          <w:p w14:paraId="1DF8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标准不确定度来源</w:t>
            </w:r>
          </w:p>
        </w:tc>
        <w:tc>
          <w:tcPr>
            <w:tcW w:w="2364" w:type="dxa"/>
          </w:tcPr>
          <w:p w14:paraId="6252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标准不确定度符号</w:t>
            </w:r>
          </w:p>
        </w:tc>
        <w:tc>
          <w:tcPr>
            <w:tcW w:w="2364" w:type="dxa"/>
          </w:tcPr>
          <w:p w14:paraId="44811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标准不确定度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℃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364" w:type="dxa"/>
          </w:tcPr>
          <w:p w14:paraId="3DC05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灵敏系数</w:t>
            </w:r>
          </w:p>
        </w:tc>
      </w:tr>
      <w:tr w14:paraId="7401F3C5">
        <w:trPr>
          <w:trHeight w:val="397" w:hRule="atLeast"/>
        </w:trPr>
        <w:tc>
          <w:tcPr>
            <w:tcW w:w="2364" w:type="dxa"/>
          </w:tcPr>
          <w:p w14:paraId="22239B11">
            <w:pPr>
              <w:pStyle w:val="2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测量标物不确定度</w:t>
            </w:r>
          </w:p>
        </w:tc>
        <w:tc>
          <w:tcPr>
            <w:tcW w:w="2364" w:type="dxa"/>
          </w:tcPr>
          <w:p w14:paraId="190C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hint="default" w:ascii="DejaVu Math TeX Gyre" w:hAnsi="DejaVu Math TeX Gyre" w:cs="Times New Roman Italic"/>
                        <w:i/>
                        <w:iCs w:val="0"/>
                        <w:position w:val="0"/>
                        <w:sz w:val="24"/>
                        <w:szCs w:val="24"/>
                        <w:highlight w:val="none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hint="default" w:ascii="Times New Roman" w:hAnsi="Times New Roman" w:cs="Times New Roman Italic"/>
                        <w:i/>
                        <w:iCs w:val="0"/>
                        <w:position w:val="0"/>
                        <w:sz w:val="24"/>
                        <w:szCs w:val="24"/>
                        <w:highlight w:val="none"/>
                        <w:lang w:val="en-US"/>
                      </w:rPr>
                      <m:t>u</m:t>
                    </m:r>
                    <m:ctrlPr>
                      <w:rPr>
                        <w:rFonts w:hint="default" w:ascii="DejaVu Math TeX Gyre" w:hAnsi="DejaVu Math TeX Gyre" w:cs="Times New Roman Italic"/>
                        <w:i/>
                        <w:iCs w:val="0"/>
                        <w:position w:val="0"/>
                        <w:sz w:val="24"/>
                        <w:szCs w:val="24"/>
                        <w:highlight w:val="none"/>
                        <w:lang w:val="en-US"/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hint="default" w:cs="Times New Roman Italic"/>
                        <w:b w:val="0"/>
                        <w:i w:val="0"/>
                        <w:iCs w:val="0"/>
                        <w:position w:val="0"/>
                        <w:sz w:val="24"/>
                        <w:szCs w:val="24"/>
                        <w:highlight w:val="none"/>
                        <w:lang w:val="en-US" w:eastAsia="zh-CN"/>
                      </w:rPr>
                      <m:t>1</m:t>
                    </m:r>
                    <m:ctrlPr>
                      <w:rPr>
                        <w:rFonts w:hint="default" w:ascii="DejaVu Math TeX Gyre" w:hAnsi="DejaVu Math TeX Gyre" w:cs="Times New Roman Italic"/>
                        <w:i/>
                        <w:iCs w:val="0"/>
                        <w:position w:val="0"/>
                        <w:sz w:val="24"/>
                        <w:szCs w:val="24"/>
                        <w:highlight w:val="none"/>
                        <w:lang w:val="en-US"/>
                      </w:rPr>
                    </m:ctrlPr>
                  </m:sub>
                </m:sSub>
              </m:oMath>
            </m:oMathPara>
          </w:p>
        </w:tc>
        <w:tc>
          <w:tcPr>
            <w:tcW w:w="2364" w:type="dxa"/>
          </w:tcPr>
          <w:p w14:paraId="55ABE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0.13</w:t>
            </w:r>
          </w:p>
        </w:tc>
        <w:tc>
          <w:tcPr>
            <w:tcW w:w="2364" w:type="dxa"/>
          </w:tcPr>
          <w:p w14:paraId="15FB0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-1</w:t>
            </w:r>
          </w:p>
        </w:tc>
      </w:tr>
      <w:tr w14:paraId="32D8B27C">
        <w:trPr>
          <w:trHeight w:val="397" w:hRule="atLeast"/>
        </w:trPr>
        <w:tc>
          <w:tcPr>
            <w:tcW w:w="2364" w:type="dxa"/>
          </w:tcPr>
          <w:p w14:paraId="79A30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仪器测量重复性</w:t>
            </w:r>
          </w:p>
        </w:tc>
        <w:tc>
          <w:tcPr>
            <w:tcW w:w="2364" w:type="dxa"/>
          </w:tcPr>
          <w:p w14:paraId="56B9C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hint="default" w:ascii="DejaVu Math TeX Gyre" w:hAnsi="DejaVu Math TeX Gyre" w:cs="Times New Roman Italic"/>
                        <w:i/>
                        <w:iCs w:val="0"/>
                        <w:position w:val="0"/>
                        <w:sz w:val="24"/>
                        <w:szCs w:val="24"/>
                        <w:highlight w:val="none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hint="default" w:ascii="Times New Roman" w:hAnsi="Times New Roman" w:cs="Times New Roman Italic"/>
                        <w:i/>
                        <w:iCs w:val="0"/>
                        <w:position w:val="0"/>
                        <w:sz w:val="24"/>
                        <w:szCs w:val="24"/>
                        <w:highlight w:val="none"/>
                        <w:lang w:val="en-US"/>
                      </w:rPr>
                      <m:t>u</m:t>
                    </m:r>
                    <m:ctrlPr>
                      <w:rPr>
                        <w:rFonts w:hint="default" w:ascii="DejaVu Math TeX Gyre" w:hAnsi="DejaVu Math TeX Gyre" w:cs="Times New Roman Italic"/>
                        <w:i/>
                        <w:iCs w:val="0"/>
                        <w:position w:val="0"/>
                        <w:sz w:val="24"/>
                        <w:szCs w:val="24"/>
                        <w:highlight w:val="none"/>
                        <w:lang w:val="en-US"/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hint="default" w:cs="Times New Roman Italic"/>
                        <w:b w:val="0"/>
                        <w:i w:val="0"/>
                        <w:iCs w:val="0"/>
                        <w:position w:val="0"/>
                        <w:sz w:val="24"/>
                        <w:szCs w:val="24"/>
                        <w:highlight w:val="none"/>
                        <w:lang w:val="en-US"/>
                      </w:rPr>
                      <m:t>2</m:t>
                    </m:r>
                    <m:ctrlPr>
                      <w:rPr>
                        <w:rFonts w:hint="default" w:ascii="DejaVu Math TeX Gyre" w:hAnsi="DejaVu Math TeX Gyre" w:cs="Times New Roman Italic"/>
                        <w:i/>
                        <w:iCs w:val="0"/>
                        <w:position w:val="0"/>
                        <w:sz w:val="24"/>
                        <w:szCs w:val="24"/>
                        <w:highlight w:val="none"/>
                        <w:lang w:val="en-US"/>
                      </w:rPr>
                    </m:ctrlPr>
                  </m:sub>
                </m:sSub>
              </m:oMath>
            </m:oMathPara>
          </w:p>
        </w:tc>
        <w:tc>
          <w:tcPr>
            <w:tcW w:w="2364" w:type="dxa"/>
          </w:tcPr>
          <w:p w14:paraId="28EB0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364" w:type="dxa"/>
          </w:tcPr>
          <w:p w14:paraId="2C3A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4E80A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default" w:eastAsia="宋体" w:cs="Times New Roman"/>
          <w:sz w:val="24"/>
          <w:szCs w:val="24"/>
          <w:lang w:val="en-US" w:eastAsia="zh-CN"/>
        </w:rPr>
        <w:t>以上两个分量</w:t>
      </w:r>
      <m:oMath>
        <m:sSub>
          <m:sSubPr>
            <m:ctrlPr>
              <w:rPr>
                <w:rFonts w:hint="default" w:ascii="DejaVu Math TeX Gyre" w:hAnsi="DejaVu Math TeX Gyre" w:cs="Times New Roman Italic"/>
                <w:i/>
                <w:iCs w:val="0"/>
                <w:position w:val="0"/>
                <w:sz w:val="24"/>
                <w:szCs w:val="24"/>
                <w:highlight w:val="none"/>
                <w:lang w:val="en-US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 Italic"/>
                <w:i/>
                <w:iCs w:val="0"/>
                <w:position w:val="0"/>
                <w:sz w:val="24"/>
                <w:szCs w:val="24"/>
                <w:highlight w:val="none"/>
                <w:lang w:val="en-US"/>
              </w:rPr>
              <m:t>u</m:t>
            </m:r>
            <m:ctrlPr>
              <w:rPr>
                <w:rFonts w:hint="default" w:ascii="DejaVu Math TeX Gyre" w:hAnsi="DejaVu Math TeX Gyre" w:cs="Times New Roman Italic"/>
                <w:i/>
                <w:iCs w:val="0"/>
                <w:position w:val="0"/>
                <w:sz w:val="24"/>
                <w:szCs w:val="24"/>
                <w:highlight w:val="none"/>
                <w:lang w:val="en-US"/>
              </w:rPr>
            </m:ctrlPr>
          </m:e>
          <m:sub>
            <m:r>
              <m:rPr>
                <m:nor/>
                <m:sty m:val="p"/>
              </m:rPr>
              <w:rPr>
                <w:rFonts w:hint="default" w:cs="Times New Roman Italic"/>
                <w:b w:val="0"/>
                <w:i w:val="0"/>
                <w:iCs w:val="0"/>
                <w:position w:val="0"/>
                <w:sz w:val="24"/>
                <w:szCs w:val="24"/>
                <w:highlight w:val="none"/>
                <w:lang w:val="en-US" w:eastAsia="zh-CN"/>
              </w:rPr>
              <m:t>1</m:t>
            </m:r>
            <m:ctrlPr>
              <w:rPr>
                <w:rFonts w:hint="default" w:ascii="DejaVu Math TeX Gyre" w:hAnsi="DejaVu Math TeX Gyre" w:cs="Times New Roman Italic"/>
                <w:i/>
                <w:iCs w:val="0"/>
                <w:position w:val="0"/>
                <w:sz w:val="24"/>
                <w:szCs w:val="24"/>
                <w:highlight w:val="none"/>
                <w:lang w:val="en-US"/>
              </w:rPr>
            </m:ctrlPr>
          </m:sub>
        </m:sSub>
      </m:oMath>
      <w:r>
        <w:rPr>
          <w:rFonts w:hint="default" w:eastAsia="宋体" w:cs="Times New Roman"/>
          <w:sz w:val="24"/>
          <w:szCs w:val="24"/>
          <w:lang w:val="en-US" w:eastAsia="zh-CN"/>
        </w:rPr>
        <w:t>和</w:t>
      </w:r>
      <m:oMath>
        <m:sSub>
          <m:sSubPr>
            <m:ctrlPr>
              <w:rPr>
                <w:rFonts w:hint="default" w:ascii="DejaVu Math TeX Gyre" w:hAnsi="DejaVu Math TeX Gyre" w:cs="Times New Roman Italic"/>
                <w:i/>
                <w:iCs w:val="0"/>
                <w:position w:val="0"/>
                <w:sz w:val="24"/>
                <w:szCs w:val="24"/>
                <w:highlight w:val="none"/>
                <w:lang w:val="en-US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 Italic"/>
                <w:i/>
                <w:iCs w:val="0"/>
                <w:position w:val="0"/>
                <w:sz w:val="24"/>
                <w:szCs w:val="24"/>
                <w:highlight w:val="none"/>
                <w:lang w:val="en-US"/>
              </w:rPr>
              <m:t>u</m:t>
            </m:r>
            <m:ctrlPr>
              <w:rPr>
                <w:rFonts w:hint="default" w:ascii="DejaVu Math TeX Gyre" w:hAnsi="DejaVu Math TeX Gyre" w:cs="Times New Roman Italic"/>
                <w:i/>
                <w:iCs w:val="0"/>
                <w:position w:val="0"/>
                <w:sz w:val="24"/>
                <w:szCs w:val="24"/>
                <w:highlight w:val="none"/>
                <w:lang w:val="en-US"/>
              </w:rPr>
            </m:ctrlPr>
          </m:e>
          <m:sub>
            <m:r>
              <m:rPr>
                <m:nor/>
                <m:sty m:val="p"/>
              </m:rPr>
              <w:rPr>
                <w:rFonts w:hint="default" w:cs="Times New Roman Italic"/>
                <w:b w:val="0"/>
                <w:i w:val="0"/>
                <w:iCs w:val="0"/>
                <w:position w:val="0"/>
                <w:sz w:val="24"/>
                <w:szCs w:val="24"/>
                <w:highlight w:val="none"/>
                <w:lang w:val="en-US"/>
              </w:rPr>
              <m:t>2</m:t>
            </m:r>
            <m:ctrlPr>
              <w:rPr>
                <w:rFonts w:hint="default" w:ascii="DejaVu Math TeX Gyre" w:hAnsi="DejaVu Math TeX Gyre" w:cs="Times New Roman Italic"/>
                <w:i/>
                <w:iCs w:val="0"/>
                <w:position w:val="0"/>
                <w:sz w:val="24"/>
                <w:szCs w:val="24"/>
                <w:highlight w:val="none"/>
                <w:lang w:val="en-US"/>
              </w:rPr>
            </m:ctrlPr>
          </m:sub>
        </m:sSub>
      </m:oMath>
      <w:r>
        <w:rPr>
          <w:rFonts w:hint="default" w:eastAsia="宋体" w:cs="Times New Roman"/>
          <w:sz w:val="24"/>
          <w:szCs w:val="24"/>
          <w:lang w:val="en-US" w:eastAsia="zh-CN"/>
        </w:rPr>
        <w:t>相互独立，相关系数为0</w:t>
      </w:r>
      <w:r>
        <w:rPr>
          <w:rFonts w:hint="eastAsia" w:eastAsia="宋体" w:cs="Times New Roman"/>
          <w:sz w:val="24"/>
          <w:szCs w:val="24"/>
          <w:lang w:val="en-US" w:eastAsia="zh-CN"/>
        </w:rPr>
        <w:t>，合成标准不确定度为：</w:t>
      </w:r>
    </w:p>
    <w:p w14:paraId="4882A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color w:val="000000"/>
          <w:sz w:val="24"/>
          <w:szCs w:val="24"/>
          <w:lang w:val="en-US" w:eastAsia="zh-CN"/>
        </w:rPr>
      </w:pPr>
      <w:r>
        <w:rPr>
          <w:rFonts w:hint="default" w:ascii="DejaVu Math TeX Gyre" w:hAnsi="DejaVu Math TeX Gyre" w:cs="Times New Roman"/>
          <w:i/>
          <w:iCs w:val="0"/>
          <w:position w:val="-12"/>
          <w:sz w:val="24"/>
          <w:szCs w:val="24"/>
          <w:highlight w:val="none"/>
          <w:lang w:val="en-US"/>
        </w:rPr>
        <w:object>
          <v:shape id="_x0000_i1050" o:spt="75" type="#_x0000_t75" style="height:23pt;width:261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50" DrawAspect="Content" ObjectID="_1468075748" r:id="rId67">
            <o:LockedField>false</o:LockedField>
          </o:OLEObject>
        </w:object>
      </w:r>
    </w:p>
    <w:p w14:paraId="466B5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eastAsia="zh-CN"/>
        </w:rPr>
      </w:pPr>
      <w:r>
        <w:rPr>
          <w:rFonts w:hint="default" w:ascii="黑体" w:hAnsi="黑体" w:eastAsia="黑体" w:cs="黑体"/>
          <w:b w:val="0"/>
          <w:bCs/>
          <w:color w:val="000000"/>
          <w:sz w:val="24"/>
          <w:szCs w:val="24"/>
          <w:lang w:val="en-US" w:eastAsia="zh-CN"/>
        </w:rPr>
        <w:t>D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val="en-US" w:eastAsia="zh-CN"/>
        </w:rPr>
        <w:t xml:space="preserve">.6 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扩展不确定度计算</w:t>
      </w:r>
    </w:p>
    <w:p w14:paraId="5961D36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yellow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取包含因子</w:t>
      </w:r>
      <w:r>
        <w:rPr>
          <w:rFonts w:hint="default" w:ascii="Times New Roman" w:hAnsi="Times New Roman" w:eastAsia="宋体" w:cs="Times New Roman"/>
          <w:i/>
          <w:color w:val="000000"/>
          <w:position w:val="-6"/>
          <w:sz w:val="24"/>
          <w:szCs w:val="24"/>
        </w:rPr>
        <w:object>
          <v:shape id="_x0000_i1051" o:spt="75" type="#_x0000_t75" style="height:13.95pt;width:29pt;" o:ole="t" filled="f" o:preferrelative="t" stroked="f" coordsize="21600,21600">
            <v:path/>
            <v:fill on="f" alignshape="1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3" ShapeID="_x0000_i1051" DrawAspect="Content" ObjectID="_1468075749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扩展不确定度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为：</w:t>
      </w:r>
    </w:p>
    <w:p w14:paraId="630CE5A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9"/>
        <w:rPr>
          <w:rFonts w:hint="eastAsia" w:cs="Times New Roman Italic"/>
          <w:i w:val="0"/>
          <w:iCs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hAnsi="Times New Roman" w:eastAsia="宋体" w:cs="Times New Roman Italic"/>
          <w:i w:val="0"/>
          <w:iCs w:val="0"/>
          <w:position w:val="-12"/>
          <w:sz w:val="24"/>
          <w:szCs w:val="24"/>
          <w:highlight w:val="none"/>
          <w:lang w:val="en-US" w:eastAsia="zh-CN"/>
        </w:rPr>
        <w:object>
          <v:shape id="_x0000_i1052" o:spt="75" type="#_x0000_t75" style="height:18pt;width:46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52" DrawAspect="Content" ObjectID="_1468075750" r:id="rId71">
            <o:LockedField>false</o:LockedField>
          </o:OLEObject>
        </w:object>
      </w:r>
      <w:r>
        <w:rPr>
          <w:rFonts w:hint="eastAsia" w:cs="Times New Roman Italic"/>
          <w:i w:val="0"/>
          <w:iCs w:val="0"/>
          <w:position w:val="0"/>
          <w:sz w:val="24"/>
          <w:szCs w:val="24"/>
          <w:highlight w:val="none"/>
          <w:lang w:val="en-US" w:eastAsia="zh-CN"/>
        </w:rPr>
        <w:t xml:space="preserve">  （</w:t>
      </w:r>
      <w:r>
        <w:rPr>
          <w:rFonts w:hint="eastAsia" w:cs="Times New Roman Italic"/>
          <w:i/>
          <w:iCs/>
          <w:position w:val="0"/>
          <w:sz w:val="24"/>
          <w:szCs w:val="24"/>
          <w:highlight w:val="none"/>
          <w:lang w:val="en-US" w:eastAsia="zh-CN"/>
        </w:rPr>
        <w:t>k=2</w:t>
      </w:r>
      <w:r>
        <w:rPr>
          <w:rFonts w:hint="eastAsia" w:cs="Times New Roman Italic"/>
          <w:i w:val="0"/>
          <w:iCs w:val="0"/>
          <w:position w:val="0"/>
          <w:sz w:val="24"/>
          <w:szCs w:val="24"/>
          <w:highlight w:val="none"/>
          <w:lang w:val="en-US" w:eastAsia="zh-CN"/>
        </w:rPr>
        <w:t xml:space="preserve">） </w:t>
      </w:r>
    </w:p>
    <w:p w14:paraId="24AC823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color w:val="000000"/>
          <w:position w:val="-12"/>
          <w:sz w:val="24"/>
          <w:szCs w:val="24"/>
          <w:lang w:val="en-US" w:eastAsia="zh-CN"/>
        </w:rPr>
      </w:pPr>
      <w:r>
        <w:rPr>
          <w:rFonts w:hint="default" w:ascii="DejaVu Math TeX Gyre" w:hAnsi="DejaVu Math TeX Gyre" w:cs="Times New Roman Italic"/>
          <w:b w:val="0"/>
          <w:i w:val="0"/>
          <w:position w:val="-6"/>
          <w:sz w:val="24"/>
          <w:szCs w:val="24"/>
          <w:highlight w:val="none"/>
          <w:lang w:val="en-US"/>
        </w:rPr>
        <w:object>
          <v:shape id="_x0000_i1053" o:spt="75" type="#_x0000_t75" style="height:13.95pt;width:107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KSEE3" ShapeID="_x0000_i1053" DrawAspect="Content" ObjectID="_1468075751" r:id="rId73">
            <o:LockedField>false</o:LockedField>
          </o:OLEObject>
        </w:object>
      </w:r>
      <m:oMath>
        <m:r>
          <m:rPr>
            <m:sty m:val="p"/>
          </m:rPr>
          <w:rPr>
            <w:rFonts w:hint="default" w:ascii="DejaVu Math TeX Gyre" w:hAnsi="DejaVu Math TeX Gyre" w:cs="Times New Roman Italic"/>
            <w:position w:val="0"/>
            <w:sz w:val="24"/>
            <w:szCs w:val="24"/>
            <w:highlight w:val="none"/>
            <w:lang w:val="en-US"/>
          </w:rPr>
          <m:t xml:space="preserve">   </m:t>
        </m:r>
      </m:oMath>
      <w:r>
        <w:rPr>
          <w:rFonts w:hint="default" w:hAnsi="DejaVu Math TeX Gyre" w:cs="Times New Roman"/>
          <w:i w:val="0"/>
          <w:iCs w:val="0"/>
          <w:position w:val="0"/>
          <w:sz w:val="24"/>
          <w:szCs w:val="24"/>
          <w:highlight w:val="none"/>
          <w:lang w:val="en-US"/>
        </w:rPr>
        <w:t xml:space="preserve"> </w:t>
      </w:r>
      <w:r>
        <w:rPr>
          <w:rFonts w:hint="eastAsia" w:cs="Times New Roman Italic"/>
          <w:i w:val="0"/>
          <w:iCs w:val="0"/>
          <w:position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cs="Times New Roman Italic"/>
          <w:i/>
          <w:iCs/>
          <w:position w:val="0"/>
          <w:sz w:val="24"/>
          <w:szCs w:val="24"/>
          <w:highlight w:val="none"/>
          <w:lang w:val="en-US" w:eastAsia="zh-CN"/>
        </w:rPr>
        <w:t>k=2</w:t>
      </w:r>
      <w:r>
        <w:rPr>
          <w:rFonts w:hint="eastAsia" w:cs="Times New Roman Italic"/>
          <w:i w:val="0"/>
          <w:iCs w:val="0"/>
          <w:position w:val="0"/>
          <w:sz w:val="24"/>
          <w:szCs w:val="24"/>
          <w:highlight w:val="none"/>
          <w:lang w:val="en-US" w:eastAsia="zh-CN"/>
        </w:rPr>
        <w:t>）</w:t>
      </w:r>
      <w:r>
        <w:rPr>
          <w:rFonts w:hint="default" w:hAnsi="DejaVu Math TeX Gyre" w:cs="Times New Roman"/>
          <w:i w:val="0"/>
          <w:iCs w:val="0"/>
          <w:position w:val="0"/>
          <w:sz w:val="24"/>
          <w:szCs w:val="24"/>
          <w:highlight w:val="none"/>
          <w:lang w:val="en-US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position w:val="-12"/>
          <w:sz w:val="24"/>
          <w:szCs w:val="24"/>
          <w:lang w:val="en-US" w:eastAsia="zh-CN"/>
        </w:rPr>
        <w:t xml:space="preserve"> </w:t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46"/>
      <w:bookmarkEnd w:id="247"/>
      <w:bookmarkEnd w:id="248"/>
      <w:bookmarkEnd w:id="249"/>
      <w:bookmarkEnd w:id="250"/>
      <w:bookmarkEnd w:id="251"/>
      <w:bookmarkEnd w:id="254"/>
    </w:p>
    <w:p w14:paraId="1DD456E6">
      <w:pPr>
        <w:rPr>
          <w:rFonts w:hint="eastAsia" w:ascii="Times New Roman" w:hAnsi="Times New Roman" w:eastAsia="宋体" w:cs="Times New Roman"/>
          <w:color w:val="000000"/>
          <w:position w:val="-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position w:val="-12"/>
          <w:sz w:val="24"/>
          <w:szCs w:val="24"/>
          <w:lang w:val="en-US" w:eastAsia="zh-CN"/>
        </w:rPr>
        <w:br w:type="page"/>
      </w:r>
    </w:p>
    <w:p w14:paraId="3927044F">
      <w:pPr>
        <w:pStyle w:val="44"/>
        <w:spacing w:line="360" w:lineRule="auto"/>
        <w:ind w:left="0" w:leftChars="0" w:firstLine="0" w:firstLineChars="0"/>
        <w:outlineLvl w:val="0"/>
        <w:rPr>
          <w:rStyle w:val="42"/>
          <w:rFonts w:hint="default" w:ascii="Times New Roman" w:hAnsi="Times New Roman" w:eastAsia="宋体" w:cs="Times New Roman"/>
          <w:sz w:val="24"/>
          <w:szCs w:val="24"/>
          <w:lang w:val="en-US"/>
        </w:rPr>
      </w:pPr>
      <w:bookmarkStart w:id="266" w:name="_Toc12202"/>
      <w:bookmarkStart w:id="267" w:name="_Toc6839"/>
      <w:bookmarkStart w:id="268" w:name="_Toc28205"/>
      <w:bookmarkStart w:id="269" w:name="_Toc18070"/>
      <w:bookmarkStart w:id="270" w:name="_Toc18170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附录E</w:t>
      </w:r>
      <w:bookmarkEnd w:id="266"/>
      <w:bookmarkEnd w:id="267"/>
      <w:bookmarkEnd w:id="268"/>
      <w:bookmarkEnd w:id="269"/>
      <w:bookmarkEnd w:id="270"/>
      <w:r>
        <w:rPr>
          <w:rStyle w:val="42"/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</w:t>
      </w:r>
    </w:p>
    <w:p w14:paraId="6F90E49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36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eastAsia="zh-CN"/>
        </w:rPr>
      </w:pPr>
      <w:bookmarkStart w:id="271" w:name="_Toc2934"/>
      <w:bookmarkStart w:id="272" w:name="_Toc22820"/>
      <w:bookmarkStart w:id="273" w:name="_Toc3079"/>
      <w:bookmarkStart w:id="274" w:name="_Toc24057"/>
      <w:bookmarkStart w:id="275" w:name="_Toc5772"/>
      <w:bookmarkStart w:id="276" w:name="_Toc650306377"/>
      <w:bookmarkStart w:id="277" w:name="_Toc8350"/>
      <w:bookmarkStart w:id="278" w:name="_Toc26318"/>
      <w:bookmarkStart w:id="279" w:name="_Toc16959"/>
      <w:bookmarkStart w:id="280" w:name="_Toc25716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动态热机械分析仪位移示值误差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测量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结果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不确定度评定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示例</w:t>
      </w:r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14:paraId="08C635C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360" w:lineRule="auto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bookmarkStart w:id="281" w:name="_Toc31235"/>
      <w:bookmarkStart w:id="282" w:name="_Toc2404"/>
      <w:bookmarkStart w:id="283" w:name="_Toc30042"/>
      <w:bookmarkStart w:id="284" w:name="_Toc20981"/>
      <w:bookmarkStart w:id="285" w:name="_Toc30119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E.1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概述</w:t>
      </w:r>
      <w:bookmarkEnd w:id="281"/>
      <w:bookmarkEnd w:id="282"/>
      <w:bookmarkEnd w:id="283"/>
      <w:bookmarkEnd w:id="284"/>
      <w:bookmarkEnd w:id="285"/>
    </w:p>
    <w:p w14:paraId="48DBE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286" w:name="_Toc4395"/>
      <w:bookmarkStart w:id="287" w:name="_Toc13984"/>
      <w:bookmarkStart w:id="288" w:name="_Toc1038"/>
      <w:bookmarkStart w:id="289" w:name="_Toc30681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E.1.1评定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依据</w:t>
      </w:r>
      <w:bookmarkEnd w:id="286"/>
      <w:bookmarkEnd w:id="287"/>
      <w:bookmarkEnd w:id="288"/>
      <w:bookmarkEnd w:id="289"/>
    </w:p>
    <w:p w14:paraId="12445D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360" w:lineRule="auto"/>
        <w:ind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本规范。</w:t>
      </w:r>
    </w:p>
    <w:p w14:paraId="068F7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bookmarkStart w:id="290" w:name="_Toc27734"/>
      <w:bookmarkStart w:id="291" w:name="_Toc15538"/>
      <w:bookmarkStart w:id="292" w:name="_Toc523"/>
      <w:bookmarkStart w:id="293" w:name="_Toc19797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E.1.2测量标准</w:t>
      </w:r>
      <w:bookmarkEnd w:id="290"/>
      <w:bookmarkEnd w:id="291"/>
      <w:bookmarkEnd w:id="292"/>
      <w:bookmarkEnd w:id="293"/>
    </w:p>
    <w:p w14:paraId="414698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360" w:lineRule="auto"/>
        <w:ind w:lef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量块，标称长度5mm，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U=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0.07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µ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m，测量仪器的位移示值误差。</w:t>
      </w:r>
    </w:p>
    <w:p w14:paraId="3FE94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bookmarkStart w:id="294" w:name="_Toc25572"/>
      <w:bookmarkStart w:id="295" w:name="_Toc1273"/>
      <w:bookmarkStart w:id="296" w:name="_Toc8879"/>
      <w:bookmarkStart w:id="297" w:name="_Toc8799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E.1.3被测对象</w:t>
      </w:r>
      <w:bookmarkEnd w:id="294"/>
      <w:bookmarkEnd w:id="295"/>
      <w:bookmarkEnd w:id="296"/>
      <w:bookmarkEnd w:id="297"/>
    </w:p>
    <w:p w14:paraId="46CFA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outlineLvl w:val="9"/>
        <w:rPr>
          <w:rFonts w:hint="default" w:eastAsia="宋体"/>
          <w:b w:val="0"/>
          <w:bCs/>
          <w:sz w:val="24"/>
          <w:highlight w:val="yellow"/>
          <w:lang w:val="en-US" w:eastAsia="zh-CN"/>
        </w:rPr>
      </w:pPr>
      <w:bookmarkStart w:id="298" w:name="_Toc15792"/>
      <w:r>
        <w:rPr>
          <w:rFonts w:hint="eastAsia"/>
          <w:b w:val="0"/>
          <w:bCs/>
          <w:sz w:val="24"/>
          <w:highlight w:val="none"/>
          <w:lang w:val="en-US" w:eastAsia="zh-CN"/>
        </w:rPr>
        <w:t>动态热机械分析仪。</w:t>
      </w:r>
      <w:bookmarkEnd w:id="298"/>
    </w:p>
    <w:p w14:paraId="6AE86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bookmarkStart w:id="299" w:name="_Toc25484"/>
      <w:bookmarkStart w:id="300" w:name="_Toc4034"/>
      <w:bookmarkStart w:id="301" w:name="_Toc23703"/>
      <w:bookmarkStart w:id="302" w:name="_Toc7949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E.1.4测量方法</w:t>
      </w:r>
      <w:bookmarkEnd w:id="299"/>
      <w:bookmarkEnd w:id="300"/>
      <w:bookmarkEnd w:id="301"/>
      <w:bookmarkEnd w:id="302"/>
    </w:p>
    <w:p w14:paraId="06036495">
      <w:pPr>
        <w:tabs>
          <w:tab w:val="left" w:pos="1153"/>
        </w:tabs>
        <w:autoSpaceDE w:val="0"/>
        <w:autoSpaceDN w:val="0"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iCs/>
          <w:sz w:val="24"/>
          <w:szCs w:val="24"/>
          <w:highlight w:val="none"/>
          <w:lang w:val="en-US" w:eastAsia="zh-CN"/>
        </w:rPr>
      </w:pPr>
      <w:r>
        <w:rPr>
          <w:rStyle w:val="101"/>
          <w:rFonts w:hint="eastAsia"/>
          <w:sz w:val="24"/>
          <w:szCs w:val="24"/>
          <w:lang w:val="en-US" w:eastAsia="zh-CN"/>
        </w:rPr>
        <w:t>使动态热机械分析仪设备保持空载状态，关闭加热炉，待设备稳定后将位移清零。打开加热炉体，将标准量块置于样品支架的测量位置后关闭炉体，待稳定后记录该量块长度的测量值。量块长度的测量值与证书标准值的差值为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仪器的位移示值误差。</w:t>
      </w:r>
    </w:p>
    <w:p w14:paraId="14072C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E.2 测量模型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 </w:t>
      </w:r>
    </w:p>
    <w:p w14:paraId="52604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80" w:firstLineChars="200"/>
        <w:jc w:val="left"/>
        <w:textAlignment w:val="auto"/>
        <w:outlineLvl w:val="9"/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/>
          <w:position w:val="-10"/>
          <w:sz w:val="24"/>
          <w:lang w:val="en-US" w:eastAsia="zh-CN"/>
        </w:rPr>
        <w:t>位移示值误差</w:t>
      </w:r>
      <w:r>
        <w:rPr>
          <w:rFonts w:hint="default"/>
          <w:position w:val="-10"/>
          <w:sz w:val="24"/>
          <w:lang w:val="en-US" w:eastAsia="zh-CN"/>
        </w:rPr>
        <w:t>的测量模型见式</w:t>
      </w:r>
      <w:r>
        <w:rPr>
          <w:rFonts w:hint="eastAsia"/>
          <w:position w:val="-10"/>
          <w:sz w:val="24"/>
          <w:lang w:val="en-US" w:eastAsia="zh-CN"/>
        </w:rPr>
        <w:t>（</w:t>
      </w:r>
      <w:r>
        <w:rPr>
          <w:rFonts w:hint="default"/>
          <w:position w:val="-10"/>
          <w:sz w:val="24"/>
          <w:lang w:val="en-US" w:eastAsia="zh-CN"/>
        </w:rPr>
        <w:t>E.1</w:t>
      </w:r>
      <w:r>
        <w:rPr>
          <w:rFonts w:hint="eastAsia"/>
          <w:position w:val="-10"/>
          <w:sz w:val="24"/>
          <w:lang w:val="en-US" w:eastAsia="zh-CN"/>
        </w:rPr>
        <w:t>）和（</w:t>
      </w:r>
      <w:r>
        <w:rPr>
          <w:rFonts w:hint="default"/>
          <w:position w:val="-10"/>
          <w:sz w:val="24"/>
          <w:lang w:val="en-US" w:eastAsia="zh-CN"/>
        </w:rPr>
        <w:t>E.</w:t>
      </w:r>
      <w:r>
        <w:rPr>
          <w:rFonts w:hint="eastAsia"/>
          <w:position w:val="-10"/>
          <w:sz w:val="24"/>
          <w:lang w:val="en-US" w:eastAsia="zh-CN"/>
        </w:rPr>
        <w:t>2）</w:t>
      </w:r>
      <w:r>
        <w:rPr>
          <w:rFonts w:hint="default"/>
          <w:position w:val="-10"/>
          <w:sz w:val="24"/>
          <w:lang w:val="en-US" w:eastAsia="zh-CN"/>
        </w:rPr>
        <w:t>：</w:t>
      </w:r>
      <w:bookmarkStart w:id="303" w:name="_Toc3299"/>
    </w:p>
    <w:p w14:paraId="259C5AAC">
      <w:pPr>
        <w:pStyle w:val="44"/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line="360" w:lineRule="auto"/>
        <w:ind w:left="0" w:leftChars="0" w:firstLine="0" w:firstLineChars="0"/>
        <w:jc w:val="right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position w:val="-12"/>
          <w:sz w:val="21"/>
          <w:szCs w:val="21"/>
          <w:highlight w:val="none"/>
          <w:lang w:val="en-US" w:eastAsia="zh-CN"/>
        </w:rPr>
        <w:object>
          <v:shape id="_x0000_i1054" o:spt="75" type="#_x0000_t75" style="height:18pt;width:109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54" DrawAspect="Content" ObjectID="_1468075752" r:id="rId75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Times New Roman" w:eastAsia="仿宋_GB2312" w:cs="Times New Roman"/>
          <w:bCs/>
          <w:sz w:val="21"/>
          <w:szCs w:val="21"/>
          <w:highlight w:val="none"/>
          <w:lang w:val="en-US" w:eastAsia="zh-CN"/>
        </w:rPr>
        <w:t>E.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highlight w:val="none"/>
          <w:lang w:val="en-US" w:eastAsia="zh-CN"/>
        </w:rPr>
        <w:t>1）</w:t>
      </w:r>
    </w:p>
    <w:p w14:paraId="1D9EF60E">
      <w:pPr>
        <w:pStyle w:val="44"/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line="360" w:lineRule="auto"/>
        <w:ind w:left="0" w:leftChars="0" w:firstLine="0" w:firstLineChars="0"/>
        <w:jc w:val="right"/>
        <w:rPr>
          <w:rFonts w:hint="eastAsia" w:hAnsi="Cambria Math" w:cs="Times New Roman"/>
          <w:i w:val="0"/>
          <w:iCs/>
          <w:sz w:val="24"/>
          <w:szCs w:val="24"/>
          <w:highlight w:val="none"/>
          <w:lang w:val="en-US" w:eastAsia="zh-CN" w:bidi="ar-SA"/>
        </w:rPr>
      </w:pPr>
      <w:r>
        <w:rPr>
          <w:rFonts w:hint="eastAsia" w:hAnsi="Cambria Math" w:cs="Times New Roman"/>
          <w:i w:val="0"/>
          <w:iCs/>
          <w:position w:val="-14"/>
          <w:sz w:val="24"/>
          <w:szCs w:val="24"/>
          <w:highlight w:val="none"/>
          <w:lang w:val="en-US" w:eastAsia="zh-CN" w:bidi="ar-SA"/>
        </w:rPr>
        <w:object>
          <v:shape id="_x0000_i1055" o:spt="75" type="#_x0000_t75" style="height:20pt;width:67.95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55" DrawAspect="Content" ObjectID="_1468075753" r:id="rId76">
            <o:LockedField>false</o:LockedField>
          </o:OLEObject>
        </w:object>
      </w:r>
      <w:r>
        <w:rPr>
          <w:rFonts w:hint="eastAsia" w:hAnsi="Cambria Math" w:cs="Times New Roman"/>
          <w:i w:val="0"/>
          <w:iCs/>
          <w:sz w:val="24"/>
          <w:szCs w:val="24"/>
          <w:highlight w:val="none"/>
          <w:lang w:val="en-US" w:eastAsia="zh-CN" w:bidi="ar-SA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Times New Roman" w:eastAsia="仿宋_GB2312" w:cs="Times New Roman"/>
          <w:bCs/>
          <w:sz w:val="21"/>
          <w:szCs w:val="21"/>
          <w:highlight w:val="none"/>
          <w:lang w:val="en-US" w:eastAsia="zh-CN"/>
        </w:rPr>
        <w:t>E.2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highlight w:val="none"/>
          <w:lang w:val="en-US" w:eastAsia="zh-CN"/>
        </w:rPr>
        <w:t>）</w:t>
      </w:r>
    </w:p>
    <w:p w14:paraId="13F1140E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式中：</w:t>
      </w:r>
    </w:p>
    <w:p w14:paraId="5F09547D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11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量块1的第一次测量值，mm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7FC80F8E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12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量块1的第二次测量值，mm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31F9BA1A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13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量块1的第三次测量值，mm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22D79D22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量块1的测量平均值，mm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6F264F02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L</w:t>
      </w:r>
      <w:r>
        <w:rPr>
          <w:rFonts w:hint="eastAsia" w:ascii="Times New Roman" w:cs="Times New Roman"/>
          <w:i w:val="0"/>
          <w:iCs w:val="0"/>
          <w:sz w:val="24"/>
          <w:szCs w:val="24"/>
          <w:vertAlign w:val="subscript"/>
          <w:lang w:val="en-US" w:eastAsia="zh-CN"/>
        </w:rPr>
        <w:t>10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量块1的标称值，mm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1FB37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80" w:firstLineChars="200"/>
        <w:jc w:val="left"/>
        <w:textAlignment w:val="auto"/>
        <w:outlineLvl w:val="9"/>
        <w:rPr>
          <w:rFonts w:hint="default" w:eastAsia="宋体" w:cs="Times New Roman"/>
          <w:b w:val="0"/>
          <w:i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Δ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 xml:space="preserve">L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 xml:space="preserve">位移示值误差，mm。          </w:t>
      </w:r>
    </w:p>
    <w:bookmarkEnd w:id="303"/>
    <w:p w14:paraId="47350F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bookmarkStart w:id="304" w:name="_Toc27334"/>
      <w:bookmarkStart w:id="305" w:name="_Toc20744"/>
      <w:bookmarkStart w:id="306" w:name="_Toc23430"/>
      <w:bookmarkStart w:id="307" w:name="_Toc9395"/>
      <w:bookmarkStart w:id="308" w:name="_Toc22313"/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E.3 测量不确定度的来源分析</w:t>
      </w:r>
    </w:p>
    <w:p w14:paraId="53471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黑体" w:hAnsi="黑体" w:eastAsia="黑体" w:cs="黑体"/>
          <w:b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测量不确定来源有</w:t>
      </w:r>
      <w:bookmarkEnd w:id="304"/>
      <w:bookmarkEnd w:id="305"/>
      <w:bookmarkEnd w:id="306"/>
      <w:bookmarkEnd w:id="307"/>
      <w:bookmarkEnd w:id="308"/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：</w:t>
      </w:r>
    </w:p>
    <w:p w14:paraId="4B778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1）由标准物质引入的不确定度分量</w:t>
      </w:r>
      <w:r>
        <w:rPr>
          <w:rFonts w:hint="default" w:ascii="Times New Roman Italic" w:hAnsi="Times New Roman Italic" w:eastAsia="宋体" w:cs="Times New Roman Italic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default" w:ascii="Times New Roman Italic" w:hAnsi="Times New Roman Italic" w:eastAsia="宋体" w:cs="Times New Roman Italic"/>
          <w:i w:val="0"/>
          <w:iCs w:val="0"/>
          <w:position w:val="-10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；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12B24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t>由</w:t>
      </w:r>
      <w:r>
        <w:rPr>
          <w:rFonts w:hint="eastAsia" w:cs="Times New Roman"/>
          <w:position w:val="-10"/>
          <w:sz w:val="24"/>
          <w:szCs w:val="24"/>
          <w:lang w:val="en-US" w:eastAsia="zh-CN"/>
        </w:rPr>
        <w:t>仪器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t>测量重复性引入的不确定度分量</w:t>
      </w:r>
      <w:r>
        <w:rPr>
          <w:rFonts w:hint="default" w:ascii="Times New Roman Italic" w:hAnsi="Times New Roman Italic" w:eastAsia="宋体" w:cs="Times New Roman Italic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default" w:ascii="Times New Roman Italic" w:hAnsi="Times New Roman Italic" w:eastAsia="宋体" w:cs="Times New Roman Italic"/>
          <w:i w:val="0"/>
          <w:iCs w:val="0"/>
          <w:position w:val="-1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  <w:t>；</w:t>
      </w:r>
    </w:p>
    <w:p w14:paraId="79C7D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/>
          <w:sz w:val="24"/>
          <w:szCs w:val="24"/>
          <w:highlight w:val="none"/>
          <w:lang w:val="en-US" w:eastAsia="zh-CN"/>
        </w:rPr>
      </w:pPr>
      <w:bookmarkStart w:id="309" w:name="_Toc28070"/>
      <w:bookmarkStart w:id="310" w:name="_Toc20211"/>
      <w:bookmarkStart w:id="311" w:name="_Toc20892"/>
      <w:bookmarkStart w:id="312" w:name="_Toc8680"/>
      <w:bookmarkStart w:id="313" w:name="_Toc19257"/>
      <w:r>
        <w:rPr>
          <w:rFonts w:hint="eastAsia" w:ascii="黑体" w:hAnsi="黑体" w:eastAsia="黑体" w:cs="黑体"/>
          <w:b w:val="0"/>
          <w:bCs/>
          <w:sz w:val="24"/>
          <w:szCs w:val="24"/>
          <w:highlight w:val="none"/>
          <w:lang w:val="en-US" w:eastAsia="zh-CN"/>
        </w:rPr>
        <w:t>E.4 测量不确定度评定</w:t>
      </w:r>
      <w:bookmarkEnd w:id="309"/>
      <w:bookmarkEnd w:id="310"/>
      <w:bookmarkEnd w:id="311"/>
      <w:bookmarkEnd w:id="312"/>
      <w:bookmarkEnd w:id="313"/>
    </w:p>
    <w:p w14:paraId="57BB7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0" w:firstLineChars="0"/>
        <w:jc w:val="left"/>
        <w:textAlignment w:val="auto"/>
        <w:outlineLvl w:val="9"/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E.4.1 由</w:t>
      </w:r>
      <w:r>
        <w:rPr>
          <w:rFonts w:hint="eastAsia" w:cs="Times New Roman"/>
          <w:position w:val="-10"/>
          <w:sz w:val="24"/>
          <w:szCs w:val="24"/>
          <w:lang w:val="en-US" w:eastAsia="zh-CN"/>
        </w:rPr>
        <w:t>量块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引入的不确定度分量</w:t>
      </w:r>
      <w:r>
        <w:rPr>
          <w:rFonts w:hint="default" w:ascii="Times New Roman Italic" w:hAnsi="Times New Roman Italic" w:eastAsia="宋体" w:cs="Times New Roman Italic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default" w:ascii="Times New Roman Italic" w:hAnsi="Times New Roman Italic" w:eastAsia="宋体" w:cs="Times New Roman Italic"/>
          <w:i w:val="0"/>
          <w:iCs w:val="0"/>
          <w:position w:val="-10"/>
          <w:sz w:val="24"/>
          <w:szCs w:val="24"/>
          <w:vertAlign w:val="subscript"/>
          <w:lang w:val="en-US" w:eastAsia="zh-CN"/>
        </w:rPr>
        <w:t>1</w:t>
      </w:r>
    </w:p>
    <w:p w14:paraId="62A27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eastAsia="宋体" w:cs="Times New Roman"/>
          <w:position w:val="0"/>
          <w:sz w:val="24"/>
          <w:szCs w:val="24"/>
          <w:highlight w:val="none"/>
          <w:lang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根据量块的检定证书，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标称长度5mm</w:t>
      </w:r>
      <w:r>
        <w:rPr>
          <w:rFonts w:hint="eastAsia" w:eastAsia="宋体" w:cs="Times New Roman"/>
          <w:sz w:val="24"/>
          <w:szCs w:val="24"/>
          <w:lang w:val="en-US" w:eastAsia="zh-CN"/>
        </w:rPr>
        <w:t>的量块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，偏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U=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0.07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µ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</w:t>
      </w:r>
      <w:r>
        <w:rPr>
          <w:rFonts w:hint="eastAsia" w:eastAsia="宋体" w:cs="Times New Roman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采用B类不确定评定方法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假设为均匀分布，取</w:t>
      </w:r>
      <m:oMath>
        <m:r>
          <m:rPr>
            <m:nor/>
          </m:rPr>
          <w:rPr>
            <w:rFonts w:hint="default" w:ascii="Times New Roman" w:hAnsi="Times New Roman" w:eastAsia="宋体" w:cs="Times New Roman"/>
            <w:b w:val="0"/>
            <w:bCs w:val="0"/>
            <w:i/>
            <w:kern w:val="2"/>
            <w:sz w:val="24"/>
            <w:szCs w:val="24"/>
            <w:lang w:val="en-US" w:eastAsia="zh-CN" w:bidi="ar-SA"/>
          </w:rPr>
          <m:t>k</m:t>
        </m:r>
        <m:r>
          <m:rPr>
            <m:nor/>
          </m:rPr>
          <w:rPr>
            <w:rFonts w:ascii="DejaVu Math TeX Gyre" w:hAnsi="DejaVu Math TeX Gyre" w:cs="Times New Roman"/>
            <w:bCs w:val="0"/>
            <w:i/>
            <w:kern w:val="2"/>
            <w:sz w:val="24"/>
            <w:szCs w:val="24"/>
            <w:lang w:val="en-US" w:bidi="ar-SA"/>
          </w:rPr>
          <m:t>=</m:t>
        </m:r>
        <m:rad>
          <m:radPr>
            <m:degHide m:val="1"/>
            <m:ctrlPr>
              <w:rPr>
                <w:rFonts w:hint="default" w:ascii="Times New Roman" w:hAnsi="Times New Roman" w:eastAsia="宋体" w:cs="Times New Roman"/>
                <w:b w:val="0"/>
                <w:bCs w:val="0"/>
                <w:i/>
                <w:kern w:val="2"/>
                <w:sz w:val="24"/>
                <w:szCs w:val="24"/>
                <w:lang w:val="en-US" w:eastAsia="zh-CN" w:bidi="ar-SA"/>
              </w:rPr>
            </m:ctrlPr>
          </m:radPr>
          <m:deg>
            <m:ctrlPr>
              <w:rPr>
                <w:rFonts w:hint="default" w:ascii="Times New Roman" w:hAnsi="Times New Roman" w:eastAsia="宋体" w:cs="Times New Roman"/>
                <w:b w:val="0"/>
                <w:bCs w:val="0"/>
                <w:i/>
                <w:kern w:val="2"/>
                <w:sz w:val="24"/>
                <w:szCs w:val="24"/>
                <w:lang w:val="en-US" w:eastAsia="zh-CN" w:bidi="ar-SA"/>
              </w:rPr>
            </m:ctrlPr>
          </m:deg>
          <m:e>
            <m:r>
              <m:rPr>
                <m:nor/>
                <m:sty m:val="p"/>
              </m:r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4"/>
                <w:szCs w:val="24"/>
                <w:lang w:val="en-US" w:eastAsia="zh-CN" w:bidi="ar-SA"/>
              </w:rPr>
              <m:t>3</m:t>
            </m:r>
            <m:ctrlPr>
              <w:rPr>
                <w:rFonts w:hint="default" w:ascii="Times New Roman" w:hAnsi="Times New Roman" w:eastAsia="宋体" w:cs="Times New Roman"/>
                <w:b w:val="0"/>
                <w:bCs w:val="0"/>
                <w:i/>
                <w:kern w:val="2"/>
                <w:sz w:val="24"/>
                <w:szCs w:val="24"/>
                <w:lang w:val="en-US" w:eastAsia="zh-CN" w:bidi="ar-SA"/>
              </w:rPr>
            </m:ctrlPr>
          </m:e>
        </m:rad>
      </m:oMath>
      <w:r>
        <w:rPr>
          <w:rFonts w:hint="eastAsia" w:hAnsi="Times New Roman" w:eastAsia="宋体" w:cs="Times New Roman"/>
          <w:b w:val="0"/>
          <w:bCs w:val="0"/>
          <w:i w:val="0"/>
          <w:kern w:val="2"/>
          <w:sz w:val="24"/>
          <w:szCs w:val="24"/>
          <w:lang w:val="en-US" w:eastAsia="zh-CN" w:bidi="ar-SA"/>
        </w:rPr>
        <w:t>，所以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由</w:t>
      </w:r>
      <w:r>
        <w:rPr>
          <w:rFonts w:hint="eastAsia" w:cs="Times New Roman"/>
          <w:sz w:val="24"/>
          <w:szCs w:val="24"/>
          <w:lang w:val="en-US" w:eastAsia="zh-CN"/>
        </w:rPr>
        <w:t>量块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引入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的不确定度分量</w:t>
      </w:r>
      <w:r>
        <w:rPr>
          <w:rFonts w:hint="default" w:ascii="Times New Roman Italic" w:hAnsi="Times New Roman Italic" w:eastAsia="宋体" w:cs="Times New Roman Italic"/>
          <w:i/>
          <w:iCs/>
          <w:sz w:val="24"/>
          <w:szCs w:val="24"/>
          <w:highlight w:val="none"/>
          <w:lang w:val="en-US" w:eastAsia="zh-CN"/>
        </w:rPr>
        <w:t>u</w:t>
      </w:r>
      <w:r>
        <w:rPr>
          <w:rFonts w:hint="default" w:ascii="Times New Roman Italic" w:hAnsi="Times New Roman Italic" w:eastAsia="宋体" w:cs="Times New Roman Italic"/>
          <w:i w:val="0"/>
          <w:iCs w:val="0"/>
          <w:sz w:val="24"/>
          <w:szCs w:val="24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position w:val="0"/>
          <w:sz w:val="24"/>
          <w:szCs w:val="24"/>
          <w:highlight w:val="none"/>
          <w:lang w:eastAsia="zh-CN"/>
        </w:rPr>
        <w:t>为</w:t>
      </w:r>
      <w:r>
        <w:rPr>
          <w:rFonts w:hint="eastAsia" w:eastAsia="宋体" w:cs="Times New Roman"/>
          <w:position w:val="0"/>
          <w:sz w:val="24"/>
          <w:szCs w:val="24"/>
          <w:highlight w:val="none"/>
          <w:lang w:eastAsia="zh-CN"/>
        </w:rPr>
        <w:t>：</w:t>
      </w:r>
    </w:p>
    <w:p w14:paraId="0EA68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hAnsi="DejaVu Math TeX Gyre" w:eastAsia="宋体" w:cs="Times New Roman Italic"/>
          <w:i w:val="0"/>
          <w:iCs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hAnsi="DejaVu Math TeX Gyre" w:eastAsia="宋体" w:cs="Times New Roman Italic"/>
          <w:i w:val="0"/>
          <w:iCs w:val="0"/>
          <w:position w:val="-28"/>
          <w:sz w:val="24"/>
          <w:szCs w:val="24"/>
          <w:highlight w:val="none"/>
          <w:lang w:val="en-US" w:eastAsia="zh-CN"/>
        </w:rPr>
        <w:object>
          <v:shape id="_x0000_i1056" o:spt="75" type="#_x0000_t75" style="height:33pt;width:121pt;" o:ole="t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KSEE3" ShapeID="_x0000_i1056" DrawAspect="Content" ObjectID="_1468075754" r:id="rId78">
            <o:LockedField>false</o:LockedField>
          </o:OLEObject>
        </w:object>
      </w:r>
    </w:p>
    <w:p w14:paraId="1A108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E.4.</w:t>
      </w:r>
      <w:r>
        <w:rPr>
          <w:rFonts w:hint="eastAsia" w:cs="Times New Roman"/>
          <w:position w:val="-1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  <w:t>由</w:t>
      </w:r>
      <w:r>
        <w:rPr>
          <w:rFonts w:hint="eastAsia" w:cs="Times New Roman"/>
          <w:position w:val="-10"/>
          <w:sz w:val="24"/>
          <w:szCs w:val="24"/>
          <w:lang w:val="en-US" w:eastAsia="zh-CN"/>
        </w:rPr>
        <w:t>仪器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t>测量重复性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  <w:t>引入的不确定度分量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vertAlign w:val="subscript"/>
          <w:lang w:val="en-US" w:eastAsia="zh-CN"/>
        </w:rPr>
        <w:t>2</w:t>
      </w:r>
    </w:p>
    <w:p w14:paraId="1696C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用动态热机械分析仪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eastAsia" w:eastAsia="宋体" w:cs="Times New Roman"/>
          <w:sz w:val="24"/>
          <w:szCs w:val="24"/>
          <w:lang w:val="en-US" w:eastAsia="zh-CN"/>
        </w:rPr>
        <w:t>量块长度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重复测量</w:t>
      </w:r>
      <w:r>
        <w:rPr>
          <w:rFonts w:hint="eastAsia" w:eastAsia="宋体" w:cs="Times New Roman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次，测量数据</w:t>
      </w:r>
      <w:r>
        <w:rPr>
          <w:rFonts w:hint="eastAsia" w:eastAsia="宋体" w:cs="Times New Roman"/>
          <w:sz w:val="24"/>
          <w:szCs w:val="24"/>
          <w:lang w:val="en-US" w:eastAsia="zh-CN"/>
        </w:rPr>
        <w:t>结果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见表</w:t>
      </w:r>
      <w:r>
        <w:rPr>
          <w:rFonts w:hint="default" w:eastAsia="宋体" w:cs="Times New Roman"/>
          <w:sz w:val="24"/>
          <w:szCs w:val="24"/>
          <w:lang w:val="en-US" w:eastAsia="zh-CN"/>
        </w:rPr>
        <w:t>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.1</w:t>
      </w:r>
    </w:p>
    <w:p w14:paraId="756A1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表E.1 量块长度重复测量数据</w:t>
      </w:r>
    </w:p>
    <w:tbl>
      <w:tblPr>
        <w:tblStyle w:val="24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469"/>
        <w:gridCol w:w="1470"/>
        <w:gridCol w:w="1470"/>
        <w:gridCol w:w="1470"/>
        <w:gridCol w:w="1492"/>
      </w:tblGrid>
      <w:tr w14:paraId="49EB5027">
        <w:trPr>
          <w:trHeight w:val="397" w:hRule="atLeast"/>
          <w:jc w:val="center"/>
        </w:trPr>
        <w:tc>
          <w:tcPr>
            <w:tcW w:w="1092" w:type="pct"/>
            <w:tcBorders>
              <w:tl2br w:val="nil"/>
              <w:tr2bl w:val="nil"/>
            </w:tcBorders>
            <w:noWrap w:val="0"/>
            <w:vAlign w:val="center"/>
          </w:tcPr>
          <w:p w14:paraId="634F5F20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次数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7949E382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1FA2B7BB">
            <w:pPr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1CEF8CC6">
            <w:pPr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506EC032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787" w:type="pct"/>
            <w:tcBorders>
              <w:tl2br w:val="nil"/>
              <w:tr2bl w:val="nil"/>
            </w:tcBorders>
            <w:noWrap w:val="0"/>
            <w:vAlign w:val="center"/>
          </w:tcPr>
          <w:p w14:paraId="63B4235D">
            <w:pPr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3C5AADCD">
        <w:trPr>
          <w:trHeight w:val="397" w:hRule="atLeast"/>
          <w:jc w:val="center"/>
        </w:trPr>
        <w:tc>
          <w:tcPr>
            <w:tcW w:w="1092" w:type="pct"/>
            <w:tcBorders>
              <w:tl2br w:val="nil"/>
              <w:tr2bl w:val="nil"/>
            </w:tcBorders>
            <w:noWrap w:val="0"/>
            <w:vAlign w:val="center"/>
          </w:tcPr>
          <w:p w14:paraId="1641BF44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测量值（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34E6B1DC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5.003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0D302F7E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5.002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2698EBFC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5.003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154901E4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5.000</w:t>
            </w:r>
          </w:p>
        </w:tc>
        <w:tc>
          <w:tcPr>
            <w:tcW w:w="787" w:type="pct"/>
            <w:tcBorders>
              <w:tl2br w:val="nil"/>
              <w:tr2bl w:val="nil"/>
            </w:tcBorders>
            <w:noWrap w:val="0"/>
            <w:vAlign w:val="center"/>
          </w:tcPr>
          <w:p w14:paraId="3C0B7965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5.001</w:t>
            </w:r>
          </w:p>
        </w:tc>
      </w:tr>
      <w:tr w14:paraId="07367CF5">
        <w:trPr>
          <w:trHeight w:val="397" w:hRule="atLeast"/>
          <w:jc w:val="center"/>
        </w:trPr>
        <w:tc>
          <w:tcPr>
            <w:tcW w:w="1092" w:type="pct"/>
            <w:tcBorders>
              <w:tl2br w:val="nil"/>
              <w:tr2bl w:val="nil"/>
            </w:tcBorders>
            <w:noWrap w:val="0"/>
            <w:vAlign w:val="center"/>
          </w:tcPr>
          <w:p w14:paraId="4B9B7863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次数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16142F75">
            <w:pPr>
              <w:spacing w:line="240" w:lineRule="auto"/>
              <w:jc w:val="center"/>
              <w:outlineLvl w:val="9"/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239C29A5">
            <w:pPr>
              <w:spacing w:line="240" w:lineRule="auto"/>
              <w:jc w:val="center"/>
              <w:outlineLvl w:val="9"/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054E3B5D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29D0D69F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87" w:type="pct"/>
            <w:tcBorders>
              <w:tl2br w:val="nil"/>
              <w:tr2bl w:val="nil"/>
            </w:tcBorders>
            <w:noWrap w:val="0"/>
            <w:vAlign w:val="center"/>
          </w:tcPr>
          <w:p w14:paraId="624976E1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 w14:paraId="77FF65CC">
        <w:trPr>
          <w:trHeight w:val="397" w:hRule="atLeast"/>
          <w:jc w:val="center"/>
        </w:trPr>
        <w:tc>
          <w:tcPr>
            <w:tcW w:w="1092" w:type="pct"/>
            <w:tcBorders>
              <w:tl2br w:val="nil"/>
              <w:tr2bl w:val="nil"/>
            </w:tcBorders>
            <w:noWrap w:val="0"/>
            <w:vAlign w:val="center"/>
          </w:tcPr>
          <w:p w14:paraId="45ED518D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测量值（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1D5D778D">
            <w:pPr>
              <w:spacing w:line="240" w:lineRule="auto"/>
              <w:jc w:val="center"/>
              <w:outlineLvl w:val="9"/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5.000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280E05A6">
            <w:pPr>
              <w:spacing w:line="240" w:lineRule="auto"/>
              <w:jc w:val="center"/>
              <w:outlineLvl w:val="9"/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5.002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4BCA2148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5.001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230AA3E8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5.003</w:t>
            </w:r>
          </w:p>
        </w:tc>
        <w:tc>
          <w:tcPr>
            <w:tcW w:w="787" w:type="pct"/>
            <w:tcBorders>
              <w:tl2br w:val="nil"/>
              <w:tr2bl w:val="nil"/>
            </w:tcBorders>
            <w:noWrap w:val="0"/>
            <w:vAlign w:val="center"/>
          </w:tcPr>
          <w:p w14:paraId="2EE8028D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5.002</w:t>
            </w:r>
          </w:p>
        </w:tc>
      </w:tr>
      <w:tr w14:paraId="2655C5EF">
        <w:trPr>
          <w:trHeight w:val="397" w:hRule="atLeast"/>
          <w:jc w:val="center"/>
        </w:trPr>
        <w:tc>
          <w:tcPr>
            <w:tcW w:w="109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8619B5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平均值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90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128E665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5.002</w:t>
            </w:r>
          </w:p>
        </w:tc>
      </w:tr>
      <w:tr w14:paraId="77712674">
        <w:trPr>
          <w:trHeight w:val="397" w:hRule="atLeast"/>
          <w:jc w:val="center"/>
        </w:trPr>
        <w:tc>
          <w:tcPr>
            <w:tcW w:w="1092" w:type="pct"/>
            <w:tcBorders>
              <w:tl2br w:val="nil"/>
              <w:tr2bl w:val="nil"/>
            </w:tcBorders>
            <w:noWrap w:val="0"/>
            <w:vAlign w:val="center"/>
          </w:tcPr>
          <w:p w14:paraId="0F8AC324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标准偏差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390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FE2C835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0.001</w:t>
            </w:r>
          </w:p>
        </w:tc>
      </w:tr>
    </w:tbl>
    <w:p w14:paraId="7885E5D3">
      <w:pPr>
        <w:autoSpaceDE w:val="0"/>
        <w:autoSpaceDN w:val="0"/>
        <w:adjustRightInd w:val="0"/>
        <w:spacing w:line="240" w:lineRule="auto"/>
        <w:jc w:val="both"/>
        <w:outlineLvl w:val="9"/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    </w:t>
      </w:r>
    </w:p>
    <w:p w14:paraId="46A6A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依据要求，实际测量3次，则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=3，所以：</w:t>
      </w:r>
    </w:p>
    <w:p w14:paraId="23AA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hAnsi="DejaVu Math TeX Gyre" w:eastAsia="宋体" w:cs="Times New Roman Italic"/>
          <w:i w:val="0"/>
          <w:iCs w:val="0"/>
          <w:position w:val="-28"/>
          <w:sz w:val="24"/>
          <w:szCs w:val="24"/>
          <w:highlight w:val="none"/>
          <w:lang w:val="en-US" w:eastAsia="zh-CN"/>
        </w:rPr>
        <w:object>
          <v:shape id="_x0000_i1057" o:spt="75" type="#_x0000_t75" style="height:33pt;width:139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57" DrawAspect="Content" ObjectID="_1468075755" r:id="rId80">
            <o:LockedField>false</o:LockedField>
          </o:OLEObject>
        </w:object>
      </w:r>
    </w:p>
    <w:p w14:paraId="2E20329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bookmarkStart w:id="314" w:name="_Toc18315"/>
      <w:bookmarkStart w:id="315" w:name="_Toc15596"/>
      <w:bookmarkStart w:id="316" w:name="_Toc23141"/>
      <w:bookmarkStart w:id="317" w:name="_Toc13958"/>
      <w:bookmarkStart w:id="318" w:name="_Toc22295"/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 xml:space="preserve">E.5 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合成标准不确定度计算</w:t>
      </w:r>
      <w:bookmarkEnd w:id="314"/>
      <w:bookmarkEnd w:id="315"/>
      <w:bookmarkEnd w:id="316"/>
      <w:bookmarkEnd w:id="317"/>
      <w:bookmarkEnd w:id="318"/>
    </w:p>
    <w:p w14:paraId="2E9A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标准不确定度分量见表</w:t>
      </w:r>
      <w:r>
        <w:rPr>
          <w:rFonts w:hint="default" w:eastAsia="宋体" w:cs="Times New Roman"/>
          <w:sz w:val="24"/>
          <w:szCs w:val="24"/>
          <w:lang w:val="en-US" w:eastAsia="zh-CN"/>
        </w:rPr>
        <w:t>E.5</w:t>
      </w:r>
      <w:r>
        <w:rPr>
          <w:rFonts w:hint="eastAsia" w:eastAsia="宋体" w:cs="Times New Roman"/>
          <w:sz w:val="24"/>
          <w:szCs w:val="24"/>
          <w:lang w:val="en-US" w:eastAsia="zh-CN"/>
        </w:rPr>
        <w:t>。</w:t>
      </w:r>
    </w:p>
    <w:p w14:paraId="64108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表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E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.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标准不确定度来源汇总表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64"/>
        <w:gridCol w:w="2364"/>
        <w:gridCol w:w="2364"/>
      </w:tblGrid>
      <w:tr w14:paraId="1A25A5C8">
        <w:trPr>
          <w:trHeight w:val="397" w:hRule="atLeast"/>
        </w:trPr>
        <w:tc>
          <w:tcPr>
            <w:tcW w:w="2364" w:type="dxa"/>
          </w:tcPr>
          <w:p w14:paraId="1A95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标准不确定度来源</w:t>
            </w:r>
          </w:p>
        </w:tc>
        <w:tc>
          <w:tcPr>
            <w:tcW w:w="2364" w:type="dxa"/>
          </w:tcPr>
          <w:p w14:paraId="455F3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标准不确定度符号</w:t>
            </w:r>
          </w:p>
        </w:tc>
        <w:tc>
          <w:tcPr>
            <w:tcW w:w="2364" w:type="dxa"/>
          </w:tcPr>
          <w:p w14:paraId="23506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标准不确定度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µ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m）</w:t>
            </w:r>
          </w:p>
        </w:tc>
        <w:tc>
          <w:tcPr>
            <w:tcW w:w="2364" w:type="dxa"/>
          </w:tcPr>
          <w:p w14:paraId="369A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灵敏系数</w:t>
            </w:r>
          </w:p>
        </w:tc>
      </w:tr>
      <w:tr w14:paraId="69A63B8E">
        <w:trPr>
          <w:trHeight w:val="397" w:hRule="atLeast"/>
        </w:trPr>
        <w:tc>
          <w:tcPr>
            <w:tcW w:w="2364" w:type="dxa"/>
            <w:vAlign w:val="center"/>
          </w:tcPr>
          <w:p w14:paraId="747E4AD2">
            <w:pPr>
              <w:pStyle w:val="2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量块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不确定度</w:t>
            </w:r>
          </w:p>
        </w:tc>
        <w:tc>
          <w:tcPr>
            <w:tcW w:w="2364" w:type="dxa"/>
            <w:vAlign w:val="center"/>
          </w:tcPr>
          <w:p w14:paraId="4B55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position w:val="-10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cs="Times New Roman"/>
                <w:i w:val="0"/>
                <w:iCs w:val="0"/>
                <w:position w:val="-10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  <w:tc>
          <w:tcPr>
            <w:tcW w:w="2364" w:type="dxa"/>
            <w:vAlign w:val="center"/>
          </w:tcPr>
          <w:p w14:paraId="235B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0.040</w:t>
            </w:r>
          </w:p>
        </w:tc>
        <w:tc>
          <w:tcPr>
            <w:tcW w:w="2364" w:type="dxa"/>
            <w:vAlign w:val="center"/>
          </w:tcPr>
          <w:p w14:paraId="4381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-1</w:t>
            </w:r>
          </w:p>
        </w:tc>
      </w:tr>
      <w:tr w14:paraId="53E16EFC">
        <w:trPr>
          <w:trHeight w:val="397" w:hRule="atLeast"/>
        </w:trPr>
        <w:tc>
          <w:tcPr>
            <w:tcW w:w="2364" w:type="dxa"/>
            <w:vAlign w:val="center"/>
          </w:tcPr>
          <w:p w14:paraId="5B315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仪器测量重复性</w:t>
            </w:r>
          </w:p>
        </w:tc>
        <w:tc>
          <w:tcPr>
            <w:tcW w:w="2364" w:type="dxa"/>
            <w:vAlign w:val="center"/>
          </w:tcPr>
          <w:p w14:paraId="3043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position w:val="-10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cs="Times New Roman"/>
                <w:i w:val="0"/>
                <w:iCs w:val="0"/>
                <w:position w:val="-10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2364" w:type="dxa"/>
            <w:vAlign w:val="center"/>
          </w:tcPr>
          <w:p w14:paraId="5ED36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0.577</w:t>
            </w:r>
          </w:p>
        </w:tc>
        <w:tc>
          <w:tcPr>
            <w:tcW w:w="2364" w:type="dxa"/>
            <w:vAlign w:val="center"/>
          </w:tcPr>
          <w:p w14:paraId="7F343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37B2F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default" w:ascii="DejaVu Math TeX Gyre" w:hAnsi="DejaVu Math TeX Gyre" w:cs="Times New Roman"/>
          <w:i/>
          <w:iCs w:val="0"/>
          <w:position w:val="0"/>
          <w:sz w:val="24"/>
          <w:szCs w:val="24"/>
          <w:highlight w:val="none"/>
          <w:lang w:val="en-US"/>
        </w:rPr>
      </w:pPr>
      <w:r>
        <w:rPr>
          <w:rFonts w:hint="default" w:eastAsia="宋体" w:cs="Times New Roman"/>
          <w:sz w:val="24"/>
          <w:szCs w:val="24"/>
          <w:lang w:val="en-US" w:eastAsia="zh-CN"/>
        </w:rPr>
        <w:t>以上两个分量相互独立，相关系数为0</w:t>
      </w:r>
      <w:r>
        <w:rPr>
          <w:rFonts w:hint="eastAsia" w:eastAsia="宋体" w:cs="Times New Roman"/>
          <w:sz w:val="24"/>
          <w:szCs w:val="24"/>
          <w:lang w:val="en-US" w:eastAsia="zh-CN"/>
        </w:rPr>
        <w:t>，合成标准不确定度为：</w:t>
      </w:r>
      <w:r>
        <w:rPr>
          <w:rFonts w:hint="default" w:ascii="DejaVu Math TeX Gyre" w:hAnsi="DejaVu Math TeX Gyre" w:cs="Times New Roman"/>
          <w:i/>
          <w:iCs w:val="0"/>
          <w:position w:val="0"/>
          <w:sz w:val="24"/>
          <w:szCs w:val="24"/>
          <w:highlight w:val="none"/>
          <w:lang w:val="en-US"/>
        </w:rPr>
        <w:br w:type="textWrapping"/>
      </w:r>
      <w:r>
        <w:rPr>
          <w:rFonts w:hint="default" w:ascii="DejaVu Math TeX Gyre" w:hAnsi="DejaVu Math TeX Gyre" w:cs="Times New Roman"/>
          <w:i/>
          <w:iCs w:val="0"/>
          <w:position w:val="-12"/>
          <w:sz w:val="24"/>
          <w:szCs w:val="24"/>
          <w:highlight w:val="none"/>
          <w:lang w:val="en-US"/>
        </w:rPr>
        <w:object>
          <v:shape id="_x0000_i1058" o:spt="75" type="#_x0000_t75" style="height:23pt;width:301pt;" o:ole="t" filled="f" o:preferrelative="t" stroked="f" coordsize="21600,21600">
            <v:path/>
            <v:fill on="f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KSEE3" ShapeID="_x0000_i1058" DrawAspect="Content" ObjectID="_1468075756" r:id="rId82">
            <o:LockedField>false</o:LockedField>
          </o:OLEObject>
        </w:object>
      </w:r>
    </w:p>
    <w:p w14:paraId="43CA596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b w:val="0"/>
          <w:bCs/>
          <w:sz w:val="24"/>
          <w:szCs w:val="24"/>
          <w:lang w:eastAsia="zh-CN"/>
        </w:rPr>
      </w:pPr>
      <w:bookmarkStart w:id="319" w:name="_Toc7070"/>
      <w:bookmarkStart w:id="320" w:name="_Toc3975"/>
      <w:bookmarkStart w:id="321" w:name="_Toc26556"/>
      <w:bookmarkStart w:id="322" w:name="_Toc14069"/>
      <w:bookmarkStart w:id="323" w:name="_Toc7474"/>
      <w:r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  <w:t>E.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6</w:t>
      </w:r>
      <w:r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黑体" w:hAnsi="黑体" w:eastAsia="黑体" w:cs="黑体"/>
          <w:b w:val="0"/>
          <w:bCs/>
          <w:sz w:val="24"/>
          <w:szCs w:val="24"/>
        </w:rPr>
        <w:t>扩展不确定度计算</w:t>
      </w:r>
      <w:bookmarkEnd w:id="319"/>
      <w:bookmarkEnd w:id="320"/>
      <w:bookmarkEnd w:id="321"/>
      <w:bookmarkEnd w:id="322"/>
      <w:bookmarkEnd w:id="323"/>
    </w:p>
    <w:p w14:paraId="581144BF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取包含因子</w:t>
      </w:r>
      <w:r>
        <w:rPr>
          <w:rFonts w:hint="default" w:ascii="Times New Roman" w:hAnsi="Times New Roman" w:eastAsia="宋体" w:cs="Times New Roman"/>
          <w:i/>
          <w:color w:val="000000"/>
          <w:position w:val="-6"/>
          <w:sz w:val="24"/>
          <w:szCs w:val="24"/>
        </w:rPr>
        <w:object>
          <v:shape id="_x0000_i1059" o:spt="75" type="#_x0000_t75" style="height:13.95pt;width:29pt;" o:ole="t" filled="f" o:preferrelative="t" stroked="f" coordsize="21600,21600">
            <v:path/>
            <v:fill on="f" alignshape="1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3" ShapeID="_x0000_i1059" DrawAspect="Content" ObjectID="_1468075757" r:id="rId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扩展不确定度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为：</w:t>
      </w:r>
    </w:p>
    <w:p w14:paraId="3EA1A57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position w:val="-10"/>
          <w:sz w:val="24"/>
          <w:szCs w:val="24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k</w:t>
      </w:r>
      <w:r>
        <w:rPr>
          <w:rFonts w:hint="eastAsia" w:ascii="宋体" w:hAnsi="宋体" w:eastAsia="宋体" w:cs="宋体"/>
          <w:i w:val="0"/>
          <w:iCs w:val="0"/>
          <w:position w:val="-10"/>
          <w:sz w:val="24"/>
          <w:szCs w:val="24"/>
          <w:lang w:val="en-US" w:eastAsia="zh-CN"/>
        </w:rPr>
        <w:t>·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vertAlign w:val="subscript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vertAlign w:val="baseline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2</w:t>
      </w:r>
      <w:r>
        <w:rPr>
          <w:rFonts w:hint="default" w:ascii="Arial" w:hAnsi="Arial" w:eastAsia="宋体" w:cs="Arial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×</w:t>
      </w:r>
      <w:r>
        <w:rPr>
          <w:rFonts w:hint="eastAsia" w:ascii="Times New Roman" w:hAnsi="Times New Roman" w:eastAsia="宋体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0.</w:t>
      </w:r>
      <w:r>
        <w:rPr>
          <w:rFonts w:hint="default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578</w:t>
      </w:r>
      <w:r>
        <w:rPr>
          <w:rFonts w:hint="default" w:ascii="Times New Roman" w:hAnsi="Times New Roman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µ</w:t>
      </w:r>
      <w:r>
        <w:rPr>
          <w:rFonts w:hint="eastAsia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m</w:t>
      </w:r>
      <w:r>
        <w:rPr>
          <w:rFonts w:hint="eastAsia" w:ascii="Times New Roman" w:hAnsi="Times New Roman" w:eastAsia="宋体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=</w:t>
      </w:r>
      <w:r>
        <w:rPr>
          <w:rFonts w:hint="default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0.00116</w:t>
      </w:r>
      <w:r>
        <w:rPr>
          <w:rFonts w:hint="eastAsia" w:ascii="Times New Roman" w:hAnsi="Times New Roman" w:eastAsia="宋体" w:cs="Times New Roman"/>
          <w:color w:val="000000"/>
          <w:position w:val="-12"/>
          <w:sz w:val="24"/>
          <w:szCs w:val="24"/>
          <w:lang w:val="en-US" w:eastAsia="zh-CN"/>
        </w:rPr>
        <w:t xml:space="preserve"> </w:t>
      </w:r>
      <w:r>
        <w:rPr>
          <w:rFonts w:hint="default" w:cs="Times New Roman"/>
          <w:color w:val="000000"/>
          <w:position w:val="-12"/>
          <w:sz w:val="24"/>
          <w:szCs w:val="24"/>
          <w:lang w:val="en-US" w:eastAsia="zh-CN"/>
        </w:rPr>
        <w:t>mm</w:t>
      </w:r>
      <w:r>
        <w:rPr>
          <w:rFonts w:hint="eastAsia" w:ascii="Times New Roman" w:hAnsi="Times New Roman" w:eastAsia="宋体" w:cs="Times New Roman"/>
          <w:color w:val="000000"/>
          <w:position w:val="-12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 (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=2)</w:t>
      </w:r>
    </w:p>
    <w:p w14:paraId="70F98537">
      <w:pP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br w:type="page"/>
      </w:r>
    </w:p>
    <w:p w14:paraId="4DACC275">
      <w:pPr>
        <w:pStyle w:val="44"/>
        <w:spacing w:line="360" w:lineRule="auto"/>
        <w:ind w:left="0" w:leftChars="0" w:firstLine="0" w:firstLineChars="0"/>
        <w:outlineLvl w:val="0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bookmarkStart w:id="324" w:name="_Toc31374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附录</w:t>
      </w: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F</w:t>
      </w:r>
      <w:bookmarkEnd w:id="324"/>
    </w:p>
    <w:p w14:paraId="65C5CC5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36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  <w:bookmarkStart w:id="325" w:name="_Toc1154998656"/>
      <w:bookmarkStart w:id="326" w:name="_Toc19912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动态热机械分析仪储能模量示值误差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测量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结果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不确定度评定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示例</w:t>
      </w:r>
      <w:bookmarkEnd w:id="325"/>
      <w:bookmarkEnd w:id="326"/>
    </w:p>
    <w:p w14:paraId="58F2095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360" w:lineRule="auto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F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.1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概述</w:t>
      </w:r>
    </w:p>
    <w:p w14:paraId="09BF9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  <w:t>F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.1.1评定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依据</w:t>
      </w:r>
    </w:p>
    <w:p w14:paraId="00EF5B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360" w:lineRule="auto"/>
        <w:ind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本规范。</w:t>
      </w:r>
    </w:p>
    <w:p w14:paraId="58ED8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  <w:t>F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.1.2测量标准</w:t>
      </w:r>
    </w:p>
    <w:p w14:paraId="72D7F5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360" w:lineRule="auto"/>
        <w:ind w:leftChars="0" w:firstLine="480" w:firstLineChars="200"/>
        <w:textAlignment w:val="auto"/>
        <w:outlineLvl w:val="9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数显卡尺，测量范围（0～150）mm，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sz w:val="24"/>
          <w:szCs w:val="24"/>
          <w:lang w:val="en-US" w:eastAsia="zh-CN"/>
        </w:rPr>
        <w:t>=0.01mm，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eastAsia" w:cs="Times New Roman"/>
          <w:sz w:val="24"/>
          <w:szCs w:val="24"/>
          <w:lang w:val="en-US" w:eastAsia="zh-CN"/>
        </w:rPr>
        <w:t>=2，测量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储能模量标块</w:t>
      </w:r>
      <w:r>
        <w:rPr>
          <w:rFonts w:hint="eastAsia" w:cs="Times New Roman"/>
          <w:sz w:val="24"/>
          <w:szCs w:val="24"/>
          <w:lang w:val="en-US" w:eastAsia="zh-CN"/>
        </w:rPr>
        <w:t>尺寸。</w:t>
      </w:r>
    </w:p>
    <w:p w14:paraId="330B36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360" w:lineRule="auto"/>
        <w:ind w:lef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cs="Times New Roman"/>
          <w:sz w:val="24"/>
          <w:szCs w:val="24"/>
          <w:lang w:val="en-US" w:eastAsia="zh-CN"/>
        </w:rPr>
        <w:t>聚碳酸酯</w:t>
      </w:r>
      <w:r>
        <w:rPr>
          <w:rFonts w:hint="eastAsia" w:cs="Times New Roman"/>
          <w:sz w:val="24"/>
          <w:szCs w:val="24"/>
          <w:lang w:val="en-US" w:eastAsia="zh-CN"/>
        </w:rPr>
        <w:t>（</w:t>
      </w:r>
      <w:r>
        <w:rPr>
          <w:rFonts w:hint="default" w:cs="Times New Roman"/>
          <w:sz w:val="24"/>
          <w:szCs w:val="24"/>
          <w:lang w:val="en-US" w:eastAsia="zh-CN"/>
        </w:rPr>
        <w:t>PC</w:t>
      </w:r>
      <w:r>
        <w:rPr>
          <w:rFonts w:hint="eastAsia" w:cs="Times New Roman"/>
          <w:sz w:val="24"/>
          <w:szCs w:val="24"/>
          <w:lang w:val="en-US" w:eastAsia="zh-CN"/>
        </w:rPr>
        <w:t>）储能模量标块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eastAsia" w:cs="Times New Roman"/>
          <w:sz w:val="24"/>
          <w:szCs w:val="24"/>
          <w:lang w:val="en-US" w:eastAsia="zh-CN"/>
        </w:rPr>
        <w:t>储能模量为（2.35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</w:t>
      </w:r>
      <w:r>
        <w:rPr>
          <w:rFonts w:hint="default" w:cs="Times New Roman"/>
          <w:sz w:val="24"/>
          <w:szCs w:val="24"/>
          <w:lang w:val="en-US" w:eastAsia="zh-CN"/>
        </w:rPr>
        <w:t>5%</w:t>
      </w:r>
      <w:r>
        <w:rPr>
          <w:rFonts w:hint="eastAsia" w:cs="Times New Roman"/>
          <w:sz w:val="24"/>
          <w:szCs w:val="24"/>
          <w:lang w:val="en-US" w:eastAsia="zh-CN"/>
        </w:rPr>
        <w:t>）</w:t>
      </w:r>
      <w:r>
        <w:rPr>
          <w:rFonts w:hint="default" w:cs="Times New Roman"/>
          <w:sz w:val="24"/>
          <w:szCs w:val="24"/>
          <w:lang w:val="en-US" w:eastAsia="zh-CN"/>
        </w:rPr>
        <w:t>GP</w:t>
      </w:r>
      <w:r>
        <w:rPr>
          <w:rFonts w:hint="eastAsia" w:cs="Times New Roman"/>
          <w:sz w:val="24"/>
          <w:szCs w:val="24"/>
          <w:lang w:val="en-US" w:eastAsia="zh-CN"/>
        </w:rPr>
        <w:t>a，测量仪器的储能模量示值误差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18339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  <w:t>F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.1.3被测对象</w:t>
      </w:r>
    </w:p>
    <w:p w14:paraId="600A1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outlineLvl w:val="9"/>
        <w:rPr>
          <w:rFonts w:hint="default" w:eastAsia="宋体"/>
          <w:b w:val="0"/>
          <w:bCs/>
          <w:sz w:val="24"/>
          <w:highlight w:val="yellow"/>
          <w:lang w:val="en-US" w:eastAsia="zh-CN"/>
        </w:rPr>
      </w:pPr>
      <w:r>
        <w:rPr>
          <w:rFonts w:hint="eastAsia"/>
          <w:b w:val="0"/>
          <w:bCs/>
          <w:sz w:val="24"/>
          <w:highlight w:val="none"/>
          <w:lang w:val="en-US" w:eastAsia="zh-CN"/>
        </w:rPr>
        <w:t>动态热机械分析仪。</w:t>
      </w:r>
    </w:p>
    <w:p w14:paraId="4E970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  <w:t>F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.1.4测量方法</w:t>
      </w:r>
    </w:p>
    <w:p w14:paraId="25835090">
      <w:pPr>
        <w:tabs>
          <w:tab w:val="left" w:pos="1153"/>
        </w:tabs>
        <w:autoSpaceDE w:val="0"/>
        <w:autoSpaceDN w:val="0"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i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选</w:t>
      </w:r>
      <w:r>
        <w:rPr>
          <w:rFonts w:ascii="宋体" w:hAnsi="宋体" w:eastAsia="宋体" w:cs="宋体"/>
          <w:sz w:val="24"/>
          <w:szCs w:val="24"/>
        </w:rPr>
        <w:t>择单悬臂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夹具并完成夹具校正，待设备稳定后将储能模量标块置于样品支架的测量位置，关闭加热炉。程序温度设为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30℃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振幅设为</w:t>
      </w:r>
      <w:r>
        <w:rPr>
          <w:rFonts w:hint="default" w:ascii="Times New Roman" w:hAnsi="Times New Roman" w:eastAsia="宋体" w:cs="Times New Roman"/>
          <w:sz w:val="24"/>
          <w:szCs w:val="24"/>
        </w:rPr>
        <w:t>30µm</w:t>
      </w:r>
      <w:r>
        <w:rPr>
          <w:rFonts w:ascii="宋体" w:hAnsi="宋体" w:eastAsia="宋体" w:cs="宋体"/>
          <w:sz w:val="24"/>
          <w:szCs w:val="24"/>
        </w:rPr>
        <w:t>，频率设为</w:t>
      </w:r>
      <w:r>
        <w:rPr>
          <w:rFonts w:hint="default" w:ascii="Times New Roman" w:hAnsi="Times New Roman" w:eastAsia="宋体" w:cs="Times New Roman"/>
          <w:sz w:val="24"/>
          <w:szCs w:val="24"/>
        </w:rPr>
        <w:t>1Hz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30℃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稳定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10min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后记录储能模量标块的示值。</w:t>
      </w:r>
    </w:p>
    <w:p w14:paraId="1E40DB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  <w:t>F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.2 测量模型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 </w:t>
      </w:r>
    </w:p>
    <w:p w14:paraId="214AD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80" w:firstLineChars="200"/>
        <w:jc w:val="left"/>
        <w:textAlignment w:val="auto"/>
        <w:outlineLvl w:val="9"/>
        <w:rPr>
          <w:rFonts w:hint="default"/>
          <w:position w:val="-10"/>
          <w:sz w:val="24"/>
          <w:lang w:val="en-US" w:eastAsia="zh-CN"/>
        </w:rPr>
      </w:pPr>
      <w:r>
        <w:rPr>
          <w:rFonts w:hint="eastAsia"/>
          <w:position w:val="-10"/>
          <w:sz w:val="24"/>
          <w:lang w:val="en-US" w:eastAsia="zh-CN"/>
        </w:rPr>
        <w:t>储能模量误差</w:t>
      </w:r>
      <w:r>
        <w:rPr>
          <w:rFonts w:hint="default"/>
          <w:position w:val="-10"/>
          <w:sz w:val="24"/>
          <w:lang w:val="en-US" w:eastAsia="zh-CN"/>
        </w:rPr>
        <w:t>的测量模型见式</w:t>
      </w:r>
      <w:r>
        <w:rPr>
          <w:rFonts w:hint="eastAsia"/>
          <w:position w:val="-10"/>
          <w:sz w:val="24"/>
          <w:lang w:val="en-US" w:eastAsia="zh-CN"/>
        </w:rPr>
        <w:t>（</w:t>
      </w:r>
      <w:r>
        <w:rPr>
          <w:rFonts w:hint="default"/>
          <w:position w:val="-10"/>
          <w:sz w:val="24"/>
          <w:lang w:val="en-US" w:eastAsia="zh-CN"/>
        </w:rPr>
        <w:t>F.1</w:t>
      </w:r>
      <w:r>
        <w:rPr>
          <w:rFonts w:hint="eastAsia"/>
          <w:position w:val="-10"/>
          <w:sz w:val="24"/>
          <w:lang w:val="en-US" w:eastAsia="zh-CN"/>
        </w:rPr>
        <w:t>）和（</w:t>
      </w:r>
      <w:r>
        <w:rPr>
          <w:rFonts w:hint="default"/>
          <w:position w:val="-10"/>
          <w:sz w:val="24"/>
          <w:lang w:val="en-US" w:eastAsia="zh-CN"/>
        </w:rPr>
        <w:t>F.</w:t>
      </w:r>
      <w:r>
        <w:rPr>
          <w:rFonts w:hint="eastAsia"/>
          <w:position w:val="-10"/>
          <w:sz w:val="24"/>
          <w:lang w:val="en-US" w:eastAsia="zh-CN"/>
        </w:rPr>
        <w:t>2）</w:t>
      </w:r>
      <w:r>
        <w:rPr>
          <w:rFonts w:hint="default"/>
          <w:position w:val="-10"/>
          <w:sz w:val="24"/>
          <w:lang w:val="en-US" w:eastAsia="zh-CN"/>
        </w:rPr>
        <w:t>：</w:t>
      </w:r>
    </w:p>
    <w:p w14:paraId="6ADA8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80" w:firstLineChars="200"/>
        <w:jc w:val="right"/>
        <w:textAlignment w:val="auto"/>
        <w:outlineLvl w:val="9"/>
        <w:rPr>
          <w:rFonts w:hint="default" w:eastAsia="宋体" w:cs="Times New Roman"/>
          <w:b w:val="0"/>
          <w:i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 w:val="0"/>
          <w:position w:val="-10"/>
          <w:sz w:val="24"/>
          <w:szCs w:val="24"/>
          <w:highlight w:val="none"/>
          <w:lang w:val="en-US" w:eastAsia="zh-CN" w:bidi="ar-SA"/>
        </w:rPr>
        <w:object>
          <v:shape id="_x0000_i1060" o:spt="75" type="#_x0000_t75" style="height:19pt;width:78.95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60" DrawAspect="Content" ObjectID="_1468075758" r:id="rId85">
            <o:LockedField>false</o:LockedField>
          </o:OLEObject>
        </w:object>
      </w:r>
      <w:r>
        <w:rPr>
          <w:rFonts w:hint="eastAsia" w:ascii="Times New Roman" w:cs="Times New Roman"/>
          <w:i w:val="0"/>
          <w:sz w:val="24"/>
          <w:szCs w:val="24"/>
          <w:highlight w:val="none"/>
          <w:lang w:val="en-US" w:eastAsia="zh-CN" w:bidi="ar-SA"/>
        </w:rPr>
        <w:t xml:space="preserve">                       （F.1）</w:t>
      </w:r>
    </w:p>
    <w:p w14:paraId="2F028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80" w:firstLineChars="200"/>
        <w:jc w:val="right"/>
        <w:textAlignment w:val="auto"/>
        <w:outlineLvl w:val="9"/>
        <w:rPr>
          <w:rFonts w:hint="default" w:hAnsi="DejaVu Math TeX Gyre" w:eastAsia="宋体" w:cs="Times New Roman"/>
          <w:b w:val="0"/>
          <w:bCs/>
          <w:i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default" w:ascii="Times New Roman" w:hAnsi="Times New Roman" w:cs="Times New Roman"/>
          <w:i w:val="0"/>
          <w:iCs/>
          <w:position w:val="-30"/>
          <w:sz w:val="24"/>
          <w:szCs w:val="24"/>
          <w:highlight w:val="none"/>
          <w:lang w:val="en-US" w:eastAsia="zh-CN" w:bidi="ar-SA"/>
        </w:rPr>
        <w:object>
          <v:shape id="_x0000_i1061" o:spt="75" type="#_x0000_t75" style="height:41pt;width:105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KSEE3" ShapeID="_x0000_i1061" DrawAspect="Content" ObjectID="_1468075759" r:id="rId86">
            <o:LockedField>false</o:LockedField>
          </o:OLEObject>
        </w:object>
      </w:r>
      <w:r>
        <w:rPr>
          <w:rFonts w:hint="eastAsia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 xml:space="preserve">                    </w:t>
      </w:r>
      <w:r>
        <w:rPr>
          <w:rFonts w:hint="eastAsia" w:ascii="Times New Roman" w:cs="Times New Roman"/>
          <w:i w:val="0"/>
          <w:sz w:val="24"/>
          <w:szCs w:val="24"/>
          <w:highlight w:val="none"/>
          <w:lang w:val="en-US" w:eastAsia="zh-CN" w:bidi="ar-SA"/>
        </w:rPr>
        <w:t>（F.2）</w:t>
      </w:r>
    </w:p>
    <w:p w14:paraId="7A8EA333">
      <w:pPr>
        <w:tabs>
          <w:tab w:val="left" w:pos="1153"/>
        </w:tabs>
        <w:autoSpaceDE w:val="0"/>
        <w:autoSpaceDN w:val="0"/>
        <w:adjustRightInd w:val="0"/>
        <w:spacing w:line="360" w:lineRule="auto"/>
        <w:ind w:firstLine="480" w:firstLineChars="200"/>
        <w:rPr>
          <w:rFonts w:hint="eastAsia" w:hAnsi="DejaVu Math TeX Gyre" w:eastAsia="宋体" w:cs="Times New Roman"/>
          <w:b w:val="0"/>
          <w:bCs/>
          <w:i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hAnsi="DejaVu Math TeX Gyre" w:eastAsia="宋体" w:cs="Times New Roman"/>
          <w:b w:val="0"/>
          <w:bCs/>
          <w:i w:val="0"/>
          <w:kern w:val="2"/>
          <w:sz w:val="24"/>
          <w:szCs w:val="24"/>
          <w:vertAlign w:val="baseline"/>
          <w:lang w:val="en-US" w:eastAsia="zh-CN" w:bidi="ar-SA"/>
        </w:rPr>
        <w:t>式中：</w:t>
      </w:r>
    </w:p>
    <w:p w14:paraId="3B657C10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 w:eastAsia="zh-CN"/>
        </w:rPr>
        <w:t>1</w:t>
      </w:r>
      <w:r>
        <w:t>——</w:t>
      </w:r>
      <w:r>
        <w:rPr>
          <w:rFonts w:ascii="宋体" w:hAnsi="宋体" w:eastAsia="宋体" w:cs="宋体"/>
          <w:sz w:val="24"/>
          <w:szCs w:val="24"/>
        </w:rPr>
        <w:t>储能模量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的第一次测量值，MPa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0F21750E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E</w:t>
      </w:r>
      <w:r>
        <w:rPr>
          <w:rFonts w:hint="eastAsia" w:ascii="Times New Roman" w:cs="Times New Roman"/>
          <w:sz w:val="24"/>
          <w:szCs w:val="24"/>
          <w:vertAlign w:val="subscript"/>
          <w:lang w:val="en-US" w:eastAsia="zh-CN"/>
        </w:rPr>
        <w:t>2</w:t>
      </w:r>
      <w:r>
        <w:t>——</w:t>
      </w:r>
      <w:r>
        <w:rPr>
          <w:rFonts w:ascii="宋体" w:hAnsi="宋体" w:eastAsia="宋体" w:cs="宋体"/>
          <w:sz w:val="24"/>
          <w:szCs w:val="24"/>
        </w:rPr>
        <w:t>储能模量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的第二次测量值，MPa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6F33F631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position w:val="-4"/>
        </w:rPr>
        <w:object>
          <v:shape id="_x0000_i1062" o:spt="75" type="#_x0000_t75" style="height:16pt;width:12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62" DrawAspect="Content" ObjectID="_1468075760" r:id="rId87">
            <o:LockedField>false</o:LockedField>
          </o:OLEObject>
        </w:object>
      </w:r>
      <w:r>
        <w:t>——</w:t>
      </w:r>
      <w:r>
        <w:rPr>
          <w:rFonts w:ascii="宋体" w:hAnsi="宋体" w:eastAsia="宋体" w:cs="宋体"/>
          <w:sz w:val="24"/>
          <w:szCs w:val="24"/>
        </w:rPr>
        <w:t>储能模量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的测量平均值，MPa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053425FD"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E</w:t>
      </w:r>
      <w:r>
        <w:rPr>
          <w:rFonts w:hint="eastAsia" w:ascii="Times New Roman" w:cs="Times New Roman"/>
          <w:sz w:val="24"/>
          <w:szCs w:val="24"/>
          <w:vertAlign w:val="subscript"/>
          <w:lang w:val="en-US" w:eastAsia="zh-CN"/>
        </w:rPr>
        <w:t>S</w:t>
      </w:r>
      <w:r>
        <w:t>——</w:t>
      </w:r>
      <w:r>
        <w:rPr>
          <w:rFonts w:ascii="宋体" w:hAnsi="宋体" w:eastAsia="宋体" w:cs="宋体"/>
          <w:sz w:val="24"/>
          <w:szCs w:val="24"/>
        </w:rPr>
        <w:t>储能模量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的标称值，MPa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63701017">
      <w:pPr>
        <w:keepNext w:val="0"/>
        <w:keepLines w:val="0"/>
        <w:pageBreakBefore w:val="0"/>
        <w:widowControl w:val="0"/>
        <w:tabs>
          <w:tab w:val="left" w:pos="1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lang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Δ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E</w:t>
      </w:r>
      <w:r>
        <w:t>——</w:t>
      </w:r>
      <w:r>
        <w:rPr>
          <w:rFonts w:ascii="宋体" w:hAnsi="宋体" w:eastAsia="宋体" w:cs="宋体"/>
          <w:sz w:val="24"/>
          <w:szCs w:val="24"/>
        </w:rPr>
        <w:t>储能模量的</w:t>
      </w:r>
      <w:r>
        <w:rPr>
          <w:rFonts w:hint="eastAsia" w:ascii="Times New Roman" w:hAnsi="Times New Roman" w:eastAsiaTheme="minorEastAsia"/>
          <w:kern w:val="2"/>
          <w:sz w:val="24"/>
          <w:highlight w:val="none"/>
        </w:rPr>
        <w:t>示值误差</w:t>
      </w:r>
      <w:r>
        <w:rPr>
          <w:rFonts w:hint="eastAsia" w:ascii="Times New Roman" w:eastAsiaTheme="minorEastAsia"/>
          <w:kern w:val="2"/>
          <w:sz w:val="24"/>
          <w:highlight w:val="none"/>
          <w:lang w:eastAsia="zh-CN"/>
        </w:rPr>
        <w:t>，</w:t>
      </w:r>
      <w:r>
        <w:rPr>
          <w:rFonts w:hint="eastAsia" w:ascii="Times New Roman" w:eastAsiaTheme="minorEastAsia"/>
          <w:kern w:val="2"/>
          <w:sz w:val="24"/>
          <w:highlight w:val="none"/>
          <w:lang w:val="en-US" w:eastAsia="zh-CN"/>
        </w:rPr>
        <w:t>%。</w:t>
      </w:r>
    </w:p>
    <w:p w14:paraId="09D948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  <w:t>F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.3 测量不确定度的来源分析</w:t>
      </w:r>
    </w:p>
    <w:p w14:paraId="34267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黑体" w:hAnsi="黑体" w:eastAsia="黑体" w:cs="黑体"/>
          <w:b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测量不确定来源有：</w:t>
      </w:r>
    </w:p>
    <w:p w14:paraId="74D8A7C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由</w:t>
      </w:r>
      <w:r>
        <w:rPr>
          <w:rFonts w:hint="eastAsia" w:cs="Times New Roman"/>
          <w:position w:val="-10"/>
          <w:sz w:val="24"/>
          <w:szCs w:val="24"/>
          <w:lang w:val="en-US" w:eastAsia="zh-CN"/>
        </w:rPr>
        <w:t>尺寸测量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引入的不确定度分量</w:t>
      </w:r>
      <w:r>
        <w:rPr>
          <w:rFonts w:hint="default" w:ascii="Times New Roman Italic" w:hAnsi="Times New Roman Italic" w:eastAsia="宋体" w:cs="Times New Roman Italic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default" w:ascii="Times New Roman Italic" w:hAnsi="Times New Roman Italic" w:eastAsia="宋体" w:cs="Times New Roman Italic"/>
          <w:i w:val="0"/>
          <w:iCs w:val="0"/>
          <w:position w:val="-1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 Italic" w:hAnsi="Times New Roman Italic" w:eastAsia="宋体" w:cs="Times New Roman Italic"/>
          <w:i/>
          <w:iCs/>
          <w:position w:val="-10"/>
          <w:sz w:val="24"/>
          <w:szCs w:val="24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;</w:t>
      </w:r>
    </w:p>
    <w:p w14:paraId="2AB729C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eastAsia" w:cs="Times New Roman"/>
          <w:position w:val="-10"/>
          <w:sz w:val="24"/>
          <w:szCs w:val="24"/>
          <w:lang w:val="en-US" w:eastAsia="zh-CN"/>
        </w:rPr>
        <w:t>由标块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引入的不确定度分量</w:t>
      </w:r>
      <w:r>
        <w:rPr>
          <w:rFonts w:hint="default" w:ascii="Times New Roman Italic" w:hAnsi="Times New Roman Italic" w:eastAsia="宋体" w:cs="Times New Roman Italic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default" w:ascii="Times New Roman Italic" w:hAnsi="Times New Roman Italic" w:eastAsia="宋体" w:cs="Times New Roman Italic"/>
          <w:i w:val="0"/>
          <w:iCs w:val="0"/>
          <w:position w:val="-10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 Italic" w:hAnsi="Times New Roman Italic" w:eastAsia="宋体" w:cs="Times New Roman Italic"/>
          <w:i/>
          <w:iCs/>
          <w:position w:val="-10"/>
          <w:sz w:val="24"/>
          <w:szCs w:val="24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;</w:t>
      </w:r>
    </w:p>
    <w:p w14:paraId="12D23B3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t>由仪器测量重复性引入的不确定度分量</w:t>
      </w:r>
      <w:r>
        <w:rPr>
          <w:rFonts w:hint="default" w:ascii="Times New Roman Italic" w:hAnsi="Times New Roman Italic" w:eastAsia="宋体" w:cs="Times New Roman Italic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eastAsia" w:ascii="Times New Roman Italic" w:hAnsi="Times New Roman Italic" w:cs="Times New Roman Italic"/>
          <w:i w:val="0"/>
          <w:iCs w:val="0"/>
          <w:position w:val="-10"/>
          <w:sz w:val="24"/>
          <w:szCs w:val="24"/>
          <w:vertAlign w:val="subscript"/>
          <w:lang w:val="en-US" w:eastAsia="zh-CN"/>
        </w:rPr>
        <w:t>3</w:t>
      </w:r>
      <w:r>
        <w:rPr>
          <w:rFonts w:hint="default" w:ascii="Times New Roman Italic" w:hAnsi="Times New Roman Italic" w:eastAsia="宋体" w:cs="Times New Roman Italic"/>
          <w:i/>
          <w:iCs/>
          <w:position w:val="-10"/>
          <w:sz w:val="24"/>
          <w:szCs w:val="24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;</w:t>
      </w:r>
    </w:p>
    <w:p w14:paraId="574DF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24"/>
          <w:szCs w:val="24"/>
          <w:highlight w:val="none"/>
          <w:lang w:val="en-US" w:eastAsia="zh-CN"/>
        </w:rPr>
        <w:t>F</w:t>
      </w:r>
      <w:r>
        <w:rPr>
          <w:rFonts w:hint="eastAsia" w:ascii="黑体" w:hAnsi="黑体" w:eastAsia="黑体" w:cs="黑体"/>
          <w:b w:val="0"/>
          <w:bCs/>
          <w:sz w:val="24"/>
          <w:szCs w:val="24"/>
          <w:highlight w:val="none"/>
          <w:lang w:val="en-US" w:eastAsia="zh-CN"/>
        </w:rPr>
        <w:t>.4 测量不确定度评定</w:t>
      </w:r>
    </w:p>
    <w:p w14:paraId="5D869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default" w:cs="Times New Roman"/>
          <w:position w:val="-10"/>
          <w:sz w:val="24"/>
          <w:szCs w:val="24"/>
          <w:lang w:val="en-US" w:eastAsia="zh-CN"/>
        </w:rPr>
        <w:t>F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.4.1 由尺寸测量引入的不确定度分量</w:t>
      </w:r>
      <w:r>
        <w:rPr>
          <w:rFonts w:hint="default" w:ascii="Times New Roman Italic" w:hAnsi="Times New Roman Italic" w:eastAsia="宋体" w:cs="Times New Roman Italic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default" w:ascii="Times New Roman Italic" w:hAnsi="Times New Roman Italic" w:eastAsia="宋体" w:cs="Times New Roman Italic"/>
          <w:i w:val="0"/>
          <w:iCs w:val="0"/>
          <w:position w:val="-10"/>
          <w:sz w:val="24"/>
          <w:szCs w:val="24"/>
          <w:vertAlign w:val="subscript"/>
          <w:lang w:val="en-US" w:eastAsia="zh-CN"/>
        </w:rPr>
        <w:t>1</w:t>
      </w:r>
    </w:p>
    <w:p w14:paraId="17D03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eastAsia="宋体" w:cs="Times New Roman"/>
          <w:position w:val="0"/>
          <w:sz w:val="24"/>
          <w:szCs w:val="24"/>
          <w:highlight w:val="none"/>
          <w:lang w:eastAsia="zh-CN"/>
        </w:rPr>
      </w:pPr>
      <w:r>
        <w:rPr>
          <w:rFonts w:hint="default" w:ascii="Times New Roman Italic" w:hAnsi="Times New Roman Italic" w:eastAsia="宋体" w:cs="Times New Roman Italic"/>
          <w:i w:val="0"/>
          <w:iCs w:val="0"/>
          <w:sz w:val="24"/>
          <w:szCs w:val="24"/>
          <w:highlight w:val="none"/>
          <w:lang w:val="en-US" w:eastAsia="zh-CN"/>
        </w:rPr>
        <w:t>标准物质宽度为12.72mm，使用分度值为0.01mm的经校准合格的数显卡尺称量，数 显卡尺</w:t>
      </w:r>
      <w:r>
        <w:rPr>
          <w:rFonts w:hint="default" w:ascii="Times New Roman Italic" w:hAnsi="Times New Roman Italic" w:eastAsia="宋体" w:cs="Times New Roman Italic"/>
          <w:i/>
          <w:iCs/>
          <w:sz w:val="24"/>
          <w:szCs w:val="24"/>
          <w:highlight w:val="none"/>
          <w:lang w:val="en-US" w:eastAsia="zh-CN"/>
        </w:rPr>
        <w:t>U</w:t>
      </w:r>
      <w:r>
        <w:rPr>
          <w:rFonts w:hint="default" w:ascii="Times New Roman Italic" w:hAnsi="Times New Roman Italic" w:eastAsia="宋体" w:cs="Times New Roman Italic"/>
          <w:i w:val="0"/>
          <w:iCs w:val="0"/>
          <w:sz w:val="24"/>
          <w:szCs w:val="24"/>
          <w:highlight w:val="none"/>
          <w:lang w:val="en-US" w:eastAsia="zh-CN"/>
        </w:rPr>
        <w:t>=0.01mm，</w:t>
      </w:r>
      <w:r>
        <w:rPr>
          <w:rFonts w:hint="default" w:ascii="Times New Roman Italic" w:hAnsi="Times New Roman Italic" w:eastAsia="宋体" w:cs="Times New Roman Italic"/>
          <w:i/>
          <w:iCs/>
          <w:sz w:val="24"/>
          <w:szCs w:val="24"/>
          <w:highlight w:val="none"/>
          <w:lang w:val="en-US" w:eastAsia="zh-CN"/>
        </w:rPr>
        <w:t>k</w:t>
      </w:r>
      <w:r>
        <w:rPr>
          <w:rFonts w:hint="default" w:ascii="Times New Roman Italic" w:hAnsi="Times New Roman Italic" w:eastAsia="宋体" w:cs="Times New Roman Italic"/>
          <w:i w:val="0"/>
          <w:iCs w:val="0"/>
          <w:sz w:val="24"/>
          <w:szCs w:val="24"/>
          <w:highlight w:val="none"/>
          <w:lang w:val="en-US" w:eastAsia="zh-CN"/>
        </w:rPr>
        <w:t>=2，所以由尺寸测量引入的不确定度分量</w:t>
      </w:r>
      <w:r>
        <w:rPr>
          <w:rFonts w:hint="default" w:ascii="Times New Roman Italic" w:hAnsi="Times New Roman Italic" w:eastAsia="宋体" w:cs="Times New Roman Italic"/>
          <w:i/>
          <w:iCs/>
          <w:sz w:val="24"/>
          <w:szCs w:val="24"/>
          <w:highlight w:val="none"/>
          <w:lang w:val="en-US" w:eastAsia="zh-CN"/>
        </w:rPr>
        <w:t>u</w:t>
      </w:r>
      <w:r>
        <w:rPr>
          <w:rFonts w:hint="default" w:ascii="Times New Roman Italic" w:hAnsi="Times New Roman Italic" w:eastAsia="宋体" w:cs="Times New Roman Italic"/>
          <w:i w:val="0"/>
          <w:iCs w:val="0"/>
          <w:sz w:val="24"/>
          <w:szCs w:val="24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position w:val="0"/>
          <w:sz w:val="24"/>
          <w:szCs w:val="24"/>
          <w:highlight w:val="none"/>
          <w:lang w:eastAsia="zh-CN"/>
        </w:rPr>
        <w:t>为</w:t>
      </w:r>
      <w:r>
        <w:rPr>
          <w:rFonts w:hint="eastAsia" w:eastAsia="宋体" w:cs="Times New Roman"/>
          <w:position w:val="0"/>
          <w:sz w:val="24"/>
          <w:szCs w:val="24"/>
          <w:highlight w:val="none"/>
          <w:lang w:eastAsia="zh-CN"/>
        </w:rPr>
        <w:t>：</w:t>
      </w:r>
    </w:p>
    <w:p w14:paraId="4C064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eastAsia" w:hAnsi="DejaVu Math TeX Gyre" w:eastAsia="宋体" w:cs="Times New Roman Italic"/>
          <w:i w:val="0"/>
          <w:iCs w:val="0"/>
          <w:position w:val="-24"/>
          <w:sz w:val="24"/>
          <w:szCs w:val="24"/>
          <w:highlight w:val="none"/>
          <w:lang w:val="en-US" w:eastAsia="zh-CN"/>
        </w:rPr>
        <w:object>
          <v:shape id="_x0000_i1063" o:spt="75" type="#_x0000_t75" style="height:31pt;width:153pt;" o:ole="t" filled="f" o:preferrelative="t" stroked="f" coordsize="21600,21600">
            <v:path/>
            <v:fill on="f" focussize="0,0"/>
            <v:stroke on="f"/>
            <v:imagedata r:id="rId89" o:title=""/>
            <o:lock v:ext="edit" aspectratio="t"/>
            <w10:wrap type="none"/>
            <w10:anchorlock/>
          </v:shape>
          <o:OLEObject Type="Embed" ProgID="Equation.KSEE3" ShapeID="_x0000_i1063" DrawAspect="Content" ObjectID="_1468075761" r:id="rId88">
            <o:LockedField>false</o:LockedField>
          </o:OLEObject>
        </w:object>
      </w:r>
      <w:r>
        <w:rPr>
          <w:rFonts w:hint="default" w:ascii="Times New Roman" w:hAnsi="Times New Roman" w:cs="Times New Roman"/>
          <w:i w:val="0"/>
          <w:position w:val="0"/>
          <w:sz w:val="24"/>
          <w:szCs w:val="24"/>
          <w:highlight w:val="none"/>
          <w:lang w:val="en-US"/>
        </w:rPr>
        <w:t xml:space="preserve"> </w:t>
      </w:r>
    </w:p>
    <w:p w14:paraId="04F5A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default" w:cs="Times New Roman"/>
          <w:position w:val="-10"/>
          <w:sz w:val="24"/>
          <w:szCs w:val="24"/>
          <w:lang w:val="en-US" w:eastAsia="zh-CN"/>
        </w:rPr>
        <w:t>F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.4.</w:t>
      </w:r>
      <w:r>
        <w:rPr>
          <w:rFonts w:hint="eastAsia" w:eastAsia="宋体" w:cs="Times New Roman"/>
          <w:position w:val="-1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 由</w:t>
      </w:r>
      <w:r>
        <w:rPr>
          <w:rFonts w:hint="eastAsia" w:cs="Times New Roman"/>
          <w:position w:val="-10"/>
          <w:sz w:val="24"/>
          <w:szCs w:val="24"/>
          <w:lang w:val="en-US" w:eastAsia="zh-CN"/>
        </w:rPr>
        <w:t>标块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引入的不确定度分量</w:t>
      </w:r>
      <w:r>
        <w:rPr>
          <w:rFonts w:hint="default" w:ascii="Times New Roman Italic" w:hAnsi="Times New Roman Italic" w:eastAsia="宋体" w:cs="Times New Roman Italic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eastAsia" w:ascii="Times New Roman Italic" w:hAnsi="Times New Roman Italic" w:eastAsia="宋体" w:cs="Times New Roman Italic"/>
          <w:i w:val="0"/>
          <w:iCs w:val="0"/>
          <w:position w:val="-10"/>
          <w:sz w:val="24"/>
          <w:szCs w:val="24"/>
          <w:vertAlign w:val="subscript"/>
          <w:lang w:val="en-US" w:eastAsia="zh-CN"/>
        </w:rPr>
        <w:t>2</w:t>
      </w:r>
    </w:p>
    <w:p w14:paraId="7DDF6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eastAsia="宋体" w:cs="Times New Roman"/>
          <w:position w:val="0"/>
          <w:sz w:val="24"/>
          <w:szCs w:val="24"/>
          <w:highlight w:val="none"/>
          <w:lang w:eastAsia="zh-CN"/>
        </w:rPr>
      </w:pPr>
      <w:r>
        <w:rPr>
          <w:rFonts w:hint="default" w:cs="Times New Roman"/>
          <w:sz w:val="24"/>
          <w:szCs w:val="24"/>
          <w:lang w:val="en-US" w:eastAsia="zh-CN"/>
        </w:rPr>
        <w:t>聚碳酸酯</w:t>
      </w:r>
      <w:r>
        <w:rPr>
          <w:rFonts w:hint="eastAsia" w:cs="Times New Roman"/>
          <w:sz w:val="24"/>
          <w:szCs w:val="24"/>
          <w:lang w:val="en-US" w:eastAsia="zh-CN"/>
        </w:rPr>
        <w:t>（</w:t>
      </w:r>
      <w:r>
        <w:rPr>
          <w:rFonts w:hint="default" w:cs="Times New Roman"/>
          <w:sz w:val="24"/>
          <w:szCs w:val="24"/>
          <w:lang w:val="en-US" w:eastAsia="zh-CN"/>
        </w:rPr>
        <w:t>PC</w:t>
      </w:r>
      <w:r>
        <w:rPr>
          <w:rFonts w:hint="eastAsia" w:cs="Times New Roman"/>
          <w:sz w:val="24"/>
          <w:szCs w:val="24"/>
          <w:lang w:val="en-US" w:eastAsia="zh-CN"/>
        </w:rPr>
        <w:t>）标块其储能模量为（2.35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</w:t>
      </w:r>
      <w:r>
        <w:rPr>
          <w:rFonts w:hint="default" w:cs="Times New Roman"/>
          <w:sz w:val="24"/>
          <w:szCs w:val="24"/>
          <w:lang w:val="en-US" w:eastAsia="zh-CN"/>
        </w:rPr>
        <w:t>5%</w:t>
      </w:r>
      <w:r>
        <w:rPr>
          <w:rFonts w:hint="eastAsia" w:cs="Times New Roman"/>
          <w:sz w:val="24"/>
          <w:szCs w:val="24"/>
          <w:lang w:val="en-US" w:eastAsia="zh-CN"/>
        </w:rPr>
        <w:t>）</w:t>
      </w:r>
      <w:r>
        <w:rPr>
          <w:rFonts w:hint="default" w:cs="Times New Roman"/>
          <w:sz w:val="24"/>
          <w:szCs w:val="24"/>
          <w:lang w:val="en-US" w:eastAsia="zh-CN"/>
        </w:rPr>
        <w:t>GP</w:t>
      </w:r>
      <w:r>
        <w:rPr>
          <w:rFonts w:hint="eastAsia" w:cs="Times New Roman"/>
          <w:sz w:val="24"/>
          <w:szCs w:val="24"/>
          <w:lang w:val="en-US" w:eastAsia="zh-CN"/>
        </w:rPr>
        <w:t>a，，假设为均匀分布，取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eastAsia" w:cs="Times New Roman"/>
          <w:sz w:val="24"/>
          <w:szCs w:val="24"/>
          <w:lang w:val="en-US" w:eastAsia="zh-CN"/>
        </w:rPr>
        <w:t>=</w:t>
      </w:r>
      <w:r>
        <w:rPr>
          <w:rFonts w:hint="eastAsia" w:cs="Times New Roman"/>
          <w:position w:val="-8"/>
          <w:sz w:val="24"/>
          <w:szCs w:val="24"/>
          <w:lang w:val="en-US" w:eastAsia="zh-CN"/>
        </w:rPr>
        <w:object>
          <v:shape id="_x0000_i1064" o:spt="75" type="#_x0000_t75" style="height:18pt;width:18pt;" o:ole="t" filled="f" o:preferrelative="t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KSEE3" ShapeID="_x0000_i1064" DrawAspect="Content" ObjectID="_1468075762" r:id="rId90">
            <o:LockedField>false</o:LockedField>
          </o:OLEObject>
        </w:object>
      </w:r>
      <w:r>
        <w:rPr>
          <w:rFonts w:hint="eastAsia" w:cs="Times New Roman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所以由标块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引入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的不确定度分量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highlight w:val="none"/>
          <w:lang w:val="en-US" w:eastAsia="zh-CN"/>
        </w:rPr>
        <w:t>u</w:t>
      </w:r>
      <w:r>
        <w:rPr>
          <w:rFonts w:hint="eastAsia" w:ascii="Times New Roman Italic" w:hAnsi="Times New Roman Italic" w:eastAsia="宋体" w:cs="Times New Roman Italic"/>
          <w:i w:val="0"/>
          <w:iCs w:val="0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position w:val="0"/>
          <w:sz w:val="24"/>
          <w:szCs w:val="24"/>
          <w:highlight w:val="none"/>
          <w:lang w:eastAsia="zh-CN"/>
        </w:rPr>
        <w:t>为</w:t>
      </w:r>
      <w:r>
        <w:rPr>
          <w:rFonts w:hint="eastAsia" w:eastAsia="宋体" w:cs="Times New Roman"/>
          <w:position w:val="0"/>
          <w:sz w:val="24"/>
          <w:szCs w:val="24"/>
          <w:highlight w:val="none"/>
          <w:lang w:eastAsia="zh-CN"/>
        </w:rPr>
        <w:t>：</w:t>
      </w:r>
    </w:p>
    <w:p w14:paraId="770F7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hAnsi="Cambria Math" w:eastAsia="宋体" w:cs="Times New Roman"/>
          <w:i w:val="0"/>
          <w:iCs w:val="0"/>
          <w:position w:val="-28"/>
          <w:sz w:val="24"/>
          <w:szCs w:val="24"/>
          <w:highlight w:val="none"/>
          <w:lang w:val="en-US" w:eastAsia="zh-CN"/>
        </w:rPr>
        <w:object>
          <v:shape id="_x0000_i1065" o:spt="75" type="#_x0000_t75" style="height:33pt;width:112.3pt;" o:ole="t" filled="f" o:preferrelative="t" stroked="f" coordsize="21600,2160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KSEE3" ShapeID="_x0000_i1065" DrawAspect="Content" ObjectID="_1468075763" r:id="rId92">
            <o:LockedField>false</o:LockedField>
          </o:OLEObject>
        </w:object>
      </w:r>
    </w:p>
    <w:p w14:paraId="3C64F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default" w:cs="Times New Roman"/>
          <w:position w:val="-10"/>
          <w:sz w:val="24"/>
          <w:szCs w:val="24"/>
          <w:lang w:val="en-US" w:eastAsia="zh-CN"/>
        </w:rPr>
        <w:t>F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.4.</w:t>
      </w:r>
      <w:r>
        <w:rPr>
          <w:rFonts w:hint="eastAsia" w:eastAsia="宋体" w:cs="Times New Roman"/>
          <w:position w:val="-1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  <w:t>由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t>测量重复性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  <w:t>引入的不确定度分量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vertAlign w:val="subscript"/>
          <w:lang w:val="en-US" w:eastAsia="zh-CN"/>
        </w:rPr>
        <w:t>3</w:t>
      </w:r>
    </w:p>
    <w:p w14:paraId="5174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用动态热机械分析仪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eastAsia" w:cs="Times New Roman"/>
          <w:sz w:val="24"/>
          <w:szCs w:val="24"/>
          <w:lang w:val="en-US" w:eastAsia="zh-CN"/>
        </w:rPr>
        <w:t>标物的储能模量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重复测量</w:t>
      </w:r>
      <w:r>
        <w:rPr>
          <w:rFonts w:hint="eastAsia" w:eastAsia="宋体" w:cs="Times New Roman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次，测量数据</w:t>
      </w:r>
      <w:r>
        <w:rPr>
          <w:rFonts w:hint="eastAsia" w:eastAsia="宋体" w:cs="Times New Roman"/>
          <w:sz w:val="24"/>
          <w:szCs w:val="24"/>
          <w:lang w:val="en-US" w:eastAsia="zh-CN"/>
        </w:rPr>
        <w:t>结果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见表</w:t>
      </w:r>
      <w:r>
        <w:rPr>
          <w:rFonts w:hint="default" w:cs="Times New Roman"/>
          <w:sz w:val="24"/>
          <w:szCs w:val="24"/>
          <w:lang w:val="en-US" w:eastAsia="zh-CN"/>
        </w:rPr>
        <w:t>F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eastAsia" w:eastAsia="宋体" w:cs="Times New Roman"/>
          <w:sz w:val="24"/>
          <w:szCs w:val="24"/>
          <w:lang w:val="en-US" w:eastAsia="zh-CN"/>
        </w:rPr>
        <w:t>1。</w:t>
      </w:r>
    </w:p>
    <w:p w14:paraId="647A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表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F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.1 储能模量重复测量数据</w:t>
      </w:r>
    </w:p>
    <w:tbl>
      <w:tblPr>
        <w:tblStyle w:val="24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469"/>
        <w:gridCol w:w="1470"/>
        <w:gridCol w:w="1470"/>
        <w:gridCol w:w="1470"/>
        <w:gridCol w:w="1492"/>
      </w:tblGrid>
      <w:tr w14:paraId="2354CDBC">
        <w:trPr>
          <w:trHeight w:val="397" w:hRule="atLeast"/>
          <w:jc w:val="center"/>
        </w:trPr>
        <w:tc>
          <w:tcPr>
            <w:tcW w:w="1092" w:type="pct"/>
            <w:tcBorders>
              <w:tl2br w:val="nil"/>
              <w:tr2bl w:val="nil"/>
            </w:tcBorders>
            <w:noWrap w:val="0"/>
            <w:vAlign w:val="center"/>
          </w:tcPr>
          <w:p w14:paraId="4C702DD3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次数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3BD62305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60DCA478">
            <w:pPr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34A4D996">
            <w:pPr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7E800531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787" w:type="pct"/>
            <w:tcBorders>
              <w:tl2br w:val="nil"/>
              <w:tr2bl w:val="nil"/>
            </w:tcBorders>
            <w:noWrap w:val="0"/>
            <w:vAlign w:val="center"/>
          </w:tcPr>
          <w:p w14:paraId="250C62B8">
            <w:pPr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7DD11E53">
        <w:trPr>
          <w:trHeight w:val="397" w:hRule="atLeast"/>
          <w:jc w:val="center"/>
        </w:trPr>
        <w:tc>
          <w:tcPr>
            <w:tcW w:w="1092" w:type="pct"/>
            <w:tcBorders>
              <w:tl2br w:val="nil"/>
              <w:tr2bl w:val="nil"/>
            </w:tcBorders>
            <w:noWrap w:val="0"/>
            <w:vAlign w:val="center"/>
          </w:tcPr>
          <w:p w14:paraId="01BA44B1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测量值（GPa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6E5EAAA4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5B4453C3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194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4D4CDDBB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2.163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0E25F2F9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Times New Roman"/>
                <w:szCs w:val="21"/>
                <w:highlight w:val="none"/>
                <w:lang w:val="en-US" w:eastAsia="zh-CN"/>
              </w:rPr>
              <w:t>2.196</w:t>
            </w:r>
          </w:p>
        </w:tc>
        <w:tc>
          <w:tcPr>
            <w:tcW w:w="787" w:type="pct"/>
            <w:tcBorders>
              <w:tl2br w:val="nil"/>
              <w:tr2bl w:val="nil"/>
            </w:tcBorders>
            <w:noWrap w:val="0"/>
            <w:vAlign w:val="center"/>
          </w:tcPr>
          <w:p w14:paraId="1E0F511D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Times New Roman"/>
                <w:szCs w:val="21"/>
                <w:highlight w:val="none"/>
                <w:lang w:val="en-US" w:eastAsia="zh-CN"/>
              </w:rPr>
              <w:t>2.157</w:t>
            </w:r>
          </w:p>
        </w:tc>
      </w:tr>
      <w:tr w14:paraId="5DFDA5AE">
        <w:trPr>
          <w:trHeight w:val="397" w:hRule="atLeast"/>
          <w:jc w:val="center"/>
        </w:trPr>
        <w:tc>
          <w:tcPr>
            <w:tcW w:w="1092" w:type="pct"/>
            <w:tcBorders>
              <w:tl2br w:val="nil"/>
              <w:tr2bl w:val="nil"/>
            </w:tcBorders>
            <w:noWrap w:val="0"/>
            <w:vAlign w:val="center"/>
          </w:tcPr>
          <w:p w14:paraId="68D033C2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次数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06093B3E">
            <w:pPr>
              <w:spacing w:line="240" w:lineRule="auto"/>
              <w:jc w:val="center"/>
              <w:outlineLvl w:val="9"/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40B80809">
            <w:pPr>
              <w:spacing w:line="240" w:lineRule="auto"/>
              <w:jc w:val="center"/>
              <w:outlineLvl w:val="9"/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6B103EE2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506E8DFA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87" w:type="pct"/>
            <w:tcBorders>
              <w:tl2br w:val="nil"/>
              <w:tr2bl w:val="nil"/>
            </w:tcBorders>
            <w:noWrap w:val="0"/>
            <w:vAlign w:val="center"/>
          </w:tcPr>
          <w:p w14:paraId="3EB2FAB6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 w14:paraId="25ED25D1">
        <w:trPr>
          <w:trHeight w:val="397" w:hRule="atLeast"/>
          <w:jc w:val="center"/>
        </w:trPr>
        <w:tc>
          <w:tcPr>
            <w:tcW w:w="1092" w:type="pct"/>
            <w:tcBorders>
              <w:tl2br w:val="nil"/>
              <w:tr2bl w:val="nil"/>
            </w:tcBorders>
            <w:noWrap w:val="0"/>
            <w:vAlign w:val="center"/>
          </w:tcPr>
          <w:p w14:paraId="2865897B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测量值（GPa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47F317F2">
            <w:pPr>
              <w:spacing w:line="240" w:lineRule="auto"/>
              <w:jc w:val="center"/>
              <w:outlineLvl w:val="9"/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2.195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387A4420">
            <w:pPr>
              <w:spacing w:line="240" w:lineRule="auto"/>
              <w:jc w:val="center"/>
              <w:outlineLvl w:val="9"/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2.183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0FA1E95A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2.196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6D50C75F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2.179</w:t>
            </w:r>
          </w:p>
        </w:tc>
        <w:tc>
          <w:tcPr>
            <w:tcW w:w="787" w:type="pct"/>
            <w:tcBorders>
              <w:tl2br w:val="nil"/>
              <w:tr2bl w:val="nil"/>
            </w:tcBorders>
            <w:noWrap w:val="0"/>
            <w:vAlign w:val="center"/>
          </w:tcPr>
          <w:p w14:paraId="315189BE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2.188</w:t>
            </w:r>
          </w:p>
        </w:tc>
      </w:tr>
      <w:tr w14:paraId="17B0488F">
        <w:trPr>
          <w:trHeight w:val="397" w:hRule="atLeast"/>
          <w:jc w:val="center"/>
        </w:trPr>
        <w:tc>
          <w:tcPr>
            <w:tcW w:w="109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0B2DBD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平均值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（GPa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90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495F59E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2.182</w:t>
            </w:r>
          </w:p>
        </w:tc>
      </w:tr>
      <w:tr w14:paraId="5F80D859">
        <w:trPr>
          <w:trHeight w:val="397" w:hRule="atLeast"/>
          <w:jc w:val="center"/>
        </w:trPr>
        <w:tc>
          <w:tcPr>
            <w:tcW w:w="1092" w:type="pct"/>
            <w:tcBorders>
              <w:tl2br w:val="nil"/>
              <w:tr2bl w:val="nil"/>
            </w:tcBorders>
            <w:noWrap w:val="0"/>
            <w:vAlign w:val="center"/>
          </w:tcPr>
          <w:p w14:paraId="53C1EEDF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标准偏差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（GPa）</w:t>
            </w:r>
          </w:p>
        </w:tc>
        <w:tc>
          <w:tcPr>
            <w:tcW w:w="390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63E797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0.013</w:t>
            </w:r>
          </w:p>
        </w:tc>
      </w:tr>
    </w:tbl>
    <w:p w14:paraId="56978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position w:val="0"/>
          <w:sz w:val="24"/>
          <w:szCs w:val="24"/>
          <w:highlight w:val="none"/>
          <w:lang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根据6.2.</w:t>
      </w:r>
      <w:r>
        <w:rPr>
          <w:rFonts w:hint="default" w:eastAsia="宋体" w:cs="Times New Roman"/>
          <w:sz w:val="24"/>
          <w:szCs w:val="24"/>
          <w:lang w:val="en-US" w:eastAsia="zh-CN"/>
        </w:rPr>
        <w:t>5</w:t>
      </w:r>
      <w:r>
        <w:rPr>
          <w:rFonts w:hint="eastAsia" w:eastAsia="宋体" w:cs="Times New Roman"/>
          <w:sz w:val="24"/>
          <w:szCs w:val="24"/>
          <w:lang w:val="en-US" w:eastAsia="zh-CN"/>
        </w:rPr>
        <w:t>可知，每次校准均对同一标准物质进行2次测量，则由测量重复性引入的不确定度分量</w:t>
      </w:r>
      <w:r>
        <w:rPr>
          <w:rFonts w:hint="eastAsia" w:ascii="Times New Roman" w:hAnsi="Times New Roman" w:eastAsia="宋体" w:cs="Times New Roman"/>
          <w:b w:val="0"/>
          <w:bCs/>
          <w:i/>
          <w:iCs/>
          <w:sz w:val="24"/>
          <w:highlight w:val="none"/>
          <w:lang w:val="en-US" w:eastAsia="zh-CN"/>
        </w:rPr>
        <w:t>u</w:t>
      </w:r>
      <w:r>
        <w:rPr>
          <w:rFonts w:hint="eastAsia" w:eastAsia="宋体" w:cs="Times New Roman"/>
          <w:b w:val="0"/>
          <w:bCs/>
          <w:sz w:val="24"/>
          <w:highlight w:val="none"/>
          <w:vertAlign w:val="subscript"/>
          <w:lang w:val="en-US" w:eastAsia="zh-CN"/>
        </w:rPr>
        <w:t>3</w:t>
      </w:r>
      <w:r>
        <w:rPr>
          <w:rFonts w:hint="eastAsia" w:eastAsia="宋体" w:cs="Times New Roman"/>
          <w:sz w:val="24"/>
          <w:szCs w:val="24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position w:val="0"/>
          <w:sz w:val="24"/>
          <w:szCs w:val="24"/>
          <w:highlight w:val="none"/>
          <w:lang w:eastAsia="zh-CN"/>
        </w:rPr>
        <w:t>：</w:t>
      </w:r>
    </w:p>
    <w:p w14:paraId="664B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hAnsi="Times New Roman" w:eastAsia="宋体" w:cs="Times New Roman Regular"/>
          <w:b w:val="0"/>
          <w:i w:val="0"/>
          <w:iCs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hAnsi="DejaVu Math TeX Gyre" w:eastAsia="宋体" w:cs="Times New Roman Italic"/>
          <w:i w:val="0"/>
          <w:iCs w:val="0"/>
          <w:position w:val="-28"/>
          <w:sz w:val="24"/>
          <w:szCs w:val="24"/>
          <w:highlight w:val="none"/>
          <w:lang w:val="en-US" w:eastAsia="zh-CN"/>
        </w:rPr>
        <w:object>
          <v:shape id="_x0000_i1066" o:spt="75" type="#_x0000_t75" style="height:33pt;width:182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KSEE3" ShapeID="_x0000_i1066" DrawAspect="Content" ObjectID="_1468075764" r:id="rId94">
            <o:LockedField>false</o:LockedField>
          </o:OLEObject>
        </w:object>
      </w:r>
    </w:p>
    <w:p w14:paraId="64DF505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  <w:t>F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 xml:space="preserve">.5 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合成标准不确定度计算</w:t>
      </w:r>
    </w:p>
    <w:p w14:paraId="51539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由于各影响量</w:t>
      </w:r>
      <w:r>
        <w:rPr>
          <w:rFonts w:hint="default" w:eastAsia="宋体" w:cs="Times New Roman"/>
          <w:sz w:val="24"/>
          <w:szCs w:val="24"/>
          <w:lang w:val="en-US" w:eastAsia="zh-CN"/>
        </w:rPr>
        <w:t>相互独立，</w:t>
      </w:r>
      <w:r>
        <w:rPr>
          <w:rFonts w:hint="eastAsia" w:cs="Times New Roman"/>
          <w:sz w:val="24"/>
          <w:szCs w:val="24"/>
          <w:lang w:val="en-US" w:eastAsia="zh-CN"/>
        </w:rPr>
        <w:t>则</w:t>
      </w:r>
      <w:r>
        <w:rPr>
          <w:rFonts w:hint="eastAsia" w:eastAsia="宋体" w:cs="Times New Roman"/>
          <w:sz w:val="24"/>
          <w:szCs w:val="24"/>
          <w:lang w:val="en-US" w:eastAsia="zh-CN"/>
        </w:rPr>
        <w:t>合成标准不确定度</w:t>
      </w:r>
      <w:r>
        <w:rPr>
          <w:rFonts w:hint="eastAsia" w:cs="Times New Roman"/>
          <w:sz w:val="24"/>
          <w:szCs w:val="24"/>
          <w:lang w:val="en-US" w:eastAsia="zh-CN"/>
        </w:rPr>
        <w:t>为</w:t>
      </w:r>
      <w:r>
        <w:rPr>
          <w:rFonts w:hint="default" w:cs="Times New Roman"/>
          <w:sz w:val="24"/>
          <w:szCs w:val="24"/>
          <w:lang w:val="en-US" w:eastAsia="zh-CN"/>
        </w:rPr>
        <w:t>:</w:t>
      </w:r>
    </w:p>
    <w:p w14:paraId="1288C7C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jc w:val="center"/>
        <w:textAlignment w:val="auto"/>
        <w:outlineLvl w:val="9"/>
        <w:rPr>
          <w:rFonts w:hint="default" w:eastAsia="宋体" w:cs="Times New Roman"/>
          <w:b w:val="0"/>
          <w:i/>
          <w:iCs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default" w:ascii="DejaVu Math TeX Gyre" w:hAnsi="DejaVu Math TeX Gyre" w:cs="Times New Roman"/>
          <w:i/>
          <w:iCs w:val="0"/>
          <w:position w:val="-14"/>
          <w:sz w:val="24"/>
          <w:szCs w:val="24"/>
          <w:highlight w:val="none"/>
          <w:lang w:val="en-US"/>
        </w:rPr>
        <w:object>
          <v:shape id="_x0000_i1067" o:spt="75" type="#_x0000_t75" style="height:23pt;width:346.25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067" DrawAspect="Content" ObjectID="_1468075765" r:id="rId96">
            <o:LockedField>false</o:LockedField>
          </o:OLEObject>
        </w:object>
      </w:r>
    </w:p>
    <w:p w14:paraId="0065EAA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  <w:t>F.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6</w:t>
      </w:r>
      <w:r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黑体" w:hAnsi="黑体" w:eastAsia="黑体" w:cs="黑体"/>
          <w:b w:val="0"/>
          <w:bCs/>
          <w:sz w:val="24"/>
          <w:szCs w:val="24"/>
        </w:rPr>
        <w:t>扩展不确定度计算</w:t>
      </w:r>
    </w:p>
    <w:p w14:paraId="7F60D888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取包含因子</w:t>
      </w:r>
      <w:r>
        <w:rPr>
          <w:rFonts w:hint="default" w:ascii="Times New Roman" w:hAnsi="Times New Roman" w:eastAsia="宋体" w:cs="Times New Roman"/>
          <w:i/>
          <w:color w:val="000000"/>
          <w:position w:val="-6"/>
          <w:sz w:val="24"/>
          <w:szCs w:val="24"/>
        </w:rPr>
        <w:object>
          <v:shape id="_x0000_i1068" o:spt="75" type="#_x0000_t75" style="height:13.95pt;width:29pt;" o:ole="t" filled="f" o:preferrelative="t" stroked="f" coordsize="21600,21600">
            <v:path/>
            <v:fill on="f" alignshape="1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3" ShapeID="_x0000_i1068" DrawAspect="Content" ObjectID="_1468075766" r:id="rId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扩展不确定度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为：</w:t>
      </w:r>
    </w:p>
    <w:p w14:paraId="75E5E2E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position w:val="-10"/>
          <w:sz w:val="24"/>
          <w:szCs w:val="24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k</w:t>
      </w:r>
      <w:r>
        <w:rPr>
          <w:rFonts w:hint="eastAsia" w:ascii="宋体" w:hAnsi="宋体" w:eastAsia="宋体" w:cs="宋体"/>
          <w:i w:val="0"/>
          <w:iCs w:val="0"/>
          <w:position w:val="-10"/>
          <w:sz w:val="24"/>
          <w:szCs w:val="24"/>
          <w:lang w:val="en-US" w:eastAsia="zh-CN"/>
        </w:rPr>
        <w:t>·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vertAlign w:val="subscript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vertAlign w:val="baseline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2</w:t>
      </w:r>
      <m:oMath>
        <m:r>
          <m:rPr>
            <m:sty m:val="p"/>
          </m:rPr>
          <w:rPr>
            <w:rFonts w:hint="eastAsia" w:ascii="Cambria Math" w:hAnsi="Cambria Math" w:eastAsia="宋体" w:cs="Times New Roman"/>
            <w:position w:val="-10"/>
            <w:sz w:val="24"/>
            <w:szCs w:val="24"/>
            <w:vertAlign w:val="baseline"/>
            <w:lang w:val="en-US" w:eastAsia="zh-CN"/>
          </w:rPr>
          <m:t>×</m:t>
        </m:r>
      </m:oMath>
      <w:r>
        <w:rPr>
          <w:rFonts w:hint="eastAsia" w:hAnsi="Cambria Math" w:eastAsia="宋体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2.9</w:t>
      </w:r>
      <w:r>
        <w:rPr>
          <w:rFonts w:hint="eastAsia" w:hAnsi="Cambria Math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2</w:t>
      </w:r>
      <w:r>
        <w:rPr>
          <w:rFonts w:hint="eastAsia" w:hAnsi="Cambria Math" w:eastAsia="宋体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%=5.8</w:t>
      </w:r>
      <w:r>
        <w:rPr>
          <w:rFonts w:hint="eastAsia" w:hAnsi="Cambria Math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4</w:t>
      </w:r>
      <w:r>
        <w:rPr>
          <w:rFonts w:hint="eastAsia" w:hAnsi="Cambria Math" w:eastAsia="宋体" w:cs="Times New Roman"/>
          <w:i w:val="0"/>
          <w:iCs w:val="0"/>
          <w:position w:val="-10"/>
          <w:sz w:val="24"/>
          <w:szCs w:val="24"/>
          <w:vertAlign w:val="baseline"/>
          <w:lang w:val="en-US" w:eastAsia="zh-CN"/>
        </w:rPr>
        <w:t>%</w:t>
      </w:r>
      <w:r>
        <w:rPr>
          <w:rFonts w:hint="eastAsia" w:ascii="Times New Roman" w:hAnsi="Times New Roman" w:eastAsia="宋体" w:cs="Times New Roman"/>
          <w:color w:val="000000"/>
          <w:position w:val="-12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 (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=2)</w:t>
      </w:r>
    </w:p>
    <w:p w14:paraId="0131826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000000"/>
          <w:position w:val="-12"/>
          <w:sz w:val="24"/>
          <w:szCs w:val="24"/>
          <w:lang w:val="en-US" w:eastAsia="zh-CN"/>
        </w:rPr>
      </w:pPr>
    </w:p>
    <w:p w14:paraId="059448F4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position w:val="-1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position w:val="-12"/>
          <w:sz w:val="24"/>
          <w:szCs w:val="24"/>
          <w:lang w:val="en-US" w:eastAsia="zh-CN"/>
        </w:rPr>
        <w:t>—————————</w:t>
      </w:r>
    </w:p>
    <w:sectPr>
      <w:footerReference r:id="rId15" w:type="default"/>
      <w:pgSz w:w="11907" w:h="16839"/>
      <w:pgMar w:top="1418" w:right="1249" w:bottom="1134" w:left="1418" w:header="1021" w:footer="73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Franklin Gothic Medium">
    <w:altName w:val="苹方-简"/>
    <w:panose1 w:val="020B0603020102020204"/>
    <w:charset w:val="00"/>
    <w:family w:val="swiss"/>
    <w:pitch w:val="default"/>
    <w:sig w:usb0="00000000" w:usb1="00000000" w:usb2="00000000" w:usb3="00000000" w:csb0="2000009F" w:csb1="DFD70000"/>
  </w:font>
  <w:font w:name="Cambria Math">
    <w:altName w:val="Kingsoft Math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E-BZ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87A80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C243D">
    <w:pPr>
      <w:pStyle w:val="79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8E3A0"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EAB6D">
    <w:pPr>
      <w:pStyle w:val="13"/>
      <w:ind w:right="360"/>
      <w:rPr>
        <w:rStyle w:val="2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D503F">
    <w:pPr>
      <w:pStyle w:val="13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II</w:t>
    </w:r>
    <w:r>
      <w:fldChar w:fldCharType="end"/>
    </w:r>
  </w:p>
  <w:p w14:paraId="7BD07321">
    <w:pPr>
      <w:pStyle w:val="79"/>
      <w:ind w:right="360"/>
      <w:rPr>
        <w:rStyle w:val="27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5B1C5">
    <w:pPr>
      <w:pStyle w:val="70"/>
      <w:jc w:val="both"/>
      <w:rPr>
        <w:rStyle w:val="27"/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E1D69DE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In3a/TAAAABQEA&#10;AA8AAAAAAAAAAQAgAAAAIgAAAGRycy9kb3ducmV2LnhtbFBLAQIUABQAAAAIAIdO4kDeYT085gEA&#10;AMoDAAAOAAAAAAAAAAEAIAAAACIBAABkcnMvZTJvRG9jLnhtbFBLBQYAAAAABgAGAFkBAAB6BQAA&#10;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4E1D69DE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3093720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277173B8"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6" o:spid="_x0000_s1026" o:spt="202" type="#_x0000_t202" style="position:absolute;left:0pt;margin-left:243.6pt;margin-top:0pt;height:144pt;width:144pt;mso-position-horizontal-relative:margin;mso-wrap-style:none;z-index:251662336;mso-width-relative:page;mso-height-relative:page;" filled="f" stroked="f" coordsize="21600,21600" o:gfxdata="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+BatX1wAA&#10;AAgBAAAPAAAAAAAAAAEAIAAAACIAAABkcnMvZG93bnJldi54bWxQSwECFAAUAAAACACHTuJA90ak&#10;7uYBAADKAwAADgAAAAAAAAABACAAAAAmAQAAZHJzL2Uyb0RvYy54bWxQSwUGAAAAAAYABgBZAQAA&#10;fg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277173B8"/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198FA">
    <w:pPr>
      <w:pStyle w:val="70"/>
      <w:jc w:val="both"/>
      <w:rPr>
        <w:rStyle w:val="27"/>
        <w:rFonts w:hint="eastAsia"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65F55229">
                          <w:pPr>
                            <w:pStyle w:val="13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ifdr9MAAAAFAQAA&#10;DwAAAAAAAAABACAAAAAiAAAAZHJzL2Rvd25yZXYueG1sUEsBAhQAFAAAAAgAh07iQPRMzy3lAQAA&#10;ygMAAA4AAAAAAAAAAQAgAAAAIgEAAGRycy9lMm9Eb2MueG1sUEsFBgAAAAAGAAYAWQEAAHkFAAAA&#10;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65F55229">
                    <w:pPr>
                      <w:pStyle w:val="13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0C706">
    <w:pPr>
      <w:pStyle w:val="88"/>
    </w:pPr>
    <w:r>
      <w:t>JB/T 4278.1—××××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903C0">
    <w:pPr>
      <w:pStyle w:val="87"/>
    </w:pPr>
    <w:r>
      <w:t>JB/T 4278.1—××××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175D2">
    <w:pPr>
      <w:pStyle w:val="60"/>
    </w:pP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D6D5">
    <w:pPr>
      <w:pStyle w:val="88"/>
      <w:jc w:val="center"/>
      <w:rPr>
        <w:rFonts w:hint="default" w:ascii="黑体" w:eastAsia="黑体"/>
        <w:b/>
        <w:bCs/>
        <w:color w:val="000000"/>
        <w:szCs w:val="21"/>
        <w:lang w:val="en-US" w:eastAsia="zh-CN"/>
      </w:rPr>
    </w:pPr>
    <w:r>
      <w:rPr>
        <w:rFonts w:hint="eastAsia" w:ascii="黑体" w:eastAsia="黑体"/>
        <w:b/>
        <w:bCs/>
        <w:color w:val="000000"/>
        <w:szCs w:val="21"/>
      </w:rPr>
      <w:t>JJF（有色金属）XXXX-20</w:t>
    </w:r>
    <w:r>
      <w:rPr>
        <w:rFonts w:hint="eastAsia" w:ascii="黑体" w:eastAsia="黑体"/>
        <w:b/>
        <w:bCs/>
        <w:color w:val="000000"/>
        <w:szCs w:val="21"/>
        <w:lang w:val="en-US" w:eastAsia="zh-CN"/>
      </w:rPr>
      <w:t>XX</w:t>
    </w:r>
  </w:p>
  <w:p w14:paraId="6595FD08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6350" r="0" b="6350"/>
              <wp:wrapNone/>
              <wp:docPr id="3" name="直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8" o:spid="_x0000_s1026" o:spt="20" style="position:absolute;left:0pt;margin-left:0pt;margin-top:0.05pt;height:0pt;width:468pt;z-index:251672576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LUWVbRAAAAAgEA&#10;AA8AAAAAAAAAAQAgAAAAIgAAAGRycy9kb3ducmV2LnhtbFBLAQIUABQAAAAIAIdO4kBnG+V76AEA&#10;ANwDAAAOAAAAAAAAAAEAIAAAACA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4530">
    <w:pPr>
      <w:pStyle w:val="88"/>
      <w:jc w:val="center"/>
    </w:pPr>
    <w:r>
      <w:t>J</w:t>
    </w:r>
    <w:r>
      <w:rPr>
        <w:rFonts w:hint="eastAsia"/>
      </w:rPr>
      <w:t>JF</w:t>
    </w:r>
    <w:r>
      <w:t xml:space="preserve"> ××××—××××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5A372">
    <w:pPr>
      <w:pStyle w:val="88"/>
      <w:jc w:val="center"/>
      <w:rPr>
        <w:rFonts w:hint="default" w:ascii="黑体" w:eastAsia="黑体"/>
        <w:b w:val="0"/>
        <w:bCs w:val="0"/>
        <w:color w:val="000000"/>
        <w:szCs w:val="21"/>
        <w:lang w:val="en-US" w:eastAsia="zh-CN"/>
      </w:rPr>
    </w:pPr>
    <w:r>
      <w:rPr>
        <w:rFonts w:hint="eastAsia" w:ascii="黑体" w:eastAsia="黑体"/>
        <w:b w:val="0"/>
        <w:bCs w:val="0"/>
        <w:color w:val="000000"/>
        <w:szCs w:val="21"/>
      </w:rPr>
      <w:t>JJF（有色金属）XXXX-20</w:t>
    </w:r>
    <w:r>
      <w:rPr>
        <w:rFonts w:hint="eastAsia" w:ascii="黑体" w:eastAsia="黑体"/>
        <w:b w:val="0"/>
        <w:bCs w:val="0"/>
        <w:color w:val="000000"/>
        <w:szCs w:val="21"/>
        <w:lang w:val="en-US" w:eastAsia="zh-CN"/>
      </w:rPr>
      <w:t>XX</w:t>
    </w:r>
  </w:p>
  <w:p w14:paraId="64BC94CA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867400" cy="635"/>
              <wp:effectExtent l="0" t="0" r="0" b="0"/>
              <wp:wrapNone/>
              <wp:docPr id="27" name="直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635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" o:spid="_x0000_s1026" o:spt="20" style="position:absolute;left:0pt;margin-left:0pt;margin-top:0.05pt;height:0.05pt;width:462pt;z-index:251660288;mso-width-relative:page;mso-height-relative:page;" filled="f" stroked="t" coordsize="21600,21600" o:gfxdata="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QLJjtIAAAAC&#10;AQAADwAAAAAAAAABACAAAAAiAAAAZHJzL2Rvd25yZXYueG1sUEsBAhQAFAAAAAgAh07iQJ5vV4Hp&#10;AQAA4AMAAA4AAAAAAAAAAQAgAAAAIQEAAGRycy9lMm9Eb2MueG1sUEsFBgAAAAAGAAYAWQEAAHwF&#10;AAAA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CFB89"/>
    <w:multiLevelType w:val="singleLevel"/>
    <w:tmpl w:val="FD7CFB89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8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8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pStyle w:val="78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99"/>
      <w:suff w:val="nothing"/>
      <w:lvlText w:val="%1%2　"/>
      <w:lvlJc w:val="left"/>
      <w:pPr>
        <w:ind w:left="270" w:hanging="27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pStyle w:val="98"/>
      <w:suff w:val="nothing"/>
      <w:lvlText w:val="%1%2.%3　"/>
      <w:lvlJc w:val="left"/>
      <w:pPr>
        <w:ind w:left="1418" w:firstLine="0"/>
      </w:pPr>
      <w:rPr>
        <w:rFonts w:hint="eastAsia" w:ascii="宋体" w:hAnsi="宋体" w:eastAsia="宋体"/>
        <w:b w:val="0"/>
        <w:i w:val="0"/>
        <w:color w:val="000000"/>
        <w:sz w:val="24"/>
        <w:szCs w:val="24"/>
      </w:rPr>
    </w:lvl>
    <w:lvl w:ilvl="3" w:tentative="0">
      <w:start w:val="1"/>
      <w:numFmt w:val="decimal"/>
      <w:pStyle w:val="54"/>
      <w:suff w:val="nothing"/>
      <w:lvlText w:val="%1%2.%3.%4　"/>
      <w:lvlJc w:val="left"/>
      <w:pPr>
        <w:ind w:left="1084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4" w:tentative="0">
      <w:start w:val="1"/>
      <w:numFmt w:val="decimal"/>
      <w:pStyle w:val="53"/>
      <w:suff w:val="nothing"/>
      <w:lvlText w:val="%1%2.%3.%4.%5　"/>
      <w:lvlJc w:val="left"/>
      <w:pPr>
        <w:ind w:left="0" w:firstLine="0"/>
      </w:pPr>
      <w:rPr>
        <w:rFonts w:hint="eastAsia" w:ascii="黑体"/>
        <w:b w:val="0"/>
        <w:i w:val="0"/>
        <w:sz w:val="21"/>
      </w:rPr>
    </w:lvl>
    <w:lvl w:ilvl="5" w:tentative="0">
      <w:start w:val="1"/>
      <w:numFmt w:val="decimal"/>
      <w:pStyle w:val="5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51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320"/>
  <w:hyphenationZone w:val="36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172A27"/>
    <w:rsid w:val="00002B4F"/>
    <w:rsid w:val="00003BE5"/>
    <w:rsid w:val="0000454F"/>
    <w:rsid w:val="00006EA1"/>
    <w:rsid w:val="00013671"/>
    <w:rsid w:val="00015FB7"/>
    <w:rsid w:val="000229D0"/>
    <w:rsid w:val="000243DA"/>
    <w:rsid w:val="0002555F"/>
    <w:rsid w:val="00027BBC"/>
    <w:rsid w:val="000324B9"/>
    <w:rsid w:val="00032BE7"/>
    <w:rsid w:val="00033A98"/>
    <w:rsid w:val="0003508D"/>
    <w:rsid w:val="00035BB8"/>
    <w:rsid w:val="00035DA0"/>
    <w:rsid w:val="00041E9A"/>
    <w:rsid w:val="000440D0"/>
    <w:rsid w:val="0004696E"/>
    <w:rsid w:val="00047FCE"/>
    <w:rsid w:val="00050573"/>
    <w:rsid w:val="00051730"/>
    <w:rsid w:val="00052A1E"/>
    <w:rsid w:val="0005597D"/>
    <w:rsid w:val="00060121"/>
    <w:rsid w:val="00061046"/>
    <w:rsid w:val="000635AA"/>
    <w:rsid w:val="0006638E"/>
    <w:rsid w:val="00070ACA"/>
    <w:rsid w:val="000713CB"/>
    <w:rsid w:val="0007299A"/>
    <w:rsid w:val="00074700"/>
    <w:rsid w:val="00080051"/>
    <w:rsid w:val="000804B6"/>
    <w:rsid w:val="0008434B"/>
    <w:rsid w:val="00084AF0"/>
    <w:rsid w:val="00086130"/>
    <w:rsid w:val="000945F0"/>
    <w:rsid w:val="0009785B"/>
    <w:rsid w:val="000A3760"/>
    <w:rsid w:val="000A4256"/>
    <w:rsid w:val="000A427E"/>
    <w:rsid w:val="000A4DA3"/>
    <w:rsid w:val="000A5506"/>
    <w:rsid w:val="000A6257"/>
    <w:rsid w:val="000B1F19"/>
    <w:rsid w:val="000B2F4C"/>
    <w:rsid w:val="000C0F00"/>
    <w:rsid w:val="000C1730"/>
    <w:rsid w:val="000C1BE7"/>
    <w:rsid w:val="000C3107"/>
    <w:rsid w:val="000C43F0"/>
    <w:rsid w:val="000D0552"/>
    <w:rsid w:val="000D4BE2"/>
    <w:rsid w:val="000D71BF"/>
    <w:rsid w:val="000D736F"/>
    <w:rsid w:val="000D7B3F"/>
    <w:rsid w:val="000D7F6C"/>
    <w:rsid w:val="000E22AB"/>
    <w:rsid w:val="000E24D6"/>
    <w:rsid w:val="000E3E57"/>
    <w:rsid w:val="000E4800"/>
    <w:rsid w:val="000E4A41"/>
    <w:rsid w:val="000E4AA0"/>
    <w:rsid w:val="000E7CBB"/>
    <w:rsid w:val="000F2BA9"/>
    <w:rsid w:val="000F3869"/>
    <w:rsid w:val="000F38DA"/>
    <w:rsid w:val="000F40CE"/>
    <w:rsid w:val="000F6072"/>
    <w:rsid w:val="0010233B"/>
    <w:rsid w:val="00104881"/>
    <w:rsid w:val="00107DEC"/>
    <w:rsid w:val="001112E4"/>
    <w:rsid w:val="00112373"/>
    <w:rsid w:val="00116841"/>
    <w:rsid w:val="0012108E"/>
    <w:rsid w:val="00123996"/>
    <w:rsid w:val="00123FE8"/>
    <w:rsid w:val="00126B52"/>
    <w:rsid w:val="00126D02"/>
    <w:rsid w:val="0012749F"/>
    <w:rsid w:val="0012787F"/>
    <w:rsid w:val="00131A6D"/>
    <w:rsid w:val="00131FC3"/>
    <w:rsid w:val="001336B4"/>
    <w:rsid w:val="00134BA1"/>
    <w:rsid w:val="00141FF8"/>
    <w:rsid w:val="0014220D"/>
    <w:rsid w:val="00144ED3"/>
    <w:rsid w:val="00145631"/>
    <w:rsid w:val="0014613D"/>
    <w:rsid w:val="001507B0"/>
    <w:rsid w:val="00153045"/>
    <w:rsid w:val="00156084"/>
    <w:rsid w:val="001561E2"/>
    <w:rsid w:val="00160B60"/>
    <w:rsid w:val="00163812"/>
    <w:rsid w:val="001650C2"/>
    <w:rsid w:val="001731B8"/>
    <w:rsid w:val="00174006"/>
    <w:rsid w:val="00174716"/>
    <w:rsid w:val="0017490B"/>
    <w:rsid w:val="001776F7"/>
    <w:rsid w:val="00180ED2"/>
    <w:rsid w:val="001810E8"/>
    <w:rsid w:val="001838C7"/>
    <w:rsid w:val="00185AC9"/>
    <w:rsid w:val="0018612C"/>
    <w:rsid w:val="00191D95"/>
    <w:rsid w:val="00196A1F"/>
    <w:rsid w:val="001A0175"/>
    <w:rsid w:val="001A1458"/>
    <w:rsid w:val="001A1710"/>
    <w:rsid w:val="001A3AAE"/>
    <w:rsid w:val="001A44C6"/>
    <w:rsid w:val="001A53C8"/>
    <w:rsid w:val="001A56D3"/>
    <w:rsid w:val="001A5B97"/>
    <w:rsid w:val="001A752F"/>
    <w:rsid w:val="001B08AE"/>
    <w:rsid w:val="001B3136"/>
    <w:rsid w:val="001B6D25"/>
    <w:rsid w:val="001B70B2"/>
    <w:rsid w:val="001C141C"/>
    <w:rsid w:val="001C169C"/>
    <w:rsid w:val="001C2BD4"/>
    <w:rsid w:val="001C5703"/>
    <w:rsid w:val="001C75B8"/>
    <w:rsid w:val="001D15E4"/>
    <w:rsid w:val="001D1F51"/>
    <w:rsid w:val="001D54BD"/>
    <w:rsid w:val="001D637A"/>
    <w:rsid w:val="001D734A"/>
    <w:rsid w:val="001E1A84"/>
    <w:rsid w:val="001E20C7"/>
    <w:rsid w:val="001E2EB0"/>
    <w:rsid w:val="001E354B"/>
    <w:rsid w:val="001E3F78"/>
    <w:rsid w:val="001E4FD2"/>
    <w:rsid w:val="001E55B0"/>
    <w:rsid w:val="001E56BB"/>
    <w:rsid w:val="001E6680"/>
    <w:rsid w:val="001E6AB3"/>
    <w:rsid w:val="001E6D6C"/>
    <w:rsid w:val="001F2695"/>
    <w:rsid w:val="001F36BD"/>
    <w:rsid w:val="001F4365"/>
    <w:rsid w:val="001F5920"/>
    <w:rsid w:val="001F72DF"/>
    <w:rsid w:val="00200482"/>
    <w:rsid w:val="00200F26"/>
    <w:rsid w:val="0020238B"/>
    <w:rsid w:val="00203360"/>
    <w:rsid w:val="00204609"/>
    <w:rsid w:val="0020493B"/>
    <w:rsid w:val="00207B7A"/>
    <w:rsid w:val="00210C00"/>
    <w:rsid w:val="0021147E"/>
    <w:rsid w:val="00211522"/>
    <w:rsid w:val="0021199B"/>
    <w:rsid w:val="00213408"/>
    <w:rsid w:val="00217175"/>
    <w:rsid w:val="002208FD"/>
    <w:rsid w:val="00223AD8"/>
    <w:rsid w:val="00223F7D"/>
    <w:rsid w:val="00224680"/>
    <w:rsid w:val="00224C1A"/>
    <w:rsid w:val="00226B25"/>
    <w:rsid w:val="00231AEF"/>
    <w:rsid w:val="0023502D"/>
    <w:rsid w:val="00235948"/>
    <w:rsid w:val="00235E24"/>
    <w:rsid w:val="00236AAD"/>
    <w:rsid w:val="0023799B"/>
    <w:rsid w:val="00243A7A"/>
    <w:rsid w:val="002476A0"/>
    <w:rsid w:val="00247CE8"/>
    <w:rsid w:val="00250684"/>
    <w:rsid w:val="00252313"/>
    <w:rsid w:val="00254F88"/>
    <w:rsid w:val="00255763"/>
    <w:rsid w:val="00256140"/>
    <w:rsid w:val="00256F41"/>
    <w:rsid w:val="00257E87"/>
    <w:rsid w:val="00261E65"/>
    <w:rsid w:val="00264D82"/>
    <w:rsid w:val="00265F54"/>
    <w:rsid w:val="00270FF7"/>
    <w:rsid w:val="00276346"/>
    <w:rsid w:val="00276BDF"/>
    <w:rsid w:val="00280202"/>
    <w:rsid w:val="00281C85"/>
    <w:rsid w:val="00283BD5"/>
    <w:rsid w:val="0028606E"/>
    <w:rsid w:val="00287823"/>
    <w:rsid w:val="00291245"/>
    <w:rsid w:val="00292158"/>
    <w:rsid w:val="002954F4"/>
    <w:rsid w:val="00296DDC"/>
    <w:rsid w:val="00297007"/>
    <w:rsid w:val="002975C6"/>
    <w:rsid w:val="002A0A96"/>
    <w:rsid w:val="002A1A10"/>
    <w:rsid w:val="002A4DED"/>
    <w:rsid w:val="002A551B"/>
    <w:rsid w:val="002A5A8B"/>
    <w:rsid w:val="002A7856"/>
    <w:rsid w:val="002B2E27"/>
    <w:rsid w:val="002B42E9"/>
    <w:rsid w:val="002B4741"/>
    <w:rsid w:val="002B51BD"/>
    <w:rsid w:val="002B6FAE"/>
    <w:rsid w:val="002B74EB"/>
    <w:rsid w:val="002B7933"/>
    <w:rsid w:val="002B7A95"/>
    <w:rsid w:val="002C3B18"/>
    <w:rsid w:val="002C4319"/>
    <w:rsid w:val="002C6457"/>
    <w:rsid w:val="002C7288"/>
    <w:rsid w:val="002C7743"/>
    <w:rsid w:val="002D0303"/>
    <w:rsid w:val="002D05D7"/>
    <w:rsid w:val="002D3AB7"/>
    <w:rsid w:val="002D6B04"/>
    <w:rsid w:val="002E435A"/>
    <w:rsid w:val="002E67DD"/>
    <w:rsid w:val="002F1E73"/>
    <w:rsid w:val="002F2A05"/>
    <w:rsid w:val="002F5104"/>
    <w:rsid w:val="00300578"/>
    <w:rsid w:val="0030096F"/>
    <w:rsid w:val="00300DE7"/>
    <w:rsid w:val="00304483"/>
    <w:rsid w:val="00304888"/>
    <w:rsid w:val="003071EE"/>
    <w:rsid w:val="0031039B"/>
    <w:rsid w:val="00311BB2"/>
    <w:rsid w:val="00311F9C"/>
    <w:rsid w:val="00312E6B"/>
    <w:rsid w:val="00314060"/>
    <w:rsid w:val="0031759F"/>
    <w:rsid w:val="00321D85"/>
    <w:rsid w:val="00321DF1"/>
    <w:rsid w:val="00323376"/>
    <w:rsid w:val="00324338"/>
    <w:rsid w:val="0032590F"/>
    <w:rsid w:val="00326690"/>
    <w:rsid w:val="00327461"/>
    <w:rsid w:val="00330B7E"/>
    <w:rsid w:val="003346E2"/>
    <w:rsid w:val="0033783E"/>
    <w:rsid w:val="0034691A"/>
    <w:rsid w:val="003478AC"/>
    <w:rsid w:val="00347CC5"/>
    <w:rsid w:val="0035075D"/>
    <w:rsid w:val="00350E14"/>
    <w:rsid w:val="00351D3C"/>
    <w:rsid w:val="0035355F"/>
    <w:rsid w:val="00354D7A"/>
    <w:rsid w:val="003572B8"/>
    <w:rsid w:val="00362DFB"/>
    <w:rsid w:val="003641BD"/>
    <w:rsid w:val="00366CD1"/>
    <w:rsid w:val="00367813"/>
    <w:rsid w:val="00370E7E"/>
    <w:rsid w:val="00372D02"/>
    <w:rsid w:val="003737D3"/>
    <w:rsid w:val="00382041"/>
    <w:rsid w:val="00382068"/>
    <w:rsid w:val="00382421"/>
    <w:rsid w:val="00382ACE"/>
    <w:rsid w:val="00383961"/>
    <w:rsid w:val="00383A8F"/>
    <w:rsid w:val="00383AC5"/>
    <w:rsid w:val="0038622E"/>
    <w:rsid w:val="003866E5"/>
    <w:rsid w:val="0039033B"/>
    <w:rsid w:val="003919D1"/>
    <w:rsid w:val="00391A6A"/>
    <w:rsid w:val="00395E6F"/>
    <w:rsid w:val="003A151C"/>
    <w:rsid w:val="003A6FF4"/>
    <w:rsid w:val="003B3013"/>
    <w:rsid w:val="003B41BF"/>
    <w:rsid w:val="003C02EB"/>
    <w:rsid w:val="003C3320"/>
    <w:rsid w:val="003C565B"/>
    <w:rsid w:val="003E1A3C"/>
    <w:rsid w:val="003E4A5F"/>
    <w:rsid w:val="003E609B"/>
    <w:rsid w:val="003F10DE"/>
    <w:rsid w:val="003F1238"/>
    <w:rsid w:val="003F21CC"/>
    <w:rsid w:val="003F621C"/>
    <w:rsid w:val="003F7000"/>
    <w:rsid w:val="004021D0"/>
    <w:rsid w:val="00405AEE"/>
    <w:rsid w:val="00407D33"/>
    <w:rsid w:val="00410301"/>
    <w:rsid w:val="00411C06"/>
    <w:rsid w:val="0041241B"/>
    <w:rsid w:val="00427482"/>
    <w:rsid w:val="004278E4"/>
    <w:rsid w:val="00430F63"/>
    <w:rsid w:val="00434FC1"/>
    <w:rsid w:val="004355BF"/>
    <w:rsid w:val="00436D71"/>
    <w:rsid w:val="004375D6"/>
    <w:rsid w:val="0044135C"/>
    <w:rsid w:val="00443040"/>
    <w:rsid w:val="00444240"/>
    <w:rsid w:val="0044700E"/>
    <w:rsid w:val="00450457"/>
    <w:rsid w:val="00451E0C"/>
    <w:rsid w:val="00455452"/>
    <w:rsid w:val="004557AC"/>
    <w:rsid w:val="00455E20"/>
    <w:rsid w:val="00457185"/>
    <w:rsid w:val="0045730B"/>
    <w:rsid w:val="00460DCB"/>
    <w:rsid w:val="00466D50"/>
    <w:rsid w:val="00467A15"/>
    <w:rsid w:val="00467EC1"/>
    <w:rsid w:val="00472B9D"/>
    <w:rsid w:val="00476A32"/>
    <w:rsid w:val="00476B83"/>
    <w:rsid w:val="00476DD5"/>
    <w:rsid w:val="00480B38"/>
    <w:rsid w:val="00481EAD"/>
    <w:rsid w:val="004821B5"/>
    <w:rsid w:val="00482790"/>
    <w:rsid w:val="00487F93"/>
    <w:rsid w:val="004906EA"/>
    <w:rsid w:val="00494177"/>
    <w:rsid w:val="00494C07"/>
    <w:rsid w:val="004966D0"/>
    <w:rsid w:val="0049696E"/>
    <w:rsid w:val="004975B6"/>
    <w:rsid w:val="004A4984"/>
    <w:rsid w:val="004A57A5"/>
    <w:rsid w:val="004A6C2F"/>
    <w:rsid w:val="004B3762"/>
    <w:rsid w:val="004B4B1F"/>
    <w:rsid w:val="004B5215"/>
    <w:rsid w:val="004B6B2E"/>
    <w:rsid w:val="004C1D86"/>
    <w:rsid w:val="004C5874"/>
    <w:rsid w:val="004C5B1F"/>
    <w:rsid w:val="004C61EE"/>
    <w:rsid w:val="004D0CDD"/>
    <w:rsid w:val="004D1B0E"/>
    <w:rsid w:val="004E1885"/>
    <w:rsid w:val="004E3F08"/>
    <w:rsid w:val="004E4618"/>
    <w:rsid w:val="004E4DAB"/>
    <w:rsid w:val="004E563F"/>
    <w:rsid w:val="004E5A85"/>
    <w:rsid w:val="004F0679"/>
    <w:rsid w:val="004F49EA"/>
    <w:rsid w:val="004F60BF"/>
    <w:rsid w:val="004F72B7"/>
    <w:rsid w:val="004F783F"/>
    <w:rsid w:val="004F7D3A"/>
    <w:rsid w:val="005000A1"/>
    <w:rsid w:val="0050399B"/>
    <w:rsid w:val="0050681E"/>
    <w:rsid w:val="005070B9"/>
    <w:rsid w:val="00511ABE"/>
    <w:rsid w:val="005159F6"/>
    <w:rsid w:val="00517F62"/>
    <w:rsid w:val="0052101A"/>
    <w:rsid w:val="00521BDD"/>
    <w:rsid w:val="00522E87"/>
    <w:rsid w:val="005309D8"/>
    <w:rsid w:val="0053217D"/>
    <w:rsid w:val="0054343E"/>
    <w:rsid w:val="005455BA"/>
    <w:rsid w:val="005458A3"/>
    <w:rsid w:val="00547137"/>
    <w:rsid w:val="005504A5"/>
    <w:rsid w:val="00550D0E"/>
    <w:rsid w:val="00550D14"/>
    <w:rsid w:val="00552738"/>
    <w:rsid w:val="0055539D"/>
    <w:rsid w:val="00555857"/>
    <w:rsid w:val="00555A3E"/>
    <w:rsid w:val="005565BC"/>
    <w:rsid w:val="00560309"/>
    <w:rsid w:val="005624AC"/>
    <w:rsid w:val="00563547"/>
    <w:rsid w:val="00564845"/>
    <w:rsid w:val="00567558"/>
    <w:rsid w:val="00571BAE"/>
    <w:rsid w:val="00571E42"/>
    <w:rsid w:val="00575511"/>
    <w:rsid w:val="005810BB"/>
    <w:rsid w:val="00581E46"/>
    <w:rsid w:val="005829B0"/>
    <w:rsid w:val="00582A70"/>
    <w:rsid w:val="005845A7"/>
    <w:rsid w:val="00585822"/>
    <w:rsid w:val="005859B4"/>
    <w:rsid w:val="00586043"/>
    <w:rsid w:val="00587547"/>
    <w:rsid w:val="00591449"/>
    <w:rsid w:val="00593C50"/>
    <w:rsid w:val="005947C8"/>
    <w:rsid w:val="00597AF9"/>
    <w:rsid w:val="00597FC9"/>
    <w:rsid w:val="005A16B9"/>
    <w:rsid w:val="005A30CB"/>
    <w:rsid w:val="005A3AB9"/>
    <w:rsid w:val="005A4A03"/>
    <w:rsid w:val="005A50D7"/>
    <w:rsid w:val="005B32D2"/>
    <w:rsid w:val="005B7B6C"/>
    <w:rsid w:val="005C0928"/>
    <w:rsid w:val="005C4B26"/>
    <w:rsid w:val="005C61A2"/>
    <w:rsid w:val="005C620C"/>
    <w:rsid w:val="005C7366"/>
    <w:rsid w:val="005D14FF"/>
    <w:rsid w:val="005D163C"/>
    <w:rsid w:val="005D2A8E"/>
    <w:rsid w:val="005D602D"/>
    <w:rsid w:val="005E3E64"/>
    <w:rsid w:val="005F340F"/>
    <w:rsid w:val="005F488C"/>
    <w:rsid w:val="005F5D60"/>
    <w:rsid w:val="005F6D8D"/>
    <w:rsid w:val="00601A0C"/>
    <w:rsid w:val="00603F40"/>
    <w:rsid w:val="006045D9"/>
    <w:rsid w:val="006067E5"/>
    <w:rsid w:val="00607097"/>
    <w:rsid w:val="00610483"/>
    <w:rsid w:val="0061068C"/>
    <w:rsid w:val="006109CD"/>
    <w:rsid w:val="00612EE1"/>
    <w:rsid w:val="006150DE"/>
    <w:rsid w:val="00615949"/>
    <w:rsid w:val="006166CA"/>
    <w:rsid w:val="006167C8"/>
    <w:rsid w:val="00616CB2"/>
    <w:rsid w:val="00621972"/>
    <w:rsid w:val="00621EF9"/>
    <w:rsid w:val="00623455"/>
    <w:rsid w:val="00627BA2"/>
    <w:rsid w:val="00634514"/>
    <w:rsid w:val="00634784"/>
    <w:rsid w:val="00634B6E"/>
    <w:rsid w:val="00636247"/>
    <w:rsid w:val="00640F58"/>
    <w:rsid w:val="00641035"/>
    <w:rsid w:val="0064735F"/>
    <w:rsid w:val="006507F0"/>
    <w:rsid w:val="00653A57"/>
    <w:rsid w:val="00655769"/>
    <w:rsid w:val="00655A58"/>
    <w:rsid w:val="00656C35"/>
    <w:rsid w:val="00657830"/>
    <w:rsid w:val="00660991"/>
    <w:rsid w:val="00662BA9"/>
    <w:rsid w:val="0066708C"/>
    <w:rsid w:val="00667188"/>
    <w:rsid w:val="00673077"/>
    <w:rsid w:val="00674BB4"/>
    <w:rsid w:val="00674E5A"/>
    <w:rsid w:val="00675383"/>
    <w:rsid w:val="00676A8F"/>
    <w:rsid w:val="006803D2"/>
    <w:rsid w:val="006832BA"/>
    <w:rsid w:val="0068339E"/>
    <w:rsid w:val="00683A25"/>
    <w:rsid w:val="00683DEA"/>
    <w:rsid w:val="00684C9C"/>
    <w:rsid w:val="00684E96"/>
    <w:rsid w:val="006855E9"/>
    <w:rsid w:val="00687642"/>
    <w:rsid w:val="00687B11"/>
    <w:rsid w:val="00687CE5"/>
    <w:rsid w:val="00693915"/>
    <w:rsid w:val="00693EE5"/>
    <w:rsid w:val="00694BE1"/>
    <w:rsid w:val="00696F45"/>
    <w:rsid w:val="006A1874"/>
    <w:rsid w:val="006A28BC"/>
    <w:rsid w:val="006A4993"/>
    <w:rsid w:val="006A5D08"/>
    <w:rsid w:val="006A6675"/>
    <w:rsid w:val="006B48A1"/>
    <w:rsid w:val="006B50B7"/>
    <w:rsid w:val="006B5796"/>
    <w:rsid w:val="006B72F2"/>
    <w:rsid w:val="006B7864"/>
    <w:rsid w:val="006B78C5"/>
    <w:rsid w:val="006B7908"/>
    <w:rsid w:val="006C10F0"/>
    <w:rsid w:val="006C130B"/>
    <w:rsid w:val="006C1472"/>
    <w:rsid w:val="006C4D08"/>
    <w:rsid w:val="006C7C3F"/>
    <w:rsid w:val="006D06F9"/>
    <w:rsid w:val="006D0EC1"/>
    <w:rsid w:val="006D7582"/>
    <w:rsid w:val="006E13FB"/>
    <w:rsid w:val="006E2464"/>
    <w:rsid w:val="006E5AF6"/>
    <w:rsid w:val="006F32CB"/>
    <w:rsid w:val="006F4F44"/>
    <w:rsid w:val="007001AB"/>
    <w:rsid w:val="007011CF"/>
    <w:rsid w:val="00701BB1"/>
    <w:rsid w:val="00705919"/>
    <w:rsid w:val="007077F7"/>
    <w:rsid w:val="00707E2E"/>
    <w:rsid w:val="00714F9C"/>
    <w:rsid w:val="007203CF"/>
    <w:rsid w:val="00721FA6"/>
    <w:rsid w:val="00725F97"/>
    <w:rsid w:val="00730198"/>
    <w:rsid w:val="00732820"/>
    <w:rsid w:val="0073797C"/>
    <w:rsid w:val="00737D12"/>
    <w:rsid w:val="0074010A"/>
    <w:rsid w:val="007428C1"/>
    <w:rsid w:val="00747DAF"/>
    <w:rsid w:val="00747FF0"/>
    <w:rsid w:val="00751A66"/>
    <w:rsid w:val="00752104"/>
    <w:rsid w:val="007556F6"/>
    <w:rsid w:val="0075710A"/>
    <w:rsid w:val="00764100"/>
    <w:rsid w:val="007648FF"/>
    <w:rsid w:val="00766D0E"/>
    <w:rsid w:val="00767416"/>
    <w:rsid w:val="00772C90"/>
    <w:rsid w:val="007741E9"/>
    <w:rsid w:val="0077545F"/>
    <w:rsid w:val="007770CC"/>
    <w:rsid w:val="00781D8F"/>
    <w:rsid w:val="00782EBF"/>
    <w:rsid w:val="00796458"/>
    <w:rsid w:val="007A0175"/>
    <w:rsid w:val="007A1378"/>
    <w:rsid w:val="007A1CE1"/>
    <w:rsid w:val="007A7A87"/>
    <w:rsid w:val="007B0AA0"/>
    <w:rsid w:val="007B2DC1"/>
    <w:rsid w:val="007B6DCC"/>
    <w:rsid w:val="007B7337"/>
    <w:rsid w:val="007C1153"/>
    <w:rsid w:val="007C173C"/>
    <w:rsid w:val="007C3A2D"/>
    <w:rsid w:val="007C6ADC"/>
    <w:rsid w:val="007D07D2"/>
    <w:rsid w:val="007D39FE"/>
    <w:rsid w:val="007D5524"/>
    <w:rsid w:val="007D78E9"/>
    <w:rsid w:val="007E5AF3"/>
    <w:rsid w:val="007E7C78"/>
    <w:rsid w:val="007F3E97"/>
    <w:rsid w:val="007F54E9"/>
    <w:rsid w:val="0080179E"/>
    <w:rsid w:val="00801C41"/>
    <w:rsid w:val="008026C4"/>
    <w:rsid w:val="00803D3B"/>
    <w:rsid w:val="00804418"/>
    <w:rsid w:val="00804D66"/>
    <w:rsid w:val="00804FB7"/>
    <w:rsid w:val="008056AC"/>
    <w:rsid w:val="00805E55"/>
    <w:rsid w:val="008101F1"/>
    <w:rsid w:val="00812205"/>
    <w:rsid w:val="00812455"/>
    <w:rsid w:val="00812B9C"/>
    <w:rsid w:val="00813036"/>
    <w:rsid w:val="00814D76"/>
    <w:rsid w:val="008179E6"/>
    <w:rsid w:val="00817CE2"/>
    <w:rsid w:val="008210D7"/>
    <w:rsid w:val="00821630"/>
    <w:rsid w:val="00821D88"/>
    <w:rsid w:val="00823197"/>
    <w:rsid w:val="008241B2"/>
    <w:rsid w:val="0082454A"/>
    <w:rsid w:val="00826E3A"/>
    <w:rsid w:val="0082790B"/>
    <w:rsid w:val="00827D04"/>
    <w:rsid w:val="00831287"/>
    <w:rsid w:val="00832060"/>
    <w:rsid w:val="00832210"/>
    <w:rsid w:val="00833112"/>
    <w:rsid w:val="008350D9"/>
    <w:rsid w:val="00835B04"/>
    <w:rsid w:val="00836169"/>
    <w:rsid w:val="00836A6B"/>
    <w:rsid w:val="008370E5"/>
    <w:rsid w:val="008373FA"/>
    <w:rsid w:val="00847C81"/>
    <w:rsid w:val="00847CD4"/>
    <w:rsid w:val="0085148D"/>
    <w:rsid w:val="008531F6"/>
    <w:rsid w:val="008541FA"/>
    <w:rsid w:val="00854FC8"/>
    <w:rsid w:val="008568B0"/>
    <w:rsid w:val="00861D62"/>
    <w:rsid w:val="00861FFE"/>
    <w:rsid w:val="008633D7"/>
    <w:rsid w:val="00866651"/>
    <w:rsid w:val="008701A2"/>
    <w:rsid w:val="00872214"/>
    <w:rsid w:val="00873158"/>
    <w:rsid w:val="00875596"/>
    <w:rsid w:val="008768DE"/>
    <w:rsid w:val="00880B9D"/>
    <w:rsid w:val="00880EF6"/>
    <w:rsid w:val="008816F0"/>
    <w:rsid w:val="00881BD9"/>
    <w:rsid w:val="00883636"/>
    <w:rsid w:val="00883A36"/>
    <w:rsid w:val="00883F90"/>
    <w:rsid w:val="00884889"/>
    <w:rsid w:val="0089012F"/>
    <w:rsid w:val="0089039A"/>
    <w:rsid w:val="00891EF2"/>
    <w:rsid w:val="00892A2A"/>
    <w:rsid w:val="00896E28"/>
    <w:rsid w:val="0089786E"/>
    <w:rsid w:val="008A2301"/>
    <w:rsid w:val="008A36F7"/>
    <w:rsid w:val="008A3C89"/>
    <w:rsid w:val="008A6776"/>
    <w:rsid w:val="008A6AC4"/>
    <w:rsid w:val="008A7ACC"/>
    <w:rsid w:val="008B4C4F"/>
    <w:rsid w:val="008B5513"/>
    <w:rsid w:val="008C34A9"/>
    <w:rsid w:val="008C45AA"/>
    <w:rsid w:val="008C5035"/>
    <w:rsid w:val="008C5473"/>
    <w:rsid w:val="008C6A1F"/>
    <w:rsid w:val="008C6C05"/>
    <w:rsid w:val="008C787C"/>
    <w:rsid w:val="008D09EA"/>
    <w:rsid w:val="008D33EE"/>
    <w:rsid w:val="008D4E8E"/>
    <w:rsid w:val="008D56EF"/>
    <w:rsid w:val="008D7633"/>
    <w:rsid w:val="008E0628"/>
    <w:rsid w:val="008E0CCA"/>
    <w:rsid w:val="008E170A"/>
    <w:rsid w:val="008E3EEB"/>
    <w:rsid w:val="008E3F47"/>
    <w:rsid w:val="008E432B"/>
    <w:rsid w:val="008E4BB9"/>
    <w:rsid w:val="008E4C30"/>
    <w:rsid w:val="008E73D4"/>
    <w:rsid w:val="008F22F2"/>
    <w:rsid w:val="00901623"/>
    <w:rsid w:val="0090526D"/>
    <w:rsid w:val="00911250"/>
    <w:rsid w:val="00912D71"/>
    <w:rsid w:val="00914551"/>
    <w:rsid w:val="00916E67"/>
    <w:rsid w:val="009177D0"/>
    <w:rsid w:val="0092115E"/>
    <w:rsid w:val="00922D5A"/>
    <w:rsid w:val="00925A57"/>
    <w:rsid w:val="0092614D"/>
    <w:rsid w:val="0092676E"/>
    <w:rsid w:val="00930CC9"/>
    <w:rsid w:val="009336F9"/>
    <w:rsid w:val="00935BE8"/>
    <w:rsid w:val="0093655F"/>
    <w:rsid w:val="00946559"/>
    <w:rsid w:val="009508FC"/>
    <w:rsid w:val="00951245"/>
    <w:rsid w:val="00951DB9"/>
    <w:rsid w:val="0095381E"/>
    <w:rsid w:val="00955CC6"/>
    <w:rsid w:val="00957736"/>
    <w:rsid w:val="00957F2B"/>
    <w:rsid w:val="00961FE5"/>
    <w:rsid w:val="009640F0"/>
    <w:rsid w:val="00964524"/>
    <w:rsid w:val="00966FF7"/>
    <w:rsid w:val="00967301"/>
    <w:rsid w:val="00967702"/>
    <w:rsid w:val="0097005A"/>
    <w:rsid w:val="00971BE3"/>
    <w:rsid w:val="00973DB9"/>
    <w:rsid w:val="009762F7"/>
    <w:rsid w:val="0097680C"/>
    <w:rsid w:val="00976C25"/>
    <w:rsid w:val="00977C40"/>
    <w:rsid w:val="00981A59"/>
    <w:rsid w:val="00982A8E"/>
    <w:rsid w:val="009834C8"/>
    <w:rsid w:val="00983B18"/>
    <w:rsid w:val="00983DA4"/>
    <w:rsid w:val="00986097"/>
    <w:rsid w:val="00986E68"/>
    <w:rsid w:val="009947D2"/>
    <w:rsid w:val="009954CE"/>
    <w:rsid w:val="009961B2"/>
    <w:rsid w:val="009A3E8C"/>
    <w:rsid w:val="009A604A"/>
    <w:rsid w:val="009A73A8"/>
    <w:rsid w:val="009B1440"/>
    <w:rsid w:val="009B2927"/>
    <w:rsid w:val="009B2BE7"/>
    <w:rsid w:val="009B45DD"/>
    <w:rsid w:val="009B7454"/>
    <w:rsid w:val="009C4272"/>
    <w:rsid w:val="009C7073"/>
    <w:rsid w:val="009D3F3B"/>
    <w:rsid w:val="009D6ED0"/>
    <w:rsid w:val="009E0087"/>
    <w:rsid w:val="009E0205"/>
    <w:rsid w:val="009E1ABD"/>
    <w:rsid w:val="009E6947"/>
    <w:rsid w:val="009E6B11"/>
    <w:rsid w:val="009F1BCB"/>
    <w:rsid w:val="009F3C5A"/>
    <w:rsid w:val="009F4504"/>
    <w:rsid w:val="009F624C"/>
    <w:rsid w:val="00A0608F"/>
    <w:rsid w:val="00A12527"/>
    <w:rsid w:val="00A17672"/>
    <w:rsid w:val="00A178A8"/>
    <w:rsid w:val="00A17A1B"/>
    <w:rsid w:val="00A20BD3"/>
    <w:rsid w:val="00A24E7E"/>
    <w:rsid w:val="00A25382"/>
    <w:rsid w:val="00A253D2"/>
    <w:rsid w:val="00A31BBB"/>
    <w:rsid w:val="00A35EBD"/>
    <w:rsid w:val="00A376BE"/>
    <w:rsid w:val="00A4071D"/>
    <w:rsid w:val="00A42258"/>
    <w:rsid w:val="00A46446"/>
    <w:rsid w:val="00A47875"/>
    <w:rsid w:val="00A47897"/>
    <w:rsid w:val="00A605BF"/>
    <w:rsid w:val="00A67AC7"/>
    <w:rsid w:val="00A70695"/>
    <w:rsid w:val="00A73741"/>
    <w:rsid w:val="00A75BA8"/>
    <w:rsid w:val="00A80070"/>
    <w:rsid w:val="00A81A03"/>
    <w:rsid w:val="00A82E4A"/>
    <w:rsid w:val="00A870F5"/>
    <w:rsid w:val="00A87B88"/>
    <w:rsid w:val="00A927E3"/>
    <w:rsid w:val="00A953B3"/>
    <w:rsid w:val="00A962F4"/>
    <w:rsid w:val="00A96C16"/>
    <w:rsid w:val="00A96E5E"/>
    <w:rsid w:val="00A97C61"/>
    <w:rsid w:val="00AA0EBA"/>
    <w:rsid w:val="00AA2582"/>
    <w:rsid w:val="00AA2771"/>
    <w:rsid w:val="00AA2942"/>
    <w:rsid w:val="00AA2A37"/>
    <w:rsid w:val="00AA3ED1"/>
    <w:rsid w:val="00AA5342"/>
    <w:rsid w:val="00AA6255"/>
    <w:rsid w:val="00AB06E0"/>
    <w:rsid w:val="00AB24E0"/>
    <w:rsid w:val="00AB282E"/>
    <w:rsid w:val="00AB4EF5"/>
    <w:rsid w:val="00AB5871"/>
    <w:rsid w:val="00AB6DC5"/>
    <w:rsid w:val="00AB74B7"/>
    <w:rsid w:val="00AB7A61"/>
    <w:rsid w:val="00AC341A"/>
    <w:rsid w:val="00AC349E"/>
    <w:rsid w:val="00AC34A6"/>
    <w:rsid w:val="00AC481C"/>
    <w:rsid w:val="00AC4B2E"/>
    <w:rsid w:val="00AC5B88"/>
    <w:rsid w:val="00AC6CC2"/>
    <w:rsid w:val="00AD05F6"/>
    <w:rsid w:val="00AD0643"/>
    <w:rsid w:val="00AD1FFB"/>
    <w:rsid w:val="00AD45FD"/>
    <w:rsid w:val="00AD7A94"/>
    <w:rsid w:val="00AE3DD5"/>
    <w:rsid w:val="00AE4344"/>
    <w:rsid w:val="00AE4B8A"/>
    <w:rsid w:val="00AE4C8E"/>
    <w:rsid w:val="00AE6576"/>
    <w:rsid w:val="00AF024B"/>
    <w:rsid w:val="00AF0582"/>
    <w:rsid w:val="00AF17EA"/>
    <w:rsid w:val="00AF25A7"/>
    <w:rsid w:val="00AF42CC"/>
    <w:rsid w:val="00B019BA"/>
    <w:rsid w:val="00B01E42"/>
    <w:rsid w:val="00B032DC"/>
    <w:rsid w:val="00B05489"/>
    <w:rsid w:val="00B06DBC"/>
    <w:rsid w:val="00B077D7"/>
    <w:rsid w:val="00B077EE"/>
    <w:rsid w:val="00B17C44"/>
    <w:rsid w:val="00B17D53"/>
    <w:rsid w:val="00B22586"/>
    <w:rsid w:val="00B25FE9"/>
    <w:rsid w:val="00B26C37"/>
    <w:rsid w:val="00B35879"/>
    <w:rsid w:val="00B405AF"/>
    <w:rsid w:val="00B40C89"/>
    <w:rsid w:val="00B4241D"/>
    <w:rsid w:val="00B446B3"/>
    <w:rsid w:val="00B44CB0"/>
    <w:rsid w:val="00B45D27"/>
    <w:rsid w:val="00B46109"/>
    <w:rsid w:val="00B54435"/>
    <w:rsid w:val="00B55AB2"/>
    <w:rsid w:val="00B565CE"/>
    <w:rsid w:val="00B57716"/>
    <w:rsid w:val="00B57838"/>
    <w:rsid w:val="00B60383"/>
    <w:rsid w:val="00B608E1"/>
    <w:rsid w:val="00B63806"/>
    <w:rsid w:val="00B65912"/>
    <w:rsid w:val="00B65B9B"/>
    <w:rsid w:val="00B663E5"/>
    <w:rsid w:val="00B72F87"/>
    <w:rsid w:val="00B746CF"/>
    <w:rsid w:val="00B8008F"/>
    <w:rsid w:val="00B8184D"/>
    <w:rsid w:val="00B83BA9"/>
    <w:rsid w:val="00B83E6E"/>
    <w:rsid w:val="00B8413B"/>
    <w:rsid w:val="00B85297"/>
    <w:rsid w:val="00B86D9F"/>
    <w:rsid w:val="00B91B1A"/>
    <w:rsid w:val="00B93A2F"/>
    <w:rsid w:val="00B97679"/>
    <w:rsid w:val="00BA68E7"/>
    <w:rsid w:val="00BB000C"/>
    <w:rsid w:val="00BB205D"/>
    <w:rsid w:val="00BB263B"/>
    <w:rsid w:val="00BB51D8"/>
    <w:rsid w:val="00BB51E6"/>
    <w:rsid w:val="00BB63C7"/>
    <w:rsid w:val="00BB7362"/>
    <w:rsid w:val="00BB7E8B"/>
    <w:rsid w:val="00BC03D9"/>
    <w:rsid w:val="00BC2ED0"/>
    <w:rsid w:val="00BC346D"/>
    <w:rsid w:val="00BC7FC9"/>
    <w:rsid w:val="00BD0B21"/>
    <w:rsid w:val="00BD1C33"/>
    <w:rsid w:val="00BD7E38"/>
    <w:rsid w:val="00BE148F"/>
    <w:rsid w:val="00BE6A2C"/>
    <w:rsid w:val="00BE7C51"/>
    <w:rsid w:val="00BF0FE6"/>
    <w:rsid w:val="00BF245C"/>
    <w:rsid w:val="00BF495B"/>
    <w:rsid w:val="00BF7A26"/>
    <w:rsid w:val="00C001A2"/>
    <w:rsid w:val="00C034DC"/>
    <w:rsid w:val="00C063E0"/>
    <w:rsid w:val="00C06446"/>
    <w:rsid w:val="00C065FB"/>
    <w:rsid w:val="00C067DE"/>
    <w:rsid w:val="00C07990"/>
    <w:rsid w:val="00C12B41"/>
    <w:rsid w:val="00C1381D"/>
    <w:rsid w:val="00C13BD7"/>
    <w:rsid w:val="00C13D47"/>
    <w:rsid w:val="00C15BBA"/>
    <w:rsid w:val="00C15C86"/>
    <w:rsid w:val="00C15E1F"/>
    <w:rsid w:val="00C200FC"/>
    <w:rsid w:val="00C20919"/>
    <w:rsid w:val="00C21CD4"/>
    <w:rsid w:val="00C23A38"/>
    <w:rsid w:val="00C2583A"/>
    <w:rsid w:val="00C2622C"/>
    <w:rsid w:val="00C31A0F"/>
    <w:rsid w:val="00C333F4"/>
    <w:rsid w:val="00C3353C"/>
    <w:rsid w:val="00C3554E"/>
    <w:rsid w:val="00C36EBF"/>
    <w:rsid w:val="00C43908"/>
    <w:rsid w:val="00C45578"/>
    <w:rsid w:val="00C50DBD"/>
    <w:rsid w:val="00C511DC"/>
    <w:rsid w:val="00C51A2F"/>
    <w:rsid w:val="00C52D5F"/>
    <w:rsid w:val="00C54037"/>
    <w:rsid w:val="00C546B0"/>
    <w:rsid w:val="00C54B3D"/>
    <w:rsid w:val="00C570DF"/>
    <w:rsid w:val="00C66E4E"/>
    <w:rsid w:val="00C70448"/>
    <w:rsid w:val="00C74DEF"/>
    <w:rsid w:val="00C8037C"/>
    <w:rsid w:val="00C81617"/>
    <w:rsid w:val="00C81D58"/>
    <w:rsid w:val="00C81FCC"/>
    <w:rsid w:val="00C83CED"/>
    <w:rsid w:val="00C851EE"/>
    <w:rsid w:val="00C86490"/>
    <w:rsid w:val="00C86F8F"/>
    <w:rsid w:val="00C92A96"/>
    <w:rsid w:val="00C9395B"/>
    <w:rsid w:val="00C939F7"/>
    <w:rsid w:val="00CA04DC"/>
    <w:rsid w:val="00CA23FC"/>
    <w:rsid w:val="00CA44E0"/>
    <w:rsid w:val="00CA6ED9"/>
    <w:rsid w:val="00CA7C82"/>
    <w:rsid w:val="00CB17EE"/>
    <w:rsid w:val="00CB3EF4"/>
    <w:rsid w:val="00CB4577"/>
    <w:rsid w:val="00CB4B4E"/>
    <w:rsid w:val="00CB5C67"/>
    <w:rsid w:val="00CC2A3C"/>
    <w:rsid w:val="00CC4B01"/>
    <w:rsid w:val="00CC6C19"/>
    <w:rsid w:val="00CD0104"/>
    <w:rsid w:val="00CD3BC9"/>
    <w:rsid w:val="00CD5449"/>
    <w:rsid w:val="00CE014E"/>
    <w:rsid w:val="00CE4C38"/>
    <w:rsid w:val="00CE4C5A"/>
    <w:rsid w:val="00CE6F22"/>
    <w:rsid w:val="00CE793D"/>
    <w:rsid w:val="00CF1CD8"/>
    <w:rsid w:val="00CF6B04"/>
    <w:rsid w:val="00D00853"/>
    <w:rsid w:val="00D02B68"/>
    <w:rsid w:val="00D03138"/>
    <w:rsid w:val="00D102D8"/>
    <w:rsid w:val="00D14538"/>
    <w:rsid w:val="00D17569"/>
    <w:rsid w:val="00D20DC4"/>
    <w:rsid w:val="00D22765"/>
    <w:rsid w:val="00D2299D"/>
    <w:rsid w:val="00D233A2"/>
    <w:rsid w:val="00D24110"/>
    <w:rsid w:val="00D250C5"/>
    <w:rsid w:val="00D31357"/>
    <w:rsid w:val="00D34708"/>
    <w:rsid w:val="00D34D3A"/>
    <w:rsid w:val="00D37D6A"/>
    <w:rsid w:val="00D40214"/>
    <w:rsid w:val="00D409E3"/>
    <w:rsid w:val="00D42BA3"/>
    <w:rsid w:val="00D44C0E"/>
    <w:rsid w:val="00D47BEF"/>
    <w:rsid w:val="00D510FF"/>
    <w:rsid w:val="00D51E6B"/>
    <w:rsid w:val="00D51FE2"/>
    <w:rsid w:val="00D53475"/>
    <w:rsid w:val="00D54B94"/>
    <w:rsid w:val="00D564E6"/>
    <w:rsid w:val="00D564EB"/>
    <w:rsid w:val="00D568C6"/>
    <w:rsid w:val="00D611C8"/>
    <w:rsid w:val="00D64803"/>
    <w:rsid w:val="00D6700C"/>
    <w:rsid w:val="00D676FA"/>
    <w:rsid w:val="00D71D78"/>
    <w:rsid w:val="00D74689"/>
    <w:rsid w:val="00D7731C"/>
    <w:rsid w:val="00D80382"/>
    <w:rsid w:val="00D8084F"/>
    <w:rsid w:val="00D82F43"/>
    <w:rsid w:val="00D842A6"/>
    <w:rsid w:val="00D861AF"/>
    <w:rsid w:val="00D868D2"/>
    <w:rsid w:val="00D87EEF"/>
    <w:rsid w:val="00D92962"/>
    <w:rsid w:val="00DA326B"/>
    <w:rsid w:val="00DB147E"/>
    <w:rsid w:val="00DB3779"/>
    <w:rsid w:val="00DB44D5"/>
    <w:rsid w:val="00DB514F"/>
    <w:rsid w:val="00DB6A7D"/>
    <w:rsid w:val="00DB733E"/>
    <w:rsid w:val="00DC32C5"/>
    <w:rsid w:val="00DC3A96"/>
    <w:rsid w:val="00DC3B80"/>
    <w:rsid w:val="00DC5648"/>
    <w:rsid w:val="00DC6406"/>
    <w:rsid w:val="00DC6CF1"/>
    <w:rsid w:val="00DD3671"/>
    <w:rsid w:val="00DD3841"/>
    <w:rsid w:val="00DD462C"/>
    <w:rsid w:val="00DD53F0"/>
    <w:rsid w:val="00DE0BF4"/>
    <w:rsid w:val="00DE161A"/>
    <w:rsid w:val="00DE2E26"/>
    <w:rsid w:val="00DE3A09"/>
    <w:rsid w:val="00DE5F9C"/>
    <w:rsid w:val="00DE7A82"/>
    <w:rsid w:val="00DF2CE3"/>
    <w:rsid w:val="00DF5425"/>
    <w:rsid w:val="00DF6AD1"/>
    <w:rsid w:val="00DF6D9A"/>
    <w:rsid w:val="00DF72CA"/>
    <w:rsid w:val="00E00F2A"/>
    <w:rsid w:val="00E03962"/>
    <w:rsid w:val="00E03B38"/>
    <w:rsid w:val="00E04253"/>
    <w:rsid w:val="00E102D7"/>
    <w:rsid w:val="00E104BC"/>
    <w:rsid w:val="00E10F67"/>
    <w:rsid w:val="00E14699"/>
    <w:rsid w:val="00E22D06"/>
    <w:rsid w:val="00E31013"/>
    <w:rsid w:val="00E33E81"/>
    <w:rsid w:val="00E342F7"/>
    <w:rsid w:val="00E34AA8"/>
    <w:rsid w:val="00E37FAE"/>
    <w:rsid w:val="00E418BF"/>
    <w:rsid w:val="00E426F8"/>
    <w:rsid w:val="00E42FDE"/>
    <w:rsid w:val="00E43D29"/>
    <w:rsid w:val="00E4456C"/>
    <w:rsid w:val="00E45812"/>
    <w:rsid w:val="00E45871"/>
    <w:rsid w:val="00E458D4"/>
    <w:rsid w:val="00E51786"/>
    <w:rsid w:val="00E5220E"/>
    <w:rsid w:val="00E534C5"/>
    <w:rsid w:val="00E56829"/>
    <w:rsid w:val="00E60719"/>
    <w:rsid w:val="00E64AED"/>
    <w:rsid w:val="00E64C73"/>
    <w:rsid w:val="00E660DE"/>
    <w:rsid w:val="00E6669E"/>
    <w:rsid w:val="00E67105"/>
    <w:rsid w:val="00E72FEF"/>
    <w:rsid w:val="00E75E48"/>
    <w:rsid w:val="00E773D2"/>
    <w:rsid w:val="00E803EA"/>
    <w:rsid w:val="00E80751"/>
    <w:rsid w:val="00E80962"/>
    <w:rsid w:val="00E81093"/>
    <w:rsid w:val="00E83044"/>
    <w:rsid w:val="00E92079"/>
    <w:rsid w:val="00E922A2"/>
    <w:rsid w:val="00E95B33"/>
    <w:rsid w:val="00E97D5E"/>
    <w:rsid w:val="00EA5893"/>
    <w:rsid w:val="00EA67DA"/>
    <w:rsid w:val="00EA68C1"/>
    <w:rsid w:val="00EA7A8E"/>
    <w:rsid w:val="00EB0C4B"/>
    <w:rsid w:val="00EB4040"/>
    <w:rsid w:val="00EC086C"/>
    <w:rsid w:val="00EC0ABA"/>
    <w:rsid w:val="00EC2D6A"/>
    <w:rsid w:val="00EC39ED"/>
    <w:rsid w:val="00EC63EE"/>
    <w:rsid w:val="00EC6990"/>
    <w:rsid w:val="00EC7734"/>
    <w:rsid w:val="00ED0548"/>
    <w:rsid w:val="00ED0ADC"/>
    <w:rsid w:val="00ED2654"/>
    <w:rsid w:val="00ED2DA9"/>
    <w:rsid w:val="00ED3806"/>
    <w:rsid w:val="00ED40E3"/>
    <w:rsid w:val="00ED4612"/>
    <w:rsid w:val="00ED524A"/>
    <w:rsid w:val="00ED575C"/>
    <w:rsid w:val="00ED7512"/>
    <w:rsid w:val="00EE64F3"/>
    <w:rsid w:val="00EF2B0E"/>
    <w:rsid w:val="00EF46E5"/>
    <w:rsid w:val="00EF772B"/>
    <w:rsid w:val="00EF7CBB"/>
    <w:rsid w:val="00F11908"/>
    <w:rsid w:val="00F16992"/>
    <w:rsid w:val="00F16B73"/>
    <w:rsid w:val="00F17A07"/>
    <w:rsid w:val="00F17BD9"/>
    <w:rsid w:val="00F211B5"/>
    <w:rsid w:val="00F236B3"/>
    <w:rsid w:val="00F25D40"/>
    <w:rsid w:val="00F260EC"/>
    <w:rsid w:val="00F323BB"/>
    <w:rsid w:val="00F34D83"/>
    <w:rsid w:val="00F36F32"/>
    <w:rsid w:val="00F40ACF"/>
    <w:rsid w:val="00F435BF"/>
    <w:rsid w:val="00F43A8D"/>
    <w:rsid w:val="00F4438B"/>
    <w:rsid w:val="00F44B38"/>
    <w:rsid w:val="00F44E1F"/>
    <w:rsid w:val="00F455CD"/>
    <w:rsid w:val="00F51B66"/>
    <w:rsid w:val="00F542BC"/>
    <w:rsid w:val="00F55209"/>
    <w:rsid w:val="00F563ED"/>
    <w:rsid w:val="00F61B7E"/>
    <w:rsid w:val="00F66515"/>
    <w:rsid w:val="00F773F7"/>
    <w:rsid w:val="00F809BF"/>
    <w:rsid w:val="00F81625"/>
    <w:rsid w:val="00F8330E"/>
    <w:rsid w:val="00F841C4"/>
    <w:rsid w:val="00F85636"/>
    <w:rsid w:val="00F86498"/>
    <w:rsid w:val="00F8772E"/>
    <w:rsid w:val="00F87D9A"/>
    <w:rsid w:val="00F914E3"/>
    <w:rsid w:val="00F9302F"/>
    <w:rsid w:val="00F94475"/>
    <w:rsid w:val="00F9740C"/>
    <w:rsid w:val="00FA15BA"/>
    <w:rsid w:val="00FA3A9E"/>
    <w:rsid w:val="00FA434D"/>
    <w:rsid w:val="00FA4F99"/>
    <w:rsid w:val="00FA5B86"/>
    <w:rsid w:val="00FA7ADE"/>
    <w:rsid w:val="00FA7E6B"/>
    <w:rsid w:val="00FB06F7"/>
    <w:rsid w:val="00FB14CF"/>
    <w:rsid w:val="00FB32E1"/>
    <w:rsid w:val="00FC33DB"/>
    <w:rsid w:val="00FC5372"/>
    <w:rsid w:val="00FD0DD6"/>
    <w:rsid w:val="00FD0FD1"/>
    <w:rsid w:val="00FD373F"/>
    <w:rsid w:val="00FD4EEA"/>
    <w:rsid w:val="00FD6E8D"/>
    <w:rsid w:val="00FE08B0"/>
    <w:rsid w:val="00FE3ABE"/>
    <w:rsid w:val="00FE617E"/>
    <w:rsid w:val="00FE639A"/>
    <w:rsid w:val="00FE797E"/>
    <w:rsid w:val="00FF040D"/>
    <w:rsid w:val="00FF2E6E"/>
    <w:rsid w:val="00FF2F71"/>
    <w:rsid w:val="00FF31F6"/>
    <w:rsid w:val="00FF39E8"/>
    <w:rsid w:val="00FF4F15"/>
    <w:rsid w:val="00FF5C28"/>
    <w:rsid w:val="00FF6C8A"/>
    <w:rsid w:val="00FF71C8"/>
    <w:rsid w:val="00FF7409"/>
    <w:rsid w:val="010A1947"/>
    <w:rsid w:val="011C2456"/>
    <w:rsid w:val="012316D3"/>
    <w:rsid w:val="01267939"/>
    <w:rsid w:val="012D42FD"/>
    <w:rsid w:val="012E6D90"/>
    <w:rsid w:val="014852B3"/>
    <w:rsid w:val="01506671"/>
    <w:rsid w:val="01521D11"/>
    <w:rsid w:val="01587736"/>
    <w:rsid w:val="015A7F2D"/>
    <w:rsid w:val="01663293"/>
    <w:rsid w:val="01777BF4"/>
    <w:rsid w:val="01C60DFA"/>
    <w:rsid w:val="01C61304"/>
    <w:rsid w:val="01DD4CA6"/>
    <w:rsid w:val="02007ABC"/>
    <w:rsid w:val="02097669"/>
    <w:rsid w:val="02150A1A"/>
    <w:rsid w:val="022C2E9B"/>
    <w:rsid w:val="023E5284"/>
    <w:rsid w:val="02521B69"/>
    <w:rsid w:val="025832D3"/>
    <w:rsid w:val="02895934"/>
    <w:rsid w:val="02A00385"/>
    <w:rsid w:val="02CC4CA2"/>
    <w:rsid w:val="02D1773A"/>
    <w:rsid w:val="02DA783B"/>
    <w:rsid w:val="02E71A40"/>
    <w:rsid w:val="02E75703"/>
    <w:rsid w:val="02E9239C"/>
    <w:rsid w:val="02FC4FF1"/>
    <w:rsid w:val="030D32C6"/>
    <w:rsid w:val="03312324"/>
    <w:rsid w:val="03322E01"/>
    <w:rsid w:val="035017ED"/>
    <w:rsid w:val="03514002"/>
    <w:rsid w:val="03520482"/>
    <w:rsid w:val="03661A94"/>
    <w:rsid w:val="036F618D"/>
    <w:rsid w:val="037A1943"/>
    <w:rsid w:val="038C71E9"/>
    <w:rsid w:val="03984D1D"/>
    <w:rsid w:val="039E4447"/>
    <w:rsid w:val="03A03C13"/>
    <w:rsid w:val="03AF0465"/>
    <w:rsid w:val="03F67A72"/>
    <w:rsid w:val="04136DF0"/>
    <w:rsid w:val="04346E4A"/>
    <w:rsid w:val="044C1C9B"/>
    <w:rsid w:val="045E4A69"/>
    <w:rsid w:val="0463052F"/>
    <w:rsid w:val="04654CFD"/>
    <w:rsid w:val="04675678"/>
    <w:rsid w:val="047B4A35"/>
    <w:rsid w:val="04A703E6"/>
    <w:rsid w:val="04A9243E"/>
    <w:rsid w:val="04AE2605"/>
    <w:rsid w:val="04B876E8"/>
    <w:rsid w:val="04CC03A9"/>
    <w:rsid w:val="04CF1E74"/>
    <w:rsid w:val="04E87D91"/>
    <w:rsid w:val="04ED144F"/>
    <w:rsid w:val="04F9194D"/>
    <w:rsid w:val="04FA2D68"/>
    <w:rsid w:val="051C2E0D"/>
    <w:rsid w:val="051D1FBC"/>
    <w:rsid w:val="05654EF5"/>
    <w:rsid w:val="0576629C"/>
    <w:rsid w:val="058242A2"/>
    <w:rsid w:val="059079A6"/>
    <w:rsid w:val="05A6415C"/>
    <w:rsid w:val="05FE6635"/>
    <w:rsid w:val="06063AD5"/>
    <w:rsid w:val="06A718D0"/>
    <w:rsid w:val="06C05E99"/>
    <w:rsid w:val="07137FD1"/>
    <w:rsid w:val="072724EE"/>
    <w:rsid w:val="073C456C"/>
    <w:rsid w:val="074423EB"/>
    <w:rsid w:val="074D0183"/>
    <w:rsid w:val="075F02D1"/>
    <w:rsid w:val="076769E6"/>
    <w:rsid w:val="076B6CEA"/>
    <w:rsid w:val="079556F6"/>
    <w:rsid w:val="079D55F2"/>
    <w:rsid w:val="07AB794B"/>
    <w:rsid w:val="07B72AF7"/>
    <w:rsid w:val="07D02862"/>
    <w:rsid w:val="07DF75F9"/>
    <w:rsid w:val="07ED7A9D"/>
    <w:rsid w:val="07FD6DB5"/>
    <w:rsid w:val="08004800"/>
    <w:rsid w:val="08234207"/>
    <w:rsid w:val="083B1D1C"/>
    <w:rsid w:val="08686258"/>
    <w:rsid w:val="087C5545"/>
    <w:rsid w:val="08887E1D"/>
    <w:rsid w:val="08AA1FC2"/>
    <w:rsid w:val="08C5350C"/>
    <w:rsid w:val="08D86F1C"/>
    <w:rsid w:val="09134173"/>
    <w:rsid w:val="0921074C"/>
    <w:rsid w:val="092B2B9B"/>
    <w:rsid w:val="097F55EA"/>
    <w:rsid w:val="09842D7C"/>
    <w:rsid w:val="0989185E"/>
    <w:rsid w:val="09945600"/>
    <w:rsid w:val="099D68B4"/>
    <w:rsid w:val="09A5057B"/>
    <w:rsid w:val="09B43E53"/>
    <w:rsid w:val="09DD3CB7"/>
    <w:rsid w:val="0A0A3086"/>
    <w:rsid w:val="0A71382C"/>
    <w:rsid w:val="0A7657E7"/>
    <w:rsid w:val="0A8F0C61"/>
    <w:rsid w:val="0AB2218E"/>
    <w:rsid w:val="0AB67AAA"/>
    <w:rsid w:val="0AEB48B1"/>
    <w:rsid w:val="0B063389"/>
    <w:rsid w:val="0B2F7DE0"/>
    <w:rsid w:val="0B4D0E88"/>
    <w:rsid w:val="0B5828F1"/>
    <w:rsid w:val="0B5D4FB1"/>
    <w:rsid w:val="0B9610F4"/>
    <w:rsid w:val="0BA72079"/>
    <w:rsid w:val="0BAF779C"/>
    <w:rsid w:val="0BBF599B"/>
    <w:rsid w:val="0BCD6194"/>
    <w:rsid w:val="0BD0480F"/>
    <w:rsid w:val="0BF23654"/>
    <w:rsid w:val="0C4442CF"/>
    <w:rsid w:val="0C4549D0"/>
    <w:rsid w:val="0C487D68"/>
    <w:rsid w:val="0C4A6383"/>
    <w:rsid w:val="0C55768D"/>
    <w:rsid w:val="0C6242B8"/>
    <w:rsid w:val="0C9145E2"/>
    <w:rsid w:val="0C935704"/>
    <w:rsid w:val="0C9F54C4"/>
    <w:rsid w:val="0CA37EAE"/>
    <w:rsid w:val="0CA747B4"/>
    <w:rsid w:val="0CC60D00"/>
    <w:rsid w:val="0CCA1FF9"/>
    <w:rsid w:val="0CE22868"/>
    <w:rsid w:val="0CEC0FAC"/>
    <w:rsid w:val="0CF02C50"/>
    <w:rsid w:val="0CF22A44"/>
    <w:rsid w:val="0D123979"/>
    <w:rsid w:val="0D1B7D54"/>
    <w:rsid w:val="0D453616"/>
    <w:rsid w:val="0D4620C4"/>
    <w:rsid w:val="0D4E1033"/>
    <w:rsid w:val="0D6B2B13"/>
    <w:rsid w:val="0D8657DF"/>
    <w:rsid w:val="0D934510"/>
    <w:rsid w:val="0DBB18D6"/>
    <w:rsid w:val="0DED0CB4"/>
    <w:rsid w:val="0DF14032"/>
    <w:rsid w:val="0E1C30C4"/>
    <w:rsid w:val="0E1D5835"/>
    <w:rsid w:val="0E1E12B8"/>
    <w:rsid w:val="0E447B3C"/>
    <w:rsid w:val="0E787B3D"/>
    <w:rsid w:val="0EA004DC"/>
    <w:rsid w:val="0EAB091F"/>
    <w:rsid w:val="0ED14282"/>
    <w:rsid w:val="0ED82374"/>
    <w:rsid w:val="0F02182C"/>
    <w:rsid w:val="0F21682A"/>
    <w:rsid w:val="0F262032"/>
    <w:rsid w:val="0F376AE9"/>
    <w:rsid w:val="0F803720"/>
    <w:rsid w:val="0FA0555E"/>
    <w:rsid w:val="0FA91612"/>
    <w:rsid w:val="0FC333D6"/>
    <w:rsid w:val="0FE17B69"/>
    <w:rsid w:val="0FEE6FAE"/>
    <w:rsid w:val="0FFA5C97"/>
    <w:rsid w:val="0FFD7AB1"/>
    <w:rsid w:val="0FFF667A"/>
    <w:rsid w:val="101A783E"/>
    <w:rsid w:val="101B1EBB"/>
    <w:rsid w:val="10202EA2"/>
    <w:rsid w:val="103F4B92"/>
    <w:rsid w:val="1079268B"/>
    <w:rsid w:val="108D5CD3"/>
    <w:rsid w:val="108F394E"/>
    <w:rsid w:val="10AD3A87"/>
    <w:rsid w:val="10DB07B1"/>
    <w:rsid w:val="10E90013"/>
    <w:rsid w:val="11131BFB"/>
    <w:rsid w:val="1115687A"/>
    <w:rsid w:val="11166009"/>
    <w:rsid w:val="112A636F"/>
    <w:rsid w:val="1140695B"/>
    <w:rsid w:val="114521BF"/>
    <w:rsid w:val="11580041"/>
    <w:rsid w:val="115D3413"/>
    <w:rsid w:val="117954D8"/>
    <w:rsid w:val="117F491B"/>
    <w:rsid w:val="11850545"/>
    <w:rsid w:val="11981DC3"/>
    <w:rsid w:val="11A0297E"/>
    <w:rsid w:val="11AA7170"/>
    <w:rsid w:val="11B8062E"/>
    <w:rsid w:val="11C27C91"/>
    <w:rsid w:val="11E319E8"/>
    <w:rsid w:val="11F8610A"/>
    <w:rsid w:val="12216142"/>
    <w:rsid w:val="12235729"/>
    <w:rsid w:val="123A6DC0"/>
    <w:rsid w:val="12427803"/>
    <w:rsid w:val="12515BD7"/>
    <w:rsid w:val="12637679"/>
    <w:rsid w:val="128002F9"/>
    <w:rsid w:val="12844FAC"/>
    <w:rsid w:val="12E60311"/>
    <w:rsid w:val="12EA21F4"/>
    <w:rsid w:val="12EA7DB2"/>
    <w:rsid w:val="131B1934"/>
    <w:rsid w:val="13220CC0"/>
    <w:rsid w:val="133A33E5"/>
    <w:rsid w:val="1345032A"/>
    <w:rsid w:val="137C0484"/>
    <w:rsid w:val="13840E20"/>
    <w:rsid w:val="13BA2A73"/>
    <w:rsid w:val="13C07445"/>
    <w:rsid w:val="13C56107"/>
    <w:rsid w:val="13C7099B"/>
    <w:rsid w:val="13CF39AE"/>
    <w:rsid w:val="13F0753C"/>
    <w:rsid w:val="13F3608D"/>
    <w:rsid w:val="140337F8"/>
    <w:rsid w:val="140568F1"/>
    <w:rsid w:val="140D3F74"/>
    <w:rsid w:val="143302E9"/>
    <w:rsid w:val="144D54E1"/>
    <w:rsid w:val="1487417A"/>
    <w:rsid w:val="14CB3737"/>
    <w:rsid w:val="14EC7351"/>
    <w:rsid w:val="14F12622"/>
    <w:rsid w:val="150952B8"/>
    <w:rsid w:val="152F114F"/>
    <w:rsid w:val="156009C5"/>
    <w:rsid w:val="156C509A"/>
    <w:rsid w:val="156F3860"/>
    <w:rsid w:val="157D109F"/>
    <w:rsid w:val="1595186C"/>
    <w:rsid w:val="159673EF"/>
    <w:rsid w:val="159C571E"/>
    <w:rsid w:val="15C75052"/>
    <w:rsid w:val="15CC6AEE"/>
    <w:rsid w:val="15E20BF3"/>
    <w:rsid w:val="15F61AC9"/>
    <w:rsid w:val="15FD7FC2"/>
    <w:rsid w:val="160354F6"/>
    <w:rsid w:val="160F14E8"/>
    <w:rsid w:val="161E3B60"/>
    <w:rsid w:val="16215294"/>
    <w:rsid w:val="163B1BD0"/>
    <w:rsid w:val="16574099"/>
    <w:rsid w:val="16A70127"/>
    <w:rsid w:val="16AB3022"/>
    <w:rsid w:val="16AB5325"/>
    <w:rsid w:val="16BE4810"/>
    <w:rsid w:val="16D164BC"/>
    <w:rsid w:val="16D37328"/>
    <w:rsid w:val="16F271C0"/>
    <w:rsid w:val="16F37422"/>
    <w:rsid w:val="17096ACE"/>
    <w:rsid w:val="173159F1"/>
    <w:rsid w:val="173D564D"/>
    <w:rsid w:val="17527B50"/>
    <w:rsid w:val="176A71DF"/>
    <w:rsid w:val="179B324F"/>
    <w:rsid w:val="179D500A"/>
    <w:rsid w:val="17B70DC1"/>
    <w:rsid w:val="17BE3F72"/>
    <w:rsid w:val="17D56308"/>
    <w:rsid w:val="17DA3EBF"/>
    <w:rsid w:val="17E62463"/>
    <w:rsid w:val="180D0283"/>
    <w:rsid w:val="18244676"/>
    <w:rsid w:val="18285237"/>
    <w:rsid w:val="182C219A"/>
    <w:rsid w:val="182C6085"/>
    <w:rsid w:val="18457382"/>
    <w:rsid w:val="18637686"/>
    <w:rsid w:val="18806715"/>
    <w:rsid w:val="188B6A40"/>
    <w:rsid w:val="189A41EE"/>
    <w:rsid w:val="18A9301C"/>
    <w:rsid w:val="18B5797C"/>
    <w:rsid w:val="18E6797B"/>
    <w:rsid w:val="18F54636"/>
    <w:rsid w:val="190300A7"/>
    <w:rsid w:val="191267BA"/>
    <w:rsid w:val="191A136C"/>
    <w:rsid w:val="19536AB4"/>
    <w:rsid w:val="196349F4"/>
    <w:rsid w:val="196E2EB4"/>
    <w:rsid w:val="19714295"/>
    <w:rsid w:val="198C1474"/>
    <w:rsid w:val="19A51546"/>
    <w:rsid w:val="19AA4B08"/>
    <w:rsid w:val="19ED3CF0"/>
    <w:rsid w:val="1A5C79D2"/>
    <w:rsid w:val="1A5E5D50"/>
    <w:rsid w:val="1A6F586F"/>
    <w:rsid w:val="1A70699F"/>
    <w:rsid w:val="1AA159B3"/>
    <w:rsid w:val="1AB2297F"/>
    <w:rsid w:val="1ABA0D8A"/>
    <w:rsid w:val="1AC91862"/>
    <w:rsid w:val="1B133EFC"/>
    <w:rsid w:val="1B2321F0"/>
    <w:rsid w:val="1B3B2B86"/>
    <w:rsid w:val="1B515E62"/>
    <w:rsid w:val="1BA75E67"/>
    <w:rsid w:val="1BC7492A"/>
    <w:rsid w:val="1BD07C86"/>
    <w:rsid w:val="1BD712B5"/>
    <w:rsid w:val="1BDC5B53"/>
    <w:rsid w:val="1BDC7EDA"/>
    <w:rsid w:val="1BF13DE2"/>
    <w:rsid w:val="1C1717CD"/>
    <w:rsid w:val="1C1F0CE0"/>
    <w:rsid w:val="1C283C2C"/>
    <w:rsid w:val="1C387FA6"/>
    <w:rsid w:val="1C3A45F4"/>
    <w:rsid w:val="1C461641"/>
    <w:rsid w:val="1C4E65CD"/>
    <w:rsid w:val="1C542906"/>
    <w:rsid w:val="1C6A0CD6"/>
    <w:rsid w:val="1C6A6022"/>
    <w:rsid w:val="1C6C3B15"/>
    <w:rsid w:val="1C6E2AD5"/>
    <w:rsid w:val="1C8F39BC"/>
    <w:rsid w:val="1CA31F20"/>
    <w:rsid w:val="1CA34454"/>
    <w:rsid w:val="1CBB76EF"/>
    <w:rsid w:val="1D0007FF"/>
    <w:rsid w:val="1D1260E4"/>
    <w:rsid w:val="1D1B3787"/>
    <w:rsid w:val="1D316D67"/>
    <w:rsid w:val="1D34616D"/>
    <w:rsid w:val="1D4E4552"/>
    <w:rsid w:val="1D591A4C"/>
    <w:rsid w:val="1D6771A0"/>
    <w:rsid w:val="1D707A2B"/>
    <w:rsid w:val="1D7F589C"/>
    <w:rsid w:val="1D9D41BE"/>
    <w:rsid w:val="1DA421C0"/>
    <w:rsid w:val="1DB73CBD"/>
    <w:rsid w:val="1DD05F6E"/>
    <w:rsid w:val="1DD277B8"/>
    <w:rsid w:val="1DF84D34"/>
    <w:rsid w:val="1E01379A"/>
    <w:rsid w:val="1E1172D3"/>
    <w:rsid w:val="1E1840DB"/>
    <w:rsid w:val="1E1B7A33"/>
    <w:rsid w:val="1E2C72B1"/>
    <w:rsid w:val="1E6824F7"/>
    <w:rsid w:val="1E8B066C"/>
    <w:rsid w:val="1E9461B5"/>
    <w:rsid w:val="1EAC6902"/>
    <w:rsid w:val="1EB61656"/>
    <w:rsid w:val="1EB9674D"/>
    <w:rsid w:val="1ED21A2D"/>
    <w:rsid w:val="1ED82AA5"/>
    <w:rsid w:val="1EE978A8"/>
    <w:rsid w:val="1F100FA0"/>
    <w:rsid w:val="1F102085"/>
    <w:rsid w:val="1F2C231F"/>
    <w:rsid w:val="1F370B10"/>
    <w:rsid w:val="1F4F40EC"/>
    <w:rsid w:val="1F671C42"/>
    <w:rsid w:val="1F6773AC"/>
    <w:rsid w:val="1F7A124A"/>
    <w:rsid w:val="1F9D2054"/>
    <w:rsid w:val="1FDB75E8"/>
    <w:rsid w:val="1FE47AFC"/>
    <w:rsid w:val="204F300E"/>
    <w:rsid w:val="2057365A"/>
    <w:rsid w:val="206D7DC3"/>
    <w:rsid w:val="20924301"/>
    <w:rsid w:val="20A26F98"/>
    <w:rsid w:val="20AA65A3"/>
    <w:rsid w:val="20C87915"/>
    <w:rsid w:val="20EC0664"/>
    <w:rsid w:val="20FE1671"/>
    <w:rsid w:val="2103150D"/>
    <w:rsid w:val="210821C0"/>
    <w:rsid w:val="211479E1"/>
    <w:rsid w:val="21180F0D"/>
    <w:rsid w:val="21684B9A"/>
    <w:rsid w:val="217963BD"/>
    <w:rsid w:val="21AF4E81"/>
    <w:rsid w:val="21B04BFA"/>
    <w:rsid w:val="21BD5166"/>
    <w:rsid w:val="21CA3228"/>
    <w:rsid w:val="21D547CB"/>
    <w:rsid w:val="21ED6BC5"/>
    <w:rsid w:val="21F3627C"/>
    <w:rsid w:val="2209032E"/>
    <w:rsid w:val="22112672"/>
    <w:rsid w:val="222739FF"/>
    <w:rsid w:val="223D2A2C"/>
    <w:rsid w:val="2269496E"/>
    <w:rsid w:val="2278331B"/>
    <w:rsid w:val="227D08EA"/>
    <w:rsid w:val="227E72E7"/>
    <w:rsid w:val="228C2F8D"/>
    <w:rsid w:val="228E1399"/>
    <w:rsid w:val="22B71C07"/>
    <w:rsid w:val="22CF4C89"/>
    <w:rsid w:val="22DD20AC"/>
    <w:rsid w:val="22E4624E"/>
    <w:rsid w:val="22E5250A"/>
    <w:rsid w:val="22F8637F"/>
    <w:rsid w:val="2315555B"/>
    <w:rsid w:val="231860A1"/>
    <w:rsid w:val="231F3188"/>
    <w:rsid w:val="23241F1D"/>
    <w:rsid w:val="232912E4"/>
    <w:rsid w:val="233764CC"/>
    <w:rsid w:val="234664BA"/>
    <w:rsid w:val="234A05DD"/>
    <w:rsid w:val="235B02ED"/>
    <w:rsid w:val="235B7209"/>
    <w:rsid w:val="23616679"/>
    <w:rsid w:val="237C2BE8"/>
    <w:rsid w:val="239A7CB1"/>
    <w:rsid w:val="23B60658"/>
    <w:rsid w:val="23BE4BAB"/>
    <w:rsid w:val="23D43947"/>
    <w:rsid w:val="23D72344"/>
    <w:rsid w:val="24121EFC"/>
    <w:rsid w:val="24640A19"/>
    <w:rsid w:val="24747A7B"/>
    <w:rsid w:val="2480705F"/>
    <w:rsid w:val="24875A24"/>
    <w:rsid w:val="24A71FB3"/>
    <w:rsid w:val="24A927EB"/>
    <w:rsid w:val="24CD14A7"/>
    <w:rsid w:val="24DB531F"/>
    <w:rsid w:val="24EA7D66"/>
    <w:rsid w:val="24F44357"/>
    <w:rsid w:val="24F649B4"/>
    <w:rsid w:val="24FB028B"/>
    <w:rsid w:val="24FE1BA3"/>
    <w:rsid w:val="250E136F"/>
    <w:rsid w:val="251723FE"/>
    <w:rsid w:val="252D51EA"/>
    <w:rsid w:val="254821FF"/>
    <w:rsid w:val="257873C3"/>
    <w:rsid w:val="25AB0546"/>
    <w:rsid w:val="25B305EA"/>
    <w:rsid w:val="25D15C63"/>
    <w:rsid w:val="25D46B47"/>
    <w:rsid w:val="25ED78A1"/>
    <w:rsid w:val="25F37FD5"/>
    <w:rsid w:val="25FA314D"/>
    <w:rsid w:val="25FB41DA"/>
    <w:rsid w:val="26114517"/>
    <w:rsid w:val="26146956"/>
    <w:rsid w:val="26234045"/>
    <w:rsid w:val="262C084A"/>
    <w:rsid w:val="26685A3D"/>
    <w:rsid w:val="266C0D4D"/>
    <w:rsid w:val="26A45D37"/>
    <w:rsid w:val="26A64EF3"/>
    <w:rsid w:val="26AC1705"/>
    <w:rsid w:val="26B153A5"/>
    <w:rsid w:val="26B75156"/>
    <w:rsid w:val="26DE3AA9"/>
    <w:rsid w:val="26EF2083"/>
    <w:rsid w:val="26F00E0F"/>
    <w:rsid w:val="26FB4FA7"/>
    <w:rsid w:val="26FF4D89"/>
    <w:rsid w:val="27216543"/>
    <w:rsid w:val="27296724"/>
    <w:rsid w:val="274A6B4E"/>
    <w:rsid w:val="275F5CDC"/>
    <w:rsid w:val="27922449"/>
    <w:rsid w:val="27A609E9"/>
    <w:rsid w:val="27B34C89"/>
    <w:rsid w:val="27BA55A2"/>
    <w:rsid w:val="27F81EE3"/>
    <w:rsid w:val="282C1F78"/>
    <w:rsid w:val="285D2747"/>
    <w:rsid w:val="286655D5"/>
    <w:rsid w:val="287A4E0C"/>
    <w:rsid w:val="287E732F"/>
    <w:rsid w:val="28A4702E"/>
    <w:rsid w:val="28B1662D"/>
    <w:rsid w:val="28B430AA"/>
    <w:rsid w:val="28DB6EAC"/>
    <w:rsid w:val="28E575BC"/>
    <w:rsid w:val="2905456B"/>
    <w:rsid w:val="290818DF"/>
    <w:rsid w:val="292A6EC8"/>
    <w:rsid w:val="297E4E22"/>
    <w:rsid w:val="29884146"/>
    <w:rsid w:val="298B3C76"/>
    <w:rsid w:val="29A26B74"/>
    <w:rsid w:val="29A445A1"/>
    <w:rsid w:val="29BC11D6"/>
    <w:rsid w:val="29D60CAE"/>
    <w:rsid w:val="29F64A94"/>
    <w:rsid w:val="2A28219B"/>
    <w:rsid w:val="2A3B6E4A"/>
    <w:rsid w:val="2A43073B"/>
    <w:rsid w:val="2A4A350C"/>
    <w:rsid w:val="2A4B016F"/>
    <w:rsid w:val="2A53737E"/>
    <w:rsid w:val="2A5F4347"/>
    <w:rsid w:val="2A790D44"/>
    <w:rsid w:val="2A837C67"/>
    <w:rsid w:val="2AA1194F"/>
    <w:rsid w:val="2AC90642"/>
    <w:rsid w:val="2AE272F8"/>
    <w:rsid w:val="2B1534F5"/>
    <w:rsid w:val="2B225B13"/>
    <w:rsid w:val="2B4E43D0"/>
    <w:rsid w:val="2B90792C"/>
    <w:rsid w:val="2B9D598B"/>
    <w:rsid w:val="2BA051BE"/>
    <w:rsid w:val="2BB77950"/>
    <w:rsid w:val="2BBE4342"/>
    <w:rsid w:val="2BBF28EA"/>
    <w:rsid w:val="2BC5548B"/>
    <w:rsid w:val="2BCC401C"/>
    <w:rsid w:val="2C333C6B"/>
    <w:rsid w:val="2C3D01A4"/>
    <w:rsid w:val="2C4E38AB"/>
    <w:rsid w:val="2C8067A5"/>
    <w:rsid w:val="2C8D37A6"/>
    <w:rsid w:val="2C96764D"/>
    <w:rsid w:val="2CE17C5C"/>
    <w:rsid w:val="2D4D3ECB"/>
    <w:rsid w:val="2D550683"/>
    <w:rsid w:val="2D8A1EC2"/>
    <w:rsid w:val="2DDE4152"/>
    <w:rsid w:val="2DE730FC"/>
    <w:rsid w:val="2DED451B"/>
    <w:rsid w:val="2DF10A2D"/>
    <w:rsid w:val="2E1A5768"/>
    <w:rsid w:val="2E1A69A7"/>
    <w:rsid w:val="2E250044"/>
    <w:rsid w:val="2E2B5050"/>
    <w:rsid w:val="2E380125"/>
    <w:rsid w:val="2E4731CC"/>
    <w:rsid w:val="2E483A7C"/>
    <w:rsid w:val="2E4E00D9"/>
    <w:rsid w:val="2E6F0059"/>
    <w:rsid w:val="2E7255F8"/>
    <w:rsid w:val="2E7A1714"/>
    <w:rsid w:val="2E7C4C53"/>
    <w:rsid w:val="2E8325DC"/>
    <w:rsid w:val="2E8D2118"/>
    <w:rsid w:val="2EA21D05"/>
    <w:rsid w:val="2EA5532A"/>
    <w:rsid w:val="2EA677C6"/>
    <w:rsid w:val="2ECC41CF"/>
    <w:rsid w:val="2ED07181"/>
    <w:rsid w:val="2ED6379F"/>
    <w:rsid w:val="2EDE36C4"/>
    <w:rsid w:val="2EF83DF2"/>
    <w:rsid w:val="2F2657B8"/>
    <w:rsid w:val="2F3A059E"/>
    <w:rsid w:val="2F3C2D70"/>
    <w:rsid w:val="2F51363B"/>
    <w:rsid w:val="2F6F7693"/>
    <w:rsid w:val="2F7E5172"/>
    <w:rsid w:val="2FC153FC"/>
    <w:rsid w:val="2FD5505A"/>
    <w:rsid w:val="2FD57E86"/>
    <w:rsid w:val="301C3BBB"/>
    <w:rsid w:val="30301D20"/>
    <w:rsid w:val="30492C9C"/>
    <w:rsid w:val="308B280C"/>
    <w:rsid w:val="309204FE"/>
    <w:rsid w:val="30946649"/>
    <w:rsid w:val="30974EC3"/>
    <w:rsid w:val="30BE2C03"/>
    <w:rsid w:val="30CD2521"/>
    <w:rsid w:val="30D81900"/>
    <w:rsid w:val="30FA4E14"/>
    <w:rsid w:val="30FB7DA6"/>
    <w:rsid w:val="31015A48"/>
    <w:rsid w:val="31105179"/>
    <w:rsid w:val="31332113"/>
    <w:rsid w:val="31396E35"/>
    <w:rsid w:val="318F22DC"/>
    <w:rsid w:val="31950F70"/>
    <w:rsid w:val="31A46A1A"/>
    <w:rsid w:val="31CE4181"/>
    <w:rsid w:val="31D65168"/>
    <w:rsid w:val="32024F20"/>
    <w:rsid w:val="321C1E43"/>
    <w:rsid w:val="325B51AB"/>
    <w:rsid w:val="325D72C4"/>
    <w:rsid w:val="32735DB0"/>
    <w:rsid w:val="3276111B"/>
    <w:rsid w:val="327805B7"/>
    <w:rsid w:val="32780B52"/>
    <w:rsid w:val="327B4D3D"/>
    <w:rsid w:val="32817D7B"/>
    <w:rsid w:val="32910F4D"/>
    <w:rsid w:val="32951C1A"/>
    <w:rsid w:val="329F6B99"/>
    <w:rsid w:val="32A33879"/>
    <w:rsid w:val="32C65D2C"/>
    <w:rsid w:val="32E50688"/>
    <w:rsid w:val="33111456"/>
    <w:rsid w:val="331704BD"/>
    <w:rsid w:val="331E6A3B"/>
    <w:rsid w:val="332A3621"/>
    <w:rsid w:val="334E1463"/>
    <w:rsid w:val="3350607B"/>
    <w:rsid w:val="337377F8"/>
    <w:rsid w:val="3377789E"/>
    <w:rsid w:val="337E2601"/>
    <w:rsid w:val="339D08D6"/>
    <w:rsid w:val="33C363FF"/>
    <w:rsid w:val="33C67C80"/>
    <w:rsid w:val="33DE0FDB"/>
    <w:rsid w:val="33EB6310"/>
    <w:rsid w:val="33EF1407"/>
    <w:rsid w:val="33EF414B"/>
    <w:rsid w:val="33F37C2F"/>
    <w:rsid w:val="33FE7DDA"/>
    <w:rsid w:val="3400019A"/>
    <w:rsid w:val="34142C4F"/>
    <w:rsid w:val="342B6971"/>
    <w:rsid w:val="3430605C"/>
    <w:rsid w:val="34357FFF"/>
    <w:rsid w:val="345C335B"/>
    <w:rsid w:val="347D3C61"/>
    <w:rsid w:val="348D5E50"/>
    <w:rsid w:val="34923C5E"/>
    <w:rsid w:val="349C42F0"/>
    <w:rsid w:val="34A42225"/>
    <w:rsid w:val="34B2761C"/>
    <w:rsid w:val="34C04506"/>
    <w:rsid w:val="34F2196C"/>
    <w:rsid w:val="34F373ED"/>
    <w:rsid w:val="35026F4B"/>
    <w:rsid w:val="35033E04"/>
    <w:rsid w:val="35353D27"/>
    <w:rsid w:val="353E5D91"/>
    <w:rsid w:val="354A1BBF"/>
    <w:rsid w:val="35523C5E"/>
    <w:rsid w:val="355A2AC2"/>
    <w:rsid w:val="356024C6"/>
    <w:rsid w:val="356047DC"/>
    <w:rsid w:val="357C1910"/>
    <w:rsid w:val="357E432F"/>
    <w:rsid w:val="35BD67F1"/>
    <w:rsid w:val="35D5465E"/>
    <w:rsid w:val="36030FAD"/>
    <w:rsid w:val="3613470F"/>
    <w:rsid w:val="362B0EFC"/>
    <w:rsid w:val="362D7E77"/>
    <w:rsid w:val="36430014"/>
    <w:rsid w:val="36434CED"/>
    <w:rsid w:val="36483BD9"/>
    <w:rsid w:val="364F0E21"/>
    <w:rsid w:val="36956959"/>
    <w:rsid w:val="36AC19C0"/>
    <w:rsid w:val="36DC3C76"/>
    <w:rsid w:val="36EE4B38"/>
    <w:rsid w:val="36F347A9"/>
    <w:rsid w:val="36F82414"/>
    <w:rsid w:val="37017F84"/>
    <w:rsid w:val="37084CFA"/>
    <w:rsid w:val="370B49F2"/>
    <w:rsid w:val="37176A6D"/>
    <w:rsid w:val="37473246"/>
    <w:rsid w:val="374D38C1"/>
    <w:rsid w:val="3756532C"/>
    <w:rsid w:val="37664D3C"/>
    <w:rsid w:val="379C0E5D"/>
    <w:rsid w:val="37BE11E3"/>
    <w:rsid w:val="37BE4DAE"/>
    <w:rsid w:val="37C069FC"/>
    <w:rsid w:val="37CF28A5"/>
    <w:rsid w:val="37F058B5"/>
    <w:rsid w:val="37FF0E28"/>
    <w:rsid w:val="381326AE"/>
    <w:rsid w:val="382847F5"/>
    <w:rsid w:val="38596A0E"/>
    <w:rsid w:val="389343A4"/>
    <w:rsid w:val="389E51DD"/>
    <w:rsid w:val="38B96C99"/>
    <w:rsid w:val="38BD0653"/>
    <w:rsid w:val="38D20F44"/>
    <w:rsid w:val="38D45B95"/>
    <w:rsid w:val="391A61C3"/>
    <w:rsid w:val="39203E44"/>
    <w:rsid w:val="39273E28"/>
    <w:rsid w:val="39285AF2"/>
    <w:rsid w:val="393A2270"/>
    <w:rsid w:val="396B7D50"/>
    <w:rsid w:val="3971346A"/>
    <w:rsid w:val="39731DE0"/>
    <w:rsid w:val="397C38A6"/>
    <w:rsid w:val="3983630E"/>
    <w:rsid w:val="39BD04F5"/>
    <w:rsid w:val="39C02B34"/>
    <w:rsid w:val="39DE7954"/>
    <w:rsid w:val="39FA6C9E"/>
    <w:rsid w:val="39FB0221"/>
    <w:rsid w:val="3A2C161A"/>
    <w:rsid w:val="3A3349D2"/>
    <w:rsid w:val="3A7135F2"/>
    <w:rsid w:val="3A806BB2"/>
    <w:rsid w:val="3A893645"/>
    <w:rsid w:val="3A9E2422"/>
    <w:rsid w:val="3AAD6116"/>
    <w:rsid w:val="3AB265D9"/>
    <w:rsid w:val="3AB65456"/>
    <w:rsid w:val="3ACD7848"/>
    <w:rsid w:val="3B0F0400"/>
    <w:rsid w:val="3B1F36AA"/>
    <w:rsid w:val="3B224EE5"/>
    <w:rsid w:val="3B3101AC"/>
    <w:rsid w:val="3B643E7F"/>
    <w:rsid w:val="3B8159AD"/>
    <w:rsid w:val="3B8E4187"/>
    <w:rsid w:val="3B90416E"/>
    <w:rsid w:val="3B995291"/>
    <w:rsid w:val="3BB54B82"/>
    <w:rsid w:val="3BC36455"/>
    <w:rsid w:val="3BC95994"/>
    <w:rsid w:val="3BE56855"/>
    <w:rsid w:val="3C0072D6"/>
    <w:rsid w:val="3C2E799E"/>
    <w:rsid w:val="3C4609A2"/>
    <w:rsid w:val="3C577B7C"/>
    <w:rsid w:val="3C6475FF"/>
    <w:rsid w:val="3C686A41"/>
    <w:rsid w:val="3C721523"/>
    <w:rsid w:val="3C911725"/>
    <w:rsid w:val="3CAC689C"/>
    <w:rsid w:val="3CBE5E91"/>
    <w:rsid w:val="3CC75DB7"/>
    <w:rsid w:val="3CD157AF"/>
    <w:rsid w:val="3CDD20B9"/>
    <w:rsid w:val="3CEB2A01"/>
    <w:rsid w:val="3CF00A90"/>
    <w:rsid w:val="3CF70C2A"/>
    <w:rsid w:val="3CFD31A6"/>
    <w:rsid w:val="3D0B2005"/>
    <w:rsid w:val="3D3C7165"/>
    <w:rsid w:val="3D421998"/>
    <w:rsid w:val="3D4313C4"/>
    <w:rsid w:val="3D4604E7"/>
    <w:rsid w:val="3D5565A9"/>
    <w:rsid w:val="3D5B0736"/>
    <w:rsid w:val="3D6E2C7A"/>
    <w:rsid w:val="3D726880"/>
    <w:rsid w:val="3D7A0E86"/>
    <w:rsid w:val="3D7A231E"/>
    <w:rsid w:val="3D806E0C"/>
    <w:rsid w:val="3D8723EC"/>
    <w:rsid w:val="3D897D57"/>
    <w:rsid w:val="3D8A0C98"/>
    <w:rsid w:val="3D9E24A4"/>
    <w:rsid w:val="3DC65BE7"/>
    <w:rsid w:val="3DD54D90"/>
    <w:rsid w:val="3DEB7784"/>
    <w:rsid w:val="3DF526EA"/>
    <w:rsid w:val="3DF62960"/>
    <w:rsid w:val="3DFE0E07"/>
    <w:rsid w:val="3E0736CF"/>
    <w:rsid w:val="3E0800BA"/>
    <w:rsid w:val="3E0B5F0B"/>
    <w:rsid w:val="3E1229B1"/>
    <w:rsid w:val="3E341A3B"/>
    <w:rsid w:val="3E373DCD"/>
    <w:rsid w:val="3E500D27"/>
    <w:rsid w:val="3E8B56AB"/>
    <w:rsid w:val="3E8C358E"/>
    <w:rsid w:val="3E9704BE"/>
    <w:rsid w:val="3EA05D9B"/>
    <w:rsid w:val="3EA31D52"/>
    <w:rsid w:val="3EC262E8"/>
    <w:rsid w:val="3ECB0200"/>
    <w:rsid w:val="3ED56171"/>
    <w:rsid w:val="3ED60D57"/>
    <w:rsid w:val="3EFF0602"/>
    <w:rsid w:val="3F1805D6"/>
    <w:rsid w:val="3F384989"/>
    <w:rsid w:val="3F4432EC"/>
    <w:rsid w:val="3F4A1A1B"/>
    <w:rsid w:val="3F5C4FFB"/>
    <w:rsid w:val="3F617B87"/>
    <w:rsid w:val="3F767B2C"/>
    <w:rsid w:val="3F895A13"/>
    <w:rsid w:val="3FA6475E"/>
    <w:rsid w:val="3FA847A5"/>
    <w:rsid w:val="3FAA2106"/>
    <w:rsid w:val="3FBA2F1A"/>
    <w:rsid w:val="3FCD2A47"/>
    <w:rsid w:val="3FEA2F5A"/>
    <w:rsid w:val="40036E1F"/>
    <w:rsid w:val="400D6DDD"/>
    <w:rsid w:val="402A08D4"/>
    <w:rsid w:val="402B1A4C"/>
    <w:rsid w:val="402C6700"/>
    <w:rsid w:val="402D6EBB"/>
    <w:rsid w:val="4046059E"/>
    <w:rsid w:val="40610E5B"/>
    <w:rsid w:val="406B2622"/>
    <w:rsid w:val="40AF0120"/>
    <w:rsid w:val="40BB305A"/>
    <w:rsid w:val="40C67514"/>
    <w:rsid w:val="411403E5"/>
    <w:rsid w:val="41270465"/>
    <w:rsid w:val="412E63B9"/>
    <w:rsid w:val="413F607E"/>
    <w:rsid w:val="414B735B"/>
    <w:rsid w:val="415360D3"/>
    <w:rsid w:val="416C231C"/>
    <w:rsid w:val="418A0522"/>
    <w:rsid w:val="418E68CE"/>
    <w:rsid w:val="41913B31"/>
    <w:rsid w:val="41AF06D0"/>
    <w:rsid w:val="41AF6845"/>
    <w:rsid w:val="41B1327D"/>
    <w:rsid w:val="41CF2217"/>
    <w:rsid w:val="41D254E5"/>
    <w:rsid w:val="42061BFE"/>
    <w:rsid w:val="4210073E"/>
    <w:rsid w:val="42124EF1"/>
    <w:rsid w:val="424C170C"/>
    <w:rsid w:val="424D72D5"/>
    <w:rsid w:val="42557F64"/>
    <w:rsid w:val="4256534B"/>
    <w:rsid w:val="425A6752"/>
    <w:rsid w:val="427C4E92"/>
    <w:rsid w:val="42823D0F"/>
    <w:rsid w:val="42850EC9"/>
    <w:rsid w:val="42930DDA"/>
    <w:rsid w:val="429435A2"/>
    <w:rsid w:val="42B86984"/>
    <w:rsid w:val="42E22DA1"/>
    <w:rsid w:val="42EE5D75"/>
    <w:rsid w:val="42EF412B"/>
    <w:rsid w:val="42FE6AA3"/>
    <w:rsid w:val="433466DC"/>
    <w:rsid w:val="43351583"/>
    <w:rsid w:val="437473DB"/>
    <w:rsid w:val="43911BC6"/>
    <w:rsid w:val="4392347B"/>
    <w:rsid w:val="43971CCF"/>
    <w:rsid w:val="43B0785C"/>
    <w:rsid w:val="43C610C0"/>
    <w:rsid w:val="43CD0296"/>
    <w:rsid w:val="43E90244"/>
    <w:rsid w:val="43EE27E6"/>
    <w:rsid w:val="43FA314F"/>
    <w:rsid w:val="440967F5"/>
    <w:rsid w:val="440B09F8"/>
    <w:rsid w:val="44464E91"/>
    <w:rsid w:val="445960B0"/>
    <w:rsid w:val="445C61F0"/>
    <w:rsid w:val="445E2863"/>
    <w:rsid w:val="44B61C2D"/>
    <w:rsid w:val="44BB29C9"/>
    <w:rsid w:val="44C712C0"/>
    <w:rsid w:val="44E754D8"/>
    <w:rsid w:val="44E930CF"/>
    <w:rsid w:val="44FB20F3"/>
    <w:rsid w:val="44FF34A7"/>
    <w:rsid w:val="451B08D2"/>
    <w:rsid w:val="45246A6A"/>
    <w:rsid w:val="453C0DEA"/>
    <w:rsid w:val="454722BC"/>
    <w:rsid w:val="454941D3"/>
    <w:rsid w:val="455B7E06"/>
    <w:rsid w:val="455C6A52"/>
    <w:rsid w:val="457E4ED5"/>
    <w:rsid w:val="45975A2A"/>
    <w:rsid w:val="459D305A"/>
    <w:rsid w:val="45B46264"/>
    <w:rsid w:val="45B55E7F"/>
    <w:rsid w:val="45B8149C"/>
    <w:rsid w:val="45D2055D"/>
    <w:rsid w:val="45E15646"/>
    <w:rsid w:val="45EB4B71"/>
    <w:rsid w:val="45EE4532"/>
    <w:rsid w:val="45F1744D"/>
    <w:rsid w:val="46065F18"/>
    <w:rsid w:val="46202C50"/>
    <w:rsid w:val="462062F7"/>
    <w:rsid w:val="46237C42"/>
    <w:rsid w:val="46390B44"/>
    <w:rsid w:val="464C2450"/>
    <w:rsid w:val="46A34384"/>
    <w:rsid w:val="46BB5E7A"/>
    <w:rsid w:val="46C353A9"/>
    <w:rsid w:val="46D95039"/>
    <w:rsid w:val="46FC7AF4"/>
    <w:rsid w:val="470D0220"/>
    <w:rsid w:val="4718162D"/>
    <w:rsid w:val="4750522E"/>
    <w:rsid w:val="47994953"/>
    <w:rsid w:val="47D305A4"/>
    <w:rsid w:val="47E8280D"/>
    <w:rsid w:val="48081ACF"/>
    <w:rsid w:val="48226093"/>
    <w:rsid w:val="482427BB"/>
    <w:rsid w:val="483328BE"/>
    <w:rsid w:val="48697660"/>
    <w:rsid w:val="487C7DFF"/>
    <w:rsid w:val="487D32FD"/>
    <w:rsid w:val="487E1548"/>
    <w:rsid w:val="48B344E9"/>
    <w:rsid w:val="4913190B"/>
    <w:rsid w:val="49260A12"/>
    <w:rsid w:val="49325973"/>
    <w:rsid w:val="49353AF4"/>
    <w:rsid w:val="495956E3"/>
    <w:rsid w:val="495E4CCA"/>
    <w:rsid w:val="496D6F0A"/>
    <w:rsid w:val="4995680C"/>
    <w:rsid w:val="49B001DB"/>
    <w:rsid w:val="49B0202E"/>
    <w:rsid w:val="49B46B01"/>
    <w:rsid w:val="4A013A47"/>
    <w:rsid w:val="4A0831B4"/>
    <w:rsid w:val="4A0B5F87"/>
    <w:rsid w:val="4A1E1CDA"/>
    <w:rsid w:val="4A3B4613"/>
    <w:rsid w:val="4A5E79EC"/>
    <w:rsid w:val="4A6F0B94"/>
    <w:rsid w:val="4A7043C6"/>
    <w:rsid w:val="4A8A55C1"/>
    <w:rsid w:val="4A902BD4"/>
    <w:rsid w:val="4AC46A3A"/>
    <w:rsid w:val="4AC90F8D"/>
    <w:rsid w:val="4AE4048A"/>
    <w:rsid w:val="4AE56418"/>
    <w:rsid w:val="4AED7735"/>
    <w:rsid w:val="4AF57209"/>
    <w:rsid w:val="4B42055E"/>
    <w:rsid w:val="4B8647BA"/>
    <w:rsid w:val="4BA40D9A"/>
    <w:rsid w:val="4BBA3E7E"/>
    <w:rsid w:val="4BC9556A"/>
    <w:rsid w:val="4BCF1E76"/>
    <w:rsid w:val="4BE41B70"/>
    <w:rsid w:val="4BEF7018"/>
    <w:rsid w:val="4BF04943"/>
    <w:rsid w:val="4C0776E8"/>
    <w:rsid w:val="4C0C3073"/>
    <w:rsid w:val="4C166BC0"/>
    <w:rsid w:val="4C7B39D2"/>
    <w:rsid w:val="4C9572A4"/>
    <w:rsid w:val="4C9C0441"/>
    <w:rsid w:val="4CA35D56"/>
    <w:rsid w:val="4CA845D9"/>
    <w:rsid w:val="4CAF224B"/>
    <w:rsid w:val="4CDF6CAF"/>
    <w:rsid w:val="4CED21F7"/>
    <w:rsid w:val="4CF30842"/>
    <w:rsid w:val="4D015978"/>
    <w:rsid w:val="4D047657"/>
    <w:rsid w:val="4D0F340D"/>
    <w:rsid w:val="4D1D09A1"/>
    <w:rsid w:val="4D6719DD"/>
    <w:rsid w:val="4DB265E2"/>
    <w:rsid w:val="4DEE786D"/>
    <w:rsid w:val="4DFD75FC"/>
    <w:rsid w:val="4E0A257B"/>
    <w:rsid w:val="4E763CCB"/>
    <w:rsid w:val="4E7A1E3E"/>
    <w:rsid w:val="4E9218CC"/>
    <w:rsid w:val="4EB621B3"/>
    <w:rsid w:val="4EBA2DB1"/>
    <w:rsid w:val="4EC60B02"/>
    <w:rsid w:val="4EE51B8C"/>
    <w:rsid w:val="4EF135D5"/>
    <w:rsid w:val="4EF96F8F"/>
    <w:rsid w:val="4F420FCB"/>
    <w:rsid w:val="4F4C64F6"/>
    <w:rsid w:val="4F562C35"/>
    <w:rsid w:val="4F760567"/>
    <w:rsid w:val="4F9F7699"/>
    <w:rsid w:val="4FAC6CE1"/>
    <w:rsid w:val="4FAE227B"/>
    <w:rsid w:val="4FB321D5"/>
    <w:rsid w:val="4FB85FD9"/>
    <w:rsid w:val="4FC1669B"/>
    <w:rsid w:val="4FCE427F"/>
    <w:rsid w:val="501B7CAD"/>
    <w:rsid w:val="50AA5AE5"/>
    <w:rsid w:val="50B64ECD"/>
    <w:rsid w:val="50D111F1"/>
    <w:rsid w:val="50DD32E6"/>
    <w:rsid w:val="50F56E5E"/>
    <w:rsid w:val="511259F7"/>
    <w:rsid w:val="511D5C04"/>
    <w:rsid w:val="514858D3"/>
    <w:rsid w:val="51593A2B"/>
    <w:rsid w:val="51603263"/>
    <w:rsid w:val="51660DD6"/>
    <w:rsid w:val="51733633"/>
    <w:rsid w:val="51950DA4"/>
    <w:rsid w:val="51AC6906"/>
    <w:rsid w:val="51B53A19"/>
    <w:rsid w:val="51C93CFD"/>
    <w:rsid w:val="51D66C46"/>
    <w:rsid w:val="51F34B83"/>
    <w:rsid w:val="52044F09"/>
    <w:rsid w:val="521602A0"/>
    <w:rsid w:val="521F5647"/>
    <w:rsid w:val="52221E4F"/>
    <w:rsid w:val="527210A6"/>
    <w:rsid w:val="52830647"/>
    <w:rsid w:val="52946694"/>
    <w:rsid w:val="52A57B09"/>
    <w:rsid w:val="52B95845"/>
    <w:rsid w:val="52C91154"/>
    <w:rsid w:val="52C97E3F"/>
    <w:rsid w:val="52D658CB"/>
    <w:rsid w:val="530D6ED1"/>
    <w:rsid w:val="530E1BEF"/>
    <w:rsid w:val="530F0D59"/>
    <w:rsid w:val="53273C7B"/>
    <w:rsid w:val="53776EFD"/>
    <w:rsid w:val="539C23A0"/>
    <w:rsid w:val="53BD3DEE"/>
    <w:rsid w:val="54023024"/>
    <w:rsid w:val="540A232C"/>
    <w:rsid w:val="541A291A"/>
    <w:rsid w:val="541A74FE"/>
    <w:rsid w:val="546C03CC"/>
    <w:rsid w:val="54860390"/>
    <w:rsid w:val="549B578D"/>
    <w:rsid w:val="54A510DF"/>
    <w:rsid w:val="54A84E02"/>
    <w:rsid w:val="54CB1280"/>
    <w:rsid w:val="54CF4F30"/>
    <w:rsid w:val="54EB0FDD"/>
    <w:rsid w:val="54FB4AFB"/>
    <w:rsid w:val="551268DF"/>
    <w:rsid w:val="55234733"/>
    <w:rsid w:val="55240368"/>
    <w:rsid w:val="55291169"/>
    <w:rsid w:val="55426AF3"/>
    <w:rsid w:val="554F7757"/>
    <w:rsid w:val="557742E6"/>
    <w:rsid w:val="55B972DC"/>
    <w:rsid w:val="55D333ED"/>
    <w:rsid w:val="55D61E30"/>
    <w:rsid w:val="56332140"/>
    <w:rsid w:val="564231F4"/>
    <w:rsid w:val="56486A5C"/>
    <w:rsid w:val="56550E39"/>
    <w:rsid w:val="566C3A58"/>
    <w:rsid w:val="569A6507"/>
    <w:rsid w:val="569D62D0"/>
    <w:rsid w:val="56A00803"/>
    <w:rsid w:val="56DC1C2F"/>
    <w:rsid w:val="574720D1"/>
    <w:rsid w:val="57845848"/>
    <w:rsid w:val="57885129"/>
    <w:rsid w:val="57A027F7"/>
    <w:rsid w:val="57A55173"/>
    <w:rsid w:val="57A852D8"/>
    <w:rsid w:val="57AE50C1"/>
    <w:rsid w:val="57B358A8"/>
    <w:rsid w:val="57B70A7D"/>
    <w:rsid w:val="57BA3D60"/>
    <w:rsid w:val="57EE28CF"/>
    <w:rsid w:val="57F65623"/>
    <w:rsid w:val="57F66044"/>
    <w:rsid w:val="5813069E"/>
    <w:rsid w:val="583D6D64"/>
    <w:rsid w:val="58472D43"/>
    <w:rsid w:val="58771FEA"/>
    <w:rsid w:val="58992740"/>
    <w:rsid w:val="58A3012E"/>
    <w:rsid w:val="58A80E04"/>
    <w:rsid w:val="58B51294"/>
    <w:rsid w:val="58BD7A53"/>
    <w:rsid w:val="58D53208"/>
    <w:rsid w:val="58E87C5F"/>
    <w:rsid w:val="59187A5A"/>
    <w:rsid w:val="591F4533"/>
    <w:rsid w:val="592B20AB"/>
    <w:rsid w:val="592E6DF2"/>
    <w:rsid w:val="59437762"/>
    <w:rsid w:val="597B23E2"/>
    <w:rsid w:val="59943F04"/>
    <w:rsid w:val="59A81D47"/>
    <w:rsid w:val="59C1078D"/>
    <w:rsid w:val="59C9198C"/>
    <w:rsid w:val="59CD7791"/>
    <w:rsid w:val="59DC6112"/>
    <w:rsid w:val="59E858DD"/>
    <w:rsid w:val="5A032C9A"/>
    <w:rsid w:val="5A044C0B"/>
    <w:rsid w:val="5A2156CA"/>
    <w:rsid w:val="5A276B60"/>
    <w:rsid w:val="5A4A2677"/>
    <w:rsid w:val="5A564743"/>
    <w:rsid w:val="5A773F56"/>
    <w:rsid w:val="5A7A7B4A"/>
    <w:rsid w:val="5A860E77"/>
    <w:rsid w:val="5A914021"/>
    <w:rsid w:val="5AAB1824"/>
    <w:rsid w:val="5ABB2007"/>
    <w:rsid w:val="5ACA23DE"/>
    <w:rsid w:val="5AE93438"/>
    <w:rsid w:val="5B0942E0"/>
    <w:rsid w:val="5B363630"/>
    <w:rsid w:val="5B537EED"/>
    <w:rsid w:val="5B606E86"/>
    <w:rsid w:val="5B9117A4"/>
    <w:rsid w:val="5B9F6882"/>
    <w:rsid w:val="5BA13819"/>
    <w:rsid w:val="5BA46BE3"/>
    <w:rsid w:val="5BAC2376"/>
    <w:rsid w:val="5BCF2884"/>
    <w:rsid w:val="5BCF366A"/>
    <w:rsid w:val="5BDF3E49"/>
    <w:rsid w:val="5BEA7279"/>
    <w:rsid w:val="5BF018D5"/>
    <w:rsid w:val="5BF12D51"/>
    <w:rsid w:val="5BF3671B"/>
    <w:rsid w:val="5BFB44AC"/>
    <w:rsid w:val="5C076A71"/>
    <w:rsid w:val="5C0C725E"/>
    <w:rsid w:val="5C323B79"/>
    <w:rsid w:val="5C466C8D"/>
    <w:rsid w:val="5C494351"/>
    <w:rsid w:val="5C8A0B0D"/>
    <w:rsid w:val="5CDA5219"/>
    <w:rsid w:val="5CEF5BF4"/>
    <w:rsid w:val="5D09752E"/>
    <w:rsid w:val="5D0A00E6"/>
    <w:rsid w:val="5D541474"/>
    <w:rsid w:val="5D9D258D"/>
    <w:rsid w:val="5DBA5C3A"/>
    <w:rsid w:val="5DD219A2"/>
    <w:rsid w:val="5DEE246C"/>
    <w:rsid w:val="5E055233"/>
    <w:rsid w:val="5E0E005A"/>
    <w:rsid w:val="5E382D33"/>
    <w:rsid w:val="5E391BF0"/>
    <w:rsid w:val="5E4E2182"/>
    <w:rsid w:val="5E884C3E"/>
    <w:rsid w:val="5EB915BA"/>
    <w:rsid w:val="5ED310E2"/>
    <w:rsid w:val="5EE34AE1"/>
    <w:rsid w:val="5EE936BD"/>
    <w:rsid w:val="5F064676"/>
    <w:rsid w:val="5F12158C"/>
    <w:rsid w:val="5F232D0A"/>
    <w:rsid w:val="5F354F60"/>
    <w:rsid w:val="5F456359"/>
    <w:rsid w:val="5FAB94C4"/>
    <w:rsid w:val="5FB02877"/>
    <w:rsid w:val="5FB327E8"/>
    <w:rsid w:val="5FBC004F"/>
    <w:rsid w:val="5FD513F6"/>
    <w:rsid w:val="5FD9674A"/>
    <w:rsid w:val="5FDC2A40"/>
    <w:rsid w:val="5FE71A9A"/>
    <w:rsid w:val="601A421B"/>
    <w:rsid w:val="60624868"/>
    <w:rsid w:val="60644CD3"/>
    <w:rsid w:val="6067651F"/>
    <w:rsid w:val="606D3290"/>
    <w:rsid w:val="60881580"/>
    <w:rsid w:val="60895068"/>
    <w:rsid w:val="608E4DD3"/>
    <w:rsid w:val="60901B5D"/>
    <w:rsid w:val="609F3E52"/>
    <w:rsid w:val="60BF611E"/>
    <w:rsid w:val="60C16D07"/>
    <w:rsid w:val="60C3095C"/>
    <w:rsid w:val="60E956DA"/>
    <w:rsid w:val="60F7567D"/>
    <w:rsid w:val="61042335"/>
    <w:rsid w:val="610D0C72"/>
    <w:rsid w:val="61280C01"/>
    <w:rsid w:val="6146003C"/>
    <w:rsid w:val="615C23AC"/>
    <w:rsid w:val="61657082"/>
    <w:rsid w:val="616F32D9"/>
    <w:rsid w:val="61A27D6A"/>
    <w:rsid w:val="61A3723C"/>
    <w:rsid w:val="61AF0D51"/>
    <w:rsid w:val="61BE6E88"/>
    <w:rsid w:val="61E5637B"/>
    <w:rsid w:val="61EC320F"/>
    <w:rsid w:val="625D33D3"/>
    <w:rsid w:val="626E3598"/>
    <w:rsid w:val="627310D2"/>
    <w:rsid w:val="627E7911"/>
    <w:rsid w:val="628B5242"/>
    <w:rsid w:val="629458E0"/>
    <w:rsid w:val="630F26B0"/>
    <w:rsid w:val="632C02D8"/>
    <w:rsid w:val="633914DA"/>
    <w:rsid w:val="635412B5"/>
    <w:rsid w:val="636B6880"/>
    <w:rsid w:val="63742D80"/>
    <w:rsid w:val="63802C51"/>
    <w:rsid w:val="638C3421"/>
    <w:rsid w:val="63932722"/>
    <w:rsid w:val="63966DA4"/>
    <w:rsid w:val="63B91AA2"/>
    <w:rsid w:val="63C4726B"/>
    <w:rsid w:val="63CB41D5"/>
    <w:rsid w:val="63D26C8D"/>
    <w:rsid w:val="63D33CC7"/>
    <w:rsid w:val="63D71438"/>
    <w:rsid w:val="63D76A26"/>
    <w:rsid w:val="63F97E66"/>
    <w:rsid w:val="63FB2392"/>
    <w:rsid w:val="63FF9293"/>
    <w:rsid w:val="641E1DD0"/>
    <w:rsid w:val="64235C88"/>
    <w:rsid w:val="642F125B"/>
    <w:rsid w:val="64382979"/>
    <w:rsid w:val="64451416"/>
    <w:rsid w:val="6445389F"/>
    <w:rsid w:val="646215BF"/>
    <w:rsid w:val="64775CE1"/>
    <w:rsid w:val="648C2E47"/>
    <w:rsid w:val="64BE7B84"/>
    <w:rsid w:val="64CC5B91"/>
    <w:rsid w:val="64D02957"/>
    <w:rsid w:val="64FB3541"/>
    <w:rsid w:val="65326320"/>
    <w:rsid w:val="653B65DA"/>
    <w:rsid w:val="656676A6"/>
    <w:rsid w:val="65865E9F"/>
    <w:rsid w:val="658A08A4"/>
    <w:rsid w:val="65A663D3"/>
    <w:rsid w:val="65DB3094"/>
    <w:rsid w:val="66107FB8"/>
    <w:rsid w:val="66225BA7"/>
    <w:rsid w:val="66477C47"/>
    <w:rsid w:val="667A16C4"/>
    <w:rsid w:val="66900ABE"/>
    <w:rsid w:val="66A762C2"/>
    <w:rsid w:val="66AC10B4"/>
    <w:rsid w:val="66AD1184"/>
    <w:rsid w:val="66EE6EC1"/>
    <w:rsid w:val="66F0444C"/>
    <w:rsid w:val="67087877"/>
    <w:rsid w:val="671505CF"/>
    <w:rsid w:val="673F2C72"/>
    <w:rsid w:val="673F6E11"/>
    <w:rsid w:val="678036DB"/>
    <w:rsid w:val="67953680"/>
    <w:rsid w:val="67B478DF"/>
    <w:rsid w:val="67EA4E7A"/>
    <w:rsid w:val="67F646BC"/>
    <w:rsid w:val="6808569C"/>
    <w:rsid w:val="68107B65"/>
    <w:rsid w:val="68654C71"/>
    <w:rsid w:val="686A7177"/>
    <w:rsid w:val="68AD70F9"/>
    <w:rsid w:val="68BC0287"/>
    <w:rsid w:val="68C36C93"/>
    <w:rsid w:val="68CB309F"/>
    <w:rsid w:val="68D2179B"/>
    <w:rsid w:val="68EB00D2"/>
    <w:rsid w:val="68ED2548"/>
    <w:rsid w:val="68FA26F5"/>
    <w:rsid w:val="690F31B1"/>
    <w:rsid w:val="691E1EBC"/>
    <w:rsid w:val="69732C11"/>
    <w:rsid w:val="69B67C91"/>
    <w:rsid w:val="69B715FD"/>
    <w:rsid w:val="69C67A8B"/>
    <w:rsid w:val="69DA3A17"/>
    <w:rsid w:val="69FA56E9"/>
    <w:rsid w:val="6A0779D8"/>
    <w:rsid w:val="6A3003EA"/>
    <w:rsid w:val="6A97050E"/>
    <w:rsid w:val="6AA73BA6"/>
    <w:rsid w:val="6AD22EE6"/>
    <w:rsid w:val="6ADC0CC5"/>
    <w:rsid w:val="6AF50D8C"/>
    <w:rsid w:val="6B0F54D8"/>
    <w:rsid w:val="6B192558"/>
    <w:rsid w:val="6B2A658B"/>
    <w:rsid w:val="6B31003E"/>
    <w:rsid w:val="6B3E1D84"/>
    <w:rsid w:val="6B5019F0"/>
    <w:rsid w:val="6B6D43D2"/>
    <w:rsid w:val="6B777F82"/>
    <w:rsid w:val="6B9756DF"/>
    <w:rsid w:val="6B9A0018"/>
    <w:rsid w:val="6BEE5558"/>
    <w:rsid w:val="6C004D10"/>
    <w:rsid w:val="6C0576C7"/>
    <w:rsid w:val="6C204E11"/>
    <w:rsid w:val="6C311810"/>
    <w:rsid w:val="6C541F44"/>
    <w:rsid w:val="6C6B31D6"/>
    <w:rsid w:val="6C6F0081"/>
    <w:rsid w:val="6C794A06"/>
    <w:rsid w:val="6C8E2A4A"/>
    <w:rsid w:val="6C996AEB"/>
    <w:rsid w:val="6CC771DB"/>
    <w:rsid w:val="6CE17FD5"/>
    <w:rsid w:val="6CE507CD"/>
    <w:rsid w:val="6CE65367"/>
    <w:rsid w:val="6CFD43DC"/>
    <w:rsid w:val="6D040C12"/>
    <w:rsid w:val="6D0C7D98"/>
    <w:rsid w:val="6D12495D"/>
    <w:rsid w:val="6D185650"/>
    <w:rsid w:val="6D3C3656"/>
    <w:rsid w:val="6D5409F4"/>
    <w:rsid w:val="6D6313D2"/>
    <w:rsid w:val="6D802044"/>
    <w:rsid w:val="6D9847DE"/>
    <w:rsid w:val="6DA92C5D"/>
    <w:rsid w:val="6DB90842"/>
    <w:rsid w:val="6DC367D9"/>
    <w:rsid w:val="6DE634C7"/>
    <w:rsid w:val="6E0639AC"/>
    <w:rsid w:val="6E1305C5"/>
    <w:rsid w:val="6E475CB1"/>
    <w:rsid w:val="6E580C9C"/>
    <w:rsid w:val="6E65755E"/>
    <w:rsid w:val="6E725BCA"/>
    <w:rsid w:val="6EA74ABF"/>
    <w:rsid w:val="6EE67DB6"/>
    <w:rsid w:val="6EFB08C9"/>
    <w:rsid w:val="6F230C1C"/>
    <w:rsid w:val="6F5116C9"/>
    <w:rsid w:val="6F59436A"/>
    <w:rsid w:val="6F8464B5"/>
    <w:rsid w:val="6F973D20"/>
    <w:rsid w:val="6F9F48D3"/>
    <w:rsid w:val="6FD1766A"/>
    <w:rsid w:val="6FD3747F"/>
    <w:rsid w:val="6FF46A43"/>
    <w:rsid w:val="6FF750D5"/>
    <w:rsid w:val="6FFB213A"/>
    <w:rsid w:val="70183A13"/>
    <w:rsid w:val="702D331A"/>
    <w:rsid w:val="703001F2"/>
    <w:rsid w:val="706C0880"/>
    <w:rsid w:val="706F23EA"/>
    <w:rsid w:val="708539A9"/>
    <w:rsid w:val="708C5F8F"/>
    <w:rsid w:val="70A4452C"/>
    <w:rsid w:val="70A64653"/>
    <w:rsid w:val="70AD3868"/>
    <w:rsid w:val="70C35227"/>
    <w:rsid w:val="70C85717"/>
    <w:rsid w:val="70CA65C3"/>
    <w:rsid w:val="70F073A7"/>
    <w:rsid w:val="71047A8A"/>
    <w:rsid w:val="71301223"/>
    <w:rsid w:val="716C6E28"/>
    <w:rsid w:val="7170453B"/>
    <w:rsid w:val="71791CB7"/>
    <w:rsid w:val="71882C15"/>
    <w:rsid w:val="718B746D"/>
    <w:rsid w:val="719552C0"/>
    <w:rsid w:val="71E04EFE"/>
    <w:rsid w:val="71E37716"/>
    <w:rsid w:val="72086FFB"/>
    <w:rsid w:val="720C5064"/>
    <w:rsid w:val="72270974"/>
    <w:rsid w:val="723F5F93"/>
    <w:rsid w:val="72603767"/>
    <w:rsid w:val="726A6A4C"/>
    <w:rsid w:val="727331D4"/>
    <w:rsid w:val="72CD26F6"/>
    <w:rsid w:val="72ED7B95"/>
    <w:rsid w:val="72F33A41"/>
    <w:rsid w:val="73166EF6"/>
    <w:rsid w:val="731A13E3"/>
    <w:rsid w:val="731B3058"/>
    <w:rsid w:val="73307C13"/>
    <w:rsid w:val="73386E85"/>
    <w:rsid w:val="733A0C2A"/>
    <w:rsid w:val="733D6108"/>
    <w:rsid w:val="733F59BC"/>
    <w:rsid w:val="73601B58"/>
    <w:rsid w:val="73B62946"/>
    <w:rsid w:val="73CD7DC0"/>
    <w:rsid w:val="73D43584"/>
    <w:rsid w:val="73E06199"/>
    <w:rsid w:val="73F20ED1"/>
    <w:rsid w:val="740B676D"/>
    <w:rsid w:val="74123411"/>
    <w:rsid w:val="7443477C"/>
    <w:rsid w:val="745713BC"/>
    <w:rsid w:val="745B6727"/>
    <w:rsid w:val="74734E98"/>
    <w:rsid w:val="74920FD0"/>
    <w:rsid w:val="74936A37"/>
    <w:rsid w:val="749824B0"/>
    <w:rsid w:val="749E0D4D"/>
    <w:rsid w:val="74C27582"/>
    <w:rsid w:val="74E7544E"/>
    <w:rsid w:val="74E81D55"/>
    <w:rsid w:val="74F95890"/>
    <w:rsid w:val="75043F86"/>
    <w:rsid w:val="75045DEC"/>
    <w:rsid w:val="75232ABD"/>
    <w:rsid w:val="75627E29"/>
    <w:rsid w:val="756E1C38"/>
    <w:rsid w:val="75887905"/>
    <w:rsid w:val="758A57E4"/>
    <w:rsid w:val="759E54C5"/>
    <w:rsid w:val="75AE1C91"/>
    <w:rsid w:val="75B12485"/>
    <w:rsid w:val="75C66693"/>
    <w:rsid w:val="75E10C98"/>
    <w:rsid w:val="760262D7"/>
    <w:rsid w:val="760763B8"/>
    <w:rsid w:val="7613496D"/>
    <w:rsid w:val="761E2D26"/>
    <w:rsid w:val="764C3824"/>
    <w:rsid w:val="765D33A0"/>
    <w:rsid w:val="76627FEE"/>
    <w:rsid w:val="767101E7"/>
    <w:rsid w:val="767B0347"/>
    <w:rsid w:val="769227A1"/>
    <w:rsid w:val="769B6E27"/>
    <w:rsid w:val="76C70900"/>
    <w:rsid w:val="76C80702"/>
    <w:rsid w:val="76E70321"/>
    <w:rsid w:val="76EB32EF"/>
    <w:rsid w:val="77087C7F"/>
    <w:rsid w:val="77123F5A"/>
    <w:rsid w:val="77152CE3"/>
    <w:rsid w:val="77187C4D"/>
    <w:rsid w:val="772D1C1A"/>
    <w:rsid w:val="77416805"/>
    <w:rsid w:val="77BA77B7"/>
    <w:rsid w:val="77BE0160"/>
    <w:rsid w:val="77CC0135"/>
    <w:rsid w:val="77EA549A"/>
    <w:rsid w:val="780879A1"/>
    <w:rsid w:val="781044B2"/>
    <w:rsid w:val="781928DF"/>
    <w:rsid w:val="78200175"/>
    <w:rsid w:val="78295334"/>
    <w:rsid w:val="7836762C"/>
    <w:rsid w:val="78410085"/>
    <w:rsid w:val="7845162D"/>
    <w:rsid w:val="784A45E5"/>
    <w:rsid w:val="78524E73"/>
    <w:rsid w:val="78601C0A"/>
    <w:rsid w:val="78720859"/>
    <w:rsid w:val="78930E24"/>
    <w:rsid w:val="789706D7"/>
    <w:rsid w:val="78BF7D2B"/>
    <w:rsid w:val="78C008FF"/>
    <w:rsid w:val="78C642A1"/>
    <w:rsid w:val="78D479CB"/>
    <w:rsid w:val="78DA2124"/>
    <w:rsid w:val="78E83799"/>
    <w:rsid w:val="78F1738D"/>
    <w:rsid w:val="78FB1E09"/>
    <w:rsid w:val="7905019A"/>
    <w:rsid w:val="79193249"/>
    <w:rsid w:val="791C404B"/>
    <w:rsid w:val="79204F94"/>
    <w:rsid w:val="79520299"/>
    <w:rsid w:val="79531299"/>
    <w:rsid w:val="795D1F6F"/>
    <w:rsid w:val="796D14F6"/>
    <w:rsid w:val="799161D3"/>
    <w:rsid w:val="799F4543"/>
    <w:rsid w:val="79A433D2"/>
    <w:rsid w:val="79A54D9F"/>
    <w:rsid w:val="79A82583"/>
    <w:rsid w:val="79B961AB"/>
    <w:rsid w:val="79BB6A75"/>
    <w:rsid w:val="79C145DF"/>
    <w:rsid w:val="79E47FF0"/>
    <w:rsid w:val="7A261E0C"/>
    <w:rsid w:val="7A2E6D2C"/>
    <w:rsid w:val="7A602423"/>
    <w:rsid w:val="7A99294B"/>
    <w:rsid w:val="7A9E4A38"/>
    <w:rsid w:val="7AAB7433"/>
    <w:rsid w:val="7AD44F12"/>
    <w:rsid w:val="7AFD3B58"/>
    <w:rsid w:val="7B180D87"/>
    <w:rsid w:val="7B212CD8"/>
    <w:rsid w:val="7B6D1C4B"/>
    <w:rsid w:val="7B744E69"/>
    <w:rsid w:val="7B771C06"/>
    <w:rsid w:val="7B7B5E56"/>
    <w:rsid w:val="7BA52AE2"/>
    <w:rsid w:val="7BB53D63"/>
    <w:rsid w:val="7BDF03CB"/>
    <w:rsid w:val="7BF148FE"/>
    <w:rsid w:val="7BFC4543"/>
    <w:rsid w:val="7BFE2E2A"/>
    <w:rsid w:val="7C1E1013"/>
    <w:rsid w:val="7C2324AB"/>
    <w:rsid w:val="7C4E2E4C"/>
    <w:rsid w:val="7C537FEF"/>
    <w:rsid w:val="7C647170"/>
    <w:rsid w:val="7C6E0E6D"/>
    <w:rsid w:val="7C831C9D"/>
    <w:rsid w:val="7CAE1BAE"/>
    <w:rsid w:val="7CC62F7B"/>
    <w:rsid w:val="7CD129B3"/>
    <w:rsid w:val="7CD923B5"/>
    <w:rsid w:val="7CDD7957"/>
    <w:rsid w:val="7D0B53EF"/>
    <w:rsid w:val="7D1E1A15"/>
    <w:rsid w:val="7D2535D0"/>
    <w:rsid w:val="7D2F3A6C"/>
    <w:rsid w:val="7D5E7399"/>
    <w:rsid w:val="7D935F5F"/>
    <w:rsid w:val="7DA75CB5"/>
    <w:rsid w:val="7DF65535"/>
    <w:rsid w:val="7DFF7E58"/>
    <w:rsid w:val="7E13413D"/>
    <w:rsid w:val="7E186568"/>
    <w:rsid w:val="7E1F3FB4"/>
    <w:rsid w:val="7E2D53FC"/>
    <w:rsid w:val="7E2F33F2"/>
    <w:rsid w:val="7E476B1A"/>
    <w:rsid w:val="7E560856"/>
    <w:rsid w:val="7E7E1F77"/>
    <w:rsid w:val="7E813F71"/>
    <w:rsid w:val="7E927FC5"/>
    <w:rsid w:val="7E964528"/>
    <w:rsid w:val="7EB51E7E"/>
    <w:rsid w:val="7EB67DC2"/>
    <w:rsid w:val="7EDD70CE"/>
    <w:rsid w:val="7EDE2EB6"/>
    <w:rsid w:val="7F123290"/>
    <w:rsid w:val="7F1B7719"/>
    <w:rsid w:val="7F3157BC"/>
    <w:rsid w:val="7F361C43"/>
    <w:rsid w:val="7F401087"/>
    <w:rsid w:val="7F610509"/>
    <w:rsid w:val="7F7D7E39"/>
    <w:rsid w:val="7F9D13E6"/>
    <w:rsid w:val="7FE874E8"/>
    <w:rsid w:val="7FF554F9"/>
    <w:rsid w:val="7FF81B5F"/>
    <w:rsid w:val="DFFF1597"/>
    <w:rsid w:val="EFED3AE9"/>
    <w:rsid w:val="FEBFCF87"/>
    <w:rsid w:val="FF761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pt" color="#000000" dashstyle="1 1" endcap="round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6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link w:val="33"/>
    <w:semiHidden/>
    <w:qFormat/>
    <w:uiPriority w:val="0"/>
    <w:pPr>
      <w:ind w:left="1050"/>
      <w:jc w:val="left"/>
    </w:pPr>
  </w:style>
  <w:style w:type="paragraph" w:styleId="6">
    <w:name w:val="annotation text"/>
    <w:basedOn w:val="1"/>
    <w:link w:val="34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toc 5"/>
    <w:basedOn w:val="1"/>
    <w:next w:val="1"/>
    <w:qFormat/>
    <w:uiPriority w:val="0"/>
    <w:pPr>
      <w:ind w:left="630"/>
      <w:jc w:val="left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9345"/>
      </w:tabs>
      <w:spacing w:line="440" w:lineRule="exact"/>
      <w:ind w:left="210" w:leftChars="100"/>
      <w:jc w:val="left"/>
    </w:pPr>
    <w:rPr>
      <w:rFonts w:ascii="宋体" w:hAnsi="宋体"/>
      <w:color w:val="FF0000"/>
      <w:sz w:val="24"/>
    </w:rPr>
  </w:style>
  <w:style w:type="paragraph" w:styleId="11">
    <w:name w:val="toc 8"/>
    <w:basedOn w:val="1"/>
    <w:next w:val="1"/>
    <w:link w:val="35"/>
    <w:semiHidden/>
    <w:qFormat/>
    <w:uiPriority w:val="0"/>
    <w:pPr>
      <w:ind w:left="1260"/>
      <w:jc w:val="left"/>
    </w:pPr>
  </w:style>
  <w:style w:type="paragraph" w:styleId="12">
    <w:name w:val="Balloon Text"/>
    <w:basedOn w:val="1"/>
    <w:link w:val="36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next w:val="1"/>
    <w:qFormat/>
    <w:uiPriority w:val="39"/>
    <w:pPr>
      <w:widowControl w:val="0"/>
      <w:tabs>
        <w:tab w:val="right" w:leader="dot" w:pos="9345"/>
      </w:tabs>
      <w:spacing w:before="360"/>
    </w:pPr>
    <w:rPr>
      <w:rFonts w:ascii="Arial" w:hAnsi="Arial" w:eastAsia="宋体" w:cs="Times New Roman"/>
      <w:bCs/>
      <w:caps/>
      <w:kern w:val="2"/>
      <w:sz w:val="21"/>
      <w:szCs w:val="21"/>
      <w:lang w:val="en-US" w:eastAsia="zh-CN" w:bidi="ar-SA"/>
    </w:rPr>
  </w:style>
  <w:style w:type="paragraph" w:styleId="16">
    <w:name w:val="toc 4"/>
    <w:basedOn w:val="10"/>
    <w:next w:val="1"/>
    <w:qFormat/>
    <w:uiPriority w:val="0"/>
    <w:pPr>
      <w:ind w:left="420"/>
    </w:pPr>
  </w:style>
  <w:style w:type="paragraph" w:styleId="17">
    <w:name w:val="footnote text"/>
    <w:basedOn w:val="1"/>
    <w:link w:val="37"/>
    <w:qFormat/>
    <w:uiPriority w:val="0"/>
    <w:pPr>
      <w:snapToGrid w:val="0"/>
      <w:jc w:val="left"/>
    </w:pPr>
    <w:rPr>
      <w:sz w:val="18"/>
      <w:szCs w:val="18"/>
    </w:rPr>
  </w:style>
  <w:style w:type="paragraph" w:styleId="18">
    <w:name w:val="toc 6"/>
    <w:basedOn w:val="1"/>
    <w:next w:val="1"/>
    <w:link w:val="38"/>
    <w:semiHidden/>
    <w:qFormat/>
    <w:uiPriority w:val="0"/>
    <w:pPr>
      <w:ind w:left="840"/>
      <w:jc w:val="left"/>
    </w:pPr>
  </w:style>
  <w:style w:type="paragraph" w:styleId="19">
    <w:name w:val="toc 2"/>
    <w:basedOn w:val="1"/>
    <w:next w:val="1"/>
    <w:qFormat/>
    <w:uiPriority w:val="39"/>
    <w:pPr>
      <w:tabs>
        <w:tab w:val="right" w:leader="dot" w:pos="9345"/>
      </w:tabs>
      <w:adjustRightInd w:val="0"/>
      <w:snapToGrid w:val="0"/>
      <w:spacing w:line="440" w:lineRule="exact"/>
      <w:jc w:val="center"/>
    </w:pPr>
    <w:rPr>
      <w:rFonts w:hAnsi="宋体"/>
      <w:bCs/>
    </w:rPr>
  </w:style>
  <w:style w:type="paragraph" w:styleId="20">
    <w:name w:val="toc 9"/>
    <w:basedOn w:val="1"/>
    <w:next w:val="1"/>
    <w:semiHidden/>
    <w:qFormat/>
    <w:uiPriority w:val="0"/>
    <w:pPr>
      <w:ind w:left="1470"/>
      <w:jc w:val="left"/>
    </w:pPr>
  </w:style>
  <w:style w:type="paragraph" w:styleId="21">
    <w:name w:val="Normal (Web)"/>
    <w:basedOn w:val="1"/>
    <w:qFormat/>
    <w:uiPriority w:val="0"/>
    <w:rPr>
      <w:sz w:val="24"/>
    </w:rPr>
  </w:style>
  <w:style w:type="paragraph" w:styleId="22">
    <w:name w:val="Title"/>
    <w:basedOn w:val="1"/>
    <w:next w:val="1"/>
    <w:link w:val="3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3">
    <w:name w:val="annotation subject"/>
    <w:basedOn w:val="6"/>
    <w:next w:val="6"/>
    <w:link w:val="40"/>
    <w:qFormat/>
    <w:uiPriority w:val="0"/>
    <w:rPr>
      <w:b/>
      <w:bCs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page number"/>
    <w:qFormat/>
    <w:uiPriority w:val="0"/>
    <w:rPr>
      <w:rFonts w:ascii="Times New Roman" w:hAnsi="Times New Roman" w:eastAsia="宋体"/>
      <w:sz w:val="18"/>
    </w:rPr>
  </w:style>
  <w:style w:type="character" w:styleId="28">
    <w:name w:val="Emphasis"/>
    <w:qFormat/>
    <w:uiPriority w:val="0"/>
    <w:rPr>
      <w:color w:val="CC0000"/>
    </w:rPr>
  </w:style>
  <w:style w:type="character" w:styleId="29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0">
    <w:name w:val="annotation reference"/>
    <w:qFormat/>
    <w:uiPriority w:val="0"/>
    <w:rPr>
      <w:sz w:val="21"/>
      <w:szCs w:val="21"/>
    </w:rPr>
  </w:style>
  <w:style w:type="character" w:styleId="31">
    <w:name w:val="HTML Cite"/>
    <w:qFormat/>
    <w:uiPriority w:val="0"/>
    <w:rPr>
      <w:color w:val="008000"/>
    </w:rPr>
  </w:style>
  <w:style w:type="character" w:styleId="32">
    <w:name w:val="footnote reference"/>
    <w:qFormat/>
    <w:uiPriority w:val="0"/>
    <w:rPr>
      <w:vertAlign w:val="superscript"/>
    </w:rPr>
  </w:style>
  <w:style w:type="character" w:customStyle="1" w:styleId="33">
    <w:name w:val="TOC 7 字符"/>
    <w:link w:val="5"/>
    <w:qFormat/>
    <w:uiPriority w:val="0"/>
  </w:style>
  <w:style w:type="character" w:customStyle="1" w:styleId="34">
    <w:name w:val="批注文字 字符"/>
    <w:link w:val="6"/>
    <w:qFormat/>
    <w:uiPriority w:val="0"/>
    <w:rPr>
      <w:kern w:val="2"/>
      <w:sz w:val="21"/>
      <w:szCs w:val="24"/>
    </w:rPr>
  </w:style>
  <w:style w:type="character" w:customStyle="1" w:styleId="35">
    <w:name w:val="TOC 8 字符"/>
    <w:link w:val="11"/>
    <w:qFormat/>
    <w:uiPriority w:val="0"/>
  </w:style>
  <w:style w:type="character" w:customStyle="1" w:styleId="36">
    <w:name w:val="批注框文本 字符"/>
    <w:link w:val="12"/>
    <w:qFormat/>
    <w:uiPriority w:val="0"/>
    <w:rPr>
      <w:kern w:val="2"/>
      <w:sz w:val="18"/>
      <w:szCs w:val="18"/>
    </w:rPr>
  </w:style>
  <w:style w:type="character" w:customStyle="1" w:styleId="37">
    <w:name w:val="脚注文本 字符"/>
    <w:link w:val="17"/>
    <w:qFormat/>
    <w:uiPriority w:val="0"/>
    <w:rPr>
      <w:kern w:val="2"/>
      <w:sz w:val="18"/>
      <w:szCs w:val="18"/>
    </w:rPr>
  </w:style>
  <w:style w:type="character" w:customStyle="1" w:styleId="38">
    <w:name w:val="TOC 6 字符"/>
    <w:link w:val="18"/>
    <w:qFormat/>
    <w:uiPriority w:val="0"/>
  </w:style>
  <w:style w:type="character" w:customStyle="1" w:styleId="39">
    <w:name w:val="标题 字符"/>
    <w:link w:val="22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40">
    <w:name w:val="批注主题 字符"/>
    <w:link w:val="23"/>
    <w:qFormat/>
    <w:uiPriority w:val="0"/>
    <w:rPr>
      <w:b/>
      <w:bCs/>
      <w:kern w:val="2"/>
      <w:sz w:val="21"/>
      <w:szCs w:val="24"/>
    </w:rPr>
  </w:style>
  <w:style w:type="character" w:customStyle="1" w:styleId="41">
    <w:name w:val="font11"/>
    <w:qFormat/>
    <w:uiPriority w:val="0"/>
    <w:rPr>
      <w:rFonts w:hint="default" w:ascii="Times New Roman" w:hAnsi="Times New Roman" w:cs="Times New Roman"/>
      <w:b/>
      <w:color w:val="000000"/>
      <w:sz w:val="12"/>
      <w:szCs w:val="12"/>
      <w:u w:val="none"/>
    </w:rPr>
  </w:style>
  <w:style w:type="character" w:customStyle="1" w:styleId="42">
    <w:name w:val="章标题 Char"/>
    <w:link w:val="43"/>
    <w:qFormat/>
    <w:uiPriority w:val="0"/>
    <w:rPr>
      <w:rFonts w:ascii="黑体" w:eastAsia="黑体"/>
      <w:sz w:val="21"/>
      <w:lang w:val="en-US" w:eastAsia="zh-CN" w:bidi="ar-SA"/>
    </w:rPr>
  </w:style>
  <w:style w:type="paragraph" w:customStyle="1" w:styleId="43">
    <w:name w:val="章标题"/>
    <w:next w:val="44"/>
    <w:link w:val="42"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4">
    <w:name w:val="段"/>
    <w:link w:val="10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45">
    <w:name w:val="font121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46">
    <w:name w:val="font9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47">
    <w:name w:val="hover23"/>
    <w:qFormat/>
    <w:uiPriority w:val="0"/>
  </w:style>
  <w:style w:type="character" w:customStyle="1" w:styleId="48">
    <w:name w:val="font21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49">
    <w:name w:val="font181"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50">
    <w:name w:val="五级条标题 Char"/>
    <w:link w:val="51"/>
    <w:qFormat/>
    <w:uiPriority w:val="0"/>
  </w:style>
  <w:style w:type="paragraph" w:customStyle="1" w:styleId="51">
    <w:name w:val="五级条标题"/>
    <w:basedOn w:val="52"/>
    <w:next w:val="44"/>
    <w:link w:val="50"/>
    <w:qFormat/>
    <w:uiPriority w:val="0"/>
    <w:pPr>
      <w:numPr>
        <w:ilvl w:val="6"/>
        <w:numId w:val="1"/>
      </w:numPr>
      <w:outlineLvl w:val="6"/>
    </w:pPr>
  </w:style>
  <w:style w:type="paragraph" w:customStyle="1" w:styleId="52">
    <w:name w:val="四级条标题"/>
    <w:basedOn w:val="53"/>
    <w:next w:val="44"/>
    <w:qFormat/>
    <w:uiPriority w:val="0"/>
    <w:pPr>
      <w:numPr>
        <w:ilvl w:val="5"/>
        <w:numId w:val="1"/>
      </w:numPr>
      <w:outlineLvl w:val="5"/>
    </w:pPr>
  </w:style>
  <w:style w:type="paragraph" w:customStyle="1" w:styleId="53">
    <w:name w:val="三级条标题"/>
    <w:basedOn w:val="54"/>
    <w:next w:val="44"/>
    <w:qFormat/>
    <w:uiPriority w:val="0"/>
    <w:pPr>
      <w:numPr>
        <w:ilvl w:val="4"/>
        <w:numId w:val="1"/>
      </w:numPr>
      <w:outlineLvl w:val="4"/>
    </w:pPr>
  </w:style>
  <w:style w:type="paragraph" w:customStyle="1" w:styleId="54">
    <w:name w:val="二级条标题"/>
    <w:basedOn w:val="55"/>
    <w:next w:val="44"/>
    <w:qFormat/>
    <w:uiPriority w:val="0"/>
    <w:pPr>
      <w:numPr>
        <w:ilvl w:val="3"/>
        <w:numId w:val="1"/>
      </w:numPr>
      <w:ind w:left="0"/>
      <w:outlineLvl w:val="3"/>
    </w:pPr>
    <w:rPr>
      <w:rFonts w:hAnsi="黑体" w:eastAsia="宋体"/>
    </w:rPr>
  </w:style>
  <w:style w:type="paragraph" w:customStyle="1" w:styleId="55">
    <w:name w:val="一级条标题"/>
    <w:basedOn w:val="43"/>
    <w:next w:val="44"/>
    <w:link w:val="56"/>
    <w:qFormat/>
    <w:uiPriority w:val="0"/>
    <w:pPr>
      <w:numPr>
        <w:ilvl w:val="2"/>
        <w:numId w:val="1"/>
      </w:numPr>
      <w:spacing w:before="0" w:beforeLines="0" w:after="0" w:afterLines="0"/>
      <w:outlineLvl w:val="2"/>
    </w:pPr>
  </w:style>
  <w:style w:type="character" w:customStyle="1" w:styleId="56">
    <w:name w:val="一级条标题 Char"/>
    <w:link w:val="55"/>
    <w:qFormat/>
    <w:uiPriority w:val="0"/>
  </w:style>
  <w:style w:type="character" w:customStyle="1" w:styleId="57">
    <w:name w:val="font22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8">
    <w:name w:val="c-icon25"/>
    <w:qFormat/>
    <w:uiPriority w:val="0"/>
  </w:style>
  <w:style w:type="character" w:customStyle="1" w:styleId="59">
    <w:name w:val="标准书眉一 Char"/>
    <w:link w:val="60"/>
    <w:qFormat/>
    <w:uiPriority w:val="0"/>
    <w:rPr>
      <w:lang w:val="en-US" w:eastAsia="zh-CN" w:bidi="ar-SA"/>
    </w:rPr>
  </w:style>
  <w:style w:type="paragraph" w:customStyle="1" w:styleId="60">
    <w:name w:val="标准书眉一"/>
    <w:link w:val="59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61">
    <w:name w:val="hover"/>
    <w:qFormat/>
    <w:uiPriority w:val="0"/>
  </w:style>
  <w:style w:type="character" w:customStyle="1" w:styleId="62">
    <w:name w:val="font71"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63">
    <w:name w:val="hover1"/>
    <w:qFormat/>
    <w:uiPriority w:val="0"/>
    <w:rPr>
      <w:color w:val="315EFB"/>
    </w:rPr>
  </w:style>
  <w:style w:type="character" w:customStyle="1" w:styleId="64">
    <w:name w:val="hover24"/>
    <w:qFormat/>
    <w:uiPriority w:val="0"/>
    <w:rPr>
      <w:color w:val="315EFB"/>
    </w:rPr>
  </w:style>
  <w:style w:type="character" w:customStyle="1" w:styleId="65">
    <w:name w:val="c-icon28"/>
    <w:qFormat/>
    <w:uiPriority w:val="0"/>
  </w:style>
  <w:style w:type="paragraph" w:customStyle="1" w:styleId="6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67">
    <w:name w:val=" Char Char"/>
    <w:basedOn w:val="1"/>
    <w:qFormat/>
    <w:uiPriority w:val="0"/>
  </w:style>
  <w:style w:type="paragraph" w:customStyle="1" w:styleId="68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69">
    <w:name w:val="Body text|1"/>
    <w:basedOn w:val="1"/>
    <w:qFormat/>
    <w:uiPriority w:val="0"/>
    <w:pPr>
      <w:widowControl w:val="0"/>
      <w:shd w:val="clear" w:color="auto" w:fill="auto"/>
      <w:spacing w:after="80" w:line="377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0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71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2">
    <w:name w:val="_Style 7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7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4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75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6">
    <w:name w:val="实施日期"/>
    <w:basedOn w:val="75"/>
    <w:qFormat/>
    <w:uiPriority w:val="0"/>
    <w:pPr>
      <w:framePr w:hSpace="0" w:xAlign="right"/>
      <w:jc w:val="right"/>
    </w:pPr>
  </w:style>
  <w:style w:type="paragraph" w:customStyle="1" w:styleId="77">
    <w:name w:val="默认段落字体 Para Char Char Char Char Char Char Char Char Char Char"/>
    <w:basedOn w:val="1"/>
    <w:qFormat/>
    <w:uiPriority w:val="0"/>
  </w:style>
  <w:style w:type="paragraph" w:customStyle="1" w:styleId="78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79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80">
    <w:name w:val="Other|1"/>
    <w:basedOn w:val="1"/>
    <w:qFormat/>
    <w:uiPriority w:val="0"/>
    <w:pPr>
      <w:widowControl w:val="0"/>
      <w:shd w:val="clear" w:color="auto" w:fill="auto"/>
      <w:spacing w:after="80" w:line="377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2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3">
    <w:name w:val="附录一级条标题"/>
    <w:basedOn w:val="84"/>
    <w:next w:val="44"/>
    <w:qFormat/>
    <w:uiPriority w:val="0"/>
    <w:pPr>
      <w:numPr>
        <w:ilvl w:val="2"/>
        <w:numId w:val="2"/>
      </w:numPr>
      <w:autoSpaceDN w:val="0"/>
      <w:spacing w:before="0" w:beforeLines="0" w:after="0" w:afterLines="0"/>
      <w:outlineLvl w:val="2"/>
    </w:pPr>
  </w:style>
  <w:style w:type="paragraph" w:customStyle="1" w:styleId="84">
    <w:name w:val="附录章标题"/>
    <w:next w:val="44"/>
    <w:qFormat/>
    <w:uiPriority w:val="0"/>
    <w:pPr>
      <w:numPr>
        <w:ilvl w:val="1"/>
        <w:numId w:val="2"/>
      </w:numPr>
      <w:wordWrap w:val="0"/>
      <w:overflowPunct w:val="0"/>
      <w:autoSpaceDE w:val="0"/>
      <w:spacing w:before="156" w:beforeLines="50" w:after="156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5">
    <w:name w:val="1"/>
    <w:basedOn w:val="1"/>
    <w:next w:val="8"/>
    <w:qFormat/>
    <w:uiPriority w:val="0"/>
    <w:pPr>
      <w:adjustRightInd w:val="0"/>
      <w:spacing w:line="360" w:lineRule="auto"/>
      <w:ind w:firstLine="480" w:firstLineChars="200"/>
      <w:textAlignment w:val="baseline"/>
      <w:outlineLvl w:val="0"/>
    </w:pPr>
    <w:rPr>
      <w:kern w:val="0"/>
      <w:sz w:val="24"/>
      <w:szCs w:val="20"/>
    </w:rPr>
  </w:style>
  <w:style w:type="paragraph" w:customStyle="1" w:styleId="86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87">
    <w:name w:val="标准书眉_偶数页"/>
    <w:basedOn w:val="8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8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9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90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91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92">
    <w:name w:val="目次、标准名称标题"/>
    <w:basedOn w:val="78"/>
    <w:next w:val="44"/>
    <w:qFormat/>
    <w:uiPriority w:val="0"/>
    <w:pPr>
      <w:numPr>
        <w:ilvl w:val="0"/>
        <w:numId w:val="0"/>
      </w:numPr>
      <w:spacing w:line="460" w:lineRule="exact"/>
    </w:pPr>
  </w:style>
  <w:style w:type="paragraph" w:customStyle="1" w:styleId="93">
    <w:name w:val=" Char"/>
    <w:basedOn w:val="1"/>
    <w:qFormat/>
    <w:uiPriority w:val="0"/>
    <w:pPr>
      <w:adjustRightInd w:val="0"/>
      <w:snapToGrid w:val="0"/>
      <w:ind w:firstLine="200" w:firstLineChars="200"/>
    </w:pPr>
    <w:rPr>
      <w:rFonts w:ascii="Tahoma" w:hAnsi="Tahoma" w:eastAsia="仿宋_GB2312"/>
      <w:snapToGrid w:val="0"/>
      <w:kern w:val="0"/>
      <w:sz w:val="24"/>
      <w:szCs w:val="20"/>
    </w:rPr>
  </w:style>
  <w:style w:type="paragraph" w:customStyle="1" w:styleId="9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5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6">
    <w:name w:val="_Style 94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">
    <w:name w:val="标准文件_一级无标题"/>
    <w:basedOn w:val="98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98">
    <w:name w:val="标准文件_一级条标题"/>
    <w:basedOn w:val="99"/>
    <w:next w:val="100"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99">
    <w:name w:val="标准文件_章标题"/>
    <w:next w:val="100"/>
    <w:qFormat/>
    <w:uiPriority w:val="0"/>
    <w:pPr>
      <w:numPr>
        <w:ilvl w:val="1"/>
        <w:numId w:val="1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0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1">
    <w:name w:val="段 Char"/>
    <w:link w:val="44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customXml" Target="../customXml/item1.xml"/><Relationship Id="rId98" Type="http://schemas.openxmlformats.org/officeDocument/2006/relationships/oleObject" Target="embeddings/oleObject42.bin"/><Relationship Id="rId97" Type="http://schemas.openxmlformats.org/officeDocument/2006/relationships/image" Target="media/image40.wmf"/><Relationship Id="rId96" Type="http://schemas.openxmlformats.org/officeDocument/2006/relationships/oleObject" Target="embeddings/oleObject41.bin"/><Relationship Id="rId95" Type="http://schemas.openxmlformats.org/officeDocument/2006/relationships/image" Target="media/image39.wmf"/><Relationship Id="rId94" Type="http://schemas.openxmlformats.org/officeDocument/2006/relationships/oleObject" Target="embeddings/oleObject40.bin"/><Relationship Id="rId93" Type="http://schemas.openxmlformats.org/officeDocument/2006/relationships/image" Target="media/image38.wmf"/><Relationship Id="rId92" Type="http://schemas.openxmlformats.org/officeDocument/2006/relationships/oleObject" Target="embeddings/oleObject39.bin"/><Relationship Id="rId91" Type="http://schemas.openxmlformats.org/officeDocument/2006/relationships/image" Target="media/image37.wmf"/><Relationship Id="rId90" Type="http://schemas.openxmlformats.org/officeDocument/2006/relationships/oleObject" Target="embeddings/oleObject38.bin"/><Relationship Id="rId9" Type="http://schemas.openxmlformats.org/officeDocument/2006/relationships/header" Target="header4.xml"/><Relationship Id="rId89" Type="http://schemas.openxmlformats.org/officeDocument/2006/relationships/image" Target="media/image36.wmf"/><Relationship Id="rId88" Type="http://schemas.openxmlformats.org/officeDocument/2006/relationships/oleObject" Target="embeddings/oleObject37.bin"/><Relationship Id="rId87" Type="http://schemas.openxmlformats.org/officeDocument/2006/relationships/oleObject" Target="embeddings/oleObject36.bin"/><Relationship Id="rId86" Type="http://schemas.openxmlformats.org/officeDocument/2006/relationships/oleObject" Target="embeddings/oleObject35.bin"/><Relationship Id="rId85" Type="http://schemas.openxmlformats.org/officeDocument/2006/relationships/oleObject" Target="embeddings/oleObject34.bin"/><Relationship Id="rId84" Type="http://schemas.openxmlformats.org/officeDocument/2006/relationships/oleObject" Target="embeddings/oleObject33.bin"/><Relationship Id="rId83" Type="http://schemas.openxmlformats.org/officeDocument/2006/relationships/image" Target="media/image35.wmf"/><Relationship Id="rId82" Type="http://schemas.openxmlformats.org/officeDocument/2006/relationships/oleObject" Target="embeddings/oleObject32.bin"/><Relationship Id="rId81" Type="http://schemas.openxmlformats.org/officeDocument/2006/relationships/image" Target="media/image34.wmf"/><Relationship Id="rId80" Type="http://schemas.openxmlformats.org/officeDocument/2006/relationships/oleObject" Target="embeddings/oleObject31.bin"/><Relationship Id="rId8" Type="http://schemas.openxmlformats.org/officeDocument/2006/relationships/footer" Target="footer3.xml"/><Relationship Id="rId79" Type="http://schemas.openxmlformats.org/officeDocument/2006/relationships/image" Target="media/image33.wmf"/><Relationship Id="rId78" Type="http://schemas.openxmlformats.org/officeDocument/2006/relationships/oleObject" Target="embeddings/oleObject30.bin"/><Relationship Id="rId77" Type="http://schemas.openxmlformats.org/officeDocument/2006/relationships/image" Target="media/image32.wmf"/><Relationship Id="rId76" Type="http://schemas.openxmlformats.org/officeDocument/2006/relationships/oleObject" Target="embeddings/oleObject29.bin"/><Relationship Id="rId75" Type="http://schemas.openxmlformats.org/officeDocument/2006/relationships/oleObject" Target="embeddings/oleObject28.bin"/><Relationship Id="rId74" Type="http://schemas.openxmlformats.org/officeDocument/2006/relationships/image" Target="media/image31.wmf"/><Relationship Id="rId73" Type="http://schemas.openxmlformats.org/officeDocument/2006/relationships/oleObject" Target="embeddings/oleObject27.bin"/><Relationship Id="rId72" Type="http://schemas.openxmlformats.org/officeDocument/2006/relationships/image" Target="media/image30.wmf"/><Relationship Id="rId71" Type="http://schemas.openxmlformats.org/officeDocument/2006/relationships/oleObject" Target="embeddings/oleObject26.bin"/><Relationship Id="rId70" Type="http://schemas.openxmlformats.org/officeDocument/2006/relationships/image" Target="media/image29.wmf"/><Relationship Id="rId7" Type="http://schemas.openxmlformats.org/officeDocument/2006/relationships/footer" Target="footer2.xml"/><Relationship Id="rId69" Type="http://schemas.openxmlformats.org/officeDocument/2006/relationships/oleObject" Target="embeddings/oleObject25.bin"/><Relationship Id="rId68" Type="http://schemas.openxmlformats.org/officeDocument/2006/relationships/image" Target="media/image28.wmf"/><Relationship Id="rId67" Type="http://schemas.openxmlformats.org/officeDocument/2006/relationships/oleObject" Target="embeddings/oleObject24.bin"/><Relationship Id="rId66" Type="http://schemas.openxmlformats.org/officeDocument/2006/relationships/image" Target="media/image27.wmf"/><Relationship Id="rId65" Type="http://schemas.openxmlformats.org/officeDocument/2006/relationships/oleObject" Target="embeddings/oleObject23.bin"/><Relationship Id="rId64" Type="http://schemas.openxmlformats.org/officeDocument/2006/relationships/image" Target="media/image26.wmf"/><Relationship Id="rId63" Type="http://schemas.openxmlformats.org/officeDocument/2006/relationships/oleObject" Target="embeddings/oleObject22.bin"/><Relationship Id="rId62" Type="http://schemas.openxmlformats.org/officeDocument/2006/relationships/image" Target="media/image25.wmf"/><Relationship Id="rId61" Type="http://schemas.openxmlformats.org/officeDocument/2006/relationships/oleObject" Target="embeddings/oleObject21.bin"/><Relationship Id="rId60" Type="http://schemas.openxmlformats.org/officeDocument/2006/relationships/oleObject" Target="embeddings/oleObject20.bin"/><Relationship Id="rId6" Type="http://schemas.openxmlformats.org/officeDocument/2006/relationships/footer" Target="footer1.xml"/><Relationship Id="rId59" Type="http://schemas.openxmlformats.org/officeDocument/2006/relationships/image" Target="media/image24.wmf"/><Relationship Id="rId58" Type="http://schemas.openxmlformats.org/officeDocument/2006/relationships/oleObject" Target="embeddings/oleObject19.bin"/><Relationship Id="rId57" Type="http://schemas.openxmlformats.org/officeDocument/2006/relationships/image" Target="media/image23.wmf"/><Relationship Id="rId56" Type="http://schemas.openxmlformats.org/officeDocument/2006/relationships/oleObject" Target="embeddings/oleObject18.bin"/><Relationship Id="rId55" Type="http://schemas.openxmlformats.org/officeDocument/2006/relationships/image" Target="media/image22.wmf"/><Relationship Id="rId54" Type="http://schemas.openxmlformats.org/officeDocument/2006/relationships/oleObject" Target="embeddings/oleObject17.bin"/><Relationship Id="rId53" Type="http://schemas.openxmlformats.org/officeDocument/2006/relationships/image" Target="media/image21.wmf"/><Relationship Id="rId52" Type="http://schemas.openxmlformats.org/officeDocument/2006/relationships/oleObject" Target="embeddings/oleObject16.bin"/><Relationship Id="rId51" Type="http://schemas.openxmlformats.org/officeDocument/2006/relationships/image" Target="media/image20.wmf"/><Relationship Id="rId50" Type="http://schemas.openxmlformats.org/officeDocument/2006/relationships/oleObject" Target="embeddings/oleObject15.bin"/><Relationship Id="rId5" Type="http://schemas.openxmlformats.org/officeDocument/2006/relationships/header" Target="header3.xml"/><Relationship Id="rId49" Type="http://schemas.openxmlformats.org/officeDocument/2006/relationships/image" Target="media/image19.wmf"/><Relationship Id="rId48" Type="http://schemas.openxmlformats.org/officeDocument/2006/relationships/oleObject" Target="embeddings/oleObject14.bin"/><Relationship Id="rId47" Type="http://schemas.openxmlformats.org/officeDocument/2006/relationships/image" Target="media/image18.wmf"/><Relationship Id="rId46" Type="http://schemas.openxmlformats.org/officeDocument/2006/relationships/oleObject" Target="embeddings/oleObject13.bin"/><Relationship Id="rId45" Type="http://schemas.openxmlformats.org/officeDocument/2006/relationships/image" Target="media/image17.png"/><Relationship Id="rId44" Type="http://schemas.openxmlformats.org/officeDocument/2006/relationships/image" Target="media/image16.wmf"/><Relationship Id="rId43" Type="http://schemas.openxmlformats.org/officeDocument/2006/relationships/oleObject" Target="embeddings/oleObject12.bin"/><Relationship Id="rId42" Type="http://schemas.openxmlformats.org/officeDocument/2006/relationships/image" Target="media/image15.wmf"/><Relationship Id="rId41" Type="http://schemas.openxmlformats.org/officeDocument/2006/relationships/oleObject" Target="embeddings/oleObject11.bin"/><Relationship Id="rId40" Type="http://schemas.openxmlformats.org/officeDocument/2006/relationships/image" Target="media/image14.wmf"/><Relationship Id="rId4" Type="http://schemas.openxmlformats.org/officeDocument/2006/relationships/header" Target="header2.xml"/><Relationship Id="rId39" Type="http://schemas.openxmlformats.org/officeDocument/2006/relationships/oleObject" Target="embeddings/oleObject10.bin"/><Relationship Id="rId38" Type="http://schemas.openxmlformats.org/officeDocument/2006/relationships/image" Target="media/image13.wmf"/><Relationship Id="rId37" Type="http://schemas.openxmlformats.org/officeDocument/2006/relationships/oleObject" Target="embeddings/oleObject9.bin"/><Relationship Id="rId36" Type="http://schemas.openxmlformats.org/officeDocument/2006/relationships/image" Target="media/image12.png"/><Relationship Id="rId35" Type="http://schemas.openxmlformats.org/officeDocument/2006/relationships/image" Target="media/image11.wmf"/><Relationship Id="rId34" Type="http://schemas.openxmlformats.org/officeDocument/2006/relationships/oleObject" Target="embeddings/oleObject8.bin"/><Relationship Id="rId33" Type="http://schemas.openxmlformats.org/officeDocument/2006/relationships/image" Target="media/image10.wmf"/><Relationship Id="rId32" Type="http://schemas.openxmlformats.org/officeDocument/2006/relationships/oleObject" Target="embeddings/oleObject7.bin"/><Relationship Id="rId31" Type="http://schemas.openxmlformats.org/officeDocument/2006/relationships/image" Target="media/image9.wmf"/><Relationship Id="rId30" Type="http://schemas.openxmlformats.org/officeDocument/2006/relationships/oleObject" Target="embeddings/oleObject6.bin"/><Relationship Id="rId3" Type="http://schemas.openxmlformats.org/officeDocument/2006/relationships/header" Target="header1.xml"/><Relationship Id="rId29" Type="http://schemas.openxmlformats.org/officeDocument/2006/relationships/image" Target="media/image8.wmf"/><Relationship Id="rId28" Type="http://schemas.openxmlformats.org/officeDocument/2006/relationships/oleObject" Target="embeddings/oleObject5.bin"/><Relationship Id="rId27" Type="http://schemas.openxmlformats.org/officeDocument/2006/relationships/image" Target="media/image7.wmf"/><Relationship Id="rId26" Type="http://schemas.openxmlformats.org/officeDocument/2006/relationships/oleObject" Target="embeddings/oleObject4.bin"/><Relationship Id="rId25" Type="http://schemas.openxmlformats.org/officeDocument/2006/relationships/image" Target="media/image6.wmf"/><Relationship Id="rId24" Type="http://schemas.openxmlformats.org/officeDocument/2006/relationships/oleObject" Target="embeddings/oleObject3.bin"/><Relationship Id="rId23" Type="http://schemas.openxmlformats.org/officeDocument/2006/relationships/image" Target="media/image5.wmf"/><Relationship Id="rId22" Type="http://schemas.openxmlformats.org/officeDocument/2006/relationships/oleObject" Target="embeddings/oleObject2.bin"/><Relationship Id="rId21" Type="http://schemas.openxmlformats.org/officeDocument/2006/relationships/image" Target="media/image4.wmf"/><Relationship Id="rId20" Type="http://schemas.openxmlformats.org/officeDocument/2006/relationships/oleObject" Target="embeddings/oleObject1.bin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emf"/><Relationship Id="rId17" Type="http://schemas.openxmlformats.org/officeDocument/2006/relationships/image" Target="media/image1.emf"/><Relationship Id="rId16" Type="http://schemas.openxmlformats.org/officeDocument/2006/relationships/theme" Target="theme/theme1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1" Type="http://schemas.openxmlformats.org/officeDocument/2006/relationships/fontTable" Target="fontTable.xml"/><Relationship Id="rId100" Type="http://schemas.openxmlformats.org/officeDocument/2006/relationships/numbering" Target="numbering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2968</Words>
  <Characters>3355</Characters>
  <Lines>1</Lines>
  <Paragraphs>1</Paragraphs>
  <TotalTime>0</TotalTime>
  <ScaleCrop>false</ScaleCrop>
  <LinksUpToDate>false</LinksUpToDate>
  <CharactersWithSpaces>3868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2022-11-08T14:02:00Z</dcterms:created>
  <dc:creator>User</dc:creator>
  <cp:lastModifiedBy>沉默背后↘是殇</cp:lastModifiedBy>
  <cp:lastPrinted>2025-04-03T13:50:00Z</cp:lastPrinted>
  <dcterms:modified xsi:type="dcterms:W3CDTF">2026-02-11T21:00:42Z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2052-12.1.24703.24703</vt:lpwstr>
  </property>
  <property fmtid="{D5CDD505-2E9C-101B-9397-08002B2CF9AE}" pid="3" name="ICV">
    <vt:lpwstr>2A3A97046B854C12B76DBDB5DD6C471C</vt:lpwstr>
  </property>
  <property fmtid="{D5CDD505-2E9C-101B-9397-08002B2CF9AE}" pid="4" name="KSOTemplateDocerSaveRecord">
    <vt:lpwstr>eyJoZGlkIjoiMzEwNTM5NzYwMDRjMzkwZTVkZjY2ODkwMGIxNGU0OTUiLCJ1c2VySWQiOiI2OTk2MTQ2MjYifQ==</vt:lpwstr>
  </property>
</Properties>
</file>