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51A0">
      <w:pPr>
        <w:pStyle w:val="98"/>
        <w:jc w:val="center"/>
        <w:rPr>
          <w:rFonts w:hint="eastAsia" w:ascii="黑体" w:hAnsi="黑体" w:eastAsia="黑体"/>
          <w:sz w:val="24"/>
          <w:szCs w:val="24"/>
        </w:rPr>
      </w:pPr>
      <w:bookmarkStart w:id="0" w:name="_Toc464728891"/>
      <w:bookmarkStart w:id="1" w:name="SectionMark4"/>
    </w:p>
    <w:p w14:paraId="25DA34FA">
      <w:pPr>
        <w:pStyle w:val="98"/>
        <w:jc w:val="center"/>
        <w:rPr>
          <w:rFonts w:hint="eastAsia" w:ascii="黑体" w:hAnsi="黑体" w:eastAsia="黑体"/>
          <w:sz w:val="24"/>
          <w:szCs w:val="24"/>
        </w:rPr>
      </w:pPr>
    </w:p>
    <w:p w14:paraId="3F2F2A18">
      <w:pPr>
        <w:pStyle w:val="98"/>
        <w:jc w:val="center"/>
        <w:rPr>
          <w:rFonts w:hint="eastAsia" w:ascii="黑体" w:hAnsi="黑体" w:eastAsia="黑体"/>
          <w:sz w:val="24"/>
          <w:szCs w:val="24"/>
        </w:rPr>
      </w:pPr>
    </w:p>
    <w:p w14:paraId="0F6EBB4E">
      <w:pPr>
        <w:pStyle w:val="98"/>
        <w:jc w:val="center"/>
        <w:rPr>
          <w:rFonts w:hint="eastAsia" w:ascii="黑体" w:hAnsi="黑体" w:eastAsia="黑体"/>
          <w:sz w:val="24"/>
          <w:szCs w:val="24"/>
        </w:rPr>
      </w:pPr>
    </w:p>
    <w:p w14:paraId="261457FC">
      <w:pPr>
        <w:pStyle w:val="98"/>
        <w:jc w:val="center"/>
        <w:rPr>
          <w:rFonts w:hint="eastAsia" w:ascii="黑体" w:hAnsi="黑体" w:eastAsia="黑体"/>
          <w:sz w:val="24"/>
          <w:szCs w:val="24"/>
        </w:rPr>
      </w:pPr>
    </w:p>
    <w:p w14:paraId="75801E4F">
      <w:pPr>
        <w:pStyle w:val="98"/>
        <w:jc w:val="center"/>
        <w:rPr>
          <w:rFonts w:hint="eastAsia" w:ascii="黑体" w:hAnsi="黑体" w:eastAsia="黑体"/>
          <w:sz w:val="24"/>
          <w:szCs w:val="24"/>
        </w:rPr>
      </w:pPr>
    </w:p>
    <w:p w14:paraId="4F17ACA4">
      <w:pPr>
        <w:pStyle w:val="98"/>
        <w:jc w:val="center"/>
        <w:rPr>
          <w:rFonts w:hint="eastAsia"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594BDFF3">
                            <w:pPr>
                              <w:pStyle w:val="75"/>
                              <w:rPr>
                                <w:rFonts w:hint="eastAsia" w:hAnsi="黑体" w:cs="黑体"/>
                                <w:sz w:val="44"/>
                                <w:szCs w:val="44"/>
                              </w:rPr>
                            </w:pPr>
                            <w:bookmarkStart w:id="80" w:name="_Hlk23687263"/>
                            <w:r>
                              <w:rPr>
                                <w:rFonts w:hint="eastAsia" w:hAnsi="黑体" w:cs="黑体"/>
                                <w:sz w:val="44"/>
                                <w:szCs w:val="44"/>
                              </w:rPr>
                              <w:t>JJFZ（有色金属）XXXX</w:t>
                            </w:r>
                            <w:r>
                              <w:rPr>
                                <w:rFonts w:hAnsi="黑体" w:cs="黑体"/>
                                <w:sz w:val="44"/>
                                <w:szCs w:val="44"/>
                              </w:rPr>
                              <w:t>—20</w:t>
                            </w:r>
                            <w:r>
                              <w:rPr>
                                <w:rFonts w:hint="eastAsia" w:hAnsi="黑体" w:cs="黑体"/>
                                <w:sz w:val="44"/>
                                <w:szCs w:val="44"/>
                              </w:rPr>
                              <w:t>XX</w:t>
                            </w:r>
                          </w:p>
                          <w:bookmarkEnd w:id="80"/>
                          <w:p w14:paraId="4EDB429F">
                            <w:pPr>
                              <w:pStyle w:val="75"/>
                              <w:rPr>
                                <w:rFonts w:hint="eastAsia" w:hAnsi="黑体" w:cs="黑体"/>
                                <w:szCs w:val="52"/>
                              </w:rPr>
                            </w:pPr>
                            <w:r>
                              <w:rPr>
                                <w:rFonts w:hint="eastAsia" w:hAnsi="黑体" w:cs="黑体"/>
                                <w:szCs w:val="52"/>
                              </w:rPr>
                              <w:t>粉末流动性测定仪校准规范</w:t>
                            </w:r>
                          </w:p>
                          <w:p w14:paraId="4C97A354">
                            <w:pPr>
                              <w:jc w:val="center"/>
                              <w:rPr>
                                <w:rFonts w:hint="eastAsia"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594BDFF3">
                      <w:pPr>
                        <w:pStyle w:val="75"/>
                        <w:rPr>
                          <w:rFonts w:hint="eastAsia" w:hAnsi="黑体" w:cs="黑体"/>
                          <w:sz w:val="44"/>
                          <w:szCs w:val="44"/>
                        </w:rPr>
                      </w:pPr>
                      <w:bookmarkStart w:id="80" w:name="_Hlk23687263"/>
                      <w:r>
                        <w:rPr>
                          <w:rFonts w:hint="eastAsia" w:hAnsi="黑体" w:cs="黑体"/>
                          <w:sz w:val="44"/>
                          <w:szCs w:val="44"/>
                        </w:rPr>
                        <w:t>JJFZ（有色金属）XXXX</w:t>
                      </w:r>
                      <w:r>
                        <w:rPr>
                          <w:rFonts w:hAnsi="黑体" w:cs="黑体"/>
                          <w:sz w:val="44"/>
                          <w:szCs w:val="44"/>
                        </w:rPr>
                        <w:t>—20</w:t>
                      </w:r>
                      <w:r>
                        <w:rPr>
                          <w:rFonts w:hint="eastAsia" w:hAnsi="黑体" w:cs="黑体"/>
                          <w:sz w:val="44"/>
                          <w:szCs w:val="44"/>
                        </w:rPr>
                        <w:t>XX</w:t>
                      </w:r>
                    </w:p>
                    <w:bookmarkEnd w:id="80"/>
                    <w:p w14:paraId="4EDB429F">
                      <w:pPr>
                        <w:pStyle w:val="75"/>
                        <w:rPr>
                          <w:rFonts w:hint="eastAsia" w:hAnsi="黑体" w:cs="黑体"/>
                          <w:szCs w:val="52"/>
                        </w:rPr>
                      </w:pPr>
                      <w:r>
                        <w:rPr>
                          <w:rFonts w:hint="eastAsia" w:hAnsi="黑体" w:cs="黑体"/>
                          <w:szCs w:val="52"/>
                        </w:rPr>
                        <w:t>粉末流动性测定仪校准规范</w:t>
                      </w:r>
                    </w:p>
                    <w:p w14:paraId="4C97A354">
                      <w:pPr>
                        <w:jc w:val="center"/>
                        <w:rPr>
                          <w:rFonts w:hint="eastAsia"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5A46F7CD">
      <w:pPr>
        <w:pStyle w:val="98"/>
        <w:jc w:val="center"/>
        <w:rPr>
          <w:rFonts w:hint="eastAsia" w:ascii="黑体" w:hAnsi="黑体" w:eastAsia="黑体"/>
          <w:sz w:val="24"/>
          <w:szCs w:val="24"/>
        </w:rPr>
      </w:pPr>
    </w:p>
    <w:p w14:paraId="6F9D66B6">
      <w:pPr>
        <w:pStyle w:val="98"/>
        <w:jc w:val="center"/>
        <w:rPr>
          <w:rFonts w:hint="eastAsia" w:ascii="黑体" w:hAnsi="黑体" w:eastAsia="黑体"/>
          <w:sz w:val="24"/>
          <w:szCs w:val="24"/>
        </w:rPr>
      </w:pPr>
    </w:p>
    <w:p w14:paraId="047A3BE6">
      <w:pPr>
        <w:pStyle w:val="98"/>
        <w:jc w:val="center"/>
        <w:rPr>
          <w:rFonts w:hint="eastAsia" w:ascii="黑体" w:hAnsi="黑体" w:eastAsia="黑体"/>
          <w:sz w:val="24"/>
          <w:szCs w:val="24"/>
        </w:rPr>
      </w:pPr>
    </w:p>
    <w:p w14:paraId="605889B2">
      <w:pPr>
        <w:pStyle w:val="98"/>
        <w:jc w:val="center"/>
        <w:rPr>
          <w:rFonts w:hint="eastAsia" w:ascii="黑体" w:hAnsi="黑体" w:eastAsia="黑体"/>
          <w:sz w:val="24"/>
          <w:szCs w:val="24"/>
        </w:rPr>
      </w:pPr>
    </w:p>
    <w:p w14:paraId="3FA752C5">
      <w:pPr>
        <w:pStyle w:val="98"/>
        <w:jc w:val="center"/>
        <w:rPr>
          <w:rFonts w:hint="eastAsia" w:ascii="黑体" w:hAnsi="黑体" w:eastAsia="黑体"/>
          <w:sz w:val="24"/>
          <w:szCs w:val="24"/>
        </w:rPr>
      </w:pPr>
    </w:p>
    <w:p w14:paraId="111F38FE">
      <w:pPr>
        <w:pStyle w:val="98"/>
        <w:jc w:val="center"/>
        <w:rPr>
          <w:rFonts w:hint="eastAsia" w:ascii="黑体" w:hAnsi="黑体" w:eastAsia="黑体"/>
          <w:sz w:val="24"/>
          <w:szCs w:val="24"/>
        </w:rPr>
      </w:pPr>
    </w:p>
    <w:p w14:paraId="75DA318D">
      <w:pPr>
        <w:pStyle w:val="98"/>
        <w:jc w:val="center"/>
        <w:rPr>
          <w:rFonts w:hint="eastAsia" w:ascii="黑体" w:hAnsi="黑体" w:eastAsia="黑体"/>
          <w:sz w:val="24"/>
          <w:szCs w:val="24"/>
        </w:rPr>
      </w:pPr>
    </w:p>
    <w:p w14:paraId="4EABE0CA">
      <w:pPr>
        <w:pStyle w:val="98"/>
        <w:jc w:val="center"/>
        <w:rPr>
          <w:rFonts w:hint="eastAsia" w:ascii="黑体" w:hAnsi="黑体" w:eastAsia="黑体"/>
          <w:sz w:val="24"/>
          <w:szCs w:val="24"/>
        </w:rPr>
      </w:pPr>
    </w:p>
    <w:p w14:paraId="32DB74E2">
      <w:pPr>
        <w:pStyle w:val="98"/>
        <w:jc w:val="center"/>
        <w:rPr>
          <w:rFonts w:hint="eastAsia" w:ascii="黑体" w:hAnsi="黑体" w:eastAsia="黑体"/>
          <w:sz w:val="24"/>
          <w:szCs w:val="24"/>
        </w:rPr>
      </w:pPr>
    </w:p>
    <w:p w14:paraId="281FD13A">
      <w:pPr>
        <w:pStyle w:val="98"/>
        <w:jc w:val="center"/>
        <w:rPr>
          <w:rFonts w:hint="eastAsia" w:ascii="黑体" w:hAnsi="黑体" w:eastAsia="黑体"/>
          <w:sz w:val="24"/>
          <w:szCs w:val="24"/>
        </w:rPr>
      </w:pPr>
    </w:p>
    <w:p w14:paraId="67AA70B7">
      <w:pPr>
        <w:pStyle w:val="98"/>
        <w:jc w:val="center"/>
        <w:rPr>
          <w:rFonts w:hint="eastAsia" w:ascii="黑体" w:hAnsi="黑体" w:eastAsia="黑体"/>
          <w:sz w:val="24"/>
          <w:szCs w:val="24"/>
        </w:rPr>
      </w:pPr>
    </w:p>
    <w:p w14:paraId="10B303BC">
      <w:pPr>
        <w:pStyle w:val="98"/>
        <w:jc w:val="center"/>
        <w:rPr>
          <w:rFonts w:hint="eastAsia" w:ascii="黑体" w:hAnsi="黑体" w:eastAsia="黑体"/>
          <w:sz w:val="24"/>
          <w:szCs w:val="24"/>
        </w:rPr>
      </w:pPr>
    </w:p>
    <w:p w14:paraId="3EA30250">
      <w:pPr>
        <w:pStyle w:val="98"/>
        <w:jc w:val="center"/>
        <w:rPr>
          <w:rFonts w:hint="eastAsia" w:ascii="黑体" w:hAnsi="黑体" w:eastAsia="黑体"/>
          <w:sz w:val="24"/>
          <w:szCs w:val="24"/>
        </w:rPr>
      </w:pPr>
    </w:p>
    <w:p w14:paraId="0E9C87B0">
      <w:pPr>
        <w:pStyle w:val="98"/>
        <w:jc w:val="center"/>
        <w:rPr>
          <w:rFonts w:hint="eastAsia" w:ascii="黑体" w:hAnsi="黑体" w:eastAsia="黑体"/>
          <w:sz w:val="24"/>
          <w:szCs w:val="24"/>
        </w:rPr>
      </w:pPr>
    </w:p>
    <w:p w14:paraId="260E2F80">
      <w:pPr>
        <w:pStyle w:val="98"/>
        <w:jc w:val="center"/>
        <w:rPr>
          <w:rFonts w:hint="eastAsia" w:ascii="黑体" w:hAnsi="黑体" w:eastAsia="黑体"/>
          <w:sz w:val="24"/>
          <w:szCs w:val="24"/>
        </w:rPr>
      </w:pPr>
    </w:p>
    <w:p w14:paraId="0940FCB2">
      <w:pPr>
        <w:pStyle w:val="98"/>
        <w:jc w:val="center"/>
        <w:rPr>
          <w:rFonts w:hint="eastAsia" w:ascii="黑体" w:hAnsi="黑体" w:eastAsia="黑体"/>
          <w:sz w:val="24"/>
          <w:szCs w:val="24"/>
        </w:rPr>
      </w:pPr>
    </w:p>
    <w:p w14:paraId="1D2AFF2D">
      <w:pPr>
        <w:pStyle w:val="98"/>
        <w:jc w:val="center"/>
        <w:rPr>
          <w:rFonts w:hint="eastAsia"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FDC4304">
                            <w:pPr>
                              <w:pStyle w:val="67"/>
                              <w:spacing w:before="600"/>
                              <w:rPr>
                                <w:rFonts w:hint="eastAsia" w:ascii="黑体" w:hAnsi="黑体" w:eastAsia="黑体"/>
                                <w:sz w:val="36"/>
                                <w:szCs w:val="36"/>
                              </w:rPr>
                            </w:pPr>
                            <w:r>
                              <w:rPr>
                                <w:rFonts w:hint="eastAsia" w:ascii="黑体" w:hAnsi="黑体" w:eastAsia="黑体"/>
                                <w:sz w:val="36"/>
                                <w:szCs w:val="36"/>
                              </w:rPr>
                              <w:t>征求意见稿</w:t>
                            </w:r>
                          </w:p>
                          <w:p w14:paraId="7003F60C">
                            <w:pPr>
                              <w:pStyle w:val="67"/>
                              <w:spacing w:before="600"/>
                              <w:rPr>
                                <w:rFonts w:hint="eastAsia"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6-02</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FDC4304">
                      <w:pPr>
                        <w:pStyle w:val="67"/>
                        <w:spacing w:before="600"/>
                        <w:rPr>
                          <w:rFonts w:hint="eastAsia" w:ascii="黑体" w:hAnsi="黑体" w:eastAsia="黑体"/>
                          <w:sz w:val="36"/>
                          <w:szCs w:val="36"/>
                        </w:rPr>
                      </w:pPr>
                      <w:r>
                        <w:rPr>
                          <w:rFonts w:hint="eastAsia" w:ascii="黑体" w:hAnsi="黑体" w:eastAsia="黑体"/>
                          <w:sz w:val="36"/>
                          <w:szCs w:val="36"/>
                        </w:rPr>
                        <w:t>征求意见稿</w:t>
                      </w:r>
                    </w:p>
                    <w:p w14:paraId="7003F60C">
                      <w:pPr>
                        <w:pStyle w:val="67"/>
                        <w:spacing w:before="600"/>
                        <w:rPr>
                          <w:rFonts w:hint="eastAsia"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6-02</w:t>
                      </w:r>
                    </w:p>
                  </w:txbxContent>
                </v:textbox>
                <w10:anchorlock/>
              </v:rect>
            </w:pict>
          </mc:Fallback>
        </mc:AlternateContent>
      </w:r>
    </w:p>
    <w:p w14:paraId="158C11E7">
      <w:pPr>
        <w:pStyle w:val="98"/>
        <w:jc w:val="center"/>
        <w:rPr>
          <w:rFonts w:hint="eastAsia" w:ascii="黑体" w:hAnsi="黑体" w:eastAsia="黑体"/>
          <w:sz w:val="24"/>
          <w:szCs w:val="24"/>
        </w:rPr>
      </w:pPr>
    </w:p>
    <w:p w14:paraId="3997995E">
      <w:pPr>
        <w:pStyle w:val="98"/>
        <w:jc w:val="center"/>
        <w:rPr>
          <w:rFonts w:hint="eastAsia" w:ascii="黑体" w:hAnsi="黑体" w:eastAsia="黑体"/>
          <w:sz w:val="24"/>
          <w:szCs w:val="24"/>
        </w:rPr>
      </w:pPr>
    </w:p>
    <w:p w14:paraId="07E38BCF">
      <w:pPr>
        <w:pStyle w:val="98"/>
        <w:jc w:val="center"/>
        <w:rPr>
          <w:rFonts w:hint="eastAsia" w:ascii="黑体" w:hAnsi="黑体" w:eastAsia="黑体"/>
          <w:sz w:val="24"/>
          <w:szCs w:val="24"/>
        </w:rPr>
      </w:pPr>
    </w:p>
    <w:p w14:paraId="3F7743D0">
      <w:pPr>
        <w:pStyle w:val="98"/>
        <w:jc w:val="center"/>
        <w:rPr>
          <w:rFonts w:hint="eastAsia" w:ascii="黑体" w:hAnsi="黑体" w:eastAsia="黑体"/>
          <w:sz w:val="24"/>
          <w:szCs w:val="24"/>
        </w:rPr>
      </w:pPr>
    </w:p>
    <w:p w14:paraId="5D716491">
      <w:pPr>
        <w:pStyle w:val="98"/>
        <w:jc w:val="center"/>
        <w:rPr>
          <w:rFonts w:hint="eastAsia" w:ascii="黑体" w:hAnsi="黑体" w:eastAsia="黑体"/>
          <w:sz w:val="24"/>
          <w:szCs w:val="24"/>
        </w:rPr>
      </w:pPr>
    </w:p>
    <w:p w14:paraId="622BFEFE">
      <w:pPr>
        <w:pStyle w:val="98"/>
        <w:jc w:val="center"/>
        <w:rPr>
          <w:rFonts w:hint="eastAsia" w:ascii="黑体" w:hAnsi="黑体" w:eastAsia="黑体"/>
          <w:sz w:val="24"/>
          <w:szCs w:val="24"/>
        </w:rPr>
      </w:pPr>
    </w:p>
    <w:p w14:paraId="4CE23AD4">
      <w:pPr>
        <w:pStyle w:val="98"/>
        <w:jc w:val="center"/>
        <w:rPr>
          <w:rFonts w:hint="eastAsia" w:ascii="黑体" w:hAnsi="黑体" w:eastAsia="黑体"/>
          <w:sz w:val="24"/>
          <w:szCs w:val="24"/>
        </w:rPr>
      </w:pPr>
    </w:p>
    <w:p w14:paraId="1DF7A7B7">
      <w:pPr>
        <w:pStyle w:val="98"/>
        <w:jc w:val="center"/>
        <w:rPr>
          <w:rFonts w:hint="eastAsia" w:ascii="黑体" w:hAnsi="黑体" w:eastAsia="黑体"/>
          <w:sz w:val="24"/>
          <w:szCs w:val="24"/>
        </w:rPr>
      </w:pPr>
    </w:p>
    <w:p w14:paraId="40E9E302">
      <w:pPr>
        <w:pStyle w:val="98"/>
        <w:jc w:val="center"/>
        <w:rPr>
          <w:rFonts w:hint="eastAsia" w:ascii="黑体" w:hAnsi="黑体" w:eastAsia="黑体"/>
          <w:sz w:val="24"/>
          <w:szCs w:val="24"/>
        </w:rPr>
      </w:pPr>
    </w:p>
    <w:p w14:paraId="67B6A129">
      <w:pPr>
        <w:pStyle w:val="98"/>
        <w:jc w:val="center"/>
        <w:rPr>
          <w:rFonts w:hint="eastAsia" w:ascii="黑体" w:hAnsi="黑体" w:eastAsia="黑体"/>
          <w:sz w:val="24"/>
          <w:szCs w:val="24"/>
        </w:rPr>
      </w:pPr>
    </w:p>
    <w:p w14:paraId="64518F23">
      <w:pPr>
        <w:pStyle w:val="98"/>
        <w:jc w:val="center"/>
        <w:rPr>
          <w:rFonts w:hint="eastAsia" w:ascii="黑体" w:hAnsi="黑体" w:eastAsia="黑体"/>
          <w:sz w:val="24"/>
          <w:szCs w:val="24"/>
        </w:rPr>
      </w:pPr>
    </w:p>
    <w:p w14:paraId="27ED2B7A">
      <w:pPr>
        <w:pStyle w:val="98"/>
        <w:jc w:val="center"/>
        <w:rPr>
          <w:rFonts w:hint="eastAsia" w:ascii="黑体" w:hAnsi="黑体" w:eastAsia="黑体"/>
          <w:sz w:val="24"/>
          <w:szCs w:val="24"/>
        </w:rPr>
      </w:pPr>
    </w:p>
    <w:p w14:paraId="50A9A12A">
      <w:pPr>
        <w:pStyle w:val="98"/>
        <w:jc w:val="center"/>
        <w:rPr>
          <w:rFonts w:hint="eastAsia" w:ascii="黑体" w:hAnsi="黑体" w:eastAsia="黑体"/>
          <w:sz w:val="24"/>
          <w:szCs w:val="24"/>
        </w:rPr>
      </w:pPr>
    </w:p>
    <w:p w14:paraId="1698AACB">
      <w:pPr>
        <w:pStyle w:val="98"/>
        <w:jc w:val="center"/>
        <w:rPr>
          <w:rFonts w:hint="eastAsia"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0AC130DB">
                            <w:pPr>
                              <w:pStyle w:val="75"/>
                              <w:rPr>
                                <w:rFonts w:hint="eastAsia" w:ascii="宋体" w:hAnsi="宋体" w:eastAsia="宋体" w:cs="宋体"/>
                                <w:spacing w:val="58"/>
                                <w:w w:val="120"/>
                                <w:kern w:val="2"/>
                                <w:sz w:val="28"/>
                                <w:szCs w:val="28"/>
                              </w:rPr>
                            </w:pPr>
                          </w:p>
                          <w:p w14:paraId="307C073E">
                            <w:pPr>
                              <w:jc w:val="center"/>
                              <w:rPr>
                                <w:rFonts w:hint="eastAsia" w:ascii="宋体" w:hAnsi="宋体" w:cs="宋体"/>
                                <w:spacing w:val="58"/>
                                <w:w w:val="120"/>
                                <w:sz w:val="28"/>
                                <w:szCs w:val="28"/>
                              </w:rPr>
                            </w:pPr>
                            <w:r>
                              <w:rPr>
                                <w:rFonts w:hint="eastAsia" w:ascii="宋体" w:hAnsi="宋体" w:cs="宋体"/>
                                <w:spacing w:val="58"/>
                                <w:w w:val="120"/>
                                <w:sz w:val="28"/>
                                <w:szCs w:val="28"/>
                              </w:rPr>
                              <w:t>粉末流动性测定仪校准规范</w:t>
                            </w:r>
                          </w:p>
                          <w:p w14:paraId="212EAC84">
                            <w:pPr>
                              <w:jc w:val="center"/>
                              <w:rPr>
                                <w:rFonts w:hint="eastAsia" w:ascii="宋体" w:hAnsi="宋体" w:cs="宋体"/>
                                <w:sz w:val="28"/>
                                <w:szCs w:val="28"/>
                              </w:rPr>
                            </w:pPr>
                            <w:r>
                              <w:rPr>
                                <w:rFonts w:hint="eastAsia" w:ascii="宋体" w:hAnsi="宋体" w:cs="宋体"/>
                                <w:spacing w:val="58"/>
                                <w:w w:val="120"/>
                                <w:sz w:val="28"/>
                                <w:szCs w:val="28"/>
                              </w:rPr>
                              <w:t>编制组</w:t>
                            </w:r>
                          </w:p>
                          <w:p w14:paraId="169D1960">
                            <w:pPr>
                              <w:pStyle w:val="114"/>
                              <w:rPr>
                                <w:rFonts w:hint="eastAsia" w:ascii="宋体" w:hAnsi="宋体" w:eastAsia="宋体" w:cs="宋体"/>
                                <w:sz w:val="28"/>
                                <w:szCs w:val="28"/>
                              </w:rPr>
                            </w:pPr>
                            <w:r>
                              <w:rPr>
                                <w:rFonts w:hint="eastAsia" w:ascii="宋体" w:hAnsi="宋体" w:eastAsia="宋体" w:cs="宋体"/>
                                <w:sz w:val="28"/>
                                <w:szCs w:val="28"/>
                              </w:rPr>
                              <w:t>主编单位：广东省科学院工业分析检测中心</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0AC130DB">
                      <w:pPr>
                        <w:pStyle w:val="75"/>
                        <w:rPr>
                          <w:rFonts w:hint="eastAsia" w:ascii="宋体" w:hAnsi="宋体" w:eastAsia="宋体" w:cs="宋体"/>
                          <w:spacing w:val="58"/>
                          <w:w w:val="120"/>
                          <w:kern w:val="2"/>
                          <w:sz w:val="28"/>
                          <w:szCs w:val="28"/>
                        </w:rPr>
                      </w:pPr>
                    </w:p>
                    <w:p w14:paraId="307C073E">
                      <w:pPr>
                        <w:jc w:val="center"/>
                        <w:rPr>
                          <w:rFonts w:hint="eastAsia" w:ascii="宋体" w:hAnsi="宋体" w:cs="宋体"/>
                          <w:spacing w:val="58"/>
                          <w:w w:val="120"/>
                          <w:sz w:val="28"/>
                          <w:szCs w:val="28"/>
                        </w:rPr>
                      </w:pPr>
                      <w:r>
                        <w:rPr>
                          <w:rFonts w:hint="eastAsia" w:ascii="宋体" w:hAnsi="宋体" w:cs="宋体"/>
                          <w:spacing w:val="58"/>
                          <w:w w:val="120"/>
                          <w:sz w:val="28"/>
                          <w:szCs w:val="28"/>
                        </w:rPr>
                        <w:t>粉末流动性测定仪校准规范</w:t>
                      </w:r>
                    </w:p>
                    <w:p w14:paraId="212EAC84">
                      <w:pPr>
                        <w:jc w:val="center"/>
                        <w:rPr>
                          <w:rFonts w:hint="eastAsia" w:ascii="宋体" w:hAnsi="宋体" w:cs="宋体"/>
                          <w:sz w:val="28"/>
                          <w:szCs w:val="28"/>
                        </w:rPr>
                      </w:pPr>
                      <w:r>
                        <w:rPr>
                          <w:rFonts w:hint="eastAsia" w:ascii="宋体" w:hAnsi="宋体" w:cs="宋体"/>
                          <w:spacing w:val="58"/>
                          <w:w w:val="120"/>
                          <w:sz w:val="28"/>
                          <w:szCs w:val="28"/>
                        </w:rPr>
                        <w:t>编制组</w:t>
                      </w:r>
                    </w:p>
                    <w:p w14:paraId="169D1960">
                      <w:pPr>
                        <w:pStyle w:val="114"/>
                        <w:rPr>
                          <w:rFonts w:hint="eastAsia" w:ascii="宋体" w:hAnsi="宋体" w:eastAsia="宋体" w:cs="宋体"/>
                          <w:sz w:val="28"/>
                          <w:szCs w:val="28"/>
                        </w:rPr>
                      </w:pPr>
                      <w:r>
                        <w:rPr>
                          <w:rFonts w:hint="eastAsia" w:ascii="宋体" w:hAnsi="宋体" w:eastAsia="宋体" w:cs="宋体"/>
                          <w:sz w:val="28"/>
                          <w:szCs w:val="28"/>
                        </w:rPr>
                        <w:t>主编单位：广东省科学院工业分析检测中心</w:t>
                      </w:r>
                    </w:p>
                  </w:txbxContent>
                </v:textbox>
                <w10:anchorlock/>
              </v:rect>
            </w:pict>
          </mc:Fallback>
        </mc:AlternateContent>
      </w:r>
    </w:p>
    <w:p w14:paraId="79DCDBC0">
      <w:pPr>
        <w:pStyle w:val="98"/>
        <w:jc w:val="center"/>
        <w:rPr>
          <w:rFonts w:hint="eastAsia" w:ascii="黑体" w:hAnsi="黑体" w:eastAsia="黑体"/>
          <w:sz w:val="24"/>
          <w:szCs w:val="24"/>
        </w:rPr>
      </w:pPr>
    </w:p>
    <w:p w14:paraId="28E742D2">
      <w:pPr>
        <w:pStyle w:val="98"/>
        <w:jc w:val="center"/>
        <w:rPr>
          <w:rFonts w:hint="eastAsia" w:ascii="黑体" w:hAnsi="黑体" w:eastAsia="黑体"/>
          <w:sz w:val="24"/>
          <w:szCs w:val="24"/>
        </w:rPr>
      </w:pPr>
    </w:p>
    <w:p w14:paraId="4AFB45AF">
      <w:pPr>
        <w:pStyle w:val="98"/>
        <w:jc w:val="center"/>
        <w:rPr>
          <w:rFonts w:hint="eastAsia" w:ascii="黑体" w:hAnsi="黑体" w:eastAsia="黑体"/>
          <w:sz w:val="24"/>
          <w:szCs w:val="24"/>
        </w:rPr>
      </w:pPr>
    </w:p>
    <w:p w14:paraId="24AD2AC9">
      <w:pPr>
        <w:pStyle w:val="98"/>
        <w:jc w:val="center"/>
        <w:rPr>
          <w:rFonts w:hint="eastAsia" w:ascii="黑体" w:hAnsi="黑体" w:eastAsia="黑体"/>
          <w:sz w:val="24"/>
          <w:szCs w:val="24"/>
        </w:rPr>
      </w:pPr>
    </w:p>
    <w:p w14:paraId="224F1D30">
      <w:pPr>
        <w:pStyle w:val="98"/>
        <w:jc w:val="center"/>
        <w:rPr>
          <w:rFonts w:hint="eastAsia" w:ascii="黑体" w:hAnsi="黑体" w:eastAsia="黑体"/>
          <w:sz w:val="24"/>
          <w:szCs w:val="24"/>
        </w:rPr>
      </w:pPr>
    </w:p>
    <w:p w14:paraId="501F8ECE">
      <w:pPr>
        <w:pStyle w:val="98"/>
        <w:jc w:val="center"/>
        <w:rPr>
          <w:rFonts w:hint="eastAsia" w:ascii="黑体" w:hAnsi="黑体" w:eastAsia="黑体"/>
          <w:sz w:val="24"/>
          <w:szCs w:val="24"/>
        </w:rPr>
      </w:pPr>
    </w:p>
    <w:p w14:paraId="65B662E7">
      <w:pPr>
        <w:pStyle w:val="98"/>
        <w:jc w:val="center"/>
        <w:rPr>
          <w:rFonts w:hint="eastAsia" w:ascii="黑体" w:hAnsi="黑体" w:eastAsia="黑体"/>
          <w:sz w:val="24"/>
          <w:szCs w:val="24"/>
        </w:rPr>
      </w:pPr>
    </w:p>
    <w:p w14:paraId="20FD319B">
      <w:pPr>
        <w:pStyle w:val="2"/>
        <w:spacing w:before="156" w:after="156"/>
        <w:rPr>
          <w:rFonts w:hint="eastAsia" w:ascii="黑体" w:hAnsi="黑体" w:cs="黑体"/>
          <w:b w:val="0"/>
          <w:bCs w:val="0"/>
          <w:szCs w:val="28"/>
        </w:rPr>
      </w:pPr>
      <w:r>
        <w:rPr>
          <w:rFonts w:hint="eastAsia" w:ascii="黑体" w:hAnsi="黑体" w:cs="黑体"/>
          <w:b w:val="0"/>
          <w:bCs w:val="0"/>
          <w:szCs w:val="28"/>
        </w:rPr>
        <w:t>一、工作简况</w:t>
      </w:r>
      <w:bookmarkEnd w:id="0"/>
      <w:bookmarkStart w:id="2" w:name="_Toc464728896"/>
    </w:p>
    <w:p w14:paraId="2C64BA30">
      <w:pPr>
        <w:pStyle w:val="3"/>
        <w:spacing w:before="156" w:after="156"/>
        <w:rPr>
          <w:rFonts w:hint="eastAsia" w:ascii="黑体" w:hAnsi="黑体" w:cs="黑体"/>
          <w:b w:val="0"/>
          <w:bCs w:val="0"/>
          <w:szCs w:val="24"/>
        </w:rPr>
      </w:pPr>
      <w:r>
        <w:rPr>
          <w:rFonts w:hint="eastAsia" w:ascii="黑体" w:hAnsi="黑体" w:cs="黑体"/>
          <w:b w:val="0"/>
          <w:bCs w:val="0"/>
          <w:szCs w:val="24"/>
        </w:rPr>
        <w:t>1.立项目的</w:t>
      </w:r>
    </w:p>
    <w:p w14:paraId="2F4783BA">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粉末流动性测定仪是在无空气流动的条件下，将规定质量的粉末涂料置于容器中，在标准大气压力和温度条件下，用洁净的干燥空气流化，测定流化中和流化后粉末的高度及流化粉末流过一特定孔口时的速率，用于表征粉末输送和喷涂的特性。为保证测试结果的准确可靠，需要对其进行校准，保证其量值准确、可靠、有源可溯。</w:t>
      </w:r>
    </w:p>
    <w:p w14:paraId="65954A90">
      <w:pPr>
        <w:pStyle w:val="21"/>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本规范重点解决了粉末流动性测定仪计量特性不明确、校准项目不齐全、校准方法不统一等问题，弥补粉末流动性测定仪校准规范的空白，进一步提高粉末空气混合物流动性测试结果的准确性。</w:t>
      </w:r>
    </w:p>
    <w:p w14:paraId="2B5A67E8">
      <w:pPr>
        <w:pStyle w:val="3"/>
        <w:spacing w:before="156" w:after="156"/>
        <w:rPr>
          <w:rFonts w:hint="eastAsia" w:ascii="黑体" w:hAnsi="黑体" w:cs="黑体"/>
          <w:b w:val="0"/>
          <w:bCs w:val="0"/>
          <w:szCs w:val="24"/>
        </w:rPr>
      </w:pPr>
      <w:r>
        <w:rPr>
          <w:rFonts w:hint="eastAsia" w:ascii="黑体" w:hAnsi="黑体" w:cs="黑体"/>
          <w:b w:val="0"/>
          <w:bCs w:val="0"/>
          <w:szCs w:val="24"/>
        </w:rPr>
        <w:t>2.任务来源</w:t>
      </w:r>
      <w:bookmarkEnd w:id="2"/>
    </w:p>
    <w:p w14:paraId="4650F0D8">
      <w:pPr>
        <w:pStyle w:val="35"/>
        <w:spacing w:after="0"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根据工业和信息化部《</w:t>
      </w:r>
      <w:r>
        <w:rPr>
          <w:rFonts w:hint="eastAsia" w:asciiTheme="minorEastAsia" w:hAnsiTheme="minorEastAsia" w:eastAsiaTheme="minorEastAsia" w:cstheme="minorEastAsia"/>
          <w:szCs w:val="21"/>
          <w:shd w:val="clear" w:color="auto" w:fill="FFFFFF"/>
        </w:rPr>
        <w:t>工业和信息化部办公厅关于印发 2025 年行业计量技术规范制修订计划的通知</w:t>
      </w:r>
      <w:r>
        <w:rPr>
          <w:rFonts w:hint="eastAsia" w:asciiTheme="minorEastAsia" w:hAnsiTheme="minorEastAsia" w:eastAsiaTheme="minorEastAsia" w:cstheme="minorEastAsia"/>
          <w:szCs w:val="21"/>
        </w:rPr>
        <w:t>》（工信厅科函［2025］299号）文的要求，行业计量技术规范《粉末流动性测定仪校准规范》由广东省科学院工业分析检测中心负责起草。该项目计划编号为JJFZ（有色金属）005-2025。按计划要求，本技术规范应于2026年完成。</w:t>
      </w:r>
    </w:p>
    <w:p w14:paraId="2A3465D6">
      <w:pPr>
        <w:pStyle w:val="3"/>
        <w:spacing w:before="156" w:after="156"/>
        <w:rPr>
          <w:rFonts w:hint="eastAsia" w:ascii="黑体" w:hAnsi="黑体" w:cs="黑体"/>
          <w:b w:val="0"/>
          <w:bCs w:val="0"/>
        </w:rPr>
      </w:pPr>
      <w:r>
        <w:rPr>
          <w:rFonts w:hint="eastAsia" w:ascii="黑体" w:hAnsi="黑体" w:cs="黑体"/>
          <w:b w:val="0"/>
          <w:bCs w:val="0"/>
        </w:rPr>
        <w:t>3.项目编制组单位简况</w:t>
      </w:r>
    </w:p>
    <w:p w14:paraId="373394A4">
      <w:pPr>
        <w:pStyle w:val="4"/>
        <w:spacing w:before="156" w:after="156"/>
        <w:rPr>
          <w:rFonts w:hint="eastAsia" w:ascii="黑体" w:hAnsi="黑体" w:cs="黑体"/>
          <w:b w:val="0"/>
          <w:bCs w:val="0"/>
          <w:szCs w:val="21"/>
        </w:rPr>
      </w:pPr>
      <w:r>
        <w:rPr>
          <w:rFonts w:hint="eastAsia" w:ascii="黑体" w:hAnsi="黑体" w:cs="黑体"/>
          <w:b w:val="0"/>
          <w:bCs w:val="0"/>
          <w:szCs w:val="21"/>
        </w:rPr>
        <w:t>3.1 编制组成员单位</w:t>
      </w:r>
    </w:p>
    <w:p w14:paraId="50DA1F82">
      <w:pPr>
        <w:widowControl/>
        <w:autoSpaceDE w:val="0"/>
        <w:autoSpaceDN w:val="0"/>
        <w:spacing w:line="360" w:lineRule="auto"/>
        <w:ind w:firstLine="420" w:firstLineChars="200"/>
        <w:rPr>
          <w:szCs w:val="21"/>
        </w:rPr>
      </w:pPr>
      <w:bookmarkStart w:id="3" w:name="_Toc462884344"/>
      <w:bookmarkStart w:id="4" w:name="_Toc464728900"/>
      <w:r>
        <w:rPr>
          <w:rFonts w:hint="eastAsia"/>
          <w:szCs w:val="21"/>
        </w:rPr>
        <w:t>本规范的编制组单位为：广东省科学院工业分析检测中心、广船国际有限公司、广东省科学院新材料研究所、厦门厦钨新能源材料股份有限公司、天津艾隆科技开发有限公司、国合青岛公司、国标（北京）检验认证有限公司、西南铝业（集团）有限责任公司、中国有色金属工业标准计量质量研究所。</w:t>
      </w:r>
    </w:p>
    <w:p w14:paraId="5AF7A673">
      <w:pPr>
        <w:pStyle w:val="4"/>
        <w:spacing w:before="156" w:after="156"/>
        <w:rPr>
          <w:rFonts w:hint="eastAsia" w:ascii="黑体" w:hAnsi="黑体" w:cs="黑体"/>
          <w:b w:val="0"/>
          <w:bCs w:val="0"/>
          <w:szCs w:val="21"/>
        </w:rPr>
      </w:pPr>
      <w:r>
        <w:rPr>
          <w:rFonts w:hint="eastAsia" w:ascii="黑体" w:hAnsi="黑体" w:cs="黑体"/>
          <w:b w:val="0"/>
          <w:bCs w:val="0"/>
          <w:szCs w:val="21"/>
        </w:rPr>
        <w:t>3.2 主编单位简介</w:t>
      </w:r>
    </w:p>
    <w:bookmarkEnd w:id="3"/>
    <w:bookmarkEnd w:id="4"/>
    <w:p w14:paraId="69B97D0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广东省科学院工业分析检测中心始建于 1971 年，是独立法人事业单位。先后隶属于广州有色金属研究院、广东省工业技术研究院，2015 年 12 月成为广东省科学院属下单位。中心现有员工 160 多人，副高以上职称人数占比超 30%，组建了专业化队伍。是国家市场监督管理总局批准的资质认定实验室（CMA）、中国合格评定国家认可委员会批准的检测和校准实验室（CNAS）。运营管理着多个中心和站点，如中国有色金属工业华南产品质量监督检验中心等。中心主要从事矿产资源、金属材料、化工产品等的检验检测、分析评价和计量校准等服务，业务覆盖航空航天、轨道交通、新能源等重要领域。同时开展软件测评、标准制修订等工作，致力于成为集多种服务为一体的综合性机构，为社会经济发展提供有力支撑。</w:t>
      </w:r>
    </w:p>
    <w:p w14:paraId="0BFDEA3B">
      <w:pPr>
        <w:spacing w:line="360" w:lineRule="auto"/>
        <w:ind w:firstLine="480" w:firstLineChars="200"/>
        <w:rPr>
          <w:rFonts w:hint="eastAsia" w:asciiTheme="minorEastAsia" w:hAnsiTheme="minorEastAsia" w:eastAsiaTheme="minorEastAsia" w:cstheme="minorEastAsia"/>
          <w:sz w:val="24"/>
        </w:rPr>
      </w:pPr>
    </w:p>
    <w:p w14:paraId="270FA2DD">
      <w:pPr>
        <w:spacing w:line="360" w:lineRule="auto"/>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讨论稿》进行认真讨论，并就提出的意见和建议进行反馈和修改，在编制组中发挥主要带头作用。</w:t>
      </w:r>
    </w:p>
    <w:p w14:paraId="1DE7D26D">
      <w:pPr>
        <w:pStyle w:val="60"/>
        <w:numPr>
          <w:ilvl w:val="0"/>
          <w:numId w:val="0"/>
        </w:numPr>
        <w:spacing w:before="156" w:beforeLines="50" w:after="156" w:afterLines="50"/>
        <w:rPr>
          <w:rFonts w:hint="eastAsia" w:hAnsi="黑体" w:cs="黑体"/>
          <w:color w:val="auto"/>
          <w:szCs w:val="21"/>
        </w:rPr>
      </w:pPr>
      <w:bookmarkStart w:id="5" w:name="_Toc462884345"/>
      <w:bookmarkStart w:id="6" w:name="_Toc464728901"/>
      <w:r>
        <w:rPr>
          <w:rFonts w:hint="eastAsia" w:hAnsi="黑体" w:cs="黑体"/>
          <w:color w:val="auto"/>
          <w:szCs w:val="21"/>
        </w:rPr>
        <w:t>3.3 成员单位简介</w:t>
      </w:r>
      <w:bookmarkEnd w:id="5"/>
      <w:bookmarkEnd w:id="6"/>
    </w:p>
    <w:p w14:paraId="618066C7">
      <w:pPr>
        <w:pStyle w:val="59"/>
        <w:numPr>
          <w:ilvl w:val="0"/>
          <w:numId w:val="0"/>
        </w:numPr>
        <w:spacing w:before="156" w:beforeLines="50" w:after="156" w:afterLines="50"/>
        <w:contextualSpacing/>
        <w:rPr>
          <w:rFonts w:hint="eastAsia" w:cs="黑体"/>
          <w:color w:val="auto"/>
          <w:szCs w:val="21"/>
        </w:rPr>
      </w:pPr>
      <w:r>
        <w:rPr>
          <w:rFonts w:hint="eastAsia" w:cs="黑体"/>
          <w:color w:val="auto"/>
          <w:szCs w:val="21"/>
        </w:rPr>
        <w:t>3.3.1  广船国际有限公司</w:t>
      </w:r>
    </w:p>
    <w:p w14:paraId="15F3CF90">
      <w:pPr>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14:paraId="456E9709">
      <w:pPr>
        <w:pStyle w:val="59"/>
        <w:numPr>
          <w:ilvl w:val="0"/>
          <w:numId w:val="0"/>
        </w:numPr>
        <w:spacing w:before="156" w:beforeLines="50" w:after="156" w:afterLines="50"/>
        <w:contextualSpacing/>
        <w:rPr>
          <w:rFonts w:hint="eastAsia" w:cs="黑体"/>
          <w:color w:val="auto"/>
          <w:szCs w:val="21"/>
        </w:rPr>
      </w:pPr>
      <w:r>
        <w:rPr>
          <w:rFonts w:hint="eastAsia" w:cs="黑体"/>
          <w:color w:val="auto"/>
          <w:szCs w:val="21"/>
        </w:rPr>
        <w:t>3.3.2  广东省科学院新材料研究所</w:t>
      </w:r>
    </w:p>
    <w:p w14:paraId="3EA5184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广东省科学院新材料研究所是广东省科学院直属的科研单位，由原广州有色金属研究院粉末冶金研究所、新材料研究所等单位重新组建而成，是华南地区最早从事粉末冶金研究及产业化的单位之一，组建有国家钛及稀有金属粉末冶金工程技术研究中心、广东省金属粉体材料工程技术研究中心、现代材料表面工程技术国家工程实验室等国家、省部级科技创新及基础条件平台15个，单位长期从事金属材料及其加工制造技术的工艺研发和工程化应用。研究所主要围绕广东省战略新兴产业、重点传统产业和高端装备制造业及国家重大工程对产品开发及装备性能不断提升的需求，面向航空航天、海洋工程、先进装备制造、新能源汽车、机械、轨道交通、医疗器械等领域，开展高性能粉末冶金制品、分析检测技术、铝镁轻金属材料、真空镀膜技术、金属基复合材料、激光制造技术等的研究与应用。</w:t>
      </w:r>
    </w:p>
    <w:p w14:paraId="5EA20841">
      <w:pPr>
        <w:spacing w:line="360" w:lineRule="auto"/>
        <w:ind w:firstLine="420" w:firstLineChars="200"/>
        <w:rPr>
          <w:rFonts w:hint="eastAsia" w:ascii="黑体" w:hAnsi="黑体" w:eastAsia="黑体" w:cs="黑体"/>
          <w:szCs w:val="21"/>
        </w:rPr>
      </w:pPr>
      <w:r>
        <w:rPr>
          <w:rFonts w:hint="eastAsia" w:ascii="黑体" w:hAnsi="黑体" w:eastAsia="黑体" w:cs="黑体"/>
          <w:szCs w:val="21"/>
        </w:rPr>
        <w:t>3.3.3  厦门厦钨新能源材料股份有限公司</w:t>
      </w:r>
    </w:p>
    <w:p w14:paraId="09238DFE">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厦钨新能是一家研发、生产、销售新能源材料的企业，是国家高新技术企业、国家绿色工厂示范企业、专精特新小巨人、国家知识产权优势企业，公司于2021年在上海证券交易所科创板挂牌上市（股票代码：688778）。</w:t>
      </w:r>
    </w:p>
    <w:p w14:paraId="340AFDB9">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产品涵盖钴酸锂、三元材料、磷酸铁锂、钠电材料、贮氢合金等全系列新能源材料，同时还积极推进新型结构材料、固态电池材料等新能源材料布局。产品应用于3C数码、车载动力、储能蓄能等领域，其中，钴酸锂市场份额世界第一；三元材料位居行业第一梯队；贮氢合金连续16年市场份额全国第一。</w:t>
      </w:r>
    </w:p>
    <w:p w14:paraId="24B481BE">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现拥有10家控股公司和分公司，建设有海沧、璟鹭、三明、宁德、雅安五大生产基地，并积极创建福泉、铜陵、法国生产基地，以打造最具国际竞争力的新能源材料产业基地为目标，力争把厦钨新能建设成一流的、受人尊敬的公众公司。</w:t>
      </w:r>
    </w:p>
    <w:p w14:paraId="3BE22034">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厦钨新能检测实验室2024年通过中国合格评定国家认可委员会（CNAS）认可，现有技术人员110余人，检测项目涵盖：理化分析、微区分析、谱学分析和电化学性能测试四个平台，拥有完善的检测检验设备如：粒度分析仪、比表面分析仪、振压实密度分析仪、真密度分析仪、粉体流变分析仪、碳硫分析仪、X射线粉末衍射仪、原位X射线粉末衍射仪、场发射扫描电子显微镜、离子研磨仪、电化学工作站、扣电制作与测试系统、全电制作与测试系统等；校准项目涵盖：温度、力学、流量、压力等，已通过计量建标授权项目4项、2011年通过ISO10012测量管理体系认证。</w:t>
      </w:r>
    </w:p>
    <w:p w14:paraId="6CFA3DFC">
      <w:pPr>
        <w:spacing w:line="360" w:lineRule="auto"/>
        <w:ind w:firstLine="480"/>
        <w:rPr>
          <w:rFonts w:hint="eastAsia" w:asciiTheme="minorEastAsia" w:hAnsiTheme="minorEastAsia" w:eastAsiaTheme="minorEastAsia" w:cstheme="minorEastAsia"/>
          <w:szCs w:val="21"/>
        </w:rPr>
      </w:pPr>
    </w:p>
    <w:p w14:paraId="5728D73E">
      <w:pPr>
        <w:spacing w:line="360" w:lineRule="auto"/>
        <w:contextualSpacing/>
        <w:rPr>
          <w:rFonts w:hint="eastAsia" w:ascii="黑体" w:hAnsi="黑体" w:eastAsia="黑体" w:cs="黑体"/>
          <w:szCs w:val="21"/>
        </w:rPr>
      </w:pPr>
      <w:r>
        <w:rPr>
          <w:rFonts w:hint="eastAsia" w:ascii="黑体" w:hAnsi="黑体" w:eastAsia="黑体" w:cs="黑体"/>
          <w:szCs w:val="21"/>
        </w:rPr>
        <w:t>3.3.4  天津艾隆科技开发有限公司</w:t>
      </w:r>
    </w:p>
    <w:p w14:paraId="54D6588A">
      <w:pPr>
        <w:pStyle w:val="59"/>
        <w:numPr>
          <w:ilvl w:val="0"/>
          <w:numId w:val="0"/>
        </w:numPr>
        <w:spacing w:before="156" w:beforeLines="50" w:after="156" w:afterLines="50" w:line="360" w:lineRule="auto"/>
        <w:ind w:firstLine="396" w:firstLineChars="200"/>
        <w:contextualSpacing/>
        <w:rPr>
          <w:rFonts w:hint="eastAsia" w:asciiTheme="minorEastAsia" w:hAnsiTheme="minorEastAsia" w:eastAsiaTheme="minorEastAsia" w:cstheme="minorEastAsia"/>
          <w:color w:val="auto"/>
          <w:spacing w:val="0"/>
          <w:kern w:val="2"/>
          <w:szCs w:val="21"/>
        </w:rPr>
      </w:pPr>
      <w:r>
        <w:rPr>
          <w:rFonts w:hint="eastAsia" w:ascii="宋体" w:hAnsi="宋体" w:eastAsia="宋体" w:cs="宋体"/>
        </w:rPr>
        <w:t>天津艾隆科技开发有限公司是我国</w:t>
      </w:r>
      <w:r>
        <w:rPr>
          <w:rFonts w:hint="eastAsia" w:ascii="宋体" w:hAnsi="宋体" w:eastAsia="宋体" w:cs="宋体"/>
          <w:szCs w:val="21"/>
        </w:rPr>
        <w:t>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涂料的生产、分析及检测的原装进口或国产生产设备、检测仪器共23台套。以综合的技术实力为各地的铝型材厂提供品质技术支持和服务。铝型材电泳涂漆复合膜全部达到国家和国际标准的最高等级。</w:t>
      </w:r>
    </w:p>
    <w:p w14:paraId="3E0F7901">
      <w:pPr>
        <w:pStyle w:val="59"/>
        <w:numPr>
          <w:ilvl w:val="0"/>
          <w:numId w:val="0"/>
        </w:numPr>
        <w:spacing w:before="156" w:beforeLines="50" w:after="156" w:afterLines="50"/>
        <w:contextualSpacing/>
        <w:rPr>
          <w:rFonts w:hint="eastAsia"/>
        </w:rPr>
      </w:pPr>
      <w:r>
        <w:rPr>
          <w:rFonts w:hint="eastAsia" w:cs="黑体"/>
          <w:color w:val="auto"/>
          <w:szCs w:val="21"/>
        </w:rPr>
        <w:t xml:space="preserve">3.3.5  </w:t>
      </w:r>
      <w:r>
        <w:rPr>
          <w:rFonts w:hint="eastAsia"/>
        </w:rPr>
        <w:t>国合通用（青岛）测试评价有限公司</w:t>
      </w:r>
    </w:p>
    <w:p w14:paraId="72A1F127">
      <w:pPr>
        <w:pStyle w:val="59"/>
        <w:numPr>
          <w:ilvl w:val="0"/>
          <w:numId w:val="0"/>
        </w:numPr>
        <w:spacing w:before="156" w:beforeLines="50" w:after="156" w:afterLines="50" w:line="360" w:lineRule="auto"/>
        <w:ind w:firstLine="396" w:firstLineChars="200"/>
        <w:contextualSpacing/>
        <w:rPr>
          <w:rFonts w:hint="eastAsia"/>
        </w:rPr>
      </w:pPr>
      <w:r>
        <w:rPr>
          <w:rFonts w:hint="eastAsia" w:ascii="宋体" w:hAnsi="宋体" w:eastAsia="宋体" w:cs="宋体"/>
        </w:rPr>
        <w:t>国合通用（青岛）测试评价有限公司隶属于国务院国资委中国有研科技集团有限公司，是承担国家新材料测试评价平台-主中心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重点服务于航空航天、轨道交通、船舶海工、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14:paraId="49AD648C">
      <w:pPr>
        <w:pStyle w:val="59"/>
        <w:numPr>
          <w:ilvl w:val="0"/>
          <w:numId w:val="0"/>
        </w:numPr>
        <w:spacing w:before="156" w:beforeLines="50" w:after="156" w:afterLines="50"/>
        <w:ind w:firstLine="396" w:firstLineChars="200"/>
        <w:contextualSpacing/>
        <w:rPr>
          <w:rFonts w:hint="eastAsia" w:cs="黑体"/>
          <w:color w:val="auto"/>
          <w:szCs w:val="21"/>
        </w:rPr>
      </w:pPr>
    </w:p>
    <w:p w14:paraId="1BF7209C">
      <w:pPr>
        <w:pStyle w:val="58"/>
        <w:ind w:firstLine="420"/>
        <w:rPr>
          <w:rFonts w:hint="eastAsia"/>
        </w:rPr>
      </w:pPr>
    </w:p>
    <w:p w14:paraId="72AABAAA">
      <w:pPr>
        <w:pStyle w:val="59"/>
        <w:numPr>
          <w:ilvl w:val="0"/>
          <w:numId w:val="0"/>
        </w:numPr>
        <w:spacing w:before="156" w:beforeLines="50" w:after="156" w:afterLines="50"/>
        <w:contextualSpacing/>
        <w:rPr>
          <w:rFonts w:hint="eastAsia" w:cs="黑体"/>
          <w:color w:val="auto"/>
          <w:szCs w:val="21"/>
        </w:rPr>
      </w:pPr>
      <w:r>
        <w:rPr>
          <w:rFonts w:hint="eastAsia" w:cs="黑体"/>
          <w:color w:val="auto"/>
          <w:szCs w:val="21"/>
        </w:rPr>
        <w:t>3.3.6  国标（北京）检验认证有限公司</w:t>
      </w:r>
    </w:p>
    <w:p w14:paraId="1AC7FC3A">
      <w:pPr>
        <w:spacing w:line="360" w:lineRule="auto"/>
        <w:ind w:firstLine="420" w:firstLineChars="200"/>
        <w:contextualSpacing/>
        <w:jc w:val="left"/>
        <w:rPr>
          <w:rFonts w:hint="eastAsia" w:asciiTheme="minorEastAsia" w:hAnsiTheme="minorEastAsia" w:eastAsiaTheme="minorEastAsia" w:cstheme="minorEastAsia"/>
          <w:sz w:val="24"/>
        </w:rPr>
      </w:pPr>
      <w:bookmarkStart w:id="7" w:name="_Toc462884347"/>
      <w:bookmarkStart w:id="8" w:name="_Toc464728903"/>
      <w:r>
        <w:rPr>
          <w:rFonts w:hint="eastAsia" w:asciiTheme="minorEastAsia" w:hAnsiTheme="minorEastAsia" w:eastAsiaTheme="minorEastAsia" w:cstheme="minor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05240947">
      <w:pPr>
        <w:pStyle w:val="59"/>
        <w:numPr>
          <w:ilvl w:val="0"/>
          <w:numId w:val="0"/>
        </w:numPr>
        <w:spacing w:before="156" w:beforeLines="50" w:after="156" w:afterLines="50"/>
        <w:contextualSpacing/>
        <w:rPr>
          <w:rFonts w:hint="eastAsia" w:cs="黑体"/>
          <w:color w:val="auto"/>
          <w:szCs w:val="21"/>
        </w:rPr>
      </w:pPr>
      <w:r>
        <w:rPr>
          <w:rFonts w:hint="eastAsia" w:cs="黑体"/>
          <w:color w:val="auto"/>
          <w:szCs w:val="21"/>
        </w:rPr>
        <w:t>3.3.7  西南铝业（集团）有限责任公司</w:t>
      </w:r>
    </w:p>
    <w:p w14:paraId="528491DA">
      <w:pPr>
        <w:spacing w:line="360" w:lineRule="auto"/>
        <w:ind w:firstLine="420" w:firstLineChars="200"/>
        <w:contextualSpacing/>
        <w:jc w:val="left"/>
        <w:rPr>
          <w:szCs w:val="21"/>
        </w:rPr>
      </w:pPr>
      <w:r>
        <w:rPr>
          <w:rFonts w:hint="eastAsia" w:asciiTheme="minorEastAsia" w:hAnsiTheme="minorEastAsia" w:eastAsiaTheme="minorEastAsia" w:cstheme="minor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铝培养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42DC46B7">
      <w:pPr>
        <w:pStyle w:val="59"/>
        <w:numPr>
          <w:ilvl w:val="0"/>
          <w:numId w:val="0"/>
        </w:numPr>
        <w:spacing w:before="156" w:beforeLines="50" w:after="156" w:afterLines="50"/>
        <w:contextualSpacing/>
        <w:rPr>
          <w:rFonts w:hint="eastAsia" w:cs="黑体"/>
          <w:color w:val="auto"/>
          <w:szCs w:val="21"/>
        </w:rPr>
      </w:pPr>
      <w:r>
        <w:rPr>
          <w:rFonts w:hint="eastAsia" w:cs="黑体"/>
          <w:color w:val="auto"/>
          <w:szCs w:val="21"/>
        </w:rPr>
        <w:t>3.3.8  中国有色金属工业标准计量质量研究所</w:t>
      </w:r>
    </w:p>
    <w:p w14:paraId="1791B140">
      <w:pPr>
        <w:spacing w:line="360" w:lineRule="auto"/>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4B49A4C3">
      <w:pPr>
        <w:spacing w:line="360" w:lineRule="auto"/>
        <w:ind w:firstLine="420"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w:t>
      </w:r>
    </w:p>
    <w:p w14:paraId="6342B5BD">
      <w:pPr>
        <w:spacing w:line="360" w:lineRule="auto"/>
        <w:ind w:firstLine="420" w:firstLineChars="200"/>
        <w:contextualSpacing/>
        <w:jc w:val="left"/>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1142F8E4">
      <w:pPr>
        <w:pStyle w:val="4"/>
        <w:spacing w:before="156" w:after="156"/>
        <w:rPr>
          <w:rFonts w:hint="eastAsia" w:ascii="黑体" w:hAnsi="黑体" w:cs="黑体"/>
          <w:b w:val="0"/>
          <w:bCs w:val="0"/>
          <w:szCs w:val="21"/>
        </w:rPr>
      </w:pPr>
      <w:r>
        <w:rPr>
          <w:rFonts w:hint="eastAsia" w:ascii="黑体" w:hAnsi="黑体" w:cs="黑体"/>
          <w:b w:val="0"/>
          <w:bCs w:val="0"/>
          <w:szCs w:val="21"/>
        </w:rPr>
        <w:t>3.4 各单位分工情况</w:t>
      </w:r>
    </w:p>
    <w:p w14:paraId="51530583">
      <w:pPr>
        <w:pStyle w:val="59"/>
        <w:numPr>
          <w:ilvl w:val="3"/>
          <w:numId w:val="0"/>
        </w:numPr>
        <w:spacing w:before="156" w:beforeLines="50" w:after="156" w:afterLines="50" w:line="360" w:lineRule="auto"/>
        <w:ind w:firstLine="396" w:firstLineChars="200"/>
        <w:contextualSpacing/>
        <w:rPr>
          <w:rFonts w:hint="eastAsia" w:ascii="宋体" w:hAnsi="宋体" w:eastAsia="宋体" w:cs="宋体"/>
          <w:color w:val="auto"/>
          <w:kern w:val="2"/>
          <w:szCs w:val="21"/>
        </w:rPr>
      </w:pPr>
      <w:r>
        <w:rPr>
          <w:rFonts w:hint="eastAsia" w:cs="黑体"/>
          <w:szCs w:val="21"/>
        </w:rPr>
        <w:t xml:space="preserve">  </w:t>
      </w:r>
      <w:r>
        <w:rPr>
          <w:rFonts w:hint="eastAsia" w:ascii="Times New Roman" w:hAnsi="Times New Roman" w:eastAsia="宋体"/>
          <w:color w:val="auto"/>
          <w:szCs w:val="21"/>
        </w:rPr>
        <w:t>编制组依据各单位情况，对整个规范的起草进行了分工。</w:t>
      </w:r>
      <w:r>
        <w:rPr>
          <w:rFonts w:ascii="Times New Roman" w:hAnsi="Times New Roman" w:eastAsia="宋体"/>
          <w:color w:val="auto"/>
          <w:szCs w:val="21"/>
        </w:rPr>
        <w:t>广东省科学院工业分析检测中心</w:t>
      </w:r>
      <w:r>
        <w:rPr>
          <w:rFonts w:hint="eastAsia" w:ascii="Times New Roman" w:hAnsi="Times New Roman" w:eastAsia="宋体"/>
          <w:color w:val="auto"/>
          <w:szCs w:val="21"/>
        </w:rPr>
        <w:t>（主编单位）</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w:t>
      </w:r>
      <w:r>
        <w:rPr>
          <w:rFonts w:hint="eastAsia" w:ascii="宋体" w:hAnsi="宋体" w:eastAsia="宋体" w:cs="宋体"/>
          <w:color w:val="auto"/>
          <w:kern w:val="2"/>
          <w:szCs w:val="21"/>
        </w:rPr>
        <w:t>校准</w:t>
      </w:r>
      <w:r>
        <w:rPr>
          <w:rFonts w:ascii="宋体" w:hAnsi="宋体" w:eastAsia="宋体" w:cs="宋体"/>
          <w:color w:val="auto"/>
          <w:kern w:val="2"/>
          <w:szCs w:val="21"/>
        </w:rPr>
        <w:t>方法研究工作，撰写</w:t>
      </w:r>
      <w:r>
        <w:rPr>
          <w:rFonts w:hint="eastAsia" w:ascii="宋体" w:hAnsi="宋体" w:eastAsia="宋体" w:cs="宋体"/>
          <w:color w:val="auto"/>
          <w:kern w:val="2"/>
          <w:szCs w:val="21"/>
        </w:rPr>
        <w:t>规范</w:t>
      </w:r>
      <w:r>
        <w:rPr>
          <w:rFonts w:ascii="宋体" w:hAnsi="宋体" w:eastAsia="宋体" w:cs="宋体"/>
          <w:color w:val="auto"/>
          <w:kern w:val="2"/>
          <w:szCs w:val="21"/>
        </w:rPr>
        <w:t>文稿、编制说明</w:t>
      </w:r>
      <w:r>
        <w:rPr>
          <w:rFonts w:hint="eastAsia" w:ascii="宋体" w:hAnsi="宋体" w:eastAsia="宋体" w:cs="宋体"/>
          <w:color w:val="auto"/>
          <w:kern w:val="2"/>
          <w:szCs w:val="21"/>
        </w:rPr>
        <w:t>和研究报告。</w:t>
      </w:r>
      <w:r>
        <w:rPr>
          <w:rFonts w:hint="eastAsia" w:ascii="宋体" w:hAnsi="宋体" w:eastAsia="宋体" w:cs="宋体"/>
          <w:color w:val="auto"/>
          <w:szCs w:val="21"/>
        </w:rPr>
        <w:t>天津艾隆科技开发有限公司、厦门厦钨新能源材料股份有限公司</w:t>
      </w:r>
      <w:r>
        <w:rPr>
          <w:rFonts w:hint="eastAsia" w:ascii="宋体" w:hAnsi="宋体" w:eastAsia="宋体" w:cs="宋体"/>
          <w:color w:val="FF0000"/>
          <w:szCs w:val="21"/>
        </w:rPr>
        <w:t>、</w:t>
      </w:r>
      <w:r>
        <w:rPr>
          <w:rFonts w:hint="eastAsia" w:ascii="宋体" w:hAnsi="宋体" w:eastAsia="宋体" w:cs="宋体"/>
          <w:color w:val="auto"/>
          <w:szCs w:val="21"/>
        </w:rPr>
        <w:t>广船国际有限公司、国合青岛公司、国标（北京）检验认证有限公司、广东省科学院新材料研究所、西南铝业（集团）有限责任公司、中国有色金属工业标准计量质量研究所</w:t>
      </w:r>
      <w:r>
        <w:rPr>
          <w:rFonts w:hint="eastAsia" w:ascii="Times New Roman" w:hAnsi="Times New Roman" w:eastAsia="宋体"/>
          <w:color w:val="auto"/>
          <w:szCs w:val="21"/>
        </w:rPr>
        <w:t>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w:t>
      </w:r>
      <w:r>
        <w:rPr>
          <w:rFonts w:hint="eastAsia" w:ascii="宋体" w:hAnsi="宋体" w:eastAsia="宋体" w:cs="宋体"/>
          <w:color w:val="auto"/>
          <w:kern w:val="2"/>
          <w:szCs w:val="21"/>
        </w:rPr>
        <w:t>规范</w:t>
      </w:r>
      <w:r>
        <w:rPr>
          <w:rFonts w:ascii="宋体" w:hAnsi="宋体" w:eastAsia="宋体" w:cs="宋体"/>
          <w:color w:val="auto"/>
          <w:kern w:val="2"/>
          <w:szCs w:val="21"/>
        </w:rPr>
        <w:t>文稿等提出相应修改意见</w:t>
      </w:r>
      <w:r>
        <w:rPr>
          <w:rFonts w:hint="eastAsia" w:ascii="宋体" w:hAnsi="宋体" w:eastAsia="宋体" w:cs="宋体"/>
          <w:color w:val="auto"/>
          <w:kern w:val="2"/>
          <w:szCs w:val="21"/>
        </w:rPr>
        <w:t>，分工见表1。</w:t>
      </w:r>
    </w:p>
    <w:p w14:paraId="790765C0">
      <w:pPr>
        <w:pStyle w:val="58"/>
        <w:spacing w:line="360" w:lineRule="auto"/>
        <w:ind w:firstLine="0" w:firstLineChars="0"/>
        <w:jc w:val="center"/>
        <w:rPr>
          <w:rFonts w:hint="eastAsia"/>
          <w:color w:val="FF0000"/>
        </w:rPr>
      </w:pPr>
      <w:r>
        <w:rPr>
          <w:rFonts w:hint="eastAsia"/>
          <w:szCs w:val="21"/>
        </w:rPr>
        <w:t>表1 各单位分工表</w:t>
      </w:r>
    </w:p>
    <w:tbl>
      <w:tblPr>
        <w:tblStyle w:val="41"/>
        <w:tblpPr w:leftFromText="180" w:rightFromText="180" w:vertAnchor="text" w:horzAnchor="page" w:tblpXSpec="center" w:tblpY="26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6751"/>
      </w:tblGrid>
      <w:tr w14:paraId="6873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3" w:type="pct"/>
            <w:vAlign w:val="center"/>
          </w:tcPr>
          <w:p w14:paraId="2BD77DEC">
            <w:pPr>
              <w:spacing w:line="360" w:lineRule="auto"/>
              <w:jc w:val="center"/>
              <w:rPr>
                <w:szCs w:val="21"/>
              </w:rPr>
            </w:pPr>
            <w:r>
              <w:rPr>
                <w:rFonts w:hint="eastAsia"/>
                <w:szCs w:val="21"/>
              </w:rPr>
              <w:t>单位</w:t>
            </w:r>
          </w:p>
        </w:tc>
        <w:tc>
          <w:tcPr>
            <w:tcW w:w="3526" w:type="pct"/>
            <w:vAlign w:val="center"/>
          </w:tcPr>
          <w:p w14:paraId="0506944A">
            <w:pPr>
              <w:spacing w:line="360" w:lineRule="auto"/>
              <w:jc w:val="center"/>
              <w:rPr>
                <w:szCs w:val="21"/>
              </w:rPr>
            </w:pPr>
            <w:r>
              <w:rPr>
                <w:rFonts w:hint="eastAsia"/>
                <w:szCs w:val="21"/>
              </w:rPr>
              <w:t>工作分工</w:t>
            </w:r>
          </w:p>
        </w:tc>
      </w:tr>
      <w:tr w14:paraId="4A2E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34265139">
            <w:pPr>
              <w:spacing w:line="400" w:lineRule="exact"/>
              <w:jc w:val="center"/>
              <w:rPr>
                <w:szCs w:val="21"/>
              </w:rPr>
            </w:pPr>
            <w:r>
              <w:rPr>
                <w:szCs w:val="21"/>
              </w:rPr>
              <w:t>广东省科学院工业分析检测中心</w:t>
            </w:r>
          </w:p>
        </w:tc>
        <w:tc>
          <w:tcPr>
            <w:tcW w:w="3526" w:type="pct"/>
            <w:vAlign w:val="center"/>
          </w:tcPr>
          <w:p w14:paraId="3D06D538">
            <w:pPr>
              <w:spacing w:line="400" w:lineRule="exact"/>
              <w:jc w:val="center"/>
              <w:rPr>
                <w:szCs w:val="21"/>
              </w:rPr>
            </w:pPr>
            <w:r>
              <w:rPr>
                <w:rFonts w:hint="eastAsia"/>
                <w:szCs w:val="21"/>
              </w:rPr>
              <w:t>规范起草编制，试验方案编订，实验数据分析，编制说明的撰写工作，会议纪要整理及规范的完善。</w:t>
            </w:r>
          </w:p>
        </w:tc>
      </w:tr>
      <w:tr w14:paraId="0D7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77D1B46F">
            <w:pPr>
              <w:spacing w:line="400" w:lineRule="exact"/>
              <w:jc w:val="center"/>
              <w:rPr>
                <w:rFonts w:hint="eastAsia" w:ascii="宋体" w:hAnsi="宋体" w:cs="宋体"/>
                <w:color w:val="FF0000"/>
                <w:szCs w:val="21"/>
              </w:rPr>
            </w:pPr>
            <w:r>
              <w:rPr>
                <w:rFonts w:hint="eastAsia" w:ascii="宋体" w:hAnsi="宋体" w:cs="宋体"/>
                <w:szCs w:val="21"/>
              </w:rPr>
              <w:t>广船国际有限公司</w:t>
            </w:r>
          </w:p>
        </w:tc>
        <w:tc>
          <w:tcPr>
            <w:tcW w:w="3526" w:type="pct"/>
            <w:vAlign w:val="center"/>
          </w:tcPr>
          <w:p w14:paraId="43040D45">
            <w:pPr>
              <w:spacing w:line="400" w:lineRule="exact"/>
              <w:jc w:val="center"/>
              <w:rPr>
                <w:color w:val="FF0000"/>
                <w:szCs w:val="21"/>
              </w:rPr>
            </w:pPr>
            <w:r>
              <w:rPr>
                <w:rFonts w:hint="eastAsia"/>
                <w:szCs w:val="21"/>
              </w:rPr>
              <w:t>内容审阅并提出修改意见</w:t>
            </w:r>
          </w:p>
        </w:tc>
      </w:tr>
      <w:tr w14:paraId="0975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73" w:type="pct"/>
            <w:vAlign w:val="center"/>
          </w:tcPr>
          <w:p w14:paraId="334C71E7">
            <w:pPr>
              <w:spacing w:line="400" w:lineRule="exact"/>
              <w:jc w:val="center"/>
              <w:rPr>
                <w:szCs w:val="21"/>
              </w:rPr>
            </w:pPr>
            <w:r>
              <w:rPr>
                <w:rFonts w:hint="eastAsia" w:ascii="宋体" w:hAnsi="宋体" w:cs="宋体"/>
                <w:szCs w:val="21"/>
              </w:rPr>
              <w:t>广东省科学院新材料研究所</w:t>
            </w:r>
          </w:p>
        </w:tc>
        <w:tc>
          <w:tcPr>
            <w:tcW w:w="3526" w:type="pct"/>
            <w:vAlign w:val="center"/>
          </w:tcPr>
          <w:p w14:paraId="16BA7061">
            <w:pPr>
              <w:spacing w:line="400" w:lineRule="exact"/>
              <w:jc w:val="center"/>
              <w:rPr>
                <w:color w:val="FF0000"/>
                <w:szCs w:val="21"/>
              </w:rPr>
            </w:pPr>
            <w:r>
              <w:rPr>
                <w:rFonts w:hint="eastAsia"/>
                <w:szCs w:val="21"/>
              </w:rPr>
              <w:t>内容审阅并提出修改意见</w:t>
            </w:r>
          </w:p>
        </w:tc>
      </w:tr>
      <w:tr w14:paraId="585F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0E3780F0">
            <w:pPr>
              <w:spacing w:line="400" w:lineRule="exact"/>
              <w:jc w:val="center"/>
              <w:rPr>
                <w:szCs w:val="21"/>
              </w:rPr>
            </w:pPr>
            <w:r>
              <w:rPr>
                <w:rFonts w:hint="eastAsia" w:ascii="宋体" w:hAnsi="宋体" w:cs="宋体"/>
                <w:szCs w:val="21"/>
              </w:rPr>
              <w:t>厦门厦钨新能源材料股份有限公司</w:t>
            </w:r>
          </w:p>
        </w:tc>
        <w:tc>
          <w:tcPr>
            <w:tcW w:w="3526" w:type="pct"/>
            <w:vAlign w:val="center"/>
          </w:tcPr>
          <w:p w14:paraId="025A2C3E">
            <w:pPr>
              <w:spacing w:line="400" w:lineRule="exact"/>
              <w:jc w:val="center"/>
              <w:rPr>
                <w:szCs w:val="21"/>
              </w:rPr>
            </w:pPr>
            <w:r>
              <w:rPr>
                <w:rFonts w:hint="eastAsia"/>
                <w:szCs w:val="21"/>
              </w:rPr>
              <w:t>内容审阅并提出修改意见</w:t>
            </w:r>
          </w:p>
        </w:tc>
      </w:tr>
      <w:tr w14:paraId="7BFF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72BC3E0E">
            <w:pPr>
              <w:spacing w:line="400" w:lineRule="exact"/>
              <w:jc w:val="center"/>
              <w:rPr>
                <w:color w:val="FF0000"/>
                <w:szCs w:val="21"/>
                <w:highlight w:val="yellow"/>
              </w:rPr>
            </w:pPr>
            <w:r>
              <w:rPr>
                <w:rFonts w:hint="eastAsia" w:ascii="宋体" w:hAnsi="宋体" w:cs="宋体"/>
                <w:szCs w:val="21"/>
              </w:rPr>
              <w:t>天津艾隆科技开发有限公司</w:t>
            </w:r>
          </w:p>
        </w:tc>
        <w:tc>
          <w:tcPr>
            <w:tcW w:w="3526" w:type="pct"/>
            <w:vAlign w:val="center"/>
          </w:tcPr>
          <w:p w14:paraId="3AA58C2F">
            <w:pPr>
              <w:spacing w:line="400" w:lineRule="exact"/>
              <w:jc w:val="center"/>
              <w:rPr>
                <w:color w:val="FF0000"/>
                <w:szCs w:val="21"/>
                <w:highlight w:val="yellow"/>
              </w:rPr>
            </w:pPr>
            <w:r>
              <w:rPr>
                <w:rFonts w:hint="eastAsia"/>
                <w:szCs w:val="21"/>
              </w:rPr>
              <w:t>内容审阅并提出修改意见</w:t>
            </w:r>
          </w:p>
        </w:tc>
      </w:tr>
      <w:tr w14:paraId="08B1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1A8AC5DC">
            <w:pPr>
              <w:spacing w:line="400" w:lineRule="exact"/>
              <w:jc w:val="center"/>
              <w:rPr>
                <w:szCs w:val="21"/>
              </w:rPr>
            </w:pPr>
            <w:r>
              <w:rPr>
                <w:rFonts w:hint="eastAsia" w:ascii="宋体" w:hAnsi="宋体" w:cs="宋体"/>
                <w:szCs w:val="21"/>
              </w:rPr>
              <w:t>国合青岛公司</w:t>
            </w:r>
          </w:p>
        </w:tc>
        <w:tc>
          <w:tcPr>
            <w:tcW w:w="3526" w:type="pct"/>
            <w:vAlign w:val="center"/>
          </w:tcPr>
          <w:p w14:paraId="58D5447D">
            <w:pPr>
              <w:spacing w:line="400" w:lineRule="exact"/>
              <w:jc w:val="center"/>
              <w:rPr>
                <w:szCs w:val="21"/>
              </w:rPr>
            </w:pPr>
            <w:r>
              <w:rPr>
                <w:rFonts w:hint="eastAsia"/>
                <w:szCs w:val="21"/>
              </w:rPr>
              <w:t>实验方案讨论，内容审阅并提出修改意见</w:t>
            </w:r>
          </w:p>
        </w:tc>
      </w:tr>
      <w:tr w14:paraId="0D5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16A6F327">
            <w:pPr>
              <w:spacing w:line="400" w:lineRule="exact"/>
              <w:jc w:val="center"/>
              <w:rPr>
                <w:color w:val="FF0000"/>
                <w:szCs w:val="21"/>
              </w:rPr>
            </w:pPr>
            <w:r>
              <w:rPr>
                <w:rFonts w:hint="eastAsia" w:ascii="宋体" w:hAnsi="宋体" w:cs="宋体"/>
                <w:szCs w:val="21"/>
              </w:rPr>
              <w:t>国标（北京）检验认证有限公司</w:t>
            </w:r>
          </w:p>
        </w:tc>
        <w:tc>
          <w:tcPr>
            <w:tcW w:w="3526" w:type="pct"/>
            <w:vAlign w:val="center"/>
          </w:tcPr>
          <w:p w14:paraId="1DCAEF7E">
            <w:pPr>
              <w:spacing w:line="400" w:lineRule="exact"/>
              <w:jc w:val="center"/>
              <w:rPr>
                <w:color w:val="FF0000"/>
                <w:szCs w:val="21"/>
              </w:rPr>
            </w:pPr>
            <w:r>
              <w:rPr>
                <w:rFonts w:hint="eastAsia"/>
                <w:szCs w:val="21"/>
              </w:rPr>
              <w:t>实验方案讨论，内容审阅并提出修改意见</w:t>
            </w:r>
          </w:p>
        </w:tc>
      </w:tr>
      <w:tr w14:paraId="24A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31980155">
            <w:pPr>
              <w:spacing w:line="400" w:lineRule="exact"/>
              <w:jc w:val="center"/>
              <w:rPr>
                <w:rFonts w:hint="eastAsia" w:ascii="宋体" w:hAnsi="宋体" w:cs="宋体"/>
                <w:szCs w:val="21"/>
              </w:rPr>
            </w:pPr>
            <w:r>
              <w:rPr>
                <w:rFonts w:hint="eastAsia" w:ascii="宋体" w:hAnsi="宋体" w:cs="宋体"/>
                <w:szCs w:val="21"/>
              </w:rPr>
              <w:t>西南铝业（集团）有限责任公司</w:t>
            </w:r>
          </w:p>
        </w:tc>
        <w:tc>
          <w:tcPr>
            <w:tcW w:w="3526" w:type="pct"/>
            <w:vAlign w:val="center"/>
          </w:tcPr>
          <w:p w14:paraId="2F77DEE4">
            <w:pPr>
              <w:spacing w:line="400" w:lineRule="exact"/>
              <w:jc w:val="center"/>
              <w:rPr>
                <w:szCs w:val="21"/>
              </w:rPr>
            </w:pPr>
            <w:r>
              <w:rPr>
                <w:rFonts w:hint="eastAsia"/>
                <w:szCs w:val="21"/>
              </w:rPr>
              <w:t>实验方案讨论，内容审阅并提出修改意见</w:t>
            </w:r>
          </w:p>
        </w:tc>
      </w:tr>
      <w:tr w14:paraId="04A7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pct"/>
            <w:vAlign w:val="center"/>
          </w:tcPr>
          <w:p w14:paraId="57C2C2BD">
            <w:pPr>
              <w:spacing w:line="400" w:lineRule="exact"/>
              <w:jc w:val="center"/>
              <w:rPr>
                <w:rFonts w:hint="eastAsia" w:ascii="宋体" w:hAnsi="宋体" w:cs="宋体"/>
                <w:szCs w:val="21"/>
              </w:rPr>
            </w:pPr>
            <w:r>
              <w:rPr>
                <w:rFonts w:hint="eastAsia" w:ascii="宋体" w:hAnsi="宋体" w:cs="宋体"/>
                <w:szCs w:val="21"/>
              </w:rPr>
              <w:t>中国有色金属工业标准计量质量研究所</w:t>
            </w:r>
          </w:p>
        </w:tc>
        <w:tc>
          <w:tcPr>
            <w:tcW w:w="3526" w:type="pct"/>
            <w:vAlign w:val="center"/>
          </w:tcPr>
          <w:p w14:paraId="65B5A5D3">
            <w:pPr>
              <w:spacing w:line="400" w:lineRule="exact"/>
              <w:jc w:val="center"/>
              <w:rPr>
                <w:szCs w:val="21"/>
              </w:rPr>
            </w:pPr>
            <w:r>
              <w:rPr>
                <w:rFonts w:hint="eastAsia"/>
                <w:szCs w:val="21"/>
              </w:rPr>
              <w:t>内容审阅并提出修改意见</w:t>
            </w:r>
          </w:p>
        </w:tc>
      </w:tr>
    </w:tbl>
    <w:p w14:paraId="26670E5C">
      <w:pPr>
        <w:pStyle w:val="58"/>
        <w:ind w:firstLine="0" w:firstLineChars="0"/>
        <w:rPr>
          <w:rFonts w:hint="eastAsia"/>
        </w:rPr>
      </w:pPr>
    </w:p>
    <w:bookmarkEnd w:id="7"/>
    <w:bookmarkEnd w:id="8"/>
    <w:p w14:paraId="5A9EAA46">
      <w:bookmarkStart w:id="9" w:name="_Toc464728913"/>
      <w:bookmarkStart w:id="10" w:name="_Toc462884357"/>
    </w:p>
    <w:p w14:paraId="13F72AE1">
      <w:pPr>
        <w:pStyle w:val="3"/>
        <w:spacing w:before="156" w:after="156"/>
        <w:rPr>
          <w:rFonts w:hint="eastAsia" w:ascii="黑体" w:hAnsi="黑体" w:cs="黑体"/>
          <w:b w:val="0"/>
          <w:bCs w:val="0"/>
          <w:szCs w:val="24"/>
        </w:rPr>
      </w:pPr>
      <w:r>
        <w:rPr>
          <w:rFonts w:hint="eastAsia" w:ascii="黑体" w:hAnsi="黑体" w:cs="黑体"/>
          <w:b w:val="0"/>
          <w:bCs w:val="0"/>
          <w:szCs w:val="24"/>
        </w:rPr>
        <w:t>4.主要工作过程</w:t>
      </w:r>
      <w:bookmarkEnd w:id="9"/>
      <w:bookmarkEnd w:id="10"/>
    </w:p>
    <w:p w14:paraId="0C34BF5A">
      <w:pPr>
        <w:spacing w:line="360" w:lineRule="auto"/>
        <w:ind w:firstLine="420" w:firstLineChars="200"/>
        <w:rPr>
          <w:rFonts w:hint="eastAsia" w:ascii="宋体" w:hAnsi="宋体" w:cs="宋体"/>
          <w:szCs w:val="21"/>
        </w:rPr>
      </w:pPr>
      <w:bookmarkStart w:id="11" w:name="_Hlk134448643"/>
      <w:r>
        <w:rPr>
          <w:rFonts w:hint="eastAsia" w:ascii="宋体" w:hAnsi="宋体" w:cs="宋体"/>
          <w:szCs w:val="21"/>
        </w:rPr>
        <w:t>广东省科学院工业分析检测中心2025年9月接到有色金属行业计量技术委员会转发下达的制定任务后，成立了计量规范编制组，对计量技术规范编写工作进行了部署和分工，制定了本规范的制定原则及工作计划。本项目主要工作过程经过了以下几个阶段：</w:t>
      </w:r>
    </w:p>
    <w:p w14:paraId="5E9D895B">
      <w:pPr>
        <w:spacing w:line="360" w:lineRule="auto"/>
        <w:ind w:firstLine="420" w:firstLineChars="200"/>
        <w:rPr>
          <w:rFonts w:hint="eastAsia" w:ascii="宋体" w:hAnsi="宋体" w:cs="宋体"/>
          <w:szCs w:val="21"/>
        </w:rPr>
      </w:pPr>
      <w:r>
        <w:rPr>
          <w:rFonts w:hint="eastAsia" w:ascii="宋体" w:hAnsi="宋体" w:cs="宋体"/>
          <w:szCs w:val="21"/>
        </w:rPr>
        <w:t>1）2025年10月成立了计量规范编制组，明确了编制组成员各自的工作内容和任务。</w:t>
      </w:r>
    </w:p>
    <w:p w14:paraId="5CAB4199">
      <w:pPr>
        <w:spacing w:line="360" w:lineRule="auto"/>
        <w:ind w:firstLine="420" w:firstLineChars="200"/>
        <w:rPr>
          <w:rFonts w:hint="eastAsia" w:ascii="宋体" w:hAnsi="宋体" w:cs="宋体"/>
          <w:color w:val="FF0000"/>
          <w:szCs w:val="21"/>
        </w:rPr>
      </w:pPr>
      <w:r>
        <w:rPr>
          <w:rFonts w:hint="eastAsia" w:ascii="宋体" w:hAnsi="宋体" w:cs="宋体"/>
          <w:szCs w:val="21"/>
        </w:rPr>
        <w:t>2）2025年10月～2025年12月，编制组成员对《粉末流动性测定仪校准规范》中的计量特性及校准方法进行了讨论，确定了校准项目和方法，在2025年12月形成了计量规范讨论稿。</w:t>
      </w:r>
    </w:p>
    <w:p w14:paraId="310066BF">
      <w:pPr>
        <w:spacing w:line="360" w:lineRule="auto"/>
        <w:ind w:firstLine="420" w:firstLineChars="200"/>
        <w:rPr>
          <w:rFonts w:hint="eastAsia" w:ascii="宋体" w:hAnsi="宋体" w:cs="宋体"/>
          <w:szCs w:val="21"/>
        </w:rPr>
      </w:pPr>
      <w:r>
        <w:rPr>
          <w:rFonts w:hint="eastAsia" w:ascii="宋体" w:hAnsi="宋体" w:cs="宋体"/>
          <w:szCs w:val="21"/>
        </w:rPr>
        <w:t>3）2025年12月2日～12月4日，在厦门市召开有色金属行业计量技术委员会年会，对《粉末流动性测定仪校准规范》进行了讨论，会上有来自不同单位的计量委员会委员、专家、代表就讨论稿中的计量特性、校准项目、校准方法等内容提出了修改建议和意见。</w:t>
      </w:r>
    </w:p>
    <w:p w14:paraId="777270E5">
      <w:pPr>
        <w:spacing w:line="360" w:lineRule="auto"/>
        <w:ind w:firstLine="420" w:firstLineChars="200"/>
        <w:rPr>
          <w:rFonts w:hint="eastAsia" w:ascii="宋体" w:hAnsi="宋体" w:cs="宋体"/>
          <w:szCs w:val="21"/>
        </w:rPr>
      </w:pPr>
      <w:r>
        <w:rPr>
          <w:rFonts w:hint="eastAsia" w:ascii="宋体" w:hAnsi="宋体" w:cs="宋体"/>
          <w:szCs w:val="21"/>
        </w:rPr>
        <w:t>2026年1月，编制组对专家提出的意见进行了充分研讨并予以采纳，重新绘制了粉末流动性测定仪结构示意图、删除了容器外径示值误差的计量等，于2026年2月初形成了计量规范征求意见稿并进行了提交。</w:t>
      </w:r>
    </w:p>
    <w:bookmarkEnd w:id="11"/>
    <w:p w14:paraId="7C61F447">
      <w:pPr>
        <w:pStyle w:val="2"/>
        <w:spacing w:before="156" w:after="156"/>
        <w:rPr>
          <w:rFonts w:hint="eastAsia" w:ascii="黑体" w:hAnsi="黑体" w:cs="黑体"/>
          <w:b w:val="0"/>
          <w:bCs w:val="0"/>
          <w:szCs w:val="28"/>
        </w:rPr>
      </w:pPr>
      <w:r>
        <w:rPr>
          <w:rFonts w:hint="eastAsia" w:ascii="黑体" w:hAnsi="黑体" w:cs="黑体"/>
          <w:b w:val="0"/>
          <w:bCs w:val="0"/>
          <w:szCs w:val="28"/>
        </w:rPr>
        <w:t>二、编制原则和依据</w:t>
      </w:r>
    </w:p>
    <w:p w14:paraId="54E547FF">
      <w:pPr>
        <w:pStyle w:val="3"/>
        <w:spacing w:before="156" w:after="156"/>
        <w:rPr>
          <w:rFonts w:hint="eastAsia" w:ascii="黑体" w:hAnsi="黑体" w:cs="黑体"/>
          <w:b w:val="0"/>
          <w:bCs w:val="0"/>
        </w:rPr>
      </w:pPr>
      <w:bookmarkStart w:id="12" w:name="_Toc464728925"/>
      <w:r>
        <w:rPr>
          <w:rFonts w:hint="eastAsia" w:ascii="黑体" w:hAnsi="黑体" w:cs="黑体"/>
          <w:b w:val="0"/>
          <w:bCs w:val="0"/>
        </w:rPr>
        <w:t>（一）编制原则</w:t>
      </w:r>
      <w:bookmarkEnd w:id="12"/>
    </w:p>
    <w:p w14:paraId="7B07D361">
      <w:pPr>
        <w:spacing w:line="360" w:lineRule="auto"/>
        <w:ind w:firstLine="420" w:firstLineChars="200"/>
        <w:rPr>
          <w:rFonts w:hint="eastAsia" w:asciiTheme="minorEastAsia" w:hAnsiTheme="minorEastAsia" w:eastAsiaTheme="minorEastAsia" w:cstheme="minorEastAsia"/>
          <w:szCs w:val="21"/>
        </w:rPr>
      </w:pPr>
      <w:bookmarkStart w:id="13" w:name="_Toc464728926"/>
      <w:r>
        <w:rPr>
          <w:rFonts w:hint="eastAsia" w:asciiTheme="minorEastAsia" w:hAnsiTheme="minorEastAsia" w:eastAsiaTheme="minorEastAsia" w:cstheme="minorEastAsia"/>
          <w:szCs w:val="21"/>
        </w:rPr>
        <w:t>本规范按照JJF 1071-2010《国家计量校准规范编写规则》、JJF 1001-2011《通用计量术语及定义》和JJF 1059.1-2012《测量不确定度评定与表示》编写。</w:t>
      </w:r>
    </w:p>
    <w:p w14:paraId="764536F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本规范参考了GB/T 21782.5-2010 第5部分《粉末空气混合物流动性的测定》的技术内容。</w:t>
      </w:r>
    </w:p>
    <w:p w14:paraId="585A459F">
      <w:pPr>
        <w:pStyle w:val="3"/>
        <w:spacing w:before="156" w:after="156"/>
        <w:rPr>
          <w:rFonts w:hint="eastAsia" w:ascii="黑体" w:hAnsi="黑体" w:cs="黑体"/>
          <w:b w:val="0"/>
          <w:bCs w:val="0"/>
        </w:rPr>
      </w:pPr>
      <w:r>
        <w:rPr>
          <w:rFonts w:hint="eastAsia" w:ascii="黑体" w:hAnsi="黑体" w:cs="黑体"/>
          <w:b w:val="0"/>
          <w:bCs w:val="0"/>
        </w:rPr>
        <w:t>（二）确定主要内</w:t>
      </w:r>
      <w:bookmarkEnd w:id="13"/>
      <w:r>
        <w:rPr>
          <w:rFonts w:hint="eastAsia" w:ascii="黑体" w:hAnsi="黑体" w:cs="黑体"/>
          <w:b w:val="0"/>
          <w:bCs w:val="0"/>
        </w:rPr>
        <w:t>容</w:t>
      </w:r>
    </w:p>
    <w:p w14:paraId="1A2DBEE7">
      <w:pPr>
        <w:pStyle w:val="4"/>
        <w:spacing w:before="156" w:after="156"/>
        <w:rPr>
          <w:rFonts w:hint="eastAsia" w:ascii="黑体" w:hAnsi="黑体" w:cs="黑体"/>
          <w:b w:val="0"/>
          <w:bCs w:val="0"/>
          <w:szCs w:val="21"/>
        </w:rPr>
      </w:pPr>
      <w:bookmarkStart w:id="14" w:name="_Toc500258929"/>
      <w:bookmarkStart w:id="15" w:name="_Toc193860208"/>
      <w:bookmarkStart w:id="16" w:name="_Toc23837_WPSOffice_Level1"/>
      <w:bookmarkStart w:id="17" w:name="_Toc193860027"/>
      <w:bookmarkStart w:id="18" w:name="_Toc193860177"/>
      <w:bookmarkStart w:id="19" w:name="_Toc464728964"/>
      <w:r>
        <w:rPr>
          <w:rFonts w:hint="eastAsia" w:ascii="黑体" w:hAnsi="黑体" w:cs="黑体"/>
          <w:b w:val="0"/>
          <w:bCs w:val="0"/>
          <w:szCs w:val="21"/>
        </w:rPr>
        <w:t>1 范围</w:t>
      </w:r>
      <w:bookmarkEnd w:id="14"/>
      <w:bookmarkEnd w:id="15"/>
      <w:bookmarkEnd w:id="16"/>
      <w:bookmarkEnd w:id="17"/>
      <w:bookmarkEnd w:id="18"/>
    </w:p>
    <w:p w14:paraId="68016B19">
      <w:pPr>
        <w:adjustRightInd w:val="0"/>
        <w:snapToGrid w:val="0"/>
        <w:spacing w:line="360" w:lineRule="auto"/>
        <w:ind w:firstLine="420" w:firstLineChars="200"/>
        <w:rPr>
          <w:rFonts w:hint="eastAsia" w:ascii="宋体" w:hAnsi="宋体" w:cs="宋体"/>
          <w:color w:val="FF0000"/>
          <w:kern w:val="0"/>
          <w:szCs w:val="21"/>
        </w:rPr>
      </w:pPr>
      <w:bookmarkStart w:id="20" w:name="OLE_LINK5"/>
      <w:bookmarkStart w:id="21" w:name="_Toc193860028"/>
      <w:bookmarkStart w:id="22" w:name="_Toc193860178"/>
      <w:bookmarkStart w:id="23" w:name="_Toc193860209"/>
      <w:bookmarkStart w:id="24" w:name="_Toc500258930"/>
      <w:bookmarkStart w:id="25" w:name="_Toc7848_WPSOffice_Level1"/>
      <w:r>
        <w:rPr>
          <w:rFonts w:hint="eastAsia" w:ascii="宋体" w:hAnsi="宋体" w:cs="宋体"/>
          <w:szCs w:val="21"/>
        </w:rPr>
        <w:t>本规范适用于粉末流动性测定仪的校准。</w:t>
      </w:r>
      <w:bookmarkEnd w:id="20"/>
    </w:p>
    <w:p w14:paraId="19768D5A">
      <w:pPr>
        <w:pStyle w:val="58"/>
        <w:spacing w:line="360" w:lineRule="auto"/>
        <w:ind w:firstLine="420"/>
        <w:rPr>
          <w:rFonts w:hint="eastAsia" w:cs="宋体"/>
          <w:szCs w:val="21"/>
        </w:rPr>
      </w:pPr>
      <w:r>
        <w:rPr>
          <w:rFonts w:hint="eastAsia" w:cs="宋体"/>
          <w:szCs w:val="21"/>
        </w:rPr>
        <w:t>本规范规定了粉末流动性测定仪的校准项目及校准方法。</w:t>
      </w:r>
    </w:p>
    <w:p w14:paraId="7419856B">
      <w:pPr>
        <w:pStyle w:val="4"/>
        <w:spacing w:before="156" w:after="156"/>
        <w:rPr>
          <w:rFonts w:hint="eastAsia" w:ascii="黑体" w:hAnsi="黑体" w:cs="黑体"/>
          <w:b w:val="0"/>
          <w:bCs w:val="0"/>
          <w:szCs w:val="21"/>
        </w:rPr>
      </w:pPr>
      <w:r>
        <w:rPr>
          <w:rFonts w:hint="eastAsia" w:ascii="黑体" w:hAnsi="黑体" w:cs="黑体"/>
          <w:b w:val="0"/>
          <w:bCs w:val="0"/>
          <w:szCs w:val="21"/>
        </w:rPr>
        <w:t>2 引用文</w:t>
      </w:r>
      <w:bookmarkEnd w:id="21"/>
      <w:bookmarkEnd w:id="22"/>
      <w:bookmarkEnd w:id="23"/>
      <w:r>
        <w:rPr>
          <w:rFonts w:hint="eastAsia" w:ascii="黑体" w:hAnsi="黑体" w:cs="黑体"/>
          <w:b w:val="0"/>
          <w:bCs w:val="0"/>
          <w:szCs w:val="21"/>
        </w:rPr>
        <w:t>件</w:t>
      </w:r>
      <w:bookmarkEnd w:id="24"/>
      <w:bookmarkEnd w:id="25"/>
    </w:p>
    <w:p w14:paraId="12203DE7">
      <w:pPr>
        <w:spacing w:line="360" w:lineRule="auto"/>
        <w:ind w:firstLine="420" w:firstLineChars="200"/>
        <w:rPr>
          <w:rFonts w:hint="eastAsia" w:ascii="宋体" w:hAnsi="宋体" w:cs="宋体"/>
          <w:szCs w:val="21"/>
        </w:rPr>
      </w:pPr>
      <w:bookmarkStart w:id="26" w:name="_Toc193860030"/>
      <w:bookmarkStart w:id="27" w:name="_Toc13054_WPSOffice_Level1"/>
      <w:bookmarkStart w:id="28" w:name="_Toc193860211"/>
      <w:bookmarkStart w:id="29" w:name="_Toc500258937"/>
      <w:bookmarkStart w:id="30" w:name="_Toc193618952"/>
      <w:bookmarkStart w:id="31" w:name="_Toc193860180"/>
      <w:bookmarkStart w:id="32" w:name="_Toc193619055"/>
      <w:bookmarkStart w:id="33" w:name="_Toc193619097"/>
      <w:r>
        <w:rPr>
          <w:rFonts w:hint="eastAsia" w:ascii="宋体" w:hAnsi="宋体" w:cs="宋体"/>
          <w:szCs w:val="21"/>
        </w:rPr>
        <w:t>本规范无直接引用文件，在制定过程中参考了GB/T 21782.5-2010 第5部分《粉末空气混合物流动性的测定》的技术内容。</w:t>
      </w:r>
    </w:p>
    <w:p w14:paraId="79F38D46">
      <w:pPr>
        <w:pStyle w:val="4"/>
        <w:spacing w:before="156" w:after="156"/>
        <w:rPr>
          <w:rFonts w:hint="eastAsia" w:ascii="黑体" w:hAnsi="黑体" w:cs="黑体"/>
          <w:b w:val="0"/>
          <w:bCs w:val="0"/>
          <w:szCs w:val="21"/>
        </w:rPr>
      </w:pPr>
      <w:r>
        <w:rPr>
          <w:rFonts w:hint="eastAsia" w:ascii="黑体" w:hAnsi="黑体" w:cs="黑体"/>
          <w:b w:val="0"/>
          <w:bCs w:val="0"/>
          <w:szCs w:val="21"/>
        </w:rPr>
        <w:t>3 概述</w:t>
      </w:r>
      <w:bookmarkEnd w:id="26"/>
      <w:bookmarkEnd w:id="27"/>
      <w:bookmarkEnd w:id="28"/>
      <w:bookmarkEnd w:id="29"/>
      <w:bookmarkEnd w:id="30"/>
      <w:bookmarkEnd w:id="31"/>
      <w:bookmarkEnd w:id="32"/>
      <w:bookmarkEnd w:id="33"/>
    </w:p>
    <w:p w14:paraId="0F7FA5C7">
      <w:pPr>
        <w:adjustRightInd w:val="0"/>
        <w:snapToGrid w:val="0"/>
        <w:spacing w:line="360" w:lineRule="auto"/>
        <w:ind w:firstLine="420" w:firstLineChars="200"/>
        <w:rPr>
          <w:rFonts w:hint="eastAsia" w:ascii="宋体" w:hAnsi="宋体" w:cs="宋体"/>
          <w:color w:val="FF0000"/>
          <w:szCs w:val="21"/>
        </w:rPr>
      </w:pPr>
      <w:bookmarkStart w:id="34" w:name="_Toc19851_WPSOffice_Level1"/>
      <w:bookmarkStart w:id="35" w:name="_Toc193619098"/>
      <w:bookmarkStart w:id="36" w:name="_Toc193860212"/>
      <w:bookmarkStart w:id="37" w:name="_Toc193619056"/>
      <w:bookmarkStart w:id="38" w:name="_Toc193860031"/>
      <w:bookmarkStart w:id="39" w:name="_Toc193860181"/>
      <w:bookmarkStart w:id="40" w:name="_Toc500258938"/>
      <w:bookmarkStart w:id="41" w:name="_Toc193618953"/>
      <w:r>
        <w:rPr>
          <w:rFonts w:hint="eastAsia" w:ascii="宋体" w:hAnsi="宋体" w:cs="宋体"/>
          <w:szCs w:val="21"/>
        </w:rPr>
        <w:t>粉末流动性测定仪是在无空气流动的条件下，将规定质量的粉末涂料置于容器中，在标准大气压力和温度条件下，用洁净的干燥空气流化，测定流化中和流化后粉末的高度及流化粉末流过一特定孔口时的速率，用于表征粉末输送和喷涂的特性。</w:t>
      </w:r>
    </w:p>
    <w:p w14:paraId="2F0773C6">
      <w:pPr>
        <w:spacing w:line="360" w:lineRule="auto"/>
        <w:ind w:firstLine="420"/>
        <w:rPr>
          <w:rFonts w:hint="eastAsia" w:ascii="宋体" w:hAnsi="宋体" w:cs="宋体"/>
          <w:szCs w:val="21"/>
        </w:rPr>
      </w:pPr>
      <w:r>
        <w:rPr>
          <w:rFonts w:hint="eastAsia" w:ascii="宋体" w:hAnsi="宋体" w:cs="宋体"/>
          <w:szCs w:val="21"/>
        </w:rPr>
        <w:t>本规范介绍了粉末流动性测定仪的工作原理，明确了计量校准的主要参数和方法。</w:t>
      </w:r>
    </w:p>
    <w:p w14:paraId="4BF13A69">
      <w:pPr>
        <w:pStyle w:val="4"/>
        <w:spacing w:before="156" w:after="156"/>
        <w:rPr>
          <w:rFonts w:hint="eastAsia" w:ascii="黑体" w:hAnsi="黑体" w:cs="黑体"/>
          <w:b w:val="0"/>
          <w:bCs w:val="0"/>
          <w:szCs w:val="21"/>
        </w:rPr>
      </w:pPr>
      <w:r>
        <w:rPr>
          <w:rFonts w:hint="eastAsia" w:ascii="黑体" w:hAnsi="黑体" w:cs="黑体"/>
          <w:b w:val="0"/>
          <w:bCs w:val="0"/>
          <w:szCs w:val="21"/>
        </w:rPr>
        <w:t>4 计量特性</w:t>
      </w:r>
      <w:bookmarkEnd w:id="34"/>
      <w:bookmarkEnd w:id="35"/>
      <w:bookmarkEnd w:id="36"/>
      <w:bookmarkEnd w:id="37"/>
      <w:bookmarkEnd w:id="38"/>
      <w:bookmarkEnd w:id="39"/>
      <w:bookmarkEnd w:id="40"/>
      <w:bookmarkEnd w:id="41"/>
      <w:bookmarkStart w:id="42" w:name="_Toc25829_WPSOffice_Level1"/>
    </w:p>
    <w:p w14:paraId="005AB2ED">
      <w:pPr>
        <w:spacing w:line="360" w:lineRule="auto"/>
        <w:ind w:firstLine="420"/>
        <w:rPr>
          <w:rFonts w:hint="eastAsia" w:ascii="宋体" w:hAnsi="宋体" w:cs="宋体"/>
          <w:szCs w:val="21"/>
        </w:rPr>
      </w:pPr>
      <w:r>
        <w:rPr>
          <w:rFonts w:hint="eastAsia" w:ascii="宋体" w:hAnsi="宋体" w:cs="宋体"/>
          <w:szCs w:val="21"/>
        </w:rPr>
        <w:t>本规范的计量特性参考GB/T 21782.5-2010 第5部分《粉末空气混合物流动性的测定》的技术内容，并结合实际使用情况进行确定。</w:t>
      </w:r>
    </w:p>
    <w:p w14:paraId="328EED57">
      <w:pPr>
        <w:spacing w:line="360" w:lineRule="auto"/>
        <w:ind w:firstLine="420"/>
        <w:rPr>
          <w:rFonts w:hint="eastAsia" w:ascii="宋体" w:hAnsi="宋体" w:cs="宋体"/>
          <w:szCs w:val="21"/>
        </w:rPr>
      </w:pPr>
      <w:r>
        <w:rPr>
          <w:rFonts w:hint="eastAsia" w:ascii="宋体" w:hAnsi="宋体" w:cs="宋体"/>
          <w:szCs w:val="21"/>
        </w:rPr>
        <w:t>流化粉末的试验容器尺寸、流化粉末高度和空气流速是粉末流动性测定仪的主要指标，其中试验容器尺寸的主要计量特性有试验容器内径尺寸示值误差；流化粉末高度主要是指高度指示装置即粉末高度尺的示值误差；空气流量主要是指流量计的示值误差。参考GB/T 21782.5-2010 第5部分《粉末空气混合物流动性的测定》及主要试验机厂商的参数信息表，确定这些计量特性的技术要求为：</w:t>
      </w:r>
    </w:p>
    <w:p w14:paraId="3033E1C6">
      <w:pPr>
        <w:numPr>
          <w:ilvl w:val="0"/>
          <w:numId w:val="11"/>
        </w:numPr>
        <w:spacing w:line="360" w:lineRule="auto"/>
        <w:ind w:firstLine="420" w:firstLineChars="200"/>
        <w:rPr>
          <w:rFonts w:hint="eastAsia" w:ascii="宋体" w:hAnsi="宋体" w:cs="宋体"/>
          <w:szCs w:val="21"/>
        </w:rPr>
      </w:pPr>
      <w:r>
        <w:rPr>
          <w:rFonts w:hint="eastAsia" w:ascii="宋体" w:hAnsi="宋体" w:cs="宋体"/>
          <w:szCs w:val="21"/>
        </w:rPr>
        <w:t>容器内径示值最大允许误差：±1mm；</w:t>
      </w:r>
    </w:p>
    <w:p w14:paraId="51692F83">
      <w:pPr>
        <w:spacing w:line="360" w:lineRule="auto"/>
        <w:ind w:firstLine="420" w:firstLineChars="200"/>
        <w:rPr>
          <w:rFonts w:hint="eastAsia" w:ascii="宋体" w:hAnsi="宋体" w:cs="宋体"/>
          <w:szCs w:val="21"/>
        </w:rPr>
      </w:pPr>
      <w:r>
        <w:rPr>
          <w:rFonts w:hint="eastAsia" w:ascii="宋体" w:hAnsi="宋体" w:cs="宋体"/>
          <w:szCs w:val="21"/>
        </w:rPr>
        <w:t>（2）空气流量示值最大允许误差：±2.5%；</w:t>
      </w:r>
    </w:p>
    <w:p w14:paraId="4B50927A">
      <w:pPr>
        <w:spacing w:line="360" w:lineRule="auto"/>
        <w:ind w:firstLine="420" w:firstLineChars="200"/>
        <w:rPr>
          <w:rFonts w:hint="eastAsia" w:ascii="宋体" w:hAnsi="宋体" w:cs="宋体"/>
          <w:szCs w:val="21"/>
        </w:rPr>
      </w:pPr>
      <w:r>
        <w:rPr>
          <w:rFonts w:hint="eastAsia" w:ascii="宋体" w:hAnsi="宋体" w:cs="宋体"/>
          <w:szCs w:val="21"/>
        </w:rPr>
        <w:t>（3）粉末高度尺示值最大允许误差：±1mm。</w:t>
      </w:r>
    </w:p>
    <w:p w14:paraId="6D101CA6">
      <w:pPr>
        <w:spacing w:line="360" w:lineRule="auto"/>
        <w:ind w:firstLine="420"/>
        <w:rPr>
          <w:rFonts w:hint="eastAsia" w:ascii="宋体" w:hAnsi="宋体" w:cs="宋体"/>
          <w:szCs w:val="21"/>
        </w:rPr>
      </w:pPr>
      <w:r>
        <w:rPr>
          <w:rFonts w:hint="eastAsia" w:ascii="宋体" w:hAnsi="宋体" w:cs="宋体"/>
          <w:szCs w:val="21"/>
        </w:rPr>
        <w:t>除此之外，还有一些其它因素可能会影响测定仪的结果准确度，但与主要指标相比，影响因素较小，故考虑到计量的可操作性及其他因素，对容器尺寸、空气流速和高度尺的这些计量特性进行了规定。</w:t>
      </w:r>
    </w:p>
    <w:p w14:paraId="1E27ED57">
      <w:pPr>
        <w:pStyle w:val="4"/>
        <w:spacing w:before="156" w:after="156"/>
        <w:rPr>
          <w:rFonts w:hint="eastAsia" w:ascii="黑体" w:hAnsi="黑体" w:cs="黑体"/>
          <w:b w:val="0"/>
          <w:bCs w:val="0"/>
          <w:szCs w:val="21"/>
        </w:rPr>
      </w:pPr>
      <w:r>
        <w:rPr>
          <w:rFonts w:hint="eastAsia" w:ascii="黑体" w:hAnsi="黑体" w:cs="黑体"/>
          <w:b w:val="0"/>
          <w:bCs w:val="0"/>
          <w:szCs w:val="21"/>
        </w:rPr>
        <w:t>5 校准条件</w:t>
      </w:r>
      <w:bookmarkEnd w:id="42"/>
      <w:bookmarkStart w:id="43" w:name="_Toc193860214"/>
      <w:bookmarkStart w:id="44" w:name="_Toc500258942"/>
      <w:bookmarkStart w:id="45" w:name="_Toc193860183"/>
      <w:bookmarkStart w:id="46" w:name="_Toc193860033"/>
    </w:p>
    <w:bookmarkEnd w:id="43"/>
    <w:bookmarkEnd w:id="44"/>
    <w:bookmarkEnd w:id="45"/>
    <w:bookmarkEnd w:id="46"/>
    <w:p w14:paraId="7CC8DEC5">
      <w:pPr>
        <w:spacing w:line="360" w:lineRule="auto"/>
        <w:ind w:firstLine="420"/>
        <w:rPr>
          <w:rFonts w:hint="eastAsia" w:ascii="宋体" w:hAnsi="宋体" w:cs="宋体"/>
          <w:color w:val="FF0000"/>
          <w:sz w:val="24"/>
        </w:rPr>
      </w:pPr>
      <w:bookmarkStart w:id="47" w:name="_Toc193860216"/>
      <w:bookmarkStart w:id="48" w:name="_Toc193860185"/>
      <w:bookmarkStart w:id="49" w:name="_Toc193618955"/>
      <w:bookmarkStart w:id="50" w:name="_Toc500258944"/>
      <w:bookmarkStart w:id="51" w:name="_Toc193860035"/>
      <w:bookmarkStart w:id="52" w:name="_Toc193619100"/>
      <w:bookmarkStart w:id="53" w:name="_Toc2741_WPSOffice_Level1"/>
      <w:bookmarkStart w:id="54" w:name="_Toc193619058"/>
      <w:r>
        <w:rPr>
          <w:rFonts w:hint="eastAsia" w:ascii="宋体" w:hAnsi="宋体" w:cs="宋体"/>
          <w:szCs w:val="21"/>
        </w:rPr>
        <w:t>根据试验方法GB/T 21782.5-2010 第5部分《粉末空气混合物流动性的测定》和相关计量标准的测量环境要求，对粉末流动性测定仪校准的试验环境条件进行了规定，要求环境温度（20±5）℃，相对湿度：45%</w:t>
      </w:r>
      <w:r>
        <w:rPr>
          <w:rFonts w:hint="eastAsia" w:ascii="华文宋体" w:hAnsi="华文宋体" w:eastAsia="华文宋体" w:cs="华文宋体"/>
          <w:szCs w:val="21"/>
        </w:rPr>
        <w:t>~</w:t>
      </w:r>
      <w:r>
        <w:rPr>
          <w:rFonts w:hint="eastAsia" w:ascii="宋体" w:hAnsi="宋体" w:cs="宋体"/>
          <w:szCs w:val="21"/>
        </w:rPr>
        <w:t>75%。</w:t>
      </w:r>
    </w:p>
    <w:p w14:paraId="4117264D">
      <w:pPr>
        <w:pStyle w:val="4"/>
        <w:spacing w:before="156" w:after="156"/>
        <w:rPr>
          <w:rFonts w:hint="eastAsia" w:ascii="黑体" w:hAnsi="黑体" w:cs="黑体"/>
          <w:b w:val="0"/>
          <w:bCs w:val="0"/>
          <w:szCs w:val="21"/>
        </w:rPr>
      </w:pPr>
      <w:r>
        <w:rPr>
          <w:rFonts w:hint="eastAsia" w:ascii="黑体" w:hAnsi="黑体" w:cs="黑体"/>
          <w:b w:val="0"/>
          <w:bCs w:val="0"/>
          <w:szCs w:val="21"/>
        </w:rPr>
        <w:t>6 校准项目和校准方法</w:t>
      </w:r>
      <w:bookmarkEnd w:id="47"/>
      <w:bookmarkEnd w:id="48"/>
      <w:bookmarkEnd w:id="49"/>
      <w:bookmarkEnd w:id="50"/>
      <w:bookmarkEnd w:id="51"/>
      <w:bookmarkEnd w:id="52"/>
      <w:bookmarkEnd w:id="53"/>
      <w:bookmarkEnd w:id="54"/>
    </w:p>
    <w:p w14:paraId="30251FD5">
      <w:pPr>
        <w:spacing w:line="360" w:lineRule="auto"/>
        <w:ind w:firstLine="420"/>
        <w:rPr>
          <w:rFonts w:hint="eastAsia" w:ascii="宋体" w:hAnsi="宋体" w:cs="宋体"/>
          <w:szCs w:val="21"/>
        </w:rPr>
      </w:pPr>
      <w:bookmarkStart w:id="55" w:name="_Toc193860038"/>
      <w:bookmarkStart w:id="56" w:name="_Toc193860188"/>
      <w:bookmarkStart w:id="57" w:name="_Toc193619101"/>
      <w:bookmarkStart w:id="58" w:name="_Toc193618956"/>
      <w:bookmarkStart w:id="59" w:name="_Toc193860219"/>
      <w:bookmarkStart w:id="60" w:name="_Toc193619059"/>
      <w:bookmarkStart w:id="61" w:name="_Toc25466_WPSOffice_Level1"/>
      <w:bookmarkStart w:id="62" w:name="_Toc500258947"/>
      <w:r>
        <w:rPr>
          <w:rFonts w:hint="eastAsia" w:ascii="宋体" w:hAnsi="宋体" w:cs="宋体"/>
          <w:szCs w:val="21"/>
        </w:rPr>
        <w:t>根据测定仪的技术构成以及计量特性，确定出测定仪的校准项目。测定仪校准项目有容器内径示值误差、空气流量示值误差和粉末高度尺示值误差。依据校准项目，选择满足精度要求的测量标准进行测量。</w:t>
      </w:r>
    </w:p>
    <w:p w14:paraId="1B42E946">
      <w:pPr>
        <w:spacing w:line="360" w:lineRule="auto"/>
        <w:ind w:firstLine="420"/>
        <w:rPr>
          <w:rFonts w:hint="eastAsia" w:ascii="宋体" w:hAnsi="宋体" w:cs="宋体"/>
          <w:szCs w:val="21"/>
        </w:rPr>
      </w:pPr>
      <w:r>
        <w:rPr>
          <w:rFonts w:hint="eastAsia" w:ascii="宋体" w:hAnsi="宋体" w:cs="宋体"/>
          <w:szCs w:val="21"/>
        </w:rPr>
        <w:t>容器内径示值误差的校准采用直接测量法，用通用卡尺，利用内量爪沿容器内壁平行容器轴向测量容器内径示值</w:t>
      </w:r>
      <w:r>
        <w:rPr>
          <w:rFonts w:hint="eastAsia" w:ascii="宋体" w:hAnsi="宋体" w:cs="宋体"/>
          <w:color w:val="FF0000"/>
          <w:szCs w:val="21"/>
        </w:rPr>
        <w:t>，</w:t>
      </w:r>
      <w:r>
        <w:rPr>
          <w:rFonts w:hint="eastAsia" w:ascii="宋体" w:hAnsi="宋体" w:cs="宋体"/>
          <w:szCs w:val="21"/>
        </w:rPr>
        <w:t>旋转角度90°再测量</w:t>
      </w:r>
      <w:r>
        <w:rPr>
          <w:rFonts w:ascii="宋体" w:hAnsi="宋体" w:cs="宋体"/>
          <w:szCs w:val="21"/>
        </w:rPr>
        <w:t>1</w:t>
      </w:r>
      <w:r>
        <w:rPr>
          <w:rFonts w:hint="eastAsia" w:ascii="宋体" w:hAnsi="宋体" w:cs="宋体"/>
          <w:szCs w:val="21"/>
        </w:rPr>
        <w:t>次，取</w:t>
      </w:r>
      <w:r>
        <w:rPr>
          <w:rFonts w:ascii="宋体" w:hAnsi="宋体" w:cs="宋体"/>
          <w:szCs w:val="21"/>
        </w:rPr>
        <w:t>2</w:t>
      </w:r>
      <w:r>
        <w:rPr>
          <w:rFonts w:hint="eastAsia" w:ascii="宋体" w:hAnsi="宋体" w:cs="宋体"/>
          <w:szCs w:val="21"/>
        </w:rPr>
        <w:t>次测量的平均值作为测量结果。</w:t>
      </w:r>
    </w:p>
    <w:p w14:paraId="70FBF36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空气流速示值误差的校准采用比较测量法，用</w:t>
      </w:r>
      <w:bookmarkStart w:id="63" w:name="OLE_LINK36"/>
      <w:bookmarkStart w:id="64" w:name="OLE_LINK35"/>
      <w:r>
        <w:rPr>
          <w:rFonts w:ascii="宋体" w:hAnsi="宋体" w:cs="宋体"/>
          <w:szCs w:val="21"/>
        </w:rPr>
        <w:t>1</w:t>
      </w:r>
      <w:r>
        <w:rPr>
          <w:rFonts w:hint="eastAsia" w:ascii="宋体" w:hAnsi="宋体" w:cs="宋体"/>
          <w:szCs w:val="21"/>
        </w:rPr>
        <w:t>级标准流量计</w:t>
      </w:r>
      <w:bookmarkEnd w:id="63"/>
      <w:bookmarkEnd w:id="64"/>
      <w:r>
        <w:rPr>
          <w:rFonts w:hint="eastAsia" w:ascii="宋体" w:hAnsi="宋体" w:cs="宋体"/>
          <w:szCs w:val="21"/>
        </w:rPr>
        <w:t>，接到流化桶出口处，启动仪器，保持粉末测定仪流量计的读数恒定，同时读取标准流量计读数，重复测量</w:t>
      </w:r>
      <w:r>
        <w:rPr>
          <w:rFonts w:ascii="宋体" w:hAnsi="宋体" w:cs="宋体"/>
          <w:szCs w:val="21"/>
        </w:rPr>
        <w:t>3</w:t>
      </w:r>
      <w:r>
        <w:rPr>
          <w:rFonts w:hint="eastAsia" w:ascii="宋体" w:hAnsi="宋体" w:cs="宋体"/>
          <w:szCs w:val="21"/>
        </w:rPr>
        <w:t>次，取</w:t>
      </w:r>
      <w:r>
        <w:rPr>
          <w:rFonts w:ascii="宋体" w:hAnsi="宋体" w:cs="宋体"/>
          <w:szCs w:val="21"/>
        </w:rPr>
        <w:t>3</w:t>
      </w:r>
      <w:r>
        <w:rPr>
          <w:rFonts w:hint="eastAsia" w:ascii="宋体" w:hAnsi="宋体" w:cs="宋体"/>
          <w:szCs w:val="21"/>
        </w:rPr>
        <w:t>次测量的平均值作为测量结果。</w:t>
      </w:r>
    </w:p>
    <w:p w14:paraId="0CB6840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计量粉末高度尺采用</w:t>
      </w:r>
      <w:bookmarkStart w:id="65" w:name="OLE_LINK51"/>
      <w:bookmarkStart w:id="66" w:name="OLE_LINK50"/>
      <w:r>
        <w:rPr>
          <w:rFonts w:hint="eastAsia" w:ascii="宋体" w:hAnsi="宋体" w:cs="宋体"/>
          <w:szCs w:val="21"/>
        </w:rPr>
        <w:t>标准钢直尺</w:t>
      </w:r>
      <w:bookmarkEnd w:id="65"/>
      <w:bookmarkEnd w:id="66"/>
      <w:r>
        <w:rPr>
          <w:rFonts w:hint="eastAsia" w:ascii="宋体" w:hAnsi="宋体" w:cs="宋体"/>
          <w:szCs w:val="21"/>
        </w:rPr>
        <w:t>或标准金属线纹尺，进行比较测量。计量过程中，使</w:t>
      </w:r>
      <w:bookmarkStart w:id="67" w:name="OLE_LINK53"/>
      <w:bookmarkStart w:id="68" w:name="OLE_LINK52"/>
      <w:r>
        <w:rPr>
          <w:rFonts w:hint="eastAsia" w:ascii="宋体" w:hAnsi="宋体" w:cs="宋体"/>
          <w:szCs w:val="21"/>
        </w:rPr>
        <w:t>被检尺</w:t>
      </w:r>
      <w:bookmarkEnd w:id="67"/>
      <w:bookmarkEnd w:id="68"/>
      <w:r>
        <w:rPr>
          <w:rFonts w:hint="eastAsia" w:ascii="宋体" w:hAnsi="宋体" w:cs="宋体"/>
          <w:szCs w:val="21"/>
        </w:rPr>
        <w:t>的刻线面与标准尺的尺边在同一平面上，调整标准尺，使其尺边与被检尺线纹轴线相平行，同时使标准尺的首端与被检尺的首端对齐，在高度尺的全长范围内取均匀分布不少于</w:t>
      </w:r>
      <w:r>
        <w:rPr>
          <w:rFonts w:ascii="宋体" w:hAnsi="宋体" w:cs="宋体"/>
          <w:szCs w:val="21"/>
        </w:rPr>
        <w:t>3</w:t>
      </w:r>
      <w:r>
        <w:rPr>
          <w:rFonts w:hint="eastAsia" w:ascii="宋体" w:hAnsi="宋体" w:cs="宋体"/>
          <w:szCs w:val="21"/>
        </w:rPr>
        <w:t>点与标准尺比较测量，在标准尺上读出被校尺的示值误差，重复测量</w:t>
      </w:r>
      <w:r>
        <w:rPr>
          <w:rFonts w:ascii="宋体" w:hAnsi="宋体" w:cs="宋体"/>
          <w:szCs w:val="21"/>
        </w:rPr>
        <w:t>3</w:t>
      </w:r>
      <w:r>
        <w:rPr>
          <w:rFonts w:hint="eastAsia" w:ascii="宋体" w:hAnsi="宋体" w:cs="宋体"/>
          <w:szCs w:val="21"/>
        </w:rPr>
        <w:t>次，取</w:t>
      </w:r>
      <w:r>
        <w:rPr>
          <w:rFonts w:ascii="宋体" w:hAnsi="宋体" w:cs="宋体"/>
          <w:szCs w:val="21"/>
        </w:rPr>
        <w:t>3</w:t>
      </w:r>
      <w:r>
        <w:rPr>
          <w:rFonts w:hint="eastAsia" w:ascii="宋体" w:hAnsi="宋体" w:cs="宋体"/>
          <w:szCs w:val="21"/>
        </w:rPr>
        <w:t>次测量的平均值作为测量结果。</w:t>
      </w:r>
    </w:p>
    <w:p w14:paraId="50F2C0F3">
      <w:pPr>
        <w:pStyle w:val="4"/>
        <w:spacing w:before="156" w:after="156"/>
        <w:rPr>
          <w:rFonts w:hint="eastAsia" w:ascii="黑体" w:hAnsi="黑体" w:cs="黑体"/>
          <w:b w:val="0"/>
          <w:bCs w:val="0"/>
          <w:szCs w:val="21"/>
        </w:rPr>
      </w:pPr>
      <w:r>
        <w:rPr>
          <w:rFonts w:hint="eastAsia" w:ascii="黑体" w:hAnsi="黑体" w:cs="黑体"/>
          <w:b w:val="0"/>
          <w:bCs w:val="0"/>
          <w:szCs w:val="21"/>
        </w:rPr>
        <w:t>7 校准结果</w:t>
      </w:r>
      <w:bookmarkEnd w:id="55"/>
      <w:bookmarkEnd w:id="56"/>
      <w:bookmarkEnd w:id="57"/>
      <w:bookmarkEnd w:id="58"/>
      <w:bookmarkEnd w:id="59"/>
      <w:bookmarkEnd w:id="60"/>
      <w:r>
        <w:rPr>
          <w:rFonts w:hint="eastAsia" w:ascii="黑体" w:hAnsi="黑体" w:cs="黑体"/>
          <w:b w:val="0"/>
          <w:bCs w:val="0"/>
          <w:szCs w:val="21"/>
        </w:rPr>
        <w:t>表达</w:t>
      </w:r>
      <w:bookmarkEnd w:id="61"/>
      <w:bookmarkEnd w:id="62"/>
    </w:p>
    <w:p w14:paraId="0BE11906">
      <w:pPr>
        <w:pStyle w:val="58"/>
        <w:spacing w:line="360" w:lineRule="auto"/>
        <w:ind w:firstLine="420"/>
        <w:rPr>
          <w:rFonts w:hint="eastAsia" w:cs="宋体"/>
          <w:kern w:val="2"/>
          <w:sz w:val="24"/>
          <w:szCs w:val="24"/>
        </w:rPr>
      </w:pPr>
      <w:r>
        <w:rPr>
          <w:rFonts w:hint="eastAsia" w:cs="宋体"/>
          <w:kern w:val="2"/>
          <w:szCs w:val="21"/>
        </w:rPr>
        <w:t>根据实验室环境要求、校准项目校准结果、测量不确定度评定结果等，按照JJF 1071-2010推荐的校准报告格式，出具校准证书。</w:t>
      </w:r>
    </w:p>
    <w:p w14:paraId="5589C07D">
      <w:pPr>
        <w:pStyle w:val="4"/>
        <w:spacing w:before="156" w:after="156"/>
        <w:rPr>
          <w:rFonts w:hint="eastAsia" w:ascii="黑体" w:hAnsi="黑体" w:cs="黑体"/>
          <w:b w:val="0"/>
          <w:bCs w:val="0"/>
          <w:szCs w:val="21"/>
        </w:rPr>
      </w:pPr>
      <w:bookmarkStart w:id="69" w:name="_Toc193860220"/>
      <w:bookmarkStart w:id="70" w:name="_Toc193860189"/>
      <w:bookmarkStart w:id="71" w:name="_Toc5529"/>
      <w:bookmarkStart w:id="72" w:name="_Toc14803_WPSOffice_Level1"/>
      <w:bookmarkStart w:id="73" w:name="_Toc193860040"/>
      <w:bookmarkStart w:id="74" w:name="_Toc193860041"/>
      <w:r>
        <w:rPr>
          <w:rFonts w:hint="eastAsia" w:ascii="黑体" w:hAnsi="黑体" w:cs="黑体"/>
          <w:b w:val="0"/>
          <w:bCs w:val="0"/>
          <w:szCs w:val="21"/>
        </w:rPr>
        <w:t>8 复校</w:t>
      </w:r>
      <w:bookmarkEnd w:id="69"/>
      <w:bookmarkEnd w:id="70"/>
      <w:bookmarkEnd w:id="71"/>
      <w:bookmarkEnd w:id="72"/>
      <w:bookmarkEnd w:id="73"/>
      <w:r>
        <w:rPr>
          <w:rFonts w:hint="eastAsia" w:ascii="黑体" w:hAnsi="黑体" w:cs="黑体"/>
          <w:b w:val="0"/>
          <w:bCs w:val="0"/>
          <w:szCs w:val="21"/>
        </w:rPr>
        <w:t>时间间隔</w:t>
      </w:r>
    </w:p>
    <w:bookmarkEnd w:id="74"/>
    <w:p w14:paraId="20AA55E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复校时间间隔的长短取决于其使用情况，使用单位可根据实际使用情况自主决定复校的时间，建议复校时间间隔为1年。</w:t>
      </w:r>
    </w:p>
    <w:p w14:paraId="41AF28C2">
      <w:pPr>
        <w:pStyle w:val="4"/>
        <w:spacing w:before="156" w:after="156"/>
        <w:rPr>
          <w:rFonts w:hint="eastAsia" w:ascii="黑体" w:hAnsi="黑体" w:cs="黑体"/>
          <w:b w:val="0"/>
          <w:bCs w:val="0"/>
          <w:szCs w:val="21"/>
        </w:rPr>
      </w:pPr>
      <w:r>
        <w:rPr>
          <w:rFonts w:hint="eastAsia" w:ascii="黑体" w:hAnsi="黑体" w:cs="黑体"/>
          <w:b w:val="0"/>
          <w:bCs w:val="0"/>
          <w:szCs w:val="21"/>
        </w:rPr>
        <w:t>9 附录</w:t>
      </w:r>
    </w:p>
    <w:p w14:paraId="77BB7523">
      <w:pPr>
        <w:pStyle w:val="58"/>
        <w:spacing w:line="360" w:lineRule="auto"/>
        <w:ind w:firstLine="420"/>
        <w:rPr>
          <w:rFonts w:hint="eastAsia" w:cs="宋体"/>
          <w:kern w:val="2"/>
          <w:szCs w:val="21"/>
        </w:rPr>
      </w:pPr>
      <w:r>
        <w:rPr>
          <w:rFonts w:hint="eastAsia" w:cs="宋体"/>
          <w:kern w:val="2"/>
          <w:szCs w:val="21"/>
        </w:rPr>
        <w:t>附录主要包含校准原始记录参考格式、校准证书内页参考格式、温度偏差校准结果测量不确定度评定示例。</w:t>
      </w:r>
    </w:p>
    <w:p w14:paraId="6D89B7A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本规范设置了3个附录，便于校准时参考和规范化。</w:t>
      </w:r>
    </w:p>
    <w:p w14:paraId="57583A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附录A </w:t>
      </w:r>
      <w:r>
        <w:rPr>
          <w:rFonts w:hint="eastAsia" w:ascii="宋体" w:hAnsi="宋体" w:cs="宋体"/>
          <w:caps/>
          <w:szCs w:val="21"/>
        </w:rPr>
        <w:t>校准原始记录参考格式</w:t>
      </w:r>
    </w:p>
    <w:p w14:paraId="6EC31B5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附录B </w:t>
      </w:r>
      <w:r>
        <w:rPr>
          <w:rFonts w:hint="eastAsia" w:ascii="宋体" w:hAnsi="宋体" w:cs="宋体"/>
          <w:caps/>
          <w:szCs w:val="21"/>
        </w:rPr>
        <w:t>校准证书内页参考格式</w:t>
      </w:r>
    </w:p>
    <w:p w14:paraId="4DFD66A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附录C 粉末流动性测定仪容器内径示值误差测量不确定度评定示例</w:t>
      </w:r>
    </w:p>
    <w:bookmarkEnd w:id="1"/>
    <w:bookmarkEnd w:id="19"/>
    <w:p w14:paraId="0D57BA10">
      <w:pPr>
        <w:pStyle w:val="2"/>
        <w:numPr>
          <w:ilvl w:val="0"/>
          <w:numId w:val="12"/>
        </w:numPr>
        <w:spacing w:before="156" w:after="156"/>
        <w:rPr>
          <w:rFonts w:hint="eastAsia" w:ascii="黑体" w:hAnsi="黑体" w:cs="黑体"/>
          <w:b w:val="0"/>
          <w:bCs w:val="0"/>
          <w:szCs w:val="28"/>
        </w:rPr>
      </w:pPr>
      <w:bookmarkStart w:id="75" w:name="_Toc464728965"/>
      <w:r>
        <w:rPr>
          <w:rFonts w:hint="eastAsia" w:ascii="黑体" w:hAnsi="黑体" w:cs="黑体"/>
          <w:b w:val="0"/>
          <w:bCs w:val="0"/>
          <w:szCs w:val="28"/>
        </w:rPr>
        <w:t>实践检测情况</w:t>
      </w:r>
    </w:p>
    <w:p w14:paraId="79899D6C">
      <w:pPr>
        <w:adjustRightInd w:val="0"/>
        <w:spacing w:line="360" w:lineRule="auto"/>
        <w:ind w:firstLine="420" w:firstLineChars="200"/>
        <w:rPr>
          <w:rFonts w:hint="eastAsia" w:ascii="宋体" w:hAnsi="宋体" w:cs="宋体"/>
          <w:szCs w:val="21"/>
        </w:rPr>
      </w:pPr>
      <w:r>
        <w:rPr>
          <w:rFonts w:hint="eastAsia" w:ascii="宋体" w:hAnsi="宋体" w:cs="宋体"/>
          <w:szCs w:val="21"/>
        </w:rPr>
        <w:t>广东省科学院工业分析检测中心进行了全计量特性的校准，并进行了测量不确定度的评定。</w:t>
      </w:r>
    </w:p>
    <w:p w14:paraId="2F693F7B">
      <w:pPr>
        <w:pStyle w:val="2"/>
        <w:spacing w:before="156" w:after="156"/>
        <w:rPr>
          <w:rFonts w:hint="eastAsia" w:ascii="黑体" w:hAnsi="黑体" w:cs="黑体"/>
          <w:b w:val="0"/>
          <w:bCs w:val="0"/>
          <w:szCs w:val="28"/>
        </w:rPr>
      </w:pPr>
      <w:r>
        <w:rPr>
          <w:rFonts w:hint="eastAsia" w:ascii="黑体" w:hAnsi="黑体" w:cs="黑体"/>
          <w:b w:val="0"/>
          <w:bCs w:val="0"/>
          <w:szCs w:val="28"/>
        </w:rPr>
        <w:t>四、规范水平分析</w:t>
      </w:r>
      <w:bookmarkEnd w:id="75"/>
    </w:p>
    <w:p w14:paraId="73B52646">
      <w:pPr>
        <w:adjustRightInd w:val="0"/>
        <w:spacing w:line="360" w:lineRule="auto"/>
        <w:ind w:firstLine="420" w:firstLineChars="200"/>
        <w:rPr>
          <w:rFonts w:hint="eastAsia" w:ascii="宋体" w:hAnsi="宋体" w:cs="宋体"/>
          <w:szCs w:val="21"/>
        </w:rPr>
      </w:pPr>
      <w:r>
        <w:rPr>
          <w:rFonts w:hint="eastAsia" w:ascii="宋体" w:hAnsi="宋体" w:cs="宋体"/>
          <w:szCs w:val="21"/>
        </w:rPr>
        <w:t>目前国内外均没有针对粉末流动性测定仪的相关计量技术规范。本规范的制定填补了有色金属行业粉末流动性测定仪计量技术规范的空白，属于国内首创，水平达到国内领先。</w:t>
      </w:r>
    </w:p>
    <w:p w14:paraId="078A4E68">
      <w:pPr>
        <w:pStyle w:val="2"/>
        <w:spacing w:before="156" w:after="156"/>
        <w:rPr>
          <w:rFonts w:hint="eastAsia" w:ascii="黑体" w:hAnsi="黑体" w:cs="黑体"/>
          <w:b w:val="0"/>
          <w:bCs w:val="0"/>
          <w:szCs w:val="28"/>
        </w:rPr>
      </w:pPr>
      <w:r>
        <w:rPr>
          <w:rFonts w:hint="eastAsia" w:ascii="黑体" w:hAnsi="黑体" w:cs="黑体"/>
          <w:b w:val="0"/>
          <w:bCs w:val="0"/>
          <w:szCs w:val="28"/>
        </w:rPr>
        <w:t>五、与有关的现行法律、法规和强制性国家标准的关系</w:t>
      </w:r>
    </w:p>
    <w:p w14:paraId="5FEEB2BD">
      <w:pPr>
        <w:spacing w:line="360" w:lineRule="auto"/>
        <w:ind w:firstLine="480"/>
        <w:rPr>
          <w:rFonts w:cs="宋体"/>
          <w:szCs w:val="21"/>
        </w:rPr>
      </w:pPr>
      <w:r>
        <w:rPr>
          <w:rFonts w:hint="eastAsia" w:ascii="宋体" w:hAnsi="宋体" w:cs="宋体"/>
          <w:szCs w:val="21"/>
        </w:rPr>
        <w:t>本规范所引用的规程、规范及标准均为我国现行有效的计量规程及规范，是本规范的一部分，引用这些文件后，使本规范的要求与现行的相关法律、法规、规章及相关规程规范的关系不矛盾、不冲突，相互关系协调。</w:t>
      </w:r>
      <w:bookmarkStart w:id="81" w:name="_GoBack"/>
      <w:bookmarkEnd w:id="81"/>
    </w:p>
    <w:p w14:paraId="634BD706">
      <w:pPr>
        <w:pStyle w:val="2"/>
        <w:spacing w:before="156" w:after="156"/>
        <w:rPr>
          <w:rFonts w:hint="eastAsia" w:ascii="黑体" w:hAnsi="黑体" w:cs="黑体"/>
          <w:b w:val="0"/>
          <w:bCs w:val="0"/>
          <w:szCs w:val="28"/>
        </w:rPr>
      </w:pPr>
      <w:bookmarkStart w:id="76" w:name="_Toc464728973"/>
      <w:r>
        <w:rPr>
          <w:rFonts w:hint="eastAsia" w:ascii="黑体" w:hAnsi="黑体" w:cs="黑体"/>
          <w:b w:val="0"/>
          <w:bCs w:val="0"/>
          <w:szCs w:val="28"/>
        </w:rPr>
        <w:t>六、规范中涉及的专利或知识产权说明</w:t>
      </w:r>
      <w:bookmarkEnd w:id="76"/>
    </w:p>
    <w:p w14:paraId="6F84DD44">
      <w:pPr>
        <w:pStyle w:val="58"/>
        <w:spacing w:line="300" w:lineRule="auto"/>
        <w:ind w:firstLineChars="0"/>
        <w:contextualSpacing/>
        <w:rPr>
          <w:rFonts w:hint="eastAsia" w:cs="宋体"/>
          <w:szCs w:val="21"/>
        </w:rPr>
      </w:pPr>
      <w:bookmarkStart w:id="77" w:name="_Toc464728974"/>
      <w:r>
        <w:rPr>
          <w:rFonts w:hint="eastAsia" w:cs="宋体"/>
          <w:szCs w:val="21"/>
        </w:rPr>
        <w:t>无。</w:t>
      </w:r>
    </w:p>
    <w:p w14:paraId="57295C9B">
      <w:pPr>
        <w:pStyle w:val="2"/>
        <w:spacing w:before="156" w:after="156"/>
        <w:rPr>
          <w:rFonts w:hint="eastAsia" w:ascii="黑体" w:hAnsi="黑体" w:cs="黑体"/>
          <w:b w:val="0"/>
          <w:bCs w:val="0"/>
          <w:szCs w:val="28"/>
        </w:rPr>
      </w:pPr>
      <w:r>
        <w:rPr>
          <w:rFonts w:hint="eastAsia" w:ascii="黑体" w:hAnsi="黑体" w:cs="黑体"/>
          <w:b w:val="0"/>
          <w:bCs w:val="0"/>
          <w:szCs w:val="28"/>
        </w:rPr>
        <w:t>七、重大分歧意见的处理经过和依据</w:t>
      </w:r>
      <w:bookmarkEnd w:id="77"/>
    </w:p>
    <w:p w14:paraId="68D29D84">
      <w:pPr>
        <w:pStyle w:val="58"/>
        <w:spacing w:line="300" w:lineRule="auto"/>
        <w:ind w:firstLine="420"/>
        <w:contextualSpacing/>
        <w:rPr>
          <w:rFonts w:hint="eastAsia" w:cs="宋体"/>
          <w:szCs w:val="21"/>
        </w:rPr>
      </w:pPr>
      <w:r>
        <w:rPr>
          <w:rFonts w:hint="eastAsia" w:cs="宋体"/>
          <w:szCs w:val="21"/>
        </w:rPr>
        <w:t>无。</w:t>
      </w:r>
    </w:p>
    <w:p w14:paraId="72F1D0C7">
      <w:pPr>
        <w:pStyle w:val="2"/>
        <w:spacing w:before="156" w:after="156"/>
        <w:rPr>
          <w:rFonts w:hint="eastAsia" w:ascii="黑体" w:hAnsi="黑体" w:cs="黑体"/>
          <w:b w:val="0"/>
          <w:bCs w:val="0"/>
          <w:szCs w:val="28"/>
        </w:rPr>
      </w:pPr>
      <w:r>
        <w:rPr>
          <w:rFonts w:hint="eastAsia" w:ascii="黑体" w:hAnsi="黑体" w:cs="黑体"/>
          <w:b w:val="0"/>
          <w:bCs w:val="0"/>
          <w:szCs w:val="28"/>
        </w:rPr>
        <w:t>八、规范作为国家（或行业）计量技术规范的建议</w:t>
      </w:r>
    </w:p>
    <w:p w14:paraId="41E35DDA">
      <w:pPr>
        <w:adjustRightInd w:val="0"/>
        <w:spacing w:line="360" w:lineRule="auto"/>
        <w:ind w:firstLine="420" w:firstLineChars="200"/>
        <w:rPr>
          <w:rFonts w:hint="eastAsia" w:ascii="宋体" w:hAnsi="宋体" w:cs="宋体"/>
          <w:sz w:val="24"/>
        </w:rPr>
      </w:pPr>
      <w:r>
        <w:rPr>
          <w:rFonts w:hint="eastAsia" w:ascii="宋体" w:hAnsi="宋体" w:cs="宋体"/>
          <w:szCs w:val="21"/>
        </w:rPr>
        <w:t>建议本规范作为行业计量技术规范，供行业企业参考使用。必要时可根据实际需要，结合其他行业使用要求，申报国家计量技术规范，以满足校准需要。</w:t>
      </w:r>
    </w:p>
    <w:p w14:paraId="4A943BE7">
      <w:pPr>
        <w:pStyle w:val="2"/>
        <w:spacing w:before="156" w:after="156"/>
        <w:rPr>
          <w:rFonts w:hint="eastAsia" w:ascii="黑体" w:hAnsi="黑体" w:cs="黑体"/>
          <w:b w:val="0"/>
          <w:bCs w:val="0"/>
          <w:szCs w:val="28"/>
        </w:rPr>
      </w:pPr>
      <w:bookmarkStart w:id="78" w:name="_Toc464728976"/>
      <w:r>
        <w:rPr>
          <w:rFonts w:hint="eastAsia" w:ascii="黑体" w:hAnsi="黑体" w:cs="黑体"/>
          <w:b w:val="0"/>
          <w:bCs w:val="0"/>
          <w:szCs w:val="28"/>
        </w:rPr>
        <w:t>九、贯彻规范的要求和措施建议</w:t>
      </w:r>
      <w:bookmarkEnd w:id="78"/>
    </w:p>
    <w:p w14:paraId="33CAE03D">
      <w:pPr>
        <w:pStyle w:val="58"/>
        <w:spacing w:line="360" w:lineRule="auto"/>
        <w:ind w:firstLine="420"/>
        <w:contextualSpacing/>
        <w:rPr>
          <w:rFonts w:hint="eastAsia"/>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09095D67">
      <w:pPr>
        <w:pStyle w:val="2"/>
        <w:spacing w:before="156" w:after="156"/>
        <w:rPr>
          <w:rFonts w:hint="eastAsia" w:ascii="黑体" w:hAnsi="黑体" w:cs="黑体"/>
          <w:b w:val="0"/>
          <w:bCs w:val="0"/>
          <w:szCs w:val="28"/>
        </w:rPr>
      </w:pPr>
      <w:bookmarkStart w:id="79" w:name="_Toc464728977"/>
      <w:r>
        <w:rPr>
          <w:rFonts w:hint="eastAsia" w:ascii="黑体" w:hAnsi="黑体" w:cs="黑体"/>
          <w:b w:val="0"/>
          <w:bCs w:val="0"/>
          <w:szCs w:val="28"/>
        </w:rPr>
        <w:t>十、废止现行有关规范的建议</w:t>
      </w:r>
      <w:bookmarkEnd w:id="79"/>
    </w:p>
    <w:p w14:paraId="4750F8B5">
      <w:pPr>
        <w:pStyle w:val="58"/>
        <w:spacing w:line="300" w:lineRule="auto"/>
        <w:ind w:firstLine="420"/>
        <w:contextualSpacing/>
        <w:rPr>
          <w:rFonts w:hint="eastAsia"/>
          <w:szCs w:val="21"/>
        </w:rPr>
      </w:pPr>
      <w:r>
        <w:rPr>
          <w:rFonts w:hint="eastAsia"/>
          <w:szCs w:val="21"/>
        </w:rPr>
        <w:t>无。</w:t>
      </w:r>
    </w:p>
    <w:p w14:paraId="08620BC1">
      <w:pPr>
        <w:pStyle w:val="2"/>
        <w:spacing w:before="156" w:after="156"/>
        <w:rPr>
          <w:rFonts w:hint="eastAsia" w:ascii="黑体" w:hAnsi="黑体" w:cs="黑体"/>
          <w:b w:val="0"/>
          <w:bCs w:val="0"/>
          <w:szCs w:val="28"/>
        </w:rPr>
      </w:pPr>
      <w:r>
        <w:rPr>
          <w:rFonts w:hint="eastAsia" w:ascii="黑体" w:hAnsi="黑体" w:cs="黑体"/>
          <w:b w:val="0"/>
          <w:bCs w:val="0"/>
          <w:szCs w:val="28"/>
        </w:rPr>
        <w:t>十一、预期效果</w:t>
      </w:r>
    </w:p>
    <w:p w14:paraId="34698FFB">
      <w:pPr>
        <w:spacing w:line="360" w:lineRule="auto"/>
        <w:ind w:firstLine="420" w:firstLineChars="200"/>
        <w:rPr>
          <w:rFonts w:hint="eastAsia" w:ascii="宋体" w:hAnsi="宋体" w:cs="宋体"/>
          <w:kern w:val="0"/>
          <w:szCs w:val="21"/>
        </w:rPr>
      </w:pPr>
      <w:r>
        <w:rPr>
          <w:rFonts w:hint="eastAsia" w:ascii="宋体" w:hAnsi="宋体" w:cs="宋体"/>
          <w:kern w:val="0"/>
          <w:szCs w:val="21"/>
        </w:rPr>
        <w:t>本规范发布后，能解决</w:t>
      </w:r>
      <w:r>
        <w:rPr>
          <w:rFonts w:hint="eastAsia" w:ascii="宋体" w:hAnsi="宋体" w:cs="宋体"/>
          <w:szCs w:val="21"/>
        </w:rPr>
        <w:t>粉末流动性测定仪计量特性不明确、校准项目不齐全、</w:t>
      </w:r>
      <w:r>
        <w:rPr>
          <w:rFonts w:hint="eastAsia" w:ascii="宋体" w:hAnsi="宋体" w:cs="宋体"/>
          <w:kern w:val="0"/>
          <w:szCs w:val="21"/>
        </w:rPr>
        <w:t>校准方法不统一等问题，弥补</w:t>
      </w:r>
      <w:r>
        <w:rPr>
          <w:rFonts w:hint="eastAsia" w:ascii="宋体" w:hAnsi="宋体" w:cs="宋体"/>
          <w:szCs w:val="21"/>
        </w:rPr>
        <w:t>粉末流动性测定仪</w:t>
      </w:r>
      <w:r>
        <w:rPr>
          <w:rFonts w:hint="eastAsia" w:ascii="宋体" w:hAnsi="宋体" w:cs="宋体"/>
          <w:kern w:val="0"/>
          <w:szCs w:val="21"/>
        </w:rPr>
        <w:t>校准规范的空白，确保</w:t>
      </w:r>
      <w:r>
        <w:rPr>
          <w:rFonts w:hint="eastAsia" w:ascii="宋体" w:hAnsi="宋体" w:cs="宋体"/>
          <w:szCs w:val="21"/>
        </w:rPr>
        <w:t>粉末空气混合物流动性测试结果的准确性。</w:t>
      </w:r>
    </w:p>
    <w:p w14:paraId="50C551BF">
      <w:pPr>
        <w:pStyle w:val="2"/>
        <w:spacing w:before="156" w:after="156"/>
        <w:rPr>
          <w:rFonts w:hint="eastAsia" w:ascii="黑体" w:hAnsi="黑体" w:cs="黑体"/>
          <w:b w:val="0"/>
          <w:bCs w:val="0"/>
          <w:szCs w:val="28"/>
        </w:rPr>
      </w:pPr>
      <w:r>
        <w:rPr>
          <w:rFonts w:hint="eastAsia" w:ascii="黑体" w:hAnsi="黑体" w:cs="黑体"/>
          <w:b w:val="0"/>
          <w:bCs w:val="0"/>
          <w:szCs w:val="28"/>
        </w:rPr>
        <w:t>十一、其他应予说明的事项</w:t>
      </w:r>
    </w:p>
    <w:p w14:paraId="3CDDE3C1">
      <w:pPr>
        <w:pStyle w:val="58"/>
        <w:spacing w:line="300" w:lineRule="auto"/>
        <w:ind w:firstLineChars="0"/>
        <w:contextualSpacing/>
        <w:rPr>
          <w:rFonts w:hint="eastAsia" w:asciiTheme="minorEastAsia" w:hAnsiTheme="minorEastAsia" w:eastAsiaTheme="minorEastAsia" w:cstheme="minorEastAsia"/>
          <w:szCs w:val="21"/>
        </w:rPr>
      </w:pPr>
      <w:r>
        <w:rPr>
          <w:rFonts w:hint="eastAsia"/>
          <w:szCs w:val="21"/>
        </w:rPr>
        <w:t>无。</w:t>
      </w:r>
      <w:r>
        <w:rPr>
          <w:rFonts w:ascii="Times New Roman" w:hAnsi="Times New Roman" w:eastAsia="黑体"/>
          <w:szCs w:val="21"/>
        </w:rPr>
        <w:t xml:space="preserve"> </w:t>
      </w:r>
    </w:p>
    <w:p w14:paraId="27773503">
      <w:pPr>
        <w:pStyle w:val="58"/>
        <w:spacing w:line="360" w:lineRule="auto"/>
        <w:ind w:firstLineChars="0"/>
        <w:contextualSpacing/>
        <w:jc w:val="righ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《粉末流动性测定仪校准规范》编制组</w:t>
      </w:r>
      <w:r>
        <w:rPr>
          <w:rFonts w:hint="eastAsia" w:asciiTheme="minorEastAsia" w:hAnsiTheme="minorEastAsia" w:eastAsiaTheme="minorEastAsia" w:cstheme="minorEastAsia"/>
          <w:color w:val="FF0000"/>
          <w:sz w:val="24"/>
          <w:szCs w:val="24"/>
        </w:rPr>
        <w:t xml:space="preserve">  </w:t>
      </w:r>
    </w:p>
    <w:p w14:paraId="23397C06">
      <w:pPr>
        <w:pStyle w:val="58"/>
        <w:spacing w:line="360" w:lineRule="auto"/>
        <w:ind w:firstLineChars="0"/>
        <w:contextualSpacing/>
        <w:jc w:val="center"/>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sz w:val="24"/>
          <w:szCs w:val="24"/>
        </w:rPr>
        <w:t xml:space="preserve"> 2026年2月11日</w:t>
      </w:r>
      <w:r>
        <w:rPr>
          <w:rFonts w:hint="eastAsia" w:asciiTheme="minorEastAsia" w:hAnsiTheme="minorEastAsia" w:eastAsiaTheme="minorEastAsia" w:cstheme="minorEastAsia"/>
          <w:szCs w:val="21"/>
        </w:rPr>
        <w:t xml:space="preserve"> </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232E">
    <w:pPr>
      <w:pStyle w:val="73"/>
      <w:jc w:val="center"/>
      <w:rPr>
        <w:rStyle w:val="45"/>
      </w:rPr>
    </w:pPr>
    <w:r>
      <w:fldChar w:fldCharType="begin"/>
    </w:r>
    <w:r>
      <w:rPr>
        <w:rStyle w:val="45"/>
      </w:rPr>
      <w:instrText xml:space="preserve">PAGE  </w:instrText>
    </w:r>
    <w:r>
      <w:fldChar w:fldCharType="separate"/>
    </w:r>
    <w:r>
      <w:rPr>
        <w:rStyle w:val="45"/>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CF1D">
    <w:pPr>
      <w:pStyle w:val="30"/>
      <w:jc w:val="both"/>
    </w:pPr>
  </w:p>
  <w:p w14:paraId="7FDD3F88">
    <w:pPr>
      <w:pStyle w:val="30"/>
      <w:jc w:val="center"/>
      <w:rPr>
        <w:rFonts w:hint="eastAsia"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1A9B">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722A4"/>
    <w:multiLevelType w:val="singleLevel"/>
    <w:tmpl w:val="B0F722A4"/>
    <w:lvl w:ilvl="0" w:tentative="0">
      <w:start w:val="3"/>
      <w:numFmt w:val="chineseCounting"/>
      <w:suff w:val="nothing"/>
      <w:lvlText w:val="%1、"/>
      <w:lvlJc w:val="left"/>
      <w:rPr>
        <w:rFonts w:hint="eastAsia"/>
        <w:b w:val="0"/>
        <w:bCs w:val="0"/>
        <w:sz w:val="28"/>
        <w:szCs w:val="28"/>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A1A660"/>
    <w:multiLevelType w:val="singleLevel"/>
    <w:tmpl w:val="75A1A660"/>
    <w:lvl w:ilvl="0" w:tentative="0">
      <w:start w:val="1"/>
      <w:numFmt w:val="decimal"/>
      <w:suff w:val="nothing"/>
      <w:lvlText w:val="（%1）"/>
      <w:lvlJc w:val="left"/>
    </w:lvl>
  </w:abstractNum>
  <w:num w:numId="1">
    <w:abstractNumId w:val="9"/>
  </w:num>
  <w:num w:numId="2">
    <w:abstractNumId w:val="6"/>
  </w:num>
  <w:num w:numId="3">
    <w:abstractNumId w:val="10"/>
  </w:num>
  <w:num w:numId="4">
    <w:abstractNumId w:val="1"/>
  </w:num>
  <w:num w:numId="5">
    <w:abstractNumId w:val="4"/>
  </w:num>
  <w:num w:numId="6">
    <w:abstractNumId w:val="8"/>
  </w:num>
  <w:num w:numId="7">
    <w:abstractNumId w:val="3"/>
  </w:num>
  <w:num w:numId="8">
    <w:abstractNumId w:val="7"/>
  </w:num>
  <w:num w:numId="9">
    <w:abstractNumId w:val="2"/>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hideSpellingErrors/>
  <w:attachedTemplate r:id="rId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2A18"/>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61917"/>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0A79"/>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2CDC"/>
    <w:rsid w:val="004257BB"/>
    <w:rsid w:val="00425D1F"/>
    <w:rsid w:val="004265F2"/>
    <w:rsid w:val="004508BB"/>
    <w:rsid w:val="00455FE9"/>
    <w:rsid w:val="0046211B"/>
    <w:rsid w:val="00464019"/>
    <w:rsid w:val="00472194"/>
    <w:rsid w:val="00482AD2"/>
    <w:rsid w:val="0048362B"/>
    <w:rsid w:val="00487A6D"/>
    <w:rsid w:val="00497039"/>
    <w:rsid w:val="004A27E5"/>
    <w:rsid w:val="004B1DE2"/>
    <w:rsid w:val="004B2B21"/>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A7084"/>
    <w:rsid w:val="006B3185"/>
    <w:rsid w:val="006B43C4"/>
    <w:rsid w:val="006C188A"/>
    <w:rsid w:val="006C2258"/>
    <w:rsid w:val="006C2AF8"/>
    <w:rsid w:val="006D1B98"/>
    <w:rsid w:val="006D7E99"/>
    <w:rsid w:val="006E11F0"/>
    <w:rsid w:val="007007DA"/>
    <w:rsid w:val="00707309"/>
    <w:rsid w:val="00722A9B"/>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1155"/>
    <w:rsid w:val="008C672E"/>
    <w:rsid w:val="008E415E"/>
    <w:rsid w:val="008F5DCA"/>
    <w:rsid w:val="009052E4"/>
    <w:rsid w:val="009111C1"/>
    <w:rsid w:val="00913ED1"/>
    <w:rsid w:val="00930DB4"/>
    <w:rsid w:val="00933D2C"/>
    <w:rsid w:val="00946B7D"/>
    <w:rsid w:val="009513C5"/>
    <w:rsid w:val="009542EF"/>
    <w:rsid w:val="00954DA4"/>
    <w:rsid w:val="00955FAE"/>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4645"/>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0692"/>
    <w:rsid w:val="00CF3CAA"/>
    <w:rsid w:val="00D01726"/>
    <w:rsid w:val="00D16568"/>
    <w:rsid w:val="00D17115"/>
    <w:rsid w:val="00D17737"/>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6153C"/>
    <w:rsid w:val="00E71DCC"/>
    <w:rsid w:val="00E82471"/>
    <w:rsid w:val="00E865C2"/>
    <w:rsid w:val="00E911BC"/>
    <w:rsid w:val="00EB2994"/>
    <w:rsid w:val="00EC149D"/>
    <w:rsid w:val="00ED1A68"/>
    <w:rsid w:val="00ED5F91"/>
    <w:rsid w:val="00ED6081"/>
    <w:rsid w:val="00EE5988"/>
    <w:rsid w:val="00EF7950"/>
    <w:rsid w:val="00F10C9E"/>
    <w:rsid w:val="00F32186"/>
    <w:rsid w:val="00F3447A"/>
    <w:rsid w:val="00F379EC"/>
    <w:rsid w:val="00F45BA8"/>
    <w:rsid w:val="00F507FB"/>
    <w:rsid w:val="00F5644A"/>
    <w:rsid w:val="00F62C5D"/>
    <w:rsid w:val="00F7167F"/>
    <w:rsid w:val="00F71F31"/>
    <w:rsid w:val="00F80059"/>
    <w:rsid w:val="00F812C6"/>
    <w:rsid w:val="00F91E84"/>
    <w:rsid w:val="00FA4CA4"/>
    <w:rsid w:val="00FA6198"/>
    <w:rsid w:val="00FC7BF3"/>
    <w:rsid w:val="00FC7F85"/>
    <w:rsid w:val="00FD235D"/>
    <w:rsid w:val="00FD7FCA"/>
    <w:rsid w:val="00FE0C1C"/>
    <w:rsid w:val="00FE17CA"/>
    <w:rsid w:val="00FE1932"/>
    <w:rsid w:val="00FE1A74"/>
    <w:rsid w:val="00FF5630"/>
    <w:rsid w:val="013C58A6"/>
    <w:rsid w:val="01A22C15"/>
    <w:rsid w:val="01C54B55"/>
    <w:rsid w:val="020A2568"/>
    <w:rsid w:val="02181129"/>
    <w:rsid w:val="022B2C0A"/>
    <w:rsid w:val="02385327"/>
    <w:rsid w:val="029A38EC"/>
    <w:rsid w:val="02A46519"/>
    <w:rsid w:val="02B26E88"/>
    <w:rsid w:val="02F703B0"/>
    <w:rsid w:val="0324416E"/>
    <w:rsid w:val="037800D1"/>
    <w:rsid w:val="037B196F"/>
    <w:rsid w:val="03802AE2"/>
    <w:rsid w:val="039824A0"/>
    <w:rsid w:val="03B22EB7"/>
    <w:rsid w:val="03C3303C"/>
    <w:rsid w:val="03D177E1"/>
    <w:rsid w:val="04120A04"/>
    <w:rsid w:val="04731467"/>
    <w:rsid w:val="04A942BA"/>
    <w:rsid w:val="05266D56"/>
    <w:rsid w:val="052D0A47"/>
    <w:rsid w:val="053578FC"/>
    <w:rsid w:val="056272F5"/>
    <w:rsid w:val="057A0BEF"/>
    <w:rsid w:val="05A536B6"/>
    <w:rsid w:val="05AC22B4"/>
    <w:rsid w:val="05B13426"/>
    <w:rsid w:val="05F125DB"/>
    <w:rsid w:val="05F61781"/>
    <w:rsid w:val="06117ADD"/>
    <w:rsid w:val="062C0CFF"/>
    <w:rsid w:val="06510766"/>
    <w:rsid w:val="06716757"/>
    <w:rsid w:val="068A3C77"/>
    <w:rsid w:val="06913258"/>
    <w:rsid w:val="06A17B4E"/>
    <w:rsid w:val="06B01930"/>
    <w:rsid w:val="071A324D"/>
    <w:rsid w:val="07500A1D"/>
    <w:rsid w:val="07762B7A"/>
    <w:rsid w:val="07A174CB"/>
    <w:rsid w:val="07DC0ED5"/>
    <w:rsid w:val="07EF46DA"/>
    <w:rsid w:val="08071A24"/>
    <w:rsid w:val="08395058"/>
    <w:rsid w:val="087D5842"/>
    <w:rsid w:val="08BC0A60"/>
    <w:rsid w:val="08FB2C0B"/>
    <w:rsid w:val="08FF6B9F"/>
    <w:rsid w:val="0904785D"/>
    <w:rsid w:val="09246605"/>
    <w:rsid w:val="09573966"/>
    <w:rsid w:val="09AA4D5C"/>
    <w:rsid w:val="09C63218"/>
    <w:rsid w:val="09F9539C"/>
    <w:rsid w:val="0A051F93"/>
    <w:rsid w:val="0A145E4D"/>
    <w:rsid w:val="0A1B7A08"/>
    <w:rsid w:val="0A2A7C4B"/>
    <w:rsid w:val="0A481E7F"/>
    <w:rsid w:val="0A4C7BC2"/>
    <w:rsid w:val="0A5847B8"/>
    <w:rsid w:val="0A781AE7"/>
    <w:rsid w:val="0A913826"/>
    <w:rsid w:val="0AC41E4E"/>
    <w:rsid w:val="0B431E48"/>
    <w:rsid w:val="0B6131F9"/>
    <w:rsid w:val="0B903ADE"/>
    <w:rsid w:val="0B941820"/>
    <w:rsid w:val="0BD04822"/>
    <w:rsid w:val="0C2642F2"/>
    <w:rsid w:val="0C405504"/>
    <w:rsid w:val="0C632FA1"/>
    <w:rsid w:val="0C8621D3"/>
    <w:rsid w:val="0CB9457A"/>
    <w:rsid w:val="0CCA0314"/>
    <w:rsid w:val="0CD30126"/>
    <w:rsid w:val="0CF06F2A"/>
    <w:rsid w:val="0CFF716D"/>
    <w:rsid w:val="0D270472"/>
    <w:rsid w:val="0D272220"/>
    <w:rsid w:val="0D6A2B23"/>
    <w:rsid w:val="0D8022CA"/>
    <w:rsid w:val="0DA30382"/>
    <w:rsid w:val="0DAC6FE3"/>
    <w:rsid w:val="0DBE0DD6"/>
    <w:rsid w:val="0DFC18FF"/>
    <w:rsid w:val="0E41629B"/>
    <w:rsid w:val="0E484B44"/>
    <w:rsid w:val="0E547045"/>
    <w:rsid w:val="0E6513CA"/>
    <w:rsid w:val="0E910299"/>
    <w:rsid w:val="0E912047"/>
    <w:rsid w:val="0EB16245"/>
    <w:rsid w:val="0ED85EC8"/>
    <w:rsid w:val="0F040A6B"/>
    <w:rsid w:val="0F0A004B"/>
    <w:rsid w:val="0F3146A8"/>
    <w:rsid w:val="0F362BEE"/>
    <w:rsid w:val="0F694D72"/>
    <w:rsid w:val="0F6B0AEA"/>
    <w:rsid w:val="0F7200CA"/>
    <w:rsid w:val="0F8C280E"/>
    <w:rsid w:val="0FCF7859"/>
    <w:rsid w:val="0FE6550A"/>
    <w:rsid w:val="0FF52AA9"/>
    <w:rsid w:val="10044A9B"/>
    <w:rsid w:val="106F63B8"/>
    <w:rsid w:val="110C3C07"/>
    <w:rsid w:val="111725AC"/>
    <w:rsid w:val="11382C4E"/>
    <w:rsid w:val="113F222E"/>
    <w:rsid w:val="11471F43"/>
    <w:rsid w:val="116B3023"/>
    <w:rsid w:val="1197587A"/>
    <w:rsid w:val="120E7E53"/>
    <w:rsid w:val="12260CF8"/>
    <w:rsid w:val="12843C71"/>
    <w:rsid w:val="13100F6A"/>
    <w:rsid w:val="131B18E3"/>
    <w:rsid w:val="13345697"/>
    <w:rsid w:val="133D279D"/>
    <w:rsid w:val="13877F6B"/>
    <w:rsid w:val="13B1031D"/>
    <w:rsid w:val="13C22CA3"/>
    <w:rsid w:val="13E94614"/>
    <w:rsid w:val="13F310AE"/>
    <w:rsid w:val="14317D7D"/>
    <w:rsid w:val="149A3C1F"/>
    <w:rsid w:val="14FE0CE9"/>
    <w:rsid w:val="150572EB"/>
    <w:rsid w:val="156B69F5"/>
    <w:rsid w:val="1571672E"/>
    <w:rsid w:val="15806971"/>
    <w:rsid w:val="15826B8D"/>
    <w:rsid w:val="158E7867"/>
    <w:rsid w:val="15AA26BA"/>
    <w:rsid w:val="16161084"/>
    <w:rsid w:val="162C6AF9"/>
    <w:rsid w:val="1638724C"/>
    <w:rsid w:val="163F682C"/>
    <w:rsid w:val="166C5148"/>
    <w:rsid w:val="169F551D"/>
    <w:rsid w:val="16A67923"/>
    <w:rsid w:val="16CB00C0"/>
    <w:rsid w:val="16F2564D"/>
    <w:rsid w:val="17101F77"/>
    <w:rsid w:val="174C2AB4"/>
    <w:rsid w:val="17A32DEB"/>
    <w:rsid w:val="17E23913"/>
    <w:rsid w:val="17E64F25"/>
    <w:rsid w:val="17F43647"/>
    <w:rsid w:val="18714AE0"/>
    <w:rsid w:val="18B54B84"/>
    <w:rsid w:val="18C15C1F"/>
    <w:rsid w:val="18D56FD4"/>
    <w:rsid w:val="19E75211"/>
    <w:rsid w:val="19EF40C6"/>
    <w:rsid w:val="19FB214B"/>
    <w:rsid w:val="1AAE3F81"/>
    <w:rsid w:val="1AB31060"/>
    <w:rsid w:val="1AD02149"/>
    <w:rsid w:val="1B132036"/>
    <w:rsid w:val="1B707488"/>
    <w:rsid w:val="1B83540D"/>
    <w:rsid w:val="1BCF328D"/>
    <w:rsid w:val="1C071B9A"/>
    <w:rsid w:val="1C427076"/>
    <w:rsid w:val="1C803B53"/>
    <w:rsid w:val="1CC01D49"/>
    <w:rsid w:val="1D04432C"/>
    <w:rsid w:val="1D4330A6"/>
    <w:rsid w:val="1D697480"/>
    <w:rsid w:val="1D792624"/>
    <w:rsid w:val="1D7F39B2"/>
    <w:rsid w:val="1DD71A40"/>
    <w:rsid w:val="1E2F7187"/>
    <w:rsid w:val="1E713A82"/>
    <w:rsid w:val="1E9274DB"/>
    <w:rsid w:val="1ED146E2"/>
    <w:rsid w:val="1F5A1A25"/>
    <w:rsid w:val="1F6115C2"/>
    <w:rsid w:val="1F714057"/>
    <w:rsid w:val="1F90634B"/>
    <w:rsid w:val="1F9B5C2D"/>
    <w:rsid w:val="1F9F033C"/>
    <w:rsid w:val="1FAB00D4"/>
    <w:rsid w:val="1FCD6C57"/>
    <w:rsid w:val="20016901"/>
    <w:rsid w:val="201900EE"/>
    <w:rsid w:val="206375BB"/>
    <w:rsid w:val="208E75B3"/>
    <w:rsid w:val="210668C5"/>
    <w:rsid w:val="211A2370"/>
    <w:rsid w:val="218A16C9"/>
    <w:rsid w:val="21AA36F4"/>
    <w:rsid w:val="21B75E11"/>
    <w:rsid w:val="21BE3478"/>
    <w:rsid w:val="21C61BB0"/>
    <w:rsid w:val="21D04080"/>
    <w:rsid w:val="21EF55AB"/>
    <w:rsid w:val="221F2A19"/>
    <w:rsid w:val="22423DCF"/>
    <w:rsid w:val="225C10E7"/>
    <w:rsid w:val="22623957"/>
    <w:rsid w:val="22635651"/>
    <w:rsid w:val="22742C58"/>
    <w:rsid w:val="232A0BCD"/>
    <w:rsid w:val="23425BAE"/>
    <w:rsid w:val="23570B84"/>
    <w:rsid w:val="236478D2"/>
    <w:rsid w:val="236553F8"/>
    <w:rsid w:val="239F090A"/>
    <w:rsid w:val="23A74BBD"/>
    <w:rsid w:val="23B0782B"/>
    <w:rsid w:val="23CB16FF"/>
    <w:rsid w:val="23D42CAA"/>
    <w:rsid w:val="23D43A72"/>
    <w:rsid w:val="23EA427B"/>
    <w:rsid w:val="23F76998"/>
    <w:rsid w:val="24482D50"/>
    <w:rsid w:val="244F40DF"/>
    <w:rsid w:val="247E2C16"/>
    <w:rsid w:val="258B59AA"/>
    <w:rsid w:val="25915452"/>
    <w:rsid w:val="25FD62D8"/>
    <w:rsid w:val="260E3B25"/>
    <w:rsid w:val="264D6D44"/>
    <w:rsid w:val="266013F4"/>
    <w:rsid w:val="26A526DC"/>
    <w:rsid w:val="26AB75C6"/>
    <w:rsid w:val="26B91EB0"/>
    <w:rsid w:val="26BB3CAD"/>
    <w:rsid w:val="26FD2518"/>
    <w:rsid w:val="2729330D"/>
    <w:rsid w:val="273E668C"/>
    <w:rsid w:val="27402404"/>
    <w:rsid w:val="275163C0"/>
    <w:rsid w:val="277C51D7"/>
    <w:rsid w:val="27871DE1"/>
    <w:rsid w:val="27BD3A55"/>
    <w:rsid w:val="27D843EB"/>
    <w:rsid w:val="28033B5E"/>
    <w:rsid w:val="283C7070"/>
    <w:rsid w:val="28550131"/>
    <w:rsid w:val="285A5748"/>
    <w:rsid w:val="28795BCE"/>
    <w:rsid w:val="28A00A66"/>
    <w:rsid w:val="28AC5FA3"/>
    <w:rsid w:val="28D01566"/>
    <w:rsid w:val="29505273"/>
    <w:rsid w:val="29581C87"/>
    <w:rsid w:val="29746395"/>
    <w:rsid w:val="29846CB3"/>
    <w:rsid w:val="29E46257"/>
    <w:rsid w:val="2A4110A1"/>
    <w:rsid w:val="2A495A74"/>
    <w:rsid w:val="2A8E3487"/>
    <w:rsid w:val="2A97233B"/>
    <w:rsid w:val="2AB85E2C"/>
    <w:rsid w:val="2AE205B7"/>
    <w:rsid w:val="2B14398C"/>
    <w:rsid w:val="2B1A4D1A"/>
    <w:rsid w:val="2B54022C"/>
    <w:rsid w:val="2B7B1C5D"/>
    <w:rsid w:val="2B9D6077"/>
    <w:rsid w:val="2BC2163A"/>
    <w:rsid w:val="2BE07D12"/>
    <w:rsid w:val="2BF57C61"/>
    <w:rsid w:val="2C147130"/>
    <w:rsid w:val="2C2440A3"/>
    <w:rsid w:val="2C275941"/>
    <w:rsid w:val="2C281A12"/>
    <w:rsid w:val="2CAE1BBE"/>
    <w:rsid w:val="2CC66F08"/>
    <w:rsid w:val="2CCB6C14"/>
    <w:rsid w:val="2D016192"/>
    <w:rsid w:val="2D1B54A6"/>
    <w:rsid w:val="2D4F33A1"/>
    <w:rsid w:val="2D525CFE"/>
    <w:rsid w:val="2D857E7C"/>
    <w:rsid w:val="2D89323F"/>
    <w:rsid w:val="2DCF6290"/>
    <w:rsid w:val="2DF67A69"/>
    <w:rsid w:val="2E3A7BAD"/>
    <w:rsid w:val="2E734E6D"/>
    <w:rsid w:val="2E772BB0"/>
    <w:rsid w:val="2E8928E3"/>
    <w:rsid w:val="2EE96C2C"/>
    <w:rsid w:val="2EFE0BDB"/>
    <w:rsid w:val="2F065CE2"/>
    <w:rsid w:val="2F285C58"/>
    <w:rsid w:val="2F3E191F"/>
    <w:rsid w:val="2F656952"/>
    <w:rsid w:val="2F74507C"/>
    <w:rsid w:val="2F88275B"/>
    <w:rsid w:val="2FBB4D1E"/>
    <w:rsid w:val="2FBE527A"/>
    <w:rsid w:val="2FC242FE"/>
    <w:rsid w:val="301A5EE8"/>
    <w:rsid w:val="3049232A"/>
    <w:rsid w:val="304C1E1A"/>
    <w:rsid w:val="305D601F"/>
    <w:rsid w:val="30717AD3"/>
    <w:rsid w:val="309D08C8"/>
    <w:rsid w:val="309F1F4A"/>
    <w:rsid w:val="30F709DE"/>
    <w:rsid w:val="30FE1366"/>
    <w:rsid w:val="31244B45"/>
    <w:rsid w:val="312F7772"/>
    <w:rsid w:val="315B6A82"/>
    <w:rsid w:val="317A6513"/>
    <w:rsid w:val="31B57A58"/>
    <w:rsid w:val="31D125D7"/>
    <w:rsid w:val="32036508"/>
    <w:rsid w:val="321E1594"/>
    <w:rsid w:val="32230959"/>
    <w:rsid w:val="322C1F03"/>
    <w:rsid w:val="32384404"/>
    <w:rsid w:val="325F3B1A"/>
    <w:rsid w:val="327B2543"/>
    <w:rsid w:val="329B310D"/>
    <w:rsid w:val="32A25D21"/>
    <w:rsid w:val="32A47CEB"/>
    <w:rsid w:val="32BB5035"/>
    <w:rsid w:val="32D63C1D"/>
    <w:rsid w:val="32DC7485"/>
    <w:rsid w:val="32FD11AA"/>
    <w:rsid w:val="33110F9D"/>
    <w:rsid w:val="33687DBF"/>
    <w:rsid w:val="33C323F3"/>
    <w:rsid w:val="33D75E9F"/>
    <w:rsid w:val="33FC5002"/>
    <w:rsid w:val="34030A42"/>
    <w:rsid w:val="341449FD"/>
    <w:rsid w:val="341669C7"/>
    <w:rsid w:val="341B3FDD"/>
    <w:rsid w:val="34745E77"/>
    <w:rsid w:val="34CD5E22"/>
    <w:rsid w:val="34DA3E98"/>
    <w:rsid w:val="34E40873"/>
    <w:rsid w:val="35203CD3"/>
    <w:rsid w:val="35487054"/>
    <w:rsid w:val="354F2431"/>
    <w:rsid w:val="35700877"/>
    <w:rsid w:val="357F5E13"/>
    <w:rsid w:val="35A87AF3"/>
    <w:rsid w:val="35DE2534"/>
    <w:rsid w:val="3632560E"/>
    <w:rsid w:val="363B44C3"/>
    <w:rsid w:val="36653C36"/>
    <w:rsid w:val="36A77DAA"/>
    <w:rsid w:val="36AC716F"/>
    <w:rsid w:val="36AE69D8"/>
    <w:rsid w:val="36CA3A99"/>
    <w:rsid w:val="36CE5337"/>
    <w:rsid w:val="36F40B16"/>
    <w:rsid w:val="372E04CB"/>
    <w:rsid w:val="372F06AE"/>
    <w:rsid w:val="37357164"/>
    <w:rsid w:val="3748279A"/>
    <w:rsid w:val="375D490D"/>
    <w:rsid w:val="377D30FA"/>
    <w:rsid w:val="37AE6F16"/>
    <w:rsid w:val="37CB5D1A"/>
    <w:rsid w:val="380D1E8F"/>
    <w:rsid w:val="385C2E16"/>
    <w:rsid w:val="38787C50"/>
    <w:rsid w:val="38B6063A"/>
    <w:rsid w:val="38D330D8"/>
    <w:rsid w:val="38DE1A7D"/>
    <w:rsid w:val="38EC419A"/>
    <w:rsid w:val="392C4597"/>
    <w:rsid w:val="397A3554"/>
    <w:rsid w:val="397A79F8"/>
    <w:rsid w:val="39BA4298"/>
    <w:rsid w:val="39E63C45"/>
    <w:rsid w:val="3A661D2A"/>
    <w:rsid w:val="3A910669"/>
    <w:rsid w:val="3AC76C6D"/>
    <w:rsid w:val="3AC776A1"/>
    <w:rsid w:val="3ADB6274"/>
    <w:rsid w:val="3B0A4DAB"/>
    <w:rsid w:val="3B583D69"/>
    <w:rsid w:val="3B9308FD"/>
    <w:rsid w:val="3BA24FE4"/>
    <w:rsid w:val="3BCC2061"/>
    <w:rsid w:val="3BF375EE"/>
    <w:rsid w:val="3BFA1058"/>
    <w:rsid w:val="3C0A1304"/>
    <w:rsid w:val="3C9D6494"/>
    <w:rsid w:val="3CA1529C"/>
    <w:rsid w:val="3CCD42E3"/>
    <w:rsid w:val="3CF76650"/>
    <w:rsid w:val="3CFB49AC"/>
    <w:rsid w:val="3D827DBA"/>
    <w:rsid w:val="3D9B7F3D"/>
    <w:rsid w:val="3D9D1F07"/>
    <w:rsid w:val="3DA037A5"/>
    <w:rsid w:val="3DE73182"/>
    <w:rsid w:val="3E151A9D"/>
    <w:rsid w:val="3E502AD5"/>
    <w:rsid w:val="3E5E3444"/>
    <w:rsid w:val="3E6D7B2B"/>
    <w:rsid w:val="3E95498C"/>
    <w:rsid w:val="3EBA5BC3"/>
    <w:rsid w:val="3ECD2378"/>
    <w:rsid w:val="3F486480"/>
    <w:rsid w:val="3F566811"/>
    <w:rsid w:val="3F8A2017"/>
    <w:rsid w:val="3FE25D82"/>
    <w:rsid w:val="40297A82"/>
    <w:rsid w:val="408A360E"/>
    <w:rsid w:val="40980764"/>
    <w:rsid w:val="40C559FD"/>
    <w:rsid w:val="40CD2B03"/>
    <w:rsid w:val="411C3143"/>
    <w:rsid w:val="41735459"/>
    <w:rsid w:val="417D383C"/>
    <w:rsid w:val="418F1B67"/>
    <w:rsid w:val="41913B31"/>
    <w:rsid w:val="41A75102"/>
    <w:rsid w:val="41E225DE"/>
    <w:rsid w:val="420E5348"/>
    <w:rsid w:val="42181B5C"/>
    <w:rsid w:val="42301F2D"/>
    <w:rsid w:val="425F603B"/>
    <w:rsid w:val="4286740D"/>
    <w:rsid w:val="42961446"/>
    <w:rsid w:val="42D24401"/>
    <w:rsid w:val="42D75573"/>
    <w:rsid w:val="42D77C69"/>
    <w:rsid w:val="42ED123B"/>
    <w:rsid w:val="42F223AD"/>
    <w:rsid w:val="42F500EF"/>
    <w:rsid w:val="436112E1"/>
    <w:rsid w:val="438276D2"/>
    <w:rsid w:val="43851473"/>
    <w:rsid w:val="43A538C3"/>
    <w:rsid w:val="43A67182"/>
    <w:rsid w:val="43F5418D"/>
    <w:rsid w:val="44100726"/>
    <w:rsid w:val="442C7B41"/>
    <w:rsid w:val="44347A9B"/>
    <w:rsid w:val="44426CAB"/>
    <w:rsid w:val="44615A3C"/>
    <w:rsid w:val="448C05DF"/>
    <w:rsid w:val="44BA15F0"/>
    <w:rsid w:val="44CE02A0"/>
    <w:rsid w:val="45003450"/>
    <w:rsid w:val="45034D45"/>
    <w:rsid w:val="45230F44"/>
    <w:rsid w:val="456D3D97"/>
    <w:rsid w:val="459973F1"/>
    <w:rsid w:val="45A831F7"/>
    <w:rsid w:val="45AC0F39"/>
    <w:rsid w:val="45E87405"/>
    <w:rsid w:val="46474D73"/>
    <w:rsid w:val="465C4787"/>
    <w:rsid w:val="46717A8D"/>
    <w:rsid w:val="469117B1"/>
    <w:rsid w:val="46F54B62"/>
    <w:rsid w:val="473A498E"/>
    <w:rsid w:val="473D3E13"/>
    <w:rsid w:val="473E02B7"/>
    <w:rsid w:val="47552183"/>
    <w:rsid w:val="478B1022"/>
    <w:rsid w:val="47AD2D46"/>
    <w:rsid w:val="47CD163B"/>
    <w:rsid w:val="47E265AC"/>
    <w:rsid w:val="48164D90"/>
    <w:rsid w:val="48211129"/>
    <w:rsid w:val="48A26623"/>
    <w:rsid w:val="48BE5C4B"/>
    <w:rsid w:val="4907292A"/>
    <w:rsid w:val="49214E6F"/>
    <w:rsid w:val="49357497"/>
    <w:rsid w:val="493C6A78"/>
    <w:rsid w:val="49715363"/>
    <w:rsid w:val="49B74350"/>
    <w:rsid w:val="4A1B668D"/>
    <w:rsid w:val="4A5D6CA6"/>
    <w:rsid w:val="4A6450F5"/>
    <w:rsid w:val="4A895CED"/>
    <w:rsid w:val="4AAD29C8"/>
    <w:rsid w:val="4AB83EDC"/>
    <w:rsid w:val="4AE6291D"/>
    <w:rsid w:val="4AEA403C"/>
    <w:rsid w:val="4B6422B6"/>
    <w:rsid w:val="4B693428"/>
    <w:rsid w:val="4B8C5809"/>
    <w:rsid w:val="4B933E1A"/>
    <w:rsid w:val="4B9366F7"/>
    <w:rsid w:val="4BB46D99"/>
    <w:rsid w:val="4BB74194"/>
    <w:rsid w:val="4BC36FDC"/>
    <w:rsid w:val="4BD017A0"/>
    <w:rsid w:val="4BEB208F"/>
    <w:rsid w:val="4C03562B"/>
    <w:rsid w:val="4C1C049B"/>
    <w:rsid w:val="4CCC15A8"/>
    <w:rsid w:val="4CD314A1"/>
    <w:rsid w:val="4D432356"/>
    <w:rsid w:val="4D994499"/>
    <w:rsid w:val="4DE17BEE"/>
    <w:rsid w:val="4E035DB6"/>
    <w:rsid w:val="4E2B2C17"/>
    <w:rsid w:val="4E3430C7"/>
    <w:rsid w:val="4E451F2B"/>
    <w:rsid w:val="4E600B13"/>
    <w:rsid w:val="4E824F2D"/>
    <w:rsid w:val="4E915170"/>
    <w:rsid w:val="4EDB463D"/>
    <w:rsid w:val="4EEA4880"/>
    <w:rsid w:val="4F400944"/>
    <w:rsid w:val="4F7505EE"/>
    <w:rsid w:val="4FA7278A"/>
    <w:rsid w:val="4FC43323"/>
    <w:rsid w:val="500100D3"/>
    <w:rsid w:val="50011CA3"/>
    <w:rsid w:val="50175B49"/>
    <w:rsid w:val="505B3C87"/>
    <w:rsid w:val="507C1E50"/>
    <w:rsid w:val="50836D3A"/>
    <w:rsid w:val="51051BD9"/>
    <w:rsid w:val="511D0F3D"/>
    <w:rsid w:val="51442F7B"/>
    <w:rsid w:val="5167040A"/>
    <w:rsid w:val="51844B18"/>
    <w:rsid w:val="51D81308"/>
    <w:rsid w:val="52595FA5"/>
    <w:rsid w:val="52911BE2"/>
    <w:rsid w:val="52A97DDB"/>
    <w:rsid w:val="52AF3E17"/>
    <w:rsid w:val="530C3017"/>
    <w:rsid w:val="537D4134"/>
    <w:rsid w:val="53816681"/>
    <w:rsid w:val="53A5346C"/>
    <w:rsid w:val="53EE33AB"/>
    <w:rsid w:val="540957A8"/>
    <w:rsid w:val="54330A77"/>
    <w:rsid w:val="543D5452"/>
    <w:rsid w:val="546450D5"/>
    <w:rsid w:val="54866DF9"/>
    <w:rsid w:val="54B73456"/>
    <w:rsid w:val="55152B55"/>
    <w:rsid w:val="551B40D3"/>
    <w:rsid w:val="551D4234"/>
    <w:rsid w:val="552A6BB7"/>
    <w:rsid w:val="55322ADD"/>
    <w:rsid w:val="55560EC1"/>
    <w:rsid w:val="558F1CDD"/>
    <w:rsid w:val="5596306C"/>
    <w:rsid w:val="55CF657E"/>
    <w:rsid w:val="56154CA2"/>
    <w:rsid w:val="568C1A97"/>
    <w:rsid w:val="569A4DDE"/>
    <w:rsid w:val="56A00E5A"/>
    <w:rsid w:val="56F3629C"/>
    <w:rsid w:val="57676F98"/>
    <w:rsid w:val="579730CB"/>
    <w:rsid w:val="57C93BCD"/>
    <w:rsid w:val="57D63BF4"/>
    <w:rsid w:val="57E722A5"/>
    <w:rsid w:val="57FD73D2"/>
    <w:rsid w:val="5814296E"/>
    <w:rsid w:val="590A235B"/>
    <w:rsid w:val="59374B66"/>
    <w:rsid w:val="595D44B2"/>
    <w:rsid w:val="59796F2C"/>
    <w:rsid w:val="599C2C1B"/>
    <w:rsid w:val="59B368E2"/>
    <w:rsid w:val="59B61F2F"/>
    <w:rsid w:val="59CA59DA"/>
    <w:rsid w:val="5A203F4A"/>
    <w:rsid w:val="5A6279C1"/>
    <w:rsid w:val="5A931503"/>
    <w:rsid w:val="5A971C98"/>
    <w:rsid w:val="5ABA3CA0"/>
    <w:rsid w:val="5AC42DA1"/>
    <w:rsid w:val="5AFA5C95"/>
    <w:rsid w:val="5B2F332C"/>
    <w:rsid w:val="5B547C51"/>
    <w:rsid w:val="5B597015"/>
    <w:rsid w:val="5C62639E"/>
    <w:rsid w:val="5C9347A9"/>
    <w:rsid w:val="5C9A1694"/>
    <w:rsid w:val="5CDB3A5A"/>
    <w:rsid w:val="5CDE078E"/>
    <w:rsid w:val="5D0B433F"/>
    <w:rsid w:val="5D156F6C"/>
    <w:rsid w:val="5D526412"/>
    <w:rsid w:val="5D5E4DB7"/>
    <w:rsid w:val="5D786169"/>
    <w:rsid w:val="5DAD53F7"/>
    <w:rsid w:val="5DC655CC"/>
    <w:rsid w:val="5E0B1125"/>
    <w:rsid w:val="5E127950"/>
    <w:rsid w:val="5E766130"/>
    <w:rsid w:val="5EA92062"/>
    <w:rsid w:val="5EC62C14"/>
    <w:rsid w:val="5F0D0843"/>
    <w:rsid w:val="5F2D4A41"/>
    <w:rsid w:val="5F4D50E3"/>
    <w:rsid w:val="5F5521EA"/>
    <w:rsid w:val="5F681F1D"/>
    <w:rsid w:val="5F776EED"/>
    <w:rsid w:val="5FAC75D0"/>
    <w:rsid w:val="604368DB"/>
    <w:rsid w:val="604C0EF7"/>
    <w:rsid w:val="605176D9"/>
    <w:rsid w:val="60624BBE"/>
    <w:rsid w:val="607509B4"/>
    <w:rsid w:val="60BF3DBF"/>
    <w:rsid w:val="61032042"/>
    <w:rsid w:val="61630BEE"/>
    <w:rsid w:val="61690122"/>
    <w:rsid w:val="617A5F38"/>
    <w:rsid w:val="61812E22"/>
    <w:rsid w:val="62456545"/>
    <w:rsid w:val="628B01FA"/>
    <w:rsid w:val="62A25746"/>
    <w:rsid w:val="62BC220F"/>
    <w:rsid w:val="62D43425"/>
    <w:rsid w:val="6350185E"/>
    <w:rsid w:val="63A86D8C"/>
    <w:rsid w:val="63B53257"/>
    <w:rsid w:val="63F828E6"/>
    <w:rsid w:val="644665A5"/>
    <w:rsid w:val="644A0FDB"/>
    <w:rsid w:val="644A650D"/>
    <w:rsid w:val="64664551"/>
    <w:rsid w:val="64746C6E"/>
    <w:rsid w:val="64A21A2D"/>
    <w:rsid w:val="64AF7CA6"/>
    <w:rsid w:val="64C23E7D"/>
    <w:rsid w:val="64FF4C69"/>
    <w:rsid w:val="652C12F7"/>
    <w:rsid w:val="6531690D"/>
    <w:rsid w:val="654D6460"/>
    <w:rsid w:val="655D7702"/>
    <w:rsid w:val="65A90B99"/>
    <w:rsid w:val="65CF7132"/>
    <w:rsid w:val="66214BD4"/>
    <w:rsid w:val="66372649"/>
    <w:rsid w:val="6669610B"/>
    <w:rsid w:val="66DE0D17"/>
    <w:rsid w:val="66F422E8"/>
    <w:rsid w:val="67006EDF"/>
    <w:rsid w:val="670978E9"/>
    <w:rsid w:val="6716400D"/>
    <w:rsid w:val="6723497B"/>
    <w:rsid w:val="6727446C"/>
    <w:rsid w:val="67486190"/>
    <w:rsid w:val="674A63AC"/>
    <w:rsid w:val="6760797E"/>
    <w:rsid w:val="679F4002"/>
    <w:rsid w:val="67A27384"/>
    <w:rsid w:val="67D00D17"/>
    <w:rsid w:val="680B78E9"/>
    <w:rsid w:val="683E7CBF"/>
    <w:rsid w:val="68460921"/>
    <w:rsid w:val="68490412"/>
    <w:rsid w:val="68633281"/>
    <w:rsid w:val="686D5EAE"/>
    <w:rsid w:val="688F22C8"/>
    <w:rsid w:val="689E69AF"/>
    <w:rsid w:val="68A1024E"/>
    <w:rsid w:val="68A613C0"/>
    <w:rsid w:val="68AA5354"/>
    <w:rsid w:val="69083E29"/>
    <w:rsid w:val="690E43C7"/>
    <w:rsid w:val="6931512E"/>
    <w:rsid w:val="69382960"/>
    <w:rsid w:val="694F496D"/>
    <w:rsid w:val="6954706E"/>
    <w:rsid w:val="69B1626F"/>
    <w:rsid w:val="69BC4907"/>
    <w:rsid w:val="69C97A5C"/>
    <w:rsid w:val="69E55F18"/>
    <w:rsid w:val="6A0720F2"/>
    <w:rsid w:val="6A554E4C"/>
    <w:rsid w:val="6A6A2509"/>
    <w:rsid w:val="6A933BC6"/>
    <w:rsid w:val="6AB57C02"/>
    <w:rsid w:val="6AE574EF"/>
    <w:rsid w:val="6AF7022D"/>
    <w:rsid w:val="6B0A3E88"/>
    <w:rsid w:val="6B0C5BC4"/>
    <w:rsid w:val="6B27051F"/>
    <w:rsid w:val="6B753BDA"/>
    <w:rsid w:val="6B770841"/>
    <w:rsid w:val="6B897174"/>
    <w:rsid w:val="6BBF2EC5"/>
    <w:rsid w:val="6BD34BC2"/>
    <w:rsid w:val="6BDE2735"/>
    <w:rsid w:val="6BE24E05"/>
    <w:rsid w:val="6BFD579B"/>
    <w:rsid w:val="6C7F08A6"/>
    <w:rsid w:val="6CAB51F7"/>
    <w:rsid w:val="6CB71DEE"/>
    <w:rsid w:val="6CDB1F80"/>
    <w:rsid w:val="6D281A14"/>
    <w:rsid w:val="6D761CA9"/>
    <w:rsid w:val="6D7B106D"/>
    <w:rsid w:val="6DA700B4"/>
    <w:rsid w:val="6DDB78C8"/>
    <w:rsid w:val="6E14501E"/>
    <w:rsid w:val="6E2B2A93"/>
    <w:rsid w:val="6E3B25AB"/>
    <w:rsid w:val="6E60205F"/>
    <w:rsid w:val="6E621C08"/>
    <w:rsid w:val="6E7004A6"/>
    <w:rsid w:val="6E8A0C2B"/>
    <w:rsid w:val="6E8E3022"/>
    <w:rsid w:val="6E91041D"/>
    <w:rsid w:val="6E9A1846"/>
    <w:rsid w:val="6EC32CCC"/>
    <w:rsid w:val="6EF60757"/>
    <w:rsid w:val="6F0F327A"/>
    <w:rsid w:val="6F15104E"/>
    <w:rsid w:val="6F405E8D"/>
    <w:rsid w:val="6F887A72"/>
    <w:rsid w:val="6F926B42"/>
    <w:rsid w:val="6FDA6C20"/>
    <w:rsid w:val="6FDC1B6B"/>
    <w:rsid w:val="700C7DA0"/>
    <w:rsid w:val="70182BA3"/>
    <w:rsid w:val="701A2DBF"/>
    <w:rsid w:val="702A6D7B"/>
    <w:rsid w:val="702E0619"/>
    <w:rsid w:val="70312CEA"/>
    <w:rsid w:val="70757340"/>
    <w:rsid w:val="707F70C6"/>
    <w:rsid w:val="70A61265"/>
    <w:rsid w:val="70A64653"/>
    <w:rsid w:val="70B0102E"/>
    <w:rsid w:val="70D65591"/>
    <w:rsid w:val="70E76A1A"/>
    <w:rsid w:val="70F133F4"/>
    <w:rsid w:val="70FA146A"/>
    <w:rsid w:val="70FB21F1"/>
    <w:rsid w:val="710228B1"/>
    <w:rsid w:val="7141437C"/>
    <w:rsid w:val="719C3B26"/>
    <w:rsid w:val="71BC3A02"/>
    <w:rsid w:val="71CC00E9"/>
    <w:rsid w:val="71EA67C2"/>
    <w:rsid w:val="722577FA"/>
    <w:rsid w:val="72A46970"/>
    <w:rsid w:val="72AE5A41"/>
    <w:rsid w:val="72C40018"/>
    <w:rsid w:val="730163D3"/>
    <w:rsid w:val="732F5B0D"/>
    <w:rsid w:val="737F2F3A"/>
    <w:rsid w:val="73A7009A"/>
    <w:rsid w:val="73B95B2E"/>
    <w:rsid w:val="74130018"/>
    <w:rsid w:val="7428537F"/>
    <w:rsid w:val="743C0E2B"/>
    <w:rsid w:val="74736F42"/>
    <w:rsid w:val="74D35BFF"/>
    <w:rsid w:val="750A64B2"/>
    <w:rsid w:val="751853F4"/>
    <w:rsid w:val="75930F1E"/>
    <w:rsid w:val="759E7FEF"/>
    <w:rsid w:val="75BA64AB"/>
    <w:rsid w:val="76B15B00"/>
    <w:rsid w:val="76C43A85"/>
    <w:rsid w:val="7771703D"/>
    <w:rsid w:val="779056D2"/>
    <w:rsid w:val="77BD2282"/>
    <w:rsid w:val="77CE2BEC"/>
    <w:rsid w:val="784309DA"/>
    <w:rsid w:val="78450BF6"/>
    <w:rsid w:val="78482494"/>
    <w:rsid w:val="7860333A"/>
    <w:rsid w:val="786D5A56"/>
    <w:rsid w:val="78762B5D"/>
    <w:rsid w:val="78931FA4"/>
    <w:rsid w:val="78C65C7E"/>
    <w:rsid w:val="78CE2872"/>
    <w:rsid w:val="78DB44BD"/>
    <w:rsid w:val="794A3F62"/>
    <w:rsid w:val="79517126"/>
    <w:rsid w:val="795C2ECE"/>
    <w:rsid w:val="795D1F6F"/>
    <w:rsid w:val="79FC1788"/>
    <w:rsid w:val="7A4B5428"/>
    <w:rsid w:val="7A6B4218"/>
    <w:rsid w:val="7A9814B1"/>
    <w:rsid w:val="7AC757F1"/>
    <w:rsid w:val="7AFB559C"/>
    <w:rsid w:val="7B1E74DC"/>
    <w:rsid w:val="7B207CB9"/>
    <w:rsid w:val="7B3A27A0"/>
    <w:rsid w:val="7B450F0D"/>
    <w:rsid w:val="7BC02341"/>
    <w:rsid w:val="7BDD2F9D"/>
    <w:rsid w:val="7C042B76"/>
    <w:rsid w:val="7C084726"/>
    <w:rsid w:val="7C2C197D"/>
    <w:rsid w:val="7C5238E1"/>
    <w:rsid w:val="7CA03887"/>
    <w:rsid w:val="7CA81DCE"/>
    <w:rsid w:val="7CD82038"/>
    <w:rsid w:val="7CD95DB0"/>
    <w:rsid w:val="7D60092C"/>
    <w:rsid w:val="7D700DB4"/>
    <w:rsid w:val="7D7D04EA"/>
    <w:rsid w:val="7D8950E1"/>
    <w:rsid w:val="7D8E0949"/>
    <w:rsid w:val="7D9615AC"/>
    <w:rsid w:val="7DB14637"/>
    <w:rsid w:val="7DD547CA"/>
    <w:rsid w:val="7E3A287F"/>
    <w:rsid w:val="7E3E411D"/>
    <w:rsid w:val="7E3F39F1"/>
    <w:rsid w:val="7E5576B9"/>
    <w:rsid w:val="7E7A0ECD"/>
    <w:rsid w:val="7E9A331D"/>
    <w:rsid w:val="7EB919F5"/>
    <w:rsid w:val="7ECA0929"/>
    <w:rsid w:val="7EE8052D"/>
    <w:rsid w:val="7EEF18BB"/>
    <w:rsid w:val="7EFA541F"/>
    <w:rsid w:val="7F0F1615"/>
    <w:rsid w:val="7F127D5A"/>
    <w:rsid w:val="7F192494"/>
    <w:rsid w:val="7F435763"/>
    <w:rsid w:val="7F604567"/>
    <w:rsid w:val="7F72061C"/>
    <w:rsid w:val="7F7462EF"/>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字符"/>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字符"/>
    <w:link w:val="29"/>
    <w:qFormat/>
    <w:uiPriority w:val="0"/>
    <w:rPr>
      <w:kern w:val="2"/>
      <w:sz w:val="18"/>
      <w:szCs w:val="18"/>
    </w:rPr>
  </w:style>
  <w:style w:type="character" w:customStyle="1" w:styleId="283">
    <w:name w:val="正文文本 字符"/>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字符"/>
    <w:link w:val="30"/>
    <w:qFormat/>
    <w:uiPriority w:val="99"/>
    <w:rPr>
      <w:kern w:val="2"/>
      <w:sz w:val="18"/>
      <w:szCs w:val="18"/>
    </w:rPr>
  </w:style>
  <w:style w:type="character" w:customStyle="1" w:styleId="286">
    <w:name w:val="正文文本缩进 字符"/>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字符"/>
    <w:link w:val="20"/>
    <w:qFormat/>
    <w:uiPriority w:val="0"/>
    <w:rPr>
      <w:kern w:val="2"/>
      <w:sz w:val="21"/>
      <w:szCs w:val="24"/>
    </w:rPr>
  </w:style>
  <w:style w:type="character" w:customStyle="1" w:styleId="289">
    <w:name w:val="批注主题 字符"/>
    <w:link w:val="39"/>
    <w:qFormat/>
    <w:uiPriority w:val="0"/>
    <w:rPr>
      <w:b/>
      <w:bCs/>
      <w:kern w:val="2"/>
      <w:sz w:val="21"/>
      <w:szCs w:val="24"/>
    </w:rPr>
  </w:style>
  <w:style w:type="character" w:customStyle="1" w:styleId="290">
    <w:name w:val="页眉 字符"/>
    <w:link w:val="31"/>
    <w:qFormat/>
    <w:uiPriority w:val="99"/>
    <w:rPr>
      <w:kern w:val="2"/>
      <w:sz w:val="18"/>
      <w:szCs w:val="18"/>
    </w:rPr>
  </w:style>
  <w:style w:type="character" w:customStyle="1" w:styleId="291">
    <w:name w:val="正文文本缩进 2 字符"/>
    <w:link w:val="27"/>
    <w:qFormat/>
    <w:uiPriority w:val="0"/>
    <w:rPr>
      <w:kern w:val="2"/>
      <w:sz w:val="21"/>
      <w:szCs w:val="24"/>
    </w:rPr>
  </w:style>
  <w:style w:type="character" w:customStyle="1" w:styleId="292">
    <w:name w:val="日期 字符"/>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字符"/>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字符"/>
    <w:basedOn w:val="43"/>
    <w:link w:val="3"/>
    <w:autoRedefine/>
    <w:qFormat/>
    <w:uiPriority w:val="0"/>
    <w:rPr>
      <w:rFonts w:ascii="Arial" w:hAnsi="Arial" w:eastAsia="黑体" w:cs="Times New Roman"/>
      <w:b/>
      <w:bCs/>
      <w:kern w:val="2"/>
      <w:sz w:val="24"/>
      <w:szCs w:val="32"/>
    </w:rPr>
  </w:style>
  <w:style w:type="character" w:customStyle="1" w:styleId="307">
    <w:name w:val="标题 3 字符"/>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字符"/>
    <w:link w:val="38"/>
    <w:autoRedefine/>
    <w:qFormat/>
    <w:uiPriority w:val="0"/>
    <w:rPr>
      <w:rFonts w:ascii="Arial" w:hAnsi="Arial" w:eastAsia="宋体" w:cs="Arial"/>
      <w:b/>
      <w:bCs/>
      <w:kern w:val="2"/>
      <w:sz w:val="32"/>
      <w:szCs w:val="32"/>
    </w:rPr>
  </w:style>
  <w:style w:type="character" w:customStyle="1" w:styleId="309">
    <w:name w:val="脚注文本 字符"/>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字符"/>
    <w:basedOn w:val="43"/>
    <w:link w:val="35"/>
    <w:autoRedefine/>
    <w:qFormat/>
    <w:uiPriority w:val="99"/>
    <w:rPr>
      <w:rFonts w:ascii="Times New Roman" w:hAnsi="Times New Roman" w:eastAsia="宋体" w:cs="Times New Roman"/>
      <w:kern w:val="2"/>
      <w:sz w:val="21"/>
      <w:szCs w:val="24"/>
    </w:rPr>
  </w:style>
  <w:style w:type="paragraph" w:customStyle="1" w:styleId="3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2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2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55089-F513-4614-8587-8DA6ECC327C6}">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10</Pages>
  <Words>7187</Words>
  <Characters>7525</Characters>
  <Lines>55</Lines>
  <Paragraphs>15</Paragraphs>
  <TotalTime>6</TotalTime>
  <ScaleCrop>false</ScaleCrop>
  <LinksUpToDate>false</LinksUpToDate>
  <CharactersWithSpaces>7648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2025-11-24T09:24:00Z</dcterms:created>
  <dc:creator>标准李瑞山9585</dc:creator>
  <cp:lastModifiedBy>WPS_1697676465</cp:lastModifiedBy>
  <cp:lastPrinted>2016-10-20T04:13:00Z</cp:lastPrinted>
  <dcterms:modified xsi:type="dcterms:W3CDTF">2026-02-11T08:10:21Z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9D845670205F4EC2830FB7C289E1AFBA_13</vt:lpwstr>
  </property>
  <property fmtid="{D5CDD505-2E9C-101B-9397-08002B2CF9AE}" pid="4" name="KSOTemplateDocerSaveRecord">
    <vt:lpwstr>eyJoZGlkIjoiNDAyOWRhNzc4YjgxNWYzNDMzM2RlZTk0NTg5OTA4ZTMiLCJ1c2VySWQiOiIxNTUyMDg0MjIyIn0=</vt:lpwstr>
  </property>
</Properties>
</file>