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46CD2">
      <w:pPr>
        <w:pStyle w:val="98"/>
        <w:rPr>
          <w:rFonts w:hint="default" w:ascii="Times New Roman" w:hAnsi="Times New Roman" w:cs="Times New Roman"/>
          <w:color w:val="000000" w:themeColor="text1"/>
          <w14:textFill>
            <w14:solidFill>
              <w14:schemeClr w14:val="tx1"/>
            </w14:solidFill>
          </w14:textFill>
        </w:rPr>
      </w:pPr>
      <w:bookmarkStart w:id="0" w:name="SectionMark0"/>
      <w:bookmarkStart w:id="1" w:name="SectionMark4"/>
      <w:r>
        <w:rPr>
          <w:rFonts w:hint="default"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59264" behindDoc="0" locked="1" layoutInCell="1" allowOverlap="1">
                <wp:simplePos x="0" y="0"/>
                <wp:positionH relativeFrom="margin">
                  <wp:posOffset>-8255</wp:posOffset>
                </wp:positionH>
                <wp:positionV relativeFrom="margin">
                  <wp:posOffset>7177405</wp:posOffset>
                </wp:positionV>
                <wp:extent cx="6120130" cy="1544320"/>
                <wp:effectExtent l="0" t="0" r="13970" b="17780"/>
                <wp:wrapNone/>
                <wp:docPr id="1" name="fmFrame7"/>
                <wp:cNvGraphicFramePr/>
                <a:graphic xmlns:a="http://schemas.openxmlformats.org/drawingml/2006/main">
                  <a:graphicData uri="http://schemas.microsoft.com/office/word/2010/wordprocessingShape">
                    <wps:wsp>
                      <wps:cNvSpPr/>
                      <wps:spPr>
                        <a:xfrm>
                          <a:off x="0" y="0"/>
                          <a:ext cx="6120130" cy="1544320"/>
                        </a:xfrm>
                        <a:prstGeom prst="rect">
                          <a:avLst/>
                        </a:prstGeom>
                        <a:solidFill>
                          <a:srgbClr val="FFFFFF"/>
                        </a:solidFill>
                        <a:ln>
                          <a:noFill/>
                        </a:ln>
                      </wps:spPr>
                      <wps:txbx>
                        <w:txbxContent>
                          <w:p w14:paraId="11DBC3AC">
                            <w:pPr>
                              <w:pStyle w:val="75"/>
                              <w:rPr>
                                <w:rFonts w:ascii="宋体" w:hAnsi="宋体" w:eastAsia="宋体" w:cs="宋体"/>
                                <w:spacing w:val="58"/>
                                <w:w w:val="120"/>
                                <w:kern w:val="2"/>
                                <w:sz w:val="28"/>
                                <w:szCs w:val="28"/>
                              </w:rPr>
                            </w:pPr>
                          </w:p>
                          <w:p w14:paraId="7B0B09BD">
                            <w:pPr>
                              <w:jc w:val="center"/>
                              <w:rPr>
                                <w:rFonts w:ascii="宋体" w:hAnsi="宋体" w:cs="宋体"/>
                                <w:spacing w:val="58"/>
                                <w:w w:val="120"/>
                                <w:sz w:val="28"/>
                                <w:szCs w:val="28"/>
                              </w:rPr>
                            </w:pPr>
                            <w:r>
                              <w:rPr>
                                <w:rFonts w:hint="eastAsia" w:ascii="宋体" w:hAnsi="宋体" w:cs="宋体"/>
                                <w:spacing w:val="58"/>
                                <w:w w:val="120"/>
                                <w:sz w:val="28"/>
                                <w:szCs w:val="28"/>
                              </w:rPr>
                              <w:t>射线图像分辨力测试计校准规范</w:t>
                            </w:r>
                          </w:p>
                          <w:p w14:paraId="35BB47DE">
                            <w:pPr>
                              <w:jc w:val="center"/>
                              <w:rPr>
                                <w:rFonts w:ascii="宋体" w:hAnsi="宋体" w:cs="宋体"/>
                                <w:sz w:val="28"/>
                                <w:szCs w:val="28"/>
                              </w:rPr>
                            </w:pPr>
                            <w:r>
                              <w:rPr>
                                <w:rFonts w:hint="eastAsia" w:ascii="宋体" w:hAnsi="宋体" w:cs="宋体"/>
                                <w:spacing w:val="58"/>
                                <w:w w:val="120"/>
                                <w:sz w:val="28"/>
                                <w:szCs w:val="28"/>
                              </w:rPr>
                              <w:t>编制组</w:t>
                            </w:r>
                          </w:p>
                          <w:p w14:paraId="2A86389D">
                            <w:pPr>
                              <w:pStyle w:val="114"/>
                              <w:rPr>
                                <w:rFonts w:ascii="宋体" w:hAnsi="宋体" w:eastAsia="宋体" w:cs="宋体"/>
                                <w:sz w:val="28"/>
                                <w:szCs w:val="28"/>
                              </w:rPr>
                            </w:pPr>
                            <w:r>
                              <w:rPr>
                                <w:rFonts w:hint="eastAsia" w:ascii="宋体" w:hAnsi="宋体" w:eastAsia="宋体" w:cs="宋体"/>
                                <w:sz w:val="28"/>
                                <w:szCs w:val="28"/>
                              </w:rPr>
                              <w:t>主编单位：西安汉唐分析检测有限公司</w:t>
                            </w:r>
                          </w:p>
                        </w:txbxContent>
                      </wps:txbx>
                      <wps:bodyPr lIns="0" tIns="0" rIns="0" bIns="0" upright="1"/>
                    </wps:wsp>
                  </a:graphicData>
                </a:graphic>
              </wp:anchor>
            </w:drawing>
          </mc:Choice>
          <mc:Fallback>
            <w:pict>
              <v:rect id="fmFrame7" o:spid="_x0000_s1026" o:spt="1" style="position:absolute;left:0pt;margin-left:-0.65pt;margin-top:565.15pt;height:121.6pt;width:481.9pt;mso-position-horizontal-relative:margin;mso-position-vertical-relative:margin;z-index:251659264;mso-width-relative:page;mso-height-relative:page;" fillcolor="#FFFFFF" filled="t" stroked="f" coordsize="21600,21600" o:gfxdata="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NJrfrYAAAADAEAAA8AAAAAAAAAAQAgAAAAIgAAAGRycy9kb3ducmV2LnhtbFBLAQIU&#10;ABQAAAAIAIdO4kBYM7RfugEAAI8DAAAOAAAAAAAAAAEAIAAAACcBAABkcnMvZTJvRG9jLnhtbFBL&#10;BQYAAAAABgAGAFkBAABTBQAAAAA=&#10;">
                <v:fill on="t" focussize="0,0"/>
                <v:stroke on="f"/>
                <v:imagedata o:title=""/>
                <o:lock v:ext="edit" aspectratio="f"/>
                <v:textbox inset="0mm,0mm,0mm,0mm">
                  <w:txbxContent>
                    <w:p w14:paraId="11DBC3AC">
                      <w:pPr>
                        <w:pStyle w:val="75"/>
                        <w:rPr>
                          <w:rFonts w:ascii="宋体" w:hAnsi="宋体" w:eastAsia="宋体" w:cs="宋体"/>
                          <w:spacing w:val="58"/>
                          <w:w w:val="120"/>
                          <w:kern w:val="2"/>
                          <w:sz w:val="28"/>
                          <w:szCs w:val="28"/>
                        </w:rPr>
                      </w:pPr>
                    </w:p>
                    <w:p w14:paraId="7B0B09BD">
                      <w:pPr>
                        <w:jc w:val="center"/>
                        <w:rPr>
                          <w:rFonts w:ascii="宋体" w:hAnsi="宋体" w:cs="宋体"/>
                          <w:spacing w:val="58"/>
                          <w:w w:val="120"/>
                          <w:sz w:val="28"/>
                          <w:szCs w:val="28"/>
                        </w:rPr>
                      </w:pPr>
                      <w:r>
                        <w:rPr>
                          <w:rFonts w:hint="eastAsia" w:ascii="宋体" w:hAnsi="宋体" w:cs="宋体"/>
                          <w:spacing w:val="58"/>
                          <w:w w:val="120"/>
                          <w:sz w:val="28"/>
                          <w:szCs w:val="28"/>
                        </w:rPr>
                        <w:t>射线图像分辨力测试计校准规范</w:t>
                      </w:r>
                    </w:p>
                    <w:p w14:paraId="35BB47DE">
                      <w:pPr>
                        <w:jc w:val="center"/>
                        <w:rPr>
                          <w:rFonts w:ascii="宋体" w:hAnsi="宋体" w:cs="宋体"/>
                          <w:sz w:val="28"/>
                          <w:szCs w:val="28"/>
                        </w:rPr>
                      </w:pPr>
                      <w:r>
                        <w:rPr>
                          <w:rFonts w:hint="eastAsia" w:ascii="宋体" w:hAnsi="宋体" w:cs="宋体"/>
                          <w:spacing w:val="58"/>
                          <w:w w:val="120"/>
                          <w:sz w:val="28"/>
                          <w:szCs w:val="28"/>
                        </w:rPr>
                        <w:t>编制组</w:t>
                      </w:r>
                    </w:p>
                    <w:p w14:paraId="2A86389D">
                      <w:pPr>
                        <w:pStyle w:val="114"/>
                        <w:rPr>
                          <w:rFonts w:ascii="宋体" w:hAnsi="宋体" w:eastAsia="宋体" w:cs="宋体"/>
                          <w:sz w:val="28"/>
                          <w:szCs w:val="28"/>
                        </w:rPr>
                      </w:pPr>
                      <w:r>
                        <w:rPr>
                          <w:rFonts w:hint="eastAsia" w:ascii="宋体" w:hAnsi="宋体" w:eastAsia="宋体" w:cs="宋体"/>
                          <w:sz w:val="28"/>
                          <w:szCs w:val="28"/>
                        </w:rPr>
                        <w:t>主编单位：西安汉唐分析检测有限公司</w:t>
                      </w:r>
                    </w:p>
                  </w:txbxContent>
                </v:textbox>
                <w10:anchorlock/>
              </v:rect>
            </w:pict>
          </mc:Fallback>
        </mc:AlternateContent>
      </w:r>
      <w:r>
        <w:rPr>
          <w:rFonts w:hint="default"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60288" behindDoc="0" locked="1" layoutInCell="1" allowOverlap="1">
                <wp:simplePos x="0" y="0"/>
                <wp:positionH relativeFrom="margin">
                  <wp:posOffset>1270</wp:posOffset>
                </wp:positionH>
                <wp:positionV relativeFrom="margin">
                  <wp:posOffset>4467225</wp:posOffset>
                </wp:positionV>
                <wp:extent cx="5969000" cy="1779270"/>
                <wp:effectExtent l="0" t="0" r="12700" b="11430"/>
                <wp:wrapNone/>
                <wp:docPr id="2" name="文本框 5"/>
                <wp:cNvGraphicFramePr/>
                <a:graphic xmlns:a="http://schemas.openxmlformats.org/drawingml/2006/main">
                  <a:graphicData uri="http://schemas.microsoft.com/office/word/2010/wordprocessingShape">
                    <wps:wsp>
                      <wps:cNvSpPr/>
                      <wps:spPr>
                        <a:xfrm>
                          <a:off x="0" y="0"/>
                          <a:ext cx="5969000" cy="1779270"/>
                        </a:xfrm>
                        <a:prstGeom prst="rect">
                          <a:avLst/>
                        </a:prstGeom>
                        <a:solidFill>
                          <a:srgbClr val="FFFFFF"/>
                        </a:solidFill>
                        <a:ln>
                          <a:noFill/>
                        </a:ln>
                      </wps:spPr>
                      <wps:txbx>
                        <w:txbxContent>
                          <w:p w14:paraId="2AC5E93D">
                            <w:pPr>
                              <w:pStyle w:val="67"/>
                              <w:spacing w:before="600"/>
                              <w:rPr>
                                <w:rFonts w:ascii="黑体" w:hAnsi="黑体" w:eastAsia="黑体"/>
                                <w:sz w:val="36"/>
                                <w:szCs w:val="36"/>
                              </w:rPr>
                            </w:pPr>
                            <w:r>
                              <w:rPr>
                                <w:rFonts w:hint="eastAsia" w:ascii="黑体" w:hAnsi="黑体" w:eastAsia="黑体"/>
                                <w:sz w:val="36"/>
                                <w:szCs w:val="36"/>
                              </w:rPr>
                              <w:t xml:space="preserve"> </w:t>
                            </w:r>
                            <w:r>
                              <w:rPr>
                                <w:rFonts w:hint="eastAsia" w:ascii="黑体" w:hAnsi="黑体" w:eastAsia="黑体"/>
                                <w:sz w:val="36"/>
                                <w:szCs w:val="36"/>
                                <w:lang w:val="en-US" w:eastAsia="zh-CN"/>
                              </w:rPr>
                              <w:t>审定</w:t>
                            </w:r>
                            <w:r>
                              <w:rPr>
                                <w:rFonts w:hint="eastAsia" w:ascii="黑体" w:hAnsi="黑体" w:eastAsia="黑体"/>
                                <w:sz w:val="36"/>
                                <w:szCs w:val="36"/>
                              </w:rPr>
                              <w:t>稿</w:t>
                            </w:r>
                          </w:p>
                          <w:p w14:paraId="3BA2F1F2">
                            <w:pPr>
                              <w:pStyle w:val="67"/>
                              <w:spacing w:before="600"/>
                              <w:rPr>
                                <w:rFonts w:hint="eastAsia" w:ascii="黑体" w:hAnsi="黑体" w:eastAsia="黑体"/>
                                <w:sz w:val="36"/>
                                <w:szCs w:val="36"/>
                                <w:lang w:val="en-US" w:eastAsia="zh-CN"/>
                              </w:rPr>
                            </w:pPr>
                            <w:r>
                              <w:rPr>
                                <w:rFonts w:hint="eastAsia" w:ascii="黑体" w:hAnsi="黑体" w:eastAsia="黑体"/>
                                <w:sz w:val="36"/>
                                <w:szCs w:val="36"/>
                              </w:rPr>
                              <w:t xml:space="preserve">  20</w:t>
                            </w:r>
                            <w:r>
                              <w:rPr>
                                <w:rFonts w:ascii="黑体" w:hAnsi="黑体" w:eastAsia="黑体"/>
                                <w:sz w:val="36"/>
                                <w:szCs w:val="36"/>
                              </w:rPr>
                              <w:t>2</w:t>
                            </w:r>
                            <w:r>
                              <w:rPr>
                                <w:rFonts w:hint="eastAsia" w:ascii="黑体" w:hAnsi="黑体" w:eastAsia="黑体"/>
                                <w:sz w:val="36"/>
                                <w:szCs w:val="36"/>
                                <w:lang w:val="en-US" w:eastAsia="zh-CN"/>
                              </w:rPr>
                              <w:t>6</w:t>
                            </w:r>
                            <w:r>
                              <w:rPr>
                                <w:rFonts w:hint="eastAsia" w:ascii="黑体" w:hAnsi="黑体" w:eastAsia="黑体"/>
                                <w:sz w:val="36"/>
                                <w:szCs w:val="36"/>
                              </w:rPr>
                              <w:t>-0</w:t>
                            </w:r>
                            <w:r>
                              <w:rPr>
                                <w:rFonts w:hint="eastAsia" w:ascii="黑体" w:hAnsi="黑体" w:eastAsia="黑体"/>
                                <w:sz w:val="36"/>
                                <w:szCs w:val="36"/>
                                <w:lang w:val="en-US" w:eastAsia="zh-CN"/>
                              </w:rPr>
                              <w:t>1</w:t>
                            </w:r>
                          </w:p>
                        </w:txbxContent>
                      </wps:txbx>
                      <wps:bodyPr lIns="0" tIns="0" rIns="0" bIns="0" upright="1"/>
                    </wps:wsp>
                  </a:graphicData>
                </a:graphic>
              </wp:anchor>
            </w:drawing>
          </mc:Choice>
          <mc:Fallback>
            <w:pict>
              <v:rect id="文本框 5" o:spid="_x0000_s1026" o:spt="1" style="position:absolute;left:0pt;margin-left:0.1pt;margin-top:351.75pt;height:140.1pt;width:470pt;mso-position-horizontal-relative:margin;mso-position-vertical-relative:margin;z-index:251660288;mso-width-relative:page;mso-height-relative:page;" fillcolor="#FFFFFF" filled="t" stroked="f" coordsize="21600,21600" o:gfxdata="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qqzjsNUAAAAIAQAADwAAAAAAAAABACAAAAAiAAAAZHJzL2Rv&#10;d25yZXYueG1sUEsBAhQAFAAAAAgAh07iQDE7zCDLAQAAkgMAAA4AAAAAAAAAAQAgAAAAJAEAAGRy&#10;cy9lMm9Eb2MueG1sUEsFBgAAAAAGAAYAWQEAAGEFAAAAAA==&#10;">
                <v:fill on="t" focussize="0,0"/>
                <v:stroke on="f"/>
                <v:imagedata o:title=""/>
                <o:lock v:ext="edit" aspectratio="f"/>
                <v:textbox inset="0mm,0mm,0mm,0mm">
                  <w:txbxContent>
                    <w:p w14:paraId="2AC5E93D">
                      <w:pPr>
                        <w:pStyle w:val="67"/>
                        <w:spacing w:before="600"/>
                        <w:rPr>
                          <w:rFonts w:ascii="黑体" w:hAnsi="黑体" w:eastAsia="黑体"/>
                          <w:sz w:val="36"/>
                          <w:szCs w:val="36"/>
                        </w:rPr>
                      </w:pPr>
                      <w:r>
                        <w:rPr>
                          <w:rFonts w:hint="eastAsia" w:ascii="黑体" w:hAnsi="黑体" w:eastAsia="黑体"/>
                          <w:sz w:val="36"/>
                          <w:szCs w:val="36"/>
                        </w:rPr>
                        <w:t xml:space="preserve"> </w:t>
                      </w:r>
                      <w:r>
                        <w:rPr>
                          <w:rFonts w:hint="eastAsia" w:ascii="黑体" w:hAnsi="黑体" w:eastAsia="黑体"/>
                          <w:sz w:val="36"/>
                          <w:szCs w:val="36"/>
                          <w:lang w:val="en-US" w:eastAsia="zh-CN"/>
                        </w:rPr>
                        <w:t>审定</w:t>
                      </w:r>
                      <w:r>
                        <w:rPr>
                          <w:rFonts w:hint="eastAsia" w:ascii="黑体" w:hAnsi="黑体" w:eastAsia="黑体"/>
                          <w:sz w:val="36"/>
                          <w:szCs w:val="36"/>
                        </w:rPr>
                        <w:t>稿</w:t>
                      </w:r>
                    </w:p>
                    <w:p w14:paraId="3BA2F1F2">
                      <w:pPr>
                        <w:pStyle w:val="67"/>
                        <w:spacing w:before="600"/>
                        <w:rPr>
                          <w:rFonts w:hint="eastAsia" w:ascii="黑体" w:hAnsi="黑体" w:eastAsia="黑体"/>
                          <w:sz w:val="36"/>
                          <w:szCs w:val="36"/>
                          <w:lang w:val="en-US" w:eastAsia="zh-CN"/>
                        </w:rPr>
                      </w:pPr>
                      <w:r>
                        <w:rPr>
                          <w:rFonts w:hint="eastAsia" w:ascii="黑体" w:hAnsi="黑体" w:eastAsia="黑体"/>
                          <w:sz w:val="36"/>
                          <w:szCs w:val="36"/>
                        </w:rPr>
                        <w:t xml:space="preserve">  20</w:t>
                      </w:r>
                      <w:r>
                        <w:rPr>
                          <w:rFonts w:ascii="黑体" w:hAnsi="黑体" w:eastAsia="黑体"/>
                          <w:sz w:val="36"/>
                          <w:szCs w:val="36"/>
                        </w:rPr>
                        <w:t>2</w:t>
                      </w:r>
                      <w:r>
                        <w:rPr>
                          <w:rFonts w:hint="eastAsia" w:ascii="黑体" w:hAnsi="黑体" w:eastAsia="黑体"/>
                          <w:sz w:val="36"/>
                          <w:szCs w:val="36"/>
                          <w:lang w:val="en-US" w:eastAsia="zh-CN"/>
                        </w:rPr>
                        <w:t>6</w:t>
                      </w:r>
                      <w:r>
                        <w:rPr>
                          <w:rFonts w:hint="eastAsia" w:ascii="黑体" w:hAnsi="黑体" w:eastAsia="黑体"/>
                          <w:sz w:val="36"/>
                          <w:szCs w:val="36"/>
                        </w:rPr>
                        <w:t>-0</w:t>
                      </w:r>
                      <w:r>
                        <w:rPr>
                          <w:rFonts w:hint="eastAsia" w:ascii="黑体" w:hAnsi="黑体" w:eastAsia="黑体"/>
                          <w:sz w:val="36"/>
                          <w:szCs w:val="36"/>
                          <w:lang w:val="en-US" w:eastAsia="zh-CN"/>
                        </w:rPr>
                        <w:t>1</w:t>
                      </w:r>
                    </w:p>
                  </w:txbxContent>
                </v:textbox>
                <w10:anchorlock/>
              </v:rect>
            </w:pict>
          </mc:Fallback>
        </mc:AlternateContent>
      </w:r>
      <w:r>
        <w:rPr>
          <w:rFonts w:hint="default"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61312" behindDoc="0" locked="1" layoutInCell="1" allowOverlap="1">
                <wp:simplePos x="0" y="0"/>
                <wp:positionH relativeFrom="margin">
                  <wp:posOffset>152400</wp:posOffset>
                </wp:positionH>
                <wp:positionV relativeFrom="margin">
                  <wp:posOffset>1163320</wp:posOffset>
                </wp:positionV>
                <wp:extent cx="6120130" cy="2383790"/>
                <wp:effectExtent l="0" t="0" r="13970" b="16510"/>
                <wp:wrapNone/>
                <wp:docPr id="3" name="文本框 4"/>
                <wp:cNvGraphicFramePr/>
                <a:graphic xmlns:a="http://schemas.openxmlformats.org/drawingml/2006/main">
                  <a:graphicData uri="http://schemas.microsoft.com/office/word/2010/wordprocessingShape">
                    <wps:wsp>
                      <wps:cNvSpPr/>
                      <wps:spPr>
                        <a:xfrm>
                          <a:off x="0" y="0"/>
                          <a:ext cx="6120130" cy="2383790"/>
                        </a:xfrm>
                        <a:prstGeom prst="rect">
                          <a:avLst/>
                        </a:prstGeom>
                        <a:solidFill>
                          <a:srgbClr val="FFFFFF"/>
                        </a:solidFill>
                        <a:ln>
                          <a:noFill/>
                        </a:ln>
                      </wps:spPr>
                      <wps:txbx>
                        <w:txbxContent>
                          <w:p w14:paraId="7857C2CE">
                            <w:pPr>
                              <w:pStyle w:val="75"/>
                              <w:rPr>
                                <w:rFonts w:hAnsi="黑体" w:cs="黑体"/>
                                <w:sz w:val="44"/>
                                <w:szCs w:val="44"/>
                              </w:rPr>
                            </w:pPr>
                            <w:bookmarkStart w:id="84" w:name="_Hlk23687263"/>
                            <w:r>
                              <w:rPr>
                                <w:rFonts w:hint="eastAsia" w:hAnsi="黑体" w:cs="黑体"/>
                                <w:sz w:val="44"/>
                                <w:szCs w:val="44"/>
                              </w:rPr>
                              <w:t xml:space="preserve"> JJF（有色金属）</w:t>
                            </w:r>
                            <w:r>
                              <w:rPr>
                                <w:rFonts w:hAnsi="黑体" w:cs="黑体"/>
                                <w:sz w:val="44"/>
                                <w:szCs w:val="44"/>
                              </w:rPr>
                              <w:t>XXXX</w:t>
                            </w:r>
                            <w:r>
                              <w:rPr>
                                <w:rFonts w:hint="eastAsia" w:hAnsi="黑体" w:cs="黑体"/>
                                <w:sz w:val="44"/>
                                <w:szCs w:val="44"/>
                              </w:rPr>
                              <w:t>—</w:t>
                            </w:r>
                            <w:r>
                              <w:rPr>
                                <w:rFonts w:hAnsi="黑体" w:cs="黑体"/>
                                <w:sz w:val="44"/>
                                <w:szCs w:val="44"/>
                              </w:rPr>
                              <w:t>XXXX</w:t>
                            </w:r>
                          </w:p>
                          <w:bookmarkEnd w:id="84"/>
                          <w:p w14:paraId="3FAEFA63">
                            <w:pPr>
                              <w:pStyle w:val="75"/>
                              <w:rPr>
                                <w:rFonts w:hAnsi="黑体" w:cs="黑体"/>
                                <w:szCs w:val="52"/>
                              </w:rPr>
                            </w:pPr>
                            <w:r>
                              <w:rPr>
                                <w:rFonts w:hint="eastAsia" w:hAnsi="黑体" w:cs="黑体"/>
                                <w:szCs w:val="52"/>
                              </w:rPr>
                              <w:t>射线图像分辨力测试计校准规范</w:t>
                            </w:r>
                          </w:p>
                          <w:p w14:paraId="28A810BD">
                            <w:pPr>
                              <w:jc w:val="center"/>
                              <w:rPr>
                                <w:rFonts w:ascii="黑体" w:hAnsi="黑体" w:eastAsia="黑体" w:cs="黑体"/>
                                <w:sz w:val="44"/>
                                <w:szCs w:val="44"/>
                              </w:rPr>
                            </w:pPr>
                            <w:r>
                              <w:rPr>
                                <w:rFonts w:hint="eastAsia" w:ascii="黑体" w:hAnsi="黑体" w:eastAsia="黑体" w:cs="黑体"/>
                                <w:sz w:val="44"/>
                                <w:szCs w:val="44"/>
                              </w:rPr>
                              <w:t>(编制说明)</w:t>
                            </w:r>
                          </w:p>
                        </w:txbxContent>
                      </wps:txbx>
                      <wps:bodyPr lIns="0" tIns="0" rIns="0" bIns="0" upright="1"/>
                    </wps:wsp>
                  </a:graphicData>
                </a:graphic>
              </wp:anchor>
            </w:drawing>
          </mc:Choice>
          <mc:Fallback>
            <w:pict>
              <v:rect id="文本框 4" o:spid="_x0000_s1026" o:spt="1" style="position:absolute;left:0pt;margin-left:12pt;margin-top:91.6pt;height:187.7pt;width:481.9pt;mso-position-horizontal-relative:margin;mso-position-vertical-relative:margin;z-index:251661312;mso-width-relative:page;mso-height-relative:page;" fillcolor="#FFFFFF" filled="t" stroked="f" coordsize="21600,21600" o:gfxdata="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ZkYo31wAAAAoBAAAPAAAAAAAAAAEAIAAAACIAAABkcnMv&#10;ZG93bnJldi54bWxQSwECFAAUAAAACACHTuJAY/5bKMsBAACSAwAADgAAAAAAAAABACAAAAAmAQAA&#10;ZHJzL2Uyb0RvYy54bWxQSwUGAAAAAAYABgBZAQAAYwUAAAAA&#10;">
                <v:fill on="t" focussize="0,0"/>
                <v:stroke on="f"/>
                <v:imagedata o:title=""/>
                <o:lock v:ext="edit" aspectratio="f"/>
                <v:textbox inset="0mm,0mm,0mm,0mm">
                  <w:txbxContent>
                    <w:p w14:paraId="7857C2CE">
                      <w:pPr>
                        <w:pStyle w:val="75"/>
                        <w:rPr>
                          <w:rFonts w:hAnsi="黑体" w:cs="黑体"/>
                          <w:sz w:val="44"/>
                          <w:szCs w:val="44"/>
                        </w:rPr>
                      </w:pPr>
                      <w:bookmarkStart w:id="84" w:name="_Hlk23687263"/>
                      <w:r>
                        <w:rPr>
                          <w:rFonts w:hint="eastAsia" w:hAnsi="黑体" w:cs="黑体"/>
                          <w:sz w:val="44"/>
                          <w:szCs w:val="44"/>
                        </w:rPr>
                        <w:t xml:space="preserve"> JJF（有色金属）</w:t>
                      </w:r>
                      <w:r>
                        <w:rPr>
                          <w:rFonts w:hAnsi="黑体" w:cs="黑体"/>
                          <w:sz w:val="44"/>
                          <w:szCs w:val="44"/>
                        </w:rPr>
                        <w:t>XXXX</w:t>
                      </w:r>
                      <w:r>
                        <w:rPr>
                          <w:rFonts w:hint="eastAsia" w:hAnsi="黑体" w:cs="黑体"/>
                          <w:sz w:val="44"/>
                          <w:szCs w:val="44"/>
                        </w:rPr>
                        <w:t>—</w:t>
                      </w:r>
                      <w:r>
                        <w:rPr>
                          <w:rFonts w:hAnsi="黑体" w:cs="黑体"/>
                          <w:sz w:val="44"/>
                          <w:szCs w:val="44"/>
                        </w:rPr>
                        <w:t>XXXX</w:t>
                      </w:r>
                    </w:p>
                    <w:bookmarkEnd w:id="84"/>
                    <w:p w14:paraId="3FAEFA63">
                      <w:pPr>
                        <w:pStyle w:val="75"/>
                        <w:rPr>
                          <w:rFonts w:hAnsi="黑体" w:cs="黑体"/>
                          <w:szCs w:val="52"/>
                        </w:rPr>
                      </w:pPr>
                      <w:r>
                        <w:rPr>
                          <w:rFonts w:hint="eastAsia" w:hAnsi="黑体" w:cs="黑体"/>
                          <w:szCs w:val="52"/>
                        </w:rPr>
                        <w:t>射线图像分辨力测试计校准规范</w:t>
                      </w:r>
                    </w:p>
                    <w:p w14:paraId="28A810BD">
                      <w:pPr>
                        <w:jc w:val="center"/>
                        <w:rPr>
                          <w:rFonts w:ascii="黑体" w:hAnsi="黑体" w:eastAsia="黑体" w:cs="黑体"/>
                          <w:sz w:val="44"/>
                          <w:szCs w:val="44"/>
                        </w:rPr>
                      </w:pPr>
                      <w:r>
                        <w:rPr>
                          <w:rFonts w:hint="eastAsia" w:ascii="黑体" w:hAnsi="黑体" w:eastAsia="黑体" w:cs="黑体"/>
                          <w:sz w:val="44"/>
                          <w:szCs w:val="44"/>
                        </w:rPr>
                        <w:t>(编制说明)</w:t>
                      </w:r>
                    </w:p>
                  </w:txbxContent>
                </v:textbox>
                <w10:anchorlock/>
              </v:rect>
            </w:pict>
          </mc:Fallback>
        </mc:AlternateContent>
      </w:r>
      <w:bookmarkEnd w:id="0"/>
    </w:p>
    <w:p w14:paraId="5AF04A59">
      <w:pPr>
        <w:pStyle w:val="72"/>
        <w:numPr>
          <w:ilvl w:val="0"/>
          <w:numId w:val="0"/>
        </w:numPr>
        <w:ind w:left="840" w:hanging="420"/>
        <w:jc w:val="center"/>
        <w:rPr>
          <w:rFonts w:hint="default" w:ascii="Times New Roman" w:hAnsi="Times New Roman" w:cs="Times New Roman"/>
          <w:b/>
          <w:color w:val="000000" w:themeColor="text1"/>
          <w14:textFill>
            <w14:solidFill>
              <w14:schemeClr w14:val="tx1"/>
            </w14:solidFill>
          </w14:textFill>
        </w:rPr>
      </w:pPr>
    </w:p>
    <w:p w14:paraId="4226AB85">
      <w:pPr>
        <w:pStyle w:val="58"/>
        <w:ind w:firstLine="420"/>
        <w:rPr>
          <w:rFonts w:hint="default" w:ascii="Times New Roman" w:hAnsi="Times New Roman" w:cs="Times New Roman"/>
          <w:color w:val="000000" w:themeColor="text1"/>
          <w14:textFill>
            <w14:solidFill>
              <w14:schemeClr w14:val="tx1"/>
            </w14:solidFill>
          </w14:textFill>
        </w:rPr>
        <w:sectPr>
          <w:headerReference r:id="rId3" w:type="default"/>
          <w:footerReference r:id="rId5" w:type="default"/>
          <w:headerReference r:id="rId4" w:type="even"/>
          <w:footerReference r:id="rId6" w:type="even"/>
          <w:pgSz w:w="11907" w:h="16839"/>
          <w:pgMar w:top="1418" w:right="1134" w:bottom="1134" w:left="1418" w:header="1418" w:footer="851" w:gutter="0"/>
          <w:pgNumType w:fmt="upperRoman" w:start="1"/>
          <w:cols w:space="720" w:num="1"/>
          <w:docGrid w:type="linesAndChars" w:linePitch="312" w:charSpace="0"/>
        </w:sectPr>
      </w:pPr>
    </w:p>
    <w:p w14:paraId="0CB3F497">
      <w:pPr>
        <w:pStyle w:val="74"/>
        <w:tabs>
          <w:tab w:val="left" w:pos="426"/>
        </w:tabs>
        <w:spacing w:before="156" w:beforeLines="50" w:after="156" w:afterLines="50"/>
        <w:jc w:val="left"/>
        <w:rPr>
          <w:rFonts w:hint="default" w:ascii="Times New Roman" w:hAnsi="Times New Roman" w:cs="Times New Roman"/>
          <w:color w:val="000000" w:themeColor="text1"/>
          <w:sz w:val="28"/>
          <w:szCs w:val="28"/>
          <w14:textFill>
            <w14:solidFill>
              <w14:schemeClr w14:val="tx1"/>
            </w14:solidFill>
          </w14:textFill>
        </w:rPr>
      </w:pPr>
      <w:bookmarkStart w:id="2" w:name="_Toc464728891"/>
      <w:r>
        <w:rPr>
          <w:rFonts w:hint="default" w:ascii="Times New Roman" w:hAnsi="Times New Roman" w:cs="Times New Roman"/>
          <w:color w:val="000000" w:themeColor="text1"/>
          <w:sz w:val="28"/>
          <w:szCs w:val="28"/>
          <w14:textFill>
            <w14:solidFill>
              <w14:schemeClr w14:val="tx1"/>
            </w14:solidFill>
          </w14:textFill>
        </w:rPr>
        <w:t>一、</w:t>
      </w:r>
      <w:r>
        <w:rPr>
          <w:rFonts w:hint="default" w:ascii="Times New Roman" w:hAnsi="Times New Roman" w:cs="Times New Roman"/>
          <w:color w:val="000000" w:themeColor="text1"/>
          <w:sz w:val="28"/>
          <w:szCs w:val="28"/>
          <w14:textFill>
            <w14:solidFill>
              <w14:schemeClr w14:val="tx1"/>
            </w14:solidFill>
          </w14:textFill>
        </w:rPr>
        <w:t>工作简况</w:t>
      </w:r>
      <w:bookmarkEnd w:id="2"/>
    </w:p>
    <w:p w14:paraId="2EBA49D8">
      <w:pPr>
        <w:pStyle w:val="61"/>
        <w:ind w:firstLine="0" w:firstLineChars="0"/>
        <w:rPr>
          <w:rFonts w:hint="default" w:ascii="Times New Roman" w:hAnsi="Times New Roman" w:cs="Times New Roman"/>
          <w:color w:val="000000" w:themeColor="text1"/>
          <w14:textFill>
            <w14:solidFill>
              <w14:schemeClr w14:val="tx1"/>
            </w14:solidFill>
          </w14:textFill>
        </w:rPr>
      </w:pPr>
      <w:bookmarkStart w:id="3" w:name="_Toc464728892"/>
      <w:bookmarkStart w:id="4" w:name="_Toc456592524"/>
      <w:r>
        <w:rPr>
          <w:rFonts w:hint="default" w:ascii="Times New Roman" w:hAnsi="Times New Roman" w:cs="Times New Roman"/>
          <w:color w:val="000000" w:themeColor="text1"/>
          <w14:textFill>
            <w14:solidFill>
              <w14:schemeClr w14:val="tx1"/>
            </w14:solidFill>
          </w14:textFill>
        </w:rPr>
        <w:t>1.立项目的</w:t>
      </w:r>
      <w:bookmarkEnd w:id="3"/>
      <w:bookmarkEnd w:id="4"/>
    </w:p>
    <w:p w14:paraId="2AEF436E">
      <w:pPr>
        <w:spacing w:line="300" w:lineRule="auto"/>
        <w:ind w:firstLine="420" w:firstLineChars="200"/>
        <w:rPr>
          <w:rFonts w:hint="default" w:ascii="Times New Roman" w:hAnsi="Times New Roman" w:cs="Times New Roman"/>
          <w:color w:val="000000" w:themeColor="text1"/>
          <w14:textFill>
            <w14:solidFill>
              <w14:schemeClr w14:val="tx1"/>
            </w14:solidFill>
          </w14:textFill>
        </w:rPr>
      </w:pPr>
      <w:bookmarkStart w:id="5" w:name="_Toc464728896"/>
      <w:r>
        <w:rPr>
          <w:rFonts w:hint="default" w:ascii="Times New Roman" w:hAnsi="Times New Roman" w:cs="Times New Roman"/>
          <w:color w:val="000000" w:themeColor="text1"/>
          <w14:textFill>
            <w14:solidFill>
              <w14:schemeClr w14:val="tx1"/>
            </w14:solidFill>
          </w14:textFill>
        </w:rPr>
        <w:t>射线图像分辨力测试计在工业无损检测校准中的应用日趋广泛。图像分辨力是指屏幕的中心区域可以识别的图像间的最小距离，用每</w:t>
      </w:r>
      <w:r>
        <w:rPr>
          <w:rFonts w:hint="eastAsia" w:cs="Times New Roman"/>
          <w:color w:val="000000" w:themeColor="text1"/>
          <w:lang w:val="en-US" w:eastAsia="zh-CN"/>
          <w14:textFill>
            <w14:solidFill>
              <w14:schemeClr w14:val="tx1"/>
            </w14:solidFill>
          </w14:textFill>
        </w:rPr>
        <w:t>毫</w:t>
      </w:r>
      <w:r>
        <w:rPr>
          <w:rFonts w:hint="default" w:ascii="Times New Roman" w:hAnsi="Times New Roman" w:cs="Times New Roman"/>
          <w:color w:val="000000" w:themeColor="text1"/>
          <w14:textFill>
            <w14:solidFill>
              <w14:schemeClr w14:val="tx1"/>
            </w14:solidFill>
          </w14:textFill>
        </w:rPr>
        <w:t>米线对数来表示。图像分辨力指标的高低反映了仪器图像清晰度的好坏和实时成像的效果，是整个系统性能的综合反映。为了保证计量器具的准确可靠，填补有色金属行业以及计量行业领域空白，制定相应的校准方法是非常必要的。本次所提出的射线图像分辨力测试计校准规范望能开展对射线图像分辨力测试计的校准工作，确保校准方法的合理性以及试验结果的可信度，促进射线图像分辨力测试计在有色金属行业中更合理、更准确的应用。现申报有色金属行业射线图像分辨力测试计校准规范，对其校准环境、校准设备、技术指标要求、校准项目和校准方法等提出要求。目前国内尚未发布相关射线图像分辨力测试计的检定</w:t>
      </w:r>
      <w:r>
        <w:rPr>
          <w:rFonts w:hint="eastAsia" w:cs="Times New Roman"/>
          <w:color w:val="000000" w:themeColor="text1"/>
          <w:lang w:val="en-US" w:eastAsia="zh-CN"/>
          <w14:textFill>
            <w14:solidFill>
              <w14:schemeClr w14:val="tx1"/>
            </w14:solidFill>
          </w14:textFill>
        </w:rPr>
        <w:t>规程</w:t>
      </w:r>
      <w:r>
        <w:rPr>
          <w:rFonts w:hint="default" w:ascii="Times New Roman" w:hAnsi="Times New Roman" w:cs="Times New Roman"/>
          <w:color w:val="000000" w:themeColor="text1"/>
          <w14:textFill>
            <w14:solidFill>
              <w14:schemeClr w14:val="tx1"/>
            </w14:solidFill>
          </w14:textFill>
        </w:rPr>
        <w:t>或</w:t>
      </w:r>
      <w:r>
        <w:rPr>
          <w:rFonts w:hint="eastAsia" w:cs="Times New Roman"/>
          <w:color w:val="000000" w:themeColor="text1"/>
          <w:lang w:val="en-US" w:eastAsia="zh-CN"/>
          <w14:textFill>
            <w14:solidFill>
              <w14:schemeClr w14:val="tx1"/>
            </w14:solidFill>
          </w14:textFill>
        </w:rPr>
        <w:t>国家</w:t>
      </w:r>
      <w:r>
        <w:rPr>
          <w:rFonts w:hint="default" w:ascii="Times New Roman" w:hAnsi="Times New Roman" w:cs="Times New Roman"/>
          <w:color w:val="000000" w:themeColor="text1"/>
          <w14:textFill>
            <w14:solidFill>
              <w14:schemeClr w14:val="tx1"/>
            </w14:solidFill>
          </w14:textFill>
        </w:rPr>
        <w:t>校准规范。</w:t>
      </w:r>
    </w:p>
    <w:p w14:paraId="33EB530C">
      <w:pPr>
        <w:spacing w:line="300" w:lineRule="auto"/>
        <w:ind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无损检测在国内应用广泛，其中射线检测作为无损检测中的重要门类。射线图像分辨力测试计是JJG 40-2011《X射线探伤机》和JJF 1596-2016《X射线工业实时成像系统校准规范》中指定的用于校准图像分辨力项目的标准计量器具。编制相应的校准规范，可以解决射线图像分辨力测试计溯源问题，保证射线图像分辨力测试计计量无损设备时的准确性和检测结果的可靠性，保证了无损检测设备分辨力量值准确可靠，从而保障了生产单位所生产加工产品质量可靠，推动行业高质量发展。</w:t>
      </w:r>
    </w:p>
    <w:p w14:paraId="7595FA6D">
      <w:pPr>
        <w:pStyle w:val="61"/>
        <w:ind w:firstLine="0" w:firstLineChars="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2.任务来源</w:t>
      </w:r>
      <w:bookmarkEnd w:id="5"/>
    </w:p>
    <w:p w14:paraId="5BB292E7">
      <w:pPr>
        <w:spacing w:line="300" w:lineRule="auto"/>
        <w:ind w:firstLine="420" w:firstLineChars="200"/>
        <w:contextualSpacing/>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为保证用于校准</w:t>
      </w:r>
      <w:r>
        <w:rPr>
          <w:rFonts w:hint="default" w:ascii="Times New Roman" w:hAnsi="Times New Roman" w:cs="Times New Roman"/>
          <w:color w:val="000000" w:themeColor="text1"/>
          <w14:textFill>
            <w14:solidFill>
              <w14:schemeClr w14:val="tx1"/>
            </w14:solidFill>
          </w14:textFill>
        </w:rPr>
        <w:t>射线图像分辨力测试计</w:t>
      </w:r>
      <w:r>
        <w:rPr>
          <w:rFonts w:hint="default" w:ascii="Times New Roman" w:hAnsi="Times New Roman" w:cs="Times New Roman"/>
          <w:color w:val="000000" w:themeColor="text1"/>
          <w:szCs w:val="21"/>
          <w14:textFill>
            <w14:solidFill>
              <w14:schemeClr w14:val="tx1"/>
            </w14:solidFill>
          </w14:textFill>
        </w:rPr>
        <w:t>的量值准确、可靠，适应我国有色金属行业的快速发展和满足国内外市场的需要，工业和信息化部以工信厅下达了根据工信部《工业和信息化部办公厅关于印发2024年行业计量技术规范制修订计划的通知》(工厅科〔2024〕602号)</w:t>
      </w:r>
      <w:r>
        <w:rPr>
          <w:rFonts w:hint="default" w:ascii="Times New Roman" w:hAnsi="Times New Roman" w:cs="Times New Roman"/>
          <w:bCs/>
          <w:color w:val="000000" w:themeColor="text1"/>
          <w:szCs w:val="21"/>
          <w14:textFill>
            <w14:solidFill>
              <w14:schemeClr w14:val="tx1"/>
            </w14:solidFill>
          </w14:textFill>
        </w:rPr>
        <w:t>，</w:t>
      </w:r>
      <w:r>
        <w:rPr>
          <w:rFonts w:hint="default" w:ascii="Times New Roman" w:hAnsi="Times New Roman" w:cs="Times New Roman"/>
          <w:color w:val="000000" w:themeColor="text1"/>
          <w:szCs w:val="21"/>
          <w14:textFill>
            <w14:solidFill>
              <w14:schemeClr w14:val="tx1"/>
            </w14:solidFill>
          </w14:textFill>
        </w:rPr>
        <w:t>计划完成年限为202</w:t>
      </w:r>
      <w:r>
        <w:rPr>
          <w:rFonts w:hint="default" w:ascii="Times New Roman" w:hAnsi="Times New Roman" w:cs="Times New Roman"/>
          <w:color w:val="000000" w:themeColor="text1"/>
          <w:szCs w:val="21"/>
          <w14:textFill>
            <w14:solidFill>
              <w14:schemeClr w14:val="tx1"/>
            </w14:solidFill>
          </w14:textFill>
        </w:rPr>
        <w:t>5</w:t>
      </w:r>
      <w:r>
        <w:rPr>
          <w:rFonts w:hint="default" w:ascii="Times New Roman" w:hAnsi="Times New Roman" w:cs="Times New Roman"/>
          <w:color w:val="000000" w:themeColor="text1"/>
          <w:szCs w:val="21"/>
          <w14:textFill>
            <w14:solidFill>
              <w14:schemeClr w14:val="tx1"/>
            </w14:solidFill>
          </w14:textFill>
        </w:rPr>
        <w:t>年。</w:t>
      </w:r>
    </w:p>
    <w:p w14:paraId="68CF74A9">
      <w:pPr>
        <w:pStyle w:val="61"/>
        <w:ind w:firstLine="0" w:firstLineChars="0"/>
        <w:rPr>
          <w:rFonts w:hint="default" w:ascii="Times New Roman" w:hAnsi="Times New Roman" w:cs="Times New Roman"/>
          <w:color w:val="000000" w:themeColor="text1"/>
          <w14:textFill>
            <w14:solidFill>
              <w14:schemeClr w14:val="tx1"/>
            </w14:solidFill>
          </w14:textFill>
        </w:rPr>
      </w:pPr>
      <w:bookmarkStart w:id="6" w:name="_Toc464728898"/>
      <w:bookmarkStart w:id="7" w:name="_Toc462884342"/>
      <w:r>
        <w:rPr>
          <w:rFonts w:hint="default" w:ascii="Times New Roman" w:hAnsi="Times New Roman" w:cs="Times New Roman"/>
          <w:color w:val="000000" w:themeColor="text1"/>
          <w14:textFill>
            <w14:solidFill>
              <w14:schemeClr w14:val="tx1"/>
            </w14:solidFill>
          </w14:textFill>
        </w:rPr>
        <w:t>3.项目编制组单位简况</w:t>
      </w:r>
      <w:bookmarkEnd w:id="6"/>
      <w:bookmarkEnd w:id="7"/>
      <w:r>
        <w:rPr>
          <w:rFonts w:hint="default" w:ascii="Times New Roman" w:hAnsi="Times New Roman" w:cs="Times New Roman"/>
          <w:color w:val="000000" w:themeColor="text1"/>
          <w14:textFill>
            <w14:solidFill>
              <w14:schemeClr w14:val="tx1"/>
            </w14:solidFill>
          </w14:textFill>
        </w:rPr>
        <w:t xml:space="preserve">      </w:t>
      </w:r>
    </w:p>
    <w:p w14:paraId="4CB88145">
      <w:pPr>
        <w:pStyle w:val="60"/>
        <w:ind w:firstLine="0" w:firstLineChars="0"/>
        <w:rPr>
          <w:rFonts w:hint="default" w:ascii="Times New Roman" w:hAnsi="Times New Roman" w:cs="Times New Roman"/>
          <w:color w:val="000000" w:themeColor="text1"/>
          <w14:textFill>
            <w14:solidFill>
              <w14:schemeClr w14:val="tx1"/>
            </w14:solidFill>
          </w14:textFill>
        </w:rPr>
      </w:pPr>
      <w:bookmarkStart w:id="8" w:name="_Toc464728899"/>
      <w:bookmarkStart w:id="9" w:name="_Toc462884343"/>
      <w:r>
        <w:rPr>
          <w:rFonts w:hint="default" w:ascii="Times New Roman" w:hAnsi="Times New Roman" w:cs="Times New Roman"/>
          <w:color w:val="000000" w:themeColor="text1"/>
          <w14:textFill>
            <w14:solidFill>
              <w14:schemeClr w14:val="tx1"/>
            </w14:solidFill>
          </w14:textFill>
        </w:rPr>
        <w:t>3.1编制组成员单位</w:t>
      </w:r>
      <w:bookmarkEnd w:id="8"/>
      <w:bookmarkEnd w:id="9"/>
    </w:p>
    <w:p w14:paraId="510FB810">
      <w:pPr>
        <w:widowControl/>
        <w:autoSpaceDE w:val="0"/>
        <w:autoSpaceDN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bookmarkStart w:id="10" w:name="_Toc462884344"/>
      <w:bookmarkStart w:id="11" w:name="_Toc464728900"/>
      <w:r>
        <w:rPr>
          <w:rFonts w:hint="default" w:ascii="Times New Roman" w:hAnsi="Times New Roman" w:cs="Times New Roman"/>
          <w:color w:val="000000" w:themeColor="text1"/>
          <w:szCs w:val="21"/>
          <w14:textFill>
            <w14:solidFill>
              <w14:schemeClr w14:val="tx1"/>
            </w14:solidFill>
          </w14:textFill>
        </w:rPr>
        <w:t>本规范的编制组单位为：西安汉唐分析检测有限公司。</w:t>
      </w:r>
    </w:p>
    <w:bookmarkEnd w:id="10"/>
    <w:bookmarkEnd w:id="11"/>
    <w:p w14:paraId="3E96BD29">
      <w:pPr>
        <w:pStyle w:val="60"/>
        <w:ind w:firstLine="0" w:firstLineChars="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3.2主编单位简介</w:t>
      </w:r>
    </w:p>
    <w:p w14:paraId="186A18C7">
      <w:pPr>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西安汉唐分析检测有限公司是西北有色金属研究院(集团)控股子公司，属国有企业，主要从事有色产品的检测、可靠性评价、失效分析、质量评估、腐蚀性能及表面测试与表征、规范起草、检测方法的开发、标物的研制、设备的计量校准等。</w:t>
      </w:r>
    </w:p>
    <w:p w14:paraId="2F2BC478">
      <w:pPr>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公司于1985年被陕西省质监局授权为陕西省有色金属产品质量监督检验站。1987年被中国有色金属工业总公司授权为西北质量监督检验中心，先后被国家质检总局确定为钛及钛合金、铜及铜合金管材生产许可证检验工作实施单位；公司通过CNAS、CMA、国防DiLAC等认证认可，是陕西省有色金属材料分析检测与评价中心、陕西省稀有金属材料安全评估和失效分析中心、工业（稀有金属）产品质量和技术评价实验室、陕西省核工业用金属材料检测与评价服务平台挂靠单位。公司是国内最早从事有色金属材料及其产品分析检验检测与评价研究的专业机构之一，技术装备水平国内一流、国际先进，在我省优势产业稀有金属材料领域的检测能力和水平处于领先地位；先后承担了国家、省市多项重大课题，目前已建成国内唯一的核电堆芯材料分析检测平台、多层金属复合材料测试和评价平台、钛及钛合金专业检测平台。</w:t>
      </w:r>
    </w:p>
    <w:p w14:paraId="600D398F">
      <w:pPr>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近10年起草有色金属国家/行业规范共80余项、发表论文120余篇、授权专利30余项。先后荣获中国有色金属工业一等奖、二等奖20余次。</w:t>
      </w:r>
    </w:p>
    <w:p w14:paraId="7C389A4E">
      <w:pPr>
        <w:spacing w:line="360" w:lineRule="auto"/>
        <w:ind w:firstLine="420" w:firstLineChars="200"/>
        <w:contextualSpacing/>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本单位积极组织编制组各次工作会议，开展相关的校准，有效组织参编单位多次对规范的各版《征求意见稿》进行认真的讨论和审议，提出大量有益的意见和建议，在编制组中发挥了牵头作用。</w:t>
      </w:r>
    </w:p>
    <w:p w14:paraId="0BE7A401">
      <w:pPr>
        <w:pStyle w:val="60"/>
        <w:ind w:firstLine="0" w:firstLineChars="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3参与</w:t>
      </w:r>
      <w:r>
        <w:rPr>
          <w:rFonts w:hint="default" w:ascii="Times New Roman" w:hAnsi="Times New Roman" w:cs="Times New Roman"/>
          <w:color w:val="000000" w:themeColor="text1"/>
          <w14:textFill>
            <w14:solidFill>
              <w14:schemeClr w14:val="tx1"/>
            </w14:solidFill>
          </w14:textFill>
        </w:rPr>
        <w:t>单位简介</w:t>
      </w:r>
    </w:p>
    <w:p w14:paraId="3526786E">
      <w:pPr>
        <w:adjustRightIn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w:t>
      </w:r>
    </w:p>
    <w:p w14:paraId="4B17BC9E">
      <w:pPr>
        <w:pStyle w:val="61"/>
        <w:ind w:firstLine="0" w:firstLineChars="0"/>
        <w:rPr>
          <w:rFonts w:hint="default" w:ascii="Times New Roman" w:hAnsi="Times New Roman" w:cs="Times New Roman"/>
          <w:color w:val="000000" w:themeColor="text1"/>
          <w14:textFill>
            <w14:solidFill>
              <w14:schemeClr w14:val="tx1"/>
            </w14:solidFill>
          </w14:textFill>
        </w:rPr>
      </w:pPr>
      <w:bookmarkStart w:id="12" w:name="_Toc462884357"/>
      <w:bookmarkStart w:id="13" w:name="_Toc464728913"/>
      <w:r>
        <w:rPr>
          <w:rFonts w:hint="default" w:ascii="Times New Roman" w:hAnsi="Times New Roman" w:cs="Times New Roman"/>
          <w:color w:val="000000" w:themeColor="text1"/>
          <w14:textFill>
            <w14:solidFill>
              <w14:schemeClr w14:val="tx1"/>
            </w14:solidFill>
          </w14:textFill>
        </w:rPr>
        <w:t>4.主要工作过程</w:t>
      </w:r>
      <w:bookmarkEnd w:id="12"/>
      <w:bookmarkEnd w:id="13"/>
    </w:p>
    <w:p w14:paraId="4B5E92E0">
      <w:pPr>
        <w:spacing w:line="360" w:lineRule="auto"/>
        <w:ind w:firstLine="420" w:firstLineChars="200"/>
        <w:rPr>
          <w:rFonts w:hint="default" w:ascii="Times New Roman" w:hAnsi="Times New Roman" w:cs="Times New Roman"/>
          <w:bCs/>
          <w:color w:val="000000" w:themeColor="text1"/>
          <w14:textFill>
            <w14:solidFill>
              <w14:schemeClr w14:val="tx1"/>
            </w14:solidFill>
          </w14:textFill>
        </w:rPr>
      </w:pPr>
      <w:bookmarkStart w:id="14" w:name="_Toc464728924"/>
      <w:r>
        <w:rPr>
          <w:rFonts w:hint="default" w:ascii="Times New Roman" w:hAnsi="Times New Roman" w:cs="Times New Roman"/>
          <w:bCs/>
          <w:color w:val="000000" w:themeColor="text1"/>
          <w14:textFill>
            <w14:solidFill>
              <w14:schemeClr w14:val="tx1"/>
            </w14:solidFill>
          </w14:textFill>
        </w:rPr>
        <w:t>西安汉唐分析检测有限公司接到有色金属行业计量技术委员会转发下达的制定任务后，成立了计量规范编制组，对计量技术规范编写工作进行了部署和分工，制定了制定原则及计划工作。</w:t>
      </w:r>
    </w:p>
    <w:p w14:paraId="00A94EA5">
      <w:pPr>
        <w:spacing w:line="360" w:lineRule="auto"/>
        <w:ind w:firstLine="420" w:firstLineChars="200"/>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Cs/>
          <w:color w:val="000000" w:themeColor="text1"/>
          <w14:textFill>
            <w14:solidFill>
              <w14:schemeClr w14:val="tx1"/>
            </w14:solidFill>
          </w14:textFill>
        </w:rPr>
        <w:t>2024年1</w:t>
      </w:r>
      <w:r>
        <w:rPr>
          <w:rFonts w:hint="default" w:ascii="Times New Roman" w:hAnsi="Times New Roman" w:cs="Times New Roman"/>
          <w:bCs/>
          <w:color w:val="000000" w:themeColor="text1"/>
          <w14:textFill>
            <w14:solidFill>
              <w14:schemeClr w14:val="tx1"/>
            </w14:solidFill>
          </w14:textFill>
        </w:rPr>
        <w:t>1</w:t>
      </w:r>
      <w:r>
        <w:rPr>
          <w:rFonts w:hint="default" w:ascii="Times New Roman" w:hAnsi="Times New Roman" w:cs="Times New Roman"/>
          <w:bCs/>
          <w:color w:val="000000" w:themeColor="text1"/>
          <w14:textFill>
            <w14:solidFill>
              <w14:schemeClr w14:val="tx1"/>
            </w14:solidFill>
          </w14:textFill>
        </w:rPr>
        <w:t>月成立了计量规范编制组，明确编制组成员各自的工作内容及任务，对被校对象的使用单位进行了校准需求调研，收集相关资料。</w:t>
      </w:r>
    </w:p>
    <w:p w14:paraId="52C009F9">
      <w:pPr>
        <w:spacing w:line="360" w:lineRule="auto"/>
        <w:ind w:firstLine="420" w:firstLineChars="200"/>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Cs/>
          <w:color w:val="000000" w:themeColor="text1"/>
          <w14:textFill>
            <w14:solidFill>
              <w14:schemeClr w14:val="tx1"/>
            </w14:solidFill>
          </w14:textFill>
        </w:rPr>
        <w:t>2024年</w:t>
      </w:r>
      <w:r>
        <w:rPr>
          <w:rFonts w:hint="default" w:ascii="Times New Roman" w:hAnsi="Times New Roman" w:cs="Times New Roman"/>
          <w:bCs/>
          <w:color w:val="000000" w:themeColor="text1"/>
          <w14:textFill>
            <w14:solidFill>
              <w14:schemeClr w14:val="tx1"/>
            </w14:solidFill>
          </w14:textFill>
        </w:rPr>
        <w:t>1</w:t>
      </w:r>
      <w:r>
        <w:rPr>
          <w:rFonts w:hint="default" w:ascii="Times New Roman" w:hAnsi="Times New Roman" w:cs="Times New Roman"/>
          <w:bCs/>
          <w:color w:val="000000" w:themeColor="text1"/>
          <w14:textFill>
            <w14:solidFill>
              <w14:schemeClr w14:val="tx1"/>
            </w14:solidFill>
          </w14:textFill>
        </w:rPr>
        <w:t>2月~202</w:t>
      </w:r>
      <w:r>
        <w:rPr>
          <w:rFonts w:hint="default" w:ascii="Times New Roman" w:hAnsi="Times New Roman" w:cs="Times New Roman"/>
          <w:bCs/>
          <w:color w:val="000000" w:themeColor="text1"/>
          <w14:textFill>
            <w14:solidFill>
              <w14:schemeClr w14:val="tx1"/>
            </w14:solidFill>
          </w14:textFill>
        </w:rPr>
        <w:t>5</w:t>
      </w:r>
      <w:r>
        <w:rPr>
          <w:rFonts w:hint="default" w:ascii="Times New Roman" w:hAnsi="Times New Roman" w:cs="Times New Roman"/>
          <w:bCs/>
          <w:color w:val="000000" w:themeColor="text1"/>
          <w14:textFill>
            <w14:solidFill>
              <w14:schemeClr w14:val="tx1"/>
            </w14:solidFill>
          </w14:textFill>
        </w:rPr>
        <w:t>年</w:t>
      </w:r>
      <w:r>
        <w:rPr>
          <w:rFonts w:hint="default" w:ascii="Times New Roman" w:hAnsi="Times New Roman" w:cs="Times New Roman"/>
          <w:bCs/>
          <w:color w:val="000000" w:themeColor="text1"/>
          <w14:textFill>
            <w14:solidFill>
              <w14:schemeClr w14:val="tx1"/>
            </w14:solidFill>
          </w14:textFill>
        </w:rPr>
        <w:t>4</w:t>
      </w:r>
      <w:r>
        <w:rPr>
          <w:rFonts w:hint="default" w:ascii="Times New Roman" w:hAnsi="Times New Roman" w:cs="Times New Roman"/>
          <w:bCs/>
          <w:color w:val="000000" w:themeColor="text1"/>
          <w14:textFill>
            <w14:solidFill>
              <w14:schemeClr w14:val="tx1"/>
            </w14:solidFill>
          </w14:textFill>
        </w:rPr>
        <w:t>月编制组成员对校准规范中的计量特性及校准方法进行了讨论，确定了校准项目及方法，对关键技术指标提出了修改意见最终行成讨论稿。</w:t>
      </w:r>
    </w:p>
    <w:p w14:paraId="14593EE6">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202</w:t>
      </w:r>
      <w:r>
        <w:rPr>
          <w:rFonts w:hint="default" w:ascii="Times New Roman" w:hAnsi="Times New Roman" w:cs="Times New Roman"/>
          <w:szCs w:val="21"/>
        </w:rPr>
        <w:t>5</w:t>
      </w:r>
      <w:r>
        <w:rPr>
          <w:rFonts w:hint="default" w:ascii="Times New Roman" w:hAnsi="Times New Roman" w:cs="Times New Roman"/>
          <w:szCs w:val="21"/>
        </w:rPr>
        <w:t>年</w:t>
      </w:r>
      <w:r>
        <w:rPr>
          <w:rFonts w:hint="default" w:ascii="Times New Roman" w:hAnsi="Times New Roman" w:cs="Times New Roman"/>
          <w:szCs w:val="21"/>
        </w:rPr>
        <w:t>5</w:t>
      </w:r>
      <w:r>
        <w:rPr>
          <w:rFonts w:hint="default" w:ascii="Times New Roman" w:hAnsi="Times New Roman" w:cs="Times New Roman"/>
          <w:szCs w:val="21"/>
        </w:rPr>
        <w:t>月</w:t>
      </w:r>
      <w:r>
        <w:rPr>
          <w:rFonts w:hint="default" w:ascii="Times New Roman" w:hAnsi="Times New Roman" w:cs="Times New Roman"/>
          <w:szCs w:val="21"/>
        </w:rPr>
        <w:t>8</w:t>
      </w:r>
      <w:r>
        <w:rPr>
          <w:rFonts w:hint="default" w:ascii="Times New Roman" w:hAnsi="Times New Roman" w:cs="Times New Roman"/>
          <w:szCs w:val="21"/>
        </w:rPr>
        <w:t>日~</w:t>
      </w:r>
      <w:r>
        <w:rPr>
          <w:rFonts w:hint="default" w:ascii="Times New Roman" w:hAnsi="Times New Roman" w:cs="Times New Roman"/>
          <w:szCs w:val="21"/>
        </w:rPr>
        <w:t>9</w:t>
      </w:r>
      <w:r>
        <w:rPr>
          <w:rFonts w:hint="default" w:ascii="Times New Roman" w:hAnsi="Times New Roman" w:cs="Times New Roman"/>
          <w:szCs w:val="21"/>
        </w:rPr>
        <w:t>日，编制组成员参加了由有色金属行业计量技术委员会组织的在</w:t>
      </w:r>
      <w:r>
        <w:rPr>
          <w:rFonts w:hint="default" w:ascii="Times New Roman" w:hAnsi="Times New Roman" w:cs="Times New Roman"/>
          <w:szCs w:val="21"/>
        </w:rPr>
        <w:t>河南省洛阳市东山华悦酒店</w:t>
      </w:r>
      <w:r>
        <w:rPr>
          <w:rFonts w:hint="default" w:ascii="Times New Roman" w:hAnsi="Times New Roman" w:cs="Times New Roman"/>
          <w:szCs w:val="21"/>
        </w:rPr>
        <w:t>召开的有色金属计量技术规范讨论会，与会专家和各单位代表对《</w:t>
      </w:r>
      <w:r>
        <w:rPr>
          <w:rFonts w:hint="default" w:ascii="Times New Roman" w:hAnsi="Times New Roman" w:cs="Times New Roman"/>
          <w:szCs w:val="21"/>
        </w:rPr>
        <w:t>射线图像分辨力测试计校准规范</w:t>
      </w:r>
      <w:r>
        <w:rPr>
          <w:rFonts w:hint="default" w:ascii="Times New Roman" w:hAnsi="Times New Roman" w:cs="Times New Roman"/>
          <w:szCs w:val="21"/>
        </w:rPr>
        <w:t>-讨论稿》提出了修改意见，并且在会上确定了项目负责起草单位明确了各项工作时间进度要求，编制组依据讨论会上提出的修改意见，修改讨论稿并形成征求意见稿，具体内容见表1。修改后形成了《</w:t>
      </w:r>
      <w:r>
        <w:rPr>
          <w:rFonts w:hint="default" w:ascii="Times New Roman" w:hAnsi="Times New Roman" w:cs="Times New Roman"/>
          <w:szCs w:val="21"/>
        </w:rPr>
        <w:t>射线图像分辨力测试计</w:t>
      </w:r>
      <w:r>
        <w:rPr>
          <w:rFonts w:hint="default" w:ascii="Times New Roman" w:hAnsi="Times New Roman" w:cs="Times New Roman"/>
          <w:szCs w:val="21"/>
        </w:rPr>
        <w:t>校准规范-征求意见稿》。</w:t>
      </w:r>
    </w:p>
    <w:tbl>
      <w:tblPr>
        <w:tblStyle w:val="41"/>
        <w:tblW w:w="4861" w:type="pct"/>
        <w:tblInd w:w="-5" w:type="dxa"/>
        <w:tblLayout w:type="fixed"/>
        <w:tblCellMar>
          <w:top w:w="0" w:type="dxa"/>
          <w:left w:w="108" w:type="dxa"/>
          <w:bottom w:w="0" w:type="dxa"/>
          <w:right w:w="108" w:type="dxa"/>
        </w:tblCellMar>
      </w:tblPr>
      <w:tblGrid>
        <w:gridCol w:w="1025"/>
        <w:gridCol w:w="1024"/>
        <w:gridCol w:w="4431"/>
        <w:gridCol w:w="1407"/>
        <w:gridCol w:w="1418"/>
      </w:tblGrid>
      <w:tr w14:paraId="56D3F8CC">
        <w:tblPrEx>
          <w:tblCellMar>
            <w:top w:w="0" w:type="dxa"/>
            <w:left w:w="108" w:type="dxa"/>
            <w:bottom w:w="0" w:type="dxa"/>
            <w:right w:w="108" w:type="dxa"/>
          </w:tblCellMar>
        </w:tblPrEx>
        <w:trPr>
          <w:trHeight w:val="567" w:hRule="atLeast"/>
        </w:trPr>
        <w:tc>
          <w:tcPr>
            <w:tcW w:w="550" w:type="pct"/>
            <w:tcBorders>
              <w:top w:val="single" w:color="auto" w:sz="4" w:space="0"/>
              <w:left w:val="single" w:color="auto" w:sz="4" w:space="0"/>
              <w:bottom w:val="single" w:color="auto" w:sz="4" w:space="0"/>
              <w:right w:val="single" w:color="auto" w:sz="4" w:space="0"/>
            </w:tcBorders>
            <w:shd w:val="clear" w:color="auto" w:fill="auto"/>
            <w:vAlign w:val="center"/>
          </w:tcPr>
          <w:p w14:paraId="73D1FB65">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序号</w:t>
            </w:r>
          </w:p>
        </w:tc>
        <w:tc>
          <w:tcPr>
            <w:tcW w:w="550" w:type="pct"/>
            <w:tcBorders>
              <w:top w:val="single" w:color="auto" w:sz="4" w:space="0"/>
              <w:left w:val="single" w:color="auto" w:sz="4" w:space="0"/>
              <w:bottom w:val="single" w:color="auto" w:sz="4" w:space="0"/>
              <w:right w:val="single" w:color="auto" w:sz="4" w:space="0"/>
            </w:tcBorders>
            <w:shd w:val="clear" w:color="auto" w:fill="auto"/>
            <w:vAlign w:val="center"/>
          </w:tcPr>
          <w:p w14:paraId="65721EA0">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标准章条编号</w:t>
            </w:r>
          </w:p>
        </w:tc>
        <w:tc>
          <w:tcPr>
            <w:tcW w:w="2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78C50C">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意见内容</w:t>
            </w:r>
          </w:p>
        </w:tc>
        <w:tc>
          <w:tcPr>
            <w:tcW w:w="7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EE7071">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提出单位</w:t>
            </w:r>
          </w:p>
        </w:tc>
        <w:tc>
          <w:tcPr>
            <w:tcW w:w="7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35B0BB">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处理意见</w:t>
            </w:r>
          </w:p>
        </w:tc>
      </w:tr>
      <w:tr w14:paraId="646BB2E5">
        <w:tblPrEx>
          <w:tblCellMar>
            <w:top w:w="0" w:type="dxa"/>
            <w:left w:w="108" w:type="dxa"/>
            <w:bottom w:w="0" w:type="dxa"/>
            <w:right w:w="108" w:type="dxa"/>
          </w:tblCellMar>
        </w:tblPrEx>
        <w:trPr>
          <w:trHeight w:val="567" w:hRule="atLeast"/>
        </w:trPr>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37CDF3">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1</w:t>
            </w:r>
          </w:p>
        </w:tc>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537ED9">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3</w:t>
            </w:r>
            <w:r>
              <w:rPr>
                <w:rFonts w:hint="default" w:ascii="Times New Roman" w:hAnsi="Times New Roman" w:cs="Times New Roman"/>
                <w:kern w:val="0"/>
                <w:szCs w:val="21"/>
              </w:rPr>
              <w:t>章节</w:t>
            </w:r>
          </w:p>
        </w:tc>
        <w:tc>
          <w:tcPr>
            <w:tcW w:w="2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44B220">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增加被校原理图</w:t>
            </w:r>
          </w:p>
        </w:tc>
        <w:tc>
          <w:tcPr>
            <w:tcW w:w="7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535A00">
            <w:pPr>
              <w:widowControl/>
              <w:jc w:val="center"/>
              <w:rPr>
                <w:rFonts w:hint="default" w:ascii="Times New Roman" w:hAnsi="Times New Roman" w:cs="Times New Roman"/>
                <w:kern w:val="0"/>
                <w:szCs w:val="21"/>
              </w:rPr>
            </w:pPr>
            <w:r>
              <w:rPr>
                <w:rFonts w:hint="default" w:ascii="Times New Roman" w:hAnsi="Times New Roman" w:cs="Times New Roman"/>
                <w:bCs/>
                <w:color w:val="000000" w:themeColor="text1"/>
                <w:szCs w:val="21"/>
                <w14:textFill>
                  <w14:solidFill>
                    <w14:schemeClr w14:val="tx1"/>
                  </w14:solidFill>
                </w14:textFill>
              </w:rPr>
              <w:t>赤峰市产品质量检验检测中心</w:t>
            </w:r>
          </w:p>
        </w:tc>
        <w:tc>
          <w:tcPr>
            <w:tcW w:w="7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41EB25">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采纳</w:t>
            </w:r>
          </w:p>
        </w:tc>
      </w:tr>
      <w:tr w14:paraId="75F33257">
        <w:tblPrEx>
          <w:tblCellMar>
            <w:top w:w="0" w:type="dxa"/>
            <w:left w:w="108" w:type="dxa"/>
            <w:bottom w:w="0" w:type="dxa"/>
            <w:right w:w="108" w:type="dxa"/>
          </w:tblCellMar>
        </w:tblPrEx>
        <w:trPr>
          <w:trHeight w:val="567" w:hRule="atLeast"/>
        </w:trPr>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E2F3C8">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2</w:t>
            </w:r>
          </w:p>
        </w:tc>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4EC6E4">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6章节</w:t>
            </w:r>
          </w:p>
        </w:tc>
        <w:tc>
          <w:tcPr>
            <w:tcW w:w="2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A536D1">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6.2.2、6.2.6、6.2.4中增加图示和详细测量方法</w:t>
            </w:r>
          </w:p>
        </w:tc>
        <w:tc>
          <w:tcPr>
            <w:tcW w:w="7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C2BB88">
            <w:pPr>
              <w:widowControl/>
              <w:jc w:val="center"/>
              <w:rPr>
                <w:rFonts w:hint="default" w:ascii="Times New Roman" w:hAnsi="Times New Roman" w:cs="Times New Roman"/>
                <w:kern w:val="0"/>
                <w:szCs w:val="21"/>
              </w:rPr>
            </w:pPr>
            <w:r>
              <w:rPr>
                <w:rFonts w:hint="default" w:ascii="Times New Roman" w:hAnsi="Times New Roman" w:cs="Times New Roman"/>
                <w:szCs w:val="21"/>
              </w:rPr>
              <w:t>南山铝业</w:t>
            </w:r>
          </w:p>
        </w:tc>
        <w:tc>
          <w:tcPr>
            <w:tcW w:w="7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CE0A9B">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采纳</w:t>
            </w:r>
          </w:p>
        </w:tc>
      </w:tr>
      <w:tr w14:paraId="350BFED6">
        <w:tblPrEx>
          <w:tblCellMar>
            <w:top w:w="0" w:type="dxa"/>
            <w:left w:w="108" w:type="dxa"/>
            <w:bottom w:w="0" w:type="dxa"/>
            <w:right w:w="108" w:type="dxa"/>
          </w:tblCellMar>
        </w:tblPrEx>
        <w:trPr>
          <w:trHeight w:val="567" w:hRule="atLeast"/>
        </w:trPr>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A75377">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3</w:t>
            </w:r>
          </w:p>
        </w:tc>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6BEA28">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附录</w:t>
            </w:r>
            <w:r>
              <w:rPr>
                <w:rFonts w:hint="default" w:ascii="Times New Roman" w:hAnsi="Times New Roman" w:cs="Times New Roman"/>
                <w:kern w:val="0"/>
                <w:szCs w:val="21"/>
              </w:rPr>
              <w:t>C</w:t>
            </w:r>
          </w:p>
        </w:tc>
        <w:tc>
          <w:tcPr>
            <w:tcW w:w="2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668561">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按照格式要求进行修改</w:t>
            </w:r>
          </w:p>
        </w:tc>
        <w:tc>
          <w:tcPr>
            <w:tcW w:w="7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40D0C2">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 xml:space="preserve"> 宝钛集团有限公司</w:t>
            </w:r>
          </w:p>
        </w:tc>
        <w:tc>
          <w:tcPr>
            <w:tcW w:w="7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675D9B">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采纳</w:t>
            </w:r>
          </w:p>
        </w:tc>
      </w:tr>
    </w:tbl>
    <w:p w14:paraId="47D9D4A4">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202</w:t>
      </w:r>
      <w:r>
        <w:rPr>
          <w:rFonts w:hint="default" w:ascii="Times New Roman" w:hAnsi="Times New Roman" w:cs="Times New Roman"/>
          <w:szCs w:val="21"/>
        </w:rPr>
        <w:t>5</w:t>
      </w:r>
      <w:r>
        <w:rPr>
          <w:rFonts w:hint="default" w:ascii="Times New Roman" w:hAnsi="Times New Roman" w:cs="Times New Roman"/>
          <w:szCs w:val="21"/>
        </w:rPr>
        <w:t>年</w:t>
      </w:r>
      <w:r>
        <w:rPr>
          <w:rFonts w:hint="default" w:ascii="Times New Roman" w:hAnsi="Times New Roman" w:cs="Times New Roman"/>
          <w:szCs w:val="21"/>
          <w:lang w:val="en-US" w:eastAsia="zh-CN"/>
        </w:rPr>
        <w:t>9</w:t>
      </w:r>
      <w:r>
        <w:rPr>
          <w:rFonts w:hint="default" w:ascii="Times New Roman" w:hAnsi="Times New Roman" w:cs="Times New Roman"/>
          <w:szCs w:val="21"/>
        </w:rPr>
        <w:t>月</w:t>
      </w:r>
      <w:r>
        <w:rPr>
          <w:rFonts w:hint="default" w:ascii="Times New Roman" w:hAnsi="Times New Roman" w:cs="Times New Roman"/>
          <w:szCs w:val="21"/>
          <w:lang w:val="en-US" w:eastAsia="zh-CN"/>
        </w:rPr>
        <w:t>23</w:t>
      </w:r>
      <w:r>
        <w:rPr>
          <w:rFonts w:hint="default" w:ascii="Times New Roman" w:hAnsi="Times New Roman" w:cs="Times New Roman"/>
          <w:szCs w:val="21"/>
        </w:rPr>
        <w:t>日~</w:t>
      </w:r>
      <w:r>
        <w:rPr>
          <w:rFonts w:hint="default" w:ascii="Times New Roman" w:hAnsi="Times New Roman" w:cs="Times New Roman"/>
          <w:szCs w:val="21"/>
          <w:lang w:val="en-US" w:eastAsia="zh-CN"/>
        </w:rPr>
        <w:t>24</w:t>
      </w:r>
      <w:r>
        <w:rPr>
          <w:rFonts w:hint="default" w:ascii="Times New Roman" w:hAnsi="Times New Roman" w:cs="Times New Roman"/>
          <w:szCs w:val="21"/>
        </w:rPr>
        <w:t>日，编制组成员参加了由有色金属行业计量技术委员会组织的在</w:t>
      </w:r>
      <w:r>
        <w:rPr>
          <w:rFonts w:hint="default" w:ascii="Times New Roman" w:hAnsi="Times New Roman" w:cs="Times New Roman"/>
          <w:szCs w:val="21"/>
          <w:lang w:val="en-US" w:eastAsia="zh-CN"/>
        </w:rPr>
        <w:t>陕西省西安市大秦温泉酒店</w:t>
      </w:r>
      <w:r>
        <w:rPr>
          <w:rFonts w:hint="default" w:ascii="Times New Roman" w:hAnsi="Times New Roman" w:cs="Times New Roman"/>
          <w:szCs w:val="21"/>
        </w:rPr>
        <w:t>召开的有色金属计量技术规范讨论会，与会专家和各单位代表对《</w:t>
      </w:r>
      <w:r>
        <w:rPr>
          <w:rFonts w:hint="default" w:ascii="Times New Roman" w:hAnsi="Times New Roman" w:cs="Times New Roman"/>
          <w:szCs w:val="21"/>
        </w:rPr>
        <w:t>射线图像分辨力测试计校准规范</w:t>
      </w:r>
      <w:r>
        <w:rPr>
          <w:rFonts w:hint="default" w:ascii="Times New Roman" w:hAnsi="Times New Roman" w:cs="Times New Roman"/>
          <w:szCs w:val="21"/>
        </w:rPr>
        <w:t>-</w:t>
      </w:r>
      <w:r>
        <w:rPr>
          <w:rFonts w:hint="default" w:ascii="Times New Roman" w:hAnsi="Times New Roman" w:cs="Times New Roman"/>
          <w:szCs w:val="21"/>
          <w:lang w:val="en-US" w:eastAsia="zh-CN"/>
        </w:rPr>
        <w:t>预审</w:t>
      </w:r>
      <w:r>
        <w:rPr>
          <w:rFonts w:hint="default" w:ascii="Times New Roman" w:hAnsi="Times New Roman" w:cs="Times New Roman"/>
          <w:szCs w:val="21"/>
        </w:rPr>
        <w:t>稿》提出了修改意见，并且在会上确定了项目负责起草单位明确了各项工作时间进度要求，编制组依据讨论会上提出的修改意见，修改讨论稿并形成征求意见稿，具体内容见表1。修改后形成了《</w:t>
      </w:r>
      <w:r>
        <w:rPr>
          <w:rFonts w:hint="default" w:ascii="Times New Roman" w:hAnsi="Times New Roman" w:cs="Times New Roman"/>
          <w:szCs w:val="21"/>
        </w:rPr>
        <w:t>射线图像分辨力测试计</w:t>
      </w:r>
      <w:r>
        <w:rPr>
          <w:rFonts w:hint="default" w:ascii="Times New Roman" w:hAnsi="Times New Roman" w:cs="Times New Roman"/>
          <w:szCs w:val="21"/>
        </w:rPr>
        <w:t>校准规范-</w:t>
      </w:r>
      <w:r>
        <w:rPr>
          <w:rFonts w:hint="default" w:ascii="Times New Roman" w:hAnsi="Times New Roman" w:cs="Times New Roman"/>
          <w:szCs w:val="21"/>
          <w:lang w:val="en-US" w:eastAsia="zh-CN"/>
        </w:rPr>
        <w:t>审定</w:t>
      </w:r>
      <w:r>
        <w:rPr>
          <w:rFonts w:hint="default" w:ascii="Times New Roman" w:hAnsi="Times New Roman" w:cs="Times New Roman"/>
          <w:szCs w:val="21"/>
        </w:rPr>
        <w:t>稿》。</w:t>
      </w:r>
    </w:p>
    <w:tbl>
      <w:tblPr>
        <w:tblStyle w:val="41"/>
        <w:tblW w:w="4861" w:type="pct"/>
        <w:tblInd w:w="-5" w:type="dxa"/>
        <w:tblLayout w:type="fixed"/>
        <w:tblCellMar>
          <w:top w:w="0" w:type="dxa"/>
          <w:left w:w="108" w:type="dxa"/>
          <w:bottom w:w="0" w:type="dxa"/>
          <w:right w:w="108" w:type="dxa"/>
        </w:tblCellMar>
      </w:tblPr>
      <w:tblGrid>
        <w:gridCol w:w="1025"/>
        <w:gridCol w:w="1024"/>
        <w:gridCol w:w="4431"/>
        <w:gridCol w:w="1407"/>
        <w:gridCol w:w="1418"/>
      </w:tblGrid>
      <w:tr w14:paraId="359FBEFD">
        <w:tblPrEx>
          <w:tblCellMar>
            <w:top w:w="0" w:type="dxa"/>
            <w:left w:w="108" w:type="dxa"/>
            <w:bottom w:w="0" w:type="dxa"/>
            <w:right w:w="108" w:type="dxa"/>
          </w:tblCellMar>
        </w:tblPrEx>
        <w:trPr>
          <w:trHeight w:val="567" w:hRule="atLeast"/>
        </w:trPr>
        <w:tc>
          <w:tcPr>
            <w:tcW w:w="550" w:type="pct"/>
            <w:tcBorders>
              <w:top w:val="single" w:color="auto" w:sz="4" w:space="0"/>
              <w:left w:val="single" w:color="auto" w:sz="4" w:space="0"/>
              <w:bottom w:val="single" w:color="auto" w:sz="4" w:space="0"/>
              <w:right w:val="single" w:color="auto" w:sz="4" w:space="0"/>
            </w:tcBorders>
            <w:shd w:val="clear" w:color="auto" w:fill="auto"/>
            <w:vAlign w:val="center"/>
          </w:tcPr>
          <w:p w14:paraId="5C93131B">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序号</w:t>
            </w:r>
          </w:p>
        </w:tc>
        <w:tc>
          <w:tcPr>
            <w:tcW w:w="550" w:type="pct"/>
            <w:tcBorders>
              <w:top w:val="single" w:color="auto" w:sz="4" w:space="0"/>
              <w:left w:val="single" w:color="auto" w:sz="4" w:space="0"/>
              <w:bottom w:val="single" w:color="auto" w:sz="4" w:space="0"/>
              <w:right w:val="single" w:color="auto" w:sz="4" w:space="0"/>
            </w:tcBorders>
            <w:shd w:val="clear" w:color="auto" w:fill="auto"/>
            <w:vAlign w:val="center"/>
          </w:tcPr>
          <w:p w14:paraId="4B23CED6">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标准章条编号</w:t>
            </w:r>
          </w:p>
        </w:tc>
        <w:tc>
          <w:tcPr>
            <w:tcW w:w="2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09D01B">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意见内容</w:t>
            </w:r>
          </w:p>
        </w:tc>
        <w:tc>
          <w:tcPr>
            <w:tcW w:w="7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DE2597">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提出单位</w:t>
            </w:r>
          </w:p>
        </w:tc>
        <w:tc>
          <w:tcPr>
            <w:tcW w:w="7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215710">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处理意见</w:t>
            </w:r>
          </w:p>
        </w:tc>
      </w:tr>
      <w:tr w14:paraId="69E6801A">
        <w:tblPrEx>
          <w:tblCellMar>
            <w:top w:w="0" w:type="dxa"/>
            <w:left w:w="108" w:type="dxa"/>
            <w:bottom w:w="0" w:type="dxa"/>
            <w:right w:w="108" w:type="dxa"/>
          </w:tblCellMar>
        </w:tblPrEx>
        <w:trPr>
          <w:trHeight w:val="567" w:hRule="atLeast"/>
        </w:trPr>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43FAD0">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1</w:t>
            </w:r>
          </w:p>
        </w:tc>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D5744D">
            <w:pPr>
              <w:widowControl/>
              <w:jc w:val="center"/>
              <w:rPr>
                <w:rFonts w:hint="default" w:ascii="Times New Roman" w:hAnsi="Times New Roman" w:cs="Times New Roman"/>
                <w:kern w:val="0"/>
                <w:szCs w:val="21"/>
              </w:rPr>
            </w:pPr>
            <w:r>
              <w:rPr>
                <w:rFonts w:hint="default" w:ascii="Times New Roman" w:hAnsi="Times New Roman" w:cs="Times New Roman"/>
                <w:kern w:val="0"/>
                <w:szCs w:val="21"/>
                <w:lang w:val="en-US" w:eastAsia="zh-CN"/>
              </w:rPr>
              <w:t>5</w:t>
            </w:r>
            <w:r>
              <w:rPr>
                <w:rFonts w:hint="default" w:ascii="Times New Roman" w:hAnsi="Times New Roman" w:cs="Times New Roman"/>
                <w:kern w:val="0"/>
                <w:szCs w:val="21"/>
              </w:rPr>
              <w:t>章节</w:t>
            </w:r>
          </w:p>
        </w:tc>
        <w:tc>
          <w:tcPr>
            <w:tcW w:w="2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D3A9A7">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5.1环境条件分条写要求</w:t>
            </w:r>
          </w:p>
        </w:tc>
        <w:tc>
          <w:tcPr>
            <w:tcW w:w="7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A8035E">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bCs/>
                <w:color w:val="000000" w:themeColor="text1"/>
                <w:szCs w:val="21"/>
                <w:lang w:val="en-US" w:eastAsia="zh-CN"/>
                <w14:textFill>
                  <w14:solidFill>
                    <w14:schemeClr w14:val="tx1"/>
                  </w14:solidFill>
                </w14:textFill>
              </w:rPr>
              <w:t>宝鸡钛业股份有限公司</w:t>
            </w:r>
          </w:p>
        </w:tc>
        <w:tc>
          <w:tcPr>
            <w:tcW w:w="7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93339A">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采纳</w:t>
            </w:r>
          </w:p>
        </w:tc>
      </w:tr>
      <w:tr w14:paraId="5020C10B">
        <w:tblPrEx>
          <w:tblCellMar>
            <w:top w:w="0" w:type="dxa"/>
            <w:left w:w="108" w:type="dxa"/>
            <w:bottom w:w="0" w:type="dxa"/>
            <w:right w:w="108" w:type="dxa"/>
          </w:tblCellMar>
        </w:tblPrEx>
        <w:trPr>
          <w:trHeight w:val="567" w:hRule="atLeast"/>
        </w:trPr>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594FA8">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2</w:t>
            </w:r>
          </w:p>
        </w:tc>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DF94BE">
            <w:pPr>
              <w:widowControl/>
              <w:jc w:val="center"/>
              <w:rPr>
                <w:rFonts w:hint="default" w:ascii="Times New Roman" w:hAnsi="Times New Roman" w:cs="Times New Roman"/>
                <w:kern w:val="0"/>
                <w:szCs w:val="21"/>
              </w:rPr>
            </w:pPr>
            <w:r>
              <w:rPr>
                <w:rFonts w:hint="default" w:ascii="Times New Roman" w:hAnsi="Times New Roman" w:cs="Times New Roman"/>
                <w:kern w:val="0"/>
                <w:szCs w:val="21"/>
                <w:lang w:val="en-US" w:eastAsia="zh-CN"/>
              </w:rPr>
              <w:t>5</w:t>
            </w:r>
            <w:r>
              <w:rPr>
                <w:rFonts w:hint="default" w:ascii="Times New Roman" w:hAnsi="Times New Roman" w:cs="Times New Roman"/>
                <w:kern w:val="0"/>
                <w:szCs w:val="21"/>
              </w:rPr>
              <w:t>章节</w:t>
            </w:r>
          </w:p>
        </w:tc>
        <w:tc>
          <w:tcPr>
            <w:tcW w:w="2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43CE75">
            <w:pPr>
              <w:widowControl/>
              <w:jc w:val="left"/>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5.2</w:t>
            </w:r>
            <w:r>
              <w:rPr>
                <w:rFonts w:hint="default" w:ascii="Times New Roman" w:hAnsi="Times New Roman" w:cs="Times New Roman"/>
                <w:lang w:val="en-US" w:eastAsia="zh-CN"/>
              </w:rPr>
              <w:t>测量标准及其他设备中，影像测量仪技术指标应参考GB/T 23903中6.3条要求“采用准确度优于±0.005mm”。</w:t>
            </w:r>
          </w:p>
        </w:tc>
        <w:tc>
          <w:tcPr>
            <w:tcW w:w="7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49F0FD">
            <w:pPr>
              <w:widowControl/>
              <w:jc w:val="left"/>
              <w:rPr>
                <w:rFonts w:hint="default" w:ascii="Times New Roman" w:hAnsi="Times New Roman" w:eastAsia="宋体" w:cs="Times New Roman"/>
                <w:kern w:val="0"/>
                <w:szCs w:val="21"/>
                <w:lang w:val="en-US" w:eastAsia="zh-CN"/>
              </w:rPr>
            </w:pPr>
            <w:r>
              <w:rPr>
                <w:rFonts w:hint="default" w:ascii="Times New Roman" w:hAnsi="Times New Roman" w:cs="Times New Roman"/>
                <w:szCs w:val="21"/>
                <w:lang w:val="en-US" w:eastAsia="zh-CN"/>
              </w:rPr>
              <w:t>西部超导材料股份有限公司</w:t>
            </w:r>
          </w:p>
        </w:tc>
        <w:tc>
          <w:tcPr>
            <w:tcW w:w="7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707DB9">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采纳</w:t>
            </w:r>
          </w:p>
        </w:tc>
      </w:tr>
      <w:tr w14:paraId="3D2F3729">
        <w:tblPrEx>
          <w:tblCellMar>
            <w:top w:w="0" w:type="dxa"/>
            <w:left w:w="108" w:type="dxa"/>
            <w:bottom w:w="0" w:type="dxa"/>
            <w:right w:w="108" w:type="dxa"/>
          </w:tblCellMar>
        </w:tblPrEx>
        <w:trPr>
          <w:trHeight w:val="567" w:hRule="atLeast"/>
        </w:trPr>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31C3D6">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3</w:t>
            </w:r>
          </w:p>
        </w:tc>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C85A6C">
            <w:pPr>
              <w:widowControl/>
              <w:jc w:val="center"/>
              <w:rPr>
                <w:rFonts w:hint="default" w:ascii="Times New Roman" w:hAnsi="Times New Roman" w:eastAsia="宋体" w:cs="Times New Roman"/>
                <w:kern w:val="0"/>
                <w:szCs w:val="21"/>
                <w:lang w:eastAsia="zh-CN"/>
              </w:rPr>
            </w:pPr>
            <w:r>
              <w:rPr>
                <w:rFonts w:hint="default" w:ascii="Times New Roman" w:hAnsi="Times New Roman" w:cs="Times New Roman"/>
                <w:kern w:val="0"/>
                <w:szCs w:val="21"/>
              </w:rPr>
              <w:t>附录</w:t>
            </w:r>
            <w:r>
              <w:rPr>
                <w:rFonts w:hint="default" w:ascii="Times New Roman" w:hAnsi="Times New Roman" w:cs="Times New Roman"/>
                <w:kern w:val="0"/>
                <w:szCs w:val="21"/>
                <w:lang w:val="en-US" w:eastAsia="zh-CN"/>
              </w:rPr>
              <w:t>A</w:t>
            </w:r>
          </w:p>
        </w:tc>
        <w:tc>
          <w:tcPr>
            <w:tcW w:w="2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95758E">
            <w:pPr>
              <w:widowControl/>
              <w:jc w:val="left"/>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原始记录中应加入线条总数、线对束宽度标称值、线对密度标称值内容。</w:t>
            </w:r>
          </w:p>
        </w:tc>
        <w:tc>
          <w:tcPr>
            <w:tcW w:w="7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3DB92B">
            <w:pPr>
              <w:widowControl/>
              <w:jc w:val="left"/>
              <w:rPr>
                <w:rFonts w:hint="default" w:ascii="Times New Roman" w:hAnsi="Times New Roman" w:cs="Times New Roman"/>
                <w:kern w:val="0"/>
                <w:szCs w:val="21"/>
              </w:rPr>
            </w:pPr>
            <w:r>
              <w:rPr>
                <w:rFonts w:hint="default" w:ascii="Times New Roman" w:hAnsi="Times New Roman" w:cs="Times New Roman"/>
                <w:szCs w:val="21"/>
                <w:lang w:val="en-US" w:eastAsia="zh-CN"/>
              </w:rPr>
              <w:t>西部超导材料股份有限公司</w:t>
            </w:r>
          </w:p>
        </w:tc>
        <w:tc>
          <w:tcPr>
            <w:tcW w:w="7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B2CE3E">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采纳</w:t>
            </w:r>
          </w:p>
        </w:tc>
      </w:tr>
      <w:tr w14:paraId="5AC4291D">
        <w:tblPrEx>
          <w:tblCellMar>
            <w:top w:w="0" w:type="dxa"/>
            <w:left w:w="108" w:type="dxa"/>
            <w:bottom w:w="0" w:type="dxa"/>
            <w:right w:w="108" w:type="dxa"/>
          </w:tblCellMar>
        </w:tblPrEx>
        <w:trPr>
          <w:trHeight w:val="567" w:hRule="atLeast"/>
        </w:trPr>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006B5C">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4</w:t>
            </w:r>
          </w:p>
        </w:tc>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BC7FE1">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附录C</w:t>
            </w:r>
          </w:p>
        </w:tc>
        <w:tc>
          <w:tcPr>
            <w:tcW w:w="2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E9F664">
            <w:pPr>
              <w:widowControl/>
              <w:jc w:val="left"/>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不确定度评定过程细化，加入计算过程公式</w:t>
            </w:r>
          </w:p>
        </w:tc>
        <w:tc>
          <w:tcPr>
            <w:tcW w:w="7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9C74C4">
            <w:pPr>
              <w:widowControl/>
              <w:jc w:val="left"/>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国标（北京）检验认证有限公司</w:t>
            </w:r>
          </w:p>
        </w:tc>
        <w:tc>
          <w:tcPr>
            <w:tcW w:w="7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DBCC27">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采纳</w:t>
            </w:r>
          </w:p>
        </w:tc>
      </w:tr>
    </w:tbl>
    <w:p w14:paraId="4E0B1408">
      <w:pPr>
        <w:pStyle w:val="74"/>
        <w:tabs>
          <w:tab w:val="left" w:pos="426"/>
        </w:tabs>
        <w:spacing w:before="156" w:beforeLines="50" w:after="156" w:afterLines="50"/>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二、</w:t>
      </w:r>
      <w:r>
        <w:rPr>
          <w:rFonts w:hint="default" w:ascii="Times New Roman" w:hAnsi="Times New Roman" w:cs="Times New Roman"/>
          <w:color w:val="000000" w:themeColor="text1"/>
          <w:sz w:val="28"/>
          <w:szCs w:val="28"/>
          <w14:textFill>
            <w14:solidFill>
              <w14:schemeClr w14:val="tx1"/>
            </w14:solidFill>
          </w14:textFill>
        </w:rPr>
        <w:t>编制原则和</w:t>
      </w:r>
      <w:bookmarkEnd w:id="14"/>
      <w:r>
        <w:rPr>
          <w:rFonts w:hint="default" w:ascii="Times New Roman" w:hAnsi="Times New Roman" w:cs="Times New Roman"/>
          <w:color w:val="000000" w:themeColor="text1"/>
          <w:sz w:val="28"/>
          <w:szCs w:val="28"/>
          <w14:textFill>
            <w14:solidFill>
              <w14:schemeClr w14:val="tx1"/>
            </w14:solidFill>
          </w14:textFill>
        </w:rPr>
        <w:t>依据</w:t>
      </w:r>
    </w:p>
    <w:p w14:paraId="42CE657D">
      <w:pPr>
        <w:pStyle w:val="79"/>
        <w:wordWrap/>
        <w:spacing w:beforeLines="0" w:after="156" w:line="360" w:lineRule="auto"/>
        <w:rPr>
          <w:rFonts w:hint="default" w:ascii="Times New Roman" w:hAnsi="Times New Roman" w:cs="Times New Roman"/>
          <w:color w:val="000000" w:themeColor="text1"/>
          <w:sz w:val="24"/>
          <w:szCs w:val="24"/>
          <w14:textFill>
            <w14:solidFill>
              <w14:schemeClr w14:val="tx1"/>
            </w14:solidFill>
          </w14:textFill>
        </w:rPr>
      </w:pPr>
      <w:bookmarkStart w:id="15" w:name="_Toc464728925"/>
      <w:r>
        <w:rPr>
          <w:rFonts w:hint="default" w:ascii="Times New Roman" w:hAnsi="Times New Roman" w:cs="Times New Roman"/>
          <w:color w:val="000000" w:themeColor="text1"/>
          <w:sz w:val="24"/>
          <w:szCs w:val="24"/>
          <w14:textFill>
            <w14:solidFill>
              <w14:schemeClr w14:val="tx1"/>
            </w14:solidFill>
          </w14:textFill>
        </w:rPr>
        <w:t>编制原则</w:t>
      </w:r>
      <w:bookmarkEnd w:id="15"/>
    </w:p>
    <w:p w14:paraId="19D4292C">
      <w:pPr>
        <w:pStyle w:val="58"/>
        <w:spacing w:line="324" w:lineRule="auto"/>
        <w:ind w:firstLineChars="0"/>
        <w:rPr>
          <w:rFonts w:hint="default" w:ascii="Times New Roman" w:hAnsi="Times New Roman" w:cs="Times New Roman"/>
          <w:color w:val="000000" w:themeColor="text1"/>
          <w:kern w:val="2"/>
          <w:szCs w:val="21"/>
          <w14:textFill>
            <w14:solidFill>
              <w14:schemeClr w14:val="tx1"/>
            </w14:solidFill>
          </w14:textFill>
        </w:rPr>
      </w:pPr>
      <w:bookmarkStart w:id="16" w:name="_Toc464728926"/>
      <w:r>
        <w:rPr>
          <w:rFonts w:hint="default" w:ascii="Times New Roman" w:hAnsi="Times New Roman" w:cs="Times New Roman"/>
          <w:color w:val="000000" w:themeColor="text1"/>
          <w:kern w:val="2"/>
          <w:szCs w:val="21"/>
          <w14:textFill>
            <w14:solidFill>
              <w14:schemeClr w14:val="tx1"/>
            </w14:solidFill>
          </w14:textFill>
        </w:rPr>
        <w:t>本规范是以JJF 1071《国家计量校准规范编写规则》、JJF 1001《通用计量术语及定义》和JJF 1059.1《测量不确定度评定与表示》为基础性系列规范进行编写。</w:t>
      </w:r>
    </w:p>
    <w:p w14:paraId="6D901949">
      <w:pPr>
        <w:spacing w:line="324"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本规范引用了GBT 23903-2009 射线图像分辨力测试计相关内容。</w:t>
      </w:r>
    </w:p>
    <w:p w14:paraId="04571219">
      <w:pPr>
        <w:pStyle w:val="79"/>
        <w:spacing w:before="312" w:beforeLines="100" w:after="312" w:afterLines="1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确定主要内</w:t>
      </w:r>
      <w:bookmarkEnd w:id="16"/>
      <w:r>
        <w:rPr>
          <w:rFonts w:hint="default" w:ascii="Times New Roman" w:hAnsi="Times New Roman" w:cs="Times New Roman"/>
          <w:color w:val="000000" w:themeColor="text1"/>
          <w:sz w:val="24"/>
          <w:szCs w:val="24"/>
          <w14:textFill>
            <w14:solidFill>
              <w14:schemeClr w14:val="tx1"/>
            </w14:solidFill>
          </w14:textFill>
        </w:rPr>
        <w:t>容</w:t>
      </w:r>
    </w:p>
    <w:p w14:paraId="0B6CA3C2">
      <w:pPr>
        <w:pStyle w:val="61"/>
        <w:ind w:firstLine="0" w:firstLineChars="0"/>
        <w:rPr>
          <w:rFonts w:hint="default" w:ascii="Times New Roman" w:hAnsi="Times New Roman" w:eastAsia="黑体" w:cs="Times New Roman"/>
          <w:color w:val="000000" w:themeColor="text1"/>
          <w:sz w:val="21"/>
          <w:szCs w:val="21"/>
          <w14:textFill>
            <w14:solidFill>
              <w14:schemeClr w14:val="tx1"/>
            </w14:solidFill>
          </w14:textFill>
        </w:rPr>
      </w:pPr>
      <w:bookmarkStart w:id="17" w:name="_Toc23837_WPSOffice_Level1"/>
      <w:bookmarkStart w:id="18" w:name="_Toc500258929"/>
      <w:bookmarkStart w:id="19" w:name="_Toc193860208"/>
      <w:bookmarkStart w:id="20" w:name="_Toc193860027"/>
      <w:bookmarkStart w:id="21" w:name="_Toc193860177"/>
      <w:bookmarkStart w:id="22" w:name="_Toc464728964"/>
      <w:r>
        <w:rPr>
          <w:rFonts w:hint="default" w:ascii="Times New Roman" w:hAnsi="Times New Roman" w:eastAsia="黑体" w:cs="Times New Roman"/>
          <w:color w:val="000000" w:themeColor="text1"/>
          <w:sz w:val="21"/>
          <w:szCs w:val="21"/>
          <w14:textFill>
            <w14:solidFill>
              <w14:schemeClr w14:val="tx1"/>
            </w14:solidFill>
          </w14:textFill>
        </w:rPr>
        <w:t>1 范围</w:t>
      </w:r>
      <w:bookmarkEnd w:id="17"/>
      <w:bookmarkEnd w:id="18"/>
      <w:bookmarkEnd w:id="19"/>
      <w:bookmarkEnd w:id="20"/>
      <w:bookmarkEnd w:id="21"/>
    </w:p>
    <w:p w14:paraId="7D830594">
      <w:pPr>
        <w:pStyle w:val="58"/>
        <w:spacing w:line="324" w:lineRule="auto"/>
        <w:ind w:firstLineChars="0"/>
        <w:rPr>
          <w:rFonts w:hint="default" w:ascii="Times New Roman" w:hAnsi="Times New Roman" w:cs="Times New Roman"/>
          <w:color w:val="000000" w:themeColor="text1"/>
          <w:kern w:val="2"/>
          <w:szCs w:val="21"/>
          <w14:textFill>
            <w14:solidFill>
              <w14:schemeClr w14:val="tx1"/>
            </w14:solidFill>
          </w14:textFill>
        </w:rPr>
      </w:pPr>
      <w:bookmarkStart w:id="23" w:name="_Toc193860028"/>
      <w:bookmarkStart w:id="24" w:name="_Toc193860209"/>
      <w:bookmarkStart w:id="25" w:name="_Toc193860178"/>
      <w:bookmarkStart w:id="26" w:name="_Toc7848_WPSOffice_Level1"/>
      <w:bookmarkStart w:id="27" w:name="_Toc500258930"/>
      <w:r>
        <w:rPr>
          <w:rFonts w:hint="default" w:ascii="Times New Roman" w:hAnsi="Times New Roman" w:cs="Times New Roman"/>
          <w:color w:val="000000" w:themeColor="text1"/>
          <w:kern w:val="2"/>
          <w:szCs w:val="21"/>
          <w14:textFill>
            <w14:solidFill>
              <w14:schemeClr w14:val="tx1"/>
            </w14:solidFill>
          </w14:textFill>
        </w:rPr>
        <w:t>本规范规定了用于射线图像分辨力的计量特性、校准条件和校准方法。本规范适用于线对束平行排列的、线对密度范围为（0.1~5.0）LP/mm射线图像分辨力测试计的校准。其他线对密度的射线图像分辨力测试计也可参照使用。</w:t>
      </w:r>
    </w:p>
    <w:p w14:paraId="4F8DA2A3">
      <w:pPr>
        <w:pStyle w:val="61"/>
        <w:ind w:firstLine="0" w:firstLineChars="0"/>
        <w:rPr>
          <w:rFonts w:hint="default" w:ascii="Times New Roman" w:hAnsi="Times New Roman" w:eastAsia="黑体" w:cs="Times New Roman"/>
          <w:color w:val="000000" w:themeColor="text1"/>
          <w:sz w:val="21"/>
          <w:szCs w:val="21"/>
          <w14:textFill>
            <w14:solidFill>
              <w14:schemeClr w14:val="tx1"/>
            </w14:solidFill>
          </w14:textFill>
        </w:rPr>
      </w:pPr>
      <w:r>
        <w:rPr>
          <w:rFonts w:hint="default" w:ascii="Times New Roman" w:hAnsi="Times New Roman" w:eastAsia="黑体" w:cs="Times New Roman"/>
          <w:color w:val="000000" w:themeColor="text1"/>
          <w:sz w:val="21"/>
          <w:szCs w:val="21"/>
          <w14:textFill>
            <w14:solidFill>
              <w14:schemeClr w14:val="tx1"/>
            </w14:solidFill>
          </w14:textFill>
        </w:rPr>
        <w:t>2 引用文</w:t>
      </w:r>
      <w:bookmarkEnd w:id="23"/>
      <w:bookmarkEnd w:id="24"/>
      <w:bookmarkEnd w:id="25"/>
      <w:r>
        <w:rPr>
          <w:rFonts w:hint="default" w:ascii="Times New Roman" w:hAnsi="Times New Roman" w:eastAsia="黑体" w:cs="Times New Roman"/>
          <w:color w:val="000000" w:themeColor="text1"/>
          <w:sz w:val="21"/>
          <w:szCs w:val="21"/>
          <w14:textFill>
            <w14:solidFill>
              <w14:schemeClr w14:val="tx1"/>
            </w14:solidFill>
          </w14:textFill>
        </w:rPr>
        <w:t>件</w:t>
      </w:r>
      <w:bookmarkEnd w:id="26"/>
      <w:bookmarkEnd w:id="27"/>
    </w:p>
    <w:p w14:paraId="75DAA4AC">
      <w:pPr>
        <w:spacing w:line="360" w:lineRule="auto"/>
        <w:ind w:firstLine="420" w:firstLineChars="200"/>
        <w:rPr>
          <w:rFonts w:hint="default" w:ascii="Times New Roman" w:hAnsi="Times New Roman" w:eastAsia="宋体" w:cs="Times New Roman"/>
          <w:color w:val="000000" w:themeColor="text1"/>
          <w:szCs w:val="21"/>
          <w:lang w:val="en-US" w:eastAsia="zh-CN"/>
          <w14:textFill>
            <w14:solidFill>
              <w14:schemeClr w14:val="tx1"/>
            </w14:solidFill>
          </w14:textFill>
        </w:rPr>
      </w:pPr>
      <w:bookmarkStart w:id="28" w:name="_Toc193619055"/>
      <w:bookmarkStart w:id="29" w:name="_Toc193619097"/>
      <w:bookmarkStart w:id="30" w:name="_Toc193860211"/>
      <w:bookmarkStart w:id="31" w:name="_Toc13054_WPSOffice_Level1"/>
      <w:bookmarkStart w:id="32" w:name="_Toc193618952"/>
      <w:bookmarkStart w:id="33" w:name="_Toc193860180"/>
      <w:bookmarkStart w:id="34" w:name="_Toc500258937"/>
      <w:bookmarkStart w:id="35" w:name="_Toc193860030"/>
      <w:r>
        <w:rPr>
          <w:rFonts w:hint="default" w:ascii="Times New Roman" w:hAnsi="Times New Roman" w:cs="Times New Roman"/>
          <w:color w:val="000000" w:themeColor="text1"/>
          <w:szCs w:val="21"/>
          <w:lang w:val="en-US" w:eastAsia="zh-CN"/>
          <w14:textFill>
            <w14:solidFill>
              <w14:schemeClr w14:val="tx1"/>
            </w14:solidFill>
          </w14:textFill>
        </w:rPr>
        <w:t>本规范无引用文件。</w:t>
      </w:r>
    </w:p>
    <w:p w14:paraId="08F55EEE">
      <w:pPr>
        <w:pStyle w:val="61"/>
        <w:ind w:firstLine="0" w:firstLineChars="0"/>
        <w:rPr>
          <w:rFonts w:hint="default" w:ascii="Times New Roman" w:hAnsi="Times New Roman" w:eastAsia="黑体" w:cs="Times New Roman"/>
          <w:color w:val="000000" w:themeColor="text1"/>
          <w:sz w:val="21"/>
          <w:szCs w:val="21"/>
          <w14:textFill>
            <w14:solidFill>
              <w14:schemeClr w14:val="tx1"/>
            </w14:solidFill>
          </w14:textFill>
        </w:rPr>
      </w:pPr>
      <w:r>
        <w:rPr>
          <w:rFonts w:hint="default" w:ascii="Times New Roman" w:hAnsi="Times New Roman" w:eastAsia="黑体" w:cs="Times New Roman"/>
          <w:color w:val="000000" w:themeColor="text1"/>
          <w:sz w:val="21"/>
          <w:szCs w:val="21"/>
          <w14:textFill>
            <w14:solidFill>
              <w14:schemeClr w14:val="tx1"/>
            </w14:solidFill>
          </w14:textFill>
        </w:rPr>
        <w:t>3 概述</w:t>
      </w:r>
      <w:bookmarkEnd w:id="28"/>
      <w:bookmarkEnd w:id="29"/>
      <w:bookmarkEnd w:id="30"/>
      <w:bookmarkEnd w:id="31"/>
      <w:bookmarkEnd w:id="32"/>
      <w:bookmarkEnd w:id="33"/>
      <w:bookmarkEnd w:id="34"/>
      <w:bookmarkEnd w:id="35"/>
    </w:p>
    <w:p w14:paraId="439AEE4C">
      <w:pPr>
        <w:pStyle w:val="58"/>
        <w:spacing w:line="360" w:lineRule="auto"/>
        <w:ind w:firstLine="42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射线图像分辨力测试计主要用于客观测量射线检测系统、射线检测图像及射线照相底片的分辨力，是考核成像系统质量、图像成像质量及照相底片质量的重要器具，也是射线检测设备和检测图像质量验收的依据。它能客观描述和直观反映图像的分辨力性能指标，是成像检测质量控制系统的关键工具，可广泛应用于射线常规检测、射线数字成像检测、工业 CT、医用 CT、医用 X 光诊断设备等领域的图像质量检测。具体可测定 X 射线成像系统的可视分辨力、增感屏-胶片系统的分辨力、图像传输系统的分辨力，还能用于测试成像系统的调制传递函数（MTF），其结构形式和线对数列可根据实际使用需求选择。</w:t>
      </w:r>
    </w:p>
    <w:p w14:paraId="4398F273">
      <w:pPr>
        <w:pStyle w:val="58"/>
        <w:spacing w:line="324" w:lineRule="auto"/>
        <w:ind w:firstLineChars="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本标准所适用的分辨力测试计型式按线对束排列可分为</w:t>
      </w:r>
      <w:r>
        <w:rPr>
          <w:rFonts w:hint="default" w:ascii="Times New Roman" w:hAnsi="Times New Roman" w:cs="Times New Roman"/>
          <w:color w:val="000000" w:themeColor="text1"/>
          <w:szCs w:val="21"/>
          <w14:textFill>
            <w14:solidFill>
              <w14:schemeClr w14:val="tx1"/>
            </w14:solidFill>
          </w14:textFill>
        </w:rPr>
        <w:t>：平行排列型式、非平行排列型式和其他结构型式。</w:t>
      </w:r>
    </w:p>
    <w:p w14:paraId="55848859">
      <w:pPr>
        <w:pStyle w:val="58"/>
        <w:spacing w:line="324" w:lineRule="auto"/>
        <w:ind w:firstLine="0" w:firstLineChars="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3.1 平行排列型式</w:t>
      </w:r>
    </w:p>
    <w:p w14:paraId="01404825">
      <w:pPr>
        <w:pStyle w:val="58"/>
        <w:spacing w:line="324" w:lineRule="auto"/>
        <w:ind w:firstLine="0" w:firstLineChars="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 xml:space="preserve">3.1.1 </w:t>
      </w:r>
      <w:r>
        <w:rPr>
          <w:rFonts w:hint="default" w:ascii="Times New Roman" w:hAnsi="Times New Roman" w:cs="Times New Roman"/>
          <w:color w:val="000000" w:themeColor="text1"/>
          <w:szCs w:val="21"/>
          <w14:textFill>
            <w14:solidFill>
              <w14:schemeClr w14:val="tx1"/>
            </w14:solidFill>
          </w14:textFill>
        </w:rPr>
        <w:t>等差数列排列型式</w:t>
      </w:r>
    </w:p>
    <w:p w14:paraId="6F4DEB5C">
      <w:pPr>
        <w:pStyle w:val="58"/>
        <w:spacing w:line="324" w:lineRule="auto"/>
        <w:ind w:firstLine="42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rPr>
        <w:drawing>
          <wp:inline distT="0" distB="0" distL="0" distR="0">
            <wp:extent cx="2724150" cy="1672590"/>
            <wp:effectExtent l="0" t="0" r="6350" b="3810"/>
            <wp:docPr id="133051995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519955" name="图片 1"/>
                    <pic:cNvPicPr>
                      <a:picLocks noChangeAspect="1"/>
                    </pic:cNvPicPr>
                  </pic:nvPicPr>
                  <pic:blipFill>
                    <a:blip r:embed="rId11"/>
                    <a:stretch>
                      <a:fillRect/>
                    </a:stretch>
                  </pic:blipFill>
                  <pic:spPr>
                    <a:xfrm>
                      <a:off x="0" y="0"/>
                      <a:ext cx="2739044" cy="1682074"/>
                    </a:xfrm>
                    <a:prstGeom prst="rect">
                      <a:avLst/>
                    </a:prstGeom>
                  </pic:spPr>
                </pic:pic>
              </a:graphicData>
            </a:graphic>
          </wp:inline>
        </w:drawing>
      </w:r>
    </w:p>
    <w:p w14:paraId="2594AA4E">
      <w:pPr>
        <w:pStyle w:val="58"/>
        <w:spacing w:line="324" w:lineRule="auto"/>
        <w:ind w:firstLine="42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图1 （1.6~2.8）LP/mm等差数列型式分辨力测试计（单位为mm）</w:t>
      </w:r>
    </w:p>
    <w:p w14:paraId="4ABBBADC">
      <w:pPr>
        <w:pStyle w:val="58"/>
        <w:spacing w:line="324" w:lineRule="auto"/>
        <w:ind w:firstLine="0" w:firstLineChars="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 xml:space="preserve">3.1.2 </w:t>
      </w:r>
      <w:r>
        <w:rPr>
          <w:rFonts w:hint="default" w:ascii="Times New Roman" w:hAnsi="Times New Roman" w:cs="Times New Roman"/>
          <w:color w:val="000000" w:themeColor="text1"/>
          <w:szCs w:val="21"/>
          <w14:textFill>
            <w14:solidFill>
              <w14:schemeClr w14:val="tx1"/>
            </w14:solidFill>
          </w14:textFill>
        </w:rPr>
        <w:t>等比数列排列型式</w:t>
      </w:r>
    </w:p>
    <w:p w14:paraId="7E445953">
      <w:pPr>
        <w:pStyle w:val="58"/>
        <w:spacing w:line="324" w:lineRule="auto"/>
        <w:ind w:firstLine="42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rPr>
        <w:drawing>
          <wp:inline distT="0" distB="0" distL="0" distR="0">
            <wp:extent cx="3470910" cy="1435735"/>
            <wp:effectExtent l="0" t="0" r="8890" b="12065"/>
            <wp:docPr id="2025336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33605" name="图片 1"/>
                    <pic:cNvPicPr>
                      <a:picLocks noChangeAspect="1"/>
                    </pic:cNvPicPr>
                  </pic:nvPicPr>
                  <pic:blipFill>
                    <a:blip r:embed="rId12"/>
                    <a:stretch>
                      <a:fillRect/>
                    </a:stretch>
                  </pic:blipFill>
                  <pic:spPr>
                    <a:xfrm>
                      <a:off x="0" y="0"/>
                      <a:ext cx="3482599" cy="1440691"/>
                    </a:xfrm>
                    <a:prstGeom prst="rect">
                      <a:avLst/>
                    </a:prstGeom>
                  </pic:spPr>
                </pic:pic>
              </a:graphicData>
            </a:graphic>
          </wp:inline>
        </w:drawing>
      </w:r>
    </w:p>
    <w:p w14:paraId="600FB77A">
      <w:pPr>
        <w:pStyle w:val="58"/>
        <w:spacing w:line="324" w:lineRule="auto"/>
        <w:ind w:firstLine="42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图2 （1.0~5.0）LP/mm等比数列型式分辨力测试计（单位为mm）</w:t>
      </w:r>
    </w:p>
    <w:p w14:paraId="0F61717A">
      <w:pPr>
        <w:pStyle w:val="58"/>
        <w:spacing w:line="324" w:lineRule="auto"/>
        <w:ind w:firstLine="42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rPr>
        <w:drawing>
          <wp:inline distT="0" distB="0" distL="0" distR="0">
            <wp:extent cx="3364230" cy="1779270"/>
            <wp:effectExtent l="0" t="0" r="1270" b="11430"/>
            <wp:docPr id="1045755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7559" name="图片 1"/>
                    <pic:cNvPicPr>
                      <a:picLocks noChangeAspect="1"/>
                    </pic:cNvPicPr>
                  </pic:nvPicPr>
                  <pic:blipFill>
                    <a:blip r:embed="rId13"/>
                    <a:stretch>
                      <a:fillRect/>
                    </a:stretch>
                  </pic:blipFill>
                  <pic:spPr>
                    <a:xfrm>
                      <a:off x="0" y="0"/>
                      <a:ext cx="3376956" cy="1786123"/>
                    </a:xfrm>
                    <a:prstGeom prst="rect">
                      <a:avLst/>
                    </a:prstGeom>
                  </pic:spPr>
                </pic:pic>
              </a:graphicData>
            </a:graphic>
          </wp:inline>
        </w:drawing>
      </w:r>
    </w:p>
    <w:p w14:paraId="63CC816F">
      <w:pPr>
        <w:pStyle w:val="58"/>
        <w:spacing w:line="324" w:lineRule="auto"/>
        <w:ind w:firstLine="42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图3 （2.0~10.0）LP/mm等比数列型式分辨力测试计（单位为mm）</w:t>
      </w:r>
    </w:p>
    <w:p w14:paraId="1543CE0E">
      <w:pPr>
        <w:pStyle w:val="58"/>
        <w:spacing w:line="324" w:lineRule="auto"/>
        <w:ind w:firstLine="0" w:firstLineChars="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3.2 非平行排列型式</w:t>
      </w:r>
    </w:p>
    <w:p w14:paraId="4272809B">
      <w:pPr>
        <w:pStyle w:val="58"/>
        <w:spacing w:line="324" w:lineRule="auto"/>
        <w:ind w:firstLine="0" w:firstLineChars="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 xml:space="preserve">3.2.1 </w:t>
      </w:r>
      <w:r>
        <w:rPr>
          <w:rFonts w:hint="default" w:ascii="Times New Roman" w:hAnsi="Times New Roman" w:cs="Times New Roman"/>
          <w:color w:val="000000" w:themeColor="text1"/>
          <w:szCs w:val="21"/>
          <w14:textFill>
            <w14:solidFill>
              <w14:schemeClr w14:val="tx1"/>
            </w14:solidFill>
          </w14:textFill>
        </w:rPr>
        <w:t>扇形结构型式</w:t>
      </w:r>
    </w:p>
    <w:p w14:paraId="2B8A0124">
      <w:pPr>
        <w:pStyle w:val="58"/>
        <w:spacing w:line="324"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rPr>
        <w:drawing>
          <wp:inline distT="0" distB="0" distL="0" distR="0">
            <wp:extent cx="3728720" cy="1717040"/>
            <wp:effectExtent l="0" t="0" r="5080" b="10160"/>
            <wp:docPr id="207181595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815952" name="图片 1"/>
                    <pic:cNvPicPr>
                      <a:picLocks noChangeAspect="1"/>
                    </pic:cNvPicPr>
                  </pic:nvPicPr>
                  <pic:blipFill>
                    <a:blip r:embed="rId14"/>
                    <a:stretch>
                      <a:fillRect/>
                    </a:stretch>
                  </pic:blipFill>
                  <pic:spPr>
                    <a:xfrm>
                      <a:off x="0" y="0"/>
                      <a:ext cx="3742748" cy="1723944"/>
                    </a:xfrm>
                    <a:prstGeom prst="rect">
                      <a:avLst/>
                    </a:prstGeom>
                  </pic:spPr>
                </pic:pic>
              </a:graphicData>
            </a:graphic>
          </wp:inline>
        </w:drawing>
      </w:r>
    </w:p>
    <w:p w14:paraId="6D78D09F">
      <w:pPr>
        <w:pStyle w:val="58"/>
        <w:spacing w:line="324" w:lineRule="auto"/>
        <w:ind w:firstLine="42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图4 （1.0~10.0）LP/mm扇形结构分辨力测试计（单位为mm）</w:t>
      </w:r>
    </w:p>
    <w:p w14:paraId="4C2F3FCB">
      <w:pPr>
        <w:pStyle w:val="58"/>
        <w:spacing w:line="324" w:lineRule="auto"/>
        <w:ind w:firstLine="0" w:firstLineChars="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 xml:space="preserve">3.2.2 </w:t>
      </w:r>
      <w:r>
        <w:rPr>
          <w:rFonts w:hint="default" w:ascii="Times New Roman" w:hAnsi="Times New Roman" w:cs="Times New Roman"/>
          <w:color w:val="000000" w:themeColor="text1"/>
          <w:szCs w:val="21"/>
          <w14:textFill>
            <w14:solidFill>
              <w14:schemeClr w14:val="tx1"/>
            </w14:solidFill>
          </w14:textFill>
        </w:rPr>
        <w:t>星形结构型式</w:t>
      </w:r>
    </w:p>
    <w:p w14:paraId="102103BE">
      <w:pPr>
        <w:pStyle w:val="58"/>
        <w:spacing w:line="324"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rPr>
        <w:drawing>
          <wp:inline distT="0" distB="0" distL="0" distR="0">
            <wp:extent cx="1859280" cy="1651635"/>
            <wp:effectExtent l="0" t="0" r="7620" b="12065"/>
            <wp:docPr id="16603467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34672" name="图片 1"/>
                    <pic:cNvPicPr>
                      <a:picLocks noChangeAspect="1"/>
                    </pic:cNvPicPr>
                  </pic:nvPicPr>
                  <pic:blipFill>
                    <a:blip r:embed="rId15"/>
                    <a:stretch>
                      <a:fillRect/>
                    </a:stretch>
                  </pic:blipFill>
                  <pic:spPr>
                    <a:xfrm>
                      <a:off x="0" y="0"/>
                      <a:ext cx="1863551" cy="1655184"/>
                    </a:xfrm>
                    <a:prstGeom prst="rect">
                      <a:avLst/>
                    </a:prstGeom>
                  </pic:spPr>
                </pic:pic>
              </a:graphicData>
            </a:graphic>
          </wp:inline>
        </w:drawing>
      </w:r>
    </w:p>
    <w:p w14:paraId="0739D889">
      <w:pPr>
        <w:pStyle w:val="58"/>
        <w:spacing w:line="324"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图5 星形结构分辨力测试计（单位为mm）</w:t>
      </w:r>
    </w:p>
    <w:p w14:paraId="63ABDCC1">
      <w:pPr>
        <w:pStyle w:val="61"/>
        <w:ind w:firstLine="0" w:firstLineChars="0"/>
        <w:rPr>
          <w:rFonts w:hint="default" w:ascii="Times New Roman" w:hAnsi="Times New Roman" w:eastAsia="黑体" w:cs="Times New Roman"/>
          <w:color w:val="000000" w:themeColor="text1"/>
          <w:sz w:val="21"/>
          <w:szCs w:val="21"/>
          <w14:textFill>
            <w14:solidFill>
              <w14:schemeClr w14:val="tx1"/>
            </w14:solidFill>
          </w14:textFill>
        </w:rPr>
      </w:pPr>
      <w:bookmarkStart w:id="36" w:name="_Toc193619056"/>
      <w:bookmarkStart w:id="37" w:name="_Toc193860031"/>
      <w:bookmarkStart w:id="38" w:name="_Toc193619098"/>
      <w:bookmarkStart w:id="39" w:name="_Toc500258938"/>
      <w:bookmarkStart w:id="40" w:name="_Toc193618953"/>
      <w:bookmarkStart w:id="41" w:name="_Toc193860212"/>
      <w:bookmarkStart w:id="42" w:name="_Toc193860181"/>
      <w:bookmarkStart w:id="43" w:name="_Toc19851_WPSOffice_Level1"/>
      <w:r>
        <w:rPr>
          <w:rFonts w:hint="default" w:ascii="Times New Roman" w:hAnsi="Times New Roman" w:eastAsia="黑体" w:cs="Times New Roman"/>
          <w:color w:val="000000" w:themeColor="text1"/>
          <w:sz w:val="21"/>
          <w:szCs w:val="21"/>
          <w14:textFill>
            <w14:solidFill>
              <w14:schemeClr w14:val="tx1"/>
            </w14:solidFill>
          </w14:textFill>
        </w:rPr>
        <w:t>4 计量特性</w:t>
      </w:r>
      <w:bookmarkEnd w:id="36"/>
      <w:bookmarkEnd w:id="37"/>
      <w:bookmarkEnd w:id="38"/>
      <w:bookmarkEnd w:id="39"/>
      <w:bookmarkEnd w:id="40"/>
      <w:bookmarkEnd w:id="41"/>
      <w:bookmarkEnd w:id="42"/>
      <w:bookmarkEnd w:id="43"/>
    </w:p>
    <w:p w14:paraId="17983DE6">
      <w:pPr>
        <w:pStyle w:val="61"/>
        <w:ind w:firstLine="0" w:firstLineChars="0"/>
        <w:rPr>
          <w:rFonts w:hint="default" w:ascii="Times New Roman" w:hAnsi="Times New Roman" w:cs="Times New Roman"/>
          <w:color w:val="000000" w:themeColor="text1"/>
          <w:sz w:val="21"/>
          <w:szCs w:val="21"/>
          <w14:textFill>
            <w14:solidFill>
              <w14:schemeClr w14:val="tx1"/>
            </w14:solidFill>
          </w14:textFill>
        </w:rPr>
      </w:pPr>
      <w:bookmarkStart w:id="44" w:name="_Toc25829_WPSOffice_Level1"/>
      <w:r>
        <w:rPr>
          <w:rFonts w:hint="default" w:ascii="Times New Roman" w:hAnsi="Times New Roman" w:cs="Times New Roman"/>
          <w:color w:val="000000" w:themeColor="text1"/>
          <w:sz w:val="21"/>
          <w:szCs w:val="21"/>
          <w14:textFill>
            <w14:solidFill>
              <w14:schemeClr w14:val="tx1"/>
            </w14:solidFill>
          </w14:textFill>
        </w:rPr>
        <w:t>4.1相邻线对束的间距</w:t>
      </w:r>
    </w:p>
    <w:p w14:paraId="2776E0F6">
      <w:pPr>
        <w:pStyle w:val="61"/>
        <w:ind w:firstLine="42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参照GB/T 23903-2009中第5.3.2条，</w:t>
      </w:r>
      <w:r>
        <w:rPr>
          <w:rFonts w:hint="default" w:ascii="Times New Roman" w:hAnsi="Times New Roman" w:cs="Times New Roman"/>
          <w:color w:val="000000" w:themeColor="text1"/>
          <w:sz w:val="21"/>
          <w:szCs w:val="21"/>
          <w14:textFill>
            <w14:solidFill>
              <w14:schemeClr w14:val="tx1"/>
            </w14:solidFill>
          </w14:textFill>
        </w:rPr>
        <w:t>相邻线对束的间距不小于2.5mm。为明确相邻线对束间距的合理指标，开展专项验证实验。选取</w:t>
      </w:r>
      <w:r>
        <w:rPr>
          <w:rFonts w:hint="default" w:ascii="Times New Roman" w:hAnsi="Times New Roman" w:cs="Times New Roman"/>
          <w:color w:val="000000" w:themeColor="text1"/>
          <w:sz w:val="21"/>
          <w:szCs w:val="21"/>
          <w14:textFill>
            <w14:solidFill>
              <w14:schemeClr w14:val="tx1"/>
            </w14:solidFill>
          </w14:textFill>
        </w:rPr>
        <w:t>5个</w:t>
      </w:r>
      <w:r>
        <w:rPr>
          <w:rFonts w:hint="default" w:ascii="Times New Roman" w:hAnsi="Times New Roman" w:cs="Times New Roman"/>
          <w:color w:val="000000" w:themeColor="text1"/>
          <w:sz w:val="21"/>
          <w:szCs w:val="21"/>
          <w14:textFill>
            <w14:solidFill>
              <w14:schemeClr w14:val="tx1"/>
            </w14:solidFill>
          </w14:textFill>
        </w:rPr>
        <w:t>不同批次、不同生产厂家的射线图像分辨力测试计，使用经校准的高精度影像测量仪，对相邻线对束间距进行重复测量（每台测试计测量</w:t>
      </w:r>
      <w:r>
        <w:rPr>
          <w:rFonts w:hint="default" w:ascii="Times New Roman" w:hAnsi="Times New Roman" w:cs="Times New Roman"/>
          <w:color w:val="000000" w:themeColor="text1"/>
          <w:sz w:val="21"/>
          <w:szCs w:val="21"/>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次）。</w:t>
      </w:r>
    </w:p>
    <w:p w14:paraId="073EA6D8">
      <w:pPr>
        <w:pStyle w:val="58"/>
        <w:spacing w:line="360" w:lineRule="auto"/>
        <w:ind w:firstLine="42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实验数据统计显示：所有测试计相邻线对束间距测量值均在2.6mm-2.8mm范围，最小间距为2.6mm（大于2.5mm）。结合射线图像分辨力测试实际需求，若间距过小，易导致图像识别中相邻线对区分困难；间距过大则无法精准测试高分辨力场景。综合实验数据及实际应用需求，参照GB/T 23903-2009中第5.3.2条，确定相邻线对束的间距不小于2.5mm，此指标可满足射线图像分辨力测试的基础精度需求，且经实验验证具有可行性与合理性。</w:t>
      </w:r>
    </w:p>
    <w:p w14:paraId="456CABD5">
      <w:pPr>
        <w:pStyle w:val="58"/>
        <w:ind w:firstLine="0" w:firstLineChars="0"/>
        <w:jc w:val="center"/>
        <w:rPr>
          <w:rFonts w:hint="default" w:ascii="Times New Roman" w:hAnsi="Times New Roman" w:cs="Times New Roman"/>
        </w:rPr>
      </w:pPr>
      <w:r>
        <w:rPr>
          <w:rFonts w:hint="default" w:ascii="Times New Roman" w:hAnsi="Times New Roman" w:cs="Times New Roman"/>
        </w:rPr>
        <w:drawing>
          <wp:inline distT="0" distB="0" distL="0" distR="0">
            <wp:extent cx="2571750" cy="1663065"/>
            <wp:effectExtent l="0" t="0" r="6350" b="635"/>
            <wp:docPr id="19758163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816397" name="图片 1"/>
                    <pic:cNvPicPr>
                      <a:picLocks noChangeAspect="1"/>
                    </pic:cNvPicPr>
                  </pic:nvPicPr>
                  <pic:blipFill>
                    <a:blip r:embed="rId16"/>
                    <a:stretch>
                      <a:fillRect/>
                    </a:stretch>
                  </pic:blipFill>
                  <pic:spPr>
                    <a:xfrm>
                      <a:off x="0" y="0"/>
                      <a:ext cx="2579642" cy="1668012"/>
                    </a:xfrm>
                    <a:prstGeom prst="rect">
                      <a:avLst/>
                    </a:prstGeom>
                  </pic:spPr>
                </pic:pic>
              </a:graphicData>
            </a:graphic>
          </wp:inline>
        </w:drawing>
      </w:r>
    </w:p>
    <w:p w14:paraId="000B0259">
      <w:pPr>
        <w:pStyle w:val="58"/>
        <w:spacing w:line="324" w:lineRule="auto"/>
        <w:ind w:firstLine="420"/>
        <w:jc w:val="center"/>
        <w:rPr>
          <w:rFonts w:hint="default" w:ascii="Times New Roman" w:hAnsi="Times New Roman" w:cs="Times New Roman"/>
        </w:rPr>
      </w:pPr>
      <w:r>
        <w:rPr>
          <w:rFonts w:hint="default" w:ascii="Times New Roman" w:hAnsi="Times New Roman" w:cs="Times New Roman"/>
          <w:color w:val="000000" w:themeColor="text1"/>
          <w:szCs w:val="21"/>
          <w14:textFill>
            <w14:solidFill>
              <w14:schemeClr w14:val="tx1"/>
            </w14:solidFill>
          </w14:textFill>
        </w:rPr>
        <w:t>附图6 GBT 23903-2009 中第5.3.2条</w:t>
      </w:r>
    </w:p>
    <w:p w14:paraId="74AFC0A5">
      <w:pPr>
        <w:pStyle w:val="61"/>
        <w:ind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4.2线对长度</w:t>
      </w:r>
    </w:p>
    <w:p w14:paraId="4BBD7788">
      <w:pPr>
        <w:pStyle w:val="61"/>
        <w:ind w:firstLine="42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参照GB/T 23903-2009 中第5.3.3条，</w:t>
      </w:r>
      <w:r>
        <w:rPr>
          <w:rFonts w:hint="default" w:ascii="Times New Roman" w:hAnsi="Times New Roman" w:cs="Times New Roman"/>
          <w:color w:val="000000" w:themeColor="text1"/>
          <w:sz w:val="21"/>
          <w:szCs w:val="21"/>
          <w14:textFill>
            <w14:solidFill>
              <w14:schemeClr w14:val="tx1"/>
            </w14:solidFill>
          </w14:textFill>
        </w:rPr>
        <w:t>线对长度不小于15mm。</w:t>
      </w:r>
      <w:r>
        <w:rPr>
          <w:rFonts w:hint="default" w:ascii="Times New Roman" w:hAnsi="Times New Roman" w:cs="Times New Roman"/>
          <w:color w:val="000000" w:themeColor="text1"/>
          <w:sz w:val="21"/>
          <w:szCs w:val="21"/>
          <w14:textFill>
            <w14:solidFill>
              <w14:schemeClr w14:val="tx1"/>
            </w14:solidFill>
          </w14:textFill>
        </w:rPr>
        <w:t>为确定线对长度指标，设计验证流程：以同样5个射线图像分辨力测试计为对象，利用钢直尺对其线对长度实施测量（每台测试计测量3次）。</w:t>
      </w:r>
    </w:p>
    <w:p w14:paraId="1DB05167">
      <w:pPr>
        <w:pStyle w:val="61"/>
        <w:ind w:firstLine="42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实验结果表明：线对长度测量值分布在15.1mm-15.6mm区间，最短长度为15.1mm（大于15mm）。从射线图像成像原理分析，线对长度需保证在射线照射下，能形成清晰、可识别的线对影像，若长度过短，易因射线投影畸变等因素，造成线对识别失效。依据实验数据，参照GB/T 23903-2009中第5.3.3条，确定线对长度不小于15mm，该指标经实验验证，可适配射线图像分辨力测试的实际工况，保障测试结果的有效性。</w:t>
      </w:r>
    </w:p>
    <w:p w14:paraId="7772E9FA">
      <w:pPr>
        <w:pStyle w:val="58"/>
        <w:ind w:firstLine="0" w:firstLineChars="0"/>
        <w:jc w:val="center"/>
        <w:rPr>
          <w:rFonts w:hint="default" w:ascii="Times New Roman" w:hAnsi="Times New Roman" w:cs="Times New Roman"/>
        </w:rPr>
      </w:pPr>
      <w:r>
        <w:rPr>
          <w:rFonts w:hint="default" w:ascii="Times New Roman" w:hAnsi="Times New Roman" w:cs="Times New Roman"/>
        </w:rPr>
        <w:drawing>
          <wp:inline distT="0" distB="0" distL="0" distR="0">
            <wp:extent cx="2685415" cy="1764030"/>
            <wp:effectExtent l="0" t="0" r="6985" b="1270"/>
            <wp:docPr id="19853680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368020" name="图片 1"/>
                    <pic:cNvPicPr>
                      <a:picLocks noChangeAspect="1"/>
                    </pic:cNvPicPr>
                  </pic:nvPicPr>
                  <pic:blipFill>
                    <a:blip r:embed="rId17"/>
                    <a:stretch>
                      <a:fillRect/>
                    </a:stretch>
                  </pic:blipFill>
                  <pic:spPr>
                    <a:xfrm>
                      <a:off x="0" y="0"/>
                      <a:ext cx="2711012" cy="1781067"/>
                    </a:xfrm>
                    <a:prstGeom prst="rect">
                      <a:avLst/>
                    </a:prstGeom>
                  </pic:spPr>
                </pic:pic>
              </a:graphicData>
            </a:graphic>
          </wp:inline>
        </w:drawing>
      </w:r>
    </w:p>
    <w:p w14:paraId="55F61875">
      <w:pPr>
        <w:pStyle w:val="58"/>
        <w:spacing w:line="324" w:lineRule="auto"/>
        <w:ind w:firstLine="420"/>
        <w:jc w:val="center"/>
        <w:rPr>
          <w:rFonts w:hint="default" w:ascii="Times New Roman" w:hAnsi="Times New Roman" w:cs="Times New Roman"/>
        </w:rPr>
      </w:pPr>
      <w:r>
        <w:rPr>
          <w:rFonts w:hint="default" w:ascii="Times New Roman" w:hAnsi="Times New Roman" w:cs="Times New Roman"/>
          <w:color w:val="000000" w:themeColor="text1"/>
          <w:szCs w:val="21"/>
          <w14:textFill>
            <w14:solidFill>
              <w14:schemeClr w14:val="tx1"/>
            </w14:solidFill>
          </w14:textFill>
        </w:rPr>
        <w:t>附图7 GBT 23903-2009 中第5.3.3条</w:t>
      </w:r>
    </w:p>
    <w:p w14:paraId="20D90E2C">
      <w:pPr>
        <w:pStyle w:val="61"/>
        <w:ind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4.3线对密度示值误差</w:t>
      </w:r>
    </w:p>
    <w:p w14:paraId="72417348">
      <w:pPr>
        <w:autoSpaceDE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参照GBT 23903-2009 中第5.3.1中表1，</w:t>
      </w:r>
      <w:r>
        <w:rPr>
          <w:rFonts w:hint="default" w:ascii="Times New Roman" w:hAnsi="Times New Roman" w:cs="Times New Roman"/>
          <w:color w:val="000000" w:themeColor="text1"/>
          <w:szCs w:val="21"/>
          <w14:textFill>
            <w14:solidFill>
              <w14:schemeClr w14:val="tx1"/>
            </w14:solidFill>
          </w14:textFill>
        </w:rPr>
        <w:t>线对束的线对密度示值误差见表1。</w:t>
      </w:r>
      <w:r>
        <w:rPr>
          <w:rFonts w:hint="default" w:ascii="Times New Roman" w:hAnsi="Times New Roman" w:cs="Times New Roman"/>
          <w:color w:val="000000" w:themeColor="text1"/>
          <w:szCs w:val="21"/>
          <w14:textFill>
            <w14:solidFill>
              <w14:schemeClr w14:val="tx1"/>
            </w14:solidFill>
          </w14:textFill>
        </w:rPr>
        <w:t>为明确线对密度示值误差指标，开展验证：依据GB/T 23903-2009中第5.3.1中表1要求，选取3组不同理论线对密度</w:t>
      </w:r>
      <w:r>
        <w:rPr>
          <w:rFonts w:hint="eastAsia" w:cs="Times New Roman"/>
          <w:color w:val="000000" w:themeColor="text1"/>
          <w:szCs w:val="21"/>
          <w:lang w:eastAsia="zh-CN"/>
          <w14:textFill>
            <w14:solidFill>
              <w14:schemeClr w14:val="tx1"/>
            </w14:solidFill>
          </w14:textFill>
        </w:rPr>
        <w:t>，</w:t>
      </w:r>
      <w:r>
        <w:rPr>
          <w:rFonts w:hint="default" w:ascii="Times New Roman" w:hAnsi="Times New Roman" w:cs="Times New Roman"/>
          <w:color w:val="000000" w:themeColor="text1"/>
          <w:szCs w:val="21"/>
          <w14:textFill>
            <w14:solidFill>
              <w14:schemeClr w14:val="tx1"/>
            </w14:solidFill>
          </w14:textFill>
        </w:rPr>
        <w:t>使用高精度计量级影像测量系统，对测试计线对密度示值进行5次测量，计算示值误差。</w:t>
      </w:r>
    </w:p>
    <w:p w14:paraId="36292F20">
      <w:pPr>
        <w:autoSpaceDE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线对密度示值误差直接影响分辨力测试结果的准确性。若误差过大，会导致实际分辨力与测试结果偏差明显。通过实验，测试计线对密度示值误差符合GB/T 23903-2009中第5.3.1中表1要求，验证了指标的合理性，保障测试计在不同线对密度场景下的测量可靠性，为射线图像分辨力精准测试提供计量依据。</w:t>
      </w:r>
    </w:p>
    <w:p w14:paraId="232DD7C7">
      <w:pPr>
        <w:autoSpaceDE w:val="0"/>
        <w:spacing w:line="360" w:lineRule="auto"/>
        <w:ind w:firstLine="420" w:firstLineChars="20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表1线对密度示值误差</w:t>
      </w:r>
    </w:p>
    <w:tbl>
      <w:tblPr>
        <w:tblStyle w:val="4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3"/>
        <w:gridCol w:w="4786"/>
      </w:tblGrid>
      <w:tr w14:paraId="75E12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tcBorders>
              <w:top w:val="single" w:color="auto" w:sz="4" w:space="0"/>
              <w:left w:val="single" w:color="auto" w:sz="4" w:space="0"/>
              <w:bottom w:val="single" w:color="auto" w:sz="4" w:space="0"/>
              <w:right w:val="single" w:color="auto" w:sz="4" w:space="0"/>
            </w:tcBorders>
          </w:tcPr>
          <w:p w14:paraId="3C09B977">
            <w:pPr>
              <w:autoSpaceDE w:val="0"/>
              <w:spacing w:line="360" w:lineRule="auto"/>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线对密度范围（LP/mm）</w:t>
            </w:r>
          </w:p>
        </w:tc>
        <w:tc>
          <w:tcPr>
            <w:tcW w:w="2500" w:type="pct"/>
            <w:tcBorders>
              <w:top w:val="single" w:color="auto" w:sz="4" w:space="0"/>
              <w:left w:val="single" w:color="auto" w:sz="4" w:space="0"/>
              <w:bottom w:val="single" w:color="auto" w:sz="4" w:space="0"/>
              <w:right w:val="single" w:color="auto" w:sz="4" w:space="0"/>
            </w:tcBorders>
          </w:tcPr>
          <w:p w14:paraId="5543CBE5">
            <w:pPr>
              <w:autoSpaceDE w:val="0"/>
              <w:spacing w:line="360" w:lineRule="auto"/>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最大允许误差</w:t>
            </w:r>
          </w:p>
        </w:tc>
      </w:tr>
      <w:tr w14:paraId="06B16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tcBorders>
              <w:top w:val="single" w:color="auto" w:sz="4" w:space="0"/>
              <w:left w:val="single" w:color="auto" w:sz="4" w:space="0"/>
              <w:bottom w:val="single" w:color="auto" w:sz="4" w:space="0"/>
              <w:right w:val="single" w:color="auto" w:sz="4" w:space="0"/>
            </w:tcBorders>
          </w:tcPr>
          <w:p w14:paraId="3DACD430">
            <w:pPr>
              <w:autoSpaceDE w:val="0"/>
              <w:spacing w:line="360" w:lineRule="auto"/>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0.1~2.8</w:t>
            </w:r>
          </w:p>
        </w:tc>
        <w:tc>
          <w:tcPr>
            <w:tcW w:w="2500" w:type="pct"/>
            <w:tcBorders>
              <w:top w:val="single" w:color="auto" w:sz="4" w:space="0"/>
              <w:left w:val="single" w:color="auto" w:sz="4" w:space="0"/>
              <w:bottom w:val="single" w:color="auto" w:sz="4" w:space="0"/>
              <w:right w:val="single" w:color="auto" w:sz="4" w:space="0"/>
            </w:tcBorders>
          </w:tcPr>
          <w:p w14:paraId="71BEDAC9">
            <w:pPr>
              <w:autoSpaceDE w:val="0"/>
              <w:spacing w:line="360" w:lineRule="auto"/>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±5%</w:t>
            </w:r>
          </w:p>
        </w:tc>
      </w:tr>
      <w:tr w14:paraId="4BFAC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tcBorders>
              <w:top w:val="single" w:color="auto" w:sz="4" w:space="0"/>
              <w:left w:val="single" w:color="auto" w:sz="4" w:space="0"/>
              <w:bottom w:val="single" w:color="auto" w:sz="4" w:space="0"/>
              <w:right w:val="single" w:color="auto" w:sz="4" w:space="0"/>
            </w:tcBorders>
          </w:tcPr>
          <w:p w14:paraId="3500BF34">
            <w:pPr>
              <w:autoSpaceDE w:val="0"/>
              <w:spacing w:line="360" w:lineRule="auto"/>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3.0~5.0</w:t>
            </w:r>
          </w:p>
        </w:tc>
        <w:tc>
          <w:tcPr>
            <w:tcW w:w="2500" w:type="pct"/>
            <w:tcBorders>
              <w:top w:val="single" w:color="auto" w:sz="4" w:space="0"/>
              <w:left w:val="single" w:color="auto" w:sz="4" w:space="0"/>
              <w:bottom w:val="single" w:color="auto" w:sz="4" w:space="0"/>
              <w:right w:val="single" w:color="auto" w:sz="4" w:space="0"/>
            </w:tcBorders>
          </w:tcPr>
          <w:p w14:paraId="54602D8E">
            <w:pPr>
              <w:autoSpaceDE w:val="0"/>
              <w:spacing w:line="360" w:lineRule="auto"/>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w:t>
            </w:r>
          </w:p>
        </w:tc>
      </w:tr>
    </w:tbl>
    <w:p w14:paraId="79EA847F">
      <w:pPr>
        <w:pStyle w:val="61"/>
        <w:ind w:firstLine="0" w:firstLineChars="0"/>
        <w:rPr>
          <w:rFonts w:hint="default" w:ascii="Times New Roman" w:hAnsi="Times New Roman" w:eastAsia="黑体" w:cs="Times New Roman"/>
          <w:color w:val="000000" w:themeColor="text1"/>
          <w:sz w:val="21"/>
          <w:szCs w:val="21"/>
          <w14:textFill>
            <w14:solidFill>
              <w14:schemeClr w14:val="tx1"/>
            </w14:solidFill>
          </w14:textFill>
        </w:rPr>
      </w:pPr>
      <w:r>
        <w:rPr>
          <w:rFonts w:hint="default" w:ascii="Times New Roman" w:hAnsi="Times New Roman" w:eastAsia="黑体" w:cs="Times New Roman"/>
          <w:color w:val="000000" w:themeColor="text1"/>
          <w:sz w:val="21"/>
          <w:szCs w:val="21"/>
          <w14:textFill>
            <w14:solidFill>
              <w14:schemeClr w14:val="tx1"/>
            </w14:solidFill>
          </w14:textFill>
        </w:rPr>
        <w:t>5 校准条件</w:t>
      </w:r>
      <w:bookmarkEnd w:id="44"/>
      <w:bookmarkStart w:id="45" w:name="_Toc193860214"/>
      <w:bookmarkStart w:id="46" w:name="_Toc193860033"/>
      <w:bookmarkStart w:id="47" w:name="_Toc193860183"/>
      <w:bookmarkStart w:id="48" w:name="_Toc500258942"/>
    </w:p>
    <w:bookmarkEnd w:id="45"/>
    <w:bookmarkEnd w:id="46"/>
    <w:bookmarkEnd w:id="47"/>
    <w:bookmarkEnd w:id="48"/>
    <w:p w14:paraId="046D99D1">
      <w:pPr>
        <w:pStyle w:val="61"/>
        <w:ind w:firstLine="0" w:firstLineChars="0"/>
        <w:rPr>
          <w:rFonts w:hint="default" w:ascii="Times New Roman" w:hAnsi="Times New Roman" w:cs="Times New Roman"/>
          <w:color w:val="000000" w:themeColor="text1"/>
          <w:sz w:val="21"/>
          <w:szCs w:val="21"/>
          <w14:textFill>
            <w14:solidFill>
              <w14:schemeClr w14:val="tx1"/>
            </w14:solidFill>
          </w14:textFill>
        </w:rPr>
      </w:pPr>
      <w:bookmarkStart w:id="49" w:name="_Toc193619058"/>
      <w:bookmarkStart w:id="50" w:name="_Toc193860035"/>
      <w:bookmarkStart w:id="51" w:name="_Toc500258944"/>
      <w:bookmarkStart w:id="52" w:name="_Toc193619100"/>
      <w:bookmarkStart w:id="53" w:name="_Toc193860185"/>
      <w:bookmarkStart w:id="54" w:name="_Toc193860216"/>
      <w:bookmarkStart w:id="55" w:name="_Toc2741_WPSOffice_Level1"/>
      <w:bookmarkStart w:id="56" w:name="_Toc193618955"/>
      <w:r>
        <w:rPr>
          <w:rFonts w:hint="default" w:ascii="Times New Roman" w:hAnsi="Times New Roman" w:cs="Times New Roman"/>
          <w:color w:val="000000" w:themeColor="text1"/>
          <w:sz w:val="21"/>
          <w:szCs w:val="21"/>
          <w14:textFill>
            <w14:solidFill>
              <w14:schemeClr w14:val="tx1"/>
            </w14:solidFill>
          </w14:textFill>
        </w:rPr>
        <w:t>5.1环境条件</w:t>
      </w:r>
      <w:r>
        <w:rPr>
          <w:rFonts w:hint="default" w:ascii="Times New Roman" w:hAnsi="Times New Roman" w:cs="Times New Roman"/>
          <w:color w:val="000000" w:themeColor="text1"/>
          <w:sz w:val="21"/>
          <w:szCs w:val="21"/>
          <w14:textFill>
            <w14:solidFill>
              <w14:schemeClr w14:val="tx1"/>
            </w14:solidFill>
          </w14:textFill>
        </w:rPr>
        <w:t>：</w:t>
      </w:r>
    </w:p>
    <w:p w14:paraId="1D4A46D9">
      <w:pPr>
        <w:pStyle w:val="61"/>
        <w:ind w:firstLine="42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温度：(20±5)℃。湿度：不大于80%RH。校准前，射线图像分辨力测试计和测量设备平衡温度时间不少于2h。</w:t>
      </w:r>
    </w:p>
    <w:p w14:paraId="1131F727">
      <w:pPr>
        <w:pStyle w:val="61"/>
        <w:ind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5.2测量标准</w:t>
      </w:r>
      <w:r>
        <w:rPr>
          <w:rFonts w:hint="default" w:ascii="Times New Roman" w:hAnsi="Times New Roman" w:cs="Times New Roman"/>
          <w:color w:val="000000" w:themeColor="text1"/>
          <w:sz w:val="21"/>
          <w:szCs w:val="21"/>
          <w14:textFill>
            <w14:solidFill>
              <w14:schemeClr w14:val="tx1"/>
            </w14:solidFill>
          </w14:textFill>
        </w:rPr>
        <w:t>：</w:t>
      </w:r>
    </w:p>
    <w:p w14:paraId="0A2BFA98">
      <w:pPr>
        <w:pStyle w:val="58"/>
        <w:spacing w:line="360" w:lineRule="auto"/>
        <w:ind w:firstLine="42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测量标准的技术要求应符合正文中表2的规定</w:t>
      </w:r>
      <w:r>
        <w:rPr>
          <w:rFonts w:hint="default" w:ascii="Times New Roman" w:hAnsi="Times New Roman" w:cs="Times New Roman"/>
          <w:color w:val="000000" w:themeColor="text1"/>
          <w:szCs w:val="21"/>
          <w14:textFill>
            <w14:solidFill>
              <w14:schemeClr w14:val="tx1"/>
            </w14:solidFill>
          </w14:textFill>
        </w:rPr>
        <w:t>。</w:t>
      </w:r>
    </w:p>
    <w:p w14:paraId="163EFC3D">
      <w:pPr>
        <w:pStyle w:val="58"/>
        <w:spacing w:line="360" w:lineRule="auto"/>
        <w:ind w:firstLine="42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测量标准及其他设备包括钢直尺、影像测量仪，并给出相应的技术指标。</w:t>
      </w:r>
    </w:p>
    <w:p w14:paraId="40DA12D1">
      <w:pPr>
        <w:pStyle w:val="58"/>
        <w:spacing w:line="360" w:lineRule="auto"/>
        <w:ind w:firstLine="42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钢直尺技术指标参考了JJG 1-1999《钢直尺》3.9.1条款和3.9.2条款中关于钢直尺示值误差的要求；</w:t>
      </w:r>
    </w:p>
    <w:p w14:paraId="73A0E565">
      <w:pPr>
        <w:pStyle w:val="58"/>
        <w:spacing w:line="360" w:lineRule="auto"/>
        <w:ind w:firstLine="420"/>
        <w:rPr>
          <w:rFonts w:hint="default" w:ascii="Times New Roman" w:hAnsi="Times New Roman" w:cs="Times New Roman"/>
          <w:color w:val="000000" w:themeColor="text1"/>
          <w:szCs w:val="21"/>
          <w:lang w:val="en-US"/>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影像测量仪技术指标参考了</w:t>
      </w:r>
      <w:r>
        <w:rPr>
          <w:rFonts w:hint="default" w:ascii="Times New Roman" w:hAnsi="Times New Roman" w:cs="Times New Roman"/>
          <w:lang w:val="en-US" w:eastAsia="zh-CN"/>
        </w:rPr>
        <w:t>GB/T 23903《射线图像分辨力测试计》中6.3条对尺寸测量时，测量仪器的要求。</w:t>
      </w:r>
    </w:p>
    <w:p w14:paraId="05FC21DE">
      <w:pPr>
        <w:pStyle w:val="61"/>
        <w:ind w:firstLine="0" w:firstLineChars="0"/>
        <w:rPr>
          <w:rFonts w:hint="default" w:ascii="Times New Roman" w:hAnsi="Times New Roman" w:eastAsia="黑体" w:cs="Times New Roman"/>
          <w:color w:val="000000" w:themeColor="text1"/>
          <w:sz w:val="21"/>
          <w:szCs w:val="21"/>
          <w14:textFill>
            <w14:solidFill>
              <w14:schemeClr w14:val="tx1"/>
            </w14:solidFill>
          </w14:textFill>
        </w:rPr>
      </w:pPr>
      <w:r>
        <w:rPr>
          <w:rFonts w:hint="default" w:ascii="Times New Roman" w:hAnsi="Times New Roman" w:eastAsia="黑体" w:cs="Times New Roman"/>
          <w:color w:val="000000" w:themeColor="text1"/>
          <w:sz w:val="21"/>
          <w:szCs w:val="21"/>
          <w14:textFill>
            <w14:solidFill>
              <w14:schemeClr w14:val="tx1"/>
            </w14:solidFill>
          </w14:textFill>
        </w:rPr>
        <w:t>6 校准项目和校准方法</w:t>
      </w:r>
      <w:bookmarkEnd w:id="49"/>
      <w:bookmarkEnd w:id="50"/>
      <w:bookmarkEnd w:id="51"/>
      <w:bookmarkEnd w:id="52"/>
      <w:bookmarkEnd w:id="53"/>
      <w:bookmarkEnd w:id="54"/>
      <w:bookmarkEnd w:id="55"/>
      <w:bookmarkEnd w:id="56"/>
    </w:p>
    <w:p w14:paraId="5CB5A097">
      <w:pPr>
        <w:pStyle w:val="58"/>
        <w:spacing w:line="360" w:lineRule="auto"/>
        <w:ind w:firstLine="0" w:firstLineChars="0"/>
        <w:rPr>
          <w:rFonts w:hint="default" w:ascii="Times New Roman" w:hAnsi="Times New Roman" w:cs="Times New Roman"/>
        </w:rPr>
      </w:pPr>
      <w:r>
        <w:rPr>
          <w:rFonts w:hint="default" w:ascii="Times New Roman" w:hAnsi="Times New Roman" w:cs="Times New Roman"/>
        </w:rPr>
        <w:t>6.1</w:t>
      </w:r>
      <w:r>
        <w:rPr>
          <w:rFonts w:hint="default" w:ascii="Times New Roman" w:hAnsi="Times New Roman" w:cs="Times New Roman"/>
        </w:rPr>
        <w:t>校准项目</w:t>
      </w:r>
    </w:p>
    <w:p w14:paraId="47D8370D">
      <w:pPr>
        <w:pStyle w:val="58"/>
        <w:spacing w:line="360" w:lineRule="auto"/>
        <w:ind w:firstLine="420"/>
        <w:rPr>
          <w:rFonts w:hint="default" w:ascii="Times New Roman" w:hAnsi="Times New Roman" w:cs="Times New Roman"/>
        </w:rPr>
      </w:pPr>
      <w:r>
        <w:rPr>
          <w:rFonts w:hint="default" w:ascii="Times New Roman" w:hAnsi="Times New Roman" w:cs="Times New Roman"/>
        </w:rPr>
        <w:t>校准项目</w:t>
      </w:r>
      <w:r>
        <w:rPr>
          <w:rFonts w:hint="default" w:ascii="Times New Roman" w:hAnsi="Times New Roman" w:cs="Times New Roman"/>
        </w:rPr>
        <w:t>包含相邻线对束的间距、线对长度、线对密度示值误差</w:t>
      </w:r>
      <w:r>
        <w:rPr>
          <w:rFonts w:hint="default" w:ascii="Times New Roman" w:hAnsi="Times New Roman" w:cs="Times New Roman"/>
        </w:rPr>
        <w:t>，见表2</w:t>
      </w:r>
      <w:r>
        <w:rPr>
          <w:rFonts w:hint="default" w:ascii="Times New Roman" w:hAnsi="Times New Roman" w:cs="Times New Roman"/>
        </w:rPr>
        <w:t>。</w:t>
      </w:r>
    </w:p>
    <w:p w14:paraId="63E768F9">
      <w:pPr>
        <w:autoSpaceDE w:val="0"/>
        <w:spacing w:line="360" w:lineRule="auto"/>
        <w:ind w:firstLine="420" w:firstLineChars="200"/>
        <w:jc w:val="center"/>
        <w:rPr>
          <w:rFonts w:hint="default" w:ascii="Times New Roman" w:hAnsi="Times New Roman" w:cs="Times New Roman"/>
        </w:rPr>
      </w:pPr>
      <w:r>
        <w:rPr>
          <w:rFonts w:hint="default" w:ascii="Times New Roman" w:hAnsi="Times New Roman" w:cs="Times New Roman"/>
          <w:color w:val="000000" w:themeColor="text1"/>
          <w:szCs w:val="21"/>
          <w14:textFill>
            <w14:solidFill>
              <w14:schemeClr w14:val="tx1"/>
            </w14:solidFill>
          </w14:textFill>
        </w:rPr>
        <w:t>表</w:t>
      </w:r>
      <w:r>
        <w:rPr>
          <w:rFonts w:hint="default" w:ascii="Times New Roman" w:hAnsi="Times New Roman" w:cs="Times New Roman"/>
          <w:color w:val="000000" w:themeColor="text1"/>
          <w:szCs w:val="21"/>
          <w14:textFill>
            <w14:solidFill>
              <w14:schemeClr w14:val="tx1"/>
            </w14:solidFill>
          </w14:textFill>
        </w:rPr>
        <w:t>2校准项目</w:t>
      </w:r>
    </w:p>
    <w:tbl>
      <w:tblPr>
        <w:tblStyle w:val="42"/>
        <w:tblW w:w="0" w:type="auto"/>
        <w:tblInd w:w="414"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2110"/>
        <w:gridCol w:w="1412"/>
        <w:gridCol w:w="5195"/>
      </w:tblGrid>
      <w:tr w14:paraId="1FCE6F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2110" w:type="dxa"/>
            <w:tcBorders>
              <w:tl2br w:val="nil"/>
              <w:tr2bl w:val="nil"/>
            </w:tcBorders>
            <w:vAlign w:val="center"/>
          </w:tcPr>
          <w:p w14:paraId="7D9E4058">
            <w:pPr>
              <w:adjustRightInd w:val="0"/>
              <w:snapToGrid w:val="0"/>
              <w:jc w:val="center"/>
              <w:rPr>
                <w:rFonts w:hint="default" w:ascii="Times New Roman" w:hAnsi="Times New Roman" w:cs="Times New Roman"/>
                <w:szCs w:val="21"/>
              </w:rPr>
            </w:pPr>
            <w:bookmarkStart w:id="57" w:name="_Toc8545"/>
            <w:bookmarkStart w:id="58" w:name="_Toc20362"/>
            <w:bookmarkStart w:id="59" w:name="_Toc20583"/>
            <w:bookmarkStart w:id="60" w:name="_Toc25616"/>
            <w:r>
              <w:rPr>
                <w:rFonts w:hint="default" w:ascii="Times New Roman" w:hAnsi="Times New Roman" w:cs="Times New Roman"/>
                <w:szCs w:val="21"/>
              </w:rPr>
              <w:t>校准项目</w:t>
            </w:r>
            <w:bookmarkEnd w:id="57"/>
            <w:bookmarkEnd w:id="58"/>
            <w:bookmarkEnd w:id="59"/>
            <w:bookmarkEnd w:id="60"/>
          </w:p>
        </w:tc>
        <w:tc>
          <w:tcPr>
            <w:tcW w:w="1412" w:type="dxa"/>
            <w:tcBorders>
              <w:tl2br w:val="nil"/>
              <w:tr2bl w:val="nil"/>
            </w:tcBorders>
            <w:vAlign w:val="center"/>
          </w:tcPr>
          <w:p w14:paraId="0012ED33">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测量标准</w:t>
            </w:r>
          </w:p>
        </w:tc>
        <w:tc>
          <w:tcPr>
            <w:tcW w:w="5195" w:type="dxa"/>
            <w:tcBorders>
              <w:tl2br w:val="nil"/>
              <w:tr2bl w:val="nil"/>
            </w:tcBorders>
            <w:vAlign w:val="center"/>
          </w:tcPr>
          <w:p w14:paraId="58479C8C">
            <w:pPr>
              <w:adjustRightInd w:val="0"/>
              <w:snapToGrid w:val="0"/>
              <w:jc w:val="center"/>
              <w:rPr>
                <w:rFonts w:hint="default" w:ascii="Times New Roman" w:hAnsi="Times New Roman" w:cs="Times New Roman"/>
                <w:szCs w:val="21"/>
              </w:rPr>
            </w:pPr>
            <w:bookmarkStart w:id="61" w:name="_Toc32519"/>
            <w:bookmarkStart w:id="62" w:name="_Toc2307"/>
            <w:bookmarkStart w:id="63" w:name="_Toc16243"/>
            <w:bookmarkStart w:id="64" w:name="_Toc20007"/>
            <w:r>
              <w:rPr>
                <w:rFonts w:hint="default" w:ascii="Times New Roman" w:hAnsi="Times New Roman" w:cs="Times New Roman"/>
                <w:szCs w:val="21"/>
              </w:rPr>
              <w:t>技术指标</w:t>
            </w:r>
            <w:bookmarkEnd w:id="61"/>
            <w:bookmarkEnd w:id="62"/>
            <w:bookmarkEnd w:id="63"/>
            <w:bookmarkEnd w:id="64"/>
          </w:p>
        </w:tc>
      </w:tr>
      <w:tr w14:paraId="5BC2E16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2110" w:type="dxa"/>
            <w:tcBorders>
              <w:tl2br w:val="nil"/>
              <w:tr2bl w:val="nil"/>
            </w:tcBorders>
            <w:vAlign w:val="center"/>
          </w:tcPr>
          <w:p w14:paraId="3C205B43">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相邻线对束的间距</w:t>
            </w:r>
          </w:p>
        </w:tc>
        <w:tc>
          <w:tcPr>
            <w:tcW w:w="1412" w:type="dxa"/>
            <w:vMerge w:val="restart"/>
            <w:tcBorders>
              <w:tl2br w:val="nil"/>
              <w:tr2bl w:val="nil"/>
            </w:tcBorders>
            <w:vAlign w:val="center"/>
          </w:tcPr>
          <w:p w14:paraId="27EF01CF">
            <w:pPr>
              <w:jc w:val="center"/>
              <w:rPr>
                <w:rFonts w:hint="default" w:ascii="Times New Roman" w:hAnsi="Times New Roman" w:cs="Times New Roman"/>
                <w:kern w:val="0"/>
                <w:szCs w:val="21"/>
              </w:rPr>
            </w:pPr>
            <w:r>
              <w:rPr>
                <w:rFonts w:hint="default" w:ascii="Times New Roman" w:hAnsi="Times New Roman" w:cs="Times New Roman"/>
                <w:kern w:val="0"/>
                <w:szCs w:val="21"/>
              </w:rPr>
              <w:t>钢直尺</w:t>
            </w:r>
          </w:p>
        </w:tc>
        <w:tc>
          <w:tcPr>
            <w:tcW w:w="5195" w:type="dxa"/>
            <w:vMerge w:val="restart"/>
            <w:tcBorders>
              <w:tl2br w:val="nil"/>
              <w:tr2bl w:val="nil"/>
            </w:tcBorders>
            <w:vAlign w:val="center"/>
          </w:tcPr>
          <w:p w14:paraId="0BBFA7B8">
            <w:pPr>
              <w:jc w:val="center"/>
              <w:rPr>
                <w:rFonts w:hint="default" w:ascii="Times New Roman" w:hAnsi="Times New Roman" w:cs="Times New Roman"/>
                <w:kern w:val="0"/>
                <w:szCs w:val="21"/>
              </w:rPr>
            </w:pPr>
            <w:r>
              <w:rPr>
                <w:rFonts w:hint="default" w:ascii="Times New Roman" w:hAnsi="Times New Roman" w:cs="Times New Roman"/>
                <w:kern w:val="0"/>
                <w:szCs w:val="21"/>
              </w:rPr>
              <w:t>MPE：±0</w:t>
            </w:r>
            <w:r>
              <w:rPr>
                <w:rFonts w:hint="default" w:ascii="Times New Roman" w:hAnsi="Times New Roman" w:cs="Times New Roman"/>
                <w:kern w:val="0"/>
                <w:szCs w:val="21"/>
              </w:rPr>
              <w:t>.1</w:t>
            </w:r>
            <w:r>
              <w:rPr>
                <w:rFonts w:hint="default" w:ascii="Times New Roman" w:hAnsi="Times New Roman" w:cs="Times New Roman"/>
                <w:kern w:val="0"/>
                <w:szCs w:val="21"/>
              </w:rPr>
              <w:t>mm</w:t>
            </w:r>
          </w:p>
        </w:tc>
      </w:tr>
      <w:tr w14:paraId="0EC8DF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2110" w:type="dxa"/>
            <w:tcBorders>
              <w:tl2br w:val="nil"/>
              <w:tr2bl w:val="nil"/>
            </w:tcBorders>
            <w:vAlign w:val="center"/>
          </w:tcPr>
          <w:p w14:paraId="37D9100E">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线对长度</w:t>
            </w:r>
          </w:p>
        </w:tc>
        <w:tc>
          <w:tcPr>
            <w:tcW w:w="1412" w:type="dxa"/>
            <w:vMerge w:val="continue"/>
            <w:tcBorders>
              <w:tl2br w:val="nil"/>
              <w:tr2bl w:val="nil"/>
            </w:tcBorders>
            <w:vAlign w:val="center"/>
          </w:tcPr>
          <w:p w14:paraId="78E6E4B2">
            <w:pPr>
              <w:jc w:val="center"/>
              <w:rPr>
                <w:rFonts w:hint="default" w:ascii="Times New Roman" w:hAnsi="Times New Roman" w:cs="Times New Roman"/>
                <w:kern w:val="0"/>
                <w:szCs w:val="21"/>
              </w:rPr>
            </w:pPr>
          </w:p>
        </w:tc>
        <w:tc>
          <w:tcPr>
            <w:tcW w:w="5195" w:type="dxa"/>
            <w:vMerge w:val="continue"/>
            <w:tcBorders>
              <w:tl2br w:val="nil"/>
              <w:tr2bl w:val="nil"/>
            </w:tcBorders>
            <w:vAlign w:val="center"/>
          </w:tcPr>
          <w:p w14:paraId="31F23072">
            <w:pPr>
              <w:jc w:val="center"/>
              <w:rPr>
                <w:rFonts w:hint="default" w:ascii="Times New Roman" w:hAnsi="Times New Roman" w:cs="Times New Roman"/>
                <w:kern w:val="0"/>
                <w:szCs w:val="21"/>
              </w:rPr>
            </w:pPr>
          </w:p>
        </w:tc>
      </w:tr>
      <w:tr w14:paraId="659D67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2110" w:type="dxa"/>
            <w:tcBorders>
              <w:tl2br w:val="nil"/>
              <w:tr2bl w:val="nil"/>
            </w:tcBorders>
            <w:vAlign w:val="center"/>
          </w:tcPr>
          <w:p w14:paraId="323D2CF9">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线对密度示值误差</w:t>
            </w:r>
          </w:p>
        </w:tc>
        <w:tc>
          <w:tcPr>
            <w:tcW w:w="1412" w:type="dxa"/>
            <w:tcBorders>
              <w:tl2br w:val="nil"/>
              <w:tr2bl w:val="nil"/>
            </w:tcBorders>
            <w:vAlign w:val="center"/>
          </w:tcPr>
          <w:p w14:paraId="450631F6">
            <w:pPr>
              <w:jc w:val="center"/>
              <w:rPr>
                <w:rFonts w:hint="default" w:ascii="Times New Roman" w:hAnsi="Times New Roman" w:cs="Times New Roman"/>
                <w:kern w:val="0"/>
                <w:szCs w:val="21"/>
              </w:rPr>
            </w:pPr>
            <w:r>
              <w:rPr>
                <w:rFonts w:hint="default" w:ascii="Times New Roman" w:hAnsi="Times New Roman" w:cs="Times New Roman"/>
                <w:kern w:val="0"/>
                <w:szCs w:val="21"/>
              </w:rPr>
              <w:t>影像测量仪</w:t>
            </w:r>
          </w:p>
        </w:tc>
        <w:tc>
          <w:tcPr>
            <w:tcW w:w="5195" w:type="dxa"/>
            <w:tcBorders>
              <w:tl2br w:val="nil"/>
              <w:tr2bl w:val="nil"/>
            </w:tcBorders>
            <w:vAlign w:val="center"/>
          </w:tcPr>
          <w:p w14:paraId="1B40B287">
            <w:pPr>
              <w:jc w:val="center"/>
              <w:rPr>
                <w:rFonts w:hint="default" w:ascii="Times New Roman" w:hAnsi="Times New Roman" w:eastAsia="宋体" w:cs="Times New Roman"/>
                <w:kern w:val="0"/>
                <w:szCs w:val="21"/>
                <w:lang w:val="en-US" w:eastAsia="zh-CN"/>
              </w:rPr>
            </w:pPr>
            <w:r>
              <w:rPr>
                <w:rFonts w:hint="default" w:ascii="Times New Roman" w:hAnsi="Times New Roman" w:cs="Times New Roman"/>
                <w:color w:val="auto"/>
                <w:kern w:val="0"/>
                <w:szCs w:val="21"/>
                <w:highlight w:val="none"/>
              </w:rPr>
              <w:t>MPE：±</w:t>
            </w:r>
            <w:r>
              <w:rPr>
                <w:rFonts w:hint="eastAsia" w:cs="Times New Roman"/>
                <w:color w:val="auto"/>
                <w:kern w:val="0"/>
                <w:szCs w:val="21"/>
                <w:highlight w:val="none"/>
                <w:lang w:val="en-US" w:eastAsia="zh-CN"/>
              </w:rPr>
              <w:t>0.005mm</w:t>
            </w:r>
          </w:p>
        </w:tc>
      </w:tr>
    </w:tbl>
    <w:p w14:paraId="1A4CC7BB">
      <w:pPr>
        <w:pStyle w:val="58"/>
        <w:spacing w:line="360" w:lineRule="auto"/>
        <w:ind w:firstLine="0" w:firstLineChars="0"/>
        <w:rPr>
          <w:rFonts w:hint="default" w:ascii="Times New Roman" w:hAnsi="Times New Roman" w:cs="Times New Roman"/>
        </w:rPr>
      </w:pPr>
      <w:r>
        <w:rPr>
          <w:rFonts w:hint="default" w:ascii="Times New Roman" w:hAnsi="Times New Roman" w:cs="Times New Roman"/>
        </w:rPr>
        <w:t>6.2</w:t>
      </w:r>
      <w:r>
        <w:rPr>
          <w:rFonts w:hint="default" w:ascii="Times New Roman" w:hAnsi="Times New Roman" w:cs="Times New Roman"/>
        </w:rPr>
        <w:t>校准</w:t>
      </w:r>
      <w:r>
        <w:rPr>
          <w:rFonts w:hint="default" w:ascii="Times New Roman" w:hAnsi="Times New Roman" w:cs="Times New Roman"/>
        </w:rPr>
        <w:t>方法</w:t>
      </w:r>
    </w:p>
    <w:p w14:paraId="448183A2">
      <w:pPr>
        <w:pStyle w:val="58"/>
        <w:spacing w:line="360" w:lineRule="auto"/>
        <w:ind w:firstLine="420"/>
        <w:rPr>
          <w:rFonts w:hint="default" w:ascii="Times New Roman" w:hAnsi="Times New Roman" w:cs="Times New Roman"/>
        </w:rPr>
      </w:pPr>
      <w:r>
        <w:rPr>
          <w:rFonts w:hint="default" w:ascii="Times New Roman" w:hAnsi="Times New Roman" w:cs="Times New Roman"/>
        </w:rPr>
        <w:t>相邻线对束的间距校准方法是参考了GB</w:t>
      </w:r>
      <w:r>
        <w:rPr>
          <w:rFonts w:hint="default" w:ascii="Times New Roman" w:hAnsi="Times New Roman" w:cs="Times New Roman"/>
        </w:rPr>
        <w:t>/</w:t>
      </w:r>
      <w:r>
        <w:rPr>
          <w:rFonts w:hint="default" w:ascii="Times New Roman" w:hAnsi="Times New Roman" w:cs="Times New Roman"/>
        </w:rPr>
        <w:t>T 23903-2009中</w:t>
      </w:r>
      <w:r>
        <w:rPr>
          <w:rFonts w:hint="default" w:ascii="Times New Roman" w:hAnsi="Times New Roman" w:cs="Times New Roman"/>
          <w:color w:val="000000" w:themeColor="text1"/>
          <w:szCs w:val="21"/>
          <w14:textFill>
            <w14:solidFill>
              <w14:schemeClr w14:val="tx1"/>
            </w14:solidFill>
          </w14:textFill>
        </w:rPr>
        <w:t>6.3.2</w:t>
      </w:r>
      <w:r>
        <w:rPr>
          <w:rFonts w:hint="default" w:ascii="Times New Roman" w:hAnsi="Times New Roman" w:cs="Times New Roman"/>
        </w:rPr>
        <w:t>对相邻线对束的间距的要求，对相邻线对束的间距的校准方法进行编写</w:t>
      </w:r>
      <w:r>
        <w:rPr>
          <w:rFonts w:hint="default" w:ascii="Times New Roman" w:hAnsi="Times New Roman" w:cs="Times New Roman"/>
        </w:rPr>
        <w:t>。</w:t>
      </w:r>
    </w:p>
    <w:p w14:paraId="69E9B76F">
      <w:pPr>
        <w:pStyle w:val="58"/>
        <w:spacing w:line="360" w:lineRule="auto"/>
        <w:ind w:firstLine="420"/>
        <w:rPr>
          <w:rFonts w:hint="default" w:ascii="Times New Roman" w:hAnsi="Times New Roman" w:cs="Times New Roman"/>
        </w:rPr>
      </w:pPr>
      <w:r>
        <w:rPr>
          <w:rFonts w:hint="default" w:ascii="Times New Roman" w:hAnsi="Times New Roman" w:cs="Times New Roman"/>
          <w:color w:val="000000" w:themeColor="text1"/>
          <w:szCs w:val="21"/>
          <w14:textFill>
            <w14:solidFill>
              <w14:schemeClr w14:val="tx1"/>
            </w14:solidFill>
          </w14:textFill>
        </w:rPr>
        <w:t>线对长度</w:t>
      </w:r>
      <w:r>
        <w:rPr>
          <w:rFonts w:hint="default" w:ascii="Times New Roman" w:hAnsi="Times New Roman" w:cs="Times New Roman"/>
        </w:rPr>
        <w:t>校准方法是是参考了GB</w:t>
      </w:r>
      <w:r>
        <w:rPr>
          <w:rFonts w:hint="default" w:ascii="Times New Roman" w:hAnsi="Times New Roman" w:cs="Times New Roman"/>
        </w:rPr>
        <w:t>/</w:t>
      </w:r>
      <w:r>
        <w:rPr>
          <w:rFonts w:hint="default" w:ascii="Times New Roman" w:hAnsi="Times New Roman" w:cs="Times New Roman"/>
        </w:rPr>
        <w:t>T 23903-2009中</w:t>
      </w:r>
      <w:r>
        <w:rPr>
          <w:rFonts w:hint="default" w:ascii="Times New Roman" w:hAnsi="Times New Roman" w:cs="Times New Roman"/>
          <w:color w:val="000000" w:themeColor="text1"/>
          <w:szCs w:val="21"/>
          <w14:textFill>
            <w14:solidFill>
              <w14:schemeClr w14:val="tx1"/>
            </w14:solidFill>
          </w14:textFill>
        </w:rPr>
        <w:t>6.3.2</w:t>
      </w:r>
      <w:r>
        <w:rPr>
          <w:rFonts w:hint="default" w:ascii="Times New Roman" w:hAnsi="Times New Roman" w:cs="Times New Roman"/>
        </w:rPr>
        <w:t>对</w:t>
      </w:r>
      <w:r>
        <w:rPr>
          <w:rFonts w:hint="default" w:ascii="Times New Roman" w:hAnsi="Times New Roman" w:cs="Times New Roman"/>
          <w:color w:val="000000" w:themeColor="text1"/>
          <w:szCs w:val="21"/>
          <w14:textFill>
            <w14:solidFill>
              <w14:schemeClr w14:val="tx1"/>
            </w14:solidFill>
          </w14:textFill>
        </w:rPr>
        <w:t>线对长度</w:t>
      </w:r>
      <w:r>
        <w:rPr>
          <w:rFonts w:hint="default" w:ascii="Times New Roman" w:hAnsi="Times New Roman" w:cs="Times New Roman"/>
        </w:rPr>
        <w:t>的要求，对</w:t>
      </w:r>
      <w:r>
        <w:rPr>
          <w:rFonts w:hint="default" w:ascii="Times New Roman" w:hAnsi="Times New Roman" w:cs="Times New Roman"/>
          <w:color w:val="000000" w:themeColor="text1"/>
          <w:szCs w:val="21"/>
          <w14:textFill>
            <w14:solidFill>
              <w14:schemeClr w14:val="tx1"/>
            </w14:solidFill>
          </w14:textFill>
        </w:rPr>
        <w:t>线对长度</w:t>
      </w:r>
      <w:r>
        <w:rPr>
          <w:rFonts w:hint="default" w:ascii="Times New Roman" w:hAnsi="Times New Roman" w:cs="Times New Roman"/>
        </w:rPr>
        <w:t>的校准方法进行编写</w:t>
      </w:r>
      <w:r>
        <w:rPr>
          <w:rFonts w:hint="default" w:ascii="Times New Roman" w:hAnsi="Times New Roman" w:cs="Times New Roman"/>
        </w:rPr>
        <w:t>。</w:t>
      </w:r>
    </w:p>
    <w:p w14:paraId="7DFB1474">
      <w:pPr>
        <w:spacing w:line="360" w:lineRule="auto"/>
        <w:ind w:firstLine="480"/>
        <w:rPr>
          <w:rFonts w:hint="default" w:ascii="Times New Roman" w:hAnsi="Times New Roman" w:cs="Times New Roman" w:eastAsiaTheme="minorEastAsia"/>
          <w:color w:val="000000" w:themeColor="text1"/>
          <w:kern w:val="0"/>
          <w:szCs w:val="21"/>
          <w14:textFill>
            <w14:solidFill>
              <w14:schemeClr w14:val="tx1"/>
            </w14:solidFill>
          </w14:textFill>
        </w:rPr>
      </w:pPr>
      <w:r>
        <w:rPr>
          <w:rFonts w:hint="default" w:ascii="Times New Roman" w:hAnsi="Times New Roman" w:cs="Times New Roman"/>
        </w:rPr>
        <w:t>线对密度示值误差</w:t>
      </w:r>
      <w:r>
        <w:rPr>
          <w:rFonts w:hint="default" w:ascii="Times New Roman" w:hAnsi="Times New Roman" w:cs="Times New Roman"/>
        </w:rPr>
        <w:t>校准方法是是参考了GB</w:t>
      </w:r>
      <w:r>
        <w:rPr>
          <w:rFonts w:hint="default" w:ascii="Times New Roman" w:hAnsi="Times New Roman" w:cs="Times New Roman"/>
        </w:rPr>
        <w:t>/</w:t>
      </w:r>
      <w:r>
        <w:rPr>
          <w:rFonts w:hint="default" w:ascii="Times New Roman" w:hAnsi="Times New Roman" w:cs="Times New Roman"/>
        </w:rPr>
        <w:t>T 23903-2009中</w:t>
      </w:r>
      <w:r>
        <w:rPr>
          <w:rFonts w:hint="default" w:ascii="Times New Roman" w:hAnsi="Times New Roman" w:cs="Times New Roman"/>
          <w:color w:val="000000" w:themeColor="text1"/>
          <w:szCs w:val="21"/>
          <w14:textFill>
            <w14:solidFill>
              <w14:schemeClr w14:val="tx1"/>
            </w14:solidFill>
          </w14:textFill>
        </w:rPr>
        <w:t>6.3.</w:t>
      </w:r>
      <w:r>
        <w:rPr>
          <w:rFonts w:hint="default" w:ascii="Times New Roman" w:hAnsi="Times New Roman" w:cs="Times New Roman"/>
          <w:color w:val="000000" w:themeColor="text1"/>
          <w:szCs w:val="21"/>
          <w14:textFill>
            <w14:solidFill>
              <w14:schemeClr w14:val="tx1"/>
            </w14:solidFill>
          </w14:textFill>
        </w:rPr>
        <w:t>1</w:t>
      </w:r>
      <w:r>
        <w:rPr>
          <w:rFonts w:hint="default" w:ascii="Times New Roman" w:hAnsi="Times New Roman" w:cs="Times New Roman"/>
        </w:rPr>
        <w:t>对</w:t>
      </w:r>
      <w:r>
        <w:rPr>
          <w:rFonts w:hint="default" w:ascii="Times New Roman" w:hAnsi="Times New Roman" w:cs="Times New Roman"/>
        </w:rPr>
        <w:t>线对密度示值误差</w:t>
      </w:r>
      <w:r>
        <w:rPr>
          <w:rFonts w:hint="default" w:ascii="Times New Roman" w:hAnsi="Times New Roman" w:cs="Times New Roman"/>
        </w:rPr>
        <w:t>的要求</w:t>
      </w:r>
      <w:r>
        <w:rPr>
          <w:rFonts w:hint="default" w:ascii="Times New Roman" w:hAnsi="Times New Roman" w:cs="Times New Roman"/>
        </w:rPr>
        <w:t>，</w:t>
      </w:r>
      <w:r>
        <w:rPr>
          <w:rFonts w:hint="default" w:ascii="Times New Roman" w:hAnsi="Times New Roman" w:cs="Times New Roman"/>
        </w:rPr>
        <w:t>并结合安徽省长江计量所公司的实际使用情况，对</w:t>
      </w:r>
      <w:r>
        <w:rPr>
          <w:rFonts w:hint="default" w:ascii="Times New Roman" w:hAnsi="Times New Roman" w:cs="Times New Roman"/>
        </w:rPr>
        <w:t>线对密度示值误差</w:t>
      </w:r>
      <w:r>
        <w:rPr>
          <w:rFonts w:hint="default" w:ascii="Times New Roman" w:hAnsi="Times New Roman" w:cs="Times New Roman"/>
        </w:rPr>
        <w:t>的校准方法进行编写</w:t>
      </w:r>
      <w:r>
        <w:rPr>
          <w:rFonts w:hint="default" w:ascii="Times New Roman" w:hAnsi="Times New Roman" w:cs="Times New Roman"/>
        </w:rPr>
        <w:t>。</w:t>
      </w:r>
      <w:bookmarkStart w:id="65" w:name="_Toc193860219"/>
      <w:bookmarkStart w:id="66" w:name="_Toc193860188"/>
      <w:bookmarkStart w:id="67" w:name="_Toc193618956"/>
      <w:bookmarkStart w:id="68" w:name="_Toc193619101"/>
      <w:bookmarkStart w:id="69" w:name="_Toc193860038"/>
      <w:bookmarkStart w:id="70" w:name="_Toc193619059"/>
      <w:bookmarkStart w:id="71" w:name="_Toc500258947"/>
      <w:bookmarkStart w:id="72" w:name="_Toc25466_WPSOffice_Level1"/>
    </w:p>
    <w:p w14:paraId="30B4A398">
      <w:pPr>
        <w:pStyle w:val="61"/>
        <w:ind w:firstLine="0" w:firstLineChars="0"/>
        <w:rPr>
          <w:rFonts w:hint="default" w:ascii="Times New Roman" w:hAnsi="Times New Roman" w:eastAsia="黑体" w:cs="Times New Roman"/>
          <w:color w:val="000000" w:themeColor="text1"/>
          <w:sz w:val="21"/>
          <w:szCs w:val="21"/>
          <w14:textFill>
            <w14:solidFill>
              <w14:schemeClr w14:val="tx1"/>
            </w14:solidFill>
          </w14:textFill>
        </w:rPr>
      </w:pPr>
      <w:r>
        <w:rPr>
          <w:rFonts w:hint="default" w:ascii="Times New Roman" w:hAnsi="Times New Roman" w:eastAsia="黑体" w:cs="Times New Roman"/>
          <w:color w:val="000000" w:themeColor="text1"/>
          <w:sz w:val="21"/>
          <w:szCs w:val="21"/>
          <w14:textFill>
            <w14:solidFill>
              <w14:schemeClr w14:val="tx1"/>
            </w14:solidFill>
          </w14:textFill>
        </w:rPr>
        <w:t>7 校准结果</w:t>
      </w:r>
      <w:bookmarkEnd w:id="65"/>
      <w:bookmarkEnd w:id="66"/>
      <w:bookmarkEnd w:id="67"/>
      <w:bookmarkEnd w:id="68"/>
      <w:bookmarkEnd w:id="69"/>
      <w:bookmarkEnd w:id="70"/>
      <w:r>
        <w:rPr>
          <w:rFonts w:hint="default" w:ascii="Times New Roman" w:hAnsi="Times New Roman" w:eastAsia="黑体" w:cs="Times New Roman"/>
          <w:color w:val="000000" w:themeColor="text1"/>
          <w:sz w:val="21"/>
          <w:szCs w:val="21"/>
          <w14:textFill>
            <w14:solidFill>
              <w14:schemeClr w14:val="tx1"/>
            </w14:solidFill>
          </w14:textFill>
        </w:rPr>
        <w:t>表达</w:t>
      </w:r>
      <w:bookmarkEnd w:id="71"/>
      <w:bookmarkEnd w:id="72"/>
    </w:p>
    <w:p w14:paraId="0DA5FF50">
      <w:pPr>
        <w:pStyle w:val="58"/>
        <w:spacing w:line="360" w:lineRule="auto"/>
        <w:ind w:firstLine="420"/>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cs="Times New Roman" w:eastAsiaTheme="minorEastAsia"/>
          <w:color w:val="000000" w:themeColor="text1"/>
          <w:szCs w:val="21"/>
          <w14:textFill>
            <w14:solidFill>
              <w14:schemeClr w14:val="tx1"/>
            </w14:solidFill>
          </w14:textFill>
        </w:rPr>
        <w:t>经校准后出具校准证书，校准证书由封面和校准数据内页组成，封面由校准机构确定统一格式，校准数据按照</w:t>
      </w:r>
      <w:r>
        <w:rPr>
          <w:rFonts w:hint="default" w:ascii="Times New Roman" w:hAnsi="Times New Roman" w:cs="Times New Roman" w:eastAsiaTheme="minorEastAsia"/>
          <w:color w:val="000000" w:themeColor="text1"/>
          <w:szCs w:val="21"/>
          <w14:textFill>
            <w14:solidFill>
              <w14:schemeClr w14:val="tx1"/>
            </w14:solidFill>
          </w14:textFill>
        </w:rPr>
        <w:t>规范</w:t>
      </w:r>
      <w:r>
        <w:rPr>
          <w:rFonts w:hint="default" w:ascii="Times New Roman" w:hAnsi="Times New Roman" w:cs="Times New Roman" w:eastAsiaTheme="minorEastAsia"/>
          <w:color w:val="000000" w:themeColor="text1"/>
          <w:szCs w:val="21"/>
          <w14:textFill>
            <w14:solidFill>
              <w14:schemeClr w14:val="tx1"/>
            </w14:solidFill>
          </w14:textFill>
        </w:rPr>
        <w:t>要求，并可根据实际情况进行填写。</w:t>
      </w:r>
    </w:p>
    <w:p w14:paraId="364891DC">
      <w:pPr>
        <w:pStyle w:val="61"/>
        <w:ind w:firstLine="0" w:firstLineChars="0"/>
        <w:rPr>
          <w:rFonts w:hint="default" w:ascii="Times New Roman" w:hAnsi="Times New Roman" w:eastAsia="黑体" w:cs="Times New Roman"/>
          <w:color w:val="000000" w:themeColor="text1"/>
          <w:sz w:val="21"/>
          <w:szCs w:val="21"/>
          <w14:textFill>
            <w14:solidFill>
              <w14:schemeClr w14:val="tx1"/>
            </w14:solidFill>
          </w14:textFill>
        </w:rPr>
      </w:pPr>
      <w:bookmarkStart w:id="73" w:name="_Toc5529"/>
      <w:bookmarkStart w:id="74" w:name="_Toc193860220"/>
      <w:bookmarkStart w:id="75" w:name="_Toc14803_WPSOffice_Level1"/>
      <w:bookmarkStart w:id="76" w:name="_Toc193860040"/>
      <w:bookmarkStart w:id="77" w:name="_Toc193860189"/>
      <w:bookmarkStart w:id="78" w:name="_Toc193860041"/>
      <w:r>
        <w:rPr>
          <w:rFonts w:hint="default" w:ascii="Times New Roman" w:hAnsi="Times New Roman" w:eastAsia="黑体" w:cs="Times New Roman"/>
          <w:color w:val="000000" w:themeColor="text1"/>
          <w:sz w:val="21"/>
          <w:szCs w:val="21"/>
          <w14:textFill>
            <w14:solidFill>
              <w14:schemeClr w14:val="tx1"/>
            </w14:solidFill>
          </w14:textFill>
        </w:rPr>
        <w:t>8 复校</w:t>
      </w:r>
      <w:bookmarkEnd w:id="73"/>
      <w:bookmarkEnd w:id="74"/>
      <w:bookmarkEnd w:id="75"/>
      <w:bookmarkEnd w:id="76"/>
      <w:bookmarkEnd w:id="77"/>
      <w:r>
        <w:rPr>
          <w:rFonts w:hint="default" w:ascii="Times New Roman" w:hAnsi="Times New Roman" w:eastAsia="黑体" w:cs="Times New Roman"/>
          <w:color w:val="000000" w:themeColor="text1"/>
          <w:sz w:val="21"/>
          <w:szCs w:val="21"/>
          <w14:textFill>
            <w14:solidFill>
              <w14:schemeClr w14:val="tx1"/>
            </w14:solidFill>
          </w14:textFill>
        </w:rPr>
        <w:t>时间间隔</w:t>
      </w:r>
    </w:p>
    <w:bookmarkEnd w:id="78"/>
    <w:p w14:paraId="12BDF8AE">
      <w:pPr>
        <w:pStyle w:val="58"/>
        <w:spacing w:line="360" w:lineRule="auto"/>
        <w:ind w:firstLine="420"/>
        <w:rPr>
          <w:rFonts w:hint="default" w:ascii="Times New Roman" w:hAnsi="Times New Roman" w:cs="Times New Roman" w:eastAsiaTheme="minorEastAsia"/>
          <w:color w:val="000000" w:themeColor="text1"/>
          <w:kern w:val="2"/>
          <w:szCs w:val="21"/>
          <w14:textFill>
            <w14:solidFill>
              <w14:schemeClr w14:val="tx1"/>
            </w14:solidFill>
          </w14:textFill>
        </w:rPr>
      </w:pPr>
      <w:r>
        <w:rPr>
          <w:rFonts w:hint="default" w:ascii="Times New Roman" w:hAnsi="Times New Roman" w:cs="Times New Roman" w:eastAsiaTheme="minorEastAsia"/>
          <w:color w:val="000000" w:themeColor="text1"/>
          <w:kern w:val="2"/>
          <w:szCs w:val="21"/>
          <w14:textFill>
            <w14:solidFill>
              <w14:schemeClr w14:val="tx1"/>
            </w14:solidFill>
          </w14:textFill>
        </w:rPr>
        <w:t>建议校准时间间隔为1年；当使用频率较高时，建议用户缩短为3个月。</w:t>
      </w:r>
    </w:p>
    <w:p w14:paraId="38B3210B">
      <w:pPr>
        <w:pStyle w:val="61"/>
        <w:ind w:firstLine="0" w:firstLineChars="0"/>
        <w:rPr>
          <w:rFonts w:hint="default" w:ascii="Times New Roman" w:hAnsi="Times New Roman" w:eastAsia="黑体" w:cs="Times New Roman"/>
          <w:color w:val="000000" w:themeColor="text1"/>
          <w:sz w:val="21"/>
          <w:szCs w:val="21"/>
          <w14:textFill>
            <w14:solidFill>
              <w14:schemeClr w14:val="tx1"/>
            </w14:solidFill>
          </w14:textFill>
        </w:rPr>
      </w:pPr>
      <w:r>
        <w:rPr>
          <w:rFonts w:hint="default" w:ascii="Times New Roman" w:hAnsi="Times New Roman" w:eastAsia="黑体" w:cs="Times New Roman"/>
          <w:color w:val="000000" w:themeColor="text1"/>
          <w:sz w:val="21"/>
          <w:szCs w:val="21"/>
          <w14:textFill>
            <w14:solidFill>
              <w14:schemeClr w14:val="tx1"/>
            </w14:solidFill>
          </w14:textFill>
        </w:rPr>
        <w:t>9.附录</w:t>
      </w:r>
    </w:p>
    <w:p w14:paraId="7961B5D6">
      <w:pPr>
        <w:pStyle w:val="58"/>
        <w:spacing w:line="360" w:lineRule="auto"/>
        <w:ind w:firstLine="420"/>
        <w:rPr>
          <w:rFonts w:hint="default" w:ascii="Times New Roman" w:hAnsi="Times New Roman" w:cs="Times New Roman" w:eastAsiaTheme="minorEastAsia"/>
          <w:color w:val="000000" w:themeColor="text1"/>
          <w:kern w:val="2"/>
          <w:szCs w:val="21"/>
          <w14:textFill>
            <w14:solidFill>
              <w14:schemeClr w14:val="tx1"/>
            </w14:solidFill>
          </w14:textFill>
        </w:rPr>
      </w:pPr>
      <w:r>
        <w:rPr>
          <w:rFonts w:hint="default" w:ascii="Times New Roman" w:hAnsi="Times New Roman" w:cs="Times New Roman" w:eastAsiaTheme="minorEastAsia"/>
          <w:color w:val="000000" w:themeColor="text1"/>
          <w:kern w:val="2"/>
          <w:szCs w:val="21"/>
          <w14:textFill>
            <w14:solidFill>
              <w14:schemeClr w14:val="tx1"/>
            </w14:solidFill>
          </w14:textFill>
        </w:rPr>
        <w:t>附录A为原始记录参考格式、附录B为原始记录参考格式报告内页参考格式、附录C为不确定度评定示例。</w:t>
      </w:r>
    </w:p>
    <w:bookmarkEnd w:id="1"/>
    <w:bookmarkEnd w:id="22"/>
    <w:p w14:paraId="6E6A8D30">
      <w:pPr>
        <w:pStyle w:val="74"/>
        <w:tabs>
          <w:tab w:val="left" w:pos="426"/>
        </w:tabs>
        <w:spacing w:before="156" w:beforeLines="50" w:after="156" w:afterLines="50"/>
        <w:jc w:val="left"/>
        <w:rPr>
          <w:rFonts w:hint="default" w:ascii="Times New Roman" w:hAnsi="Times New Roman" w:cs="Times New Roman"/>
          <w:color w:val="000000" w:themeColor="text1"/>
          <w:sz w:val="28"/>
          <w:szCs w:val="28"/>
          <w14:textFill>
            <w14:solidFill>
              <w14:schemeClr w14:val="tx1"/>
            </w14:solidFill>
          </w14:textFill>
        </w:rPr>
      </w:pPr>
      <w:bookmarkStart w:id="79" w:name="_Toc464728965"/>
      <w:r>
        <w:rPr>
          <w:rFonts w:hint="default" w:ascii="Times New Roman" w:hAnsi="Times New Roman" w:cs="Times New Roman"/>
          <w:color w:val="000000" w:themeColor="text1"/>
          <w:sz w:val="28"/>
          <w:szCs w:val="28"/>
          <w14:textFill>
            <w14:solidFill>
              <w14:schemeClr w14:val="tx1"/>
            </w14:solidFill>
          </w14:textFill>
        </w:rPr>
        <w:t>三、实践检测情况</w:t>
      </w:r>
    </w:p>
    <w:p w14:paraId="34710A8E">
      <w:pPr>
        <w:ind w:firstLine="420" w:firstLineChars="200"/>
        <w:rPr>
          <w:rFonts w:hint="default" w:ascii="Times New Roman" w:hAnsi="Times New Roman" w:cs="Times New Roman"/>
        </w:rPr>
      </w:pPr>
      <w:r>
        <w:rPr>
          <w:rFonts w:hint="default" w:ascii="Times New Roman" w:hAnsi="Times New Roman" w:cs="Times New Roman"/>
        </w:rPr>
        <w:t>西安汉唐分析检测有限公司根据本规范的校准项目对射线图像分辨力测试计进行了全计量特性的校准，内容详见校准报告</w:t>
      </w:r>
    </w:p>
    <w:p w14:paraId="521F4D63">
      <w:pPr>
        <w:pStyle w:val="74"/>
        <w:tabs>
          <w:tab w:val="left" w:pos="426"/>
        </w:tabs>
        <w:spacing w:before="156" w:beforeLines="50" w:after="156" w:afterLines="50"/>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四、</w:t>
      </w:r>
      <w:r>
        <w:rPr>
          <w:rFonts w:hint="default" w:ascii="Times New Roman" w:hAnsi="Times New Roman" w:cs="Times New Roman"/>
          <w:color w:val="000000" w:themeColor="text1"/>
          <w:sz w:val="28"/>
          <w:szCs w:val="28"/>
          <w14:textFill>
            <w14:solidFill>
              <w14:schemeClr w14:val="tx1"/>
            </w14:solidFill>
          </w14:textFill>
        </w:rPr>
        <w:t>规范水平分析</w:t>
      </w:r>
      <w:bookmarkEnd w:id="79"/>
    </w:p>
    <w:p w14:paraId="21EF5DEA">
      <w:pPr>
        <w:adjustRightInd w:val="0"/>
        <w:spacing w:line="360" w:lineRule="auto"/>
        <w:rPr>
          <w:rFonts w:hint="default" w:ascii="Times New Roman" w:hAnsi="Times New Roman" w:eastAsia="黑体" w:cs="Times New Roman"/>
          <w:bCs/>
          <w:color w:val="000000" w:themeColor="text1"/>
          <w:szCs w:val="21"/>
          <w14:textFill>
            <w14:solidFill>
              <w14:schemeClr w14:val="tx1"/>
            </w14:solidFill>
          </w14:textFill>
        </w:rPr>
      </w:pPr>
      <w:r>
        <w:rPr>
          <w:rFonts w:hint="default" w:ascii="Times New Roman" w:hAnsi="Times New Roman" w:eastAsia="黑体" w:cs="Times New Roman"/>
          <w:bCs/>
          <w:color w:val="000000" w:themeColor="text1"/>
          <w:szCs w:val="21"/>
          <w14:textFill>
            <w14:solidFill>
              <w14:schemeClr w14:val="tx1"/>
            </w14:solidFill>
          </w14:textFill>
        </w:rPr>
        <w:t>4</w:t>
      </w:r>
      <w:r>
        <w:rPr>
          <w:rFonts w:hint="default" w:ascii="Times New Roman" w:hAnsi="Times New Roman" w:eastAsia="黑体" w:cs="Times New Roman"/>
          <w:bCs/>
          <w:color w:val="000000" w:themeColor="text1"/>
          <w:szCs w:val="21"/>
          <w14:textFill>
            <w14:solidFill>
              <w14:schemeClr w14:val="tx1"/>
            </w14:solidFill>
          </w14:textFill>
        </w:rPr>
        <w:t>.1采用国际标准及国外先进规范的程度</w:t>
      </w:r>
    </w:p>
    <w:p w14:paraId="6C1CBB17">
      <w:pPr>
        <w:adjustRightInd w:val="0"/>
        <w:spacing w:line="360" w:lineRule="auto"/>
        <w:ind w:firstLine="420" w:firstLineChars="200"/>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国内对射线图像分辨力测试计的校准方法研究相对单一。射线图像分辨力测试计作为测量图像分辨力的专用标准器具，目前国内尚无可依据的计量检定规程/校准规范对其计量性能进行控制，测量工作的主要参考标准为GB/T 23903—2009《射线图像分辨力测试计》，对射线图像分辨力测试计校准工作的开展缺乏有效的技术指导作用</w:t>
      </w:r>
      <w:r>
        <w:rPr>
          <w:rFonts w:hint="default" w:ascii="Times New Roman" w:hAnsi="Times New Roman" w:cs="Times New Roman"/>
          <w:color w:val="000000" w:themeColor="text1"/>
          <w14:textFill>
            <w14:solidFill>
              <w14:schemeClr w14:val="tx1"/>
            </w14:solidFill>
          </w14:textFill>
        </w:rPr>
        <w:t>。</w:t>
      </w:r>
    </w:p>
    <w:p w14:paraId="5D12B4CD">
      <w:pPr>
        <w:adjustRightInd w:val="0"/>
        <w:spacing w:line="360" w:lineRule="auto"/>
        <w:rPr>
          <w:rFonts w:hint="default" w:ascii="Times New Roman" w:hAnsi="Times New Roman" w:eastAsia="黑体" w:cs="Times New Roman"/>
          <w:bCs/>
          <w:color w:val="000000" w:themeColor="text1"/>
          <w:szCs w:val="21"/>
          <w14:textFill>
            <w14:solidFill>
              <w14:schemeClr w14:val="tx1"/>
            </w14:solidFill>
          </w14:textFill>
        </w:rPr>
      </w:pPr>
      <w:r>
        <w:rPr>
          <w:rFonts w:hint="default" w:ascii="Times New Roman" w:hAnsi="Times New Roman" w:eastAsia="黑体" w:cs="Times New Roman"/>
          <w:bCs/>
          <w:color w:val="000000" w:themeColor="text1"/>
          <w:szCs w:val="21"/>
          <w14:textFill>
            <w14:solidFill>
              <w14:schemeClr w14:val="tx1"/>
            </w14:solidFill>
          </w14:textFill>
        </w:rPr>
        <w:t>4</w:t>
      </w:r>
      <w:r>
        <w:rPr>
          <w:rFonts w:hint="default" w:ascii="Times New Roman" w:hAnsi="Times New Roman" w:eastAsia="黑体" w:cs="Times New Roman"/>
          <w:bCs/>
          <w:color w:val="000000" w:themeColor="text1"/>
          <w:szCs w:val="21"/>
          <w14:textFill>
            <w14:solidFill>
              <w14:schemeClr w14:val="tx1"/>
            </w14:solidFill>
          </w14:textFill>
        </w:rPr>
        <w:t>.2与国际及国外同类标准水平的对比分析</w:t>
      </w:r>
    </w:p>
    <w:p w14:paraId="3231525C">
      <w:pPr>
        <w:spacing w:line="360" w:lineRule="auto"/>
        <w:ind w:firstLine="420" w:firstLineChars="200"/>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目前国外没有相关技术规范。</w:t>
      </w:r>
    </w:p>
    <w:p w14:paraId="4CDF011E">
      <w:pPr>
        <w:spacing w:line="360" w:lineRule="auto"/>
        <w:rPr>
          <w:rFonts w:hint="default" w:ascii="Times New Roman" w:hAnsi="Times New Roman" w:eastAsia="黑体" w:cs="Times New Roman"/>
          <w:bCs/>
          <w:color w:val="000000" w:themeColor="text1"/>
          <w:szCs w:val="21"/>
          <w14:textFill>
            <w14:solidFill>
              <w14:schemeClr w14:val="tx1"/>
            </w14:solidFill>
          </w14:textFill>
        </w:rPr>
      </w:pPr>
      <w:r>
        <w:rPr>
          <w:rFonts w:hint="default" w:ascii="Times New Roman" w:hAnsi="Times New Roman" w:eastAsia="黑体" w:cs="Times New Roman"/>
          <w:bCs/>
          <w:color w:val="000000" w:themeColor="text1"/>
          <w:szCs w:val="21"/>
          <w14:textFill>
            <w14:solidFill>
              <w14:schemeClr w14:val="tx1"/>
            </w14:solidFill>
          </w14:textFill>
        </w:rPr>
        <w:t>4</w:t>
      </w:r>
      <w:r>
        <w:rPr>
          <w:rFonts w:hint="default" w:ascii="Times New Roman" w:hAnsi="Times New Roman" w:eastAsia="黑体" w:cs="Times New Roman"/>
          <w:bCs/>
          <w:color w:val="000000" w:themeColor="text1"/>
          <w:szCs w:val="21"/>
          <w14:textFill>
            <w14:solidFill>
              <w14:schemeClr w14:val="tx1"/>
            </w14:solidFill>
          </w14:textFill>
        </w:rPr>
        <w:t>.</w:t>
      </w:r>
      <w:r>
        <w:rPr>
          <w:rFonts w:hint="default" w:ascii="Times New Roman" w:hAnsi="Times New Roman" w:eastAsia="黑体" w:cs="Times New Roman"/>
          <w:bCs/>
          <w:color w:val="000000" w:themeColor="text1"/>
          <w:szCs w:val="21"/>
          <w14:textFill>
            <w14:solidFill>
              <w14:schemeClr w14:val="tx1"/>
            </w14:solidFill>
          </w14:textFill>
        </w:rPr>
        <w:t>3验证单位</w:t>
      </w:r>
    </w:p>
    <w:p w14:paraId="75886FD7">
      <w:pPr>
        <w:spacing w:line="360" w:lineRule="auto"/>
        <w:ind w:firstLine="420" w:firstLineChars="200"/>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本次规范的验证工作由在射线检测及相关领域具备专业资质和丰富实践经验的单位联合开展，具体如下：​</w:t>
      </w:r>
    </w:p>
    <w:p w14:paraId="2207E223">
      <w:pPr>
        <w:spacing w:line="360" w:lineRule="auto"/>
        <w:ind w:firstLine="420" w:firstLineChars="200"/>
        <w:rPr>
          <w:rFonts w:hint="default" w:ascii="Times New Roman" w:hAnsi="Times New Roman" w:cs="Times New Roman"/>
          <w:bCs/>
          <w:color w:val="000000" w:themeColor="text1"/>
          <w:szCs w:val="21"/>
          <w14:textFill>
            <w14:solidFill>
              <w14:schemeClr w14:val="tx1"/>
            </w14:solidFill>
          </w14:textFill>
        </w:rPr>
      </w:pPr>
      <w:r>
        <w:rPr>
          <w:rFonts w:hint="eastAsia" w:cs="Times New Roman"/>
          <w:bCs/>
          <w:color w:val="000000" w:themeColor="text1"/>
          <w:szCs w:val="21"/>
          <w:lang w:val="en-US" w:eastAsia="zh-CN"/>
          <w14:textFill>
            <w14:solidFill>
              <w14:schemeClr w14:val="tx1"/>
            </w14:solidFill>
          </w14:textFill>
        </w:rPr>
        <w:t>西部超导材料股份有限公司</w:t>
      </w:r>
      <w:r>
        <w:rPr>
          <w:rFonts w:hint="default" w:ascii="Times New Roman" w:hAnsi="Times New Roman" w:cs="Times New Roman"/>
          <w:bCs/>
          <w:color w:val="000000" w:themeColor="text1"/>
          <w:szCs w:val="21"/>
          <w14:textFill>
            <w14:solidFill>
              <w14:schemeClr w14:val="tx1"/>
            </w14:solidFill>
          </w14:textFill>
        </w:rPr>
        <w:t>：该</w:t>
      </w:r>
      <w:r>
        <w:rPr>
          <w:rFonts w:hint="eastAsia" w:cs="Times New Roman"/>
          <w:bCs/>
          <w:color w:val="000000" w:themeColor="text1"/>
          <w:szCs w:val="21"/>
          <w:lang w:val="en-US" w:eastAsia="zh-CN"/>
          <w14:textFill>
            <w14:solidFill>
              <w14:schemeClr w14:val="tx1"/>
            </w14:solidFill>
          </w14:textFill>
        </w:rPr>
        <w:t>公司</w:t>
      </w:r>
      <w:r>
        <w:rPr>
          <w:rFonts w:hint="default" w:ascii="Times New Roman" w:hAnsi="Times New Roman" w:cs="Times New Roman"/>
          <w:bCs/>
          <w:color w:val="000000" w:themeColor="text1"/>
          <w:szCs w:val="21"/>
          <w14:textFill>
            <w14:solidFill>
              <w14:schemeClr w14:val="tx1"/>
            </w14:solidFill>
          </w14:textFill>
        </w:rPr>
        <w:t>在材料检测相关技术应用方面积累了扎实的实践经验。其参与验证工作，从</w:t>
      </w:r>
      <w:r>
        <w:rPr>
          <w:rFonts w:hint="eastAsia" w:cs="Times New Roman"/>
          <w:bCs/>
          <w:color w:val="000000" w:themeColor="text1"/>
          <w:szCs w:val="21"/>
          <w:lang w:val="en-US" w:eastAsia="zh-CN"/>
          <w14:textFill>
            <w14:solidFill>
              <w14:schemeClr w14:val="tx1"/>
            </w14:solidFill>
          </w14:textFill>
        </w:rPr>
        <w:t>射线检测</w:t>
      </w:r>
      <w:r>
        <w:rPr>
          <w:rFonts w:hint="default" w:ascii="Times New Roman" w:hAnsi="Times New Roman" w:cs="Times New Roman"/>
          <w:bCs/>
          <w:color w:val="000000" w:themeColor="text1"/>
          <w:szCs w:val="21"/>
          <w14:textFill>
            <w14:solidFill>
              <w14:schemeClr w14:val="tx1"/>
            </w14:solidFill>
          </w14:textFill>
        </w:rPr>
        <w:t>实际应用角度出发，对规范在常规检测场景中的适用性进行了充分检验，为规范的区域推广提供了有力支撑。​</w:t>
      </w:r>
    </w:p>
    <w:p w14:paraId="155F0B68">
      <w:pPr>
        <w:spacing w:line="360" w:lineRule="auto"/>
        <w:ind w:firstLine="420" w:firstLineChars="200"/>
        <w:rPr>
          <w:rFonts w:hint="default" w:ascii="Times New Roman" w:hAnsi="Times New Roman" w:cs="Times New Roman"/>
          <w:bCs/>
          <w:color w:val="000000" w:themeColor="text1"/>
          <w:szCs w:val="21"/>
          <w14:textFill>
            <w14:solidFill>
              <w14:schemeClr w14:val="tx1"/>
            </w14:solidFill>
          </w14:textFill>
        </w:rPr>
      </w:pPr>
      <w:bookmarkStart w:id="85" w:name="_GoBack"/>
      <w:bookmarkEnd w:id="85"/>
      <w:r>
        <w:rPr>
          <w:rFonts w:hint="default" w:ascii="Times New Roman" w:hAnsi="Times New Roman" w:cs="Times New Roman"/>
          <w:bCs/>
          <w:color w:val="000000" w:themeColor="text1"/>
          <w:szCs w:val="21"/>
          <w14:textFill>
            <w14:solidFill>
              <w14:schemeClr w14:val="tx1"/>
            </w14:solidFill>
          </w14:textFill>
        </w:rPr>
        <w:t>宝钛集团有限公司：作为钛及钛合金加工领域的龙头企业，其产品广泛应用于航空航天、化工等对材料质量要求极高的领域，对射线检测技术的精度和可靠性有着严苛标准。该公司的验证工作，从高端材料检测场景角度，充分验证了规范的技术先进性和准确性，为规范在高精度检测领域的应用提供了重要依据。​</w:t>
      </w:r>
    </w:p>
    <w:p w14:paraId="1E25FCB2">
      <w:pPr>
        <w:spacing w:line="360" w:lineRule="auto"/>
        <w:ind w:firstLine="420" w:firstLineChars="200"/>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上述验证单位通过结合自身专业领域特点，从不同应用场景、不同技术要求层面对规范进行了全面验证，充分保障了规范的科学性、适用性和先进性。</w:t>
      </w:r>
    </w:p>
    <w:p w14:paraId="5DEE21A7">
      <w:pPr>
        <w:pStyle w:val="74"/>
        <w:tabs>
          <w:tab w:val="left" w:pos="426"/>
        </w:tabs>
        <w:spacing w:before="156" w:beforeLines="50" w:after="156" w:afterLines="50"/>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Cs/>
          <w:color w:val="000000" w:themeColor="text1"/>
          <w:sz w:val="28"/>
          <w:szCs w:val="28"/>
          <w14:textFill>
            <w14:solidFill>
              <w14:schemeClr w14:val="tx1"/>
            </w14:solidFill>
          </w14:textFill>
        </w:rPr>
        <w:t>五、</w:t>
      </w:r>
      <w:r>
        <w:rPr>
          <w:rFonts w:hint="default" w:ascii="Times New Roman" w:hAnsi="Times New Roman" w:cs="Times New Roman"/>
          <w:bCs/>
          <w:color w:val="000000" w:themeColor="text1"/>
          <w:sz w:val="28"/>
          <w:szCs w:val="28"/>
          <w14:textFill>
            <w14:solidFill>
              <w14:schemeClr w14:val="tx1"/>
            </w14:solidFill>
          </w14:textFill>
        </w:rPr>
        <w:t>与有关的现行法律、法规和强制性国家标准的关系</w:t>
      </w:r>
    </w:p>
    <w:p w14:paraId="61EBEE64">
      <w:pPr>
        <w:pStyle w:val="58"/>
        <w:spacing w:line="300" w:lineRule="auto"/>
        <w:ind w:firstLine="42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规范所引用的规程及规范均为我国现行有效的计量规程及规范，是本规范的一部分，引用这些规程及规范后，使本规范的要求与现行的相关法律、法规、规章及相关规程规范的关系不矛盾、不冲突，其相互关系非常协调。</w:t>
      </w:r>
    </w:p>
    <w:p w14:paraId="43BB1964">
      <w:pPr>
        <w:pStyle w:val="74"/>
        <w:tabs>
          <w:tab w:val="left" w:pos="426"/>
        </w:tabs>
        <w:spacing w:before="156" w:beforeLines="50" w:after="156" w:afterLines="50"/>
        <w:jc w:val="left"/>
        <w:rPr>
          <w:rFonts w:hint="default" w:ascii="Times New Roman" w:hAnsi="Times New Roman" w:cs="Times New Roman"/>
          <w:color w:val="000000" w:themeColor="text1"/>
          <w:sz w:val="28"/>
          <w:szCs w:val="28"/>
          <w14:textFill>
            <w14:solidFill>
              <w14:schemeClr w14:val="tx1"/>
            </w14:solidFill>
          </w14:textFill>
        </w:rPr>
      </w:pPr>
      <w:bookmarkStart w:id="80" w:name="_Toc464728973"/>
      <w:r>
        <w:rPr>
          <w:rFonts w:hint="default" w:ascii="Times New Roman" w:hAnsi="Times New Roman" w:cs="Times New Roman"/>
          <w:color w:val="000000" w:themeColor="text1"/>
          <w:sz w:val="28"/>
          <w:szCs w:val="28"/>
          <w14:textFill>
            <w14:solidFill>
              <w14:schemeClr w14:val="tx1"/>
            </w14:solidFill>
          </w14:textFill>
        </w:rPr>
        <w:t>六、</w:t>
      </w:r>
      <w:r>
        <w:rPr>
          <w:rFonts w:hint="default" w:ascii="Times New Roman" w:hAnsi="Times New Roman" w:cs="Times New Roman"/>
          <w:color w:val="000000" w:themeColor="text1"/>
          <w:sz w:val="28"/>
          <w:szCs w:val="28"/>
          <w14:textFill>
            <w14:solidFill>
              <w14:schemeClr w14:val="tx1"/>
            </w14:solidFill>
          </w14:textFill>
        </w:rPr>
        <w:t>规范中涉及的专利或知识产权说明</w:t>
      </w:r>
      <w:bookmarkEnd w:id="80"/>
    </w:p>
    <w:p w14:paraId="7E2EC672">
      <w:pPr>
        <w:pStyle w:val="58"/>
        <w:spacing w:line="300" w:lineRule="auto"/>
        <w:ind w:firstLineChars="0"/>
        <w:contextualSpacing/>
        <w:rPr>
          <w:rFonts w:hint="default" w:ascii="Times New Roman" w:hAnsi="Times New Roman" w:cs="Times New Roman"/>
          <w:color w:val="000000" w:themeColor="text1"/>
          <w:szCs w:val="21"/>
          <w14:textFill>
            <w14:solidFill>
              <w14:schemeClr w14:val="tx1"/>
            </w14:solidFill>
          </w14:textFill>
        </w:rPr>
      </w:pPr>
      <w:bookmarkStart w:id="81" w:name="_Toc464728974"/>
      <w:r>
        <w:rPr>
          <w:rFonts w:hint="default" w:ascii="Times New Roman" w:hAnsi="Times New Roman" w:cs="Times New Roman"/>
          <w:color w:val="000000" w:themeColor="text1"/>
          <w:szCs w:val="21"/>
          <w14:textFill>
            <w14:solidFill>
              <w14:schemeClr w14:val="tx1"/>
            </w14:solidFill>
          </w14:textFill>
        </w:rPr>
        <w:t>无</w:t>
      </w:r>
    </w:p>
    <w:p w14:paraId="1F3566DE">
      <w:pPr>
        <w:pStyle w:val="74"/>
        <w:tabs>
          <w:tab w:val="left" w:pos="426"/>
        </w:tabs>
        <w:spacing w:before="156" w:beforeLines="50" w:after="156" w:afterLines="50"/>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七、</w:t>
      </w:r>
      <w:r>
        <w:rPr>
          <w:rFonts w:hint="default" w:ascii="Times New Roman" w:hAnsi="Times New Roman" w:cs="Times New Roman"/>
          <w:color w:val="000000" w:themeColor="text1"/>
          <w:sz w:val="28"/>
          <w:szCs w:val="28"/>
          <w14:textFill>
            <w14:solidFill>
              <w14:schemeClr w14:val="tx1"/>
            </w14:solidFill>
          </w14:textFill>
        </w:rPr>
        <w:t>重大分歧意见的处理经过和依据</w:t>
      </w:r>
      <w:bookmarkEnd w:id="81"/>
    </w:p>
    <w:p w14:paraId="61A13188">
      <w:pPr>
        <w:pStyle w:val="58"/>
        <w:spacing w:line="300" w:lineRule="auto"/>
        <w:ind w:firstLine="420"/>
        <w:contextualSpacing/>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无</w:t>
      </w:r>
    </w:p>
    <w:p w14:paraId="227A610A">
      <w:pPr>
        <w:pStyle w:val="74"/>
        <w:tabs>
          <w:tab w:val="left" w:pos="426"/>
        </w:tabs>
        <w:spacing w:before="156" w:beforeLines="50" w:after="156" w:afterLines="50"/>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八、</w:t>
      </w:r>
      <w:r>
        <w:rPr>
          <w:rFonts w:hint="default" w:ascii="Times New Roman" w:hAnsi="Times New Roman" w:cs="Times New Roman"/>
          <w:color w:val="000000" w:themeColor="text1"/>
          <w:sz w:val="28"/>
          <w:szCs w:val="28"/>
          <w14:textFill>
            <w14:solidFill>
              <w14:schemeClr w14:val="tx1"/>
            </w14:solidFill>
          </w14:textFill>
        </w:rPr>
        <w:t>规范作为强制性或推荐性国家（或行业）标准的建议</w:t>
      </w:r>
    </w:p>
    <w:p w14:paraId="66275B2B">
      <w:pPr>
        <w:adjustRightInd w:val="0"/>
        <w:spacing w:line="360" w:lineRule="auto"/>
        <w:ind w:firstLine="420" w:firstLineChars="200"/>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建议本规范作为推荐性行业计量技术规范，供相关行业参考采用。</w:t>
      </w:r>
    </w:p>
    <w:p w14:paraId="7CBA5012">
      <w:pPr>
        <w:pStyle w:val="74"/>
        <w:tabs>
          <w:tab w:val="left" w:pos="426"/>
        </w:tabs>
        <w:spacing w:before="156" w:beforeLines="50" w:after="156" w:afterLines="50"/>
        <w:jc w:val="left"/>
        <w:rPr>
          <w:rFonts w:hint="default" w:ascii="Times New Roman" w:hAnsi="Times New Roman" w:cs="Times New Roman"/>
          <w:color w:val="000000" w:themeColor="text1"/>
          <w:sz w:val="28"/>
          <w:szCs w:val="28"/>
          <w14:textFill>
            <w14:solidFill>
              <w14:schemeClr w14:val="tx1"/>
            </w14:solidFill>
          </w14:textFill>
        </w:rPr>
      </w:pPr>
      <w:bookmarkStart w:id="82" w:name="_Toc464728976"/>
      <w:r>
        <w:rPr>
          <w:rFonts w:hint="default" w:ascii="Times New Roman" w:hAnsi="Times New Roman" w:cs="Times New Roman"/>
          <w:color w:val="000000" w:themeColor="text1"/>
          <w:sz w:val="28"/>
          <w:szCs w:val="28"/>
          <w14:textFill>
            <w14:solidFill>
              <w14:schemeClr w14:val="tx1"/>
            </w14:solidFill>
          </w14:textFill>
        </w:rPr>
        <w:t>九、</w:t>
      </w:r>
      <w:r>
        <w:rPr>
          <w:rFonts w:hint="default" w:ascii="Times New Roman" w:hAnsi="Times New Roman" w:cs="Times New Roman"/>
          <w:color w:val="000000" w:themeColor="text1"/>
          <w:sz w:val="28"/>
          <w:szCs w:val="28"/>
          <w14:textFill>
            <w14:solidFill>
              <w14:schemeClr w14:val="tx1"/>
            </w14:solidFill>
          </w14:textFill>
        </w:rPr>
        <w:t>贯彻规范的要求和措施建议</w:t>
      </w:r>
      <w:bookmarkEnd w:id="82"/>
    </w:p>
    <w:p w14:paraId="5C11BD51">
      <w:pPr>
        <w:pStyle w:val="58"/>
        <w:spacing w:line="300" w:lineRule="auto"/>
        <w:ind w:firstLine="420"/>
        <w:contextualSpacing/>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本规范发布后，中国有色金属行业协会和有色金属行业计量技术委员会应加强本规范的宣传力度，促进</w:t>
      </w:r>
      <w:r>
        <w:rPr>
          <w:rFonts w:hint="default" w:ascii="Times New Roman" w:hAnsi="Times New Roman" w:cs="Times New Roman"/>
          <w:color w:val="000000" w:themeColor="text1"/>
          <w14:textFill>
            <w14:solidFill>
              <w14:schemeClr w14:val="tx1"/>
            </w14:solidFill>
          </w14:textFill>
        </w:rPr>
        <w:t>射线图像分辨力测试计</w:t>
      </w:r>
      <w:r>
        <w:rPr>
          <w:rFonts w:hint="default" w:ascii="Times New Roman" w:hAnsi="Times New Roman" w:cs="Times New Roman"/>
          <w:color w:val="000000" w:themeColor="text1"/>
          <w:szCs w:val="21"/>
          <w14:textFill>
            <w14:solidFill>
              <w14:schemeClr w14:val="tx1"/>
            </w14:solidFill>
          </w14:textFill>
        </w:rPr>
        <w:t>生产厂家按照实际情况合理选用校准规程，以促进我国企业的技术进步和产品质量上档次，提高我国产品在国际国内市场的竞争能力。</w:t>
      </w:r>
    </w:p>
    <w:p w14:paraId="3CA941A0">
      <w:pPr>
        <w:pStyle w:val="74"/>
        <w:tabs>
          <w:tab w:val="left" w:pos="426"/>
        </w:tabs>
        <w:spacing w:before="156" w:beforeLines="50" w:after="156" w:afterLines="50"/>
        <w:jc w:val="left"/>
        <w:rPr>
          <w:rFonts w:hint="default" w:ascii="Times New Roman" w:hAnsi="Times New Roman" w:cs="Times New Roman"/>
          <w:color w:val="000000" w:themeColor="text1"/>
          <w:sz w:val="28"/>
          <w:szCs w:val="28"/>
          <w14:textFill>
            <w14:solidFill>
              <w14:schemeClr w14:val="tx1"/>
            </w14:solidFill>
          </w14:textFill>
        </w:rPr>
      </w:pPr>
      <w:bookmarkStart w:id="83" w:name="_Toc464728977"/>
      <w:r>
        <w:rPr>
          <w:rFonts w:hint="default" w:ascii="Times New Roman" w:hAnsi="Times New Roman" w:cs="Times New Roman"/>
          <w:color w:val="000000" w:themeColor="text1"/>
          <w:sz w:val="28"/>
          <w:szCs w:val="28"/>
          <w14:textFill>
            <w14:solidFill>
              <w14:schemeClr w14:val="tx1"/>
            </w14:solidFill>
          </w14:textFill>
        </w:rPr>
        <w:t>十、</w:t>
      </w:r>
      <w:r>
        <w:rPr>
          <w:rFonts w:hint="default" w:ascii="Times New Roman" w:hAnsi="Times New Roman" w:cs="Times New Roman"/>
          <w:color w:val="000000" w:themeColor="text1"/>
          <w:sz w:val="28"/>
          <w:szCs w:val="28"/>
          <w14:textFill>
            <w14:solidFill>
              <w14:schemeClr w14:val="tx1"/>
            </w14:solidFill>
          </w14:textFill>
        </w:rPr>
        <w:t>废止现行有关规范的建议</w:t>
      </w:r>
      <w:bookmarkEnd w:id="83"/>
    </w:p>
    <w:p w14:paraId="7FC93B9C">
      <w:pPr>
        <w:pStyle w:val="58"/>
        <w:spacing w:line="300" w:lineRule="auto"/>
        <w:ind w:firstLine="420"/>
        <w:contextualSpacing/>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无</w:t>
      </w:r>
    </w:p>
    <w:p w14:paraId="6693ED67">
      <w:pPr>
        <w:pStyle w:val="74"/>
        <w:tabs>
          <w:tab w:val="left" w:pos="426"/>
        </w:tabs>
        <w:spacing w:before="156" w:beforeLines="50" w:after="156" w:afterLines="50"/>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十一、</w:t>
      </w:r>
      <w:r>
        <w:rPr>
          <w:rFonts w:hint="default" w:ascii="Times New Roman" w:hAnsi="Times New Roman" w:cs="Times New Roman"/>
          <w:color w:val="000000" w:themeColor="text1"/>
          <w:sz w:val="28"/>
          <w:szCs w:val="28"/>
          <w14:textFill>
            <w14:solidFill>
              <w14:schemeClr w14:val="tx1"/>
            </w14:solidFill>
          </w14:textFill>
        </w:rPr>
        <w:t>预期效果</w:t>
      </w:r>
    </w:p>
    <w:p w14:paraId="7ACEB7B9">
      <w:pPr>
        <w:pStyle w:val="58"/>
        <w:spacing w:line="300" w:lineRule="auto"/>
        <w:ind w:firstLineChars="0"/>
        <w:contextualSpacing/>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2"/>
          <w:szCs w:val="21"/>
          <w14:textFill>
            <w14:solidFill>
              <w14:schemeClr w14:val="tx1"/>
            </w14:solidFill>
          </w14:textFill>
        </w:rPr>
        <w:t>本规范的制定，具有极大的经济效益和社会效益，填补了有色金属行业领域校准空白，对</w:t>
      </w:r>
      <w:r>
        <w:rPr>
          <w:rFonts w:hint="default" w:ascii="Times New Roman" w:hAnsi="Times New Roman" w:cs="Times New Roman"/>
          <w:color w:val="000000" w:themeColor="text1"/>
          <w14:textFill>
            <w14:solidFill>
              <w14:schemeClr w14:val="tx1"/>
            </w14:solidFill>
          </w14:textFill>
        </w:rPr>
        <w:t>射线图像分辨力测试计特性的</w:t>
      </w:r>
      <w:r>
        <w:rPr>
          <w:rFonts w:hint="default" w:ascii="Times New Roman" w:hAnsi="Times New Roman" w:cs="Times New Roman"/>
          <w:color w:val="000000" w:themeColor="text1"/>
          <w:szCs w:val="21"/>
          <w14:textFill>
            <w14:solidFill>
              <w14:schemeClr w14:val="tx1"/>
            </w14:solidFill>
          </w14:textFill>
        </w:rPr>
        <w:t>校准过程提供了技术支撑。</w:t>
      </w:r>
    </w:p>
    <w:p w14:paraId="3A7FE196">
      <w:pPr>
        <w:pStyle w:val="74"/>
        <w:tabs>
          <w:tab w:val="left" w:pos="426"/>
        </w:tabs>
        <w:spacing w:before="156" w:beforeLines="50" w:after="156" w:afterLines="50"/>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Cs/>
          <w:color w:val="000000" w:themeColor="text1"/>
          <w:sz w:val="28"/>
          <w:szCs w:val="28"/>
          <w14:textFill>
            <w14:solidFill>
              <w14:schemeClr w14:val="tx1"/>
            </w14:solidFill>
          </w14:textFill>
        </w:rPr>
        <w:t>十二、</w:t>
      </w:r>
      <w:r>
        <w:rPr>
          <w:rFonts w:hint="default" w:ascii="Times New Roman" w:hAnsi="Times New Roman" w:cs="Times New Roman"/>
          <w:bCs/>
          <w:color w:val="000000" w:themeColor="text1"/>
          <w:sz w:val="28"/>
          <w:szCs w:val="28"/>
          <w14:textFill>
            <w14:solidFill>
              <w14:schemeClr w14:val="tx1"/>
            </w14:solidFill>
          </w14:textFill>
        </w:rPr>
        <w:t>其他应予说明的事项</w:t>
      </w:r>
    </w:p>
    <w:p w14:paraId="39BA465E">
      <w:pPr>
        <w:pStyle w:val="58"/>
        <w:spacing w:line="300" w:lineRule="auto"/>
        <w:ind w:firstLineChars="0"/>
        <w:contextualSpacing/>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无</w:t>
      </w:r>
    </w:p>
    <w:p w14:paraId="7289C67A">
      <w:pPr>
        <w:pStyle w:val="58"/>
        <w:spacing w:line="300" w:lineRule="auto"/>
        <w:ind w:firstLineChars="0"/>
        <w:contextualSpacing/>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eastAsia="黑体" w:cs="Times New Roman"/>
          <w:bCs/>
          <w:color w:val="000000" w:themeColor="text1"/>
          <w14:textFill>
            <w14:solidFill>
              <w14:schemeClr w14:val="tx1"/>
            </w14:solidFill>
          </w14:textFill>
        </w:rPr>
        <w:t xml:space="preserve">  </w:t>
      </w:r>
      <w:r>
        <w:rPr>
          <w:rFonts w:hint="default" w:ascii="Times New Roman" w:hAnsi="Times New Roman" w:eastAsia="方正行楷简体" w:cs="Times New Roman"/>
          <w:bCs/>
          <w:color w:val="000000" w:themeColor="text1"/>
          <w:szCs w:val="21"/>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射线图像分辨力测试计校准规范</w:t>
      </w:r>
      <w:r>
        <w:rPr>
          <w:rFonts w:hint="default" w:ascii="Times New Roman" w:hAnsi="Times New Roman" w:eastAsia="方正行楷简体" w:cs="Times New Roman"/>
          <w:bCs/>
          <w:color w:val="000000" w:themeColor="text1"/>
          <w:szCs w:val="21"/>
          <w14:textFill>
            <w14:solidFill>
              <w14:schemeClr w14:val="tx1"/>
            </w14:solidFill>
          </w14:textFill>
        </w:rPr>
        <w:t>》编制组  202</w:t>
      </w:r>
      <w:r>
        <w:rPr>
          <w:rFonts w:hint="eastAsia" w:ascii="Times New Roman" w:hAnsi="Times New Roman" w:eastAsia="方正行楷简体" w:cs="Times New Roman"/>
          <w:bCs/>
          <w:color w:val="000000" w:themeColor="text1"/>
          <w:szCs w:val="21"/>
          <w:lang w:val="en-US" w:eastAsia="zh-CN"/>
          <w14:textFill>
            <w14:solidFill>
              <w14:schemeClr w14:val="tx1"/>
            </w14:solidFill>
          </w14:textFill>
        </w:rPr>
        <w:t>6</w:t>
      </w:r>
      <w:r>
        <w:rPr>
          <w:rFonts w:hint="default" w:ascii="Times New Roman" w:hAnsi="Times New Roman" w:eastAsia="方正行楷简体" w:cs="Times New Roman"/>
          <w:bCs/>
          <w:color w:val="000000" w:themeColor="text1"/>
          <w:szCs w:val="21"/>
          <w14:textFill>
            <w14:solidFill>
              <w14:schemeClr w14:val="tx1"/>
            </w14:solidFill>
          </w14:textFill>
        </w:rPr>
        <w:t>年</w:t>
      </w:r>
      <w:r>
        <w:rPr>
          <w:rFonts w:hint="eastAsia" w:ascii="Times New Roman" w:hAnsi="Times New Roman" w:eastAsia="方正行楷简体" w:cs="Times New Roman"/>
          <w:bCs/>
          <w:color w:val="000000" w:themeColor="text1"/>
          <w:szCs w:val="21"/>
          <w:lang w:val="en-US" w:eastAsia="zh-CN"/>
          <w14:textFill>
            <w14:solidFill>
              <w14:schemeClr w14:val="tx1"/>
            </w14:solidFill>
          </w14:textFill>
        </w:rPr>
        <w:t>1</w:t>
      </w:r>
      <w:r>
        <w:rPr>
          <w:rFonts w:hint="default" w:ascii="Times New Roman" w:hAnsi="Times New Roman" w:eastAsia="方正行楷简体" w:cs="Times New Roman"/>
          <w:bCs/>
          <w:color w:val="000000" w:themeColor="text1"/>
          <w:szCs w:val="21"/>
          <w14:textFill>
            <w14:solidFill>
              <w14:schemeClr w14:val="tx1"/>
            </w14:solidFill>
          </w14:textFill>
        </w:rPr>
        <w:t>月</w:t>
      </w:r>
    </w:p>
    <w:p w14:paraId="338F41EB">
      <w:pPr>
        <w:pStyle w:val="58"/>
        <w:spacing w:line="300" w:lineRule="auto"/>
        <w:ind w:firstLine="420"/>
        <w:contextualSpacing/>
        <w:rPr>
          <w:rFonts w:hint="default" w:ascii="Times New Roman" w:hAnsi="Times New Roman" w:cs="Times New Roman"/>
          <w:color w:val="000000" w:themeColor="text1"/>
          <w:szCs w:val="21"/>
          <w14:textFill>
            <w14:solidFill>
              <w14:schemeClr w14:val="tx1"/>
            </w14:solidFill>
          </w14:textFill>
        </w:rPr>
      </w:pPr>
    </w:p>
    <w:sectPr>
      <w:footerReference r:id="rId9" w:type="first"/>
      <w:headerReference r:id="rId7" w:type="default"/>
      <w:footerReference r:id="rId8" w:type="default"/>
      <w:pgSz w:w="11907" w:h="16839"/>
      <w:pgMar w:top="1418" w:right="1134" w:bottom="1134" w:left="1418" w:header="1418"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行楷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44071">
    <w:pPr>
      <w:pStyle w:val="73"/>
      <w:rPr>
        <w:rStyle w:val="45"/>
      </w:rPr>
    </w:pPr>
    <w:r>
      <w:rPr>
        <w:rStyle w:val="45"/>
      </w:rPr>
      <w:fldChar w:fldCharType="begin"/>
    </w:r>
    <w:r>
      <w:rPr>
        <w:rStyle w:val="45"/>
      </w:rPr>
      <w:instrText xml:space="preserve">PAGE  </w:instrText>
    </w:r>
    <w:r>
      <w:rPr>
        <w:rStyle w:val="45"/>
      </w:rPr>
      <w:fldChar w:fldCharType="separate"/>
    </w:r>
    <w:r>
      <w:rPr>
        <w:rStyle w:val="45"/>
      </w:rPr>
      <w:t>I</w:t>
    </w:r>
    <w:r>
      <w:rPr>
        <w:rStyle w:val="4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009EA">
    <w:pPr>
      <w:pStyle w:val="69"/>
      <w:rPr>
        <w:rStyle w:val="45"/>
      </w:rPr>
    </w:pPr>
    <w:r>
      <w:rPr>
        <w:rStyle w:val="45"/>
      </w:rPr>
      <w:fldChar w:fldCharType="begin"/>
    </w:r>
    <w:r>
      <w:rPr>
        <w:rStyle w:val="45"/>
      </w:rPr>
      <w:instrText xml:space="preserve">PAGE  </w:instrText>
    </w:r>
    <w:r>
      <w:rPr>
        <w:rStyle w:val="45"/>
      </w:rPr>
      <w:fldChar w:fldCharType="separate"/>
    </w:r>
    <w:r>
      <w:rPr>
        <w:rStyle w:val="45"/>
      </w:rPr>
      <w:t>II</w:t>
    </w:r>
    <w:r>
      <w:rPr>
        <w:rStyle w:val="45"/>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35BCC">
    <w:pPr>
      <w:pStyle w:val="73"/>
      <w:jc w:val="center"/>
      <w:rPr>
        <w:rStyle w:val="45"/>
      </w:rPr>
    </w:pPr>
    <w:r>
      <w:fldChar w:fldCharType="begin"/>
    </w:r>
    <w:r>
      <w:rPr>
        <w:rStyle w:val="45"/>
      </w:rPr>
      <w:instrText xml:space="preserve">PAGE  </w:instrText>
    </w:r>
    <w:r>
      <w:fldChar w:fldCharType="separate"/>
    </w:r>
    <w:r>
      <w:rPr>
        <w:rStyle w:val="45"/>
      </w:rPr>
      <w:t>3</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CCC42">
    <w:pPr>
      <w:pStyle w:val="30"/>
      <w:jc w:val="both"/>
    </w:pPr>
  </w:p>
  <w:p w14:paraId="4B0DF425">
    <w:pPr>
      <w:pStyle w:val="30"/>
      <w:jc w:val="center"/>
      <w:rPr>
        <w:rFonts w:ascii="宋体" w:hAnsi="宋体"/>
        <w:sz w:val="21"/>
      </w:rPr>
    </w:pPr>
    <w:r>
      <w:rPr>
        <w:rFonts w:hint="eastAsia" w:ascii="宋体" w:hAnsi="宋体"/>
        <w:sz w:val="21"/>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CE266">
    <w:pPr>
      <w:pStyle w:val="89"/>
      <w:wordWrap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AA9E7">
    <w:pPr>
      <w:pStyle w:val="93"/>
    </w:pPr>
    <w:r>
      <w:t>GB/TXXX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6D49A">
    <w:pPr>
      <w:pStyle w:val="61"/>
      <w:spacing w:before="120"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none"/>
      <w:pStyle w:val="80"/>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C"/>
    <w:multiLevelType w:val="multilevel"/>
    <w:tmpl w:val="0000000C"/>
    <w:lvl w:ilvl="0" w:tentative="0">
      <w:start w:val="1"/>
      <w:numFmt w:val="none"/>
      <w:pStyle w:val="108"/>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10"/>
    <w:multiLevelType w:val="multilevel"/>
    <w:tmpl w:val="00000010"/>
    <w:lvl w:ilvl="0" w:tentative="0">
      <w:start w:val="1"/>
      <w:numFmt w:val="none"/>
      <w:pStyle w:val="91"/>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3"/>
    <w:multiLevelType w:val="multilevel"/>
    <w:tmpl w:val="00000013"/>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pacing w:val="0"/>
        <w:w w:val="100"/>
        <w:kern w:val="21"/>
        <w:sz w:val="21"/>
      </w:rPr>
    </w:lvl>
    <w:lvl w:ilvl="2" w:tentative="0">
      <w:start w:val="1"/>
      <w:numFmt w:val="decimal"/>
      <w:pStyle w:val="118"/>
      <w:suff w:val="nothing"/>
      <w:lvlText w:val="%1%2.%3　"/>
      <w:lvlJc w:val="left"/>
      <w:pPr>
        <w:ind w:left="0" w:firstLine="0"/>
      </w:pPr>
      <w:rPr>
        <w:rFonts w:hint="eastAsia" w:ascii="黑体" w:hAnsi="Times New Roman" w:eastAsia="黑体"/>
        <w:b w:val="0"/>
        <w:i w:val="0"/>
        <w:sz w:val="21"/>
      </w:rPr>
    </w:lvl>
    <w:lvl w:ilvl="3" w:tentative="0">
      <w:start w:val="1"/>
      <w:numFmt w:val="decimal"/>
      <w:pStyle w:val="94"/>
      <w:suff w:val="nothing"/>
      <w:lvlText w:val="%1%2.%3.%4　"/>
      <w:lvlJc w:val="left"/>
      <w:pPr>
        <w:ind w:left="0" w:firstLine="0"/>
      </w:pPr>
      <w:rPr>
        <w:rFonts w:hint="eastAsia" w:ascii="黑体" w:hAnsi="Times New Roman" w:eastAsia="黑体"/>
        <w:b w:val="0"/>
        <w:i w:val="0"/>
        <w:sz w:val="21"/>
      </w:rPr>
    </w:lvl>
    <w:lvl w:ilvl="4" w:tentative="0">
      <w:start w:val="1"/>
      <w:numFmt w:val="decimal"/>
      <w:pStyle w:val="116"/>
      <w:suff w:val="nothing"/>
      <w:lvlText w:val="%1%2.%3.%4.%5　"/>
      <w:lvlJc w:val="left"/>
      <w:pPr>
        <w:ind w:left="0" w:firstLine="0"/>
      </w:pPr>
      <w:rPr>
        <w:rFonts w:hint="eastAsia" w:ascii="黑体" w:hAnsi="Times New Roman" w:eastAsia="黑体"/>
        <w:b w:val="0"/>
        <w:i w:val="0"/>
        <w:sz w:val="21"/>
      </w:rPr>
    </w:lvl>
    <w:lvl w:ilvl="5" w:tentative="0">
      <w:start w:val="1"/>
      <w:numFmt w:val="decimal"/>
      <w:pStyle w:val="110"/>
      <w:suff w:val="nothing"/>
      <w:lvlText w:val="%1%2.%3.%4.%5.%6　"/>
      <w:lvlJc w:val="left"/>
      <w:pPr>
        <w:ind w:left="0" w:firstLine="0"/>
      </w:pPr>
      <w:rPr>
        <w:rFonts w:hint="eastAsia" w:ascii="黑体" w:hAnsi="Times New Roman" w:eastAsia="黑体"/>
        <w:b w:val="0"/>
        <w:i w:val="0"/>
        <w:sz w:val="21"/>
      </w:rPr>
    </w:lvl>
    <w:lvl w:ilvl="6" w:tentative="0">
      <w:start w:val="1"/>
      <w:numFmt w:val="decimal"/>
      <w:pStyle w:val="8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14"/>
    <w:multiLevelType w:val="multilevel"/>
    <w:tmpl w:val="00000014"/>
    <w:lvl w:ilvl="0" w:tentative="0">
      <w:start w:val="1"/>
      <w:numFmt w:val="none"/>
      <w:pStyle w:val="115"/>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000015"/>
    <w:multiLevelType w:val="multilevel"/>
    <w:tmpl w:val="00000015"/>
    <w:lvl w:ilvl="0" w:tentative="0">
      <w:start w:val="1"/>
      <w:numFmt w:val="upperLetter"/>
      <w:pStyle w:val="65"/>
      <w:suff w:val="nothing"/>
      <w:lvlText w:val="附　录　%1"/>
      <w:lvlJc w:val="left"/>
      <w:pPr>
        <w:ind w:left="0" w:firstLine="0"/>
      </w:pPr>
      <w:rPr>
        <w:rFonts w:hint="eastAsia" w:ascii="黑体" w:hAnsi="Times New Roman" w:eastAsia="黑体"/>
        <w:b w:val="0"/>
        <w:i w:val="0"/>
        <w:sz w:val="21"/>
      </w:rPr>
    </w:lvl>
    <w:lvl w:ilvl="1" w:tentative="0">
      <w:start w:val="1"/>
      <w:numFmt w:val="japaneseCounting"/>
      <w:pStyle w:val="79"/>
      <w:lvlText w:val="（%2）"/>
      <w:lvlJc w:val="left"/>
      <w:pPr>
        <w:ind w:left="0" w:firstLine="0"/>
      </w:pPr>
      <w:rPr>
        <w:rFonts w:hint="default"/>
        <w:b w:val="0"/>
        <w:i w:val="0"/>
        <w:spacing w:val="0"/>
        <w:w w:val="100"/>
        <w:kern w:val="21"/>
        <w:sz w:val="21"/>
      </w:rPr>
    </w:lvl>
    <w:lvl w:ilvl="2" w:tentative="0">
      <w:start w:val="1"/>
      <w:numFmt w:val="decimal"/>
      <w:pStyle w:val="103"/>
      <w:suff w:val="nothing"/>
      <w:lvlText w:val="%1.%2.%3　"/>
      <w:lvlJc w:val="left"/>
      <w:pPr>
        <w:ind w:left="0" w:firstLine="0"/>
      </w:pPr>
      <w:rPr>
        <w:rFonts w:hint="eastAsia" w:ascii="黑体" w:hAnsi="Times New Roman" w:eastAsia="黑体"/>
        <w:b w:val="0"/>
        <w:i w:val="0"/>
        <w:sz w:val="21"/>
      </w:rPr>
    </w:lvl>
    <w:lvl w:ilvl="3" w:tentative="0">
      <w:start w:val="1"/>
      <w:numFmt w:val="decimal"/>
      <w:pStyle w:val="102"/>
      <w:suff w:val="nothing"/>
      <w:lvlText w:val="%1.%2.%3.%4　"/>
      <w:lvlJc w:val="left"/>
      <w:pPr>
        <w:ind w:left="0" w:firstLine="0"/>
      </w:pPr>
      <w:rPr>
        <w:rFonts w:hint="eastAsia" w:ascii="黑体" w:hAnsi="Times New Roman" w:eastAsia="黑体"/>
        <w:b w:val="0"/>
        <w:i w:val="0"/>
        <w:sz w:val="21"/>
      </w:rPr>
    </w:lvl>
    <w:lvl w:ilvl="4" w:tentative="0">
      <w:start w:val="1"/>
      <w:numFmt w:val="decimal"/>
      <w:pStyle w:val="101"/>
      <w:suff w:val="nothing"/>
      <w:lvlText w:val="%1.%2.%3.%4.%5　"/>
      <w:lvlJc w:val="left"/>
      <w:pPr>
        <w:ind w:left="0" w:firstLine="0"/>
      </w:pPr>
      <w:rPr>
        <w:rFonts w:hint="eastAsia" w:ascii="黑体" w:hAnsi="Times New Roman" w:eastAsia="黑体"/>
        <w:b w:val="0"/>
        <w:i w:val="0"/>
        <w:sz w:val="21"/>
      </w:rPr>
    </w:lvl>
    <w:lvl w:ilvl="5" w:tentative="0">
      <w:start w:val="1"/>
      <w:numFmt w:val="decimal"/>
      <w:pStyle w:val="100"/>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19"/>
    <w:multiLevelType w:val="multilevel"/>
    <w:tmpl w:val="00000019"/>
    <w:lvl w:ilvl="0" w:tentative="0">
      <w:start w:val="1"/>
      <w:numFmt w:val="decimal"/>
      <w:pStyle w:val="107"/>
      <w:suff w:val="nothing"/>
      <w:lvlText w:val="表%1　"/>
      <w:lvlJc w:val="left"/>
      <w:pPr>
        <w:ind w:left="3403" w:firstLine="0"/>
      </w:pPr>
      <w:rPr>
        <w:rFonts w:hint="eastAsia" w:ascii="黑体" w:hAnsi="Times New Roman" w:eastAsia="黑体"/>
        <w:b w:val="0"/>
        <w:i w:val="0"/>
        <w:sz w:val="21"/>
      </w:rPr>
    </w:lvl>
    <w:lvl w:ilvl="1" w:tentative="0">
      <w:start w:val="1"/>
      <w:numFmt w:val="decimal"/>
      <w:lvlText w:val="%1.%2"/>
      <w:lvlJc w:val="left"/>
      <w:pPr>
        <w:tabs>
          <w:tab w:val="left" w:pos="1202"/>
        </w:tabs>
        <w:ind w:left="1202" w:hanging="567"/>
      </w:pPr>
      <w:rPr>
        <w:rFonts w:hint="eastAsia"/>
      </w:rPr>
    </w:lvl>
    <w:lvl w:ilvl="2" w:tentative="0">
      <w:start w:val="1"/>
      <w:numFmt w:val="decimal"/>
      <w:lvlText w:val="%1.%2.%3"/>
      <w:lvlJc w:val="left"/>
      <w:pPr>
        <w:tabs>
          <w:tab w:val="left" w:pos="1628"/>
        </w:tabs>
        <w:ind w:left="1628" w:hanging="567"/>
      </w:pPr>
      <w:rPr>
        <w:rFonts w:hint="eastAsia"/>
      </w:rPr>
    </w:lvl>
    <w:lvl w:ilvl="3" w:tentative="0">
      <w:start w:val="1"/>
      <w:numFmt w:val="decimal"/>
      <w:lvlText w:val="%1.%2.%3.%4"/>
      <w:lvlJc w:val="left"/>
      <w:pPr>
        <w:tabs>
          <w:tab w:val="left" w:pos="2194"/>
        </w:tabs>
        <w:ind w:left="2194" w:hanging="708"/>
      </w:pPr>
      <w:rPr>
        <w:rFonts w:hint="eastAsia"/>
      </w:rPr>
    </w:lvl>
    <w:lvl w:ilvl="4" w:tentative="0">
      <w:start w:val="1"/>
      <w:numFmt w:val="decimal"/>
      <w:lvlText w:val="%1.%2.%3.%4.%5"/>
      <w:lvlJc w:val="left"/>
      <w:pPr>
        <w:tabs>
          <w:tab w:val="left" w:pos="2761"/>
        </w:tabs>
        <w:ind w:left="2761" w:hanging="850"/>
      </w:pPr>
      <w:rPr>
        <w:rFonts w:hint="eastAsia"/>
      </w:rPr>
    </w:lvl>
    <w:lvl w:ilvl="5" w:tentative="0">
      <w:start w:val="1"/>
      <w:numFmt w:val="decimal"/>
      <w:lvlText w:val="%1.%2.%3.%4.%5.%6"/>
      <w:lvlJc w:val="left"/>
      <w:pPr>
        <w:tabs>
          <w:tab w:val="left" w:pos="3470"/>
        </w:tabs>
        <w:ind w:left="3470" w:hanging="1134"/>
      </w:pPr>
      <w:rPr>
        <w:rFonts w:hint="eastAsia"/>
      </w:rPr>
    </w:lvl>
    <w:lvl w:ilvl="6" w:tentative="0">
      <w:start w:val="1"/>
      <w:numFmt w:val="decimal"/>
      <w:lvlText w:val="%1.%2.%3.%4.%5.%6.%7"/>
      <w:lvlJc w:val="left"/>
      <w:pPr>
        <w:tabs>
          <w:tab w:val="left" w:pos="4037"/>
        </w:tabs>
        <w:ind w:left="4037" w:hanging="1276"/>
      </w:pPr>
      <w:rPr>
        <w:rFonts w:hint="eastAsia"/>
      </w:rPr>
    </w:lvl>
    <w:lvl w:ilvl="7" w:tentative="0">
      <w:start w:val="1"/>
      <w:numFmt w:val="decimal"/>
      <w:lvlText w:val="%1.%2.%3.%4.%5.%6.%7.%8"/>
      <w:lvlJc w:val="left"/>
      <w:pPr>
        <w:tabs>
          <w:tab w:val="left" w:pos="4604"/>
        </w:tabs>
        <w:ind w:left="4604" w:hanging="1418"/>
      </w:pPr>
      <w:rPr>
        <w:rFonts w:hint="eastAsia"/>
      </w:rPr>
    </w:lvl>
    <w:lvl w:ilvl="8" w:tentative="0">
      <w:start w:val="1"/>
      <w:numFmt w:val="decimal"/>
      <w:lvlText w:val="%1.%2.%3.%4.%5.%6.%7.%8.%9"/>
      <w:lvlJc w:val="left"/>
      <w:pPr>
        <w:tabs>
          <w:tab w:val="left" w:pos="5312"/>
        </w:tabs>
        <w:ind w:left="5312" w:hanging="1700"/>
      </w:pPr>
      <w:rPr>
        <w:rFonts w:hint="eastAsia"/>
      </w:rPr>
    </w:lvl>
  </w:abstractNum>
  <w:abstractNum w:abstractNumId="7">
    <w:nsid w:val="00000022"/>
    <w:multiLevelType w:val="multilevel"/>
    <w:tmpl w:val="00000022"/>
    <w:lvl w:ilvl="0" w:tentative="0">
      <w:start w:val="1"/>
      <w:numFmt w:val="decimal"/>
      <w:pStyle w:val="90"/>
      <w:suff w:val="nothing"/>
      <w:lvlText w:val="图%1　"/>
      <w:lvlJc w:val="left"/>
      <w:pPr>
        <w:ind w:left="0" w:firstLine="0"/>
      </w:pPr>
      <w:rPr>
        <w:rFonts w:hint="eastAsia" w:ascii="黑体" w:hAnsi="Times New Roman" w:eastAsia="黑体"/>
        <w:b w:val="0"/>
        <w:i w:val="0"/>
        <w:color w:val="auto"/>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00000025"/>
    <w:multiLevelType w:val="multilevel"/>
    <w:tmpl w:val="00000025"/>
    <w:lvl w:ilvl="0" w:tentative="0">
      <w:start w:val="1"/>
      <w:numFmt w:val="none"/>
      <w:pStyle w:val="66"/>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default" w:ascii="Times New Roman" w:hAnsi="Times New Roman" w:eastAsia="黑体" w:cs="Times New Roman"/>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284"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color w:val="auto"/>
        <w:sz w:val="21"/>
        <w:lang w:val="en-US"/>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00000027"/>
    <w:multiLevelType w:val="multilevel"/>
    <w:tmpl w:val="00000027"/>
    <w:lvl w:ilvl="0" w:tentative="0">
      <w:start w:val="1"/>
      <w:numFmt w:val="none"/>
      <w:pStyle w:val="72"/>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8"/>
  </w:num>
  <w:num w:numId="3">
    <w:abstractNumId w:val="9"/>
  </w:num>
  <w:num w:numId="4">
    <w:abstractNumId w:val="0"/>
  </w:num>
  <w:num w:numId="5">
    <w:abstractNumId w:val="3"/>
  </w:num>
  <w:num w:numId="6">
    <w:abstractNumId w:val="7"/>
  </w:num>
  <w:num w:numId="7">
    <w:abstractNumId w:val="2"/>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hideSpellingErrors/>
  <w:attachedTemplate r:id="rId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YzQ5ZTYwYzQ2MWVlNjQ3MTZkZjlkMGQ5NzQ4NGEifQ=="/>
    <w:docVar w:name="KSO_WPS_MARK_KEY" w:val="2965cdb0-4b2f-43f6-a206-c59fbdddaa17"/>
  </w:docVars>
  <w:rsids>
    <w:rsidRoot w:val="00693668"/>
    <w:rsid w:val="00001F60"/>
    <w:rsid w:val="000038F0"/>
    <w:rsid w:val="000043DD"/>
    <w:rsid w:val="00004648"/>
    <w:rsid w:val="00013992"/>
    <w:rsid w:val="00014C66"/>
    <w:rsid w:val="00020BD2"/>
    <w:rsid w:val="000211BF"/>
    <w:rsid w:val="00021A9F"/>
    <w:rsid w:val="000237D4"/>
    <w:rsid w:val="0002700F"/>
    <w:rsid w:val="000306E4"/>
    <w:rsid w:val="000309D7"/>
    <w:rsid w:val="00032AC7"/>
    <w:rsid w:val="00032F98"/>
    <w:rsid w:val="00034584"/>
    <w:rsid w:val="00036A21"/>
    <w:rsid w:val="00036F02"/>
    <w:rsid w:val="00040A01"/>
    <w:rsid w:val="0004299E"/>
    <w:rsid w:val="00043D6D"/>
    <w:rsid w:val="00057128"/>
    <w:rsid w:val="0005764E"/>
    <w:rsid w:val="000657B2"/>
    <w:rsid w:val="0006679C"/>
    <w:rsid w:val="0007070D"/>
    <w:rsid w:val="000713AC"/>
    <w:rsid w:val="00073A74"/>
    <w:rsid w:val="00084878"/>
    <w:rsid w:val="000971D5"/>
    <w:rsid w:val="000A0366"/>
    <w:rsid w:val="000C5C42"/>
    <w:rsid w:val="000C772A"/>
    <w:rsid w:val="000C794F"/>
    <w:rsid w:val="000C7E86"/>
    <w:rsid w:val="000D1F80"/>
    <w:rsid w:val="000F15FB"/>
    <w:rsid w:val="000F714B"/>
    <w:rsid w:val="00100912"/>
    <w:rsid w:val="00104CBC"/>
    <w:rsid w:val="001135C9"/>
    <w:rsid w:val="001164A0"/>
    <w:rsid w:val="0012155C"/>
    <w:rsid w:val="00122AD8"/>
    <w:rsid w:val="00122CAF"/>
    <w:rsid w:val="00123CAD"/>
    <w:rsid w:val="00135907"/>
    <w:rsid w:val="00136813"/>
    <w:rsid w:val="0014120B"/>
    <w:rsid w:val="00150062"/>
    <w:rsid w:val="001527ED"/>
    <w:rsid w:val="001567DA"/>
    <w:rsid w:val="0016112D"/>
    <w:rsid w:val="00163830"/>
    <w:rsid w:val="0016493A"/>
    <w:rsid w:val="00176888"/>
    <w:rsid w:val="00176E29"/>
    <w:rsid w:val="001859F4"/>
    <w:rsid w:val="0019431C"/>
    <w:rsid w:val="001A4F75"/>
    <w:rsid w:val="001B76E1"/>
    <w:rsid w:val="001C0648"/>
    <w:rsid w:val="001C13CE"/>
    <w:rsid w:val="001C7BB8"/>
    <w:rsid w:val="001D0501"/>
    <w:rsid w:val="001D6A71"/>
    <w:rsid w:val="001E0288"/>
    <w:rsid w:val="001E09C6"/>
    <w:rsid w:val="001F5BEC"/>
    <w:rsid w:val="001F6C6F"/>
    <w:rsid w:val="0020375B"/>
    <w:rsid w:val="00220437"/>
    <w:rsid w:val="00225EC9"/>
    <w:rsid w:val="00235374"/>
    <w:rsid w:val="00235FD4"/>
    <w:rsid w:val="0023708A"/>
    <w:rsid w:val="00247447"/>
    <w:rsid w:val="00247A7D"/>
    <w:rsid w:val="00255EB1"/>
    <w:rsid w:val="002618A8"/>
    <w:rsid w:val="002732FF"/>
    <w:rsid w:val="00275F7A"/>
    <w:rsid w:val="00280BE9"/>
    <w:rsid w:val="002849BB"/>
    <w:rsid w:val="00291548"/>
    <w:rsid w:val="002977EC"/>
    <w:rsid w:val="002A1305"/>
    <w:rsid w:val="002A45F0"/>
    <w:rsid w:val="002B21A9"/>
    <w:rsid w:val="002B225D"/>
    <w:rsid w:val="002C156B"/>
    <w:rsid w:val="002D0634"/>
    <w:rsid w:val="002D16B1"/>
    <w:rsid w:val="002D2103"/>
    <w:rsid w:val="002E6C19"/>
    <w:rsid w:val="002F4E61"/>
    <w:rsid w:val="002F6135"/>
    <w:rsid w:val="003012C4"/>
    <w:rsid w:val="00305CB9"/>
    <w:rsid w:val="00307A90"/>
    <w:rsid w:val="003113C5"/>
    <w:rsid w:val="00314BA2"/>
    <w:rsid w:val="0032338B"/>
    <w:rsid w:val="0033057E"/>
    <w:rsid w:val="003318C1"/>
    <w:rsid w:val="00335FEC"/>
    <w:rsid w:val="0034125E"/>
    <w:rsid w:val="00343AD0"/>
    <w:rsid w:val="00352269"/>
    <w:rsid w:val="00366AF1"/>
    <w:rsid w:val="003711BF"/>
    <w:rsid w:val="00373555"/>
    <w:rsid w:val="00385CB6"/>
    <w:rsid w:val="00396BE7"/>
    <w:rsid w:val="00397407"/>
    <w:rsid w:val="003A2156"/>
    <w:rsid w:val="003B0148"/>
    <w:rsid w:val="003B314C"/>
    <w:rsid w:val="003C2376"/>
    <w:rsid w:val="003C685D"/>
    <w:rsid w:val="003C751A"/>
    <w:rsid w:val="003D2276"/>
    <w:rsid w:val="003E10E7"/>
    <w:rsid w:val="003E237F"/>
    <w:rsid w:val="003E6B09"/>
    <w:rsid w:val="003F2C11"/>
    <w:rsid w:val="00400515"/>
    <w:rsid w:val="00400BF2"/>
    <w:rsid w:val="0040777C"/>
    <w:rsid w:val="00411DC2"/>
    <w:rsid w:val="00415481"/>
    <w:rsid w:val="00416978"/>
    <w:rsid w:val="00423CBD"/>
    <w:rsid w:val="00423FDF"/>
    <w:rsid w:val="0042558A"/>
    <w:rsid w:val="004257BB"/>
    <w:rsid w:val="00425D1F"/>
    <w:rsid w:val="004315D8"/>
    <w:rsid w:val="00441D4A"/>
    <w:rsid w:val="004508BB"/>
    <w:rsid w:val="00455FE9"/>
    <w:rsid w:val="0046211B"/>
    <w:rsid w:val="00464019"/>
    <w:rsid w:val="0047332D"/>
    <w:rsid w:val="0048362B"/>
    <w:rsid w:val="00485BA4"/>
    <w:rsid w:val="00486647"/>
    <w:rsid w:val="00497039"/>
    <w:rsid w:val="004972C4"/>
    <w:rsid w:val="004A1291"/>
    <w:rsid w:val="004A27E5"/>
    <w:rsid w:val="004B1DE2"/>
    <w:rsid w:val="004B3BD5"/>
    <w:rsid w:val="004C4790"/>
    <w:rsid w:val="004C6FDF"/>
    <w:rsid w:val="004D46FE"/>
    <w:rsid w:val="004E1361"/>
    <w:rsid w:val="004E2FD4"/>
    <w:rsid w:val="004E4C45"/>
    <w:rsid w:val="004E5080"/>
    <w:rsid w:val="00521FA9"/>
    <w:rsid w:val="005237EC"/>
    <w:rsid w:val="00525994"/>
    <w:rsid w:val="00526AEB"/>
    <w:rsid w:val="0052761B"/>
    <w:rsid w:val="005305AE"/>
    <w:rsid w:val="00531FA0"/>
    <w:rsid w:val="00536268"/>
    <w:rsid w:val="00536BFA"/>
    <w:rsid w:val="005535AA"/>
    <w:rsid w:val="0055489A"/>
    <w:rsid w:val="00556AC4"/>
    <w:rsid w:val="005608DA"/>
    <w:rsid w:val="00567271"/>
    <w:rsid w:val="005709C3"/>
    <w:rsid w:val="0059121E"/>
    <w:rsid w:val="005924E7"/>
    <w:rsid w:val="00593500"/>
    <w:rsid w:val="005944B9"/>
    <w:rsid w:val="005A5A5D"/>
    <w:rsid w:val="005A7971"/>
    <w:rsid w:val="005B2B0B"/>
    <w:rsid w:val="005B3A80"/>
    <w:rsid w:val="005B5BAB"/>
    <w:rsid w:val="005C0BE7"/>
    <w:rsid w:val="005C2448"/>
    <w:rsid w:val="005C5662"/>
    <w:rsid w:val="005C769A"/>
    <w:rsid w:val="005D60F8"/>
    <w:rsid w:val="005D7687"/>
    <w:rsid w:val="005E67C7"/>
    <w:rsid w:val="005F42DD"/>
    <w:rsid w:val="005F759F"/>
    <w:rsid w:val="00601ADF"/>
    <w:rsid w:val="00606487"/>
    <w:rsid w:val="00613632"/>
    <w:rsid w:val="00623451"/>
    <w:rsid w:val="00624A40"/>
    <w:rsid w:val="00625140"/>
    <w:rsid w:val="0062664E"/>
    <w:rsid w:val="00627726"/>
    <w:rsid w:val="006320F5"/>
    <w:rsid w:val="00633572"/>
    <w:rsid w:val="00636E32"/>
    <w:rsid w:val="00637AB5"/>
    <w:rsid w:val="00640443"/>
    <w:rsid w:val="00642A06"/>
    <w:rsid w:val="00644C6D"/>
    <w:rsid w:val="006510D6"/>
    <w:rsid w:val="00660A77"/>
    <w:rsid w:val="006659C6"/>
    <w:rsid w:val="00667FDB"/>
    <w:rsid w:val="00672533"/>
    <w:rsid w:val="006738AA"/>
    <w:rsid w:val="00676748"/>
    <w:rsid w:val="006820CD"/>
    <w:rsid w:val="00683E68"/>
    <w:rsid w:val="00686643"/>
    <w:rsid w:val="00693668"/>
    <w:rsid w:val="00696677"/>
    <w:rsid w:val="006B0DFD"/>
    <w:rsid w:val="006B3185"/>
    <w:rsid w:val="006B43C4"/>
    <w:rsid w:val="006B56BB"/>
    <w:rsid w:val="006C188A"/>
    <w:rsid w:val="006C2258"/>
    <w:rsid w:val="006C2AF8"/>
    <w:rsid w:val="006D0F7A"/>
    <w:rsid w:val="006D1B98"/>
    <w:rsid w:val="006D68A7"/>
    <w:rsid w:val="006D7E99"/>
    <w:rsid w:val="006E11F0"/>
    <w:rsid w:val="00700A25"/>
    <w:rsid w:val="00724E03"/>
    <w:rsid w:val="00733C71"/>
    <w:rsid w:val="00735A75"/>
    <w:rsid w:val="007373AB"/>
    <w:rsid w:val="00740702"/>
    <w:rsid w:val="00743BA2"/>
    <w:rsid w:val="00743BAC"/>
    <w:rsid w:val="00746BAC"/>
    <w:rsid w:val="00750ED3"/>
    <w:rsid w:val="00761266"/>
    <w:rsid w:val="0076466C"/>
    <w:rsid w:val="00764D0A"/>
    <w:rsid w:val="00765621"/>
    <w:rsid w:val="00770269"/>
    <w:rsid w:val="007878E5"/>
    <w:rsid w:val="007901C0"/>
    <w:rsid w:val="007902D1"/>
    <w:rsid w:val="007A3BEE"/>
    <w:rsid w:val="007B580F"/>
    <w:rsid w:val="007B6244"/>
    <w:rsid w:val="007C15E3"/>
    <w:rsid w:val="007C4DEB"/>
    <w:rsid w:val="007D6EED"/>
    <w:rsid w:val="007E21C3"/>
    <w:rsid w:val="007E3483"/>
    <w:rsid w:val="007E56C9"/>
    <w:rsid w:val="00804BC8"/>
    <w:rsid w:val="008117A3"/>
    <w:rsid w:val="00817131"/>
    <w:rsid w:val="00820F69"/>
    <w:rsid w:val="00823C1D"/>
    <w:rsid w:val="00824B04"/>
    <w:rsid w:val="008353D7"/>
    <w:rsid w:val="00841A27"/>
    <w:rsid w:val="008461B6"/>
    <w:rsid w:val="0085122B"/>
    <w:rsid w:val="0086056F"/>
    <w:rsid w:val="0086378F"/>
    <w:rsid w:val="00865F38"/>
    <w:rsid w:val="008673E6"/>
    <w:rsid w:val="008754EE"/>
    <w:rsid w:val="00876D87"/>
    <w:rsid w:val="008840F2"/>
    <w:rsid w:val="008B22FC"/>
    <w:rsid w:val="008B38E0"/>
    <w:rsid w:val="008B642C"/>
    <w:rsid w:val="008C16C8"/>
    <w:rsid w:val="008C672E"/>
    <w:rsid w:val="008C6FB7"/>
    <w:rsid w:val="008C7D6D"/>
    <w:rsid w:val="008E0E28"/>
    <w:rsid w:val="008E415E"/>
    <w:rsid w:val="008F1961"/>
    <w:rsid w:val="008F5DCA"/>
    <w:rsid w:val="009034C1"/>
    <w:rsid w:val="009052E4"/>
    <w:rsid w:val="009111C1"/>
    <w:rsid w:val="00913ED1"/>
    <w:rsid w:val="009148E0"/>
    <w:rsid w:val="00921F0C"/>
    <w:rsid w:val="00932D0B"/>
    <w:rsid w:val="00933D2C"/>
    <w:rsid w:val="009359EC"/>
    <w:rsid w:val="00944D55"/>
    <w:rsid w:val="00946B7D"/>
    <w:rsid w:val="009513C5"/>
    <w:rsid w:val="00954DA4"/>
    <w:rsid w:val="00967A11"/>
    <w:rsid w:val="00967BBB"/>
    <w:rsid w:val="00971240"/>
    <w:rsid w:val="009737CF"/>
    <w:rsid w:val="00982373"/>
    <w:rsid w:val="009919FE"/>
    <w:rsid w:val="009A12AB"/>
    <w:rsid w:val="009A15B2"/>
    <w:rsid w:val="009B4929"/>
    <w:rsid w:val="009B561F"/>
    <w:rsid w:val="009C0597"/>
    <w:rsid w:val="009C2D10"/>
    <w:rsid w:val="009C3FBE"/>
    <w:rsid w:val="009D0283"/>
    <w:rsid w:val="009D4598"/>
    <w:rsid w:val="009D79FA"/>
    <w:rsid w:val="009E3D09"/>
    <w:rsid w:val="009F420F"/>
    <w:rsid w:val="00A06113"/>
    <w:rsid w:val="00A07D5A"/>
    <w:rsid w:val="00A11A21"/>
    <w:rsid w:val="00A12727"/>
    <w:rsid w:val="00A1378A"/>
    <w:rsid w:val="00A1497C"/>
    <w:rsid w:val="00A15577"/>
    <w:rsid w:val="00A217C9"/>
    <w:rsid w:val="00A27370"/>
    <w:rsid w:val="00A30766"/>
    <w:rsid w:val="00A3211C"/>
    <w:rsid w:val="00A36107"/>
    <w:rsid w:val="00A363F7"/>
    <w:rsid w:val="00A40585"/>
    <w:rsid w:val="00A40E4F"/>
    <w:rsid w:val="00A419FA"/>
    <w:rsid w:val="00A433E8"/>
    <w:rsid w:val="00A47FE2"/>
    <w:rsid w:val="00A55144"/>
    <w:rsid w:val="00A56163"/>
    <w:rsid w:val="00A570CD"/>
    <w:rsid w:val="00A57E1E"/>
    <w:rsid w:val="00A57FA5"/>
    <w:rsid w:val="00A62F1A"/>
    <w:rsid w:val="00A70B91"/>
    <w:rsid w:val="00A77511"/>
    <w:rsid w:val="00A7790F"/>
    <w:rsid w:val="00A8043A"/>
    <w:rsid w:val="00A8426B"/>
    <w:rsid w:val="00A86AF0"/>
    <w:rsid w:val="00A872B0"/>
    <w:rsid w:val="00A87866"/>
    <w:rsid w:val="00A91553"/>
    <w:rsid w:val="00AA53FB"/>
    <w:rsid w:val="00AB190F"/>
    <w:rsid w:val="00AB1F90"/>
    <w:rsid w:val="00AC0924"/>
    <w:rsid w:val="00AC1E7A"/>
    <w:rsid w:val="00AD093B"/>
    <w:rsid w:val="00AD2E0B"/>
    <w:rsid w:val="00AD5E7E"/>
    <w:rsid w:val="00AE0B35"/>
    <w:rsid w:val="00AE47AC"/>
    <w:rsid w:val="00AE69D6"/>
    <w:rsid w:val="00AF7111"/>
    <w:rsid w:val="00B056DA"/>
    <w:rsid w:val="00B05E25"/>
    <w:rsid w:val="00B07889"/>
    <w:rsid w:val="00B07D3B"/>
    <w:rsid w:val="00B173B2"/>
    <w:rsid w:val="00B369B6"/>
    <w:rsid w:val="00B43636"/>
    <w:rsid w:val="00B45E9C"/>
    <w:rsid w:val="00B51F09"/>
    <w:rsid w:val="00B52A59"/>
    <w:rsid w:val="00B53389"/>
    <w:rsid w:val="00B5408F"/>
    <w:rsid w:val="00B60FA7"/>
    <w:rsid w:val="00B614F2"/>
    <w:rsid w:val="00B64603"/>
    <w:rsid w:val="00B706F7"/>
    <w:rsid w:val="00B7116A"/>
    <w:rsid w:val="00B75677"/>
    <w:rsid w:val="00B817F8"/>
    <w:rsid w:val="00B943DA"/>
    <w:rsid w:val="00BA5A9E"/>
    <w:rsid w:val="00BB316D"/>
    <w:rsid w:val="00BB3712"/>
    <w:rsid w:val="00BB4554"/>
    <w:rsid w:val="00BB7985"/>
    <w:rsid w:val="00BC4E19"/>
    <w:rsid w:val="00BC66A0"/>
    <w:rsid w:val="00BC6B82"/>
    <w:rsid w:val="00BD11B2"/>
    <w:rsid w:val="00BD599C"/>
    <w:rsid w:val="00BF1A3E"/>
    <w:rsid w:val="00BF4703"/>
    <w:rsid w:val="00C03A4F"/>
    <w:rsid w:val="00C058B2"/>
    <w:rsid w:val="00C10883"/>
    <w:rsid w:val="00C113A5"/>
    <w:rsid w:val="00C133C2"/>
    <w:rsid w:val="00C2681C"/>
    <w:rsid w:val="00C27739"/>
    <w:rsid w:val="00C3112F"/>
    <w:rsid w:val="00C34261"/>
    <w:rsid w:val="00C40CAE"/>
    <w:rsid w:val="00C5059F"/>
    <w:rsid w:val="00C53BDD"/>
    <w:rsid w:val="00C55028"/>
    <w:rsid w:val="00C5550F"/>
    <w:rsid w:val="00C57BAB"/>
    <w:rsid w:val="00C65821"/>
    <w:rsid w:val="00C66C85"/>
    <w:rsid w:val="00C70EA3"/>
    <w:rsid w:val="00C7537E"/>
    <w:rsid w:val="00C8056F"/>
    <w:rsid w:val="00C81A49"/>
    <w:rsid w:val="00C86EE5"/>
    <w:rsid w:val="00CB4226"/>
    <w:rsid w:val="00CB750D"/>
    <w:rsid w:val="00CB7CDF"/>
    <w:rsid w:val="00CC3C55"/>
    <w:rsid w:val="00CC3DDD"/>
    <w:rsid w:val="00CC491D"/>
    <w:rsid w:val="00CC51F6"/>
    <w:rsid w:val="00CC52E3"/>
    <w:rsid w:val="00CD1133"/>
    <w:rsid w:val="00CD2D13"/>
    <w:rsid w:val="00CD759E"/>
    <w:rsid w:val="00CF398F"/>
    <w:rsid w:val="00CF3CAA"/>
    <w:rsid w:val="00D01726"/>
    <w:rsid w:val="00D16568"/>
    <w:rsid w:val="00D17115"/>
    <w:rsid w:val="00D25D69"/>
    <w:rsid w:val="00D436F5"/>
    <w:rsid w:val="00D57AEE"/>
    <w:rsid w:val="00D6471A"/>
    <w:rsid w:val="00D65441"/>
    <w:rsid w:val="00D660E5"/>
    <w:rsid w:val="00D71DEC"/>
    <w:rsid w:val="00D743EA"/>
    <w:rsid w:val="00D81C1D"/>
    <w:rsid w:val="00D85454"/>
    <w:rsid w:val="00D86648"/>
    <w:rsid w:val="00D868FC"/>
    <w:rsid w:val="00D903E4"/>
    <w:rsid w:val="00DA22D1"/>
    <w:rsid w:val="00DA3611"/>
    <w:rsid w:val="00DA5552"/>
    <w:rsid w:val="00DA5DF0"/>
    <w:rsid w:val="00DA7289"/>
    <w:rsid w:val="00DB4378"/>
    <w:rsid w:val="00DB4F65"/>
    <w:rsid w:val="00DC27E6"/>
    <w:rsid w:val="00DD6769"/>
    <w:rsid w:val="00DD7D39"/>
    <w:rsid w:val="00DE144C"/>
    <w:rsid w:val="00DE2554"/>
    <w:rsid w:val="00DE5995"/>
    <w:rsid w:val="00DE6053"/>
    <w:rsid w:val="00E019C6"/>
    <w:rsid w:val="00E21134"/>
    <w:rsid w:val="00E22714"/>
    <w:rsid w:val="00E23465"/>
    <w:rsid w:val="00E31A7B"/>
    <w:rsid w:val="00E32480"/>
    <w:rsid w:val="00E34594"/>
    <w:rsid w:val="00E47AC5"/>
    <w:rsid w:val="00E5240D"/>
    <w:rsid w:val="00E544F0"/>
    <w:rsid w:val="00E71DCC"/>
    <w:rsid w:val="00E734F2"/>
    <w:rsid w:val="00E82471"/>
    <w:rsid w:val="00E84D9C"/>
    <w:rsid w:val="00E911BC"/>
    <w:rsid w:val="00EA26FD"/>
    <w:rsid w:val="00EB2994"/>
    <w:rsid w:val="00EC149D"/>
    <w:rsid w:val="00ED05A9"/>
    <w:rsid w:val="00ED5F91"/>
    <w:rsid w:val="00ED67DD"/>
    <w:rsid w:val="00ED6E6A"/>
    <w:rsid w:val="00EE0476"/>
    <w:rsid w:val="00EE5988"/>
    <w:rsid w:val="00F0651E"/>
    <w:rsid w:val="00F10C9E"/>
    <w:rsid w:val="00F13CE4"/>
    <w:rsid w:val="00F14A09"/>
    <w:rsid w:val="00F22B01"/>
    <w:rsid w:val="00F251C5"/>
    <w:rsid w:val="00F32186"/>
    <w:rsid w:val="00F3447A"/>
    <w:rsid w:val="00F37C1A"/>
    <w:rsid w:val="00F45BA8"/>
    <w:rsid w:val="00F507FB"/>
    <w:rsid w:val="00F533AD"/>
    <w:rsid w:val="00F5644A"/>
    <w:rsid w:val="00F7167F"/>
    <w:rsid w:val="00F71F31"/>
    <w:rsid w:val="00F7369D"/>
    <w:rsid w:val="00F75CBA"/>
    <w:rsid w:val="00F80059"/>
    <w:rsid w:val="00F812C6"/>
    <w:rsid w:val="00F91E84"/>
    <w:rsid w:val="00FA4CA4"/>
    <w:rsid w:val="00FA5F49"/>
    <w:rsid w:val="00FA6198"/>
    <w:rsid w:val="00FA7260"/>
    <w:rsid w:val="00FA7FB2"/>
    <w:rsid w:val="00FC3C5F"/>
    <w:rsid w:val="00FC7BF3"/>
    <w:rsid w:val="00FD235D"/>
    <w:rsid w:val="00FD3C65"/>
    <w:rsid w:val="00FD7FCA"/>
    <w:rsid w:val="00FE0C1C"/>
    <w:rsid w:val="00FE17CA"/>
    <w:rsid w:val="00FE1932"/>
    <w:rsid w:val="00FE1A74"/>
    <w:rsid w:val="00FE36D2"/>
    <w:rsid w:val="00FE4ACB"/>
    <w:rsid w:val="00FF5630"/>
    <w:rsid w:val="00FF5D10"/>
    <w:rsid w:val="01391B68"/>
    <w:rsid w:val="01ED14A1"/>
    <w:rsid w:val="02704AC1"/>
    <w:rsid w:val="02F703B0"/>
    <w:rsid w:val="03540E7F"/>
    <w:rsid w:val="077948BA"/>
    <w:rsid w:val="07DC0ED5"/>
    <w:rsid w:val="080F08D8"/>
    <w:rsid w:val="08B1373D"/>
    <w:rsid w:val="08C6543B"/>
    <w:rsid w:val="0904785D"/>
    <w:rsid w:val="09573966"/>
    <w:rsid w:val="09A62C4D"/>
    <w:rsid w:val="09EB0ED1"/>
    <w:rsid w:val="0A461A5B"/>
    <w:rsid w:val="0A5B0F4D"/>
    <w:rsid w:val="0A781AE7"/>
    <w:rsid w:val="0B9F01C5"/>
    <w:rsid w:val="0C9C0A71"/>
    <w:rsid w:val="0CCA0314"/>
    <w:rsid w:val="0D975F7E"/>
    <w:rsid w:val="0DFC2034"/>
    <w:rsid w:val="0F136F00"/>
    <w:rsid w:val="0F4E618A"/>
    <w:rsid w:val="1166552C"/>
    <w:rsid w:val="11CA1408"/>
    <w:rsid w:val="12995D7D"/>
    <w:rsid w:val="12D20E80"/>
    <w:rsid w:val="13192BB3"/>
    <w:rsid w:val="1367781A"/>
    <w:rsid w:val="14317D7D"/>
    <w:rsid w:val="147F6E1B"/>
    <w:rsid w:val="14FE0CE9"/>
    <w:rsid w:val="152F604F"/>
    <w:rsid w:val="158E7867"/>
    <w:rsid w:val="15D32F45"/>
    <w:rsid w:val="15DF5D8E"/>
    <w:rsid w:val="16377978"/>
    <w:rsid w:val="16445BF1"/>
    <w:rsid w:val="1666200B"/>
    <w:rsid w:val="16922E00"/>
    <w:rsid w:val="17451C21"/>
    <w:rsid w:val="174C2AB4"/>
    <w:rsid w:val="181C2A9C"/>
    <w:rsid w:val="19EA6AAF"/>
    <w:rsid w:val="19F93196"/>
    <w:rsid w:val="1A3F3860"/>
    <w:rsid w:val="1C237DC1"/>
    <w:rsid w:val="1E14234D"/>
    <w:rsid w:val="1E594203"/>
    <w:rsid w:val="1E65704C"/>
    <w:rsid w:val="1EFA59E6"/>
    <w:rsid w:val="1F5A1A25"/>
    <w:rsid w:val="1F714057"/>
    <w:rsid w:val="208E75B3"/>
    <w:rsid w:val="215A09BE"/>
    <w:rsid w:val="218A16C9"/>
    <w:rsid w:val="21BE3478"/>
    <w:rsid w:val="21D04080"/>
    <w:rsid w:val="22423DCF"/>
    <w:rsid w:val="22456F79"/>
    <w:rsid w:val="233226B8"/>
    <w:rsid w:val="23A74BBD"/>
    <w:rsid w:val="23D43A72"/>
    <w:rsid w:val="23E17A29"/>
    <w:rsid w:val="242A0B1C"/>
    <w:rsid w:val="24561911"/>
    <w:rsid w:val="24822706"/>
    <w:rsid w:val="24AE34FB"/>
    <w:rsid w:val="25453733"/>
    <w:rsid w:val="26040EF9"/>
    <w:rsid w:val="2897327F"/>
    <w:rsid w:val="28D56B7C"/>
    <w:rsid w:val="29846CB3"/>
    <w:rsid w:val="29890093"/>
    <w:rsid w:val="29E46257"/>
    <w:rsid w:val="2A4110A1"/>
    <w:rsid w:val="2A585CB7"/>
    <w:rsid w:val="2AB85E2C"/>
    <w:rsid w:val="2B3202B6"/>
    <w:rsid w:val="2C281A12"/>
    <w:rsid w:val="2CC118F2"/>
    <w:rsid w:val="2D376058"/>
    <w:rsid w:val="2E450300"/>
    <w:rsid w:val="2E9D1EEA"/>
    <w:rsid w:val="2F1E302B"/>
    <w:rsid w:val="2F4F68AC"/>
    <w:rsid w:val="2F8C09C5"/>
    <w:rsid w:val="2FBE527A"/>
    <w:rsid w:val="30AA495D"/>
    <w:rsid w:val="30E81B43"/>
    <w:rsid w:val="31B57A58"/>
    <w:rsid w:val="32567BC6"/>
    <w:rsid w:val="325F3B1A"/>
    <w:rsid w:val="328533C1"/>
    <w:rsid w:val="32B141B6"/>
    <w:rsid w:val="32F719A3"/>
    <w:rsid w:val="33095DA0"/>
    <w:rsid w:val="3327793E"/>
    <w:rsid w:val="33355846"/>
    <w:rsid w:val="335E7F89"/>
    <w:rsid w:val="34745E77"/>
    <w:rsid w:val="34757B91"/>
    <w:rsid w:val="34A73AC3"/>
    <w:rsid w:val="365461B4"/>
    <w:rsid w:val="369D6F2B"/>
    <w:rsid w:val="36AE69D8"/>
    <w:rsid w:val="375F27C1"/>
    <w:rsid w:val="38B6063A"/>
    <w:rsid w:val="394A4A8C"/>
    <w:rsid w:val="39E63C45"/>
    <w:rsid w:val="3A910669"/>
    <w:rsid w:val="3B64626A"/>
    <w:rsid w:val="3BFA1058"/>
    <w:rsid w:val="3BFD046C"/>
    <w:rsid w:val="3C0712CB"/>
    <w:rsid w:val="3CB215F0"/>
    <w:rsid w:val="3D402D06"/>
    <w:rsid w:val="3D954E00"/>
    <w:rsid w:val="3EBA5BC3"/>
    <w:rsid w:val="3ED7361D"/>
    <w:rsid w:val="3FA73C06"/>
    <w:rsid w:val="40BC6B48"/>
    <w:rsid w:val="41744D2D"/>
    <w:rsid w:val="41751085"/>
    <w:rsid w:val="41A05B22"/>
    <w:rsid w:val="420E5348"/>
    <w:rsid w:val="426B25D4"/>
    <w:rsid w:val="42C61B54"/>
    <w:rsid w:val="432F3601"/>
    <w:rsid w:val="44100726"/>
    <w:rsid w:val="44347A9B"/>
    <w:rsid w:val="447137A5"/>
    <w:rsid w:val="456D3D97"/>
    <w:rsid w:val="45E87405"/>
    <w:rsid w:val="46474D73"/>
    <w:rsid w:val="464E6392"/>
    <w:rsid w:val="46994768"/>
    <w:rsid w:val="486F624E"/>
    <w:rsid w:val="48BE5C4B"/>
    <w:rsid w:val="48D21D3E"/>
    <w:rsid w:val="48DD3AFF"/>
    <w:rsid w:val="49214E6F"/>
    <w:rsid w:val="4C5B0FC3"/>
    <w:rsid w:val="4C812213"/>
    <w:rsid w:val="4C871DB8"/>
    <w:rsid w:val="4CA02E7A"/>
    <w:rsid w:val="4CBB5EB5"/>
    <w:rsid w:val="4D432356"/>
    <w:rsid w:val="4DBA7F6B"/>
    <w:rsid w:val="4E3430C7"/>
    <w:rsid w:val="4E524648"/>
    <w:rsid w:val="4EED611E"/>
    <w:rsid w:val="50F25C6E"/>
    <w:rsid w:val="515046C1"/>
    <w:rsid w:val="51C92E73"/>
    <w:rsid w:val="5276493C"/>
    <w:rsid w:val="52A97DDB"/>
    <w:rsid w:val="53F65E0B"/>
    <w:rsid w:val="54DE09E3"/>
    <w:rsid w:val="55F52488"/>
    <w:rsid w:val="56154CA2"/>
    <w:rsid w:val="5621327D"/>
    <w:rsid w:val="563B26A6"/>
    <w:rsid w:val="564D4072"/>
    <w:rsid w:val="567C6706"/>
    <w:rsid w:val="57671164"/>
    <w:rsid w:val="58B15E13"/>
    <w:rsid w:val="59B44408"/>
    <w:rsid w:val="59DD395F"/>
    <w:rsid w:val="5A007AD0"/>
    <w:rsid w:val="5A3B0686"/>
    <w:rsid w:val="5A931503"/>
    <w:rsid w:val="5A971C98"/>
    <w:rsid w:val="5AFA5C95"/>
    <w:rsid w:val="5BF92507"/>
    <w:rsid w:val="5CDE078E"/>
    <w:rsid w:val="5DC655CC"/>
    <w:rsid w:val="5DF210B6"/>
    <w:rsid w:val="5DFE5C52"/>
    <w:rsid w:val="5E2733FB"/>
    <w:rsid w:val="5E2A6A47"/>
    <w:rsid w:val="5E2F095A"/>
    <w:rsid w:val="5F6442D0"/>
    <w:rsid w:val="5F776EED"/>
    <w:rsid w:val="5F8959EF"/>
    <w:rsid w:val="605176D9"/>
    <w:rsid w:val="6062696C"/>
    <w:rsid w:val="615F2EAC"/>
    <w:rsid w:val="622F287E"/>
    <w:rsid w:val="63C1254B"/>
    <w:rsid w:val="63F828E6"/>
    <w:rsid w:val="64405216"/>
    <w:rsid w:val="64570618"/>
    <w:rsid w:val="64792301"/>
    <w:rsid w:val="64986E00"/>
    <w:rsid w:val="654D6460"/>
    <w:rsid w:val="661A55F3"/>
    <w:rsid w:val="66661792"/>
    <w:rsid w:val="67357B43"/>
    <w:rsid w:val="68C33D20"/>
    <w:rsid w:val="69733998"/>
    <w:rsid w:val="6A185E9C"/>
    <w:rsid w:val="6A51065F"/>
    <w:rsid w:val="6A892D47"/>
    <w:rsid w:val="6AB57C02"/>
    <w:rsid w:val="6B27051F"/>
    <w:rsid w:val="6B753BDA"/>
    <w:rsid w:val="6B770841"/>
    <w:rsid w:val="6CAE15FD"/>
    <w:rsid w:val="6CC664D5"/>
    <w:rsid w:val="6CD04C5E"/>
    <w:rsid w:val="6DF9342A"/>
    <w:rsid w:val="6E8A0C2B"/>
    <w:rsid w:val="6EF06DAD"/>
    <w:rsid w:val="6EF60757"/>
    <w:rsid w:val="6F241291"/>
    <w:rsid w:val="6F954251"/>
    <w:rsid w:val="70FA146A"/>
    <w:rsid w:val="70FE623D"/>
    <w:rsid w:val="710228B1"/>
    <w:rsid w:val="71297032"/>
    <w:rsid w:val="715F3A1A"/>
    <w:rsid w:val="7231619E"/>
    <w:rsid w:val="72C708B1"/>
    <w:rsid w:val="73740A39"/>
    <w:rsid w:val="738A025C"/>
    <w:rsid w:val="73A7009A"/>
    <w:rsid w:val="73B95B2E"/>
    <w:rsid w:val="740A314B"/>
    <w:rsid w:val="74130018"/>
    <w:rsid w:val="74244DD1"/>
    <w:rsid w:val="74462637"/>
    <w:rsid w:val="74BD01BD"/>
    <w:rsid w:val="750556C0"/>
    <w:rsid w:val="75B74925"/>
    <w:rsid w:val="76562678"/>
    <w:rsid w:val="765E13D6"/>
    <w:rsid w:val="77CA50CB"/>
    <w:rsid w:val="77CE2BEC"/>
    <w:rsid w:val="78341EC3"/>
    <w:rsid w:val="78511348"/>
    <w:rsid w:val="7AA30EC0"/>
    <w:rsid w:val="7AC757F1"/>
    <w:rsid w:val="7B4E1B6F"/>
    <w:rsid w:val="7B7A2964"/>
    <w:rsid w:val="7BA80065"/>
    <w:rsid w:val="7C1032C9"/>
    <w:rsid w:val="7D700DB4"/>
    <w:rsid w:val="7D7F0706"/>
    <w:rsid w:val="7E071551"/>
    <w:rsid w:val="7E12157A"/>
    <w:rsid w:val="7F72061C"/>
    <w:rsid w:val="7F740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nhideWhenUsed="0" w:uiPriority="0" w:semiHidden="0" w:name="Body Text First Indent"/>
    <w:lsdException w:uiPriority="0" w:name="Body Text First Indent 2"/>
    <w:lsdException w:uiPriority="0" w:name="Note Heading"/>
    <w:lsdException w:qFormat="1" w:uiPriority="99"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5"/>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306"/>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307"/>
    <w:qFormat/>
    <w:uiPriority w:val="0"/>
    <w:pPr>
      <w:keepNext/>
      <w:keepLines/>
      <w:spacing w:before="260" w:after="260" w:line="413"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2" w:lineRule="auto"/>
      <w:outlineLvl w:val="4"/>
    </w:pPr>
    <w:rPr>
      <w:b/>
      <w:bCs/>
      <w:sz w:val="28"/>
      <w:szCs w:val="28"/>
    </w:rPr>
  </w:style>
  <w:style w:type="paragraph" w:styleId="7">
    <w:name w:val="heading 6"/>
    <w:basedOn w:val="1"/>
    <w:next w:val="1"/>
    <w:qFormat/>
    <w:uiPriority w:val="0"/>
    <w:pPr>
      <w:keepNext/>
      <w:keepLines/>
      <w:spacing w:before="240" w:after="64" w:line="317"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17" w:lineRule="auto"/>
      <w:outlineLvl w:val="6"/>
    </w:pPr>
    <w:rPr>
      <w:b/>
      <w:bCs/>
      <w:sz w:val="24"/>
    </w:rPr>
  </w:style>
  <w:style w:type="paragraph" w:styleId="9">
    <w:name w:val="heading 8"/>
    <w:basedOn w:val="1"/>
    <w:next w:val="1"/>
    <w:qFormat/>
    <w:uiPriority w:val="0"/>
    <w:pPr>
      <w:keepNext/>
      <w:keepLines/>
      <w:spacing w:before="240" w:after="64" w:line="317"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17" w:lineRule="auto"/>
      <w:outlineLvl w:val="8"/>
    </w:pPr>
    <w:rPr>
      <w:rFonts w:ascii="Arial" w:hAnsi="Arial" w:eastAsia="黑体"/>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qFormat/>
    <w:uiPriority w:val="0"/>
  </w:style>
  <w:style w:type="paragraph" w:styleId="12">
    <w:name w:val="toc 6"/>
    <w:basedOn w:val="13"/>
    <w:next w:val="1"/>
    <w:qFormat/>
    <w:uiPriority w:val="0"/>
  </w:style>
  <w:style w:type="paragraph" w:styleId="13">
    <w:name w:val="toc 5"/>
    <w:basedOn w:val="14"/>
    <w:next w:val="1"/>
    <w:qFormat/>
    <w:uiPriority w:val="0"/>
  </w:style>
  <w:style w:type="paragraph" w:styleId="14">
    <w:name w:val="toc 4"/>
    <w:basedOn w:val="15"/>
    <w:next w:val="1"/>
    <w:qFormat/>
    <w:uiPriority w:val="0"/>
  </w:style>
  <w:style w:type="paragraph" w:styleId="15">
    <w:name w:val="toc 3"/>
    <w:basedOn w:val="16"/>
    <w:next w:val="1"/>
    <w:qFormat/>
    <w:uiPriority w:val="39"/>
  </w:style>
  <w:style w:type="paragraph" w:styleId="16">
    <w:name w:val="toc 2"/>
    <w:basedOn w:val="17"/>
    <w:next w:val="1"/>
    <w:qFormat/>
    <w:uiPriority w:val="39"/>
  </w:style>
  <w:style w:type="paragraph" w:styleId="17">
    <w:name w:val="toc 1"/>
    <w:next w:val="1"/>
    <w:qFormat/>
    <w:uiPriority w:val="39"/>
    <w:pPr>
      <w:jc w:val="both"/>
    </w:pPr>
    <w:rPr>
      <w:rFonts w:ascii="宋体" w:hAnsi="Times New Roman" w:eastAsia="宋体" w:cs="Times New Roman"/>
      <w:sz w:val="21"/>
      <w:lang w:val="en-US" w:eastAsia="zh-CN" w:bidi="ar-SA"/>
    </w:rPr>
  </w:style>
  <w:style w:type="paragraph" w:styleId="18">
    <w:name w:val="Normal Indent"/>
    <w:basedOn w:val="1"/>
    <w:qFormat/>
    <w:uiPriority w:val="0"/>
    <w:pPr>
      <w:ind w:firstLine="420"/>
    </w:pPr>
    <w:rPr>
      <w:szCs w:val="20"/>
    </w:rPr>
  </w:style>
  <w:style w:type="paragraph" w:styleId="19">
    <w:name w:val="caption"/>
    <w:basedOn w:val="1"/>
    <w:next w:val="1"/>
    <w:qFormat/>
    <w:uiPriority w:val="0"/>
    <w:pPr>
      <w:spacing w:before="152" w:after="160"/>
    </w:pPr>
    <w:rPr>
      <w:rFonts w:ascii="Arial" w:hAnsi="Arial" w:eastAsia="黑体"/>
      <w:szCs w:val="20"/>
    </w:rPr>
  </w:style>
  <w:style w:type="paragraph" w:styleId="20">
    <w:name w:val="annotation text"/>
    <w:basedOn w:val="1"/>
    <w:link w:val="288"/>
    <w:qFormat/>
    <w:uiPriority w:val="0"/>
    <w:pPr>
      <w:jc w:val="left"/>
    </w:pPr>
  </w:style>
  <w:style w:type="paragraph" w:styleId="21">
    <w:name w:val="Body Text"/>
    <w:basedOn w:val="1"/>
    <w:link w:val="283"/>
    <w:qFormat/>
    <w:uiPriority w:val="0"/>
    <w:pPr>
      <w:spacing w:after="120"/>
    </w:pPr>
  </w:style>
  <w:style w:type="paragraph" w:styleId="22">
    <w:name w:val="Body Text Indent"/>
    <w:basedOn w:val="1"/>
    <w:link w:val="286"/>
    <w:qFormat/>
    <w:uiPriority w:val="0"/>
    <w:pPr>
      <w:spacing w:line="360" w:lineRule="exact"/>
      <w:ind w:left="420" w:firstLine="480"/>
    </w:pPr>
    <w:rPr>
      <w:sz w:val="24"/>
      <w:szCs w:val="20"/>
    </w:rPr>
  </w:style>
  <w:style w:type="paragraph" w:styleId="23">
    <w:name w:val="HTML Address"/>
    <w:basedOn w:val="1"/>
    <w:qFormat/>
    <w:uiPriority w:val="0"/>
    <w:rPr>
      <w:i/>
      <w:iCs/>
    </w:rPr>
  </w:style>
  <w:style w:type="paragraph" w:styleId="24">
    <w:name w:val="Plain Text"/>
    <w:basedOn w:val="1"/>
    <w:link w:val="280"/>
    <w:qFormat/>
    <w:uiPriority w:val="99"/>
    <w:rPr>
      <w:rFonts w:ascii="宋体" w:hAnsi="Courier New"/>
      <w:szCs w:val="21"/>
    </w:rPr>
  </w:style>
  <w:style w:type="paragraph" w:styleId="25">
    <w:name w:val="toc 8"/>
    <w:basedOn w:val="11"/>
    <w:next w:val="1"/>
    <w:qFormat/>
    <w:uiPriority w:val="0"/>
  </w:style>
  <w:style w:type="paragraph" w:styleId="26">
    <w:name w:val="Date"/>
    <w:basedOn w:val="1"/>
    <w:next w:val="1"/>
    <w:link w:val="292"/>
    <w:qFormat/>
    <w:uiPriority w:val="99"/>
    <w:pPr>
      <w:ind w:left="100" w:leftChars="2500"/>
    </w:pPr>
    <w:rPr>
      <w:sz w:val="24"/>
      <w:szCs w:val="20"/>
    </w:rPr>
  </w:style>
  <w:style w:type="paragraph" w:styleId="27">
    <w:name w:val="Body Text Indent 2"/>
    <w:basedOn w:val="1"/>
    <w:link w:val="291"/>
    <w:qFormat/>
    <w:uiPriority w:val="0"/>
    <w:pPr>
      <w:spacing w:after="120" w:line="480" w:lineRule="auto"/>
      <w:ind w:left="420" w:leftChars="200"/>
    </w:pPr>
  </w:style>
  <w:style w:type="paragraph" w:styleId="28">
    <w:name w:val="endnote text"/>
    <w:basedOn w:val="1"/>
    <w:qFormat/>
    <w:uiPriority w:val="0"/>
    <w:pPr>
      <w:snapToGrid w:val="0"/>
    </w:pPr>
  </w:style>
  <w:style w:type="paragraph" w:styleId="29">
    <w:name w:val="Balloon Text"/>
    <w:basedOn w:val="1"/>
    <w:link w:val="282"/>
    <w:qFormat/>
    <w:uiPriority w:val="0"/>
    <w:rPr>
      <w:sz w:val="18"/>
      <w:szCs w:val="18"/>
    </w:rPr>
  </w:style>
  <w:style w:type="paragraph" w:styleId="30">
    <w:name w:val="footer"/>
    <w:basedOn w:val="1"/>
    <w:link w:val="285"/>
    <w:qFormat/>
    <w:uiPriority w:val="0"/>
    <w:pPr>
      <w:tabs>
        <w:tab w:val="center" w:pos="4153"/>
        <w:tab w:val="right" w:pos="8306"/>
      </w:tabs>
      <w:snapToGrid w:val="0"/>
      <w:ind w:right="210" w:rightChars="100"/>
      <w:jc w:val="right"/>
    </w:pPr>
    <w:rPr>
      <w:sz w:val="18"/>
      <w:szCs w:val="18"/>
    </w:rPr>
  </w:style>
  <w:style w:type="paragraph" w:styleId="31">
    <w:name w:val="header"/>
    <w:basedOn w:val="1"/>
    <w:link w:val="290"/>
    <w:qFormat/>
    <w:uiPriority w:val="0"/>
    <w:pPr>
      <w:pBdr>
        <w:bottom w:val="single" w:color="auto" w:sz="6" w:space="1"/>
      </w:pBdr>
      <w:tabs>
        <w:tab w:val="center" w:pos="4153"/>
        <w:tab w:val="right" w:pos="8306"/>
      </w:tabs>
      <w:snapToGrid w:val="0"/>
      <w:jc w:val="center"/>
    </w:pPr>
    <w:rPr>
      <w:sz w:val="18"/>
      <w:szCs w:val="18"/>
    </w:rPr>
  </w:style>
  <w:style w:type="paragraph" w:styleId="32">
    <w:name w:val="footnote text"/>
    <w:basedOn w:val="1"/>
    <w:link w:val="309"/>
    <w:qFormat/>
    <w:uiPriority w:val="0"/>
    <w:pPr>
      <w:snapToGrid w:val="0"/>
      <w:jc w:val="left"/>
    </w:pPr>
    <w:rPr>
      <w:sz w:val="18"/>
      <w:szCs w:val="18"/>
    </w:rPr>
  </w:style>
  <w:style w:type="paragraph" w:styleId="33">
    <w:name w:val="Body Text Indent 3"/>
    <w:basedOn w:val="1"/>
    <w:qFormat/>
    <w:uiPriority w:val="0"/>
    <w:pPr>
      <w:widowControl/>
      <w:spacing w:line="360" w:lineRule="auto"/>
      <w:ind w:firstLine="420"/>
    </w:pPr>
    <w:rPr>
      <w:rFonts w:hAnsi="宋体"/>
      <w:sz w:val="18"/>
    </w:rPr>
  </w:style>
  <w:style w:type="paragraph" w:styleId="34">
    <w:name w:val="toc 9"/>
    <w:basedOn w:val="25"/>
    <w:next w:val="1"/>
    <w:qFormat/>
    <w:uiPriority w:val="0"/>
  </w:style>
  <w:style w:type="paragraph" w:styleId="35">
    <w:name w:val="Body Text 2"/>
    <w:basedOn w:val="1"/>
    <w:semiHidden/>
    <w:unhideWhenUsed/>
    <w:qFormat/>
    <w:uiPriority w:val="99"/>
    <w:pPr>
      <w:spacing w:after="120" w:line="480" w:lineRule="auto"/>
    </w:pPr>
  </w:style>
  <w:style w:type="paragraph" w:styleId="36">
    <w:name w:val="HTML Preformatted"/>
    <w:basedOn w:val="1"/>
    <w:qFormat/>
    <w:uiPriority w:val="0"/>
    <w:rPr>
      <w:rFonts w:ascii="Courier New" w:hAnsi="Courier New" w:cs="Courier New"/>
      <w:sz w:val="20"/>
      <w:szCs w:val="20"/>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Title"/>
    <w:basedOn w:val="1"/>
    <w:link w:val="308"/>
    <w:qFormat/>
    <w:uiPriority w:val="0"/>
    <w:pPr>
      <w:spacing w:before="240" w:after="60"/>
      <w:jc w:val="center"/>
      <w:outlineLvl w:val="0"/>
    </w:pPr>
    <w:rPr>
      <w:rFonts w:ascii="Arial" w:hAnsi="Arial" w:cs="Arial"/>
      <w:b/>
      <w:bCs/>
      <w:sz w:val="32"/>
      <w:szCs w:val="32"/>
    </w:rPr>
  </w:style>
  <w:style w:type="paragraph" w:styleId="39">
    <w:name w:val="annotation subject"/>
    <w:basedOn w:val="20"/>
    <w:next w:val="20"/>
    <w:link w:val="289"/>
    <w:qFormat/>
    <w:uiPriority w:val="0"/>
    <w:rPr>
      <w:b/>
      <w:bCs/>
    </w:rPr>
  </w:style>
  <w:style w:type="paragraph" w:styleId="40">
    <w:name w:val="Body Text First Indent"/>
    <w:basedOn w:val="21"/>
    <w:qFormat/>
    <w:uiPriority w:val="0"/>
    <w:pPr>
      <w:ind w:firstLine="420"/>
    </w:pPr>
    <w:rPr>
      <w:szCs w:val="20"/>
    </w:rPr>
  </w:style>
  <w:style w:type="table" w:styleId="42">
    <w:name w:val="Table Grid"/>
    <w:basedOn w:val="4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44">
    <w:name w:val="Strong"/>
    <w:qFormat/>
    <w:uiPriority w:val="22"/>
    <w:rPr>
      <w:b/>
      <w:bCs/>
    </w:rPr>
  </w:style>
  <w:style w:type="character" w:styleId="45">
    <w:name w:val="page number"/>
    <w:qFormat/>
    <w:uiPriority w:val="0"/>
    <w:rPr>
      <w:rFonts w:ascii="Times New Roman" w:hAnsi="Times New Roman" w:eastAsia="宋体"/>
      <w:sz w:val="18"/>
    </w:rPr>
  </w:style>
  <w:style w:type="character" w:styleId="46">
    <w:name w:val="FollowedHyperlink"/>
    <w:unhideWhenUsed/>
    <w:qFormat/>
    <w:uiPriority w:val="0"/>
    <w:rPr>
      <w:color w:val="800080"/>
      <w:u w:val="single"/>
    </w:rPr>
  </w:style>
  <w:style w:type="character" w:styleId="47">
    <w:name w:val="HTML Definition"/>
    <w:qFormat/>
    <w:uiPriority w:val="0"/>
    <w:rPr>
      <w:i/>
      <w:iCs/>
    </w:rPr>
  </w:style>
  <w:style w:type="character" w:styleId="48">
    <w:name w:val="HTML Typewriter"/>
    <w:qFormat/>
    <w:uiPriority w:val="0"/>
    <w:rPr>
      <w:rFonts w:ascii="Courier New" w:hAnsi="Courier New"/>
      <w:sz w:val="20"/>
      <w:szCs w:val="20"/>
    </w:rPr>
  </w:style>
  <w:style w:type="character" w:styleId="49">
    <w:name w:val="HTML Acronym"/>
    <w:basedOn w:val="43"/>
    <w:qFormat/>
    <w:uiPriority w:val="0"/>
  </w:style>
  <w:style w:type="character" w:styleId="50">
    <w:name w:val="HTML Variable"/>
    <w:qFormat/>
    <w:uiPriority w:val="0"/>
    <w:rPr>
      <w:i/>
      <w:iCs/>
    </w:rPr>
  </w:style>
  <w:style w:type="character" w:styleId="51">
    <w:name w:val="Hyperlink"/>
    <w:basedOn w:val="43"/>
    <w:qFormat/>
    <w:uiPriority w:val="99"/>
    <w:rPr>
      <w:rFonts w:ascii="Times New Roman" w:hAnsi="Times New Roman" w:eastAsia="宋体"/>
      <w:color w:val="auto"/>
      <w:spacing w:val="0"/>
      <w:w w:val="100"/>
      <w:position w:val="0"/>
      <w:sz w:val="21"/>
      <w:u w:val="none"/>
    </w:rPr>
  </w:style>
  <w:style w:type="character" w:styleId="52">
    <w:name w:val="HTML Code"/>
    <w:qFormat/>
    <w:uiPriority w:val="0"/>
    <w:rPr>
      <w:rFonts w:ascii="Courier New" w:hAnsi="Courier New"/>
      <w:sz w:val="20"/>
      <w:szCs w:val="20"/>
    </w:rPr>
  </w:style>
  <w:style w:type="character" w:styleId="53">
    <w:name w:val="annotation reference"/>
    <w:qFormat/>
    <w:uiPriority w:val="0"/>
    <w:rPr>
      <w:sz w:val="21"/>
      <w:szCs w:val="21"/>
    </w:rPr>
  </w:style>
  <w:style w:type="character" w:styleId="54">
    <w:name w:val="HTML Cite"/>
    <w:qFormat/>
    <w:uiPriority w:val="0"/>
    <w:rPr>
      <w:i/>
      <w:iCs/>
    </w:rPr>
  </w:style>
  <w:style w:type="character" w:styleId="55">
    <w:name w:val="footnote reference"/>
    <w:qFormat/>
    <w:uiPriority w:val="0"/>
    <w:rPr>
      <w:vertAlign w:val="superscript"/>
    </w:rPr>
  </w:style>
  <w:style w:type="character" w:styleId="56">
    <w:name w:val="HTML Keyboard"/>
    <w:qFormat/>
    <w:uiPriority w:val="0"/>
    <w:rPr>
      <w:rFonts w:ascii="Courier New" w:hAnsi="Courier New"/>
      <w:sz w:val="20"/>
      <w:szCs w:val="20"/>
    </w:rPr>
  </w:style>
  <w:style w:type="character" w:styleId="57">
    <w:name w:val="HTML Sample"/>
    <w:qFormat/>
    <w:uiPriority w:val="0"/>
    <w:rPr>
      <w:rFonts w:ascii="Courier New" w:hAnsi="Courier New"/>
    </w:rPr>
  </w:style>
  <w:style w:type="paragraph" w:customStyle="1" w:styleId="58">
    <w:name w:val="段"/>
    <w:link w:val="275"/>
    <w:qFormat/>
    <w:uiPriority w:val="0"/>
    <w:pPr>
      <w:autoSpaceDE w:val="0"/>
      <w:autoSpaceDN w:val="0"/>
      <w:adjustRightInd w:val="0"/>
      <w:snapToGrid w:val="0"/>
      <w:ind w:firstLine="400" w:firstLineChars="200"/>
      <w:jc w:val="both"/>
    </w:pPr>
    <w:rPr>
      <w:rFonts w:ascii="宋体" w:hAnsi="宋体" w:eastAsia="宋体" w:cs="Times New Roman"/>
      <w:sz w:val="21"/>
      <w:lang w:val="en-US" w:eastAsia="zh-CN" w:bidi="ar-SA"/>
    </w:rPr>
  </w:style>
  <w:style w:type="paragraph" w:customStyle="1" w:styleId="59">
    <w:name w:val="二级条标题"/>
    <w:basedOn w:val="60"/>
    <w:next w:val="58"/>
    <w:link w:val="277"/>
    <w:qFormat/>
    <w:uiPriority w:val="0"/>
    <w:pPr>
      <w:outlineLvl w:val="3"/>
    </w:pPr>
    <w:rPr>
      <w:rFonts w:hAnsi="黑体"/>
      <w:color w:val="000000" w:themeColor="text1"/>
      <w:spacing w:val="-6"/>
      <w14:textFill>
        <w14:solidFill>
          <w14:schemeClr w14:val="tx1"/>
        </w14:solidFill>
      </w14:textFill>
    </w:rPr>
  </w:style>
  <w:style w:type="paragraph" w:customStyle="1" w:styleId="60">
    <w:name w:val="一级条标题"/>
    <w:basedOn w:val="61"/>
    <w:next w:val="58"/>
    <w:link w:val="279"/>
    <w:qFormat/>
    <w:uiPriority w:val="0"/>
    <w:pPr>
      <w:spacing w:beforeLines="0" w:afterLines="0" w:line="300" w:lineRule="auto"/>
      <w:ind w:firstLine="420"/>
      <w:outlineLvl w:val="2"/>
    </w:pPr>
    <w:rPr>
      <w:color w:val="FF0000"/>
      <w:spacing w:val="-4"/>
      <w:szCs w:val="24"/>
    </w:rPr>
  </w:style>
  <w:style w:type="paragraph" w:customStyle="1" w:styleId="61">
    <w:name w:val="章标题"/>
    <w:next w:val="58"/>
    <w:link w:val="278"/>
    <w:qFormat/>
    <w:uiPriority w:val="0"/>
    <w:pPr>
      <w:spacing w:before="156" w:beforeLines="50" w:after="156" w:afterLines="50" w:line="360" w:lineRule="auto"/>
      <w:ind w:firstLine="480" w:firstLineChars="200"/>
      <w:jc w:val="both"/>
      <w:outlineLvl w:val="1"/>
    </w:pPr>
    <w:rPr>
      <w:rFonts w:ascii="Times New Roman" w:hAnsi="Times New Roman" w:cs="Times New Roman" w:eastAsiaTheme="minorEastAsia"/>
      <w:sz w:val="24"/>
      <w:lang w:val="en-US" w:eastAsia="zh-CN" w:bidi="ar-SA"/>
    </w:rPr>
  </w:style>
  <w:style w:type="paragraph" w:customStyle="1" w:styleId="62">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63">
    <w:name w:val="封面标准号2"/>
    <w:basedOn w:val="64"/>
    <w:qFormat/>
    <w:uiPriority w:val="0"/>
    <w:pPr>
      <w:adjustRightInd w:val="0"/>
      <w:spacing w:before="357" w:line="280" w:lineRule="exact"/>
    </w:pPr>
  </w:style>
  <w:style w:type="paragraph" w:customStyle="1" w:styleId="6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65">
    <w:name w:val="附录标识"/>
    <w:basedOn w:val="66"/>
    <w:link w:val="300"/>
    <w:qFormat/>
    <w:uiPriority w:val="0"/>
    <w:pPr>
      <w:numPr>
        <w:ilvl w:val="0"/>
        <w:numId w:val="1"/>
      </w:numPr>
      <w:tabs>
        <w:tab w:val="left" w:pos="6405"/>
      </w:tabs>
      <w:spacing w:after="200"/>
    </w:pPr>
    <w:rPr>
      <w:sz w:val="21"/>
    </w:rPr>
  </w:style>
  <w:style w:type="paragraph" w:customStyle="1" w:styleId="66">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68">
    <w:name w:val="发布部门"/>
    <w:next w:val="58"/>
    <w:qFormat/>
    <w:uiPriority w:val="0"/>
    <w:pPr>
      <w:jc w:val="center"/>
    </w:pPr>
    <w:rPr>
      <w:rFonts w:ascii="宋体" w:hAnsi="Times New Roman" w:eastAsia="宋体" w:cs="Times New Roman"/>
      <w:b/>
      <w:spacing w:val="20"/>
      <w:w w:val="135"/>
      <w:sz w:val="36"/>
      <w:lang w:val="en-US" w:eastAsia="zh-CN" w:bidi="ar-SA"/>
    </w:rPr>
  </w:style>
  <w:style w:type="paragraph" w:customStyle="1" w:styleId="69">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70">
    <w:name w:val="四级条标题"/>
    <w:basedOn w:val="71"/>
    <w:next w:val="58"/>
    <w:qFormat/>
    <w:uiPriority w:val="0"/>
    <w:pPr>
      <w:outlineLvl w:val="5"/>
    </w:pPr>
  </w:style>
  <w:style w:type="paragraph" w:customStyle="1" w:styleId="71">
    <w:name w:val="三级条标题"/>
    <w:basedOn w:val="59"/>
    <w:next w:val="58"/>
    <w:link w:val="281"/>
    <w:qFormat/>
    <w:uiPriority w:val="0"/>
    <w:pPr>
      <w:outlineLvl w:val="4"/>
    </w:pPr>
  </w:style>
  <w:style w:type="paragraph" w:customStyle="1" w:styleId="72">
    <w:name w:val="列项——"/>
    <w:qFormat/>
    <w:uiPriority w:val="0"/>
    <w:pPr>
      <w:widowControl w:val="0"/>
      <w:numPr>
        <w:ilvl w:val="0"/>
        <w:numId w:val="3"/>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73">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74">
    <w:name w:val="参考文献、索引标题"/>
    <w:basedOn w:val="66"/>
    <w:next w:val="1"/>
    <w:qFormat/>
    <w:uiPriority w:val="0"/>
    <w:pPr>
      <w:numPr>
        <w:numId w:val="0"/>
      </w:numPr>
      <w:spacing w:after="200"/>
    </w:pPr>
    <w:rPr>
      <w:sz w:val="21"/>
    </w:rPr>
  </w:style>
  <w:style w:type="paragraph" w:customStyle="1" w:styleId="75">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6">
    <w:name w:val="实施日期"/>
    <w:basedOn w:val="77"/>
    <w:qFormat/>
    <w:uiPriority w:val="0"/>
    <w:pPr>
      <w:jc w:val="right"/>
    </w:pPr>
  </w:style>
  <w:style w:type="paragraph" w:customStyle="1" w:styleId="77">
    <w:name w:val="发布日期"/>
    <w:qFormat/>
    <w:uiPriority w:val="0"/>
    <w:rPr>
      <w:rFonts w:ascii="Times New Roman" w:hAnsi="Times New Roman" w:eastAsia="黑体" w:cs="Times New Roman"/>
      <w:sz w:val="28"/>
      <w:lang w:val="en-US" w:eastAsia="zh-CN" w:bidi="ar-SA"/>
    </w:rPr>
  </w:style>
  <w:style w:type="paragraph" w:customStyle="1" w:styleId="78">
    <w:name w:val="条文脚注"/>
    <w:basedOn w:val="32"/>
    <w:qFormat/>
    <w:uiPriority w:val="0"/>
    <w:pPr>
      <w:ind w:left="780" w:leftChars="200" w:hanging="360" w:hangingChars="200"/>
      <w:jc w:val="both"/>
    </w:pPr>
    <w:rPr>
      <w:rFonts w:ascii="宋体"/>
    </w:rPr>
  </w:style>
  <w:style w:type="paragraph" w:customStyle="1" w:styleId="79">
    <w:name w:val="附录章标题"/>
    <w:next w:val="58"/>
    <w:qFormat/>
    <w:uiPriority w:val="0"/>
    <w:pPr>
      <w:numPr>
        <w:ilvl w:val="1"/>
        <w:numId w:val="1"/>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0">
    <w:name w:val="注×："/>
    <w:qFormat/>
    <w:uiPriority w:val="0"/>
    <w:pPr>
      <w:widowControl w:val="0"/>
      <w:numPr>
        <w:ilvl w:val="0"/>
        <w:numId w:val="4"/>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81">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82">
    <w:name w:val="图表脚注"/>
    <w:next w:val="5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83">
    <w:name w:val="五级无标题条"/>
    <w:basedOn w:val="1"/>
    <w:qFormat/>
    <w:uiPriority w:val="0"/>
    <w:pPr>
      <w:numPr>
        <w:ilvl w:val="6"/>
        <w:numId w:val="5"/>
      </w:numPr>
    </w:pPr>
  </w:style>
  <w:style w:type="paragraph" w:customStyle="1" w:styleId="84">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85">
    <w:name w:val="Char"/>
    <w:basedOn w:val="1"/>
    <w:qFormat/>
    <w:uiPriority w:val="0"/>
    <w:pPr>
      <w:widowControl/>
      <w:spacing w:after="160" w:line="240" w:lineRule="exact"/>
      <w:jc w:val="left"/>
    </w:pPr>
  </w:style>
  <w:style w:type="paragraph" w:customStyle="1" w:styleId="86">
    <w:name w:val="无标题条"/>
    <w:next w:val="58"/>
    <w:qFormat/>
    <w:uiPriority w:val="0"/>
    <w:pPr>
      <w:jc w:val="both"/>
    </w:pPr>
    <w:rPr>
      <w:rFonts w:ascii="Times New Roman" w:hAnsi="Times New Roman" w:eastAsia="宋体" w:cs="Times New Roman"/>
      <w:sz w:val="21"/>
      <w:lang w:val="en-US" w:eastAsia="zh-CN" w:bidi="ar-SA"/>
    </w:rPr>
  </w:style>
  <w:style w:type="paragraph" w:customStyle="1" w:styleId="87">
    <w:name w:val="五级条标题"/>
    <w:basedOn w:val="70"/>
    <w:next w:val="58"/>
    <w:qFormat/>
    <w:uiPriority w:val="0"/>
    <w:pPr>
      <w:outlineLvl w:val="6"/>
    </w:pPr>
  </w:style>
  <w:style w:type="paragraph" w:customStyle="1" w:styleId="88">
    <w:name w:val="Default"/>
    <w:qFormat/>
    <w:uiPriority w:val="0"/>
    <w:pPr>
      <w:widowControl w:val="0"/>
      <w:autoSpaceDE w:val="0"/>
      <w:autoSpaceDN w:val="0"/>
      <w:adjustRightInd w:val="0"/>
    </w:pPr>
    <w:rPr>
      <w:rFonts w:ascii="宋体" w:hAnsi="Times New Roman" w:eastAsia="宋体" w:cs="Times New Roman"/>
      <w:lang w:val="en-US" w:eastAsia="zh-CN" w:bidi="ar-SA"/>
    </w:rPr>
  </w:style>
  <w:style w:type="paragraph" w:customStyle="1" w:styleId="8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90">
    <w:name w:val="正文图标题"/>
    <w:next w:val="58"/>
    <w:qFormat/>
    <w:uiPriority w:val="0"/>
    <w:pPr>
      <w:numPr>
        <w:ilvl w:val="0"/>
        <w:numId w:val="6"/>
      </w:numPr>
      <w:jc w:val="center"/>
    </w:pPr>
    <w:rPr>
      <w:rFonts w:ascii="黑体" w:hAnsi="Times New Roman" w:eastAsia="黑体" w:cs="Times New Roman"/>
      <w:sz w:val="21"/>
      <w:lang w:val="en-US" w:eastAsia="zh-CN" w:bidi="ar-SA"/>
    </w:rPr>
  </w:style>
  <w:style w:type="paragraph" w:customStyle="1" w:styleId="91">
    <w:name w:val="注："/>
    <w:next w:val="58"/>
    <w:link w:val="284"/>
    <w:qFormat/>
    <w:uiPriority w:val="0"/>
    <w:pPr>
      <w:widowControl w:val="0"/>
      <w:numPr>
        <w:ilvl w:val="0"/>
        <w:numId w:val="7"/>
      </w:numPr>
      <w:autoSpaceDE w:val="0"/>
      <w:autoSpaceDN w:val="0"/>
      <w:jc w:val="both"/>
    </w:pPr>
    <w:rPr>
      <w:rFonts w:ascii="宋体" w:hAnsi="Times New Roman" w:eastAsia="宋体" w:cs="Times New Roman"/>
      <w:sz w:val="18"/>
      <w:lang w:val="en-US" w:eastAsia="zh-CN" w:bidi="ar-SA"/>
    </w:rPr>
  </w:style>
  <w:style w:type="paragraph" w:customStyle="1" w:styleId="92">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93">
    <w:name w:val="标准书眉_偶数页"/>
    <w:basedOn w:val="89"/>
    <w:next w:val="1"/>
    <w:qFormat/>
    <w:uiPriority w:val="0"/>
    <w:pPr>
      <w:jc w:val="left"/>
    </w:pPr>
  </w:style>
  <w:style w:type="paragraph" w:customStyle="1" w:styleId="94">
    <w:name w:val="二级无标题条"/>
    <w:basedOn w:val="1"/>
    <w:qFormat/>
    <w:uiPriority w:val="0"/>
    <w:pPr>
      <w:numPr>
        <w:ilvl w:val="3"/>
        <w:numId w:val="5"/>
      </w:numPr>
    </w:pPr>
  </w:style>
  <w:style w:type="paragraph" w:customStyle="1" w:styleId="95">
    <w:name w:val="附录表标题"/>
    <w:next w:val="58"/>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96">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97">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98">
    <w:name w:val="封面正文"/>
    <w:qFormat/>
    <w:uiPriority w:val="0"/>
    <w:pPr>
      <w:jc w:val="both"/>
    </w:pPr>
    <w:rPr>
      <w:rFonts w:ascii="Times New Roman" w:hAnsi="Times New Roman" w:eastAsia="宋体" w:cs="Times New Roman"/>
      <w:lang w:val="en-US" w:eastAsia="zh-CN" w:bidi="ar-SA"/>
    </w:rPr>
  </w:style>
  <w:style w:type="paragraph" w:customStyle="1" w:styleId="99">
    <w:name w:val="附录五级条标题"/>
    <w:basedOn w:val="100"/>
    <w:next w:val="58"/>
    <w:qFormat/>
    <w:uiPriority w:val="0"/>
    <w:pPr>
      <w:numPr>
        <w:ilvl w:val="6"/>
      </w:numPr>
      <w:outlineLvl w:val="6"/>
    </w:pPr>
  </w:style>
  <w:style w:type="paragraph" w:customStyle="1" w:styleId="100">
    <w:name w:val="附录四级条标题"/>
    <w:basedOn w:val="101"/>
    <w:next w:val="58"/>
    <w:qFormat/>
    <w:uiPriority w:val="0"/>
    <w:pPr>
      <w:numPr>
        <w:ilvl w:val="5"/>
      </w:numPr>
      <w:outlineLvl w:val="5"/>
    </w:pPr>
  </w:style>
  <w:style w:type="paragraph" w:customStyle="1" w:styleId="101">
    <w:name w:val="附录三级条标题"/>
    <w:basedOn w:val="102"/>
    <w:next w:val="58"/>
    <w:qFormat/>
    <w:uiPriority w:val="0"/>
    <w:pPr>
      <w:numPr>
        <w:ilvl w:val="4"/>
      </w:numPr>
      <w:outlineLvl w:val="4"/>
    </w:pPr>
  </w:style>
  <w:style w:type="paragraph" w:customStyle="1" w:styleId="102">
    <w:name w:val="附录二级条标题"/>
    <w:basedOn w:val="103"/>
    <w:next w:val="58"/>
    <w:qFormat/>
    <w:uiPriority w:val="0"/>
    <w:pPr>
      <w:numPr>
        <w:ilvl w:val="3"/>
      </w:numPr>
      <w:outlineLvl w:val="3"/>
    </w:pPr>
  </w:style>
  <w:style w:type="paragraph" w:customStyle="1" w:styleId="103">
    <w:name w:val="附录一级条标题"/>
    <w:basedOn w:val="79"/>
    <w:next w:val="58"/>
    <w:qFormat/>
    <w:uiPriority w:val="0"/>
    <w:pPr>
      <w:numPr>
        <w:ilvl w:val="2"/>
      </w:numPr>
      <w:autoSpaceDN w:val="0"/>
      <w:spacing w:beforeLines="0" w:afterLines="0"/>
      <w:outlineLvl w:val="2"/>
    </w:pPr>
  </w:style>
  <w:style w:type="paragraph" w:customStyle="1" w:styleId="104">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05">
    <w:name w:val="附录图标题"/>
    <w:next w:val="58"/>
    <w:qFormat/>
    <w:uiPriority w:val="0"/>
    <w:pPr>
      <w:jc w:val="center"/>
    </w:pPr>
    <w:rPr>
      <w:rFonts w:ascii="黑体" w:hAnsi="Times New Roman" w:eastAsia="黑体" w:cs="Times New Roman"/>
      <w:sz w:val="21"/>
      <w:lang w:val="en-US" w:eastAsia="zh-CN" w:bidi="ar-SA"/>
    </w:rPr>
  </w:style>
  <w:style w:type="paragraph" w:customStyle="1" w:styleId="106">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07">
    <w:name w:val="正文表标题"/>
    <w:next w:val="58"/>
    <w:qFormat/>
    <w:uiPriority w:val="0"/>
    <w:pPr>
      <w:numPr>
        <w:ilvl w:val="0"/>
        <w:numId w:val="8"/>
      </w:numPr>
      <w:jc w:val="center"/>
    </w:pPr>
    <w:rPr>
      <w:rFonts w:ascii="黑体" w:hAnsi="Times New Roman" w:eastAsia="黑体" w:cs="Times New Roman"/>
      <w:sz w:val="21"/>
      <w:lang w:val="en-US" w:eastAsia="zh-CN" w:bidi="ar-SA"/>
    </w:rPr>
  </w:style>
  <w:style w:type="paragraph" w:customStyle="1" w:styleId="108">
    <w:name w:val="示例"/>
    <w:next w:val="58"/>
    <w:qFormat/>
    <w:uiPriority w:val="0"/>
    <w:pPr>
      <w:numPr>
        <w:ilvl w:val="0"/>
        <w:numId w:val="9"/>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09">
    <w:name w:val="篇"/>
    <w:basedOn w:val="1"/>
    <w:next w:val="1"/>
    <w:qFormat/>
    <w:uiPriority w:val="0"/>
    <w:pPr>
      <w:adjustRightInd w:val="0"/>
      <w:spacing w:line="360" w:lineRule="atLeast"/>
      <w:jc w:val="center"/>
      <w:textAlignment w:val="baseline"/>
    </w:pPr>
    <w:rPr>
      <w:rFonts w:eastAsia="黑体"/>
      <w:kern w:val="0"/>
      <w:sz w:val="24"/>
      <w:szCs w:val="20"/>
    </w:rPr>
  </w:style>
  <w:style w:type="paragraph" w:customStyle="1" w:styleId="110">
    <w:name w:val="四级无标题条"/>
    <w:basedOn w:val="1"/>
    <w:qFormat/>
    <w:uiPriority w:val="0"/>
    <w:pPr>
      <w:numPr>
        <w:ilvl w:val="5"/>
        <w:numId w:val="5"/>
      </w:numPr>
    </w:pPr>
  </w:style>
  <w:style w:type="paragraph" w:customStyle="1" w:styleId="111">
    <w:name w:val="目次、标准名称标题"/>
    <w:basedOn w:val="66"/>
    <w:next w:val="58"/>
    <w:qFormat/>
    <w:uiPriority w:val="0"/>
    <w:pPr>
      <w:numPr>
        <w:numId w:val="0"/>
      </w:numPr>
      <w:spacing w:line="460" w:lineRule="exact"/>
    </w:pPr>
  </w:style>
  <w:style w:type="paragraph" w:customStyle="1" w:styleId="112">
    <w:name w:val="标准书眉一"/>
    <w:qFormat/>
    <w:uiPriority w:val="0"/>
    <w:pPr>
      <w:jc w:val="both"/>
    </w:pPr>
    <w:rPr>
      <w:rFonts w:ascii="Times New Roman" w:hAnsi="Times New Roman" w:eastAsia="宋体" w:cs="Times New Roman"/>
      <w:lang w:val="en-US" w:eastAsia="zh-CN" w:bidi="ar-SA"/>
    </w:rPr>
  </w:style>
  <w:style w:type="paragraph" w:customStyle="1" w:styleId="113">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14">
    <w:name w:val="其他发布部门"/>
    <w:basedOn w:val="68"/>
    <w:qFormat/>
    <w:uiPriority w:val="0"/>
    <w:pPr>
      <w:spacing w:line="0" w:lineRule="atLeast"/>
    </w:pPr>
    <w:rPr>
      <w:rFonts w:ascii="黑体" w:eastAsia="黑体"/>
      <w:b w:val="0"/>
    </w:rPr>
  </w:style>
  <w:style w:type="paragraph" w:customStyle="1" w:styleId="115">
    <w:name w:val="列项·"/>
    <w:qFormat/>
    <w:uiPriority w:val="0"/>
    <w:pPr>
      <w:numPr>
        <w:ilvl w:val="0"/>
        <w:numId w:val="10"/>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16">
    <w:name w:val="三级无标题条"/>
    <w:basedOn w:val="1"/>
    <w:qFormat/>
    <w:uiPriority w:val="0"/>
    <w:pPr>
      <w:numPr>
        <w:ilvl w:val="4"/>
        <w:numId w:val="5"/>
      </w:numPr>
    </w:pPr>
  </w:style>
  <w:style w:type="paragraph" w:customStyle="1" w:styleId="11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8">
    <w:name w:val="一级无标题条"/>
    <w:basedOn w:val="1"/>
    <w:qFormat/>
    <w:uiPriority w:val="0"/>
    <w:pPr>
      <w:numPr>
        <w:ilvl w:val="2"/>
        <w:numId w:val="5"/>
      </w:numPr>
    </w:pPr>
  </w:style>
  <w:style w:type="paragraph" w:customStyle="1" w:styleId="119">
    <w:name w:val="封面标准代替信息"/>
    <w:basedOn w:val="63"/>
    <w:qFormat/>
    <w:uiPriority w:val="0"/>
    <w:pPr>
      <w:spacing w:before="57"/>
    </w:pPr>
    <w:rPr>
      <w:rFonts w:ascii="宋体"/>
      <w:sz w:val="21"/>
    </w:rPr>
  </w:style>
  <w:style w:type="paragraph" w:customStyle="1" w:styleId="120">
    <w:name w:val="标准正文"/>
    <w:basedOn w:val="1"/>
    <w:qFormat/>
    <w:uiPriority w:val="0"/>
    <w:pPr>
      <w:adjustRightInd w:val="0"/>
      <w:spacing w:line="360" w:lineRule="atLeast"/>
      <w:ind w:firstLine="425"/>
      <w:jc w:val="left"/>
      <w:textAlignment w:val="baseline"/>
    </w:pPr>
    <w:rPr>
      <w:spacing w:val="-4"/>
      <w:kern w:val="21"/>
      <w:szCs w:val="20"/>
    </w:rPr>
  </w:style>
  <w:style w:type="paragraph" w:customStyle="1" w:styleId="121">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3">
    <w:name w:val="font6"/>
    <w:basedOn w:val="1"/>
    <w:qFormat/>
    <w:uiPriority w:val="0"/>
    <w:pPr>
      <w:widowControl/>
      <w:spacing w:before="100" w:beforeAutospacing="1" w:after="100" w:afterAutospacing="1"/>
      <w:jc w:val="left"/>
    </w:pPr>
    <w:rPr>
      <w:b/>
      <w:bCs/>
      <w:kern w:val="0"/>
      <w:sz w:val="20"/>
      <w:szCs w:val="20"/>
    </w:rPr>
  </w:style>
  <w:style w:type="paragraph" w:customStyle="1" w:styleId="124">
    <w:name w:val="font7"/>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5">
    <w:name w:val="font8"/>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6">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7">
    <w:name w:val="font10"/>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8">
    <w:name w:val="font11"/>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129">
    <w:name w:val="xl78"/>
    <w:basedOn w:val="1"/>
    <w:qFormat/>
    <w:uiPriority w:val="0"/>
    <w:pPr>
      <w:widowControl/>
      <w:spacing w:before="100" w:beforeAutospacing="1" w:after="100" w:afterAutospacing="1"/>
      <w:jc w:val="center"/>
      <w:textAlignment w:val="center"/>
    </w:pPr>
    <w:rPr>
      <w:b/>
      <w:bCs/>
      <w:kern w:val="0"/>
      <w:sz w:val="24"/>
    </w:rPr>
  </w:style>
  <w:style w:type="paragraph" w:customStyle="1" w:styleId="130">
    <w:name w:val="xl79"/>
    <w:basedOn w:val="1"/>
    <w:qFormat/>
    <w:uiPriority w:val="0"/>
    <w:pPr>
      <w:widowControl/>
      <w:spacing w:before="100" w:beforeAutospacing="1" w:after="100" w:afterAutospacing="1"/>
      <w:jc w:val="center"/>
      <w:textAlignment w:val="center"/>
    </w:pPr>
    <w:rPr>
      <w:b/>
      <w:bCs/>
      <w:kern w:val="0"/>
      <w:sz w:val="24"/>
    </w:rPr>
  </w:style>
  <w:style w:type="paragraph" w:customStyle="1" w:styleId="131">
    <w:name w:val="xl80"/>
    <w:basedOn w:val="1"/>
    <w:qFormat/>
    <w:uiPriority w:val="0"/>
    <w:pPr>
      <w:widowControl/>
      <w:spacing w:before="100" w:beforeAutospacing="1" w:after="100" w:afterAutospacing="1"/>
      <w:jc w:val="center"/>
      <w:textAlignment w:val="center"/>
    </w:pPr>
    <w:rPr>
      <w:b/>
      <w:bCs/>
      <w:kern w:val="0"/>
      <w:sz w:val="24"/>
    </w:rPr>
  </w:style>
  <w:style w:type="paragraph" w:customStyle="1" w:styleId="13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4">
    <w:name w:val="xl83"/>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3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4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4">
    <w:name w:val="xl93"/>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45">
    <w:name w:val="xl94"/>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46">
    <w:name w:val="c封面标准名称"/>
    <w:basedOn w:val="1"/>
    <w:qFormat/>
    <w:uiPriority w:val="0"/>
    <w:pPr>
      <w:adjustRightInd w:val="0"/>
      <w:jc w:val="center"/>
    </w:pPr>
    <w:rPr>
      <w:rFonts w:eastAsia="黑体"/>
      <w:kern w:val="0"/>
      <w:sz w:val="52"/>
      <w:szCs w:val="20"/>
    </w:rPr>
  </w:style>
  <w:style w:type="paragraph" w:customStyle="1" w:styleId="147">
    <w:name w:val="样式2"/>
    <w:basedOn w:val="71"/>
    <w:qFormat/>
    <w:uiPriority w:val="0"/>
    <w:pPr>
      <w:spacing w:line="240" w:lineRule="auto"/>
      <w:ind w:left="454" w:firstLine="0" w:firstLineChars="0"/>
    </w:pPr>
    <w:rPr>
      <w:color w:val="auto"/>
      <w:spacing w:val="0"/>
      <w:szCs w:val="20"/>
    </w:rPr>
  </w:style>
  <w:style w:type="paragraph" w:customStyle="1" w:styleId="148">
    <w:name w:val="列出段落1"/>
    <w:basedOn w:val="1"/>
    <w:qFormat/>
    <w:uiPriority w:val="34"/>
    <w:pPr>
      <w:ind w:firstLine="420" w:firstLineChars="200"/>
    </w:pPr>
    <w:rPr>
      <w:rFonts w:ascii="Calibri" w:hAnsi="Calibri"/>
      <w:szCs w:val="22"/>
    </w:rPr>
  </w:style>
  <w:style w:type="paragraph" w:customStyle="1" w:styleId="149">
    <w:name w:val="图表脚注说明"/>
    <w:basedOn w:val="1"/>
    <w:qFormat/>
    <w:uiPriority w:val="0"/>
    <w:rPr>
      <w:rFonts w:ascii="宋体"/>
      <w:sz w:val="18"/>
      <w:szCs w:val="18"/>
    </w:rPr>
  </w:style>
  <w:style w:type="paragraph" w:customStyle="1" w:styleId="150">
    <w:name w:val="Char11"/>
    <w:basedOn w:val="1"/>
    <w:qFormat/>
    <w:uiPriority w:val="0"/>
    <w:pPr>
      <w:widowControl/>
      <w:spacing w:after="160" w:line="240" w:lineRule="exact"/>
      <w:jc w:val="left"/>
    </w:pPr>
  </w:style>
  <w:style w:type="paragraph" w:customStyle="1" w:styleId="151">
    <w:name w:val="ordinary-output"/>
    <w:basedOn w:val="1"/>
    <w:qFormat/>
    <w:uiPriority w:val="99"/>
    <w:pPr>
      <w:widowControl/>
      <w:spacing w:before="100" w:beforeAutospacing="1" w:after="63" w:line="275" w:lineRule="atLeast"/>
      <w:jc w:val="left"/>
    </w:pPr>
    <w:rPr>
      <w:rFonts w:ascii="宋体" w:hAnsi="宋体" w:cs="宋体"/>
      <w:color w:val="333333"/>
      <w:kern w:val="0"/>
      <w:sz w:val="18"/>
      <w:szCs w:val="18"/>
    </w:rPr>
  </w:style>
  <w:style w:type="paragraph" w:customStyle="1" w:styleId="152">
    <w:name w:val="列出段落11"/>
    <w:basedOn w:val="1"/>
    <w:qFormat/>
    <w:uiPriority w:val="34"/>
    <w:pPr>
      <w:ind w:firstLine="420" w:firstLineChars="200"/>
    </w:pPr>
    <w:rPr>
      <w:sz w:val="24"/>
    </w:rPr>
  </w:style>
  <w:style w:type="paragraph" w:customStyle="1" w:styleId="153">
    <w:name w:val="Char1 Char Char Char"/>
    <w:basedOn w:val="1"/>
    <w:qFormat/>
    <w:uiPriority w:val="0"/>
    <w:rPr>
      <w:szCs w:val="20"/>
    </w:rPr>
  </w:style>
  <w:style w:type="paragraph" w:customStyle="1" w:styleId="154">
    <w:name w:val="Char1"/>
    <w:basedOn w:val="1"/>
    <w:qFormat/>
    <w:uiPriority w:val="0"/>
    <w:pPr>
      <w:widowControl/>
      <w:spacing w:after="160" w:line="240" w:lineRule="exact"/>
      <w:jc w:val="left"/>
    </w:pPr>
  </w:style>
  <w:style w:type="paragraph" w:customStyle="1" w:styleId="155">
    <w:name w:val="Decimal Aligned"/>
    <w:basedOn w:val="1"/>
    <w:qFormat/>
    <w:uiPriority w:val="40"/>
    <w:pPr>
      <w:widowControl/>
      <w:tabs>
        <w:tab w:val="decimal" w:pos="360"/>
      </w:tabs>
      <w:spacing w:after="200" w:line="276" w:lineRule="auto"/>
      <w:jc w:val="left"/>
    </w:pPr>
    <w:rPr>
      <w:rFonts w:ascii="Calibri" w:hAnsi="Calibri"/>
      <w:kern w:val="0"/>
      <w:sz w:val="22"/>
      <w:szCs w:val="22"/>
    </w:rPr>
  </w:style>
  <w:style w:type="paragraph" w:customStyle="1" w:styleId="156">
    <w:name w:val="xl6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57">
    <w:name w:val="xl69"/>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58">
    <w:name w:val="xl121"/>
    <w:basedOn w:val="1"/>
    <w:qFormat/>
    <w:uiPriority w:val="0"/>
    <w:pPr>
      <w:widowControl/>
      <w:pBdr>
        <w:top w:val="single" w:color="FF0000" w:sz="8" w:space="0"/>
        <w:bottom w:val="single" w:color="000000" w:sz="4" w:space="0"/>
      </w:pBdr>
      <w:spacing w:before="100" w:beforeAutospacing="1" w:after="100" w:afterAutospacing="1"/>
      <w:jc w:val="center"/>
    </w:pPr>
    <w:rPr>
      <w:rFonts w:ascii="宋体" w:hAnsi="宋体" w:cs="宋体"/>
      <w:kern w:val="0"/>
      <w:szCs w:val="21"/>
    </w:rPr>
  </w:style>
  <w:style w:type="paragraph" w:customStyle="1" w:styleId="15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0">
    <w:name w:val="xl165"/>
    <w:basedOn w:val="1"/>
    <w:qFormat/>
    <w:uiPriority w:val="0"/>
    <w:pPr>
      <w:widowControl/>
      <w:pBdr>
        <w:top w:val="single" w:color="auto" w:sz="8" w:space="0"/>
        <w:left w:val="single" w:color="auto" w:sz="8" w:space="0"/>
        <w:bottom w:val="single" w:color="auto" w:sz="4" w:space="0"/>
      </w:pBdr>
      <w:spacing w:before="100" w:beforeAutospacing="1" w:after="100" w:afterAutospacing="1"/>
      <w:jc w:val="center"/>
    </w:pPr>
    <w:rPr>
      <w:rFonts w:ascii="宋体" w:hAnsi="宋体" w:cs="宋体"/>
      <w:b/>
      <w:bCs/>
      <w:color w:val="000000"/>
      <w:kern w:val="0"/>
      <w:sz w:val="28"/>
      <w:szCs w:val="28"/>
    </w:rPr>
  </w:style>
  <w:style w:type="paragraph" w:customStyle="1" w:styleId="161">
    <w:name w:val="xl120"/>
    <w:basedOn w:val="1"/>
    <w:qFormat/>
    <w:uiPriority w:val="0"/>
    <w:pPr>
      <w:widowControl/>
      <w:pBdr>
        <w:top w:val="single" w:color="FF0000" w:sz="8"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162">
    <w:name w:val="xl106"/>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3">
    <w:name w:val="xl11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4">
    <w:name w:val="xl102"/>
    <w:basedOn w:val="1"/>
    <w:qFormat/>
    <w:uiPriority w:val="0"/>
    <w:pPr>
      <w:widowControl/>
      <w:pBdr>
        <w:top w:val="single" w:color="FF0000" w:sz="8" w:space="0"/>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5">
    <w:name w:val="xl97"/>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7">
    <w:name w:val="xl7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68">
    <w:name w:val="xl73"/>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69">
    <w:name w:val="xl183"/>
    <w:basedOn w:val="1"/>
    <w:qFormat/>
    <w:uiPriority w:val="0"/>
    <w:pPr>
      <w:widowControl/>
      <w:pBdr>
        <w:left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0">
    <w:name w:val="xl184"/>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1">
    <w:name w:val="xl122"/>
    <w:basedOn w:val="1"/>
    <w:qFormat/>
    <w:uiPriority w:val="0"/>
    <w:pPr>
      <w:widowControl/>
      <w:pBdr>
        <w:top w:val="single" w:color="FF0000" w:sz="8"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72">
    <w:name w:val="xl75"/>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173">
    <w:name w:val="xl182"/>
    <w:basedOn w:val="1"/>
    <w:qFormat/>
    <w:uiPriority w:val="0"/>
    <w:pPr>
      <w:widowControl/>
      <w:pBdr>
        <w:top w:val="single" w:color="auto" w:sz="8" w:space="0"/>
        <w:left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4">
    <w:name w:val="xl130"/>
    <w:basedOn w:val="1"/>
    <w:qFormat/>
    <w:uiPriority w:val="0"/>
    <w:pPr>
      <w:widowControl/>
      <w:pBdr>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5">
    <w:name w:val="xl71"/>
    <w:basedOn w:val="1"/>
    <w:qFormat/>
    <w:uiPriority w:val="0"/>
    <w:pPr>
      <w:widowControl/>
      <w:pBdr>
        <w:top w:val="single" w:color="FF0000" w:sz="8"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6">
    <w:name w:val="xl1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7">
    <w:name w:val="xl135"/>
    <w:basedOn w:val="1"/>
    <w:qFormat/>
    <w:uiPriority w:val="0"/>
    <w:pPr>
      <w:widowControl/>
      <w:pBdr>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7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9">
    <w:name w:val="xl6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81">
    <w:name w:val="xl6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82">
    <w:name w:val="xl64"/>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xl178"/>
    <w:basedOn w:val="1"/>
    <w:qFormat/>
    <w:uiPriority w:val="0"/>
    <w:pPr>
      <w:widowControl/>
      <w:pBdr>
        <w:top w:val="single" w:color="FF0000" w:sz="8" w:space="0"/>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84">
    <w:name w:val="xl170"/>
    <w:basedOn w:val="1"/>
    <w:qFormat/>
    <w:uiPriority w:val="0"/>
    <w:pPr>
      <w:widowControl/>
      <w:pBdr>
        <w:lef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5">
    <w:name w:val="xl17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6">
    <w:name w:val="xl15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187">
    <w:name w:val="xl176"/>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88">
    <w:name w:val="xl168"/>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9">
    <w:name w:val="xl152"/>
    <w:basedOn w:val="1"/>
    <w:qFormat/>
    <w:uiPriority w:val="0"/>
    <w:pPr>
      <w:widowControl/>
      <w:pBdr>
        <w:top w:val="single" w:color="auto" w:sz="4" w:space="0"/>
        <w:left w:val="single" w:color="auto" w:sz="4" w:space="0"/>
        <w:bottom w:val="single" w:color="auto" w:sz="8" w:space="0"/>
      </w:pBdr>
      <w:spacing w:before="100" w:beforeAutospacing="1" w:after="100" w:afterAutospacing="1"/>
      <w:jc w:val="center"/>
    </w:pPr>
    <w:rPr>
      <w:rFonts w:ascii="宋体" w:hAnsi="宋体" w:cs="宋体"/>
      <w:kern w:val="0"/>
      <w:szCs w:val="21"/>
    </w:rPr>
  </w:style>
  <w:style w:type="paragraph" w:customStyle="1" w:styleId="190">
    <w:name w:val="xl74"/>
    <w:basedOn w:val="1"/>
    <w:qFormat/>
    <w:uiPriority w:val="0"/>
    <w:pPr>
      <w:widowControl/>
      <w:pBdr>
        <w:top w:val="single" w:color="FF0000" w:sz="8" w:space="0"/>
        <w:left w:val="single" w:color="auto" w:sz="4" w:space="0"/>
        <w:bottom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91">
    <w:name w:val="xl174"/>
    <w:basedOn w:val="1"/>
    <w:qFormat/>
    <w:uiPriority w:val="0"/>
    <w:pPr>
      <w:widowControl/>
      <w:pBdr>
        <w:bottom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92">
    <w:name w:val="xl15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3">
    <w:name w:val="xl129"/>
    <w:basedOn w:val="1"/>
    <w:qFormat/>
    <w:uiPriority w:val="0"/>
    <w:pPr>
      <w:widowControl/>
      <w:pBdr>
        <w:left w:val="single" w:color="auto"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194">
    <w:name w:val="xl70"/>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95">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97">
    <w:name w:val="xl72"/>
    <w:basedOn w:val="1"/>
    <w:qFormat/>
    <w:uiPriority w:val="0"/>
    <w:pPr>
      <w:widowControl/>
      <w:pBdr>
        <w:top w:val="single" w:color="FF0000" w:sz="8"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98">
    <w:name w:val="xl11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99">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0">
    <w:name w:val="xl10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01">
    <w:name w:val="xl11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02">
    <w:name w:val="xl103"/>
    <w:basedOn w:val="1"/>
    <w:qFormat/>
    <w:uiPriority w:val="0"/>
    <w:pPr>
      <w:widowControl/>
      <w:pBdr>
        <w:top w:val="single" w:color="FF0000" w:sz="8" w:space="0"/>
        <w:left w:val="single" w:color="auto" w:sz="4" w:space="0"/>
        <w:bottom w:val="single" w:color="FF0000"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03">
    <w:name w:val="xl98"/>
    <w:basedOn w:val="1"/>
    <w:qFormat/>
    <w:uiPriority w:val="0"/>
    <w:pPr>
      <w:widowControl/>
      <w:pBdr>
        <w:top w:val="single" w:color="auto" w:sz="4" w:space="0"/>
        <w:left w:val="single" w:color="auto" w:sz="4"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04">
    <w:name w:val="xl162"/>
    <w:basedOn w:val="1"/>
    <w:qFormat/>
    <w:uiPriority w:val="0"/>
    <w:pPr>
      <w:widowControl/>
      <w:pBdr>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05">
    <w:name w:val="xl1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06">
    <w:name w:val="xl11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07">
    <w:name w:val="xl159"/>
    <w:basedOn w:val="1"/>
    <w:qFormat/>
    <w:uiPriority w:val="0"/>
    <w:pPr>
      <w:widowControl/>
      <w:pBdr>
        <w:left w:val="single" w:color="auto" w:sz="4"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08">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09">
    <w:name w:val="xl160"/>
    <w:basedOn w:val="1"/>
    <w:qFormat/>
    <w:uiPriority w:val="0"/>
    <w:pPr>
      <w:widowControl/>
      <w:pBdr>
        <w:top w:val="single" w:color="000000" w:sz="4" w:space="0"/>
        <w:left w:val="single" w:color="auto"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0">
    <w:name w:val="xl95"/>
    <w:basedOn w:val="1"/>
    <w:qFormat/>
    <w:uiPriority w:val="0"/>
    <w:pPr>
      <w:widowControl/>
      <w:pBdr>
        <w:top w:val="single" w:color="auto" w:sz="4" w:space="0"/>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11">
    <w:name w:val="xl108"/>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212">
    <w:name w:val="xl157"/>
    <w:basedOn w:val="1"/>
    <w:qFormat/>
    <w:uiPriority w:val="0"/>
    <w:pPr>
      <w:widowControl/>
      <w:pBdr>
        <w:left w:val="single" w:color="auto"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213">
    <w:name w:val="xl118"/>
    <w:basedOn w:val="1"/>
    <w:qFormat/>
    <w:uiPriority w:val="0"/>
    <w:pPr>
      <w:widowControl/>
      <w:pBdr>
        <w:top w:val="single" w:color="FF0000" w:sz="8"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14">
    <w:name w:val="xl104"/>
    <w:basedOn w:val="1"/>
    <w:qFormat/>
    <w:uiPriority w:val="0"/>
    <w:pPr>
      <w:widowControl/>
      <w:pBdr>
        <w:top w:val="single" w:color="FF0000" w:sz="8" w:space="0"/>
        <w:left w:val="single" w:color="auto" w:sz="4" w:space="0"/>
        <w:bottom w:val="single" w:color="FF0000"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15">
    <w:name w:val="xl163"/>
    <w:basedOn w:val="1"/>
    <w:qFormat/>
    <w:uiPriority w:val="0"/>
    <w:pPr>
      <w:widowControl/>
      <w:pBdr>
        <w:top w:val="single" w:color="FF0000" w:sz="8"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6">
    <w:name w:val="xl155"/>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17">
    <w:name w:val="xl99"/>
    <w:basedOn w:val="1"/>
    <w:qFormat/>
    <w:uiPriority w:val="0"/>
    <w:pPr>
      <w:widowControl/>
      <w:pBdr>
        <w:top w:val="single" w:color="FF0000"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18">
    <w:name w:val="xl140"/>
    <w:basedOn w:val="1"/>
    <w:qFormat/>
    <w:uiPriority w:val="0"/>
    <w:pPr>
      <w:widowControl/>
      <w:pBdr>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1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20">
    <w:name w:val="xl1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1">
    <w:name w:val="xl138"/>
    <w:basedOn w:val="1"/>
    <w:qFormat/>
    <w:uiPriority w:val="0"/>
    <w:pPr>
      <w:widowControl/>
      <w:pBdr>
        <w:top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22">
    <w:name w:val="xl119"/>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3">
    <w:name w:val="xl105"/>
    <w:basedOn w:val="1"/>
    <w:qFormat/>
    <w:uiPriority w:val="0"/>
    <w:pPr>
      <w:widowControl/>
      <w:pBdr>
        <w:top w:val="single" w:color="FF0000" w:sz="8"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24">
    <w:name w:val="xl143"/>
    <w:basedOn w:val="1"/>
    <w:qFormat/>
    <w:uiPriority w:val="0"/>
    <w:pPr>
      <w:widowControl/>
      <w:pBdr>
        <w:top w:val="single" w:color="FF0000" w:sz="8"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25">
    <w:name w:val="xl115"/>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2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27">
    <w:name w:val="xl144"/>
    <w:basedOn w:val="1"/>
    <w:qFormat/>
    <w:uiPriority w:val="0"/>
    <w:pPr>
      <w:widowControl/>
      <w:pBdr>
        <w:top w:val="single" w:color="FF0000" w:sz="8" w:space="0"/>
        <w:left w:val="single" w:color="auto" w:sz="4"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28">
    <w:name w:val="xl100"/>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29">
    <w:name w:val="xl141"/>
    <w:basedOn w:val="1"/>
    <w:qFormat/>
    <w:uiPriority w:val="0"/>
    <w:pPr>
      <w:widowControl/>
      <w:pBdr>
        <w:left w:val="single" w:color="auto"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30">
    <w:name w:val="xl96"/>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31">
    <w:name w:val="xl171"/>
    <w:basedOn w:val="1"/>
    <w:qFormat/>
    <w:uiPriority w:val="0"/>
    <w:pPr>
      <w:widowControl/>
      <w:spacing w:before="100" w:beforeAutospacing="1" w:after="100" w:afterAutospacing="1"/>
      <w:jc w:val="center"/>
    </w:pPr>
    <w:rPr>
      <w:rFonts w:ascii="宋体" w:hAnsi="宋体" w:cs="宋体"/>
      <w:b/>
      <w:bCs/>
      <w:color w:val="000000"/>
      <w:kern w:val="0"/>
      <w:szCs w:val="21"/>
    </w:rPr>
  </w:style>
  <w:style w:type="paragraph" w:customStyle="1" w:styleId="232">
    <w:name w:val="xl125"/>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33">
    <w:name w:val="xl18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34">
    <w:name w:val="xl179"/>
    <w:basedOn w:val="1"/>
    <w:qFormat/>
    <w:uiPriority w:val="0"/>
    <w:pPr>
      <w:widowControl/>
      <w:pBdr>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35">
    <w:name w:val="xl13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6">
    <w:name w:val="xl126"/>
    <w:basedOn w:val="1"/>
    <w:qFormat/>
    <w:uiPriority w:val="0"/>
    <w:pPr>
      <w:widowControl/>
      <w:pBdr>
        <w:bottom w:val="single" w:color="000000" w:sz="4" w:space="0"/>
      </w:pBdr>
      <w:spacing w:before="100" w:beforeAutospacing="1" w:after="100" w:afterAutospacing="1"/>
      <w:jc w:val="center"/>
    </w:pPr>
    <w:rPr>
      <w:rFonts w:ascii="宋体" w:hAnsi="宋体" w:cs="宋体"/>
      <w:kern w:val="0"/>
      <w:szCs w:val="21"/>
    </w:rPr>
  </w:style>
  <w:style w:type="paragraph" w:customStyle="1" w:styleId="237">
    <w:name w:val="xl127"/>
    <w:basedOn w:val="1"/>
    <w:qFormat/>
    <w:uiPriority w:val="0"/>
    <w:pPr>
      <w:widowControl/>
      <w:pBdr>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8">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39">
    <w:name w:val="xl131"/>
    <w:basedOn w:val="1"/>
    <w:qFormat/>
    <w:uiPriority w:val="0"/>
    <w:pPr>
      <w:widowControl/>
      <w:pBdr>
        <w:top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0">
    <w:name w:val="xl132"/>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24"/>
    </w:rPr>
  </w:style>
  <w:style w:type="paragraph" w:customStyle="1" w:styleId="241">
    <w:name w:val="xl177"/>
    <w:basedOn w:val="1"/>
    <w:qFormat/>
    <w:uiPriority w:val="0"/>
    <w:pPr>
      <w:widowControl/>
      <w:pBdr>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42">
    <w:name w:val="xl1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43">
    <w:name w:val="xl133"/>
    <w:basedOn w:val="1"/>
    <w:qFormat/>
    <w:uiPriority w:val="0"/>
    <w:pPr>
      <w:widowControl/>
      <w:pBdr>
        <w:bottom w:val="single" w:color="FF0000" w:sz="8" w:space="0"/>
        <w:right w:val="single" w:color="000000" w:sz="4" w:space="0"/>
      </w:pBdr>
      <w:spacing w:before="100" w:beforeAutospacing="1" w:after="100" w:afterAutospacing="1"/>
      <w:jc w:val="center"/>
    </w:pPr>
    <w:rPr>
      <w:rFonts w:ascii="宋体" w:hAnsi="宋体" w:cs="宋体"/>
      <w:kern w:val="0"/>
      <w:szCs w:val="21"/>
    </w:rPr>
  </w:style>
  <w:style w:type="paragraph" w:customStyle="1" w:styleId="244">
    <w:name w:val="xl1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45">
    <w:name w:val="xl134"/>
    <w:basedOn w:val="1"/>
    <w:qFormat/>
    <w:uiPriority w:val="0"/>
    <w:pPr>
      <w:widowControl/>
      <w:pBdr>
        <w:bottom w:val="single" w:color="FF0000" w:sz="8" w:space="0"/>
      </w:pBdr>
      <w:spacing w:before="100" w:beforeAutospacing="1" w:after="100" w:afterAutospacing="1"/>
      <w:jc w:val="center"/>
    </w:pPr>
    <w:rPr>
      <w:rFonts w:ascii="宋体" w:hAnsi="宋体" w:cs="宋体"/>
      <w:kern w:val="0"/>
      <w:szCs w:val="21"/>
    </w:rPr>
  </w:style>
  <w:style w:type="paragraph" w:customStyle="1" w:styleId="246">
    <w:name w:val="xl1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7">
    <w:name w:val="xl137"/>
    <w:basedOn w:val="1"/>
    <w:qFormat/>
    <w:uiPriority w:val="0"/>
    <w:pPr>
      <w:widowControl/>
      <w:pBdr>
        <w:top w:val="single" w:color="000000" w:sz="4"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48">
    <w:name w:val="xl147"/>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9">
    <w:name w:val="xl139"/>
    <w:basedOn w:val="1"/>
    <w:qFormat/>
    <w:uiPriority w:val="0"/>
    <w:pPr>
      <w:widowControl/>
      <w:pBdr>
        <w:top w:val="single" w:color="FF0000" w:sz="8"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50">
    <w:name w:val="xl142"/>
    <w:basedOn w:val="1"/>
    <w:qFormat/>
    <w:uiPriority w:val="0"/>
    <w:pPr>
      <w:widowControl/>
      <w:pBdr>
        <w:top w:val="single" w:color="FF0000" w:sz="8" w:space="0"/>
        <w:bottom w:val="single" w:color="FF0000" w:sz="8" w:space="0"/>
        <w:right w:val="single" w:color="000000" w:sz="4" w:space="0"/>
      </w:pBdr>
      <w:spacing w:before="100" w:beforeAutospacing="1" w:after="100" w:afterAutospacing="1"/>
      <w:jc w:val="center"/>
    </w:pPr>
    <w:rPr>
      <w:rFonts w:ascii="宋体" w:hAnsi="宋体" w:cs="宋体"/>
      <w:kern w:val="0"/>
      <w:szCs w:val="21"/>
    </w:rPr>
  </w:style>
  <w:style w:type="paragraph" w:customStyle="1" w:styleId="251">
    <w:name w:val="xl172"/>
    <w:basedOn w:val="1"/>
    <w:qFormat/>
    <w:uiPriority w:val="0"/>
    <w:pPr>
      <w:widowControl/>
      <w:pBdr>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52">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3">
    <w:name w:val="xl173"/>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54">
    <w:name w:val="xl14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55">
    <w:name w:val="xl161"/>
    <w:basedOn w:val="1"/>
    <w:qFormat/>
    <w:uiPriority w:val="0"/>
    <w:pPr>
      <w:widowControl/>
      <w:pBdr>
        <w:left w:val="single" w:color="auto" w:sz="4"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6">
    <w:name w:val="xl153"/>
    <w:basedOn w:val="1"/>
    <w:qFormat/>
    <w:uiPriority w:val="0"/>
    <w:pPr>
      <w:widowControl/>
      <w:pBdr>
        <w:left w:val="single" w:color="auto" w:sz="4" w:space="0"/>
        <w:bottom w:val="single" w:color="auto"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7">
    <w:name w:val="xl164"/>
    <w:basedOn w:val="1"/>
    <w:qFormat/>
    <w:uiPriority w:val="0"/>
    <w:pPr>
      <w:widowControl/>
      <w:pBdr>
        <w:bottom w:val="single" w:color="auto"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8">
    <w:name w:val="xl156"/>
    <w:basedOn w:val="1"/>
    <w:qFormat/>
    <w:uiPriority w:val="0"/>
    <w:pPr>
      <w:widowControl/>
      <w:pBdr>
        <w:top w:val="single" w:color="FF0000" w:sz="8" w:space="0"/>
        <w:left w:val="single" w:color="auto"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259">
    <w:name w:val="xl158"/>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60">
    <w:name w:val="xl166"/>
    <w:basedOn w:val="1"/>
    <w:qFormat/>
    <w:uiPriority w:val="0"/>
    <w:pPr>
      <w:widowControl/>
      <w:pBdr>
        <w:top w:val="single" w:color="auto" w:sz="8" w:space="0"/>
        <w:left w:val="single" w:color="auto" w:sz="8" w:space="0"/>
        <w:bottom w:val="single" w:color="auto" w:sz="4" w:space="0"/>
        <w:right w:val="single" w:color="auto" w:sz="8" w:space="0"/>
      </w:pBdr>
      <w:spacing w:before="100" w:beforeAutospacing="1" w:after="100" w:afterAutospacing="1"/>
      <w:jc w:val="center"/>
    </w:pPr>
    <w:rPr>
      <w:rFonts w:ascii="宋体" w:hAnsi="宋体" w:cs="宋体"/>
      <w:b/>
      <w:bCs/>
      <w:color w:val="000000"/>
      <w:kern w:val="0"/>
      <w:sz w:val="28"/>
      <w:szCs w:val="28"/>
    </w:rPr>
  </w:style>
  <w:style w:type="paragraph" w:customStyle="1" w:styleId="261">
    <w:name w:val="xl167"/>
    <w:basedOn w:val="1"/>
    <w:qFormat/>
    <w:uiPriority w:val="0"/>
    <w:pPr>
      <w:widowControl/>
      <w:pBdr>
        <w:top w:val="single" w:color="auto" w:sz="8" w:space="0"/>
        <w:bottom w:val="single" w:color="auto" w:sz="4" w:space="0"/>
      </w:pBdr>
      <w:spacing w:before="100" w:beforeAutospacing="1" w:after="100" w:afterAutospacing="1"/>
      <w:jc w:val="center"/>
    </w:pPr>
    <w:rPr>
      <w:rFonts w:ascii="宋体" w:hAnsi="宋体" w:cs="宋体"/>
      <w:b/>
      <w:bCs/>
      <w:color w:val="000000"/>
      <w:kern w:val="0"/>
      <w:sz w:val="28"/>
      <w:szCs w:val="28"/>
    </w:rPr>
  </w:style>
  <w:style w:type="paragraph" w:customStyle="1" w:styleId="262">
    <w:name w:val="xl188"/>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63">
    <w:name w:val="xl180"/>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4">
    <w:name w:val="xl18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5">
    <w:name w:val="Char2"/>
    <w:basedOn w:val="1"/>
    <w:qFormat/>
    <w:uiPriority w:val="0"/>
    <w:pPr>
      <w:widowControl/>
      <w:spacing w:after="160" w:line="240" w:lineRule="exact"/>
      <w:jc w:val="left"/>
    </w:pPr>
  </w:style>
  <w:style w:type="paragraph" w:customStyle="1" w:styleId="266">
    <w:name w:val="正文1"/>
    <w:qFormat/>
    <w:uiPriority w:val="0"/>
    <w:pPr>
      <w:jc w:val="both"/>
    </w:pPr>
    <w:rPr>
      <w:rFonts w:ascii="Calibri" w:hAnsi="Calibri" w:eastAsia="宋体" w:cs="Calibri"/>
      <w:kern w:val="2"/>
      <w:sz w:val="21"/>
      <w:szCs w:val="21"/>
      <w:lang w:val="en-US" w:eastAsia="zh-CN" w:bidi="ar-SA"/>
    </w:rPr>
  </w:style>
  <w:style w:type="paragraph" w:customStyle="1" w:styleId="267">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68">
    <w:name w:val="p0"/>
    <w:basedOn w:val="1"/>
    <w:qFormat/>
    <w:uiPriority w:val="0"/>
    <w:pPr>
      <w:widowControl/>
      <w:jc w:val="left"/>
    </w:pPr>
    <w:rPr>
      <w:kern w:val="0"/>
      <w:szCs w:val="21"/>
    </w:rPr>
  </w:style>
  <w:style w:type="paragraph" w:customStyle="1" w:styleId="269">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270">
    <w:name w:val="Char4"/>
    <w:basedOn w:val="1"/>
    <w:qFormat/>
    <w:uiPriority w:val="0"/>
    <w:pPr>
      <w:widowControl/>
      <w:spacing w:after="160" w:line="240" w:lineRule="exact"/>
      <w:jc w:val="left"/>
    </w:pPr>
    <w:rPr>
      <w:rFonts w:ascii="Verdana" w:hAnsi="Verdana"/>
      <w:kern w:val="0"/>
      <w:sz w:val="20"/>
      <w:szCs w:val="20"/>
      <w:lang w:eastAsia="en-US"/>
    </w:rPr>
  </w:style>
  <w:style w:type="paragraph" w:customStyle="1" w:styleId="271">
    <w:name w:val="Char5"/>
    <w:basedOn w:val="1"/>
    <w:qFormat/>
    <w:uiPriority w:val="0"/>
    <w:pPr>
      <w:widowControl/>
      <w:spacing w:after="160" w:line="240" w:lineRule="exact"/>
      <w:jc w:val="left"/>
    </w:pPr>
    <w:rPr>
      <w:rFonts w:ascii="Verdana" w:hAnsi="Verdana"/>
      <w:kern w:val="0"/>
      <w:sz w:val="20"/>
      <w:szCs w:val="20"/>
      <w:lang w:eastAsia="en-US"/>
    </w:rPr>
  </w:style>
  <w:style w:type="paragraph" w:customStyle="1" w:styleId="272">
    <w:name w:val="Char6"/>
    <w:basedOn w:val="1"/>
    <w:qFormat/>
    <w:uiPriority w:val="0"/>
    <w:pPr>
      <w:widowControl/>
      <w:spacing w:after="160" w:line="240" w:lineRule="exact"/>
      <w:jc w:val="left"/>
    </w:pPr>
    <w:rPr>
      <w:rFonts w:ascii="Verdana" w:hAnsi="Verdana"/>
      <w:kern w:val="0"/>
      <w:sz w:val="20"/>
      <w:szCs w:val="20"/>
      <w:lang w:eastAsia="en-US"/>
    </w:rPr>
  </w:style>
  <w:style w:type="character" w:customStyle="1" w:styleId="273">
    <w:name w:val="发布"/>
    <w:qFormat/>
    <w:uiPriority w:val="0"/>
    <w:rPr>
      <w:rFonts w:ascii="黑体" w:eastAsia="黑体"/>
      <w:spacing w:val="22"/>
      <w:w w:val="100"/>
      <w:position w:val="3"/>
      <w:sz w:val="28"/>
    </w:rPr>
  </w:style>
  <w:style w:type="character" w:customStyle="1" w:styleId="274">
    <w:name w:val="个人答复风格"/>
    <w:qFormat/>
    <w:uiPriority w:val="0"/>
    <w:rPr>
      <w:rFonts w:ascii="Arial" w:hAnsi="Arial" w:eastAsia="宋体" w:cs="Arial"/>
      <w:color w:val="auto"/>
      <w:sz w:val="20"/>
    </w:rPr>
  </w:style>
  <w:style w:type="character" w:customStyle="1" w:styleId="275">
    <w:name w:val="段 Char"/>
    <w:link w:val="58"/>
    <w:qFormat/>
    <w:uiPriority w:val="0"/>
    <w:rPr>
      <w:rFonts w:ascii="宋体" w:hAnsi="宋体" w:eastAsia="宋体"/>
      <w:sz w:val="21"/>
      <w:lang w:val="en-US" w:eastAsia="zh-CN" w:bidi="ar-SA"/>
    </w:rPr>
  </w:style>
  <w:style w:type="character" w:customStyle="1" w:styleId="276">
    <w:name w:val="个人撰写风格"/>
    <w:qFormat/>
    <w:uiPriority w:val="0"/>
    <w:rPr>
      <w:rFonts w:ascii="Arial" w:hAnsi="Arial" w:eastAsia="宋体" w:cs="Arial"/>
      <w:color w:val="auto"/>
      <w:sz w:val="20"/>
    </w:rPr>
  </w:style>
  <w:style w:type="character" w:customStyle="1" w:styleId="277">
    <w:name w:val="二级条标题 Char"/>
    <w:link w:val="59"/>
    <w:qFormat/>
    <w:uiPriority w:val="0"/>
    <w:rPr>
      <w:rFonts w:ascii="黑体" w:hAnsi="黑体" w:eastAsia="黑体" w:cs="Times New Roman"/>
      <w:color w:val="000000" w:themeColor="text1"/>
      <w:spacing w:val="-6"/>
      <w:sz w:val="21"/>
      <w:szCs w:val="24"/>
      <w14:textFill>
        <w14:solidFill>
          <w14:schemeClr w14:val="tx1"/>
        </w14:solidFill>
      </w14:textFill>
    </w:rPr>
  </w:style>
  <w:style w:type="character" w:customStyle="1" w:styleId="278">
    <w:name w:val="章标题 Char"/>
    <w:link w:val="61"/>
    <w:qFormat/>
    <w:uiPriority w:val="0"/>
    <w:rPr>
      <w:rFonts w:ascii="Times New Roman" w:hAnsi="Times New Roman" w:cs="Times New Roman" w:eastAsiaTheme="minorEastAsia"/>
      <w:sz w:val="24"/>
    </w:rPr>
  </w:style>
  <w:style w:type="character" w:customStyle="1" w:styleId="279">
    <w:name w:val="一级条标题 Char"/>
    <w:link w:val="60"/>
    <w:qFormat/>
    <w:uiPriority w:val="0"/>
    <w:rPr>
      <w:rFonts w:ascii="黑体" w:hAnsi="Times New Roman" w:eastAsia="黑体" w:cs="Times New Roman"/>
      <w:color w:val="FF0000"/>
      <w:spacing w:val="-4"/>
      <w:sz w:val="21"/>
      <w:szCs w:val="24"/>
    </w:rPr>
  </w:style>
  <w:style w:type="character" w:customStyle="1" w:styleId="280">
    <w:name w:val="纯文本 Char"/>
    <w:link w:val="24"/>
    <w:qFormat/>
    <w:uiPriority w:val="99"/>
    <w:rPr>
      <w:rFonts w:ascii="宋体" w:hAnsi="Courier New" w:cs="Courier New"/>
      <w:kern w:val="2"/>
      <w:sz w:val="21"/>
      <w:szCs w:val="21"/>
    </w:rPr>
  </w:style>
  <w:style w:type="character" w:customStyle="1" w:styleId="281">
    <w:name w:val="三级条标题 Char"/>
    <w:link w:val="71"/>
    <w:qFormat/>
    <w:uiPriority w:val="0"/>
    <w:rPr>
      <w:rFonts w:ascii="黑体" w:eastAsia="黑体"/>
      <w:color w:val="FF0000"/>
      <w:spacing w:val="-4"/>
      <w:sz w:val="21"/>
      <w:szCs w:val="24"/>
    </w:rPr>
  </w:style>
  <w:style w:type="character" w:customStyle="1" w:styleId="282">
    <w:name w:val="批注框文本 Char"/>
    <w:link w:val="29"/>
    <w:qFormat/>
    <w:uiPriority w:val="0"/>
    <w:rPr>
      <w:kern w:val="2"/>
      <w:sz w:val="18"/>
      <w:szCs w:val="18"/>
    </w:rPr>
  </w:style>
  <w:style w:type="character" w:customStyle="1" w:styleId="283">
    <w:name w:val="正文文本 Char"/>
    <w:link w:val="21"/>
    <w:qFormat/>
    <w:uiPriority w:val="0"/>
    <w:rPr>
      <w:kern w:val="2"/>
      <w:sz w:val="21"/>
      <w:szCs w:val="24"/>
    </w:rPr>
  </w:style>
  <w:style w:type="character" w:customStyle="1" w:styleId="284">
    <w:name w:val="注： Char"/>
    <w:link w:val="91"/>
    <w:qFormat/>
    <w:uiPriority w:val="0"/>
    <w:rPr>
      <w:rFonts w:ascii="宋体"/>
      <w:sz w:val="18"/>
    </w:rPr>
  </w:style>
  <w:style w:type="character" w:customStyle="1" w:styleId="285">
    <w:name w:val="页脚 Char"/>
    <w:link w:val="30"/>
    <w:qFormat/>
    <w:uiPriority w:val="99"/>
    <w:rPr>
      <w:kern w:val="2"/>
      <w:sz w:val="18"/>
      <w:szCs w:val="18"/>
    </w:rPr>
  </w:style>
  <w:style w:type="character" w:customStyle="1" w:styleId="286">
    <w:name w:val="正文文本缩进 Char"/>
    <w:link w:val="22"/>
    <w:qFormat/>
    <w:uiPriority w:val="0"/>
    <w:rPr>
      <w:kern w:val="2"/>
      <w:sz w:val="24"/>
    </w:rPr>
  </w:style>
  <w:style w:type="character" w:customStyle="1" w:styleId="287">
    <w:name w:val="表中文字"/>
    <w:qFormat/>
    <w:uiPriority w:val="0"/>
    <w:rPr>
      <w:rFonts w:ascii="宋体" w:eastAsia="宋体"/>
      <w:sz w:val="18"/>
    </w:rPr>
  </w:style>
  <w:style w:type="character" w:customStyle="1" w:styleId="288">
    <w:name w:val="批注文字 Char"/>
    <w:link w:val="20"/>
    <w:qFormat/>
    <w:uiPriority w:val="0"/>
    <w:rPr>
      <w:kern w:val="2"/>
      <w:sz w:val="21"/>
      <w:szCs w:val="24"/>
    </w:rPr>
  </w:style>
  <w:style w:type="character" w:customStyle="1" w:styleId="289">
    <w:name w:val="批注主题 Char"/>
    <w:link w:val="39"/>
    <w:qFormat/>
    <w:uiPriority w:val="0"/>
    <w:rPr>
      <w:b/>
      <w:bCs/>
      <w:kern w:val="2"/>
      <w:sz w:val="21"/>
      <w:szCs w:val="24"/>
    </w:rPr>
  </w:style>
  <w:style w:type="character" w:customStyle="1" w:styleId="290">
    <w:name w:val="页眉 Char"/>
    <w:link w:val="31"/>
    <w:qFormat/>
    <w:uiPriority w:val="99"/>
    <w:rPr>
      <w:kern w:val="2"/>
      <w:sz w:val="18"/>
      <w:szCs w:val="18"/>
    </w:rPr>
  </w:style>
  <w:style w:type="character" w:customStyle="1" w:styleId="291">
    <w:name w:val="正文文本缩进 2 Char"/>
    <w:link w:val="27"/>
    <w:qFormat/>
    <w:uiPriority w:val="0"/>
    <w:rPr>
      <w:kern w:val="2"/>
      <w:sz w:val="21"/>
      <w:szCs w:val="24"/>
    </w:rPr>
  </w:style>
  <w:style w:type="character" w:customStyle="1" w:styleId="292">
    <w:name w:val="日期 Char"/>
    <w:link w:val="26"/>
    <w:qFormat/>
    <w:uiPriority w:val="99"/>
    <w:rPr>
      <w:kern w:val="2"/>
      <w:sz w:val="24"/>
    </w:rPr>
  </w:style>
  <w:style w:type="character" w:customStyle="1" w:styleId="293">
    <w:name w:val="访问过的超链接1"/>
    <w:qFormat/>
    <w:uiPriority w:val="99"/>
    <w:rPr>
      <w:color w:val="800080"/>
      <w:u w:val="single"/>
    </w:rPr>
  </w:style>
  <w:style w:type="character" w:customStyle="1" w:styleId="294">
    <w:name w:val="段 Char Char Char Char"/>
    <w:qFormat/>
    <w:uiPriority w:val="0"/>
    <w:rPr>
      <w:rFonts w:ascii="宋体"/>
      <w:sz w:val="21"/>
      <w:lang w:val="en-US" w:eastAsia="zh-CN" w:bidi="ar-SA"/>
    </w:rPr>
  </w:style>
  <w:style w:type="character" w:customStyle="1" w:styleId="295">
    <w:name w:val="章标题 Char Char"/>
    <w:qFormat/>
    <w:uiPriority w:val="0"/>
    <w:rPr>
      <w:rFonts w:ascii="黑体" w:eastAsia="黑体"/>
      <w:sz w:val="21"/>
      <w:lang w:val="en-US" w:eastAsia="zh-CN" w:bidi="ar-SA"/>
    </w:rPr>
  </w:style>
  <w:style w:type="character" w:customStyle="1" w:styleId="296">
    <w:name w:val="正文文本缩进 Char1"/>
    <w:qFormat/>
    <w:uiPriority w:val="0"/>
    <w:rPr>
      <w:kern w:val="2"/>
      <w:sz w:val="21"/>
      <w:szCs w:val="24"/>
    </w:rPr>
  </w:style>
  <w:style w:type="character" w:customStyle="1" w:styleId="297">
    <w:name w:val="font21"/>
    <w:qFormat/>
    <w:uiPriority w:val="0"/>
    <w:rPr>
      <w:rFonts w:hint="eastAsia" w:ascii="宋体" w:hAnsi="宋体" w:eastAsia="宋体" w:cs="宋体"/>
      <w:b/>
      <w:color w:val="FF0000"/>
      <w:sz w:val="21"/>
      <w:szCs w:val="21"/>
      <w:u w:val="none"/>
    </w:rPr>
  </w:style>
  <w:style w:type="character" w:customStyle="1" w:styleId="298">
    <w:name w:val="font41"/>
    <w:qFormat/>
    <w:uiPriority w:val="0"/>
    <w:rPr>
      <w:rFonts w:hint="eastAsia" w:ascii="宋体" w:hAnsi="宋体" w:eastAsia="宋体" w:cs="宋体"/>
      <w:b/>
      <w:color w:val="FF0000"/>
      <w:sz w:val="21"/>
      <w:szCs w:val="21"/>
      <w:u w:val="none"/>
    </w:rPr>
  </w:style>
  <w:style w:type="character" w:customStyle="1" w:styleId="299">
    <w:name w:val="font01"/>
    <w:qFormat/>
    <w:uiPriority w:val="0"/>
    <w:rPr>
      <w:rFonts w:hint="eastAsia" w:ascii="宋体" w:hAnsi="宋体" w:eastAsia="宋体"/>
      <w:color w:val="000000"/>
      <w:sz w:val="24"/>
      <w:szCs w:val="24"/>
      <w:u w:val="none"/>
    </w:rPr>
  </w:style>
  <w:style w:type="character" w:customStyle="1" w:styleId="300">
    <w:name w:val="附录标识 Char"/>
    <w:link w:val="65"/>
    <w:qFormat/>
    <w:uiPriority w:val="0"/>
    <w:rPr>
      <w:sz w:val="21"/>
    </w:rPr>
  </w:style>
  <w:style w:type="character" w:customStyle="1" w:styleId="301">
    <w:name w:val="font31"/>
    <w:qFormat/>
    <w:uiPriority w:val="0"/>
    <w:rPr>
      <w:rFonts w:hint="eastAsia" w:ascii="宋体" w:hAnsi="宋体" w:eastAsia="宋体" w:cs="宋体"/>
      <w:color w:val="000000"/>
      <w:sz w:val="22"/>
      <w:szCs w:val="22"/>
      <w:u w:val="none"/>
    </w:rPr>
  </w:style>
  <w:style w:type="paragraph" w:styleId="302">
    <w:name w:val="List Paragraph"/>
    <w:basedOn w:val="1"/>
    <w:qFormat/>
    <w:uiPriority w:val="34"/>
    <w:pPr>
      <w:ind w:firstLine="420" w:firstLineChars="200"/>
    </w:pPr>
  </w:style>
  <w:style w:type="paragraph" w:customStyle="1" w:styleId="303">
    <w:name w:val="Table Paragraph"/>
    <w:basedOn w:val="1"/>
    <w:qFormat/>
    <w:uiPriority w:val="1"/>
    <w:pPr>
      <w:autoSpaceDE w:val="0"/>
      <w:autoSpaceDN w:val="0"/>
      <w:jc w:val="left"/>
    </w:pPr>
    <w:rPr>
      <w:rFonts w:ascii="仿宋" w:hAnsi="仿宋" w:eastAsia="仿宋" w:cs="仿宋"/>
      <w:kern w:val="0"/>
      <w:sz w:val="22"/>
      <w:szCs w:val="22"/>
      <w:lang w:val="zh-CN" w:bidi="zh-CN"/>
    </w:rPr>
  </w:style>
  <w:style w:type="character" w:customStyle="1" w:styleId="304">
    <w:name w:val="fontstyle01"/>
    <w:basedOn w:val="43"/>
    <w:qFormat/>
    <w:uiPriority w:val="0"/>
    <w:rPr>
      <w:rFonts w:hint="eastAsia" w:ascii="宋体" w:hAnsi="宋体" w:eastAsia="宋体"/>
      <w:color w:val="000000"/>
      <w:sz w:val="24"/>
      <w:szCs w:val="24"/>
    </w:rPr>
  </w:style>
  <w:style w:type="character" w:customStyle="1" w:styleId="305">
    <w:name w:val="标题 1 Char"/>
    <w:basedOn w:val="43"/>
    <w:link w:val="2"/>
    <w:qFormat/>
    <w:uiPriority w:val="0"/>
    <w:rPr>
      <w:rFonts w:ascii="Times New Roman" w:hAnsi="Times New Roman" w:eastAsia="宋体" w:cs="Times New Roman"/>
      <w:b/>
      <w:bCs/>
      <w:kern w:val="44"/>
      <w:sz w:val="44"/>
      <w:szCs w:val="44"/>
    </w:rPr>
  </w:style>
  <w:style w:type="character" w:customStyle="1" w:styleId="306">
    <w:name w:val="标题 2 Char"/>
    <w:basedOn w:val="43"/>
    <w:link w:val="3"/>
    <w:qFormat/>
    <w:uiPriority w:val="0"/>
    <w:rPr>
      <w:rFonts w:ascii="Arial" w:hAnsi="Arial" w:eastAsia="黑体" w:cs="Times New Roman"/>
      <w:b/>
      <w:bCs/>
      <w:kern w:val="2"/>
      <w:sz w:val="32"/>
      <w:szCs w:val="32"/>
    </w:rPr>
  </w:style>
  <w:style w:type="character" w:customStyle="1" w:styleId="307">
    <w:name w:val="标题 3 Char"/>
    <w:basedOn w:val="43"/>
    <w:link w:val="4"/>
    <w:qFormat/>
    <w:uiPriority w:val="0"/>
    <w:rPr>
      <w:rFonts w:ascii="Times New Roman" w:hAnsi="Times New Roman" w:eastAsia="宋体" w:cs="Times New Roman"/>
      <w:b/>
      <w:bCs/>
      <w:kern w:val="2"/>
      <w:sz w:val="32"/>
      <w:szCs w:val="32"/>
    </w:rPr>
  </w:style>
  <w:style w:type="character" w:customStyle="1" w:styleId="308">
    <w:name w:val="标题 Char"/>
    <w:link w:val="38"/>
    <w:qFormat/>
    <w:uiPriority w:val="0"/>
    <w:rPr>
      <w:rFonts w:ascii="Arial" w:hAnsi="Arial" w:eastAsia="宋体" w:cs="Arial"/>
      <w:b/>
      <w:bCs/>
      <w:kern w:val="2"/>
      <w:sz w:val="32"/>
      <w:szCs w:val="32"/>
    </w:rPr>
  </w:style>
  <w:style w:type="character" w:customStyle="1" w:styleId="309">
    <w:name w:val="脚注文本 Char"/>
    <w:link w:val="32"/>
    <w:qFormat/>
    <w:uiPriority w:val="0"/>
    <w:rPr>
      <w:rFonts w:ascii="Times New Roman" w:hAnsi="Times New Roman" w:eastAsia="宋体" w:cs="Times New Roman"/>
      <w:kern w:val="2"/>
      <w:sz w:val="18"/>
      <w:szCs w:val="18"/>
    </w:rPr>
  </w:style>
  <w:style w:type="character" w:customStyle="1" w:styleId="310">
    <w:name w:val="未处理的提及"/>
    <w:unhideWhenUsed/>
    <w:qFormat/>
    <w:uiPriority w:val="99"/>
    <w:rPr>
      <w:color w:val="605E5C"/>
      <w:shd w:val="clear" w:color="auto" w:fill="E1DFDD"/>
    </w:rPr>
  </w:style>
  <w:style w:type="character" w:customStyle="1" w:styleId="311">
    <w:name w:val="批注框文本 Char1"/>
    <w:basedOn w:val="43"/>
    <w:semiHidden/>
    <w:qFormat/>
    <w:uiPriority w:val="99"/>
    <w:rPr>
      <w:rFonts w:ascii="Calibri" w:hAnsi="Calibri" w:eastAsia="宋体" w:cs="Times New Roman"/>
      <w:sz w:val="18"/>
      <w:szCs w:val="18"/>
    </w:rPr>
  </w:style>
  <w:style w:type="character" w:customStyle="1" w:styleId="312">
    <w:name w:val="脚注文本 Char1"/>
    <w:basedOn w:val="43"/>
    <w:semiHidden/>
    <w:qFormat/>
    <w:uiPriority w:val="99"/>
    <w:rPr>
      <w:rFonts w:ascii="Calibri" w:hAnsi="Calibri" w:eastAsia="宋体" w:cs="Times New Roman"/>
      <w:sz w:val="18"/>
      <w:szCs w:val="18"/>
    </w:rPr>
  </w:style>
  <w:style w:type="character" w:customStyle="1" w:styleId="313">
    <w:name w:val="标题 Char1"/>
    <w:basedOn w:val="43"/>
    <w:qFormat/>
    <w:uiPriority w:val="10"/>
    <w:rPr>
      <w:rFonts w:eastAsia="宋体" w:asciiTheme="majorHAnsi" w:hAnsiTheme="majorHAnsi" w:cstheme="majorBidi"/>
      <w:b/>
      <w:bCs/>
      <w:sz w:val="32"/>
      <w:szCs w:val="32"/>
    </w:rPr>
  </w:style>
  <w:style w:type="paragraph" w:customStyle="1" w:styleId="314">
    <w:name w:val="默认段落字体 Para Char Char Char Char Char Char Char Char Char Char"/>
    <w:basedOn w:val="1"/>
    <w:qFormat/>
    <w:uiPriority w:val="0"/>
  </w:style>
  <w:style w:type="paragraph" w:customStyle="1" w:styleId="315">
    <w:name w:val="WPSOffice手动目录 1"/>
    <w:qFormat/>
    <w:uiPriority w:val="0"/>
    <w:rPr>
      <w:rFonts w:ascii="Calibri" w:hAnsi="Calibri" w:eastAsia="宋体" w:cs="Times New Roman"/>
      <w:lang w:val="en-US" w:eastAsia="zh-CN" w:bidi="ar-SA"/>
    </w:rPr>
  </w:style>
  <w:style w:type="paragraph" w:customStyle="1" w:styleId="316">
    <w:name w:val="1"/>
    <w:basedOn w:val="1"/>
    <w:next w:val="22"/>
    <w:qFormat/>
    <w:uiPriority w:val="0"/>
    <w:pPr>
      <w:adjustRightInd w:val="0"/>
      <w:spacing w:line="360" w:lineRule="auto"/>
      <w:ind w:firstLine="480" w:firstLineChars="200"/>
      <w:textAlignment w:val="baseline"/>
      <w:outlineLvl w:val="0"/>
    </w:pPr>
    <w:rPr>
      <w:kern w:val="0"/>
      <w:sz w:val="24"/>
      <w:szCs w:val="20"/>
    </w:rPr>
  </w:style>
  <w:style w:type="paragraph" w:customStyle="1" w:styleId="317">
    <w:name w:val="Char Char"/>
    <w:basedOn w:val="1"/>
    <w:qFormat/>
    <w:uiPriority w:val="0"/>
  </w:style>
  <w:style w:type="paragraph" w:customStyle="1" w:styleId="318">
    <w:name w:val="WPSOffice手动目录 2"/>
    <w:qFormat/>
    <w:uiPriority w:val="0"/>
    <w:pPr>
      <w:ind w:left="200" w:leftChars="200"/>
    </w:pPr>
    <w:rPr>
      <w:rFonts w:ascii="Calibri" w:hAnsi="Calibri" w:eastAsia="宋体" w:cs="Times New Roman"/>
      <w:lang w:val="en-US" w:eastAsia="zh-CN" w:bidi="ar-SA"/>
    </w:rPr>
  </w:style>
  <w:style w:type="table" w:customStyle="1" w:styleId="319">
    <w:name w:val="网格型1"/>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0">
    <w:name w:val="Placeholder Text"/>
    <w:basedOn w:val="43"/>
    <w:semiHidden/>
    <w:qFormat/>
    <w:uiPriority w:val="99"/>
    <w:rPr>
      <w:color w:val="808080"/>
    </w:rPr>
  </w:style>
  <w:style w:type="table" w:customStyle="1" w:styleId="321">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322">
    <w:name w:val="标题 21"/>
    <w:basedOn w:val="1"/>
    <w:qFormat/>
    <w:uiPriority w:val="1"/>
    <w:pPr>
      <w:autoSpaceDE w:val="0"/>
      <w:autoSpaceDN w:val="0"/>
      <w:ind w:left="216"/>
      <w:jc w:val="left"/>
      <w:outlineLvl w:val="2"/>
    </w:pPr>
    <w:rPr>
      <w:rFonts w:eastAsia="Times New Roman"/>
      <w:kern w:val="0"/>
      <w:sz w:val="28"/>
      <w:szCs w:val="2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6631;&#20934;\5237-201X\2\GB-T5237-201X\&#25253;&#25209;&#26448;&#26009;\GBT%205237.2&#21644;.5&#25253;&#25209;&#26448;&#26009;20160927\GBT%205237.2-201X%20&#25253;&#25209;&#26448;&#26009;\&#22269;&#23478;&#34892;&#19994;&#26631;&#20934;&#32534;&#21046;&#35828;&#26126;&#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3834D6-17BC-4867-B63E-7883AAB5DA61}">
  <ds:schemaRefs/>
</ds:datastoreItem>
</file>

<file path=docProps/app.xml><?xml version="1.0" encoding="utf-8"?>
<Properties xmlns="http://schemas.openxmlformats.org/officeDocument/2006/extended-properties" xmlns:vt="http://schemas.openxmlformats.org/officeDocument/2006/docPropsVTypes">
  <Template>国家行业标准编制说明模板</Template>
  <Company>Microsoft</Company>
  <Pages>11</Pages>
  <Words>5266</Words>
  <Characters>5819</Characters>
  <Lines>43</Lines>
  <Paragraphs>12</Paragraphs>
  <TotalTime>4</TotalTime>
  <ScaleCrop>false</ScaleCrop>
  <LinksUpToDate>false</LinksUpToDate>
  <CharactersWithSpaces>5883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2025-09-22T08:04:00Z</dcterms:created>
  <dc:creator>标准李瑞山9585</dc:creator>
  <cp:lastModifiedBy>Timeless</cp:lastModifiedBy>
  <cp:lastPrinted>2025-09-22T06:37:00Z</cp:lastPrinted>
  <dcterms:modified xsi:type="dcterms:W3CDTF">2026-01-12T12:20:13Z</dcterms:modified>
  <dc:title>标准名称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CF738EF3D6E6435D9DE8C04AE65AB2B3_13</vt:lpwstr>
  </property>
  <property fmtid="{D5CDD505-2E9C-101B-9397-08002B2CF9AE}" pid="4" name="KSOTemplateDocerSaveRecord">
    <vt:lpwstr>eyJoZGlkIjoiODViY2JkMjU3NGYzZTEwMzZmMGFkZWViYmNkYWU3NDIiLCJ1c2VySWQiOiIyNTIyMjUzNzMifQ==</vt:lpwstr>
  </property>
</Properties>
</file>