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4"/>
        <w:rPr>
          <w:rFonts w:eastAsia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624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rFonts w:eastAsia="宋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400685</wp:posOffset>
            </wp:positionV>
            <wp:extent cx="1895475" cy="660400"/>
            <wp:effectExtent l="0" t="0" r="0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0" r="0" b="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5408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7g+7IN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2738120</wp:posOffset>
                </wp:positionV>
                <wp:extent cx="61214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8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5.45pt;margin-top:215.6pt;height:0pt;width:482pt;z-index:251673600;mso-width-relative:page;mso-height-relative:page;" filled="f" stroked="t" coordsize="21600,21600" o:gfxdata="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O&#10;ptrWAAAACwEAAA8AAAAAAAAAAQAgAAAAIgAAAGRycy9kb3ducmV2LnhtbFBLAQIUABQAAAAIAIdO&#10;4kDADI/U7AEAAPEDAAAOAAAAAAAAAAEAIAAAACUBAABkcnMvZTJvRG9jLnhtbFBLBQYAAAAABgAG&#10;AFkBAACDBQAAAAA=&#10;">
                <v:fill on="f" focussize="0,0"/>
                <v:stroke color="#000000" opacity="55705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2383155</wp:posOffset>
                </wp:positionV>
                <wp:extent cx="6172200" cy="619125"/>
                <wp:effectExtent l="0" t="0" r="0" b="952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"/>
                              <w:spacing w:before="0"/>
                              <w:jc w:val="both"/>
                              <w:rPr>
                                <w:rFonts w:hint="default" w:ascii="黑体" w:hAnsi="黑体" w:eastAsia="黑体"/>
                                <w:color w:val="000000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JF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（有色金属）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003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2025</w:t>
                            </w:r>
                          </w:p>
                          <w:p>
                            <w:pPr>
                              <w:pStyle w:val="86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.5pt;margin-top:187.65pt;height:48.75pt;width:486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5WnLYAAAACQEAAA8AAAAAAAAAAQAgAAAAIgAAAGRycy9kb3du&#10;cmV2LnhtbFBLAQIUABQAAAAIAIdO4kA4bDnuxgEAAK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6"/>
                        <w:spacing w:before="0"/>
                        <w:jc w:val="both"/>
                        <w:rPr>
                          <w:rFonts w:hint="default" w:ascii="黑体" w:hAnsi="黑体" w:eastAsia="黑体"/>
                          <w:color w:val="000000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黑体" w:hAnsi="黑体" w:eastAsia="黑体"/>
                          <w:bCs/>
                          <w:color w:val="000000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JF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Z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（有色金属）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003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—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2025</w:t>
                      </w:r>
                    </w:p>
                    <w:p>
                      <w:pPr>
                        <w:pStyle w:val="86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-102870</wp:posOffset>
                </wp:positionH>
                <wp:positionV relativeFrom="margin">
                  <wp:posOffset>1192530</wp:posOffset>
                </wp:positionV>
                <wp:extent cx="6217920" cy="1119505"/>
                <wp:effectExtent l="0" t="0" r="11430" b="4445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7"/>
                              <w:rPr>
                                <w:rFonts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中华人民共和国工业和信息化部</w:t>
                            </w:r>
                          </w:p>
                          <w:p>
                            <w:pPr>
                              <w:pStyle w:val="77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有色金属计量技术规范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8.1pt;margin-top:93.9pt;height:88.15pt;width:489.6pt;mso-position-horizontal-relative:margin;mso-position-vertical-relative:margin;z-index:251671552;mso-width-relative:page;mso-height-relative:page;" fillcolor="#FFFFFF" filled="t" stroked="f" coordsize="21600,21600" o:gfxdata="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o/5OdkAAAALAQAADwAAAAAAAAABACAAAAAiAAAAZHJzL2Rv&#10;d25yZXYueG1sUEsBAhQAFAAAAAgAh07iQMgl/2DHAQAApw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7"/>
                        <w:rPr>
                          <w:rFonts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中华人民共和国工业和信息化部</w:t>
                      </w:r>
                    </w:p>
                    <w:p>
                      <w:pPr>
                        <w:pStyle w:val="77"/>
                        <w:jc w:val="center"/>
                        <w:rPr>
                          <w:rFonts w:ascii="方正小标宋_GBK" w:hAnsi="方正小标宋_GBK" w:eastAsia="方正小标宋_GBK" w:cs="方正小标宋_GBK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有色金属计量技术规范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9026525</wp:posOffset>
                </wp:positionV>
                <wp:extent cx="6120130" cy="363220"/>
                <wp:effectExtent l="0" t="0" r="0" b="0"/>
                <wp:wrapNone/>
                <wp:docPr id="6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中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  <w:lang w:val="en-US" w:eastAsia="zh-CN"/>
                              </w:rPr>
                              <w:t>华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人民共和国工业和信息化部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Cs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.5pt;margin-top:710.7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G5jtkAAAALAQAADwAAAAAAAAABACAAAAAiAAAAZHJzL2Rv&#10;d25yZXYueG1sUEsBAhQAFAAAAAgAh07iQDipxFzHAQAApg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9"/>
                        <w:rPr>
                          <w:b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中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  <w:lang w:val="en-US" w:eastAsia="zh-CN"/>
                        </w:rPr>
                        <w:t>华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人民共和国工业和信息化部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Cs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BWE32QAAAA0BAAAPAAAAAAAAAAEAIAAAACIAAABkcnMv&#10;ZG93bnJldi54bWxQSwECFAAUAAAACACHTuJApkpDxs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1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kHnF2QAAAAwBAAAPAAAAAAAAAAEAIAAAACIAAABkcnMv&#10;ZG93bnJldi54bWxQSwECFAAUAAAACACHTuJAKxW4TM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0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3767455</wp:posOffset>
                </wp:positionV>
                <wp:extent cx="5969000" cy="4377690"/>
                <wp:effectExtent l="0" t="0" r="0" b="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3"/>
                              <w:rPr>
                                <w:szCs w:val="52"/>
                              </w:rPr>
                            </w:pPr>
                            <w:bookmarkStart w:id="339" w:name="OLE_LINK1"/>
                            <w:r>
                              <w:rPr>
                                <w:rFonts w:hint="eastAsia"/>
                                <w:szCs w:val="52"/>
                                <w:lang w:val="en-US" w:eastAsia="zh-CN"/>
                              </w:rPr>
                              <w:t>二氧化碳</w:t>
                            </w:r>
                            <w:r>
                              <w:rPr>
                                <w:rFonts w:hint="eastAsia"/>
                                <w:szCs w:val="52"/>
                              </w:rPr>
                              <w:t>浓度检测报警仪校准规范</w:t>
                            </w:r>
                            <w:bookmarkEnd w:id="339"/>
                          </w:p>
                          <w:p>
                            <w:pPr>
                              <w:pStyle w:val="73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86"/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Cs w:val="28"/>
                              </w:rPr>
                            </w:pPr>
                            <w:bookmarkStart w:id="340" w:name="_Toc32585"/>
                            <w:bookmarkStart w:id="341" w:name="_Toc1542"/>
                            <w:bookmarkStart w:id="342" w:name="_Toc15844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Calibration Specification for</w:t>
                            </w:r>
                            <w:bookmarkEnd w:id="340"/>
                            <w:bookmarkEnd w:id="341"/>
                            <w:bookmarkEnd w:id="342"/>
                          </w:p>
                          <w:p>
                            <w:pPr>
                              <w:pStyle w:val="95"/>
                              <w:spacing w:line="220" w:lineRule="exact"/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Carbon Dioxide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 xml:space="preserve"> Concentration Detection Alarm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pStyle w:val="95"/>
                              <w:spacing w:line="220" w:lineRule="exact"/>
                              <w:rPr>
                                <w:rFonts w:ascii="黑体" w:hAnsi="黑体" w:eastAsia="黑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  <w:lang w:val="en-US" w:eastAsia="zh-CN"/>
                              </w:rPr>
                              <w:t>讨论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稿）</w:t>
                            </w:r>
                          </w:p>
                          <w:p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96.65pt;height:344.7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KZIvYAAAACQEAAA8AAAAAAAAAAQAgAAAAIgAAAGRycy9kb3du&#10;cmV2LnhtbFBLAQIUABQAAAAIAIdO4kBrnGgn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3"/>
                        <w:rPr>
                          <w:szCs w:val="52"/>
                        </w:rPr>
                      </w:pPr>
                      <w:bookmarkStart w:id="339" w:name="OLE_LINK1"/>
                      <w:r>
                        <w:rPr>
                          <w:rFonts w:hint="eastAsia"/>
                          <w:szCs w:val="52"/>
                          <w:lang w:val="en-US" w:eastAsia="zh-CN"/>
                        </w:rPr>
                        <w:t>二氧化碳</w:t>
                      </w:r>
                      <w:r>
                        <w:rPr>
                          <w:rFonts w:hint="eastAsia"/>
                          <w:szCs w:val="52"/>
                        </w:rPr>
                        <w:t>浓度检测报警仪校准规范</w:t>
                      </w:r>
                      <w:bookmarkEnd w:id="339"/>
                    </w:p>
                    <w:p>
                      <w:pPr>
                        <w:pStyle w:val="73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6"/>
                        <w:jc w:val="center"/>
                        <w:rPr>
                          <w:rFonts w:ascii="黑体" w:hAnsi="黑体" w:eastAsia="黑体"/>
                          <w:color w:val="000000"/>
                          <w:szCs w:val="28"/>
                        </w:rPr>
                      </w:pPr>
                      <w:bookmarkStart w:id="340" w:name="_Toc32585"/>
                      <w:bookmarkStart w:id="341" w:name="_Toc1542"/>
                      <w:bookmarkStart w:id="342" w:name="_Toc15844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Calibration Specification for</w:t>
                      </w:r>
                      <w:bookmarkEnd w:id="340"/>
                      <w:bookmarkEnd w:id="341"/>
                      <w:bookmarkEnd w:id="342"/>
                    </w:p>
                    <w:p>
                      <w:pPr>
                        <w:pStyle w:val="95"/>
                        <w:spacing w:line="220" w:lineRule="exact"/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Carbon Dioxide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 xml:space="preserve"> Concentration Detection Alarm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  <w:p>
                      <w:pPr>
                        <w:pStyle w:val="95"/>
                        <w:spacing w:line="220" w:lineRule="exact"/>
                        <w:rPr>
                          <w:rFonts w:ascii="黑体" w:hAnsi="黑体" w:eastAsia="黑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  <w:lang w:val="en-US" w:eastAsia="zh-CN"/>
                        </w:rPr>
                        <w:t>讨论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稿）</w:t>
                      </w:r>
                    </w:p>
                    <w:p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rPr>
          <w:rFonts w:eastAsia="宋体"/>
        </w:rPr>
      </w:pPr>
      <w:bookmarkStart w:id="1" w:name="_Toc193619049"/>
      <w:bookmarkStart w:id="2" w:name="_Toc193555883"/>
      <w:bookmarkStart w:id="3" w:name="_Toc193860026"/>
      <w:bookmarkStart w:id="4" w:name="_Toc193860207"/>
      <w:bookmarkStart w:id="5" w:name="_Toc193861442"/>
      <w:bookmarkStart w:id="6" w:name="_Toc193618946"/>
      <w:bookmarkStart w:id="7" w:name="_Toc193860176"/>
      <w:bookmarkStart w:id="8" w:name="_Toc193601894"/>
      <w:bookmarkStart w:id="9" w:name="_Toc193601673"/>
      <w:bookmarkStart w:id="10" w:name="_Toc193619091"/>
      <w:bookmarkStart w:id="11" w:name="_Toc193603073"/>
      <w:bookmarkStart w:id="12" w:name="_Toc193552963"/>
      <w:bookmarkStart w:id="13" w:name="_Toc193547508"/>
      <w:bookmarkStart w:id="14" w:name="_Toc193551753"/>
      <w:r>
        <w:rPr>
          <w:rFonts w:eastAsia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119380</wp:posOffset>
                </wp:positionV>
                <wp:extent cx="4048125" cy="1855470"/>
                <wp:effectExtent l="4445" t="4445" r="5080" b="6985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2"/>
                              <w:spacing w:before="0" w:line="360" w:lineRule="auto"/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  <w:lang w:val="en-US" w:eastAsia="zh-CN"/>
                              </w:rPr>
                              <w:t>二氧化碳</w:t>
                            </w: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浓度检测报警仪</w:t>
                            </w:r>
                          </w:p>
                          <w:p>
                            <w:pPr>
                              <w:pStyle w:val="72"/>
                              <w:spacing w:before="0" w:line="360" w:lineRule="auto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>
                            <w:pPr>
                              <w:pStyle w:val="86"/>
                              <w:spacing w:line="360" w:lineRule="auto"/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Calibration Specification for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Carbon Dioxide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Concentration Detection Alarm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91440" tIns="82800" rIns="91440" bIns="8280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37.9pt;margin-top:9.4pt;height:146.1pt;width:318.75pt;z-index:251666432;mso-width-relative:page;mso-height-relative:page;" fillcolor="#FFFFFF" filled="t" stroked="t" coordsize="21600,21600" o:gfxdata="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Nmz82wAAAAoBAAAPAAAAAAAAAAEAIAAAACIAAABkcnMvZG93bnJldi54bWxQ&#10;SwECFAAUAAAACACHTuJAnjMrfC0CAAB6BAAADgAAAAAAAAABACAAAAAqAQAAZHJzL2Uyb0RvYy54&#10;bWxQSwUGAAAAAAYABgBZAQAAy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144,6.51968503937008pt,144,6.51968503937008pt">
                  <w:txbxContent>
                    <w:p>
                      <w:pPr>
                        <w:pStyle w:val="72"/>
                        <w:spacing w:before="0" w:line="360" w:lineRule="auto"/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  <w:lang w:val="en-US" w:eastAsia="zh-CN"/>
                        </w:rPr>
                        <w:t>二氧化碳</w:t>
                      </w: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浓度检测报警仪</w:t>
                      </w:r>
                    </w:p>
                    <w:p>
                      <w:pPr>
                        <w:pStyle w:val="72"/>
                        <w:spacing w:before="0" w:line="360" w:lineRule="auto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校准规范</w:t>
                      </w:r>
                    </w:p>
                    <w:p>
                      <w:pPr>
                        <w:pStyle w:val="86"/>
                        <w:spacing w:line="360" w:lineRule="auto"/>
                        <w:jc w:val="center"/>
                        <w:rPr>
                          <w:rFonts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Calibration Specification for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Carbon Dioxide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28"/>
                          <w:szCs w:val="28"/>
                        </w:rPr>
                        <w:t xml:space="preserve"> Concentration Detection Alarm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pStyle w:val="82"/>
        <w:spacing w:before="100" w:beforeAutospacing="1" w:line="240" w:lineRule="auto"/>
        <w:ind w:firstLine="640" w:firstLineChars="200"/>
        <w:jc w:val="both"/>
        <w:outlineLvl w:val="9"/>
        <w:rPr>
          <w:rFonts w:ascii="Times New Roman" w:eastAsia="宋体"/>
          <w:sz w:val="84"/>
          <w:szCs w:val="84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0" t="0" r="0" b="0"/>
                <wp:wrapNone/>
                <wp:docPr id="1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JF（有色金属）XXX-XXXX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69504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gMZzYAAAACgEAAA8AAAAAAAAAAQAgAAAAIgAAAGRycy9kb3ducmV2LnhtbFBLAQIUABQAAAAI&#10;AIdO4kAZnXG7JgIAAHsEAAAOAAAAAAAAAAEAIAAAACcBAABkcnMvZTJvRG9jLnhtbFBLBQYAAAAA&#10;BgAGAFkBAAC/BQAAAAA=&#10;">
                <v:fill on="t" focussize="0,0"/>
                <v:stroke weight="1pt" color="#FFFFFF" joinstyle="miter"/>
                <v:imagedata o:title=""/>
                <o:lock v:ext="edit" aspectratio="f"/>
                <v:textbox inset="1.5mm,72,1.5mm,72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>JF（有色金属）XXX-XXXX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0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</w:rPr>
        <w:t xml:space="preserve">                                   </w:t>
      </w:r>
    </w:p>
    <w:bookmarkEnd w:id="12"/>
    <w:bookmarkEnd w:id="13"/>
    <w:bookmarkEnd w:id="14"/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bookmarkStart w:id="15" w:name="_Toc193601896"/>
      <w:bookmarkStart w:id="16" w:name="_Toc193603075"/>
      <w:bookmarkStart w:id="17" w:name="_Toc193601675"/>
      <w:bookmarkStart w:id="18" w:name="_Toc193555885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69215</wp:posOffset>
                </wp:positionV>
                <wp:extent cx="6394450" cy="1270"/>
                <wp:effectExtent l="0" t="0" r="0" b="0"/>
                <wp:wrapNone/>
                <wp:docPr id="1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flip:y;margin-left:-35.5pt;margin-top:5.45pt;height:0.1pt;width:503.5pt;z-index:251667456;mso-width-relative:page;mso-height-relative:page;" filled="f" stroked="t" coordsize="21600,21600" o:gfxdata="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Cg0&#10;u9YAAAAJAQAADwAAAAAAAAABACAAAAAiAAAAZHJzL2Rvd25yZXYueG1sUEsBAhQAFAAAAAgAh07i&#10;QI5reb7rAQAA3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43"/>
        <w:ind w:firstLine="0" w:firstLineChars="0"/>
        <w:rPr>
          <w:szCs w:val="24"/>
        </w:rPr>
      </w:pPr>
    </w:p>
    <w:p>
      <w:pPr>
        <w:pStyle w:val="43"/>
        <w:framePr w:w="8080" w:h="6806" w:hRule="exact" w:wrap="auto" w:vAnchor="page" w:hAnchor="page" w:x="2115" w:y="7035"/>
        <w:ind w:firstLine="0" w:firstLineChars="0"/>
        <w:rPr>
          <w:rFonts w:eastAsia="黑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pacing w:val="11"/>
          <w:sz w:val="28"/>
          <w:szCs w:val="28"/>
        </w:rPr>
        <w:t xml:space="preserve">归 口 单 </w:t>
      </w:r>
      <w:r>
        <w:rPr>
          <w:rFonts w:ascii="Times New Roman"/>
          <w:spacing w:val="4"/>
          <w:sz w:val="28"/>
          <w:szCs w:val="28"/>
        </w:rPr>
        <w:t>位</w:t>
      </w:r>
      <w:r>
        <w:rPr>
          <w:rFonts w:ascii="Times New Roman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/>
          <w:sz w:val="28"/>
          <w:szCs w:val="28"/>
          <w:lang w:val="en-US" w:eastAsia="zh-CN"/>
        </w:rPr>
        <w:t xml:space="preserve">              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  <w:sz w:val="28"/>
          <w:szCs w:val="28"/>
        </w:rPr>
        <w:t xml:space="preserve">          </w:t>
      </w:r>
    </w:p>
    <w:p>
      <w:pPr>
        <w:pStyle w:val="43"/>
        <w:ind w:left="420" w:hanging="420" w:firstLineChars="0"/>
        <w:jc w:val="center"/>
        <w:rPr>
          <w:sz w:val="28"/>
          <w:szCs w:val="28"/>
        </w:rPr>
      </w:pPr>
    </w:p>
    <w:p>
      <w:pPr>
        <w:pStyle w:val="43"/>
        <w:ind w:left="420" w:hanging="420" w:firstLineChars="0"/>
        <w:jc w:val="center"/>
        <w:outlineLvl w:val="0"/>
        <w:rPr>
          <w:sz w:val="28"/>
          <w:szCs w:val="28"/>
        </w:rPr>
      </w:pPr>
      <w:bookmarkStart w:id="19" w:name="_Toc8126"/>
      <w:bookmarkStart w:id="20" w:name="_Toc21747"/>
      <w:r>
        <w:rPr>
          <w:rFonts w:hint="eastAsia"/>
          <w:sz w:val="28"/>
          <w:szCs w:val="28"/>
        </w:rPr>
        <w:t>本规范委托有色金属行业计量技术委员会负责解释</w:t>
      </w:r>
      <w:bookmarkEnd w:id="19"/>
      <w:bookmarkEnd w:id="20"/>
    </w:p>
    <w:p>
      <w:pPr>
        <w:pStyle w:val="43"/>
        <w:framePr w:w="9366" w:h="7978" w:hRule="exact" w:wrap="around" w:vAnchor="page" w:hAnchor="page" w:x="1419" w:y="2667" w:anchorLock="1"/>
        <w:ind w:firstLine="562"/>
        <w:rPr>
          <w:rFonts w:ascii="黑体" w:hAnsi="黑体" w:eastAsia="黑体"/>
          <w:bCs/>
          <w:sz w:val="30"/>
        </w:rPr>
      </w:pPr>
      <w:bookmarkStart w:id="21" w:name="_Toc193601676"/>
      <w:bookmarkStart w:id="22" w:name="_Toc193551755"/>
      <w:bookmarkStart w:id="23" w:name="_Toc193552965"/>
      <w:bookmarkStart w:id="24" w:name="_Toc193555886"/>
      <w:bookmarkStart w:id="25" w:name="_Toc193603076"/>
      <w:bookmarkStart w:id="26" w:name="_Toc193601897"/>
      <w:bookmarkStart w:id="27" w:name="_Toc193547510"/>
      <w:r>
        <w:rPr>
          <w:rFonts w:ascii="黑体" w:hAnsi="黑体" w:eastAsia="黑体"/>
          <w:b w:val="0"/>
          <w:bCs/>
          <w:sz w:val="28"/>
          <w:szCs w:val="28"/>
        </w:rPr>
        <w:t>本规范主要起草人：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</w:pPr>
    </w:p>
    <w:p>
      <w:p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  <w:sectPr>
          <w:headerReference r:id="rId13" w:type="default"/>
          <w:footerReference r:id="rId14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eastAsia="宋体"/>
        </w:rPr>
        <w:sectPr>
          <w:headerReference r:id="rId15" w:type="default"/>
          <w:footerReference r:id="rId16" w:type="default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 xml:space="preserve"> 录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6975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Cs/>
          <w:caps/>
          <w:kern w:val="2"/>
          <w:sz w:val="24"/>
          <w:szCs w:val="21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28" w:name="_Toc20236"/>
          <w:bookmarkStart w:id="29" w:name="_Toc26233"/>
          <w:bookmarkStart w:id="30" w:name="_Toc12273"/>
          <w:bookmarkStart w:id="31" w:name="_Toc10757_WPSOffice_Level1"/>
          <w:bookmarkStart w:id="32" w:name="_Toc22520"/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_Toc17366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引   言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_Toc17366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II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_Toc7396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 范围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_Toc7396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_Toc8614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 引用文件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_Toc8614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_Toc977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 概述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_Toc977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_Toc27499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 计量特性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_Toc11256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 校准条件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_Toc11256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_Toc24371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5.1 环境条件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_Toc24371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_Toc5643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5.2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</w:t>
          </w:r>
          <w:r>
            <w:rPr>
              <w:rFonts w:hint="eastAsia" w:ascii="宋体" w:hAnsi="宋体" w:eastAsia="宋体" w:cs="宋体"/>
              <w:sz w:val="24"/>
              <w:szCs w:val="24"/>
            </w:rPr>
            <w:t>量标准及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其他</w:t>
          </w:r>
          <w:r>
            <w:rPr>
              <w:rFonts w:hint="eastAsia" w:ascii="宋体" w:hAnsi="宋体" w:eastAsia="宋体" w:cs="宋体"/>
              <w:sz w:val="24"/>
              <w:szCs w:val="24"/>
            </w:rPr>
            <w:t>设备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_Toc5643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_Toc12887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5.3 其他条件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_Toc12887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_Toc17323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 校准方法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_Toc17323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_Toc8950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6.1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校准前准备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_Toc8950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6.2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示值误差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_Toc14708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示值响应时间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_Toc14708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报警误差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报警响应时间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重复性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变送输出误差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仪器漂移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_Toc23960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 校准结果表达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_Toc23960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_Toc18776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 复校时间间隔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_Toc18776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_Toc5202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附录A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_Toc21536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</w:rPr>
            <w:t>浓度检测报警仪校准原始记录参考格式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_Toc21536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9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_Toc4146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附录B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_Toc4214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浓度检测报警仪校准证书内页参考格式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_Toc4214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_Toc2979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附录C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_Toc18006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浓度检测报警仪示值误差的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测量</w:t>
          </w:r>
          <w:r>
            <w:rPr>
              <w:rFonts w:hint="eastAsia" w:ascii="宋体" w:hAnsi="宋体" w:eastAsia="宋体" w:cs="宋体"/>
              <w:sz w:val="24"/>
              <w:szCs w:val="24"/>
            </w:rPr>
            <w:t>不确定度评定示例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_Toc18006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_Toc20808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附录D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_Toc11400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浓度检测报警仪变送输出误差的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测量</w:t>
          </w:r>
          <w:r>
            <w:rPr>
              <w:rFonts w:hint="eastAsia" w:ascii="宋体" w:hAnsi="宋体" w:eastAsia="宋体" w:cs="宋体"/>
              <w:sz w:val="24"/>
              <w:szCs w:val="24"/>
            </w:rPr>
            <w:t>不确定度评定示例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_Toc11400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16"/>
            <w:spacing w:line="360" w:lineRule="auto"/>
            <w:jc w:val="center"/>
            <w:rPr>
              <w:rFonts w:ascii="宋体" w:hAnsi="宋体" w:eastAsia="宋体" w:cs="Times New Roman"/>
              <w:bCs/>
              <w:caps/>
              <w:kern w:val="2"/>
              <w:sz w:val="24"/>
              <w:szCs w:val="21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/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>
      <w:pPr>
        <w:jc w:val="center"/>
        <w:outlineLvl w:val="0"/>
        <w:rPr>
          <w:rStyle w:val="30"/>
          <w:rFonts w:ascii="黑体" w:hAnsi="黑体" w:eastAsia="黑体"/>
          <w:sz w:val="44"/>
          <w:szCs w:val="44"/>
        </w:rPr>
      </w:pPr>
      <w:bookmarkStart w:id="33" w:name="_Toc17366"/>
      <w:bookmarkStart w:id="34" w:name="_Toc313"/>
      <w:r>
        <w:rPr>
          <w:rStyle w:val="30"/>
          <w:rFonts w:ascii="黑体" w:hAnsi="黑体" w:eastAsia="黑体"/>
          <w:sz w:val="44"/>
          <w:szCs w:val="44"/>
        </w:rPr>
        <w:t>引   言</w:t>
      </w:r>
      <w:bookmarkEnd w:id="28"/>
      <w:bookmarkEnd w:id="29"/>
      <w:bookmarkEnd w:id="30"/>
      <w:bookmarkEnd w:id="31"/>
      <w:bookmarkEnd w:id="32"/>
      <w:bookmarkEnd w:id="33"/>
      <w:bookmarkEnd w:id="34"/>
    </w:p>
    <w:p>
      <w:pPr>
        <w:rPr>
          <w:rFonts w:ascii="宋体" w:hAnsi="宋体" w:eastAsia="宋体"/>
        </w:rPr>
      </w:pPr>
    </w:p>
    <w:p>
      <w:pPr>
        <w:pStyle w:val="43"/>
        <w:ind w:firstLine="480"/>
      </w:pPr>
      <w:r>
        <w:rPr>
          <w:rFonts w:hint="eastAsia"/>
        </w:rPr>
        <w:t>JJF 1071</w:t>
      </w:r>
      <w:r>
        <w:t>《国家计量校准规范编写规则》、</w:t>
      </w:r>
      <w:r>
        <w:rPr>
          <w:rFonts w:hint="eastAsia"/>
        </w:rPr>
        <w:t>JJF 1001</w:t>
      </w:r>
      <w:r>
        <w:t>《通用计量术语及定义》和</w:t>
      </w:r>
      <w:r>
        <w:rPr>
          <w:rFonts w:hint="eastAsia"/>
        </w:rPr>
        <w:t>JJF 1059.1</w:t>
      </w:r>
      <w:r>
        <w:t>《测量不确定度评定与表示》</w:t>
      </w:r>
      <w:r>
        <w:rPr>
          <w:rFonts w:hint="eastAsia" w:hAnsi="宋体" w:cs="宋体"/>
          <w:sz w:val="24"/>
          <w:szCs w:val="24"/>
          <w:lang w:val="en-US" w:eastAsia="zh-CN"/>
        </w:rPr>
        <w:t>共同构成支撑校准规范制修订工作的基础性系列规范</w:t>
      </w:r>
      <w:r>
        <w:t>。</w:t>
      </w:r>
    </w:p>
    <w:p>
      <w:pPr>
        <w:pStyle w:val="43"/>
        <w:ind w:firstLine="480"/>
        <w:rPr>
          <w:rFonts w:hint="eastAsia" w:eastAsia="宋体"/>
          <w:lang w:eastAsia="zh-CN"/>
        </w:rPr>
      </w:pPr>
      <w:bookmarkStart w:id="35" w:name="_Toc10952"/>
      <w:bookmarkStart w:id="36" w:name="_Toc20132"/>
      <w:bookmarkStart w:id="37" w:name="_Toc26394"/>
      <w:r>
        <w:rPr>
          <w:rFonts w:hint="eastAsia"/>
        </w:rPr>
        <w:t>本规范参考了GB 12358-20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《作业场所环境气体检测报警仪通用技术要求》和GB/T 50493-2019《石油化工可燃气体和有毒气体检测报警设计标准》的技术内容</w:t>
      </w:r>
      <w:r>
        <w:rPr>
          <w:rFonts w:hint="eastAsia"/>
          <w:lang w:eastAsia="zh-CN"/>
        </w:rPr>
        <w:t>。</w:t>
      </w:r>
    </w:p>
    <w:p>
      <w:pPr>
        <w:pStyle w:val="43"/>
        <w:ind w:firstLine="480"/>
        <w:sectPr>
          <w:footerReference r:id="rId17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t>本规范</w:t>
      </w:r>
      <w:r>
        <w:rPr>
          <w:rFonts w:hint="eastAsia"/>
        </w:rPr>
        <w:t>为</w:t>
      </w:r>
      <w:r>
        <w:t>首次</w:t>
      </w:r>
      <w:r>
        <w:rPr>
          <w:rFonts w:hint="eastAsia"/>
        </w:rPr>
        <w:t>发布</w:t>
      </w:r>
      <w:r>
        <w:t>。</w:t>
      </w:r>
      <w:bookmarkEnd w:id="35"/>
      <w:bookmarkEnd w:id="36"/>
      <w:bookmarkEnd w:id="37"/>
    </w:p>
    <w:p>
      <w:pPr>
        <w:rPr>
          <w:rFonts w:eastAsia="宋体"/>
          <w:sz w:val="24"/>
        </w:rPr>
      </w:pPr>
    </w:p>
    <w:p>
      <w:pPr>
        <w:rPr>
          <w:rFonts w:eastAsia="宋体"/>
        </w:rPr>
      </w:pPr>
    </w:p>
    <w:p>
      <w:pPr>
        <w:rPr>
          <w:rFonts w:eastAsia="宋体"/>
        </w:rPr>
        <w:sectPr>
          <w:footerReference r:id="rId18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rPr>
          <w:rFonts w:eastAsia="宋体"/>
          <w:b/>
          <w:bCs/>
          <w:sz w:val="44"/>
          <w:szCs w:val="44"/>
        </w:rPr>
      </w:pPr>
      <w:bookmarkStart w:id="38" w:name="_Toc23784633"/>
      <w:bookmarkStart w:id="39" w:name="_Toc23785527"/>
      <w:bookmarkStart w:id="40" w:name="_Toc23784535"/>
      <w:bookmarkStart w:id="41" w:name="_Toc23785207"/>
      <w:bookmarkStart w:id="42" w:name="_Toc193618947"/>
      <w:bookmarkStart w:id="43" w:name="_Toc193619050"/>
      <w:bookmarkStart w:id="44" w:name="_Toc193619092"/>
    </w:p>
    <w:bookmarkEnd w:id="38"/>
    <w:bookmarkEnd w:id="39"/>
    <w:bookmarkEnd w:id="40"/>
    <w:bookmarkEnd w:id="41"/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45" w:name="_Toc18706"/>
      <w:bookmarkStart w:id="46" w:name="_Toc5838"/>
      <w:bookmarkStart w:id="47" w:name="_Toc20879"/>
      <w:bookmarkStart w:id="48" w:name="_Toc1978"/>
      <w:bookmarkStart w:id="49" w:name="_Toc2836"/>
      <w:bookmarkStart w:id="50" w:name="_Toc2323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二氧化碳</w:t>
      </w:r>
      <w:r>
        <w:rPr>
          <w:rFonts w:hint="eastAsia" w:ascii="黑体" w:hAnsi="黑体" w:eastAsia="黑体" w:cs="黑体"/>
          <w:sz w:val="32"/>
          <w:szCs w:val="32"/>
        </w:rPr>
        <w:t>浓度检测报警仪校准规范</w:t>
      </w:r>
      <w:bookmarkEnd w:id="45"/>
      <w:bookmarkEnd w:id="46"/>
      <w:bookmarkEnd w:id="47"/>
      <w:bookmarkEnd w:id="48"/>
      <w:bookmarkEnd w:id="49"/>
      <w:bookmarkEnd w:id="50"/>
    </w:p>
    <w:p>
      <w:pPr>
        <w:rPr>
          <w:rFonts w:eastAsia="宋体"/>
        </w:rPr>
      </w:pPr>
    </w:p>
    <w:p>
      <w:pPr>
        <w:pStyle w:val="42"/>
        <w:spacing w:before="120" w:after="120" w:line="360" w:lineRule="auto"/>
        <w:outlineLvl w:val="0"/>
      </w:pPr>
      <w:bookmarkStart w:id="51" w:name="_Toc193860208"/>
      <w:bookmarkStart w:id="52" w:name="_Toc23784536"/>
      <w:bookmarkStart w:id="53" w:name="_Toc23785528"/>
      <w:bookmarkStart w:id="54" w:name="_Toc416"/>
      <w:bookmarkStart w:id="55" w:name="_Toc193860177"/>
      <w:bookmarkStart w:id="56" w:name="_Toc23784634"/>
      <w:bookmarkStart w:id="57" w:name="_Toc28688"/>
      <w:bookmarkStart w:id="58" w:name="_Toc6679_WPSOffice_Level1"/>
      <w:bookmarkStart w:id="59" w:name="_Toc8567"/>
      <w:bookmarkStart w:id="60" w:name="_Toc23662"/>
      <w:bookmarkStart w:id="61" w:name="_Toc193860027"/>
      <w:bookmarkStart w:id="62" w:name="_Toc24451"/>
      <w:r>
        <w:rPr>
          <w:rFonts w:hint="eastAsia"/>
        </w:rPr>
        <w:t xml:space="preserve"> </w:t>
      </w:r>
      <w:bookmarkStart w:id="63" w:name="_Toc7396"/>
      <w:r>
        <w:t>范围</w:t>
      </w:r>
      <w:bookmarkEnd w:id="42"/>
      <w:bookmarkEnd w:id="43"/>
      <w:bookmarkEnd w:id="4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43"/>
        <w:ind w:firstLine="480"/>
        <w:rPr>
          <w:rFonts w:hint="eastAsia" w:eastAsia="宋体"/>
          <w:kern w:val="2"/>
          <w:lang w:eastAsia="zh-CN"/>
        </w:rPr>
      </w:pPr>
      <w:r>
        <w:rPr>
          <w:kern w:val="2"/>
        </w:rPr>
        <w:t>本规范</w:t>
      </w:r>
      <w:r>
        <w:t>适</w:t>
      </w:r>
      <w:r>
        <w:rPr>
          <w:rFonts w:hint="eastAsia"/>
        </w:rPr>
        <w:t>用</w:t>
      </w:r>
      <w:r>
        <w:rPr>
          <w:rFonts w:hint="eastAsia"/>
          <w:kern w:val="2"/>
        </w:rPr>
        <w:t>于</w:t>
      </w:r>
      <w:r>
        <w:rPr>
          <w:rFonts w:hint="eastAsia"/>
          <w:kern w:val="2"/>
          <w:lang w:val="en-US" w:eastAsia="zh-CN"/>
        </w:rPr>
        <w:t>非矿井作业环境中使用测量范围（0</w:t>
      </w:r>
      <w:r>
        <w:rPr>
          <w:lang w:bidi="zh-TW"/>
        </w:rPr>
        <w:t>～</w:t>
      </w:r>
      <w:r>
        <w:rPr>
          <w:rFonts w:hint="eastAsia"/>
          <w:lang w:val="en-US" w:eastAsia="zh-CN" w:bidi="zh-TW"/>
        </w:rPr>
        <w:t>100%</w:t>
      </w:r>
      <w:r>
        <w:rPr>
          <w:rFonts w:hint="eastAsia"/>
          <w:kern w:val="2"/>
          <w:lang w:val="en-US" w:eastAsia="zh-CN"/>
        </w:rPr>
        <w:t>）</w:t>
      </w:r>
      <w:r>
        <w:rPr>
          <w:rFonts w:hint="default" w:ascii="Times New Roman" w:hAnsi="Times New Roman" w:cs="Times New Roman"/>
          <w:kern w:val="2"/>
          <w:lang w:val="en-US" w:eastAsia="zh-CN"/>
        </w:rPr>
        <w:t>mol/mol</w:t>
      </w:r>
      <w:r>
        <w:rPr>
          <w:rFonts w:hint="eastAsia" w:ascii="宋体" w:hAnsi="宋体" w:cs="宋体"/>
          <w:kern w:val="2"/>
          <w:lang w:val="en-US" w:eastAsia="zh-CN"/>
        </w:rPr>
        <w:t>的二氧化碳浓度检测报警仪</w:t>
      </w:r>
      <w:r>
        <w:rPr>
          <w:rFonts w:hint="eastAsia"/>
          <w:kern w:val="2"/>
          <w:szCs w:val="24"/>
        </w:rPr>
        <w:t>（以下简称</w:t>
      </w:r>
      <w:r>
        <w:rPr>
          <w:rFonts w:hint="eastAsia"/>
          <w:kern w:val="2"/>
          <w:szCs w:val="24"/>
          <w:lang w:val="en-US" w:eastAsia="zh-CN"/>
        </w:rPr>
        <w:t>检测仪</w:t>
      </w:r>
      <w:r>
        <w:rPr>
          <w:rFonts w:hint="eastAsia"/>
          <w:kern w:val="2"/>
          <w:szCs w:val="24"/>
        </w:rPr>
        <w:t>）</w:t>
      </w:r>
      <w:r>
        <w:rPr>
          <w:kern w:val="2"/>
        </w:rPr>
        <w:t>校准</w:t>
      </w:r>
      <w:r>
        <w:rPr>
          <w:rFonts w:hint="eastAsia"/>
          <w:kern w:val="2"/>
          <w:lang w:eastAsia="zh-CN"/>
        </w:rPr>
        <w:t>，</w:t>
      </w:r>
      <w:r>
        <w:rPr>
          <w:rFonts w:hint="eastAsia"/>
          <w:kern w:val="2"/>
        </w:rPr>
        <w:t>其他用于</w:t>
      </w:r>
      <w:r>
        <w:rPr>
          <w:rFonts w:hint="eastAsia" w:ascii="宋体" w:hAnsi="宋体" w:cs="宋体"/>
          <w:kern w:val="2"/>
          <w:lang w:val="en-US" w:eastAsia="zh-CN"/>
        </w:rPr>
        <w:t>二氧化碳</w:t>
      </w:r>
      <w:r>
        <w:rPr>
          <w:rFonts w:hint="eastAsia"/>
          <w:kern w:val="2"/>
        </w:rPr>
        <w:t>浓度检测或报警的仪器也可参照本规范进行校准</w:t>
      </w:r>
      <w:r>
        <w:rPr>
          <w:rFonts w:hint="eastAsia"/>
          <w:kern w:val="2"/>
          <w:lang w:eastAsia="zh-CN"/>
        </w:rPr>
        <w:t>。</w:t>
      </w:r>
    </w:p>
    <w:p>
      <w:pPr>
        <w:pStyle w:val="42"/>
        <w:spacing w:before="120" w:after="120" w:line="360" w:lineRule="auto"/>
        <w:outlineLvl w:val="0"/>
      </w:pPr>
      <w:r>
        <w:rPr>
          <w:rFonts w:hint="eastAsia"/>
        </w:rPr>
        <w:t xml:space="preserve"> </w:t>
      </w:r>
      <w:bookmarkStart w:id="64" w:name="_Toc73"/>
      <w:bookmarkStart w:id="65" w:name="_Toc6158"/>
      <w:bookmarkStart w:id="66" w:name="_Toc9748"/>
      <w:bookmarkStart w:id="67" w:name="_Toc8614"/>
      <w:bookmarkStart w:id="68" w:name="_Toc17158"/>
      <w:r>
        <w:rPr>
          <w:rFonts w:hint="eastAsia"/>
        </w:rPr>
        <w:t>引用文件</w:t>
      </w:r>
      <w:bookmarkEnd w:id="64"/>
      <w:bookmarkEnd w:id="65"/>
      <w:bookmarkEnd w:id="66"/>
      <w:bookmarkEnd w:id="67"/>
      <w:bookmarkEnd w:id="68"/>
    </w:p>
    <w:p>
      <w:pPr>
        <w:pStyle w:val="43"/>
        <w:ind w:firstLine="480"/>
      </w:pPr>
      <w:r>
        <w:t>本</w:t>
      </w:r>
      <w:r>
        <w:rPr>
          <w:rFonts w:hint="eastAsia"/>
        </w:rPr>
        <w:t>规范</w:t>
      </w:r>
      <w:r>
        <w:t>引用了下列文件：</w:t>
      </w:r>
    </w:p>
    <w:p>
      <w:pPr>
        <w:pStyle w:val="43"/>
        <w:ind w:firstLine="480"/>
      </w:pPr>
      <w:r>
        <w:t>GB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</w:t>
      </w:r>
      <w:r>
        <w:t xml:space="preserve">  </w:t>
      </w:r>
      <w:r>
        <w:rPr>
          <w:rFonts w:hint="eastAsia"/>
        </w:rPr>
        <w:t>作业场所环境气体检测报警仪器 通用技术要求</w:t>
      </w:r>
    </w:p>
    <w:p>
      <w:pPr>
        <w:pStyle w:val="43"/>
        <w:ind w:firstLine="480"/>
      </w:pPr>
      <w:r>
        <w:t>GB/T 50493</w:t>
      </w:r>
      <w:r>
        <w:rPr>
          <w:rFonts w:hint="eastAsia"/>
        </w:rPr>
        <w:t>—</w:t>
      </w:r>
      <w:r>
        <w:t>2019  石油化工可燃气体和有毒气体检测报警设计标准</w:t>
      </w:r>
    </w:p>
    <w:p>
      <w:pPr>
        <w:pStyle w:val="43"/>
        <w:ind w:firstLine="480"/>
      </w:pPr>
      <w:r>
        <w:t>凡是注明日期的引用文件，仅注明日期的版本适用于本规范；凡是不注明日期的引用文件，其最新版本（包括所有的修改单）适用于本规范。</w:t>
      </w:r>
    </w:p>
    <w:p>
      <w:pPr>
        <w:pStyle w:val="42"/>
        <w:spacing w:before="120" w:after="120" w:line="360" w:lineRule="auto"/>
        <w:outlineLvl w:val="0"/>
        <w:rPr>
          <w:rFonts w:hAnsi="宋体" w:eastAsia="宋体"/>
          <w:szCs w:val="24"/>
        </w:rPr>
      </w:pPr>
      <w:bookmarkStart w:id="69" w:name="_Toc26906"/>
      <w:bookmarkStart w:id="70" w:name="_Toc23491"/>
      <w:bookmarkStart w:id="71" w:name="_Toc20610"/>
      <w:bookmarkStart w:id="72" w:name="_Toc11481"/>
      <w:bookmarkStart w:id="73" w:name="_Toc193619056"/>
      <w:bookmarkStart w:id="74" w:name="_Toc193860181"/>
      <w:bookmarkStart w:id="75" w:name="_Toc193619098"/>
      <w:bookmarkStart w:id="76" w:name="_Toc193618953"/>
      <w:bookmarkStart w:id="77" w:name="_Toc193860031"/>
      <w:bookmarkStart w:id="78" w:name="_Toc2124_WPSOffice_Level1"/>
      <w:bookmarkStart w:id="79" w:name="_Toc23784645"/>
      <w:bookmarkStart w:id="80" w:name="_Toc3994"/>
      <w:bookmarkStart w:id="81" w:name="_Toc23784547"/>
      <w:bookmarkStart w:id="82" w:name="_Toc23785539"/>
      <w:bookmarkStart w:id="83" w:name="_Toc193860212"/>
      <w:bookmarkStart w:id="84" w:name="_Toc27992"/>
      <w:r>
        <w:rPr>
          <w:rFonts w:hint="eastAsia"/>
        </w:rPr>
        <w:t xml:space="preserve"> </w:t>
      </w:r>
      <w:bookmarkStart w:id="85" w:name="_Toc977"/>
      <w:r>
        <w:rPr>
          <w:rFonts w:hint="eastAsia"/>
        </w:rPr>
        <w:t>概述</w:t>
      </w:r>
      <w:bookmarkEnd w:id="69"/>
      <w:bookmarkEnd w:id="70"/>
      <w:bookmarkEnd w:id="71"/>
      <w:bookmarkEnd w:id="72"/>
      <w:bookmarkEnd w:id="85"/>
    </w:p>
    <w:p>
      <w:pPr>
        <w:pStyle w:val="43"/>
        <w:ind w:firstLine="480"/>
        <w:rPr>
          <w:rFonts w:hint="eastAsia" w:hAnsi="宋体"/>
          <w:szCs w:val="24"/>
        </w:rPr>
      </w:pPr>
      <w:r>
        <w:rPr>
          <w:rFonts w:hint="eastAsia"/>
          <w:kern w:val="2"/>
          <w:szCs w:val="24"/>
          <w:lang w:val="en-US" w:eastAsia="zh-CN"/>
        </w:rPr>
        <w:t>二氧化碳</w:t>
      </w:r>
      <w:r>
        <w:rPr>
          <w:rFonts w:hint="eastAsia"/>
          <w:kern w:val="2"/>
          <w:szCs w:val="24"/>
        </w:rPr>
        <w:t>浓度检测报警仪</w:t>
      </w:r>
      <w:r>
        <w:rPr>
          <w:rFonts w:hint="eastAsia" w:hAnsi="宋体"/>
          <w:szCs w:val="24"/>
        </w:rPr>
        <w:t>用于检测作业场所环境中</w:t>
      </w:r>
      <w:r>
        <w:rPr>
          <w:rFonts w:hint="eastAsia" w:hAnsi="宋体"/>
          <w:szCs w:val="24"/>
          <w:lang w:val="en-US" w:eastAsia="zh-CN"/>
        </w:rPr>
        <w:t>二氧化碳</w:t>
      </w:r>
      <w:r>
        <w:rPr>
          <w:rFonts w:hint="eastAsia" w:hAnsi="宋体"/>
          <w:szCs w:val="24"/>
        </w:rPr>
        <w:t>的浓度，</w:t>
      </w:r>
      <w:r>
        <w:rPr>
          <w:rFonts w:hint="eastAsia" w:hAnsi="宋体"/>
          <w:szCs w:val="24"/>
          <w:lang w:val="en-US" w:eastAsia="zh-CN"/>
        </w:rPr>
        <w:t>其</w:t>
      </w:r>
      <w:r>
        <w:rPr>
          <w:rFonts w:hint="default" w:ascii="Times New Roman" w:hAnsi="宋体" w:eastAsia="宋体" w:cs="Times New Roman"/>
          <w:sz w:val="24"/>
          <w:szCs w:val="24"/>
          <w:lang w:val="en-US" w:eastAsia="zh-CN" w:bidi="ar-SA"/>
        </w:rPr>
        <w:t>主要</w:t>
      </w:r>
      <w:r>
        <w:rPr>
          <w:rFonts w:hint="eastAsia" w:ascii="Times New Roman" w:hAnsi="宋体" w:cs="Times New Roman"/>
          <w:sz w:val="24"/>
          <w:szCs w:val="24"/>
          <w:lang w:val="en-US" w:eastAsia="zh-CN" w:bidi="ar-SA"/>
        </w:rPr>
        <w:t>原理是</w:t>
      </w:r>
      <w:r>
        <w:rPr>
          <w:rFonts w:hint="default" w:ascii="Times New Roman" w:hAnsi="宋体" w:eastAsia="宋体" w:cs="Times New Roman"/>
          <w:sz w:val="24"/>
          <w:szCs w:val="24"/>
          <w:lang w:val="en-US" w:eastAsia="zh-CN" w:bidi="ar-SA"/>
        </w:rPr>
        <w:t>基于红外吸收技术和电化学传感器技术，通过光强变化或化学反应产生的电信号来精确测量</w:t>
      </w:r>
      <w:r>
        <w:rPr>
          <w:rFonts w:hint="eastAsia" w:hAnsi="宋体"/>
          <w:szCs w:val="24"/>
        </w:rPr>
        <w:t>。</w:t>
      </w:r>
      <w:r>
        <w:rPr>
          <w:rFonts w:hint="eastAsia" w:hAnsi="宋体"/>
          <w:szCs w:val="24"/>
          <w:lang w:val="en-US" w:eastAsia="zh-CN"/>
        </w:rPr>
        <w:t>检测仪根据</w:t>
      </w:r>
      <w:r>
        <w:rPr>
          <w:rFonts w:hint="eastAsia" w:hAnsi="宋体"/>
          <w:szCs w:val="24"/>
        </w:rPr>
        <w:t>采样方式</w:t>
      </w:r>
      <w:r>
        <w:rPr>
          <w:rFonts w:hint="eastAsia" w:hAnsi="宋体"/>
          <w:szCs w:val="24"/>
          <w:lang w:val="en-US" w:eastAsia="zh-CN"/>
        </w:rPr>
        <w:t>可分为</w:t>
      </w:r>
      <w:r>
        <w:rPr>
          <w:rFonts w:hint="eastAsia" w:hAnsi="宋体"/>
          <w:szCs w:val="24"/>
        </w:rPr>
        <w:t>扩散式</w:t>
      </w:r>
      <w:r>
        <w:rPr>
          <w:rFonts w:hint="eastAsia" w:hAnsi="宋体"/>
          <w:szCs w:val="24"/>
          <w:lang w:val="en-US" w:eastAsia="zh-CN"/>
        </w:rPr>
        <w:t>和</w:t>
      </w:r>
      <w:r>
        <w:rPr>
          <w:rFonts w:hint="eastAsia" w:hAnsi="宋体"/>
          <w:szCs w:val="24"/>
        </w:rPr>
        <w:t>吸入式</w:t>
      </w:r>
      <w:r>
        <w:rPr>
          <w:rFonts w:hint="eastAsia" w:hAnsi="宋体"/>
          <w:szCs w:val="24"/>
          <w:lang w:eastAsia="zh-CN"/>
        </w:rPr>
        <w:t>，</w:t>
      </w:r>
      <w:r>
        <w:rPr>
          <w:rFonts w:hint="eastAsia" w:hAnsi="宋体"/>
          <w:szCs w:val="24"/>
          <w:lang w:val="en-US" w:eastAsia="zh-CN"/>
        </w:rPr>
        <w:t>根据</w:t>
      </w:r>
      <w:r>
        <w:rPr>
          <w:rFonts w:hint="eastAsia" w:hAnsi="宋体"/>
          <w:szCs w:val="24"/>
        </w:rPr>
        <w:t>结构形式</w:t>
      </w:r>
      <w:r>
        <w:rPr>
          <w:rFonts w:hint="eastAsia" w:hAnsi="宋体"/>
          <w:szCs w:val="24"/>
          <w:lang w:val="en-US" w:eastAsia="zh-CN"/>
        </w:rPr>
        <w:t>可分为</w:t>
      </w:r>
      <w:r>
        <w:rPr>
          <w:rFonts w:hint="eastAsia" w:hAnsi="宋体"/>
          <w:szCs w:val="24"/>
        </w:rPr>
        <w:t>便携式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</w:rPr>
        <w:t>固定式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  <w:lang w:val="en-US" w:eastAsia="zh-CN"/>
        </w:rPr>
        <w:t>单一式和复合式</w:t>
      </w:r>
      <w:r>
        <w:rPr>
          <w:rFonts w:hint="eastAsia" w:hAnsi="宋体"/>
          <w:szCs w:val="24"/>
        </w:rPr>
        <w:t>。</w:t>
      </w:r>
      <w:r>
        <w:rPr>
          <w:rFonts w:hint="eastAsia" w:hAnsi="宋体"/>
          <w:szCs w:val="24"/>
          <w:lang w:val="en-US" w:eastAsia="zh-CN"/>
        </w:rPr>
        <w:t>检测仪</w:t>
      </w:r>
      <w:r>
        <w:rPr>
          <w:rFonts w:hint="eastAsia" w:hAnsi="宋体"/>
          <w:szCs w:val="24"/>
        </w:rPr>
        <w:t>主要由显示部分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  <w:lang w:val="en-US" w:eastAsia="zh-CN"/>
        </w:rPr>
        <w:t>信号处理部分、报警部分、输出模块、壳体及</w:t>
      </w:r>
      <w:r>
        <w:rPr>
          <w:rFonts w:hint="eastAsia" w:hAnsi="宋体"/>
          <w:szCs w:val="24"/>
        </w:rPr>
        <w:t>检测元件组成，如图1所示。</w:t>
      </w:r>
    </w:p>
    <w:p>
      <w:pPr>
        <w:pStyle w:val="43"/>
        <w:ind w:firstLine="480"/>
        <w:jc w:val="center"/>
        <w:rPr>
          <w:rFonts w:hint="eastAsia" w:hAnsi="宋体" w:eastAsia="宋体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2018665</wp:posOffset>
                </wp:positionV>
                <wp:extent cx="209550" cy="2571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45pt;margin-top:158.95pt;height:20.25pt;width:16.5pt;z-index:251680768;mso-width-relative:page;mso-height-relative:page;" filled="f" stroked="f" coordsize="21600,21600" o:gfxdata="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Npky3AAAAAsBAAAPAAAAAAAAAAEAIAAAACIAAABk&#10;cnMvZG93bnJldi54bWxQSwECFAAUAAAACACHTuJAgXVvt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1613535</wp:posOffset>
                </wp:positionV>
                <wp:extent cx="209550" cy="2571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pt;margin-top:127.05pt;height:20.25pt;width:16.5pt;z-index:251679744;mso-width-relative:page;mso-height-relative:page;" filled="f" stroked="f" coordsize="21600,21600" o:gfxdata="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T8S/3AAAAAsBAAAPAAAAAAAAAAEAIAAAACIAAABk&#10;cnMvZG93bnJldi54bWxQSwECFAAUAAAACACHTuJA2wqsX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1494790</wp:posOffset>
                </wp:positionV>
                <wp:extent cx="209550" cy="2571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117.7pt;height:20.25pt;width:16.5pt;z-index:251678720;mso-width-relative:page;mso-height-relative:page;" filled="f" stroked="f" coordsize="21600,21600" o:gfxdata="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hl1NsAAAALAQAADwAAAAAAAAABACAAAAAiAAAAZHJz&#10;L2Rvd25yZXYueG1sUEsBAhQAFAAAAAgAh07iQHSNmLw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220980</wp:posOffset>
                </wp:positionV>
                <wp:extent cx="209550" cy="2571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85pt;margin-top:17.4pt;height:20.25pt;width:16.5pt;z-index:251677696;mso-width-relative:page;mso-height-relative:page;" filled="f" stroked="f" coordsize="21600,21600" o:gfxdata="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5RJdO2gAAAAkBAAAPAAAAAAAAAAEAIAAAACIAAABkcnMv&#10;ZG93bnJldi54bWxQSwECFAAUAAAACACHTuJALvJbV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155575</wp:posOffset>
                </wp:positionV>
                <wp:extent cx="209550" cy="2571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75pt;margin-top:12.25pt;height:20.25pt;width:16.5pt;z-index:251676672;mso-width-relative:page;mso-height-relative:page;" filled="f" stroked="f" coordsize="21600,21600" o:gfxdata="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/FZ8NoAAAAJAQAADwAAAAAAAAABACAAAAAiAAAAZHJz&#10;L2Rvd25yZXYueG1sUEsBAhQAFAAAAAgAh07iQKSAFc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1423670</wp:posOffset>
                </wp:positionV>
                <wp:extent cx="209550" cy="2571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12.1pt;height:20.25pt;width:16.5pt;z-index:251675648;mso-width-relative:page;mso-height-relative:page;" filled="f" stroked="f" coordsize="21600,21600" o:gfxdata="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S4y0dsAAAALAQAADwAAAAAAAAABACAAAAAiAAAAZHJz&#10;L2Rvd25yZXYueG1sUEsBAhQAFAAAAAgAh07iQMufmlo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 w:eastAsia="宋体"/>
          <w:szCs w:val="24"/>
          <w:lang w:eastAsia="zh-CN"/>
        </w:rPr>
        <w:drawing>
          <wp:inline distT="0" distB="0" distL="114300" distR="114300">
            <wp:extent cx="3428365" cy="2392680"/>
            <wp:effectExtent l="0" t="0" r="635" b="7620"/>
            <wp:docPr id="18" name="图片 18" descr="754065b8-bbcc-4433-afc7-897bb7838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54065b8-bbcc-4433-afc7-897bb78380f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3"/>
        <w:ind w:firstLine="480"/>
        <w:jc w:val="center"/>
        <w:rPr>
          <w:rFonts w:hint="eastAsia" w:ascii="Times New Roman" w:hAnsi="Times New Roman" w:cs="宋体"/>
          <w:sz w:val="18"/>
          <w:szCs w:val="18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</w:rPr>
        <w:t>图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cs="宋体"/>
          <w:sz w:val="18"/>
          <w:szCs w:val="18"/>
        </w:rPr>
        <w:t xml:space="preserve"> </w:t>
      </w:r>
      <w:r>
        <w:rPr>
          <w:rFonts w:hint="eastAsia" w:cs="宋体"/>
          <w:sz w:val="18"/>
          <w:szCs w:val="18"/>
          <w:lang w:val="en-US" w:eastAsia="zh-CN"/>
        </w:rPr>
        <w:t>检测仪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结构</w:t>
      </w:r>
      <w:r>
        <w:rPr>
          <w:rFonts w:hint="eastAsia" w:ascii="Times New Roman" w:hAnsi="Times New Roman" w:cs="宋体"/>
          <w:sz w:val="18"/>
          <w:szCs w:val="18"/>
        </w:rPr>
        <w:t>图</w:t>
      </w:r>
    </w:p>
    <w:p>
      <w:pPr>
        <w:pStyle w:val="43"/>
        <w:ind w:firstLine="480"/>
        <w:jc w:val="center"/>
        <w:rPr>
          <w:rFonts w:hint="default" w:ascii="Times New Roman" w:hAnsi="Times New Roman" w:eastAsia="宋体" w:cs="宋体"/>
          <w:sz w:val="18"/>
          <w:szCs w:val="18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1-显示</w:t>
      </w:r>
      <w:r>
        <w:rPr>
          <w:rFonts w:hint="eastAsia" w:cs="宋体"/>
          <w:sz w:val="18"/>
          <w:szCs w:val="18"/>
          <w:lang w:val="en-US" w:eastAsia="zh-CN"/>
        </w:rPr>
        <w:t>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；2-</w:t>
      </w:r>
      <w:r>
        <w:rPr>
          <w:rFonts w:hint="eastAsia" w:cs="宋体"/>
          <w:sz w:val="18"/>
          <w:szCs w:val="18"/>
          <w:lang w:val="en-US" w:eastAsia="zh-CN"/>
        </w:rPr>
        <w:t>信号处理部分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；3-</w:t>
      </w:r>
      <w:r>
        <w:rPr>
          <w:rFonts w:hint="eastAsia" w:cs="宋体"/>
          <w:sz w:val="18"/>
          <w:szCs w:val="18"/>
          <w:lang w:val="en-US" w:eastAsia="zh-CN"/>
        </w:rPr>
        <w:t>报警部分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；4-</w:t>
      </w:r>
      <w:r>
        <w:rPr>
          <w:rFonts w:hint="eastAsia" w:cs="宋体"/>
          <w:sz w:val="18"/>
          <w:szCs w:val="18"/>
          <w:lang w:val="en-US" w:eastAsia="zh-CN"/>
        </w:rPr>
        <w:t>输出模块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；5-</w:t>
      </w:r>
      <w:r>
        <w:rPr>
          <w:rFonts w:hint="eastAsia" w:cs="宋体"/>
          <w:sz w:val="18"/>
          <w:szCs w:val="18"/>
          <w:lang w:val="en-US" w:eastAsia="zh-CN"/>
        </w:rPr>
        <w:t>壳体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；6-</w:t>
      </w:r>
      <w:r>
        <w:rPr>
          <w:rFonts w:hint="eastAsia" w:cs="宋体"/>
          <w:sz w:val="18"/>
          <w:szCs w:val="18"/>
          <w:lang w:val="en-US" w:eastAsia="zh-CN"/>
        </w:rPr>
        <w:t>检测元件</w:t>
      </w:r>
    </w:p>
    <w:p>
      <w:pPr>
        <w:pStyle w:val="42"/>
        <w:spacing w:before="120" w:after="120" w:line="360" w:lineRule="auto"/>
        <w:outlineLvl w:val="0"/>
      </w:pPr>
      <w:r>
        <w:rPr>
          <w:rFonts w:hint="eastAsia"/>
        </w:rPr>
        <w:t xml:space="preserve"> </w:t>
      </w:r>
      <w:bookmarkStart w:id="86" w:name="_Toc21890"/>
      <w:bookmarkStart w:id="87" w:name="_Toc27499"/>
      <w:bookmarkStart w:id="88" w:name="_Toc19020"/>
      <w:bookmarkStart w:id="89" w:name="_Toc26635"/>
      <w:bookmarkStart w:id="90" w:name="_Toc21085"/>
      <w:r>
        <w:t>计量特性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6"/>
      <w:bookmarkEnd w:id="87"/>
      <w:bookmarkEnd w:id="88"/>
      <w:bookmarkEnd w:id="89"/>
      <w:bookmarkEnd w:id="90"/>
    </w:p>
    <w:p>
      <w:pPr>
        <w:pStyle w:val="43"/>
        <w:ind w:firstLine="480"/>
        <w:rPr>
          <w:rFonts w:hint="eastAsia"/>
        </w:rPr>
      </w:pPr>
      <w:r>
        <w:rPr>
          <w:rFonts w:hint="eastAsia"/>
          <w:lang w:val="en-US" w:eastAsia="zh-CN"/>
        </w:rPr>
        <w:t>检测仪的校准项目和</w:t>
      </w:r>
      <w:r>
        <w:rPr>
          <w:rFonts w:hint="eastAsia"/>
        </w:rPr>
        <w:t>计量特性</w:t>
      </w:r>
      <w:r>
        <w:rPr>
          <w:rFonts w:hint="eastAsia"/>
          <w:lang w:val="en-US" w:eastAsia="zh-CN"/>
        </w:rPr>
        <w:t>要求</w:t>
      </w:r>
      <w:r>
        <w:rPr>
          <w:rFonts w:hint="eastAsia"/>
        </w:rPr>
        <w:t>见表1。</w:t>
      </w:r>
    </w:p>
    <w:p>
      <w:pPr>
        <w:spacing w:line="360" w:lineRule="auto"/>
        <w:jc w:val="center"/>
        <w:rPr>
          <w:rFonts w:hint="eastAsia" w:eastAsia="黑体"/>
          <w:lang w:val="en-US" w:eastAsia="zh-CN"/>
        </w:rPr>
      </w:pPr>
      <w:bookmarkStart w:id="91" w:name="_Hlk166234278"/>
      <w:r>
        <w:rPr>
          <w:rStyle w:val="102"/>
          <w:rFonts w:hint="default" w:cs="Times New Roman"/>
          <w:color w:val="auto"/>
        </w:rPr>
        <w:t xml:space="preserve">表1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检测仪校准项目和</w:t>
      </w:r>
      <w:r>
        <w:rPr>
          <w:rStyle w:val="102"/>
          <w:rFonts w:hint="default" w:cs="Times New Roman"/>
          <w:color w:val="auto"/>
        </w:rPr>
        <w:t>计量特性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要求</w:t>
      </w:r>
    </w:p>
    <w:bookmarkEnd w:id="91"/>
    <w:tbl>
      <w:tblPr>
        <w:tblStyle w:val="2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974"/>
        <w:gridCol w:w="2318"/>
        <w:gridCol w:w="2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92" w:name="_Hlk166240423"/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计量特性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sz w:val="21"/>
                <w:szCs w:val="21"/>
              </w:rPr>
              <w:t>5%FS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</w:t>
            </w:r>
            <w:r>
              <w:rPr>
                <w:rFonts w:hint="eastAsia"/>
                <w:sz w:val="21"/>
                <w:szCs w:val="21"/>
              </w:rPr>
              <w:t>响应时间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扩散式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吸入式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报警误差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报警响应时间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扩散式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吸入式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重复性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变送输出误差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±0.5%FS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仪器</w:t>
            </w:r>
            <w:r>
              <w:rPr>
                <w:rFonts w:hint="eastAsia"/>
                <w:sz w:val="21"/>
                <w:szCs w:val="21"/>
              </w:rPr>
              <w:t>漂移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%FS</w:t>
            </w:r>
          </w:p>
        </w:tc>
      </w:tr>
      <w:bookmarkEnd w:id="92"/>
    </w:tbl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20" w:line="360" w:lineRule="auto"/>
        <w:ind w:left="425" w:hanging="425"/>
        <w:textAlignment w:val="auto"/>
        <w:outlineLvl w:val="0"/>
      </w:pPr>
      <w:bookmarkStart w:id="93" w:name="_Toc31834"/>
      <w:bookmarkStart w:id="94" w:name="_Toc104"/>
      <w:bookmarkStart w:id="95" w:name="_Toc11256"/>
      <w:bookmarkStart w:id="96" w:name="_Toc25264"/>
      <w:bookmarkStart w:id="97" w:name="_Toc22525"/>
      <w:bookmarkStart w:id="98" w:name="_Toc13070"/>
      <w:r>
        <w:t>校准条件</w:t>
      </w:r>
      <w:bookmarkEnd w:id="93"/>
      <w:bookmarkEnd w:id="94"/>
      <w:bookmarkEnd w:id="95"/>
      <w:bookmarkEnd w:id="96"/>
      <w:bookmarkEnd w:id="97"/>
      <w:bookmarkEnd w:id="98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  <w:rPr>
          <w:rFonts w:ascii="Times New Roman" w:hAnsi="Times New Roman"/>
        </w:rPr>
      </w:pPr>
      <w:bookmarkStart w:id="99" w:name="_Toc23784561"/>
      <w:bookmarkStart w:id="100" w:name="_Toc193860214"/>
      <w:bookmarkStart w:id="101" w:name="_Toc32245"/>
      <w:bookmarkStart w:id="102" w:name="_Toc23784660"/>
      <w:bookmarkStart w:id="103" w:name="_Toc8066_WPSOffice_Level2"/>
      <w:bookmarkStart w:id="104" w:name="_Toc193860183"/>
      <w:bookmarkStart w:id="105" w:name="_Toc23785558"/>
      <w:bookmarkStart w:id="106" w:name="_Toc17404"/>
      <w:bookmarkStart w:id="107" w:name="_Toc193860033"/>
      <w:r>
        <w:rPr>
          <w:rFonts w:ascii="Times New Roman" w:hAnsi="Times New Roman"/>
        </w:rPr>
        <w:t xml:space="preserve"> </w:t>
      </w:r>
      <w:bookmarkStart w:id="108" w:name="_Toc10368"/>
      <w:bookmarkStart w:id="109" w:name="_Toc24371"/>
      <w:bookmarkStart w:id="110" w:name="_Toc99355907"/>
      <w:bookmarkStart w:id="111" w:name="_Toc16082"/>
      <w:bookmarkStart w:id="112" w:name="_Toc10250"/>
      <w:bookmarkStart w:id="113" w:name="_Toc30710"/>
      <w:bookmarkStart w:id="114" w:name="_Toc19335"/>
      <w:bookmarkStart w:id="115" w:name="_Toc26289"/>
      <w:r>
        <w:rPr>
          <w:rFonts w:ascii="Times New Roman" w:hAnsi="Times New Roman"/>
        </w:rPr>
        <w:t>环境条件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Start w:id="116" w:name="_Toc23784662"/>
      <w:bookmarkStart w:id="117" w:name="_Toc23784563"/>
      <w:bookmarkStart w:id="118" w:name="_Toc20581_WPSOffice_Level2"/>
      <w:bookmarkStart w:id="119" w:name="_Toc23785560"/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lang w:bidi="zh-TW"/>
        </w:rPr>
      </w:pPr>
      <w:bookmarkStart w:id="120" w:name="_Toc19955"/>
      <w:r>
        <w:rPr>
          <w:lang w:bidi="zh-TW"/>
        </w:rPr>
        <w:t xml:space="preserve"> 环境温度：（15～35）℃。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rFonts w:hint="default" w:eastAsia="宋体"/>
          <w:lang w:val="en-US" w:eastAsia="zh-CN"/>
        </w:rPr>
      </w:pPr>
      <w:r>
        <w:rPr>
          <w:lang w:bidi="zh-TW"/>
        </w:rPr>
        <w:t xml:space="preserve"> 相对湿度</w:t>
      </w:r>
      <w:r>
        <w:rPr>
          <w:rFonts w:hint="eastAsia"/>
          <w:lang w:eastAsia="zh-CN" w:bidi="zh-TW"/>
        </w:rPr>
        <w:t>：</w:t>
      </w:r>
      <w:r>
        <w:rPr>
          <w:rFonts w:hint="eastAsia"/>
          <w:lang w:val="en-US" w:eastAsia="zh-CN" w:bidi="zh-TW"/>
        </w:rPr>
        <w:t>2</w:t>
      </w:r>
      <w:r>
        <w:rPr>
          <w:lang w:bidi="zh-TW"/>
        </w:rPr>
        <w:t>5</w:t>
      </w:r>
      <w:r>
        <w:rPr>
          <w:rFonts w:hint="eastAsia"/>
          <w:lang w:val="en-US" w:eastAsia="zh-CN" w:bidi="zh-TW"/>
        </w:rPr>
        <w:t>%</w:t>
      </w:r>
      <w:r>
        <w:rPr>
          <w:lang w:bidi="zh-TW"/>
        </w:rPr>
        <w:t>～</w:t>
      </w:r>
      <w:r>
        <w:rPr>
          <w:rFonts w:hint="eastAsia"/>
          <w:lang w:val="en-US" w:eastAsia="zh-CN" w:bidi="zh-TW"/>
        </w:rPr>
        <w:t>7</w:t>
      </w:r>
      <w:r>
        <w:rPr>
          <w:lang w:bidi="zh-TW"/>
        </w:rPr>
        <w:t>5</w:t>
      </w:r>
      <w:r>
        <w:rPr>
          <w:rFonts w:hint="eastAsia"/>
          <w:lang w:val="en-US" w:eastAsia="zh-CN" w:bidi="zh-TW"/>
        </w:rPr>
        <w:t>%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 w:bidi="zh-TW"/>
        </w:rPr>
        <w:t xml:space="preserve"> 大气压力：</w:t>
      </w:r>
      <w:r>
        <w:rPr>
          <w:lang w:bidi="zh-TW"/>
        </w:rPr>
        <w:t>（</w:t>
      </w:r>
      <w:r>
        <w:rPr>
          <w:rFonts w:hint="eastAsia"/>
          <w:lang w:val="en-US" w:eastAsia="zh-CN" w:bidi="zh-TW"/>
        </w:rPr>
        <w:t>86</w:t>
      </w:r>
      <w:r>
        <w:rPr>
          <w:lang w:bidi="zh-TW"/>
        </w:rPr>
        <w:t>～</w:t>
      </w:r>
      <w:r>
        <w:rPr>
          <w:rFonts w:hint="eastAsia"/>
          <w:lang w:val="en-US" w:eastAsia="zh-CN" w:bidi="zh-TW"/>
        </w:rPr>
        <w:t>106</w:t>
      </w:r>
      <w:r>
        <w:rPr>
          <w:lang w:bidi="zh-TW"/>
        </w:rPr>
        <w:t>）</w:t>
      </w:r>
      <w:r>
        <w:rPr>
          <w:rFonts w:hint="eastAsia"/>
          <w:lang w:val="en-US" w:eastAsia="zh-CN" w:bidi="zh-TW"/>
        </w:rPr>
        <w:t>kPa</w:t>
      </w:r>
      <w:r>
        <w:rPr>
          <w:lang w:bidi="zh-TW"/>
        </w:rPr>
        <w:t>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lang w:bidi="zh-TW"/>
        </w:rPr>
        <w:t xml:space="preserve"> 工作环境中应无影响</w:t>
      </w:r>
      <w:r>
        <w:rPr>
          <w:rFonts w:hint="eastAsia"/>
          <w:lang w:val="en-US" w:eastAsia="zh-CN" w:bidi="zh-TW"/>
        </w:rPr>
        <w:t>检测仪</w:t>
      </w:r>
      <w:r>
        <w:rPr>
          <w:lang w:bidi="zh-TW"/>
        </w:rPr>
        <w:t>正常工作的电磁场及干扰气体，保持通风，采取相应的安全措施。</w:t>
      </w:r>
    </w:p>
    <w:bookmarkEnd w:id="120"/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</w:pPr>
      <w:r>
        <w:rPr>
          <w:rFonts w:hint="eastAsia"/>
        </w:rPr>
        <w:t xml:space="preserve"> </w:t>
      </w:r>
      <w:bookmarkEnd w:id="116"/>
      <w:bookmarkEnd w:id="117"/>
      <w:bookmarkEnd w:id="118"/>
      <w:bookmarkEnd w:id="119"/>
      <w:bookmarkStart w:id="121" w:name="_Toc5643"/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</w:t>
      </w:r>
      <w:r>
        <w:t>及</w:t>
      </w:r>
      <w:r>
        <w:rPr>
          <w:rFonts w:hint="eastAsia"/>
          <w:lang w:val="en-US" w:eastAsia="zh-CN"/>
        </w:rPr>
        <w:t>其他</w:t>
      </w:r>
      <w:r>
        <w:t>设备</w:t>
      </w:r>
      <w:bookmarkEnd w:id="121"/>
    </w:p>
    <w:p>
      <w:pPr>
        <w:pStyle w:val="43"/>
        <w:ind w:firstLine="480"/>
      </w:pPr>
      <w:r>
        <w:rPr>
          <w:rFonts w:hint="eastAsia"/>
        </w:rPr>
        <w:t>校准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所用的</w:t>
      </w:r>
      <w:r>
        <w:rPr>
          <w:rFonts w:hint="eastAsia"/>
          <w:lang w:eastAsia="zh-CN"/>
        </w:rPr>
        <w:t>测</w:t>
      </w:r>
      <w:r>
        <w:rPr>
          <w:rFonts w:hint="eastAsia"/>
        </w:rPr>
        <w:t>量标准及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设备的技术要求见表2。</w:t>
      </w:r>
    </w:p>
    <w:p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122" w:name="_Hlk166240230"/>
      <w:r>
        <w:rPr>
          <w:rStyle w:val="102"/>
          <w:rFonts w:hint="default" w:cs="Times New Roman"/>
          <w:color w:val="auto"/>
        </w:rPr>
        <w:t xml:space="preserve">表2 </w:t>
      </w:r>
      <w:r>
        <w:rPr>
          <w:rStyle w:val="102"/>
          <w:rFonts w:hint="eastAsia" w:ascii="Times New Roman" w:hAnsi="Times New Roman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标准及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其他设备的技术</w:t>
      </w:r>
      <w:r>
        <w:rPr>
          <w:rStyle w:val="102"/>
          <w:rFonts w:hint="default" w:cs="Times New Roman"/>
          <w:color w:val="auto"/>
        </w:rPr>
        <w:t>要求</w:t>
      </w:r>
    </w:p>
    <w:bookmarkEnd w:id="122"/>
    <w:tbl>
      <w:tblPr>
        <w:tblStyle w:val="2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503"/>
        <w:gridCol w:w="3261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测量标准及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/>
                <w:sz w:val="21"/>
                <w:szCs w:val="21"/>
              </w:rPr>
              <w:t>设备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气体标准物质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扩展不确定度不大于</w:t>
            </w:r>
            <w:r>
              <w:rPr>
                <w:sz w:val="21"/>
                <w:szCs w:val="21"/>
              </w:rPr>
              <w:t>2%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i/>
                <w:iCs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=2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提供标准浓度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二氧化碳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零点气体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高纯氮气，纯度不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1"/>
              </w:rPr>
              <w:t>于</w:t>
            </w:r>
            <w:r>
              <w:rPr>
                <w:sz w:val="21"/>
                <w:szCs w:val="21"/>
              </w:rPr>
              <w:t>99.99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提供标准零点气体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秒表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时间间隔1h，最大允许误差±</w:t>
            </w:r>
            <w:r>
              <w:rPr>
                <w:rFonts w:hint="eastAsia"/>
                <w:sz w:val="21"/>
                <w:szCs w:val="21"/>
              </w:rPr>
              <w:t>0.1s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响应时间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1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数字多用表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直流电流测量：（</w:t>
            </w:r>
            <w:r>
              <w:rPr>
                <w:sz w:val="21"/>
                <w:szCs w:val="21"/>
              </w:rPr>
              <w:t>4~20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mA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直流电压测量：（</w:t>
            </w:r>
            <w:r>
              <w:rPr>
                <w:sz w:val="21"/>
                <w:szCs w:val="21"/>
              </w:rPr>
              <w:t>0~10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V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最大允许误差±0.05%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变送输出的标准电信号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也可用其他满足要求的电流表或电压表代替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8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流量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计/配气仪</w:t>
            </w:r>
          </w:p>
        </w:tc>
        <w:tc>
          <w:tcPr>
            <w:tcW w:w="1755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流量范围：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1000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mL/min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流量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计准确度：</w:t>
            </w:r>
            <w:r>
              <w:rPr>
                <w:rFonts w:hint="eastAsia"/>
                <w:sz w:val="21"/>
                <w:szCs w:val="21"/>
              </w:rPr>
              <w:t>不低于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配气仪准确度：不低于0.2级。</w:t>
            </w:r>
          </w:p>
        </w:tc>
        <w:tc>
          <w:tcPr>
            <w:tcW w:w="1278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调节控制标准浓度气体流量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8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4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减压阀、气路和标定罩</w:t>
            </w:r>
          </w:p>
        </w:tc>
        <w:tc>
          <w:tcPr>
            <w:tcW w:w="1755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使用与气体标准物质配套的减压阀、气路和标定罩材料，对被测气体应无吸附及化学反应。扩散式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应有专用标定罩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8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组成校准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的气路系统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1"/>
      </w:pPr>
      <w:r>
        <w:rPr>
          <w:rFonts w:hint="eastAsia"/>
        </w:rPr>
        <w:t xml:space="preserve"> </w:t>
      </w:r>
      <w:bookmarkStart w:id="123" w:name="_Toc12887"/>
      <w:r>
        <w:rPr>
          <w:rFonts w:hint="eastAsia"/>
        </w:rPr>
        <w:t>其他条件</w:t>
      </w:r>
      <w:bookmarkEnd w:id="123"/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</w:rPr>
        <w:t xml:space="preserve"> 外观与结构：</w:t>
      </w:r>
      <w:r>
        <w:rPr>
          <w:rFonts w:hint="eastAsia"/>
          <w:lang w:val="en-US" w:eastAsia="zh-CN"/>
        </w:rPr>
        <w:t>检测仪外观与结构要求应满足GB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24中5.1的规定</w:t>
      </w:r>
      <w:r>
        <w:rPr>
          <w:rFonts w:hint="eastAsia"/>
        </w:rPr>
        <w:t xml:space="preserve">。 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声光报警和控制输出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检测仪声光报警装置功能应满足GB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24中5.2.1.8和5.2.1.9的规定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检测仪的测量范围及报警点设定应符合</w:t>
      </w:r>
      <w:r>
        <w:t>GB/T 50493</w:t>
      </w:r>
      <w:r>
        <w:rPr>
          <w:rFonts w:hint="eastAsia"/>
        </w:rPr>
        <w:t>—</w:t>
      </w:r>
      <w:r>
        <w:t>2019</w:t>
      </w:r>
      <w:r>
        <w:rPr>
          <w:rFonts w:hint="eastAsia"/>
          <w:lang w:val="en-US" w:eastAsia="zh-CN"/>
        </w:rPr>
        <w:t>中5.5的规定。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无线通信</w:t>
      </w:r>
      <w:r>
        <w:rPr>
          <w:rFonts w:hint="eastAsia"/>
        </w:rPr>
        <w:t>：</w:t>
      </w:r>
      <w:r>
        <w:t>具有</w:t>
      </w:r>
      <w:r>
        <w:rPr>
          <w:rFonts w:hint="eastAsia"/>
          <w:lang w:val="en-US" w:eastAsia="zh-CN"/>
        </w:rPr>
        <w:t>无线通信</w:t>
      </w:r>
      <w:r>
        <w:t>功能的</w:t>
      </w:r>
      <w:r>
        <w:rPr>
          <w:rFonts w:hint="eastAsia"/>
          <w:lang w:val="en-US" w:eastAsia="zh-CN"/>
        </w:rPr>
        <w:t>检测仪，其无线通信功能要求应满足GB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24中5.3的规定</w:t>
      </w:r>
      <w:r>
        <w:rPr>
          <w:rFonts w:hint="eastAsia"/>
        </w:rPr>
        <w:t>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绝缘耐压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检测仪的绝缘电阻和耐压试验应满足GB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24中5.2.7的规定</w:t>
      </w:r>
      <w:r>
        <w:rPr>
          <w:rFonts w:hint="eastAsia"/>
        </w:rPr>
        <w:t>。</w:t>
      </w:r>
    </w:p>
    <w:p>
      <w:pPr>
        <w:pStyle w:val="42"/>
        <w:spacing w:before="120" w:after="120" w:line="360" w:lineRule="auto"/>
        <w:outlineLvl w:val="0"/>
      </w:pPr>
      <w:bookmarkStart w:id="124" w:name="_Toc193860216"/>
      <w:bookmarkStart w:id="125" w:name="_Toc23784668"/>
      <w:bookmarkStart w:id="126" w:name="_Toc23785566"/>
      <w:bookmarkStart w:id="127" w:name="_Toc23784569"/>
      <w:bookmarkStart w:id="128" w:name="_Toc193618955"/>
      <w:bookmarkStart w:id="129" w:name="_Toc193619058"/>
      <w:bookmarkStart w:id="130" w:name="_Toc193860035"/>
      <w:bookmarkStart w:id="131" w:name="_Toc29120"/>
      <w:bookmarkStart w:id="132" w:name="_Toc27992_WPSOffice_Level1"/>
      <w:bookmarkStart w:id="133" w:name="_Toc193860185"/>
      <w:bookmarkStart w:id="134" w:name="_Toc5198"/>
      <w:bookmarkStart w:id="135" w:name="_Toc193619100"/>
      <w:r>
        <w:rPr>
          <w:rFonts w:hint="eastAsia"/>
        </w:rPr>
        <w:t xml:space="preserve"> </w:t>
      </w:r>
      <w:bookmarkStart w:id="136" w:name="_Toc17323"/>
      <w:bookmarkStart w:id="137" w:name="_Toc4762"/>
      <w:bookmarkStart w:id="138" w:name="_Toc13626"/>
      <w:bookmarkStart w:id="139" w:name="_Toc8362"/>
      <w:bookmarkStart w:id="140" w:name="_Toc26894"/>
      <w:r>
        <w:t>校准方法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Start w:id="141" w:name="_Toc22164"/>
      <w:bookmarkStart w:id="142" w:name="_Toc13770"/>
      <w:bookmarkStart w:id="143" w:name="_Toc99355910"/>
      <w:bookmarkStart w:id="144" w:name="_Toc22745"/>
      <w:bookmarkStart w:id="145" w:name="_Toc23785567"/>
      <w:bookmarkStart w:id="146" w:name="_Toc24148"/>
      <w:bookmarkStart w:id="147" w:name="_Toc2454"/>
      <w:bookmarkStart w:id="148" w:name="_Toc22399"/>
      <w:bookmarkStart w:id="149" w:name="_Toc29706"/>
      <w:bookmarkStart w:id="150" w:name="_Toc23961"/>
      <w:bookmarkStart w:id="151" w:name="_Toc23784669"/>
      <w:bookmarkStart w:id="152" w:name="_Toc23784570"/>
      <w:bookmarkStart w:id="153" w:name="_Toc16602_WPSOffice_Level2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</w:pPr>
      <w:bookmarkStart w:id="154" w:name="_Toc8950"/>
      <w:r>
        <w:rPr>
          <w:rFonts w:hint="eastAsia"/>
        </w:rPr>
        <w:t>校准前</w:t>
      </w:r>
      <w:bookmarkEnd w:id="141"/>
      <w:r>
        <w:rPr>
          <w:rFonts w:hint="eastAsia"/>
          <w:lang w:val="en-US" w:eastAsia="zh-CN"/>
        </w:rPr>
        <w:t>准备</w:t>
      </w:r>
      <w:bookmarkEnd w:id="154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default" w:eastAsia="宋体"/>
          <w:lang w:val="en-US" w:eastAsia="zh-CN"/>
        </w:rPr>
      </w:pPr>
      <w:bookmarkStart w:id="155" w:name="_Toc842"/>
      <w:bookmarkStart w:id="156" w:name="_Toc1107"/>
      <w:bookmarkStart w:id="157" w:name="_Toc1942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1590675</wp:posOffset>
                </wp:positionV>
                <wp:extent cx="209550" cy="2571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85pt;margin-top:125.25pt;height:20.25pt;width:16.5pt;z-index:251684864;mso-width-relative:page;mso-height-relative:page;" filled="f" stroked="f" coordsize="21600,21600" o:gfxdata="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qDhS9sAAAALAQAADwAAAAAAAAABACAAAAAiAAAAZHJz&#10;L2Rvd25yZXYueG1sUEsBAhQAFAAAAAgAh07iQPoRhH8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1614805</wp:posOffset>
                </wp:positionV>
                <wp:extent cx="209550" cy="2571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127.15pt;height:20.25pt;width:16.5pt;z-index:251683840;mso-width-relative:page;mso-height-relative:page;" filled="f" stroked="f" coordsize="21600,21600" o:gfxdata="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tULL+3AAAAAsBAAAPAAAAAAAAAAEAIAAAACIAAABk&#10;cnMvZG93bnJldi54bWxQSwECFAAUAAAACACHTuJAa4SAo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1745615</wp:posOffset>
                </wp:positionV>
                <wp:extent cx="209550" cy="2571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1pt;margin-top:137.45pt;height:20.25pt;width:16.5pt;z-index:251682816;mso-width-relative:page;mso-height-relative:page;" filled="f" stroked="f" coordsize="21600,21600" o:gfxdata="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5Kam3AAAAAsBAAAPAAAAAAAAAAEAIAAAACIAAABk&#10;cnMvZG93bnJldi54bWxQSwECFAAUAAAACACHTuJAMftDS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每个校准项目前，</w:t>
      </w:r>
      <w:r>
        <w:rPr>
          <w:rFonts w:hint="eastAsia" w:ascii="Times New Roman" w:hAnsi="Times New Roman"/>
        </w:rPr>
        <w:t>若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使用说明书中有明确要求，则按使用说明书的要求调整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的零点和量程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</w:rPr>
        <w:t>若没有明确要求，则用零点气体和满量程</w:t>
      </w:r>
      <w:r>
        <w:rPr>
          <w:rFonts w:hint="eastAsia" w:ascii="Times New Roman" w:hAnsi="Times New Roman"/>
          <w:lang w:val="en-US" w:eastAsia="zh-CN"/>
        </w:rPr>
        <w:t>浓度</w:t>
      </w:r>
      <w:r>
        <w:rPr>
          <w:rFonts w:hint="eastAsia" w:ascii="Times New Roman" w:hAnsi="Times New Roman"/>
        </w:rPr>
        <w:t>80%的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调整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的零点和示值</w:t>
      </w:r>
      <w:r>
        <w:rPr>
          <w:rFonts w:hint="eastAsia" w:ascii="Times New Roman" w:hAnsi="Times New Roman"/>
          <w:lang w:eastAsia="zh-CN"/>
        </w:rPr>
        <w:t>。</w:t>
      </w:r>
      <w:r>
        <w:rPr>
          <w:rFonts w:hint="eastAsia" w:ascii="Times New Roman" w:hAnsi="Times New Roman"/>
          <w:lang w:val="en-US" w:eastAsia="zh-CN"/>
        </w:rPr>
        <w:t>通电</w:t>
      </w:r>
      <w:r>
        <w:rPr>
          <w:rFonts w:hint="eastAsia" w:ascii="Times New Roman" w:hAnsi="Times New Roman"/>
        </w:rPr>
        <w:t>预热</w:t>
      </w:r>
      <w:r>
        <w:rPr>
          <w:rFonts w:hint="eastAsia" w:ascii="Times New Roman" w:hAnsi="Times New Roman"/>
          <w:lang w:val="en-US" w:eastAsia="zh-CN"/>
        </w:rPr>
        <w:t>时间不少于</w:t>
      </w:r>
      <w:r>
        <w:rPr>
          <w:rFonts w:hint="eastAsia" w:ascii="Times New Roman" w:hAnsi="Times New Roman"/>
        </w:rPr>
        <w:t>1h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按图2所示连接气路。校准吸入式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时，</w:t>
      </w:r>
      <w:r>
        <w:rPr>
          <w:rFonts w:hint="eastAsia" w:ascii="Times New Roman" w:hAnsi="Times New Roman"/>
          <w:lang w:val="en-US" w:eastAsia="zh-CN"/>
        </w:rPr>
        <w:t>流量计流量应不小于检测仪规定流量的110%，并</w:t>
      </w:r>
      <w:r>
        <w:rPr>
          <w:rFonts w:hint="eastAsia" w:ascii="Times New Roman" w:hAnsi="Times New Roman"/>
        </w:rPr>
        <w:t>保证旁通流量计有气体放出</w:t>
      </w:r>
      <w:bookmarkEnd w:id="155"/>
      <w:bookmarkEnd w:id="156"/>
      <w:bookmarkEnd w:id="157"/>
      <w:bookmarkStart w:id="158" w:name="_Toc649"/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  <w:lang w:val="en-US" w:eastAsia="zh-CN"/>
        </w:rPr>
        <w:t>校准扩散式检测仪时，流量计流量应稳定在500mL/min，不需连接旁通流量计。</w:t>
      </w:r>
    </w:p>
    <w:p>
      <w:pPr>
        <w:pStyle w:val="43"/>
        <w:jc w:val="center"/>
        <w:rPr>
          <w:rFonts w:hint="eastAsia" w:eastAsia="宋体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610235</wp:posOffset>
                </wp:positionV>
                <wp:extent cx="209550" cy="2571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48.05pt;height:20.25pt;width:16.5pt;z-index:251685888;mso-width-relative:page;mso-height-relative:page;" filled="f" stroked="f" coordsize="21600,21600" o:gfxdata="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Y6yCDbAAAACgEAAA8AAAAAAAAAAQAgAAAAIgAAAGRy&#10;cy9kb3ducmV2LnhtbFBLAQIUABQAAAAIAIdO4kCgbkeX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240665</wp:posOffset>
                </wp:positionV>
                <wp:extent cx="209550" cy="2571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35pt;margin-top:18.95pt;height:20.25pt;width:16.5pt;z-index:251681792;mso-width-relative:page;mso-height-relative:page;" filled="f" stroked="f" coordsize="21600,21600" o:gfxdata="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mevpNoAAAAJAQAADwAAAAAAAAABACAAAAAiAAAAZHJz&#10;L2Rvd25yZXYueG1sUEsBAhQAFAAAAAgAh07iQJ58d6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644265" cy="1191260"/>
            <wp:effectExtent l="0" t="0" r="13335" b="8890"/>
            <wp:docPr id="34" name="图片 34" descr="34e0d9a8-3723-4ad0-b926-cfa2ea276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34e0d9a8-3723-4ad0-b926-cfa2ea2764a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1"/>
        <w:numPr>
          <w:ilvl w:val="1"/>
          <w:numId w:val="0"/>
        </w:numPr>
        <w:spacing w:before="120" w:after="120"/>
        <w:ind w:firstLine="360" w:firstLineChars="200"/>
        <w:jc w:val="center"/>
        <w:outlineLvl w:val="9"/>
        <w:rPr>
          <w:rFonts w:hint="eastAsia" w:ascii="Times New Roman" w:hAnsi="Times New Roman" w:cs="宋体"/>
          <w:sz w:val="18"/>
          <w:szCs w:val="18"/>
          <w:lang w:val="en-US" w:eastAsia="zh-CN"/>
        </w:rPr>
      </w:pPr>
      <w:bookmarkStart w:id="159" w:name="_Toc12528"/>
      <w:bookmarkStart w:id="160" w:name="_Toc30772"/>
      <w:r>
        <w:rPr>
          <w:rFonts w:hint="eastAsia" w:ascii="Times New Roman" w:hAnsi="Times New Roman" w:cs="宋体"/>
          <w:sz w:val="18"/>
          <w:szCs w:val="18"/>
        </w:rPr>
        <w:t xml:space="preserve">图2 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检测仪</w:t>
      </w:r>
      <w:r>
        <w:rPr>
          <w:rFonts w:hint="eastAsia" w:ascii="Times New Roman" w:hAnsi="Times New Roman" w:cs="宋体"/>
          <w:sz w:val="18"/>
          <w:szCs w:val="18"/>
        </w:rPr>
        <w:t>连接气路图</w:t>
      </w:r>
    </w:p>
    <w:p>
      <w:pPr>
        <w:pStyle w:val="51"/>
        <w:numPr>
          <w:ilvl w:val="1"/>
          <w:numId w:val="0"/>
        </w:numPr>
        <w:spacing w:before="120" w:after="120"/>
        <w:ind w:firstLine="360" w:firstLineChars="200"/>
        <w:jc w:val="center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1-标准/零点气体；2-气路；3-流量计；4-被校检测仪；5-旁通流量计</w:t>
      </w:r>
    </w:p>
    <w:bookmarkEnd w:id="158"/>
    <w:bookmarkEnd w:id="159"/>
    <w:bookmarkEnd w:id="160"/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61" w:name="_Toc14708"/>
      <w:r>
        <w:rPr>
          <w:rFonts w:hint="eastAsia"/>
        </w:rPr>
        <w:t>示值误差</w:t>
      </w:r>
      <w:bookmarkEnd w:id="161"/>
      <w:r>
        <w:rPr>
          <w:rFonts w:hint="eastAsia"/>
        </w:rPr>
        <w:t xml:space="preserve"> 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</w:pPr>
      <w:bookmarkStart w:id="162" w:name="_Toc3288"/>
      <w:bookmarkStart w:id="163" w:name="_Toc7395"/>
      <w:r>
        <w:rPr>
          <w:rFonts w:hint="eastAsia" w:ascii="Times New Roman" w:hAnsi="Times New Roman"/>
        </w:rPr>
        <w:t>分别通入</w:t>
      </w:r>
      <w:r>
        <w:rPr>
          <w:rFonts w:hint="eastAsia" w:ascii="Times New Roman" w:hAnsi="Times New Roman"/>
          <w:lang w:val="en-US" w:eastAsia="zh-CN"/>
        </w:rPr>
        <w:t>检测仪量程</w:t>
      </w:r>
      <w:r>
        <w:rPr>
          <w:rFonts w:hint="eastAsia" w:ascii="Times New Roman" w:hAnsi="Times New Roman"/>
        </w:rPr>
        <w:t>浓度20%、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0%、80%的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待检测仪读数稳定时，</w:t>
      </w:r>
      <w:r>
        <w:rPr>
          <w:rFonts w:hint="eastAsia" w:ascii="Times New Roman" w:hAnsi="Times New Roman"/>
        </w:rPr>
        <w:t>记录</w:t>
      </w:r>
      <w:r>
        <w:rPr>
          <w:rFonts w:hint="eastAsia" w:ascii="Times New Roman" w:hAnsi="Times New Roman"/>
          <w:lang w:val="en-US" w:eastAsia="zh-CN"/>
        </w:rPr>
        <w:t>显示值</w:t>
      </w:r>
      <w:r>
        <w:rPr>
          <w:rFonts w:hint="eastAsia" w:ascii="Times New Roman" w:hAnsi="Times New Roman"/>
        </w:rPr>
        <w:t>。</w:t>
      </w:r>
      <w:r>
        <w:rPr>
          <w:rFonts w:hint="eastAsia" w:ascii="Times New Roman" w:hAnsi="Times New Roman"/>
          <w:lang w:val="en-US" w:eastAsia="zh-CN"/>
        </w:rPr>
        <w:t>切换标准气体浓度时，必须先通入零点气体至检测仪显示值回零，</w:t>
      </w:r>
      <w:r>
        <w:rPr>
          <w:rFonts w:hint="eastAsia" w:ascii="Times New Roman" w:hAnsi="Times New Roman"/>
        </w:rPr>
        <w:t>每点重复测量3次，取3次的算术平均值作为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的示值。</w:t>
      </w:r>
      <w:r>
        <w:rPr>
          <w:rFonts w:hint="eastAsia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式（1）计算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/>
        </w:rPr>
        <w:t>各浓度点的示值误差。</w:t>
      </w:r>
      <w:bookmarkEnd w:id="162"/>
      <w:bookmarkEnd w:id="163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4" w:name="_Toc24434"/>
      <w:bookmarkStart w:id="165" w:name="_Toc11684"/>
      <w:bookmarkStart w:id="166" w:name="_Toc8989"/>
      <w:r>
        <w:rPr>
          <w:rFonts w:ascii="Times New Roman"/>
          <w:position w:val="-24"/>
          <w:vertAlign w:val="subscript"/>
        </w:rPr>
        <w:object>
          <v:shape id="_x0000_i1025" o:spt="75" type="#_x0000_t75" style="height:34pt;width:101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（1）</w:t>
      </w:r>
      <w:bookmarkEnd w:id="164"/>
      <w:bookmarkEnd w:id="165"/>
      <w:bookmarkEnd w:id="166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67" w:name="_Toc18559"/>
      <w:bookmarkStart w:id="168" w:name="_Toc18142"/>
      <w:bookmarkStart w:id="169" w:name="_Toc2736"/>
      <w:r>
        <w:rPr>
          <w:rFonts w:hint="eastAsia" w:ascii="Times New Roman" w:hAnsi="Times New Roman"/>
        </w:rPr>
        <w:t>式中：</w:t>
      </w:r>
      <w:bookmarkEnd w:id="167"/>
      <w:bookmarkEnd w:id="168"/>
      <w:bookmarkEnd w:id="169"/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26" o:spt="75" type="#_x0000_t75" style="height:13.95pt;width:20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3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/>
        </w:rPr>
        <w:t>示值</w:t>
      </w:r>
      <w:r>
        <w:t>误差；</w:t>
      </w:r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3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 w:ascii="宋体" w:hAnsi="宋体" w:cs="宋体"/>
        </w:rPr>
        <w:t>示值的算术平均值，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spacing w:line="300" w:lineRule="auto"/>
        <w:ind w:firstLine="480"/>
      </w:pPr>
      <w:r>
        <w:rPr>
          <w:position w:val="-12"/>
          <w:vertAlign w:val="subscript"/>
        </w:rPr>
        <w:object>
          <v:shape id="_x0000_i102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3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标准气体</w:t>
      </w:r>
      <w:r>
        <w:rPr>
          <w:rFonts w:hint="eastAsia"/>
        </w:rPr>
        <w:t>的浓度值，</w:t>
      </w:r>
      <w:r>
        <w:t>mol/mol</w:t>
      </w:r>
      <w:r>
        <w:rPr>
          <w:rFonts w:hint="eastAsia"/>
        </w:rP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2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/>
        </w:rPr>
        <w:t>量程，</w:t>
      </w:r>
      <w:r>
        <w:t>mol/mol</w:t>
      </w:r>
      <w:r>
        <w:rPr>
          <w:rFonts w:hint="eastAsia"/>
        </w:rPr>
        <w:t>。</w:t>
      </w:r>
    </w:p>
    <w:p>
      <w:pPr>
        <w:pStyle w:val="43"/>
        <w:ind w:firstLine="42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注：对具有RS485、无线传输或总线传输等数字信号传输功能且不带浓度显示的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检测仪</w:t>
      </w:r>
      <w:r>
        <w:rPr>
          <w:rFonts w:hint="eastAsia" w:ascii="仿宋" w:hAnsi="仿宋" w:eastAsia="仿宋" w:cs="仿宋"/>
          <w:sz w:val="21"/>
          <w:szCs w:val="21"/>
        </w:rPr>
        <w:t>，可采用计算机监控软件、报警控制器、制造单位提供的通讯器或专用通讯设备采集的显示读数作为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检测仪</w:t>
      </w:r>
      <w:r>
        <w:rPr>
          <w:rFonts w:hint="eastAsia" w:ascii="仿宋" w:hAnsi="仿宋" w:eastAsia="仿宋" w:cs="仿宋"/>
          <w:sz w:val="21"/>
          <w:szCs w:val="21"/>
        </w:rPr>
        <w:t>浓度示值。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对具有标准电信号变送输出功能且无浓度显示的检测仪，可不进行示值误差校准。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70" w:name="_Toc1954"/>
      <w:bookmarkStart w:id="171" w:name="_Toc20046"/>
      <w:r>
        <w:rPr>
          <w:rFonts w:hint="eastAsia"/>
          <w:lang w:val="en-US" w:eastAsia="zh-CN"/>
        </w:rPr>
        <w:t>示值响应时间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通入零点气体调零后，再通入满量程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0%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浓度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，读取稳定示值。然后通入零点气体使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回零，再通入上述浓度的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，同时启动秒表，待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示值达到上述稳定值的90%，停止秒表，记录秒表显示的时间。按上述方法重复测量3次，取3次测量结果的算术平均值作为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示值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响应时间。按公式（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）计算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示值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响应时间。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/>
          <w:position w:val="-24"/>
          <w:vertAlign w:val="subscript"/>
        </w:rPr>
        <w:object>
          <v:shape id="_x0000_i1030" o:spt="75" type="#_x0000_t75" style="height:53.85pt;width:54.9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</w:t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式中：</w:t>
      </w:r>
    </w:p>
    <w:p>
      <w:pPr>
        <w:pStyle w:val="43"/>
        <w:spacing w:line="300" w:lineRule="auto"/>
        <w:ind w:firstLine="480"/>
      </w:pPr>
      <w:r>
        <w:rPr>
          <w:rFonts w:hint="default" w:ascii="Times New Roman" w:hAnsi="Times New Roman" w:cs="Times New Roman"/>
          <w:i/>
          <w:iCs/>
          <w:lang w:val="en-US" w:eastAsia="zh-CN"/>
        </w:rPr>
        <w:t>n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6"/>
          <w:vertAlign w:val="subscript"/>
        </w:rPr>
        <w:object>
          <v:shape id="_x0000_i1031" o:spt="75" type="#_x0000_t75" style="height:13.95pt;width:11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4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示值响应时间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s</w:t>
      </w:r>
      <w:r>
        <w:t>；</w:t>
      </w:r>
    </w:p>
    <w:p>
      <w:pPr>
        <w:pStyle w:val="43"/>
        <w:spacing w:line="300" w:lineRule="auto"/>
        <w:ind w:firstLine="468" w:firstLineChars="19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position w:val="-12"/>
          <w:vertAlign w:val="subscript"/>
        </w:rPr>
        <w:object>
          <v:shape id="_x0000_i1032" o:spt="75" type="#_x0000_t75" style="height:18pt;width:12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4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</w:t>
      </w:r>
      <w:r>
        <w:rPr>
          <w:rFonts w:hint="eastAsia"/>
          <w:lang w:val="en-US" w:eastAsia="zh-CN"/>
        </w:rPr>
        <w:t>示值响应时间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。</w:t>
      </w:r>
    </w:p>
    <w:p>
      <w:pPr>
        <w:pStyle w:val="43"/>
      </w:pPr>
    </w:p>
    <w:p>
      <w:pPr>
        <w:pStyle w:val="51"/>
        <w:bidi w:val="0"/>
        <w:ind w:left="0" w:leftChars="0" w:firstLine="0" w:firstLineChars="0"/>
      </w:pPr>
      <w:r>
        <w:rPr>
          <w:rFonts w:hint="eastAsia"/>
          <w:lang w:val="en-US" w:eastAsia="zh-CN"/>
        </w:rPr>
        <w:t>报警误差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72" w:name="_Toc31453"/>
      <w:bookmarkStart w:id="173" w:name="_Toc11592"/>
      <w:bookmarkStart w:id="174" w:name="_Toc11478"/>
      <w:r>
        <w:rPr>
          <w:rFonts w:hint="eastAsia" w:ascii="Times New Roman" w:hAnsi="Times New Roman"/>
          <w:highlight w:val="none"/>
        </w:rPr>
        <w:t>通入</w:t>
      </w:r>
      <w:r>
        <w:rPr>
          <w:rFonts w:hint="eastAsia" w:ascii="Times New Roman" w:hAnsi="Times New Roman"/>
          <w:highlight w:val="none"/>
          <w:lang w:val="en-US" w:eastAsia="zh-CN"/>
        </w:rPr>
        <w:t>低于报警</w:t>
      </w:r>
      <w:r>
        <w:rPr>
          <w:rFonts w:hint="eastAsia" w:ascii="Times New Roman" w:hAnsi="Times New Roman"/>
          <w:lang w:val="en-US" w:eastAsia="zh-CN"/>
        </w:rPr>
        <w:t>点浓度的标准气体，然后调整配气仪配气比例（每次调节间隔不超过2%），逐渐提高标准气体浓度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直至检测仪发生</w:t>
      </w:r>
      <w:r>
        <w:rPr>
          <w:rFonts w:hint="eastAsia" w:ascii="Times New Roman" w:hAnsi="Times New Roman"/>
        </w:rPr>
        <w:t>报警，记录</w:t>
      </w:r>
      <w:r>
        <w:rPr>
          <w:rFonts w:hint="eastAsia" w:ascii="Times New Roman" w:hAnsi="Times New Roman"/>
          <w:lang w:val="en-US" w:eastAsia="zh-CN"/>
        </w:rPr>
        <w:t>此时</w:t>
      </w:r>
      <w:r>
        <w:rPr>
          <w:rFonts w:hint="eastAsia" w:ascii="Times New Roman" w:hAnsi="Times New Roman"/>
        </w:rPr>
        <w:t>的</w:t>
      </w:r>
      <w:r>
        <w:rPr>
          <w:rFonts w:hint="eastAsia" w:ascii="Times New Roman" w:hAnsi="Times New Roman"/>
          <w:lang w:val="en-US" w:eastAsia="zh-CN"/>
        </w:rPr>
        <w:t>标准气体浓度，即</w:t>
      </w:r>
      <w:r>
        <w:rPr>
          <w:rFonts w:hint="eastAsia" w:ascii="Times New Roman" w:hAnsi="Times New Roman"/>
        </w:rPr>
        <w:t>为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的报警值。</w:t>
      </w:r>
      <w:bookmarkEnd w:id="172"/>
      <w:bookmarkStart w:id="175" w:name="_Toc28981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的报警误差。</w:t>
      </w:r>
      <w:bookmarkEnd w:id="173"/>
      <w:bookmarkEnd w:id="174"/>
      <w:bookmarkEnd w:id="175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76" w:name="_Toc18218"/>
      <w:bookmarkStart w:id="177" w:name="_Toc11994"/>
      <w:r>
        <w:rPr>
          <w:rFonts w:hint="eastAsia" w:ascii="Times New Roman" w:hAnsi="Times New Roman"/>
        </w:rPr>
        <w:t xml:space="preserve"> </w:t>
      </w:r>
      <w:bookmarkStart w:id="178" w:name="_Toc20469"/>
      <w:r>
        <w:rPr>
          <w:rFonts w:ascii="Times New Roman"/>
          <w:position w:val="-30"/>
          <w:vertAlign w:val="subscript"/>
        </w:rPr>
        <w:object>
          <v:shape id="_x0000_i1033" o:spt="75" type="#_x0000_t75" style="height:34pt;width:10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4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 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</w:t>
      </w:r>
      <w:bookmarkEnd w:id="176"/>
      <w:bookmarkEnd w:id="177"/>
      <w:bookmarkEnd w:id="178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79" w:name="_Toc17739"/>
      <w:bookmarkStart w:id="180" w:name="_Toc18625"/>
      <w:bookmarkStart w:id="181" w:name="_Toc16839"/>
      <w:r>
        <w:rPr>
          <w:rFonts w:hint="eastAsia" w:ascii="Times New Roman" w:hAnsi="Times New Roman"/>
        </w:rPr>
        <w:t>式中：</w:t>
      </w:r>
      <w:bookmarkEnd w:id="179"/>
      <w:bookmarkEnd w:id="180"/>
      <w:bookmarkEnd w:id="181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20" w:firstLineChars="0"/>
        <w:jc w:val="left"/>
        <w:textAlignment w:val="auto"/>
      </w:pPr>
      <w:r>
        <w:rPr>
          <w:position w:val="-12"/>
          <w:vertAlign w:val="subscript"/>
        </w:rPr>
        <w:object>
          <v:shape id="_x0000_i1034" o:spt="75" type="#_x0000_t75" style="height:18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报警误差；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80"/>
        <w:textAlignment w:val="auto"/>
      </w:pPr>
      <w:r>
        <w:rPr>
          <w:rFonts w:hint="eastAsia"/>
          <w:position w:val="-6"/>
        </w:rPr>
        <w:object>
          <v:shape id="_x0000_i1035" o:spt="75" type="#_x0000_t75" style="height:13.95pt;width:12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8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检测仪报警值</w:t>
      </w:r>
      <w:r>
        <w:rPr>
          <w:rFonts w:hint="eastAsia" w:ascii="宋体" w:hAnsi="宋体" w:cs="宋体"/>
        </w:rPr>
        <w:t>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20" w:firstLineChars="0"/>
        <w:jc w:val="left"/>
        <w:textAlignment w:val="auto"/>
      </w:pPr>
      <w:r>
        <w:rPr>
          <w:position w:val="-12"/>
          <w:vertAlign w:val="subscript"/>
        </w:rPr>
        <w:object>
          <v:shape id="_x0000_i1036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5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报警设定值，</w:t>
      </w:r>
      <w:r>
        <w:t>mol/mol</w:t>
      </w:r>
      <w:r>
        <w:rPr>
          <w:rFonts w:hint="eastAsia"/>
        </w:rPr>
        <w:t>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  <w:lang w:val="en-US" w:eastAsia="zh-CN"/>
        </w:rPr>
        <w:t>报警响应时间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通入零点气体调零后，再通入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浓度为报警设定值1.5倍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，同时启动秒表，待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发生报警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，停止秒表，记录秒表显示的时间。按上述方法重复测量3次，取3次测量结果的算术平均值作为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响应时间。按公式（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）计算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响应时间。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/>
          <w:position w:val="-24"/>
          <w:vertAlign w:val="subscript"/>
        </w:rPr>
        <w:object>
          <v:shape id="_x0000_i1037" o:spt="75" type="#_x0000_t75" style="height:53.85pt;width:62.8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52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</w:t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式中：</w:t>
      </w:r>
    </w:p>
    <w:p>
      <w:pPr>
        <w:pStyle w:val="43"/>
        <w:spacing w:line="300" w:lineRule="auto"/>
        <w:ind w:firstLine="480"/>
      </w:pPr>
      <w:r>
        <w:rPr>
          <w:rFonts w:hint="default" w:ascii="Times New Roman" w:hAnsi="Times New Roman" w:cs="Times New Roman"/>
          <w:i/>
          <w:iCs/>
          <w:lang w:val="en-US" w:eastAsia="zh-CN"/>
        </w:rPr>
        <w:t>n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4"/>
          <w:vertAlign w:val="subscript"/>
        </w:rPr>
        <w:object>
          <v:shape id="_x0000_i1038" o:spt="75" type="#_x0000_t75" style="height:13pt;width:13.9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报警响应时间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s</w:t>
      </w:r>
      <w: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12"/>
          <w:vertAlign w:val="subscript"/>
        </w:rPr>
        <w:object>
          <v:shape id="_x0000_i1039" o:spt="75" type="#_x0000_t75" style="height:18pt;width:16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5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</w:t>
      </w:r>
      <w:r>
        <w:rPr>
          <w:rFonts w:hint="eastAsia"/>
          <w:lang w:val="en-US" w:eastAsia="zh-CN"/>
        </w:rPr>
        <w:t>报警响应时间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>重复性</w:t>
      </w:r>
      <w:bookmarkEnd w:id="170"/>
      <w:bookmarkEnd w:id="171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82" w:name="_Toc27188"/>
      <w:bookmarkStart w:id="183" w:name="_Toc2129"/>
      <w:bookmarkStart w:id="184" w:name="_Toc25640"/>
      <w:r>
        <w:rPr>
          <w:rFonts w:hint="eastAsia" w:ascii="Times New Roman" w:hAnsi="Times New Roman"/>
        </w:rPr>
        <w:t>通入浓度为满量程</w:t>
      </w:r>
      <w:r>
        <w:rPr>
          <w:rFonts w:hint="eastAsia" w:ascii="Times New Roman" w:hAnsi="Times New Roman"/>
          <w:lang w:val="en-US" w:eastAsia="zh-CN"/>
        </w:rPr>
        <w:t>浓度5</w:t>
      </w:r>
      <w:r>
        <w:rPr>
          <w:rFonts w:hint="eastAsia" w:ascii="Times New Roman" w:hAnsi="Times New Roman"/>
        </w:rPr>
        <w:t>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，待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示值稳定后，记录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示值。然后通入零点气体使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回零，再通入上述浓度的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，重复测量6次。重复性以单次测量的相对标准偏差来表示。</w:t>
      </w:r>
      <w:bookmarkEnd w:id="182"/>
      <w:bookmarkStart w:id="185" w:name="_Toc15759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</w:t>
      </w:r>
      <w:r>
        <w:rPr>
          <w:rFonts w:hint="default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）</w:t>
      </w:r>
      <w:r>
        <w:rPr>
          <w:rFonts w:hint="eastAsia" w:ascii="Times New Roman" w:hAnsi="Times New Roman"/>
        </w:rPr>
        <w:t>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的重复性。</w:t>
      </w:r>
      <w:bookmarkEnd w:id="183"/>
      <w:bookmarkEnd w:id="184"/>
      <w:bookmarkEnd w:id="185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86" w:name="_Toc328"/>
      <w:bookmarkStart w:id="187" w:name="_Toc31980"/>
      <w:bookmarkStart w:id="188" w:name="_Toc13756"/>
      <w:r>
        <w:rPr>
          <w:rFonts w:ascii="Times New Roman"/>
          <w:position w:val="-26"/>
        </w:rPr>
        <w:object>
          <v:shape id="_x0000_i1040" o:spt="75" type="#_x0000_t75" style="height:52pt;width:144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5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(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)</w:t>
      </w:r>
      <w:bookmarkEnd w:id="186"/>
      <w:bookmarkEnd w:id="187"/>
      <w:bookmarkEnd w:id="188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89" w:name="_Toc5677"/>
      <w:bookmarkStart w:id="190" w:name="_Toc20558"/>
      <w:bookmarkStart w:id="191" w:name="_Toc14362"/>
      <w:r>
        <w:rPr>
          <w:rFonts w:hint="eastAsia" w:ascii="Times New Roman" w:hAnsi="Times New Roman"/>
        </w:rPr>
        <w:t>式中：</w:t>
      </w:r>
      <w:bookmarkEnd w:id="189"/>
      <w:bookmarkEnd w:id="190"/>
      <w:bookmarkEnd w:id="191"/>
    </w:p>
    <w:p>
      <w:pPr>
        <w:pStyle w:val="43"/>
        <w:spacing w:line="300" w:lineRule="auto"/>
        <w:ind w:firstLine="468" w:firstLineChars="195"/>
      </w:pPr>
      <w:r>
        <w:rPr>
          <w:position w:val="-10"/>
          <w:vertAlign w:val="subscript"/>
        </w:rPr>
        <w:object>
          <v:shape id="_x0000_i1041" o:spt="75" type="#_x0000_t75" style="height:17pt;width:13.9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的重复性</w:t>
      </w:r>
      <w:r>
        <w:t>；</w:t>
      </w:r>
    </w:p>
    <w:p>
      <w:pPr>
        <w:pStyle w:val="43"/>
        <w:spacing w:line="300" w:lineRule="auto"/>
        <w:ind w:firstLine="480"/>
        <w:rPr>
          <w:rFonts w:hint="eastAsia" w:ascii="宋体" w:hAnsi="宋体" w:cs="宋体"/>
        </w:rPr>
      </w:pPr>
      <w:r>
        <w:rPr>
          <w:position w:val="-6"/>
          <w:vertAlign w:val="subscript"/>
        </w:rPr>
        <w:object>
          <v:shape id="_x0000_i1042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6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示值的算术平均值，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spacing w:line="300" w:lineRule="auto"/>
        <w:ind w:firstLine="48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微软雅黑" w:hAnsi="微软雅黑" w:eastAsia="微软雅黑" w:cs="微软雅黑"/>
          <w:position w:val="-6"/>
        </w:rPr>
        <w:object>
          <v:shape id="_x0000_i1043" o:spt="75" type="#_x0000_t75" style="height:11pt;width:10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6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  <w:rPr>
          <w:highlight w:val="none"/>
        </w:rPr>
      </w:pPr>
      <w:r>
        <w:rPr>
          <w:position w:val="-12"/>
          <w:vertAlign w:val="subscript"/>
        </w:rPr>
        <w:object>
          <v:shape id="_x0000_i1044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6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次测量的示值，</w:t>
      </w:r>
      <w:r>
        <w:t>mol/mol</w:t>
      </w:r>
      <w:r>
        <w:rPr>
          <w:rFonts w:hint="eastAsia"/>
        </w:rPr>
        <w:t>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92" w:name="_Toc5272"/>
      <w:bookmarkStart w:id="193" w:name="_Toc10357"/>
      <w:bookmarkStart w:id="194" w:name="_Toc17481"/>
      <w:r>
        <w:rPr>
          <w:rFonts w:hint="eastAsia"/>
        </w:rPr>
        <w:t>变送输出</w:t>
      </w:r>
      <w:bookmarkEnd w:id="192"/>
      <w:bookmarkEnd w:id="193"/>
      <w:r>
        <w:rPr>
          <w:rFonts w:hint="eastAsia"/>
        </w:rPr>
        <w:t>误差</w:t>
      </w:r>
      <w:bookmarkEnd w:id="194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95" w:name="_Toc30984"/>
      <w:bookmarkStart w:id="196" w:name="_Toc24395"/>
      <w:bookmarkStart w:id="197" w:name="_Toc7733"/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变送输出误差的校准可与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示值误差的校准同时进行，按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说明书</w:t>
      </w:r>
      <w:r>
        <w:rPr>
          <w:rFonts w:hint="eastAsia" w:ascii="Times New Roman" w:hAnsi="Times New Roman"/>
          <w:lang w:val="en-US" w:eastAsia="zh-CN"/>
        </w:rPr>
        <w:t>连接电气线路</w:t>
      </w:r>
      <w:r>
        <w:rPr>
          <w:rFonts w:hint="eastAsia" w:ascii="Times New Roman" w:hAnsi="Times New Roman"/>
        </w:rPr>
        <w:t>。进行示值误差校准过程中，读取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稳定示值的同时用</w:t>
      </w:r>
      <w:r>
        <w:rPr>
          <w:rFonts w:hint="eastAsia" w:ascii="Times New Roman" w:hAnsi="Times New Roman"/>
          <w:lang w:val="en-US" w:eastAsia="zh-CN"/>
        </w:rPr>
        <w:t>数字多用表</w:t>
      </w:r>
      <w:r>
        <w:rPr>
          <w:rFonts w:hint="eastAsia" w:ascii="Times New Roman" w:hAnsi="Times New Roman"/>
        </w:rPr>
        <w:t>测量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变送输出接线端的</w:t>
      </w:r>
      <w:r>
        <w:rPr>
          <w:rFonts w:hint="eastAsia" w:ascii="Times New Roman" w:hAnsi="Times New Roman"/>
          <w:lang w:val="en-US" w:eastAsia="zh-CN"/>
        </w:rPr>
        <w:t>标准电信号</w:t>
      </w:r>
      <w:r>
        <w:rPr>
          <w:rFonts w:hint="eastAsia" w:ascii="Times New Roman" w:hAnsi="Times New Roman"/>
        </w:rPr>
        <w:t>值。</w:t>
      </w:r>
      <w:bookmarkEnd w:id="195"/>
      <w:bookmarkStart w:id="198" w:name="_Toc31630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报警仪</w:t>
      </w:r>
      <w:r>
        <w:rPr>
          <w:rFonts w:hint="eastAsia" w:ascii="Times New Roman" w:hAnsi="Times New Roman"/>
        </w:rPr>
        <w:t>的变送输出误差。</w:t>
      </w:r>
      <w:bookmarkEnd w:id="196"/>
      <w:bookmarkEnd w:id="197"/>
      <w:bookmarkEnd w:id="198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jc w:val="right"/>
        <w:outlineLvl w:val="9"/>
        <w:rPr>
          <w:rFonts w:ascii="Times New Roman" w:hAnsi="Times New Roman"/>
        </w:rPr>
      </w:pPr>
      <w:bookmarkStart w:id="199" w:name="_Toc29919"/>
      <w:bookmarkStart w:id="200" w:name="_Toc10394"/>
      <w:bookmarkStart w:id="201" w:name="_Toc24172"/>
      <w:r>
        <w:rPr>
          <w:rFonts w:ascii="Times New Roman"/>
          <w:position w:val="-30"/>
          <w:vertAlign w:val="subscript"/>
        </w:rPr>
        <w:object>
          <v:shape id="_x0000_i1045" o:spt="75" type="#_x0000_t75" style="height:37pt;width:99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6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</w:t>
      </w:r>
      <w:bookmarkEnd w:id="199"/>
      <w:bookmarkEnd w:id="200"/>
      <w:bookmarkEnd w:id="201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02" w:name="_Toc10842"/>
      <w:bookmarkStart w:id="203" w:name="_Toc14672"/>
      <w:bookmarkStart w:id="204" w:name="_Toc18612"/>
      <w:r>
        <w:rPr>
          <w:rFonts w:hint="eastAsia" w:ascii="Times New Roman" w:hAnsi="Times New Roman"/>
        </w:rPr>
        <w:t>式中：</w:t>
      </w:r>
      <w:bookmarkEnd w:id="202"/>
      <w:bookmarkEnd w:id="203"/>
      <w:bookmarkEnd w:id="204"/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46" o:spt="75" type="#_x0000_t75" style="height:13pt;width:18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7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</w:t>
      </w:r>
      <w:r>
        <w:t>误差；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baseline"/>
        </w:rPr>
        <w:object>
          <v:shape id="_x0000_i1047" o:spt="75" type="#_x0000_t75" style="height:14.25pt;width:12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7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变送输出示值的算术平均值，mA或V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12"/>
          <w:vertAlign w:val="subscript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7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标准气体浓度值的理论变送输出值，mA或V；</w:t>
      </w:r>
    </w:p>
    <w:p>
      <w:pPr>
        <w:pStyle w:val="43"/>
        <w:spacing w:line="300" w:lineRule="auto"/>
        <w:ind w:firstLine="480"/>
        <w:rPr>
          <w:highlight w:val="none"/>
        </w:rPr>
      </w:pPr>
      <w:r>
        <w:rPr>
          <w:position w:val="-12"/>
          <w:highlight w:val="none"/>
          <w:vertAlign w:val="subscript"/>
        </w:rPr>
        <w:object>
          <v:shape id="_x0000_i1049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7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highlight w:val="none"/>
        </w:rPr>
        <w:t>——</w:t>
      </w:r>
      <w:r>
        <w:rPr>
          <w:rFonts w:hint="eastAsia"/>
          <w:highlight w:val="none"/>
          <w:lang w:val="en-US" w:eastAsia="zh-CN"/>
        </w:rPr>
        <w:t>检测仪</w:t>
      </w:r>
      <w:r>
        <w:rPr>
          <w:rFonts w:hint="eastAsia"/>
          <w:highlight w:val="none"/>
        </w:rPr>
        <w:t>变送输出的满量程，mA或V。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205" w:name="_Toc6819"/>
      <w:bookmarkStart w:id="206" w:name="_Toc15463"/>
      <w:r>
        <w:rPr>
          <w:rFonts w:hint="eastAsia"/>
          <w:lang w:val="en-US" w:eastAsia="zh-CN"/>
        </w:rPr>
        <w:t>仪器</w:t>
      </w:r>
      <w:r>
        <w:rPr>
          <w:rFonts w:hint="eastAsia"/>
        </w:rPr>
        <w:t>漂移</w:t>
      </w:r>
      <w:bookmarkEnd w:id="205"/>
      <w:bookmarkEnd w:id="20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  <w:highlight w:val="none"/>
        </w:rPr>
      </w:pPr>
      <w:bookmarkStart w:id="207" w:name="_Toc13347"/>
      <w:bookmarkStart w:id="208" w:name="_Toc22069"/>
      <w:bookmarkStart w:id="209" w:name="_Toc27481"/>
      <w:r>
        <w:rPr>
          <w:rFonts w:hint="eastAsia"/>
          <w:highlight w:val="none"/>
          <w:lang w:val="en-US" w:eastAsia="zh-CN"/>
        </w:rPr>
        <w:t>检测仪</w:t>
      </w:r>
      <w:r>
        <w:rPr>
          <w:rFonts w:hint="eastAsia" w:ascii="Times New Roman" w:hAnsi="Times New Roman"/>
          <w:highlight w:val="none"/>
        </w:rPr>
        <w:t>的</w:t>
      </w:r>
      <w:r>
        <w:rPr>
          <w:rFonts w:hint="eastAsia" w:ascii="Times New Roman" w:hAnsi="Times New Roman"/>
          <w:highlight w:val="none"/>
          <w:lang w:val="en-US" w:eastAsia="zh-CN"/>
        </w:rPr>
        <w:t>仪器</w:t>
      </w:r>
      <w:r>
        <w:rPr>
          <w:rFonts w:hint="eastAsia" w:ascii="Times New Roman" w:hAnsi="Times New Roman"/>
          <w:highlight w:val="none"/>
        </w:rPr>
        <w:t>漂移包括零点漂移和量程漂移。</w:t>
      </w:r>
      <w:bookmarkEnd w:id="207"/>
      <w:bookmarkEnd w:id="208"/>
      <w:bookmarkEnd w:id="209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10" w:name="_Toc14536"/>
      <w:bookmarkStart w:id="211" w:name="_Toc14115"/>
      <w:bookmarkStart w:id="212" w:name="_Toc19428"/>
      <w:r>
        <w:rPr>
          <w:rFonts w:hint="eastAsia" w:ascii="Times New Roman" w:hAnsi="Times New Roman"/>
        </w:rPr>
        <w:t>通入零点气体调零，记录</w:t>
      </w:r>
      <w:r>
        <w:rPr>
          <w:rFonts w:hint="eastAsia"/>
          <w:lang w:val="en-US" w:eastAsia="zh-CN"/>
        </w:rPr>
        <w:t>检测仪首次</w:t>
      </w:r>
      <w:r>
        <w:rPr>
          <w:rFonts w:hint="eastAsia" w:ascii="Times New Roman" w:hAnsi="Times New Roman"/>
          <w:lang w:val="en-US" w:eastAsia="zh-CN"/>
        </w:rPr>
        <w:t>零点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78">
            <o:LockedField>false</o:LockedField>
          </o:OLEObject>
        </w:object>
      </w:r>
      <w:r>
        <w:rPr>
          <w:rFonts w:hint="eastAsia" w:ascii="Times New Roman" w:hAnsi="Times New Roman"/>
        </w:rPr>
        <w:t>，再通入满量程</w:t>
      </w:r>
      <w:r>
        <w:rPr>
          <w:rFonts w:hint="eastAsia" w:ascii="Times New Roman" w:hAnsi="Times New Roman"/>
          <w:lang w:val="en-US" w:eastAsia="zh-CN"/>
        </w:rPr>
        <w:t>浓度8</w:t>
      </w:r>
      <w:r>
        <w:rPr>
          <w:rFonts w:hint="eastAsia" w:ascii="Times New Roman" w:hAnsi="Times New Roman"/>
        </w:rPr>
        <w:t>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，记录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仪调零后的</w:t>
      </w:r>
      <w:r>
        <w:rPr>
          <w:rFonts w:hint="eastAsia" w:ascii="Times New Roman" w:hAnsi="Times New Roman"/>
          <w:lang w:val="en-US" w:eastAsia="zh-CN"/>
        </w:rPr>
        <w:t>首次浓度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1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80">
            <o:LockedField>false</o:LockedField>
          </o:OLEObject>
        </w:objec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然后</w:t>
      </w:r>
      <w:r>
        <w:rPr>
          <w:rFonts w:hint="eastAsia" w:ascii="Times New Roman" w:hAnsi="Times New Roman"/>
        </w:rPr>
        <w:t>撤去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，通入零点气体，待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回零后撤去零点气体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此为一个步骤</w:t>
      </w:r>
      <w:r>
        <w:rPr>
          <w:rFonts w:hint="eastAsia" w:ascii="Times New Roman" w:hAnsi="Times New Roman"/>
        </w:rPr>
        <w:t>。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连续运行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h，每隔1</w:t>
      </w:r>
      <w:r>
        <w:rPr>
          <w:rFonts w:hint="eastAsia" w:ascii="Times New Roman" w:hAnsi="Times New Roman"/>
          <w:lang w:val="en-US" w:eastAsia="zh-CN"/>
        </w:rPr>
        <w:t>0min重复上述步骤一次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分别</w:t>
      </w:r>
      <w:r>
        <w:rPr>
          <w:rFonts w:hint="eastAsia" w:ascii="Times New Roman" w:hAnsi="Times New Roman"/>
        </w:rPr>
        <w:t>记录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</w:t>
      </w:r>
      <w:r>
        <w:rPr>
          <w:rFonts w:hint="eastAsia" w:ascii="Times New Roman" w:hAnsi="Times New Roman"/>
          <w:lang w:val="en-US" w:eastAsia="zh-CN"/>
        </w:rPr>
        <w:t>稳定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2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82">
            <o:LockedField>false</o:LockedField>
          </o:OLEObject>
        </w:object>
      </w:r>
      <w:r>
        <w:rPr>
          <w:rFonts w:hint="eastAsia" w:ascii="Times New Roman" w:hAnsi="Times New Roman"/>
          <w:lang w:val="en-US" w:eastAsia="zh-CN"/>
        </w:rPr>
        <w:t>和</w:t>
      </w:r>
      <w:r>
        <w:rPr>
          <w:rFonts w:ascii="Times New Roman"/>
          <w:position w:val="-12"/>
          <w:vertAlign w:val="subscript"/>
        </w:rPr>
        <w:object>
          <v:shape id="_x0000_i105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84">
            <o:LockedField>false</o:LockedField>
          </o:OLEObject>
        </w:object>
      </w:r>
      <w:r>
        <w:rPr>
          <w:rFonts w:hint="eastAsia" w:ascii="Times New Roman" w:hAnsi="Times New Roman"/>
        </w:rPr>
        <w:t>。</w:t>
      </w:r>
      <w:bookmarkEnd w:id="210"/>
      <w:bookmarkStart w:id="213" w:name="_Toc32165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）计算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的零点漂移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取绝对值最大的</w:t>
      </w:r>
      <w:r>
        <w:rPr>
          <w:rFonts w:ascii="Times New Roman"/>
          <w:position w:val="-12"/>
          <w:vertAlign w:val="subscript"/>
        </w:rPr>
        <w:object>
          <v:shape id="_x0000_i1054" o:spt="75" type="#_x0000_t75" style="height:18pt;width:2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86">
            <o:LockedField>false</o:LockedField>
          </o:OLEObject>
        </w:object>
      </w:r>
      <w:r>
        <w:rPr>
          <w:rFonts w:hint="eastAsia" w:ascii="Times New Roman" w:hAnsi="Times New Roman"/>
        </w:rPr>
        <w:t>作为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的零点漂移。</w:t>
      </w:r>
      <w:bookmarkEnd w:id="211"/>
      <w:bookmarkEnd w:id="212"/>
      <w:bookmarkEnd w:id="213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214" w:name="_Toc29219"/>
      <w:bookmarkStart w:id="215" w:name="_Toc16852"/>
      <w:bookmarkStart w:id="216" w:name="_Toc30791"/>
      <w:r>
        <w:rPr>
          <w:rFonts w:hint="eastAsia" w:hAnsi="宋体" w:cs="宋体"/>
          <w:position w:val="-24"/>
        </w:rPr>
        <w:object>
          <v:shape id="_x0000_i1055" o:spt="75" type="#_x0000_t75" style="height:31pt;width:98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8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   (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)</w:t>
      </w:r>
      <w:bookmarkEnd w:id="214"/>
      <w:bookmarkEnd w:id="215"/>
      <w:bookmarkEnd w:id="21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17" w:name="_Toc32763"/>
      <w:bookmarkStart w:id="218" w:name="_Toc5401"/>
      <w:bookmarkStart w:id="219" w:name="_Toc9538"/>
      <w:r>
        <w:rPr>
          <w:rFonts w:hint="eastAsia" w:ascii="Times New Roman" w:hAnsi="Times New Roman"/>
        </w:rPr>
        <w:t>式中：</w:t>
      </w:r>
      <w:bookmarkEnd w:id="217"/>
    </w:p>
    <w:p>
      <w:pPr>
        <w:pStyle w:val="43"/>
        <w:ind w:firstLine="480"/>
      </w:pPr>
      <w:r>
        <w:rPr>
          <w:position w:val="-12"/>
          <w:vertAlign w:val="subscript"/>
        </w:rPr>
        <w:object>
          <v:shape id="_x0000_i1056" o:spt="75" type="#_x0000_t75" style="height:18pt;width:21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9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零点漂移；</w:t>
      </w:r>
    </w:p>
    <w:p>
      <w:pPr>
        <w:pStyle w:val="43"/>
        <w:ind w:firstLine="480"/>
      </w:pPr>
      <w:r>
        <w:rPr>
          <w:position w:val="-12"/>
          <w:vertAlign w:val="subscript"/>
        </w:rPr>
        <w:object>
          <v:shape id="_x0000_i1057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9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次测量的零点示值，</w:t>
      </w:r>
      <w:r>
        <w:t>mol/mol</w:t>
      </w:r>
      <w:r>
        <w:rPr>
          <w:rFonts w:hint="eastAsia"/>
        </w:rPr>
        <w:t>；</w:t>
      </w:r>
    </w:p>
    <w:p>
      <w:pPr>
        <w:pStyle w:val="43"/>
        <w:ind w:firstLine="480"/>
        <w:rPr>
          <w:rFonts w:hint="eastAsia"/>
        </w:rPr>
      </w:pPr>
      <w:r>
        <w:rPr>
          <w:position w:val="-12"/>
          <w:vertAlign w:val="subscript"/>
        </w:rPr>
        <w:object>
          <v:shape id="_x0000_i105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93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调零后的首次零点示值，</w:t>
      </w:r>
      <w:r>
        <w:t>mol/mol</w:t>
      </w:r>
      <w:r>
        <w:rPr>
          <w:rFonts w:hint="eastAsia"/>
        </w:rPr>
        <w:t>；</w:t>
      </w:r>
    </w:p>
    <w:p>
      <w:pPr>
        <w:pStyle w:val="51"/>
        <w:numPr>
          <w:ilvl w:val="1"/>
          <w:numId w:val="0"/>
        </w:numPr>
        <w:spacing w:before="0" w:beforeLines="0" w:after="0" w:afterLines="0" w:line="300" w:lineRule="auto"/>
        <w:ind w:firstLine="480" w:firstLineChars="200"/>
        <w:outlineLvl w:val="9"/>
        <w:rPr>
          <w:rFonts w:ascii="Times New Roman" w:hAnsi="Times New Roman"/>
        </w:rPr>
      </w:pPr>
      <w:bookmarkStart w:id="220" w:name="_Toc3100"/>
      <w:r>
        <w:rPr>
          <w:rFonts w:ascii="Times New Roman"/>
          <w:position w:val="-4"/>
          <w:vertAlign w:val="subscript"/>
        </w:rPr>
        <w:object>
          <v:shape id="_x0000_i105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9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/>
        </w:rPr>
        <w:t>满量程</w:t>
      </w:r>
      <w:r>
        <w:rPr>
          <w:rFonts w:hint="eastAsia"/>
        </w:rPr>
        <w:t>，</w:t>
      </w:r>
      <w:r>
        <w:rPr>
          <w:rFonts w:ascii="Times New Roman" w:hAnsi="Times New Roman"/>
        </w:rPr>
        <w:t>mol/mol</w:t>
      </w:r>
      <w:r>
        <w:rPr>
          <w:rFonts w:hint="eastAsia" w:ascii="Times New Roman" w:hAnsi="Times New Roman"/>
        </w:rPr>
        <w:t>。</w:t>
      </w:r>
      <w:bookmarkEnd w:id="218"/>
      <w:bookmarkEnd w:id="219"/>
      <w:bookmarkEnd w:id="220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21" w:name="_Toc26399"/>
      <w:bookmarkStart w:id="222" w:name="_Toc28273"/>
      <w:bookmarkStart w:id="223" w:name="_Toc30202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的量程漂移</w:t>
      </w:r>
      <w:bookmarkEnd w:id="221"/>
      <w:bookmarkEnd w:id="222"/>
      <w:bookmarkEnd w:id="223"/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取绝对值最大的</w:t>
      </w:r>
      <w:r>
        <w:rPr>
          <w:rFonts w:ascii="Times New Roman"/>
          <w:position w:val="-12"/>
          <w:vertAlign w:val="subscript"/>
        </w:rPr>
        <w:object>
          <v:shape id="_x0000_i1060" o:spt="75" type="#_x0000_t75" style="height:18pt;width:20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96">
            <o:LockedField>false</o:LockedField>
          </o:OLEObject>
        </w:object>
      </w:r>
      <w:r>
        <w:rPr>
          <w:rFonts w:hint="eastAsia" w:ascii="Times New Roman" w:hAnsi="Times New Roman"/>
        </w:rPr>
        <w:t>作为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的量程漂移。</w:t>
      </w:r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</w:t>
      </w:r>
      <w:bookmarkStart w:id="224" w:name="_Toc26953"/>
      <w:bookmarkStart w:id="225" w:name="_Toc5497"/>
      <w:bookmarkStart w:id="226" w:name="_Toc10450"/>
      <w:r>
        <w:rPr>
          <w:rFonts w:hint="eastAsia" w:hAnsi="宋体" w:cs="宋体"/>
          <w:position w:val="-24"/>
        </w:rPr>
        <w:object>
          <v:shape id="_x0000_i1061" o:spt="75" type="#_x0000_t75" style="height:31pt;width:141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9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(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hint="eastAsia" w:ascii="Times New Roman" w:hAnsi="Times New Roman"/>
        </w:rPr>
        <w:t>)</w:t>
      </w:r>
      <w:bookmarkEnd w:id="224"/>
      <w:bookmarkEnd w:id="225"/>
      <w:bookmarkEnd w:id="22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27" w:name="_Toc2266"/>
      <w:bookmarkStart w:id="228" w:name="_Toc9992"/>
      <w:bookmarkStart w:id="229" w:name="_Toc30924"/>
      <w:bookmarkStart w:id="230" w:name="_Toc14850"/>
      <w:bookmarkStart w:id="231" w:name="_Toc26826"/>
      <w:r>
        <w:rPr>
          <w:rFonts w:hint="eastAsia" w:ascii="Times New Roman" w:hAnsi="Times New Roman"/>
        </w:rPr>
        <w:t>式中：</w:t>
      </w:r>
      <w:bookmarkEnd w:id="227"/>
      <w:bookmarkEnd w:id="228"/>
      <w:bookmarkEnd w:id="229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</w:pPr>
      <w:r>
        <w:rPr>
          <w:position w:val="-12"/>
          <w:vertAlign w:val="subscript"/>
        </w:rPr>
        <w:object>
          <v:shape id="_x0000_i1062" o:spt="75" type="#_x0000_t75" style="height:18pt;width:20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10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量程漂移；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</w:pPr>
      <w:r>
        <w:rPr>
          <w:position w:val="-12"/>
          <w:vertAlign w:val="subscript"/>
        </w:rPr>
        <w:object>
          <v:shape id="_x0000_i106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10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次测量的浓度示值，</w:t>
      </w:r>
      <w:r>
        <w:t>mol/mol</w:t>
      </w:r>
      <w:r>
        <w:rPr>
          <w:rFonts w:hint="eastAsia"/>
        </w:rPr>
        <w:t>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  <w:rPr>
          <w:rFonts w:hint="eastAsia"/>
        </w:rPr>
      </w:pPr>
      <w:r>
        <w:rPr>
          <w:position w:val="-12"/>
          <w:vertAlign w:val="subscript"/>
        </w:rPr>
        <w:object>
          <v:shape id="_x0000_i1064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103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调零后的首次浓度示值，</w:t>
      </w:r>
      <w:r>
        <w:t>mol/mol</w:t>
      </w:r>
      <w:r>
        <w:rPr>
          <w:rFonts w:hint="eastAsia"/>
        </w:rPr>
        <w:t>；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before="0" w:beforeLines="0" w:after="0" w:afterLines="0" w:line="300" w:lineRule="auto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32" w:name="_Toc9870"/>
      <w:bookmarkStart w:id="233" w:name="_Toc25861"/>
      <w:bookmarkStart w:id="234" w:name="_Toc31533"/>
      <w:r>
        <w:rPr>
          <w:rFonts w:ascii="Times New Roman"/>
          <w:position w:val="-4"/>
          <w:vertAlign w:val="subscript"/>
        </w:rPr>
        <w:object>
          <v:shape id="_x0000_i106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10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/>
        </w:rPr>
        <w:t>满量程</w:t>
      </w:r>
      <w:r>
        <w:rPr>
          <w:rFonts w:hint="eastAsia"/>
        </w:rPr>
        <w:t>，</w:t>
      </w:r>
      <w:r>
        <w:rPr>
          <w:rFonts w:ascii="Times New Roman" w:hAnsi="Times New Roman"/>
        </w:rPr>
        <w:t>mol/mol</w:t>
      </w:r>
      <w:r>
        <w:rPr>
          <w:rFonts w:hint="eastAsia" w:ascii="Times New Roman" w:hAnsi="Times New Roman"/>
        </w:rPr>
        <w:t>。</w:t>
      </w:r>
      <w:bookmarkEnd w:id="232"/>
      <w:bookmarkEnd w:id="233"/>
      <w:bookmarkEnd w:id="234"/>
    </w:p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230"/>
    <w:bookmarkEnd w:id="231"/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360" w:lineRule="auto"/>
        <w:textAlignment w:val="auto"/>
        <w:outlineLvl w:val="0"/>
      </w:pPr>
      <w:bookmarkStart w:id="235" w:name="_Toc193619101"/>
      <w:bookmarkStart w:id="236" w:name="_Toc193860038"/>
      <w:bookmarkStart w:id="237" w:name="_Toc193860219"/>
      <w:bookmarkStart w:id="238" w:name="_Toc193618956"/>
      <w:bookmarkStart w:id="239" w:name="_Toc193619059"/>
      <w:bookmarkStart w:id="240" w:name="_Toc193860188"/>
      <w:bookmarkStart w:id="241" w:name="_Toc24685_WPSOffice_Level1"/>
      <w:bookmarkStart w:id="242" w:name="_Toc31728"/>
      <w:bookmarkStart w:id="243" w:name="_Toc23784582"/>
      <w:bookmarkStart w:id="244" w:name="_Toc4816"/>
      <w:bookmarkStart w:id="245" w:name="_Toc23784681"/>
      <w:bookmarkStart w:id="246" w:name="_Toc23785579"/>
      <w:r>
        <w:rPr>
          <w:rFonts w:hint="eastAsia"/>
        </w:rPr>
        <w:t xml:space="preserve"> </w:t>
      </w:r>
      <w:bookmarkStart w:id="247" w:name="_Toc21497"/>
      <w:bookmarkStart w:id="248" w:name="_Toc25707"/>
      <w:bookmarkStart w:id="249" w:name="_Toc17657"/>
      <w:bookmarkStart w:id="250" w:name="_Toc21474"/>
      <w:r>
        <w:rPr>
          <w:rFonts w:hint="eastAsia"/>
        </w:rPr>
        <w:t xml:space="preserve"> </w:t>
      </w:r>
      <w:bookmarkStart w:id="251" w:name="_Toc23960"/>
      <w:r>
        <w:t>校准结果</w:t>
      </w:r>
      <w:bookmarkEnd w:id="235"/>
      <w:bookmarkEnd w:id="236"/>
      <w:bookmarkEnd w:id="237"/>
      <w:bookmarkEnd w:id="238"/>
      <w:bookmarkEnd w:id="239"/>
      <w:bookmarkEnd w:id="240"/>
      <w:r>
        <w:t>表达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>
      <w:pPr>
        <w:pStyle w:val="43"/>
        <w:ind w:firstLine="480"/>
        <w:rPr>
          <w:szCs w:val="22"/>
        </w:rPr>
      </w:pPr>
      <w:r>
        <w:rPr>
          <w:szCs w:val="22"/>
        </w:rPr>
        <w:t>经</w:t>
      </w:r>
      <w:r>
        <w:rPr>
          <w:rFonts w:hint="eastAsia" w:ascii="宋体" w:hAnsi="宋体"/>
        </w:rPr>
        <w:t>校准</w:t>
      </w:r>
      <w:r>
        <w:rPr>
          <w:szCs w:val="22"/>
        </w:rPr>
        <w:t>的</w:t>
      </w:r>
      <w:r>
        <w:rPr>
          <w:rFonts w:hint="eastAsia"/>
          <w:szCs w:val="22"/>
          <w:lang w:val="en-US" w:eastAsia="zh-CN"/>
        </w:rPr>
        <w:t>检测</w:t>
      </w:r>
      <w:r>
        <w:rPr>
          <w:rFonts w:hint="eastAsia"/>
          <w:szCs w:val="22"/>
        </w:rPr>
        <w:t>仪</w:t>
      </w:r>
      <w:r>
        <w:rPr>
          <w:szCs w:val="22"/>
        </w:rPr>
        <w:t>出具校准证书，</w:t>
      </w:r>
      <w:r>
        <w:rPr>
          <w:rFonts w:hint="eastAsia"/>
          <w:szCs w:val="22"/>
        </w:rPr>
        <w:t>校准结果应在校准证书上反映，校准证书至少应包括以下信息：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a）</w:t>
      </w:r>
      <w:r>
        <w:rPr>
          <w:rFonts w:ascii="Times New Roman"/>
          <w:sz w:val="24"/>
          <w:szCs w:val="24"/>
        </w:rPr>
        <w:t>标题</w:t>
      </w:r>
      <w:r>
        <w:rPr>
          <w:rFonts w:hint="eastAsia" w:ascii="Times New Roman"/>
          <w:sz w:val="24"/>
          <w:szCs w:val="24"/>
          <w:lang w:eastAsia="zh-CN"/>
        </w:rPr>
        <w:t>：“</w:t>
      </w:r>
      <w:r>
        <w:rPr>
          <w:rFonts w:ascii="Times New Roman"/>
          <w:sz w:val="24"/>
          <w:szCs w:val="24"/>
        </w:rPr>
        <w:t>校准证书</w:t>
      </w:r>
      <w:r>
        <w:rPr>
          <w:rFonts w:hint="eastAsia" w:ascii="Times New Roman"/>
          <w:sz w:val="24"/>
          <w:szCs w:val="24"/>
          <w:lang w:eastAsia="zh-CN"/>
        </w:rPr>
        <w:t>”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b）</w:t>
      </w:r>
      <w:r>
        <w:rPr>
          <w:rFonts w:ascii="Times New Roman"/>
          <w:sz w:val="24"/>
          <w:szCs w:val="24"/>
        </w:rPr>
        <w:t>实验室的名称和地址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c）实施校准活动的地点，包括客户设施、实验室固定设施以外的地点；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d）</w:t>
      </w:r>
      <w:r>
        <w:rPr>
          <w:rFonts w:ascii="Times New Roman"/>
          <w:sz w:val="24"/>
          <w:szCs w:val="24"/>
        </w:rPr>
        <w:t>证书的唯一性标识（如编号），每页及总页数的标识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e）客户的</w:t>
      </w:r>
      <w:r>
        <w:rPr>
          <w:rFonts w:ascii="Times New Roman"/>
          <w:sz w:val="24"/>
          <w:szCs w:val="24"/>
        </w:rPr>
        <w:t>名称和</w:t>
      </w:r>
      <w:r>
        <w:rPr>
          <w:rFonts w:hint="eastAsia" w:ascii="Times New Roman"/>
          <w:sz w:val="24"/>
          <w:szCs w:val="24"/>
        </w:rPr>
        <w:t>联络信息；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f）</w:t>
      </w:r>
      <w:r>
        <w:rPr>
          <w:rFonts w:ascii="Times New Roman"/>
          <w:sz w:val="24"/>
          <w:szCs w:val="24"/>
        </w:rPr>
        <w:t>被校对象的描述和明确标识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g）</w:t>
      </w:r>
      <w:r>
        <w:rPr>
          <w:rFonts w:ascii="Times New Roman"/>
          <w:sz w:val="24"/>
          <w:szCs w:val="24"/>
        </w:rPr>
        <w:t>进行校准</w:t>
      </w:r>
      <w:r>
        <w:rPr>
          <w:rFonts w:hint="eastAsia" w:ascii="Times New Roman"/>
          <w:sz w:val="24"/>
          <w:szCs w:val="24"/>
        </w:rPr>
        <w:t>活动</w:t>
      </w:r>
      <w:r>
        <w:rPr>
          <w:rFonts w:ascii="Times New Roman"/>
          <w:sz w:val="24"/>
          <w:szCs w:val="24"/>
        </w:rPr>
        <w:t>的日期，如果与校准结果的有效性和应用有关时，应说明被校对象的接</w:t>
      </w:r>
      <w:r>
        <w:rPr>
          <w:rFonts w:hint="eastAsia" w:ascii="Times New Roman"/>
          <w:sz w:val="24"/>
          <w:szCs w:val="24"/>
        </w:rPr>
        <w:t>收</w:t>
      </w:r>
      <w:r>
        <w:rPr>
          <w:rFonts w:ascii="Times New Roman"/>
          <w:sz w:val="24"/>
          <w:szCs w:val="24"/>
        </w:rPr>
        <w:t>日期</w:t>
      </w:r>
      <w:r>
        <w:rPr>
          <w:rFonts w:hint="eastAsia" w:ascii="Times New Roman"/>
          <w:sz w:val="24"/>
          <w:szCs w:val="24"/>
        </w:rPr>
        <w:t>和证书发布日期；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h）</w:t>
      </w:r>
      <w:r>
        <w:rPr>
          <w:rFonts w:ascii="Times New Roman"/>
          <w:sz w:val="24"/>
          <w:szCs w:val="24"/>
        </w:rPr>
        <w:t>校准所依据的技术规范的标识，包括名称及代号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i）</w:t>
      </w:r>
      <w:r>
        <w:rPr>
          <w:rFonts w:ascii="Times New Roman"/>
          <w:sz w:val="24"/>
          <w:szCs w:val="24"/>
        </w:rPr>
        <w:t>本次校准所用的测量标准和溯源性及有效性说明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j）</w:t>
      </w:r>
      <w:r>
        <w:rPr>
          <w:rFonts w:ascii="Times New Roman"/>
          <w:sz w:val="24"/>
          <w:szCs w:val="24"/>
        </w:rPr>
        <w:t>校准环境的描述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k）</w:t>
      </w:r>
      <w:r>
        <w:rPr>
          <w:rFonts w:ascii="Times New Roman"/>
          <w:sz w:val="24"/>
          <w:szCs w:val="24"/>
        </w:rPr>
        <w:t>校准结果及其测量不确定度的说明（给出整个测量范围校准结果测量不确定度的最大值）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</w:rPr>
        <w:t>l）</w:t>
      </w:r>
      <w:r>
        <w:rPr>
          <w:rFonts w:hint="eastAsia" w:ascii="Times New Roman"/>
          <w:sz w:val="24"/>
          <w:szCs w:val="24"/>
          <w:lang w:val="en-US" w:eastAsia="zh-CN"/>
        </w:rPr>
        <w:t>对校准规范偏离的说明；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m）</w:t>
      </w:r>
      <w:r>
        <w:rPr>
          <w:rFonts w:ascii="Times New Roman"/>
          <w:sz w:val="24"/>
          <w:szCs w:val="24"/>
        </w:rPr>
        <w:t>校准证书签发人的签名、职务或等效标识，以及签发日期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n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校准人</w:t>
      </w:r>
      <w:r>
        <w:rPr>
          <w:rFonts w:hint="eastAsia" w:ascii="Times New Roman"/>
          <w:sz w:val="24"/>
          <w:szCs w:val="24"/>
        </w:rPr>
        <w:t>和核验人签名；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o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</w:t>
      </w:r>
      <w:r>
        <w:rPr>
          <w:rFonts w:hint="eastAsia" w:ascii="Times New Roman"/>
          <w:sz w:val="24"/>
          <w:szCs w:val="24"/>
          <w:lang w:val="en-US" w:eastAsia="zh-CN"/>
        </w:rPr>
        <w:t>结果</w:t>
      </w:r>
      <w:r>
        <w:rPr>
          <w:rFonts w:ascii="Times New Roman"/>
          <w:sz w:val="24"/>
          <w:szCs w:val="24"/>
        </w:rPr>
        <w:t>仅对被校对象有效</w:t>
      </w:r>
      <w:r>
        <w:rPr>
          <w:rFonts w:hint="eastAsia" w:ascii="Times New Roman"/>
          <w:sz w:val="24"/>
          <w:szCs w:val="24"/>
          <w:lang w:val="en-US" w:eastAsia="zh-CN"/>
        </w:rPr>
        <w:t>的</w:t>
      </w:r>
      <w:r>
        <w:rPr>
          <w:rFonts w:ascii="Times New Roman"/>
          <w:sz w:val="24"/>
          <w:szCs w:val="24"/>
        </w:rPr>
        <w:t>声明</w:t>
      </w:r>
      <w:r>
        <w:rPr>
          <w:rFonts w:hint="eastAsia" w:ascii="Times New Roman"/>
          <w:sz w:val="24"/>
          <w:szCs w:val="24"/>
          <w:lang w:eastAsia="zh-CN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p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未经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实验室书面批准，不得部分复制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证书</w:t>
      </w:r>
      <w:r>
        <w:rPr>
          <w:rFonts w:hint="eastAsia" w:ascii="Times New Roman"/>
          <w:sz w:val="24"/>
          <w:szCs w:val="24"/>
        </w:rPr>
        <w:t>的声明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szCs w:val="22"/>
        </w:rPr>
      </w:pPr>
      <w:r>
        <w:rPr>
          <w:rFonts w:hint="eastAsia" w:ascii="Times New Roman"/>
          <w:sz w:val="24"/>
          <w:szCs w:val="24"/>
        </w:rPr>
        <w:t>校准原始记录参考格式见附录A，校准证书</w:t>
      </w:r>
      <w:r>
        <w:rPr>
          <w:rFonts w:hint="eastAsia" w:ascii="Times New Roman"/>
          <w:sz w:val="24"/>
          <w:szCs w:val="24"/>
          <w:lang w:val="en-US" w:eastAsia="zh-CN"/>
        </w:rPr>
        <w:t>内页</w:t>
      </w:r>
      <w:r>
        <w:rPr>
          <w:rFonts w:hint="eastAsia" w:ascii="Times New Roman"/>
          <w:sz w:val="24"/>
          <w:szCs w:val="24"/>
        </w:rPr>
        <w:t>参考格式见附录B。</w:t>
      </w:r>
    </w:p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hanging="425"/>
        <w:textAlignment w:val="auto"/>
        <w:outlineLvl w:val="0"/>
      </w:pPr>
      <w:bookmarkStart w:id="252" w:name="_Toc6291_WPSOffice_Level1"/>
      <w:bookmarkStart w:id="253" w:name="_Toc193860220"/>
      <w:bookmarkStart w:id="254" w:name="_Toc11814"/>
      <w:bookmarkStart w:id="255" w:name="_Toc193860040"/>
      <w:bookmarkStart w:id="256" w:name="_Toc5529"/>
      <w:bookmarkStart w:id="257" w:name="_Toc23785580"/>
      <w:bookmarkStart w:id="258" w:name="_Toc23784682"/>
      <w:bookmarkStart w:id="259" w:name="_Toc23784583"/>
      <w:bookmarkStart w:id="260" w:name="_Toc193860189"/>
      <w:r>
        <w:rPr>
          <w:rFonts w:hint="eastAsia"/>
        </w:rPr>
        <w:t xml:space="preserve"> </w:t>
      </w:r>
      <w:bookmarkStart w:id="261" w:name="_Toc7419"/>
      <w:bookmarkStart w:id="262" w:name="_Toc22985"/>
      <w:bookmarkStart w:id="263" w:name="_Toc27825"/>
      <w:bookmarkStart w:id="264" w:name="_Toc18776"/>
      <w:bookmarkStart w:id="265" w:name="_Toc5099"/>
      <w:r>
        <w:t>复校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r>
        <w:rPr>
          <w:rFonts w:hint="eastAsia"/>
        </w:rPr>
        <w:t>时间间隔</w:t>
      </w:r>
      <w:bookmarkEnd w:id="261"/>
      <w:bookmarkEnd w:id="262"/>
      <w:bookmarkEnd w:id="263"/>
      <w:bookmarkEnd w:id="264"/>
      <w:bookmarkEnd w:id="265"/>
    </w:p>
    <w:p>
      <w:pPr>
        <w:pStyle w:val="43"/>
        <w:ind w:firstLine="480"/>
      </w:pPr>
      <w:bookmarkStart w:id="266" w:name="_Toc193860041"/>
      <w:r>
        <w:t>建议复校</w:t>
      </w:r>
      <w:r>
        <w:rPr>
          <w:rFonts w:hint="eastAsia"/>
        </w:rPr>
        <w:t>时间间隔</w:t>
      </w:r>
      <w:r>
        <w:t>为1年。</w:t>
      </w:r>
      <w:bookmarkEnd w:id="266"/>
      <w:r>
        <w:rPr>
          <w:rFonts w:hint="eastAsia"/>
        </w:rPr>
        <w:t>送校单位可根据使用情况自主决定复校时间间隔</w:t>
      </w:r>
      <w:r>
        <w:rPr>
          <w:rFonts w:hint="eastAsia"/>
          <w:lang w:eastAsia="zh-CN"/>
        </w:rPr>
        <w:t>，</w:t>
      </w:r>
      <w:r>
        <w:t>在使用过程中经过</w:t>
      </w:r>
      <w:r>
        <w:rPr>
          <w:rFonts w:hint="eastAsia"/>
          <w:lang w:val="en-US" w:eastAsia="zh-CN"/>
        </w:rPr>
        <w:t>调零、</w:t>
      </w:r>
      <w:r>
        <w:t>修理、更换重要部件</w:t>
      </w:r>
      <w:r>
        <w:rPr>
          <w:rFonts w:hint="eastAsia"/>
          <w:lang w:val="en-US" w:eastAsia="zh-CN"/>
        </w:rPr>
        <w:t>的检测</w:t>
      </w:r>
      <w:r>
        <w:rPr>
          <w:rFonts w:hint="eastAsia"/>
        </w:rPr>
        <w:t>仪</w:t>
      </w:r>
      <w:r>
        <w:t>需要重新校准。</w:t>
      </w:r>
    </w:p>
    <w:p>
      <w:pPr>
        <w:spacing w:line="360" w:lineRule="auto"/>
        <w:jc w:val="left"/>
        <w:rPr>
          <w:b/>
          <w:bCs/>
        </w:rPr>
        <w:sectPr>
          <w:headerReference r:id="rId19" w:type="default"/>
          <w:footerReference r:id="rId20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bookmarkStart w:id="267" w:name="_Toc10433"/>
      <w:bookmarkStart w:id="268" w:name="_Toc13665"/>
      <w:bookmarkStart w:id="269" w:name="_Toc23784683"/>
      <w:bookmarkStart w:id="270" w:name="_Toc23785581"/>
      <w:bookmarkStart w:id="271" w:name="_Toc23784584"/>
      <w:bookmarkStart w:id="272" w:name="_Toc26000_WPSOffice_Level1"/>
    </w:p>
    <w:p>
      <w:pPr>
        <w:spacing w:before="240" w:after="60" w:line="160" w:lineRule="exact"/>
        <w:jc w:val="left"/>
        <w:outlineLvl w:val="1"/>
        <w:rPr>
          <w:rFonts w:ascii="黑体" w:hAnsi="黑体" w:eastAsia="黑体"/>
          <w:sz w:val="28"/>
          <w:szCs w:val="28"/>
        </w:rPr>
      </w:pPr>
      <w:bookmarkStart w:id="273" w:name="_Toc24403"/>
      <w:bookmarkStart w:id="274" w:name="_Toc9729"/>
      <w:bookmarkStart w:id="275" w:name="_Toc5202"/>
      <w:bookmarkStart w:id="276" w:name="_Toc29841"/>
      <w:bookmarkStart w:id="277" w:name="_Toc1489"/>
      <w:bookmarkStart w:id="278" w:name="_Toc21008"/>
      <w:r>
        <w:rPr>
          <w:rFonts w:ascii="黑体" w:hAnsi="黑体" w:eastAsia="黑体"/>
          <w:sz w:val="28"/>
          <w:szCs w:val="28"/>
        </w:rPr>
        <w:t>附录A</w:t>
      </w:r>
      <w:bookmarkEnd w:id="267"/>
      <w:bookmarkEnd w:id="268"/>
      <w:bookmarkEnd w:id="273"/>
      <w:bookmarkEnd w:id="274"/>
      <w:bookmarkEnd w:id="275"/>
      <w:bookmarkEnd w:id="276"/>
      <w:bookmarkEnd w:id="277"/>
      <w:bookmarkEnd w:id="278"/>
      <w:bookmarkStart w:id="279" w:name="_Toc1046"/>
      <w:bookmarkStart w:id="280" w:name="_Toc21898"/>
      <w:bookmarkStart w:id="281" w:name="_Toc19962"/>
      <w:bookmarkStart w:id="282" w:name="_Toc2183"/>
    </w:p>
    <w:p>
      <w:pPr>
        <w:pStyle w:val="3"/>
        <w:jc w:val="center"/>
        <w:rPr>
          <w:rFonts w:ascii="黑体" w:hAnsi="黑体"/>
          <w:szCs w:val="28"/>
        </w:rPr>
      </w:pPr>
      <w:bookmarkStart w:id="283" w:name="_Toc4774"/>
      <w:bookmarkStart w:id="284" w:name="_Toc21536"/>
      <w:r>
        <w:rPr>
          <w:rFonts w:hint="eastAsia"/>
          <w:bCs w:val="0"/>
          <w:lang w:val="en-US" w:eastAsia="zh-CN"/>
        </w:rPr>
        <w:t>二氧化碳</w:t>
      </w:r>
      <w:r>
        <w:rPr>
          <w:rFonts w:hint="eastAsia"/>
          <w:bCs w:val="0"/>
        </w:rPr>
        <w:t>浓度检测报警仪校准</w:t>
      </w:r>
      <w:r>
        <w:rPr>
          <w:bCs w:val="0"/>
        </w:rPr>
        <w:t>原始记录参考格式</w:t>
      </w:r>
      <w:bookmarkEnd w:id="269"/>
      <w:bookmarkEnd w:id="270"/>
      <w:bookmarkEnd w:id="271"/>
      <w:bookmarkEnd w:id="272"/>
      <w:bookmarkEnd w:id="279"/>
      <w:bookmarkEnd w:id="280"/>
      <w:bookmarkEnd w:id="281"/>
      <w:bookmarkEnd w:id="282"/>
      <w:bookmarkEnd w:id="283"/>
      <w:bookmarkEnd w:id="284"/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8"/>
        <w:gridCol w:w="1595"/>
        <w:gridCol w:w="911"/>
        <w:gridCol w:w="683"/>
        <w:gridCol w:w="683"/>
        <w:gridCol w:w="911"/>
        <w:gridCol w:w="456"/>
        <w:gridCol w:w="1139"/>
        <w:gridCol w:w="22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记录编号:</w:t>
            </w:r>
          </w:p>
        </w:tc>
        <w:tc>
          <w:tcPr>
            <w:tcW w:w="2142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证书编号：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送校单位</w:t>
            </w:r>
          </w:p>
        </w:tc>
        <w:tc>
          <w:tcPr>
            <w:tcW w:w="2142" w:type="pct"/>
            <w:gridSpan w:val="5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制造厂</w:t>
            </w:r>
          </w:p>
        </w:tc>
        <w:tc>
          <w:tcPr>
            <w:tcW w:w="1429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仪器名称</w:t>
            </w:r>
          </w:p>
        </w:tc>
        <w:tc>
          <w:tcPr>
            <w:tcW w:w="1428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规格型号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校准地点</w:t>
            </w:r>
          </w:p>
        </w:tc>
        <w:tc>
          <w:tcPr>
            <w:tcW w:w="1428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环境温度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℃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环境湿度</w:t>
            </w:r>
          </w:p>
        </w:tc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校准依据</w:t>
            </w:r>
          </w:p>
        </w:tc>
        <w:tc>
          <w:tcPr>
            <w:tcW w:w="4285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校准用主要测量标准：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名称</w:t>
            </w:r>
          </w:p>
        </w:tc>
        <w:tc>
          <w:tcPr>
            <w:tcW w:w="833" w:type="pct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型号规格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技术特征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证书编号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校准项目：</w:t>
            </w:r>
          </w:p>
        </w:tc>
      </w:tr>
    </w:tbl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56"/>
        <w:gridCol w:w="212"/>
        <w:gridCol w:w="605"/>
        <w:gridCol w:w="346"/>
        <w:gridCol w:w="178"/>
        <w:gridCol w:w="266"/>
        <w:gridCol w:w="183"/>
        <w:gridCol w:w="125"/>
        <w:gridCol w:w="608"/>
        <w:gridCol w:w="176"/>
        <w:gridCol w:w="64"/>
        <w:gridCol w:w="734"/>
        <w:gridCol w:w="98"/>
        <w:gridCol w:w="113"/>
        <w:gridCol w:w="482"/>
        <w:gridCol w:w="375"/>
        <w:gridCol w:w="325"/>
        <w:gridCol w:w="494"/>
        <w:gridCol w:w="3"/>
        <w:gridCol w:w="24"/>
        <w:gridCol w:w="384"/>
        <w:gridCol w:w="280"/>
        <w:gridCol w:w="1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default" w:eastAsia="宋体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外观与结构：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声光报警</w:t>
            </w:r>
            <w:r>
              <w:rPr>
                <w:rFonts w:hint="eastAsia" w:ascii="宋体" w:hAnsi="宋体" w:cs="宋体"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控制输出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通信：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；绝缘耐压：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. 示值误差：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标准气体浓度值（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2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. 重复性：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</w:t>
            </w:r>
          </w:p>
        </w:tc>
        <w:tc>
          <w:tcPr>
            <w:tcW w:w="3883" w:type="pct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. 响应时间：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9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</w:t>
            </w:r>
            <w:r>
              <w:rPr>
                <w:rFonts w:hint="eastAsia"/>
                <w:sz w:val="21"/>
                <w:szCs w:val="21"/>
              </w:rPr>
              <w:t>响应时间(s)</w:t>
            </w:r>
          </w:p>
        </w:tc>
        <w:tc>
          <w:tcPr>
            <w:tcW w:w="9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/>
                <w:sz w:val="21"/>
                <w:szCs w:val="21"/>
              </w:rPr>
              <w:t>响应时间(s)</w:t>
            </w:r>
          </w:p>
        </w:tc>
        <w:tc>
          <w:tcPr>
            <w:tcW w:w="9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2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. 报警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误差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报警设定值（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7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实测报警值（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7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24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. 变送输出误差：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标准气体浓度值（    ）</w:t>
            </w:r>
          </w:p>
        </w:tc>
        <w:tc>
          <w:tcPr>
            <w:tcW w:w="6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理论输出值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127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仪器变送输出示值（   ）</w:t>
            </w:r>
          </w:p>
        </w:tc>
        <w:tc>
          <w:tcPr>
            <w:tcW w:w="5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变送输出误差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仪器</w:t>
            </w:r>
            <w:r>
              <w:rPr>
                <w:rFonts w:hint="eastAsia" w:ascii="宋体" w:hAnsi="宋体" w:cs="宋体"/>
                <w:sz w:val="21"/>
                <w:szCs w:val="21"/>
              </w:rPr>
              <w:t>漂移:</w:t>
            </w:r>
          </w:p>
        </w:tc>
      </w:tr>
    </w:tbl>
    <w:tbl>
      <w:tblPr>
        <w:tblStyle w:val="2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54"/>
        <w:gridCol w:w="1261"/>
        <w:gridCol w:w="1257"/>
        <w:gridCol w:w="1257"/>
        <w:gridCol w:w="1259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5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仪器零点值(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5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通入标准气体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仪器示值</w:t>
            </w:r>
            <w:r>
              <w:t>mol/mol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5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</w:t>
            </w:r>
          </w:p>
        </w:tc>
        <w:tc>
          <w:tcPr>
            <w:tcW w:w="1315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  <w:bookmarkStart w:id="285" w:name="_Toc25254"/>
      <w:bookmarkStart w:id="286" w:name="_Toc21627"/>
      <w:bookmarkStart w:id="287" w:name="_Toc15057"/>
      <w:bookmarkStart w:id="288" w:name="_Toc19104"/>
      <w:bookmarkStart w:id="289" w:name="_Toc28661"/>
      <w:bookmarkStart w:id="290" w:name="_Toc32002"/>
      <w:bookmarkStart w:id="291" w:name="_Toc15171"/>
      <w:bookmarkStart w:id="292" w:name="_Toc23784686"/>
      <w:bookmarkStart w:id="293" w:name="_Toc23784587"/>
      <w:bookmarkStart w:id="294" w:name="_Toc31172_WPSOffice_Level1"/>
      <w:bookmarkStart w:id="295" w:name="_Toc23785584"/>
    </w:p>
    <w:p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bookmarkStart w:id="296" w:name="_Toc4146"/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jc w:val="lef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6"/>
      <w:bookmarkStart w:id="297" w:name="_Toc500258594"/>
    </w:p>
    <w:p>
      <w:pPr>
        <w:pStyle w:val="3"/>
        <w:jc w:val="center"/>
      </w:pPr>
      <w:bookmarkStart w:id="298" w:name="_Toc16034"/>
      <w:bookmarkStart w:id="299" w:name="_Toc4214"/>
      <w:bookmarkStart w:id="300" w:name="_Toc31614"/>
      <w:bookmarkStart w:id="301" w:name="_Toc8704"/>
      <w:bookmarkStart w:id="302" w:name="_Toc10093"/>
      <w:bookmarkStart w:id="303" w:name="_Toc29738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浓度检测报警仪校</w:t>
      </w:r>
      <w:r>
        <w:t>准证书</w:t>
      </w:r>
      <w:r>
        <w:rPr>
          <w:rFonts w:hint="eastAsia"/>
        </w:rPr>
        <w:t>内页</w:t>
      </w:r>
      <w:r>
        <w:t>参考格式</w:t>
      </w:r>
      <w:bookmarkEnd w:id="292"/>
      <w:bookmarkEnd w:id="293"/>
      <w:bookmarkEnd w:id="294"/>
      <w:bookmarkEnd w:id="295"/>
      <w:bookmarkEnd w:id="297"/>
      <w:bookmarkEnd w:id="298"/>
      <w:bookmarkEnd w:id="299"/>
      <w:bookmarkEnd w:id="300"/>
      <w:bookmarkEnd w:id="301"/>
      <w:bookmarkEnd w:id="302"/>
      <w:bookmarkEnd w:id="303"/>
    </w:p>
    <w:p>
      <w:pPr>
        <w:pStyle w:val="43"/>
        <w:ind w:left="0" w:leftChars="0" w:firstLine="0" w:firstLineChars="0"/>
        <w:jc w:val="center"/>
        <w:rPr>
          <w:rFonts w:ascii="宋体" w:hAnsi="宋体" w:cs="宋体"/>
          <w:bCs/>
        </w:rPr>
      </w:pPr>
      <w:r>
        <w:rPr>
          <w:rFonts w:hint="eastAsia" w:ascii="宋体" w:hAnsi="宋体" w:cs="宋体"/>
          <w:b/>
          <w:bCs/>
        </w:rPr>
        <w:t>校准结果</w:t>
      </w:r>
    </w:p>
    <w:p>
      <w:pPr>
        <w:numPr>
          <w:ilvl w:val="0"/>
          <w:numId w:val="5"/>
        </w:numPr>
        <w:spacing w:line="360" w:lineRule="auto"/>
        <w:outlineLvl w:val="0"/>
        <w:rPr>
          <w:rFonts w:hint="eastAsia" w:eastAsia="宋体"/>
          <w:bCs/>
          <w:szCs w:val="21"/>
          <w:lang w:val="en-US" w:eastAsia="zh-CN"/>
        </w:rPr>
      </w:pPr>
      <w:bookmarkStart w:id="304" w:name="_Toc15728"/>
      <w:r>
        <w:rPr>
          <w:rFonts w:hint="eastAsia" w:eastAsia="宋体"/>
          <w:bCs/>
          <w:szCs w:val="21"/>
          <w:lang w:val="en-US" w:eastAsia="zh-CN"/>
        </w:rPr>
        <w:t>其他条件：</w:t>
      </w:r>
      <w:bookmarkEnd w:id="304"/>
    </w:p>
    <w:p>
      <w:pPr>
        <w:numPr>
          <w:ilvl w:val="0"/>
          <w:numId w:val="0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1.1</w:t>
      </w:r>
      <w:r>
        <w:rPr>
          <w:rFonts w:eastAsia="宋体"/>
          <w:bCs/>
          <w:szCs w:val="21"/>
        </w:rPr>
        <w:t>外观</w:t>
      </w:r>
      <w:r>
        <w:rPr>
          <w:rFonts w:hint="eastAsia" w:eastAsia="宋体"/>
          <w:bCs/>
          <w:szCs w:val="21"/>
        </w:rPr>
        <w:t>与结构</w:t>
      </w:r>
      <w:r>
        <w:rPr>
          <w:rFonts w:eastAsia="宋体"/>
          <w:bCs/>
          <w:szCs w:val="21"/>
        </w:rPr>
        <w:t>：</w:t>
      </w:r>
      <w:r>
        <w:rPr>
          <w:rFonts w:hint="eastAsia" w:eastAsia="宋体"/>
          <w:bCs/>
          <w:szCs w:val="21"/>
        </w:rPr>
        <w:t xml:space="preserve">      </w:t>
      </w:r>
      <w:r>
        <w:rPr>
          <w:rFonts w:hint="eastAsia" w:eastAsia="宋体"/>
          <w:bCs/>
          <w:szCs w:val="21"/>
          <w:lang w:val="en-US" w:eastAsia="zh-CN"/>
        </w:rPr>
        <w:t xml:space="preserve"> 1.2声光报警</w:t>
      </w:r>
      <w:r>
        <w:rPr>
          <w:rFonts w:hint="eastAsia" w:eastAsia="宋体"/>
          <w:bCs/>
          <w:szCs w:val="21"/>
        </w:rPr>
        <w:t>和</w:t>
      </w:r>
      <w:r>
        <w:rPr>
          <w:rFonts w:hint="eastAsia" w:eastAsia="宋体"/>
          <w:bCs/>
          <w:szCs w:val="21"/>
          <w:lang w:val="en-US" w:eastAsia="zh-CN"/>
        </w:rPr>
        <w:t>控制输出</w:t>
      </w:r>
      <w:r>
        <w:rPr>
          <w:rFonts w:hint="eastAsia" w:eastAsia="宋体"/>
          <w:bCs/>
          <w:szCs w:val="21"/>
        </w:rPr>
        <w:t>：</w:t>
      </w:r>
      <w:r>
        <w:rPr>
          <w:rFonts w:hint="eastAsia" w:eastAsia="宋体"/>
          <w:bCs/>
          <w:szCs w:val="21"/>
          <w:lang w:val="en-US" w:eastAsia="zh-CN"/>
        </w:rPr>
        <w:t xml:space="preserve">       1.3通讯：        1.4绝缘耐压：</w:t>
      </w:r>
    </w:p>
    <w:p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示值误差：</w:t>
      </w:r>
    </w:p>
    <w:tbl>
      <w:tblPr>
        <w:tblStyle w:val="2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2788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1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标准气体浓度值（   ）</w:t>
            </w:r>
          </w:p>
        </w:tc>
        <w:tc>
          <w:tcPr>
            <w:tcW w:w="145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示值误差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扩展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5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24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8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7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4" w:type="pct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8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7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4" w:type="pct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numPr>
          <w:ilvl w:val="0"/>
          <w:numId w:val="5"/>
        </w:numPr>
        <w:tabs>
          <w:tab w:val="clear" w:pos="312"/>
        </w:tabs>
        <w:spacing w:line="360" w:lineRule="auto"/>
        <w:ind w:left="0" w:leftChars="0" w:firstLine="0" w:firstLineChars="0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重复性：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ind w:left="0" w:leftChars="0" w:firstLine="0" w:firstLineChars="0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示值</w:t>
      </w:r>
      <w:r>
        <w:rPr>
          <w:rFonts w:hint="eastAsia" w:eastAsia="宋体"/>
          <w:bCs/>
          <w:szCs w:val="21"/>
        </w:rPr>
        <w:t>响应时间：</w:t>
      </w:r>
      <w:r>
        <w:rPr>
          <w:rFonts w:hint="eastAsia" w:eastAsia="宋体"/>
          <w:bCs/>
          <w:szCs w:val="21"/>
          <w:lang w:val="en-US" w:eastAsia="zh-CN"/>
        </w:rPr>
        <w:t xml:space="preserve">            报警响应时间：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ind w:left="0" w:leftChars="0" w:firstLine="0" w:firstLineChars="0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报警</w:t>
      </w:r>
      <w:r>
        <w:rPr>
          <w:rFonts w:hint="eastAsia" w:eastAsia="宋体"/>
          <w:bCs/>
          <w:szCs w:val="21"/>
          <w:lang w:val="en-US" w:eastAsia="zh-CN"/>
        </w:rPr>
        <w:t>设定点</w:t>
      </w:r>
      <w:r>
        <w:rPr>
          <w:rFonts w:hint="eastAsia" w:eastAsia="宋体"/>
          <w:bCs/>
          <w:szCs w:val="21"/>
        </w:rPr>
        <w:t>：</w:t>
      </w:r>
      <w:r>
        <w:rPr>
          <w:rFonts w:hint="eastAsia" w:eastAsia="宋体"/>
          <w:bCs/>
          <w:szCs w:val="21"/>
          <w:lang w:val="en-US" w:eastAsia="zh-CN"/>
        </w:rPr>
        <w:t xml:space="preserve">              报警误差：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ind w:left="0" w:leftChars="0" w:firstLine="0" w:firstLineChars="0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变送输出误差：</w:t>
      </w:r>
    </w:p>
    <w:tbl>
      <w:tblPr>
        <w:tblStyle w:val="2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4108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标准气体浓度值（   ）</w:t>
            </w:r>
          </w:p>
        </w:tc>
        <w:tc>
          <w:tcPr>
            <w:tcW w:w="214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变送输出误差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扩展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8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147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4" w:type="pct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8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147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4" w:type="pct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8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147" w:type="pc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4" w:type="pct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numPr>
          <w:ilvl w:val="0"/>
          <w:numId w:val="5"/>
        </w:numPr>
        <w:tabs>
          <w:tab w:val="left" w:pos="0"/>
          <w:tab w:val="clear" w:pos="312"/>
        </w:tabs>
        <w:spacing w:line="360" w:lineRule="auto"/>
        <w:ind w:left="0" w:leftChars="0" w:firstLine="0" w:firstLineChars="0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仪器</w:t>
      </w:r>
      <w:r>
        <w:rPr>
          <w:rFonts w:hint="eastAsia" w:eastAsia="宋体"/>
          <w:bCs/>
          <w:szCs w:val="21"/>
        </w:rPr>
        <w:t>漂移：</w:t>
      </w:r>
    </w:p>
    <w:p>
      <w:pPr>
        <w:spacing w:line="360" w:lineRule="auto"/>
        <w:ind w:firstLine="210" w:firstLineChars="100"/>
        <w:rPr>
          <w:rFonts w:ascii="黑体" w:hAnsi="黑体" w:eastAsia="黑体"/>
          <w:sz w:val="28"/>
          <w:szCs w:val="28"/>
        </w:rPr>
      </w:pPr>
      <w:r>
        <w:rPr>
          <w:rFonts w:hint="eastAsia" w:eastAsia="宋体"/>
          <w:bCs/>
          <w:szCs w:val="21"/>
        </w:rPr>
        <w:t>零点漂移：</w:t>
      </w:r>
      <w:r>
        <w:rPr>
          <w:rFonts w:hint="eastAsia" w:eastAsia="宋体"/>
          <w:bCs/>
          <w:szCs w:val="21"/>
          <w:u w:val="single"/>
        </w:rPr>
        <w:t xml:space="preserve">          </w:t>
      </w:r>
      <w:r>
        <w:rPr>
          <w:rFonts w:hint="eastAsia" w:eastAsia="宋体"/>
          <w:bCs/>
          <w:szCs w:val="21"/>
        </w:rPr>
        <w:t xml:space="preserve">           量程漂移：</w:t>
      </w:r>
      <w:r>
        <w:rPr>
          <w:rFonts w:hint="eastAsia" w:eastAsia="宋体"/>
          <w:bCs/>
          <w:szCs w:val="21"/>
          <w:u w:val="single"/>
        </w:rPr>
        <w:t xml:space="preserve">           </w:t>
      </w:r>
      <w:bookmarkStart w:id="305" w:name="_Toc20526"/>
      <w:bookmarkStart w:id="306" w:name="_Toc23339"/>
      <w:bookmarkStart w:id="307" w:name="_Toc8870"/>
      <w:bookmarkStart w:id="308" w:name="_Toc3458"/>
      <w:bookmarkStart w:id="309" w:name="_Toc16754"/>
      <w:bookmarkStart w:id="310" w:name="_Toc3818"/>
      <w:bookmarkStart w:id="311" w:name="_Toc2422"/>
      <w:bookmarkStart w:id="312" w:name="_Toc198433137"/>
      <w:bookmarkStart w:id="313" w:name="_Toc23784593"/>
      <w:bookmarkStart w:id="314" w:name="_Toc28237_WPSOffice_Level1"/>
      <w:bookmarkStart w:id="315" w:name="_Toc23785590"/>
      <w:bookmarkStart w:id="316" w:name="_Toc23784692"/>
      <w:bookmarkStart w:id="317" w:name="_Toc13651"/>
      <w:bookmarkStart w:id="318" w:name="_Toc500258835"/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bookmarkStart w:id="319" w:name="_Toc2979"/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>
      <w:pPr>
        <w:spacing w:before="240" w:after="60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附录C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9"/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bookmarkEnd w:id="312"/>
      <w:bookmarkEnd w:id="313"/>
      <w:bookmarkEnd w:id="314"/>
      <w:bookmarkEnd w:id="315"/>
      <w:bookmarkEnd w:id="316"/>
      <w:bookmarkEnd w:id="317"/>
      <w:bookmarkEnd w:id="318"/>
    </w:p>
    <w:p>
      <w:pPr>
        <w:pStyle w:val="3"/>
        <w:jc w:val="center"/>
        <w:outlineLvl w:val="0"/>
      </w:pPr>
      <w:bookmarkStart w:id="320" w:name="_Toc18006"/>
      <w:bookmarkStart w:id="321" w:name="_Toc26494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浓度检测报警仪示值误差的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不确定度评定示例</w:t>
      </w:r>
      <w:bookmarkEnd w:id="320"/>
      <w:bookmarkEnd w:id="321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7" w:afterLines="50"/>
        <w:ind w:left="105" w:leftChars="50" w:firstLine="0" w:firstLineChars="0"/>
        <w:textAlignment w:val="auto"/>
      </w:pPr>
      <w:r>
        <w:rPr>
          <w:rFonts w:hint="eastAsia"/>
        </w:rPr>
        <w:t xml:space="preserve">C.1 </w:t>
      </w:r>
      <w:r>
        <w:rPr>
          <w:rFonts w:hint="eastAsia" w:ascii="黑体" w:hAnsi="黑体" w:eastAsia="黑体" w:cs="黑体"/>
        </w:rPr>
        <w:t>概述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C</w:t>
      </w:r>
      <w:r>
        <w:t>.1.</w:t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校准依据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本规范。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C</w:t>
      </w:r>
      <w:r>
        <w:t>.1.2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被校对象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/>
        <w:textAlignment w:val="auto"/>
        <w:rPr>
          <w:rFonts w:hint="eastAsia"/>
        </w:rPr>
      </w:pPr>
      <w:r>
        <w:rPr>
          <w:rFonts w:hint="eastAsia"/>
          <w:bCs/>
        </w:rPr>
        <w:t>测量范围（0～100%）mol/mol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  <w:lang w:val="en-US" w:eastAsia="zh-CN"/>
        </w:rPr>
        <w:t>分辨力为1%</w:t>
      </w:r>
      <w:r>
        <w:rPr>
          <w:rFonts w:hint="eastAsia"/>
          <w:bCs/>
        </w:rPr>
        <w:t>mol/mol的</w:t>
      </w:r>
      <w:r>
        <w:rPr>
          <w:rFonts w:hint="eastAsia"/>
          <w:bCs/>
          <w:lang w:val="en-US" w:eastAsia="zh-CN"/>
        </w:rPr>
        <w:t>二氧化碳浓度检测报警仪。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eastAsia"/>
        </w:rPr>
      </w:pPr>
      <w:r>
        <w:rPr>
          <w:rFonts w:hint="eastAsia"/>
        </w:rPr>
        <w:t>C</w:t>
      </w:r>
      <w:r>
        <w:t>.1.3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测量标准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/>
        <w:textAlignment w:val="auto"/>
      </w:pPr>
      <w:r>
        <w:rPr>
          <w:rFonts w:hint="eastAsia"/>
        </w:rPr>
        <w:t>表C.1中给出了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标准及主要技术指标。</w:t>
      </w:r>
    </w:p>
    <w:p>
      <w:pPr>
        <w:spacing w:line="360" w:lineRule="auto"/>
        <w:jc w:val="center"/>
        <w:rPr>
          <w:rFonts w:eastAsia="黑体"/>
        </w:rPr>
      </w:pPr>
      <w:bookmarkStart w:id="322" w:name="_Hlk166233067"/>
      <w:r>
        <w:rPr>
          <w:rStyle w:val="102"/>
          <w:rFonts w:hint="default" w:cs="Times New Roman"/>
          <w:color w:val="auto"/>
        </w:rPr>
        <w:t xml:space="preserve">表C.1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标准技术指标</w:t>
      </w:r>
    </w:p>
    <w:bookmarkEnd w:id="322"/>
    <w:tbl>
      <w:tblPr>
        <w:tblStyle w:val="2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28"/>
        <w:gridCol w:w="5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测量的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氮</w:t>
            </w:r>
            <w:r>
              <w:rPr>
                <w:rStyle w:val="101"/>
                <w:color w:val="auto"/>
              </w:rPr>
              <w:t>中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二氧化碳</w:t>
            </w:r>
            <w:r>
              <w:rPr>
                <w:rStyle w:val="101"/>
                <w:color w:val="auto"/>
              </w:rPr>
              <w:t>标准气体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 w:eastAsia="宋体"/>
                <w:i w:val="0"/>
                <w:iCs w:val="0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Style w:val="101"/>
                <w:color w:val="auto"/>
              </w:rPr>
              <w:t>=2%，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准确度等级为4级、测量范围（0～2）L/min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准确度等级为4级、测量范围（0～2</w:t>
            </w:r>
            <w:r>
              <w:rPr>
                <w:rStyle w:val="101"/>
                <w:color w:val="auto"/>
              </w:rPr>
              <w:t>0</w:t>
            </w:r>
            <w:r>
              <w:rPr>
                <w:rStyle w:val="101"/>
                <w:color w:val="auto"/>
                <w:lang w:val="zh-TW" w:eastAsia="zh-TW"/>
              </w:rPr>
              <w:t>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4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气体减压器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</w:t>
            </w:r>
            <w:r>
              <w:rPr>
                <w:rStyle w:val="101"/>
                <w:color w:val="auto"/>
              </w:rPr>
              <w:t>2.5</w:t>
            </w:r>
            <w:r>
              <w:rPr>
                <w:rStyle w:val="101"/>
                <w:color w:val="auto"/>
                <w:lang w:val="zh-TW" w:eastAsia="zh-TW"/>
              </w:rPr>
              <w:t>级</w:t>
            </w:r>
          </w:p>
        </w:tc>
      </w:tr>
    </w:tbl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C.1.4 </w:t>
      </w:r>
      <w:r>
        <w:rPr>
          <w:rFonts w:hint="eastAsia"/>
          <w:lang w:val="en-US" w:eastAsia="zh-CN"/>
        </w:rPr>
        <w:t>校准方法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按照本规范6.2的规定进行校准。本示例仅取</w:t>
      </w:r>
      <w:r>
        <w:rPr>
          <w:rFonts w:hint="eastAsia" w:ascii="Times New Roman" w:hAnsi="Times New Roman"/>
        </w:rPr>
        <w:t>浓度为满量程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0%的</w:t>
      </w:r>
      <w:r>
        <w:rPr>
          <w:rFonts w:hint="eastAsia"/>
          <w:lang w:val="en-US" w:eastAsia="zh-CN"/>
        </w:rPr>
        <w:t>校准点进行说明，其他校准点参照本示例。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ind w:firstLine="0" w:firstLineChars="0"/>
        <w:textAlignment w:val="auto"/>
        <w:rPr>
          <w:rFonts w:hint="eastAsia" w:eastAsia="黑体"/>
        </w:rPr>
      </w:pPr>
      <w:r>
        <w:rPr>
          <w:rFonts w:hint="eastAsia"/>
        </w:rPr>
        <w:t xml:space="preserve">C.2 </w:t>
      </w:r>
      <w:r>
        <w:rPr>
          <w:rFonts w:hint="eastAsia" w:eastAsia="黑体"/>
        </w:rPr>
        <w:t>测量模型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323" w:name="_Toc30795"/>
      <w:r>
        <w:rPr>
          <w:rFonts w:hint="eastAsia" w:cs="Times New Roman"/>
          <w:lang w:val="en-US" w:eastAsia="zh-CN"/>
        </w:rPr>
        <w:t>检测</w:t>
      </w:r>
      <w:r>
        <w:rPr>
          <w:rFonts w:hint="eastAsia" w:ascii="Times New Roman" w:hAnsi="Times New Roman" w:cs="Times New Roman"/>
          <w:lang w:val="en-US" w:eastAsia="zh-CN"/>
        </w:rPr>
        <w:t>仪</w:t>
      </w:r>
      <w:r>
        <w:rPr>
          <w:rFonts w:hint="eastAsia" w:cs="Times New Roman"/>
          <w:lang w:val="en-US" w:eastAsia="zh-CN"/>
        </w:rPr>
        <w:t>示值误差</w:t>
      </w:r>
      <w:r>
        <w:rPr>
          <w:rFonts w:hint="eastAsia" w:ascii="Times New Roman" w:hAnsi="Times New Roman" w:cs="Times New Roman"/>
          <w:lang w:val="en-US" w:eastAsia="zh-CN"/>
        </w:rPr>
        <w:t>校准采用直接测量方法，其测量模型见公式（C.1）</w:t>
      </w:r>
      <w:bookmarkEnd w:id="323"/>
      <w:r>
        <w:rPr>
          <w:rFonts w:hint="eastAsia" w:cs="Times New Roman"/>
          <w:lang w:val="en-US" w:eastAsia="zh-CN"/>
        </w:rPr>
        <w:t>。</w:t>
      </w:r>
    </w:p>
    <w:p>
      <w:pPr>
        <w:spacing w:line="360" w:lineRule="auto"/>
        <w:jc w:val="right"/>
        <w:rPr>
          <w:rFonts w:eastAsia="宋体"/>
          <w:sz w:val="24"/>
        </w:rPr>
      </w:pPr>
      <w:r>
        <w:rPr>
          <w:rFonts w:hint="eastAsia" w:hAnsi="宋体" w:cs="宋体"/>
          <w:position w:val="-12"/>
        </w:rPr>
        <w:object>
          <v:shape id="_x0000_i1066" o:spt="75" type="#_x0000_t75" style="height:18pt;width:62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106">
            <o:LockedField>false</o:LockedField>
          </o:OLEObject>
        </w:object>
      </w:r>
      <w:r>
        <w:rPr>
          <w:rFonts w:eastAsia="宋体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eastAsia="宋体"/>
          <w:sz w:val="24"/>
        </w:rPr>
        <w:t xml:space="preserve">                （</w:t>
      </w:r>
      <w:r>
        <w:rPr>
          <w:rFonts w:hint="eastAsia"/>
          <w:sz w:val="24"/>
        </w:rPr>
        <w:t>C.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>
      <w:pPr>
        <w:pStyle w:val="6"/>
        <w:rPr>
          <w:position w:val="-6"/>
          <w:vertAlign w:val="subscript"/>
        </w:rPr>
      </w:pPr>
      <w:r>
        <w:rPr>
          <w:rFonts w:hint="eastAsia"/>
          <w:sz w:val="24"/>
        </w:rPr>
        <w:t>式中：</w:t>
      </w:r>
    </w:p>
    <w:p>
      <w:pPr>
        <w:pStyle w:val="6"/>
        <w:rPr>
          <w:position w:val="-6"/>
          <w:vertAlign w:val="subscript"/>
        </w:rPr>
      </w:pPr>
      <w:r>
        <w:rPr>
          <w:rFonts w:hint="default" w:ascii="Times New Roman" w:hAnsi="Times New Roman" w:cs="Times New Roman"/>
          <w:position w:val="-6"/>
          <w:sz w:val="24"/>
          <w:szCs w:val="24"/>
          <w:vertAlign w:val="baseline"/>
        </w:rPr>
        <w:t>Δ</w:t>
      </w:r>
      <w:r>
        <w:rPr>
          <w:rFonts w:hint="eastAsia"/>
          <w:i w:val="0"/>
          <w:iCs w:val="0"/>
          <w:position w:val="-6"/>
          <w:sz w:val="24"/>
          <w:szCs w:val="24"/>
          <w:vertAlign w:val="baseline"/>
          <w:lang w:val="en-US" w:eastAsia="zh-CN"/>
        </w:rPr>
        <w:t>C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示值</w:t>
      </w:r>
      <w:r>
        <w:t>误差</w:t>
      </w:r>
      <w:r>
        <w:rPr>
          <w:rFonts w:hint="eastAsia"/>
        </w:rPr>
        <w:t>，mol/mol</w:t>
      </w:r>
      <w:r>
        <w:t>；</w:t>
      </w:r>
    </w:p>
    <w:p>
      <w:pPr>
        <w:pStyle w:val="6"/>
      </w:pPr>
      <w:r>
        <w:rPr>
          <w:rFonts w:hint="eastAsia" w:ascii="Times New Roman" w:hAnsi="Times New Roman" w:cs="Times New Roman"/>
          <w:i w:val="0"/>
          <w:iCs w:val="0"/>
          <w:sz w:val="24"/>
          <w:szCs w:val="22"/>
          <w:lang w:val="en-US" w:eastAsia="zh-CN"/>
        </w:rPr>
        <w:t>C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示值，</w:t>
      </w:r>
      <w:r>
        <w:rPr>
          <w:rFonts w:hint="eastAsia"/>
        </w:rPr>
        <w:t>mol/mol</w:t>
      </w:r>
      <w:r>
        <w:t>；</w:t>
      </w:r>
    </w:p>
    <w:p>
      <w:pPr>
        <w:pStyle w:val="6"/>
        <w:rPr>
          <w:rFonts w:hint="eastAsia"/>
        </w:rPr>
      </w:pPr>
      <w:r>
        <w:rPr>
          <w:rFonts w:hint="eastAsia"/>
          <w:i w:val="0"/>
          <w:iCs w:val="0"/>
          <w:sz w:val="24"/>
          <w:szCs w:val="22"/>
          <w:lang w:val="en-US" w:eastAsia="zh-CN"/>
        </w:rPr>
        <w:t>C</w:t>
      </w:r>
      <w:r>
        <w:rPr>
          <w:rFonts w:hint="eastAsia"/>
          <w:sz w:val="24"/>
          <w:szCs w:val="22"/>
          <w:vertAlign w:val="subscript"/>
          <w:lang w:val="en-US" w:eastAsia="zh-CN"/>
        </w:rPr>
        <w:t>0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气体浓度值</w:t>
      </w:r>
      <w:r>
        <w:rPr>
          <w:rFonts w:hint="eastAsia"/>
        </w:rPr>
        <w:t>，mol/mol。</w:t>
      </w:r>
    </w:p>
    <w:p>
      <w:pPr>
        <w:pStyle w:val="43"/>
        <w:spacing w:line="300" w:lineRule="auto"/>
        <w:ind w:firstLine="480"/>
        <w:rPr>
          <w:rFonts w:hint="default" w:eastAsia="宋体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由测量模型可知，输入量C的灵敏系数C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为1，输入量</w:t>
      </w:r>
      <w:r>
        <w:rPr>
          <w:rFonts w:hint="eastAsia"/>
          <w:i w:val="0"/>
          <w:iCs w:val="0"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</w:t>
      </w:r>
      <w:r>
        <w:rPr>
          <w:rFonts w:hint="eastAsia"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为-1。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C.3 </w:t>
      </w:r>
      <w:r>
        <w:rPr>
          <w:rFonts w:hint="eastAsia" w:eastAsia="黑体"/>
        </w:rPr>
        <w:t>测量不确定度来源分析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测量不确定度来源主要有：</w:t>
      </w:r>
    </w:p>
    <w:p>
      <w:pPr>
        <w:pStyle w:val="43"/>
        <w:numPr>
          <w:ilvl w:val="0"/>
          <w:numId w:val="6"/>
        </w:num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由测量过程引入的不确定度分量</w:t>
      </w:r>
      <w:r>
        <w:rPr>
          <w:position w:val="-10"/>
          <w:vertAlign w:val="subscript"/>
        </w:rPr>
        <w:object>
          <v:shape id="_x0000_i1067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108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1.1）由测量重复性引入的不确定度分量</w:t>
      </w:r>
      <w:r>
        <w:rPr>
          <w:position w:val="-10"/>
          <w:vertAlign w:val="subscript"/>
        </w:rPr>
        <w:object>
          <v:shape id="_x0000_i1068" o:spt="75" type="#_x0000_t75" style="height:17pt;width:1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110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1.2）由检测仪分辨力引入的不确定度分量</w:t>
      </w:r>
      <w:r>
        <w:rPr>
          <w:position w:val="-10"/>
          <w:vertAlign w:val="subscript"/>
        </w:rPr>
        <w:object>
          <v:shape id="_x0000_i1069" o:spt="75" type="#_x0000_t75" style="height:17pt;width:16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112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6"/>
        </w:num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由标准气体不确定度引入的不确定度分量</w:t>
      </w:r>
      <w:r>
        <w:rPr>
          <w:position w:val="-10"/>
          <w:vertAlign w:val="subscript"/>
        </w:rPr>
        <w:object>
          <v:shape id="_x0000_i107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114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  <w:rPr>
          <w:rFonts w:cs="宋体"/>
          <w:szCs w:val="24"/>
        </w:rPr>
      </w:pPr>
      <w:r>
        <w:rPr>
          <w:rFonts w:hint="eastAsia" w:cs="宋体"/>
        </w:rPr>
        <w:t xml:space="preserve">C.4 </w:t>
      </w:r>
      <w:r>
        <w:rPr>
          <w:rFonts w:hint="eastAsia" w:eastAsia="黑体" w:cs="宋体"/>
          <w:szCs w:val="24"/>
          <w:lang w:val="en-US" w:eastAsia="zh-CN"/>
        </w:rPr>
        <w:t>测量</w:t>
      </w:r>
      <w:r>
        <w:rPr>
          <w:rFonts w:hint="eastAsia" w:eastAsia="黑体" w:cs="宋体"/>
          <w:szCs w:val="24"/>
        </w:rPr>
        <w:t>不确定度评定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bookmarkStart w:id="324" w:name="_Toc26732"/>
      <w:r>
        <w:rPr>
          <w:rFonts w:hint="eastAsia"/>
          <w:szCs w:val="24"/>
        </w:rPr>
        <w:t>C.4.1 由</w:t>
      </w:r>
      <w:r>
        <w:rPr>
          <w:rFonts w:hint="eastAsia"/>
          <w:szCs w:val="24"/>
          <w:lang w:val="en-US" w:eastAsia="zh-CN"/>
        </w:rPr>
        <w:t>测量过程</w:t>
      </w:r>
      <w:r>
        <w:rPr>
          <w:rFonts w:hint="eastAsia"/>
          <w:szCs w:val="24"/>
        </w:rPr>
        <w:t>引</w:t>
      </w:r>
      <w:r>
        <w:rPr>
          <w:rFonts w:hint="eastAsia"/>
          <w:szCs w:val="24"/>
          <w:lang w:val="en-US" w:eastAsia="zh-CN"/>
        </w:rPr>
        <w:t>入</w:t>
      </w:r>
      <w:r>
        <w:rPr>
          <w:rFonts w:hint="eastAsia"/>
          <w:szCs w:val="24"/>
        </w:rPr>
        <w:t>的不确定度分量</w:t>
      </w:r>
      <w:bookmarkEnd w:id="324"/>
      <w:r>
        <w:rPr>
          <w:position w:val="-10"/>
          <w:vertAlign w:val="subscript"/>
        </w:rPr>
        <w:object>
          <v:shape id="_x0000_i1071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16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r>
        <w:rPr>
          <w:rFonts w:hint="eastAsia"/>
          <w:szCs w:val="24"/>
        </w:rPr>
        <w:t>C</w:t>
      </w:r>
      <w:r>
        <w:rPr>
          <w:szCs w:val="24"/>
        </w:rPr>
        <w:t>.4</w:t>
      </w:r>
      <w:r>
        <w:rPr>
          <w:rFonts w:hint="eastAsia"/>
          <w:szCs w:val="24"/>
        </w:rPr>
        <w:t xml:space="preserve">.1.1 </w:t>
      </w:r>
      <w:r>
        <w:rPr>
          <w:rFonts w:hint="eastAsia"/>
          <w:szCs w:val="24"/>
          <w:lang w:val="en-US" w:eastAsia="zh-CN"/>
        </w:rPr>
        <w:t>由</w:t>
      </w:r>
      <w:r>
        <w:rPr>
          <w:rFonts w:hint="eastAsia"/>
          <w:szCs w:val="24"/>
        </w:rPr>
        <w:t>测量重复性引入的不确定度分量</w:t>
      </w:r>
      <w:r>
        <w:rPr>
          <w:position w:val="-10"/>
          <w:vertAlign w:val="subscript"/>
        </w:rPr>
        <w:object>
          <v:shape id="_x0000_i1072" o:spt="75" type="#_x0000_t75" style="height:17pt;width:1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17">
            <o:LockedField>false</o:LockedField>
          </o:OLEObject>
        </w:object>
      </w:r>
    </w:p>
    <w:p>
      <w:pPr>
        <w:pStyle w:val="6"/>
        <w:ind w:firstLine="480" w:firstLineChars="200"/>
        <w:jc w:val="left"/>
        <w:rPr>
          <w:rFonts w:hAnsi="Cambria Math"/>
          <w:position w:val="-26"/>
          <w:sz w:val="24"/>
          <w:szCs w:val="24"/>
        </w:rPr>
      </w:pPr>
      <w:r>
        <w:rPr>
          <w:rFonts w:hint="eastAsia" w:hAnsi="Cambria Math"/>
          <w:position w:val="-26"/>
          <w:sz w:val="24"/>
          <w:szCs w:val="24"/>
        </w:rPr>
        <w:t>重复条件下，在</w:t>
      </w:r>
      <w:r>
        <w:rPr>
          <w:rFonts w:hint="eastAsia" w:hAnsi="Cambria Math"/>
          <w:position w:val="-26"/>
          <w:sz w:val="24"/>
          <w:szCs w:val="24"/>
          <w:lang w:val="en-US" w:eastAsia="zh-CN"/>
        </w:rPr>
        <w:t>5</w:t>
      </w:r>
      <w:r>
        <w:rPr>
          <w:rFonts w:hint="eastAsia" w:hAnsi="Cambria Math"/>
          <w:position w:val="-26"/>
          <w:sz w:val="24"/>
          <w:szCs w:val="24"/>
        </w:rPr>
        <w:t>0%mol/mol标准气体浓度点连续测量10次，得到数据见表C.2：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position w:val="-26"/>
          <w:szCs w:val="21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表C.2 测量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重复性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结果</w:t>
      </w:r>
    </w:p>
    <w:tbl>
      <w:tblPr>
        <w:tblStyle w:val="2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04"/>
        <w:gridCol w:w="806"/>
        <w:gridCol w:w="806"/>
        <w:gridCol w:w="807"/>
        <w:gridCol w:w="807"/>
        <w:gridCol w:w="807"/>
        <w:gridCol w:w="807"/>
        <w:gridCol w:w="807"/>
        <w:gridCol w:w="807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序号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1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2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3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4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5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6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7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8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9</w:t>
            </w:r>
          </w:p>
        </w:tc>
        <w:tc>
          <w:tcPr>
            <w:tcW w:w="41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示值</w:t>
            </w:r>
          </w:p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mol/mol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其算术平均值为：</w:t>
      </w:r>
      <w:bookmarkStart w:id="325" w:name="_Hlk104130921"/>
      <w:bookmarkStart w:id="326" w:name="_Hlk104130747"/>
    </w:p>
    <w:bookmarkEnd w:id="325"/>
    <w:bookmarkEnd w:id="326"/>
    <w:p>
      <w:pPr>
        <w:spacing w:line="360" w:lineRule="auto"/>
        <w:jc w:val="center"/>
        <w:rPr>
          <w:rFonts w:eastAsia="宋体"/>
          <w:sz w:val="24"/>
        </w:rPr>
      </w:pPr>
      <w:r>
        <w:rPr>
          <w:position w:val="-28"/>
          <w:sz w:val="24"/>
        </w:rPr>
        <w:object>
          <v:shape id="_x0000_i1073" o:spt="75" type="#_x0000_t75" style="height:34pt;width:139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19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rFonts w:hint="eastAsia"/>
          <w:position w:val="-30"/>
          <w:sz w:val="24"/>
        </w:rPr>
        <w:object>
          <v:shape id="_x0000_i1074" o:spt="75" type="#_x0000_t75" style="height:38pt;width:193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21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由于实际校准过程中是测量3次取平均值作为误差计算依据，则测量重复性引入的不确定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度</w:t>
      </w:r>
      <w:r>
        <w:rPr>
          <w:rStyle w:val="27"/>
          <w:rFonts w:eastAsia="宋体"/>
          <w:b w:val="0"/>
          <w:sz w:val="24"/>
        </w:rPr>
        <w:t>为：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eastAsia="宋体"/>
          <w:position w:val="-28"/>
          <w:sz w:val="24"/>
        </w:rPr>
        <w:object>
          <v:shape id="_x0000_i1075" o:spt="75" type="#_x0000_t75" style="height:33pt;width:128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23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r>
        <w:rPr>
          <w:rFonts w:hint="eastAsia"/>
          <w:szCs w:val="24"/>
        </w:rPr>
        <w:t>C</w:t>
      </w:r>
      <w:r>
        <w:rPr>
          <w:szCs w:val="24"/>
        </w:rPr>
        <w:t>.</w:t>
      </w:r>
      <w:r>
        <w:rPr>
          <w:rFonts w:hint="eastAsia"/>
          <w:szCs w:val="24"/>
        </w:rPr>
        <w:t>4.1.2  由</w:t>
      </w:r>
      <w:r>
        <w:rPr>
          <w:rFonts w:hint="eastAsia"/>
          <w:szCs w:val="24"/>
          <w:lang w:val="en-US" w:eastAsia="zh-CN"/>
        </w:rPr>
        <w:t>检测仪</w:t>
      </w:r>
      <w:r>
        <w:rPr>
          <w:rFonts w:hint="eastAsia"/>
          <w:szCs w:val="24"/>
        </w:rPr>
        <w:t>分辨力引入的不确定度分量</w:t>
      </w:r>
      <w:r>
        <w:rPr>
          <w:position w:val="-10"/>
          <w:vertAlign w:val="subscript"/>
        </w:rPr>
        <w:object>
          <v:shape id="_x0000_i1076" o:spt="75" type="#_x0000_t75" style="height:17pt;width:16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25">
            <o:LockedField>false</o:LockedField>
          </o:OLEObject>
        </w:object>
      </w:r>
    </w:p>
    <w:p>
      <w:pPr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被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校检测仪</w:t>
      </w:r>
      <w:r>
        <w:rPr>
          <w:rStyle w:val="27"/>
          <w:rFonts w:eastAsia="宋体"/>
          <w:b w:val="0"/>
          <w:sz w:val="24"/>
        </w:rPr>
        <w:t>的分辨力为1%</w:t>
      </w:r>
      <w:r>
        <w:rPr>
          <w:rFonts w:eastAsia="宋体"/>
          <w:sz w:val="24"/>
        </w:rPr>
        <w:t>mol/mol</w:t>
      </w:r>
      <w:r>
        <w:rPr>
          <w:rStyle w:val="27"/>
          <w:rFonts w:eastAsia="宋体"/>
          <w:b w:val="0"/>
          <w:sz w:val="24"/>
        </w:rPr>
        <w:t>，属B类评定，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区间半宽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/2=0.</w:t>
      </w:r>
      <w:r>
        <w:rPr>
          <w:rFonts w:hint="eastAsia" w:eastAsia="宋体" w:cs="Times New Roman"/>
          <w:sz w:val="24"/>
          <w:szCs w:val="24"/>
          <w:lang w:val="en-US" w:eastAsia="zh-CN"/>
        </w:rPr>
        <w:t>5</w:t>
      </w:r>
      <w:r>
        <w:rPr>
          <w:rStyle w:val="27"/>
          <w:rFonts w:eastAsia="宋体"/>
          <w:b w:val="0"/>
          <w:sz w:val="24"/>
        </w:rPr>
        <w:t>%</w:t>
      </w:r>
      <w:r>
        <w:rPr>
          <w:rFonts w:eastAsia="宋体"/>
          <w:sz w:val="24"/>
        </w:rPr>
        <w:t>mol/mol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eastAsia="宋体" w:cs="Times New Roman"/>
          <w:sz w:val="24"/>
          <w:szCs w:val="24"/>
          <w:lang w:val="en-US" w:eastAsia="zh-CN"/>
        </w:rPr>
        <w:t>服从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均匀分布，取</w: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77" o:spt="75" type="#_x0000_t75" style="height:18pt;width:36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27">
            <o:LockedField>false</o:LockedField>
          </o:OLEObject>
        </w:object>
      </w:r>
      <w:r>
        <w:rPr>
          <w:rStyle w:val="27"/>
          <w:rFonts w:eastAsia="宋体"/>
          <w:b w:val="0"/>
          <w:sz w:val="24"/>
        </w:rPr>
        <w:t>，则：</w:t>
      </w:r>
    </w:p>
    <w:p>
      <w:pPr>
        <w:ind w:firstLine="480" w:firstLineChars="200"/>
        <w:jc w:val="center"/>
        <w:rPr>
          <w:rFonts w:eastAsia="宋体"/>
          <w:sz w:val="24"/>
        </w:rPr>
      </w:pPr>
      <w:r>
        <w:rPr>
          <w:rFonts w:hint="default" w:ascii="Times New Roman" w:hAnsi="Times New Roman" w:eastAsia="宋体" w:cs="Times New Roman"/>
          <w:position w:val="-24"/>
          <w:sz w:val="24"/>
        </w:rPr>
        <w:object>
          <v:shape id="_x0000_i1078" o:spt="75" type="#_x0000_t75" style="height:31pt;width:119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29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hint="eastAsia" w:eastAsia="宋体"/>
          <w:b w:val="0"/>
          <w:sz w:val="24"/>
          <w:lang w:eastAsia="zh-CN"/>
        </w:rPr>
      </w:pPr>
      <w:r>
        <w:rPr>
          <w:rStyle w:val="27"/>
          <w:rFonts w:eastAsia="宋体"/>
          <w:b w:val="0"/>
          <w:sz w:val="24"/>
        </w:rPr>
        <w:t>重复性引入的不确定度分量与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检测仪</w:t>
      </w:r>
      <w:r>
        <w:rPr>
          <w:rStyle w:val="27"/>
          <w:rFonts w:eastAsia="宋体"/>
          <w:b w:val="0"/>
          <w:sz w:val="24"/>
        </w:rPr>
        <w:t>分辨力引入的不确定度分量，两者取大值，则</w:t>
      </w:r>
      <w:r>
        <w:rPr>
          <w:rStyle w:val="27"/>
          <w:rFonts w:hint="eastAsia" w:eastAsia="宋体"/>
          <w:b w:val="0"/>
          <w:sz w:val="24"/>
          <w:lang w:eastAsia="zh-CN"/>
        </w:rPr>
        <w:t>：</w:t>
      </w:r>
    </w:p>
    <w:p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10"/>
          <w:vertAlign w:val="subscript"/>
        </w:rPr>
        <w:object>
          <v:shape id="_x0000_i1079" o:spt="75" type="#_x0000_t75" style="height:17pt;width:95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31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bookmarkStart w:id="327" w:name="_Toc19857"/>
      <w:r>
        <w:rPr>
          <w:rFonts w:hint="eastAsia"/>
          <w:szCs w:val="24"/>
        </w:rPr>
        <w:t>C.4.2  由</w:t>
      </w:r>
      <w:r>
        <w:rPr>
          <w:rFonts w:hint="eastAsia"/>
          <w:lang w:val="en-US" w:eastAsia="zh-CN"/>
        </w:rPr>
        <w:t>标准气体不确定度引入</w:t>
      </w:r>
      <w:r>
        <w:rPr>
          <w:rFonts w:hint="eastAsia"/>
          <w:szCs w:val="24"/>
        </w:rPr>
        <w:t>的不确定度分量</w:t>
      </w:r>
      <w:bookmarkEnd w:id="327"/>
      <w:r>
        <w:rPr>
          <w:position w:val="-10"/>
          <w:vertAlign w:val="subscript"/>
        </w:rPr>
        <w:object>
          <v:shape id="_x0000_i108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3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eastAsia="宋体"/>
          <w:kern w:val="0"/>
          <w:sz w:val="24"/>
          <w:lang w:bidi="ar"/>
        </w:rPr>
      </w:pPr>
      <w:r>
        <w:rPr>
          <w:rStyle w:val="27"/>
          <w:rFonts w:eastAsia="宋体"/>
          <w:b w:val="0"/>
          <w:sz w:val="24"/>
        </w:rPr>
        <w:t>标准气体的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i w:val="0"/>
          <w:iCs w:val="0"/>
          <w:kern w:val="0"/>
          <w:sz w:val="24"/>
          <w:vertAlign w:val="subscript"/>
          <w:lang w:val="en-US" w:eastAsia="zh-CN" w:bidi="ar"/>
        </w:rPr>
        <w:t>rel</w:t>
      </w:r>
      <w:r>
        <w:rPr>
          <w:rFonts w:eastAsia="宋体"/>
          <w:kern w:val="0"/>
          <w:sz w:val="24"/>
          <w:lang w:bidi="ar"/>
        </w:rPr>
        <w:t>=2%，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=2，则</w:t>
      </w:r>
      <w:r>
        <w:rPr>
          <w:rFonts w:hint="eastAsia" w:eastAsia="宋体"/>
          <w:kern w:val="0"/>
          <w:sz w:val="24"/>
          <w:lang w:bidi="ar"/>
        </w:rPr>
        <w:t>在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hint="eastAsia" w:eastAsia="宋体"/>
          <w:kern w:val="0"/>
          <w:sz w:val="24"/>
          <w:lang w:bidi="ar"/>
        </w:rPr>
        <w:t>0%mol/mol浓度时</w:t>
      </w:r>
      <w:r>
        <w:rPr>
          <w:rFonts w:eastAsia="宋体"/>
          <w:kern w:val="0"/>
          <w:sz w:val="24"/>
          <w:lang w:bidi="ar"/>
        </w:rPr>
        <w:t>：</w:t>
      </w:r>
    </w:p>
    <w:p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24"/>
          <w:vertAlign w:val="subscript"/>
        </w:rPr>
        <w:object>
          <v:shape id="_x0000_i1081" o:spt="75" type="#_x0000_t75" style="height:31pt;width:214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34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ind w:firstLine="0" w:firstLineChars="0"/>
        <w:textAlignment w:val="auto"/>
        <w:rPr>
          <w:rFonts w:eastAsia="黑体"/>
          <w:szCs w:val="24"/>
        </w:rPr>
      </w:pPr>
      <w:r>
        <w:rPr>
          <w:rFonts w:hint="eastAsia"/>
          <w:szCs w:val="24"/>
        </w:rPr>
        <w:t xml:space="preserve">C.5  </w:t>
      </w:r>
      <w:r>
        <w:rPr>
          <w:rFonts w:hint="eastAsia" w:eastAsia="黑体"/>
          <w:szCs w:val="24"/>
        </w:rPr>
        <w:t>标准不确定度分量汇总</w:t>
      </w:r>
    </w:p>
    <w:p>
      <w:pPr>
        <w:pStyle w:val="43"/>
        <w:ind w:firstLine="480"/>
        <w:rPr>
          <w:rFonts w:cs="宋体"/>
          <w:szCs w:val="24"/>
        </w:rPr>
      </w:pPr>
      <w:r>
        <w:rPr>
          <w:rFonts w:hint="eastAsia" w:cs="宋体"/>
          <w:szCs w:val="24"/>
        </w:rPr>
        <w:t>标准不确定度分量汇总见表C.3所示：</w:t>
      </w:r>
    </w:p>
    <w:p>
      <w:pPr>
        <w:spacing w:line="360" w:lineRule="auto"/>
        <w:jc w:val="center"/>
        <w:rPr>
          <w:rStyle w:val="102"/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表C.3 标准不确定度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</w:t>
      </w:r>
      <w:r>
        <w:rPr>
          <w:rStyle w:val="102"/>
          <w:rFonts w:hint="default" w:ascii="Times New Roman" w:hAnsi="Times New Roman" w:cs="Times New Roman"/>
          <w:color w:val="auto"/>
          <w:szCs w:val="21"/>
        </w:rPr>
        <w:t>汇总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表</w:t>
      </w:r>
    </w:p>
    <w:tbl>
      <w:tblPr>
        <w:tblStyle w:val="2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911"/>
        <w:gridCol w:w="2635"/>
        <w:gridCol w:w="1225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标准不确定度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mol/mol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mol/mol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测量过程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2" o:spt="75" type="#_x0000_t75" style="height:17pt;width:12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KSEE3" ShapeID="_x0000_i1082" DrawAspect="Content" ObjectID="_1468075782" r:id="rId136">
                  <o:LockedField>false</o:LockedField>
                </o:OLEObject>
              </w:object>
            </w:r>
          </w:p>
        </w:tc>
        <w:tc>
          <w:tcPr>
            <w:tcW w:w="137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-</w:t>
            </w:r>
          </w:p>
        </w:tc>
        <w:tc>
          <w:tcPr>
            <w:tcW w:w="64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39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测量重复性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3" o:spt="75" type="#_x0000_t75" style="height:17pt;width:15pt;" o:ole="t" filled="f" o:preferrelative="t" stroked="f" coordsize="21600,21600">
                  <v:path/>
                  <v:fill on="f" focussize="0,0"/>
                  <v:stroke on="f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KSEE3" ShapeID="_x0000_i1083" DrawAspect="Content" ObjectID="_1468075783" r:id="rId137">
                  <o:LockedField>false</o:LockedField>
                </o:OLEObject>
              </w:object>
            </w:r>
          </w:p>
        </w:tc>
        <w:tc>
          <w:tcPr>
            <w:tcW w:w="137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%</w:t>
            </w:r>
          </w:p>
        </w:tc>
        <w:tc>
          <w:tcPr>
            <w:tcW w:w="64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检测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仪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分辨力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4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KSEE3" ShapeID="_x0000_i1084" DrawAspect="Content" ObjectID="_1468075784" r:id="rId139">
                  <o:LockedField>false</o:LockedField>
                </o:OLEObject>
              </w:object>
            </w:r>
          </w:p>
        </w:tc>
        <w:tc>
          <w:tcPr>
            <w:tcW w:w="137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0.29%</w:t>
            </w:r>
          </w:p>
        </w:tc>
        <w:tc>
          <w:tcPr>
            <w:tcW w:w="64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标准气体不确定度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</w:t>
            </w:r>
            <w:r>
              <w:rPr>
                <w:rStyle w:val="27"/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确定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度分量</w:t>
            </w:r>
          </w:p>
        </w:tc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5" o:spt="75" type="#_x0000_t75" style="height:17pt;width:13pt;" o:ole="t" filled="f" o:preferrelative="t" stroked="f" coordsize="21600,21600">
                  <v:path/>
                  <v:fill on="f" focussize="0,0"/>
                  <v:stroke on="f" joinstyle="miter"/>
                  <v:imagedata r:id="rId115" o:title=""/>
                  <o:lock v:ext="edit" aspectratio="t"/>
                  <w10:wrap type="none"/>
                  <w10:anchorlock/>
                </v:shape>
                <o:OLEObject Type="Embed" ProgID="Equation.KSEE3" ShapeID="_x0000_i1085" DrawAspect="Content" ObjectID="_1468075785" r:id="rId141">
                  <o:LockedField>false</o:LockedField>
                </o:OLEObject>
              </w:object>
            </w:r>
          </w:p>
        </w:tc>
        <w:tc>
          <w:tcPr>
            <w:tcW w:w="137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%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-1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</w:t>
            </w:r>
          </w:p>
        </w:tc>
      </w:tr>
    </w:tbl>
    <w:p>
      <w:pPr>
        <w:pStyle w:val="43"/>
        <w:spacing w:before="156" w:beforeLines="50" w:after="156" w:afterLines="50"/>
        <w:ind w:firstLine="0" w:firstLineChars="0"/>
        <w:outlineLvl w:val="0"/>
        <w:rPr>
          <w:rFonts w:eastAsia="黑体" w:cs="宋体"/>
          <w:bCs/>
          <w:szCs w:val="24"/>
        </w:rPr>
      </w:pPr>
      <w:bookmarkStart w:id="328" w:name="_Toc10184"/>
      <w:bookmarkStart w:id="329" w:name="_Toc1654"/>
      <w:bookmarkStart w:id="330" w:name="_Toc4312"/>
      <w:bookmarkStart w:id="331" w:name="_Toc29016"/>
      <w:r>
        <w:rPr>
          <w:rFonts w:hint="eastAsia"/>
          <w:szCs w:val="24"/>
        </w:rPr>
        <w:t>C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6  </w:t>
      </w:r>
      <w:r>
        <w:rPr>
          <w:rFonts w:hint="eastAsia" w:eastAsia="黑体"/>
          <w:szCs w:val="24"/>
        </w:rPr>
        <w:t>合成</w:t>
      </w:r>
      <w:r>
        <w:rPr>
          <w:rFonts w:hint="eastAsia" w:eastAsia="黑体" w:cs="宋体"/>
          <w:bCs/>
          <w:szCs w:val="24"/>
        </w:rPr>
        <w:t>标准不确定度的计算</w:t>
      </w:r>
      <w:bookmarkEnd w:id="328"/>
      <w:bookmarkEnd w:id="329"/>
      <w:bookmarkEnd w:id="330"/>
      <w:bookmarkEnd w:id="331"/>
    </w:p>
    <w:p>
      <w:pPr>
        <w:pStyle w:val="43"/>
        <w:ind w:firstLine="480"/>
        <w:rPr>
          <w:rFonts w:eastAsia="黑体" w:cs="宋体"/>
          <w:bCs/>
          <w:szCs w:val="24"/>
        </w:rPr>
      </w:pPr>
      <w:r>
        <w:rPr>
          <w:rFonts w:hint="eastAsia" w:cs="宋体"/>
          <w:szCs w:val="24"/>
        </w:rPr>
        <w:t>合成标准不确定度</w:t>
      </w:r>
      <w:r>
        <w:rPr>
          <w:position w:val="-12"/>
          <w:vertAlign w:val="subscript"/>
        </w:rPr>
        <w:object>
          <v:shape id="_x0000_i1086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42">
            <o:LockedField>false</o:LockedField>
          </o:OLEObject>
        </w:object>
      </w:r>
      <w:r>
        <w:rPr>
          <w:rFonts w:hint="eastAsia" w:cs="宋体"/>
          <w:szCs w:val="24"/>
        </w:rPr>
        <w:t>按下式计算</w:t>
      </w:r>
      <w:r>
        <w:rPr>
          <w:rFonts w:hint="eastAsia" w:ascii="宋体" w:hAnsi="宋体" w:cs="宋体"/>
          <w:bCs/>
          <w:szCs w:val="24"/>
        </w:rPr>
        <w:t>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bCs/>
          <w:sz w:val="24"/>
        </w:rPr>
      </w:pPr>
      <w:r>
        <w:rPr>
          <w:rFonts w:hint="default" w:ascii="Times New Roman" w:hAnsi="Times New Roman" w:eastAsia="宋体" w:cs="Times New Roman"/>
          <w:i w:val="0"/>
          <w:iCs/>
          <w:position w:val="-12"/>
          <w:sz w:val="24"/>
        </w:rPr>
        <w:object>
          <v:shape id="_x0000_i1087" o:spt="75" type="#_x0000_t75" style="height:22pt;width:193.95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44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 xml:space="preserve">C.7  </w:t>
      </w:r>
      <w:r>
        <w:rPr>
          <w:rFonts w:hint="eastAsia" w:ascii="黑体" w:hAnsi="黑体" w:eastAsia="黑体" w:cs="黑体"/>
          <w:szCs w:val="24"/>
        </w:rPr>
        <w:t>扩展不确定度的评定</w:t>
      </w:r>
    </w:p>
    <w:p>
      <w:pPr>
        <w:pStyle w:val="43"/>
        <w:ind w:firstLine="480"/>
        <w:rPr>
          <w:position w:val="-10"/>
          <w:szCs w:val="24"/>
        </w:rPr>
      </w:pPr>
      <w:r>
        <w:rPr>
          <w:rFonts w:hint="eastAsia"/>
          <w:position w:val="-10"/>
          <w:szCs w:val="24"/>
        </w:rPr>
        <w:t>取包含因子</w:t>
      </w:r>
      <w:r>
        <w:rPr>
          <w:rFonts w:hint="eastAsia"/>
          <w:i/>
          <w:iCs/>
          <w:position w:val="-10"/>
          <w:szCs w:val="24"/>
        </w:rPr>
        <w:t>k</w:t>
      </w:r>
      <w:r>
        <w:rPr>
          <w:rFonts w:hint="eastAsia"/>
          <w:position w:val="-10"/>
          <w:szCs w:val="24"/>
        </w:rPr>
        <w:t>=2，示值误差测量结果扩展不确定度为：</w:t>
      </w:r>
    </w:p>
    <w:p>
      <w:pPr>
        <w:pStyle w:val="43"/>
        <w:ind w:firstLine="480"/>
        <w:jc w:val="center"/>
        <w:rPr>
          <w:rFonts w:ascii="Cambria Math" w:hAnsi="Cambria Math"/>
          <w:i/>
          <w:position w:val="-12"/>
          <w:szCs w:val="24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088" o:spt="75" type="#_x0000_t75" style="height:18pt;width:124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46">
            <o:LockedField>false</o:LockedField>
          </o:OLEObject>
        </w:object>
      </w:r>
    </w:p>
    <w:p>
      <w:pPr>
        <w:pStyle w:val="43"/>
        <w:ind w:firstLine="480"/>
        <w:jc w:val="left"/>
        <w:rPr>
          <w:iCs/>
          <w:position w:val="-12"/>
          <w:szCs w:val="24"/>
        </w:rPr>
      </w:pPr>
      <w:r>
        <w:rPr>
          <w:iCs/>
          <w:position w:val="-12"/>
          <w:szCs w:val="24"/>
        </w:rPr>
        <w:t>则相对扩展不确定度为：</w:t>
      </w:r>
    </w:p>
    <w:p>
      <w:pPr>
        <w:pStyle w:val="43"/>
        <w:ind w:firstLine="480"/>
        <w:jc w:val="center"/>
        <w:rPr>
          <w:iCs/>
          <w:position w:val="-12"/>
          <w:szCs w:val="24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089" o:spt="75" type="#_x0000_t75" style="height:18pt;width:229.95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48">
            <o:LockedField>false</o:LockedField>
          </o:OLEObject>
        </w:object>
      </w:r>
    </w:p>
    <w:p>
      <w:pPr>
        <w:pStyle w:val="43"/>
        <w:ind w:firstLine="480"/>
        <w:rPr>
          <w:iCs/>
          <w:position w:val="-12"/>
          <w:szCs w:val="24"/>
        </w:rPr>
      </w:pPr>
      <w:r>
        <w:rPr>
          <w:rFonts w:hint="eastAsia"/>
          <w:iCs/>
          <w:position w:val="-12"/>
          <w:szCs w:val="24"/>
        </w:rPr>
        <w:t>故，该</w:t>
      </w:r>
      <w:r>
        <w:rPr>
          <w:rFonts w:hint="eastAsia"/>
          <w:iCs/>
          <w:position w:val="-12"/>
          <w:szCs w:val="24"/>
          <w:lang w:val="en-US" w:eastAsia="zh-CN"/>
        </w:rPr>
        <w:t>二氧化碳</w:t>
      </w:r>
      <w:r>
        <w:rPr>
          <w:rFonts w:hint="eastAsia"/>
          <w:iCs/>
          <w:position w:val="-12"/>
          <w:szCs w:val="24"/>
        </w:rPr>
        <w:t>浓度检测报警仪在</w:t>
      </w:r>
      <w:r>
        <w:rPr>
          <w:rFonts w:hint="eastAsia"/>
          <w:iCs/>
          <w:position w:val="-12"/>
          <w:szCs w:val="24"/>
          <w:lang w:val="en-US" w:eastAsia="zh-CN"/>
        </w:rPr>
        <w:t>5</w:t>
      </w:r>
      <w:r>
        <w:rPr>
          <w:rFonts w:hint="eastAsia"/>
          <w:iCs/>
          <w:position w:val="-12"/>
          <w:szCs w:val="24"/>
        </w:rPr>
        <w:t>0%mol/mol校准点的</w:t>
      </w:r>
      <w:r>
        <w:rPr>
          <w:rFonts w:hint="eastAsia"/>
          <w:iCs/>
          <w:position w:val="-12"/>
          <w:szCs w:val="24"/>
          <w:lang w:val="en-US" w:eastAsia="zh-CN"/>
        </w:rPr>
        <w:t>校准结果</w:t>
      </w:r>
      <w:r>
        <w:rPr>
          <w:rFonts w:hint="eastAsia"/>
          <w:iCs/>
          <w:position w:val="-12"/>
          <w:szCs w:val="24"/>
        </w:rPr>
        <w:t>为</w:t>
      </w:r>
      <w:r>
        <w:rPr>
          <w:rFonts w:hint="eastAsia"/>
          <w:iCs/>
          <w:position w:val="-12"/>
          <w:szCs w:val="24"/>
          <w:lang w:val="en-US" w:eastAsia="zh-CN"/>
        </w:rPr>
        <w:t>50.7</w:t>
      </w:r>
      <w:r>
        <w:rPr>
          <w:rFonts w:hint="eastAsia"/>
          <w:iCs/>
          <w:position w:val="-12"/>
          <w:szCs w:val="24"/>
        </w:rPr>
        <w:t>%mol/mol，其扩展不确定度为：</w:t>
      </w:r>
      <w:r>
        <w:rPr>
          <w:rFonts w:hint="eastAsia"/>
          <w:i/>
          <w:position w:val="-12"/>
          <w:szCs w:val="24"/>
        </w:rPr>
        <w:t>U</w:t>
      </w:r>
      <w:r>
        <w:rPr>
          <w:rFonts w:hint="eastAsia"/>
          <w:iCs/>
          <w:position w:val="-12"/>
          <w:szCs w:val="24"/>
          <w:vertAlign w:val="subscript"/>
        </w:rPr>
        <w:t>rel</w:t>
      </w:r>
      <w:r>
        <w:rPr>
          <w:rFonts w:hint="eastAsia"/>
          <w:iCs/>
          <w:position w:val="-12"/>
          <w:szCs w:val="24"/>
        </w:rPr>
        <w:t>=</w:t>
      </w:r>
      <w:r>
        <w:rPr>
          <w:rFonts w:hint="eastAsia"/>
          <w:iCs/>
          <w:position w:val="-12"/>
          <w:szCs w:val="24"/>
          <w:lang w:val="en-US" w:eastAsia="zh-CN"/>
        </w:rPr>
        <w:t>3</w:t>
      </w:r>
      <w:r>
        <w:rPr>
          <w:rFonts w:hint="eastAsia"/>
          <w:iCs/>
          <w:position w:val="-12"/>
          <w:szCs w:val="24"/>
        </w:rPr>
        <w:t>%，</w:t>
      </w:r>
      <w:r>
        <w:rPr>
          <w:rFonts w:hint="eastAsia"/>
          <w:i/>
          <w:position w:val="-12"/>
          <w:szCs w:val="24"/>
        </w:rPr>
        <w:t>k</w:t>
      </w:r>
      <w:r>
        <w:rPr>
          <w:rFonts w:hint="eastAsia"/>
          <w:iCs/>
          <w:position w:val="-12"/>
          <w:szCs w:val="24"/>
        </w:rPr>
        <w:t xml:space="preserve">=2。  </w:t>
      </w:r>
    </w:p>
    <w:p>
      <w:pPr>
        <w:rPr>
          <w:rFonts w:cs="宋体"/>
          <w:position w:val="-10"/>
          <w:sz w:val="24"/>
        </w:rPr>
      </w:pPr>
      <w:bookmarkStart w:id="332" w:name="_Toc7812"/>
      <w:bookmarkStart w:id="333" w:name="_Toc5293"/>
      <w:bookmarkStart w:id="334" w:name="_Toc13778"/>
    </w:p>
    <w:bookmarkEnd w:id="332"/>
    <w:bookmarkEnd w:id="333"/>
    <w:bookmarkEnd w:id="334"/>
    <w:p>
      <w:pPr>
        <w:rPr>
          <w:position w:val="-6"/>
          <w:sz w:val="28"/>
          <w:szCs w:val="28"/>
        </w:rPr>
      </w:pPr>
      <w:r>
        <w:rPr>
          <w:rFonts w:hint="eastAsia"/>
          <w:position w:val="-6"/>
          <w:sz w:val="28"/>
          <w:szCs w:val="28"/>
        </w:rPr>
        <w:br w:type="page"/>
      </w:r>
    </w:p>
    <w:p>
      <w:pPr>
        <w:spacing w:before="240" w:after="60"/>
        <w:outlineLvl w:val="0"/>
        <w:rPr>
          <w:rFonts w:ascii="黑体" w:hAnsi="黑体" w:eastAsia="黑体"/>
          <w:sz w:val="28"/>
          <w:szCs w:val="28"/>
        </w:rPr>
      </w:pPr>
      <w:bookmarkStart w:id="335" w:name="_Toc20808"/>
      <w:r>
        <w:rPr>
          <w:rFonts w:ascii="黑体" w:hAnsi="黑体" w:eastAsia="黑体"/>
          <w:sz w:val="28"/>
          <w:szCs w:val="28"/>
        </w:rPr>
        <w:t>附录</w:t>
      </w:r>
      <w:r>
        <w:rPr>
          <w:rFonts w:hint="eastAsia" w:ascii="黑体" w:hAnsi="黑体" w:eastAsia="黑体"/>
          <w:sz w:val="28"/>
          <w:szCs w:val="28"/>
        </w:rPr>
        <w:t>D</w:t>
      </w:r>
      <w:bookmarkEnd w:id="335"/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pStyle w:val="3"/>
        <w:jc w:val="center"/>
        <w:outlineLvl w:val="0"/>
      </w:pPr>
      <w:bookmarkStart w:id="336" w:name="_Toc11400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浓度检测报警仪变送输出误差的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不确定度评定示例</w:t>
      </w:r>
      <w:bookmarkEnd w:id="336"/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D.1 </w:t>
      </w:r>
      <w:r>
        <w:rPr>
          <w:rFonts w:hint="eastAsia" w:ascii="黑体" w:hAnsi="黑体" w:eastAsia="黑体" w:cs="黑体"/>
        </w:rPr>
        <w:t>概述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>D</w:t>
      </w:r>
      <w:r>
        <w:t>.1.</w:t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校准依据</w:t>
      </w:r>
    </w:p>
    <w:p>
      <w:pPr>
        <w:pStyle w:val="43"/>
        <w:spacing w:before="156" w:beforeLines="50" w:after="156" w:afterLines="50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>D</w:t>
      </w:r>
      <w:r>
        <w:t xml:space="preserve">.1.2 </w:t>
      </w:r>
      <w:r>
        <w:rPr>
          <w:rFonts w:hint="eastAsia"/>
          <w:lang w:val="en-US" w:eastAsia="zh-CN"/>
        </w:rPr>
        <w:t>被校对象</w:t>
      </w:r>
    </w:p>
    <w:p>
      <w:pPr>
        <w:pStyle w:val="43"/>
        <w:spacing w:before="156" w:beforeLines="50" w:after="156" w:afterLines="50"/>
        <w:ind w:firstLine="480" w:firstLineChars="200"/>
      </w:pPr>
      <w:r>
        <w:rPr>
          <w:rFonts w:hint="eastAsia"/>
          <w:bCs/>
        </w:rPr>
        <w:t>测量范围（0～100%）mol/mol，变送输出信号为（4～20）mA</w:t>
      </w:r>
      <w:r>
        <w:rPr>
          <w:rFonts w:hint="eastAsia"/>
          <w:bCs/>
          <w:lang w:val="en-US" w:eastAsia="zh-CN"/>
        </w:rPr>
        <w:t>的二氧化碳浓度检测报警仪</w:t>
      </w:r>
      <w:r>
        <w:rPr>
          <w:rFonts w:hint="eastAsia"/>
          <w:bCs/>
          <w:lang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>D</w:t>
      </w:r>
      <w:r>
        <w:t>.1.3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测量</w:t>
      </w:r>
      <w:r>
        <w:t>标准</w:t>
      </w:r>
    </w:p>
    <w:p>
      <w:pPr>
        <w:pStyle w:val="43"/>
        <w:ind w:firstLine="638" w:firstLineChars="266"/>
      </w:pPr>
      <w:r>
        <w:rPr>
          <w:rFonts w:hint="eastAsia"/>
        </w:rPr>
        <w:t>表D.1给出了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标准及主要技术指标。</w:t>
      </w:r>
    </w:p>
    <w:p>
      <w:pPr>
        <w:spacing w:line="360" w:lineRule="auto"/>
        <w:jc w:val="center"/>
        <w:rPr>
          <w:rFonts w:eastAsia="宋体"/>
        </w:rPr>
      </w:pPr>
      <w:r>
        <w:rPr>
          <w:rStyle w:val="102"/>
          <w:rFonts w:hint="default"/>
          <w:color w:val="auto"/>
        </w:rPr>
        <w:t>表D.1 测量标准技术指标</w:t>
      </w:r>
    </w:p>
    <w:tbl>
      <w:tblPr>
        <w:tblStyle w:val="2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28"/>
        <w:gridCol w:w="5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校准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氮</w:t>
            </w:r>
            <w:r>
              <w:rPr>
                <w:rStyle w:val="101"/>
                <w:color w:val="auto"/>
              </w:rPr>
              <w:t>中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二氧化碳</w:t>
            </w:r>
            <w:r>
              <w:rPr>
                <w:rStyle w:val="101"/>
                <w:color w:val="auto"/>
              </w:rPr>
              <w:t>标准气体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 w:eastAsia="宋体"/>
                <w:i w:val="0"/>
                <w:iCs w:val="0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Style w:val="101"/>
                <w:color w:val="auto"/>
              </w:rPr>
              <w:t>=2%，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</w:t>
            </w:r>
            <w:r>
              <w:rPr>
                <w:rStyle w:val="101"/>
                <w:rFonts w:hint="eastAsia" w:eastAsia="宋体"/>
                <w:color w:val="auto"/>
                <w:lang w:eastAsia="zh-CN"/>
              </w:rPr>
              <w:t>，</w:t>
            </w:r>
            <w:r>
              <w:rPr>
                <w:rStyle w:val="101"/>
                <w:color w:val="auto"/>
                <w:lang w:val="zh-TW" w:eastAsia="zh-TW"/>
              </w:rPr>
              <w:t>测量范围（0～2）L/min</w:t>
            </w:r>
            <w:r>
              <w:rPr>
                <w:rStyle w:val="101"/>
                <w:rFonts w:hint="eastAsia" w:eastAsia="宋体"/>
                <w:color w:val="auto"/>
                <w:lang w:eastAsia="zh-CN"/>
              </w:rPr>
              <w:t>，</w:t>
            </w:r>
            <w:r>
              <w:rPr>
                <w:rStyle w:val="101"/>
                <w:color w:val="auto"/>
                <w:lang w:val="zh-TW" w:eastAsia="zh-TW"/>
              </w:rPr>
              <w:t>（0～2</w:t>
            </w:r>
            <w:r>
              <w:rPr>
                <w:rStyle w:val="101"/>
                <w:color w:val="auto"/>
              </w:rPr>
              <w:t>0</w:t>
            </w:r>
            <w:r>
              <w:rPr>
                <w:rStyle w:val="101"/>
                <w:color w:val="auto"/>
                <w:lang w:val="zh-TW" w:eastAsia="zh-TW"/>
              </w:rPr>
              <w:t>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气体减压器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</w:t>
            </w:r>
            <w:r>
              <w:rPr>
                <w:rStyle w:val="101"/>
                <w:color w:val="auto"/>
              </w:rPr>
              <w:t>2.5</w:t>
            </w:r>
            <w:r>
              <w:rPr>
                <w:rStyle w:val="101"/>
                <w:color w:val="auto"/>
                <w:lang w:val="zh-TW" w:eastAsia="zh-TW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4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rFonts w:hint="default" w:eastAsia="宋体"/>
                <w:color w:val="auto"/>
                <w:lang w:val="en-US" w:eastAsia="zh-CN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数字多用表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测量直流电流（4</w:t>
            </w:r>
            <w:r>
              <w:rPr>
                <w:rStyle w:val="101"/>
                <w:color w:val="auto"/>
                <w:lang w:val="zh-TW" w:eastAsia="zh-TW"/>
              </w:rPr>
              <w:t>～</w:t>
            </w:r>
            <w:r>
              <w:rPr>
                <w:rStyle w:val="101"/>
                <w:color w:val="auto"/>
              </w:rPr>
              <w:t>20）mA，准确度等级0.02级</w:t>
            </w:r>
          </w:p>
        </w:tc>
      </w:tr>
    </w:tbl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D.1.4 </w:t>
      </w:r>
      <w:r>
        <w:rPr>
          <w:rFonts w:hint="eastAsia"/>
          <w:lang w:val="en-US" w:eastAsia="zh-CN"/>
        </w:rPr>
        <w:t>校准</w:t>
      </w:r>
      <w:r>
        <w:rPr>
          <w:rFonts w:hint="eastAsia"/>
        </w:rPr>
        <w:t>方法</w:t>
      </w:r>
    </w:p>
    <w:p>
      <w:pPr>
        <w:pStyle w:val="43"/>
        <w:ind w:firstLine="638" w:firstLineChars="26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按照本规范6.7的规定校准。本示例仅取</w:t>
      </w:r>
      <w:r>
        <w:rPr>
          <w:rFonts w:hint="eastAsia" w:ascii="Times New Roman" w:hAnsi="Times New Roman"/>
        </w:rPr>
        <w:t>浓度为满量程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0%</w:t>
      </w:r>
      <w:r>
        <w:rPr>
          <w:rFonts w:hint="eastAsia"/>
          <w:lang w:val="en-US" w:eastAsia="zh-CN"/>
        </w:rPr>
        <w:t>对应变送输出12mA</w:t>
      </w:r>
      <w:r>
        <w:rPr>
          <w:rFonts w:hint="eastAsia" w:ascii="Times New Roman" w:hAnsi="Times New Roman"/>
        </w:rPr>
        <w:t>的</w:t>
      </w:r>
      <w:r>
        <w:rPr>
          <w:rFonts w:hint="eastAsia"/>
          <w:lang w:val="en-US" w:eastAsia="zh-CN"/>
        </w:rPr>
        <w:t>校准点进行说明，其他校准点参照本示例。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 w:eastAsia="黑体"/>
        </w:rPr>
      </w:pPr>
      <w:r>
        <w:rPr>
          <w:rFonts w:hint="eastAsia"/>
        </w:rPr>
        <w:t xml:space="preserve">D.2  </w:t>
      </w:r>
      <w:r>
        <w:rPr>
          <w:rFonts w:hint="eastAsia" w:eastAsia="黑体"/>
        </w:rPr>
        <w:t>测量模型</w:t>
      </w:r>
    </w:p>
    <w:p>
      <w:pPr>
        <w:pStyle w:val="43"/>
        <w:ind w:left="0" w:leftChars="0" w:firstLine="480" w:firstLineChars="200"/>
        <w:rPr>
          <w:rFonts w:hint="eastAsia" w:eastAsia="黑体"/>
        </w:rPr>
      </w:pPr>
      <w:r>
        <w:rPr>
          <w:rFonts w:hint="eastAsia" w:cs="Times New Roman"/>
          <w:lang w:val="en-US" w:eastAsia="zh-CN"/>
        </w:rPr>
        <w:t>检测</w:t>
      </w:r>
      <w:r>
        <w:rPr>
          <w:rFonts w:hint="eastAsia" w:ascii="Times New Roman" w:hAnsi="Times New Roman" w:cs="Times New Roman"/>
          <w:lang w:val="en-US" w:eastAsia="zh-CN"/>
        </w:rPr>
        <w:t>仪</w:t>
      </w:r>
      <w:r>
        <w:rPr>
          <w:rFonts w:hint="eastAsia" w:cs="Times New Roman"/>
          <w:lang w:val="en-US" w:eastAsia="zh-CN"/>
        </w:rPr>
        <w:t>变送输出</w:t>
      </w:r>
      <w:r>
        <w:rPr>
          <w:rFonts w:hint="eastAsia" w:ascii="Times New Roman" w:hAnsi="Times New Roman" w:cs="Times New Roman"/>
          <w:lang w:val="en-US" w:eastAsia="zh-CN"/>
        </w:rPr>
        <w:t>校准采用直接测量方法，其测量模型见公式（</w:t>
      </w:r>
      <w:r>
        <w:rPr>
          <w:rFonts w:hint="eastAsia" w:cs="Times New Roman"/>
          <w:lang w:val="en-US" w:eastAsia="zh-C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.1）</w:t>
      </w:r>
    </w:p>
    <w:p>
      <w:pPr>
        <w:spacing w:line="360" w:lineRule="auto"/>
        <w:jc w:val="right"/>
        <w:rPr>
          <w:rFonts w:eastAsia="宋体"/>
          <w:sz w:val="24"/>
        </w:rPr>
      </w:pPr>
      <w:r>
        <w:rPr>
          <w:rFonts w:ascii="Cambria Math" w:hAnsi="Cambria Math"/>
          <w:i w:val="0"/>
          <w:iCs w:val="0"/>
          <w:position w:val="-24"/>
          <w:sz w:val="24"/>
        </w:rPr>
        <w:object>
          <v:shape id="_x0000_i1090" o:spt="75" type="#_x0000_t75" style="height:31pt;width:110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50">
            <o:LockedField>false</o:LockedField>
          </o:OLEObject>
        </w:object>
      </w:r>
      <w:r>
        <w:rPr>
          <w:rFonts w:hint="eastAsia"/>
          <w:sz w:val="24"/>
        </w:rPr>
        <w:t xml:space="preserve">  </w:t>
      </w:r>
      <w:r>
        <w:rPr>
          <w:rFonts w:hint="eastAsia" w:eastAsia="宋体"/>
          <w:sz w:val="24"/>
        </w:rPr>
        <w:t xml:space="preserve">            </w:t>
      </w:r>
      <w:r>
        <w:rPr>
          <w:rFonts w:hint="eastAsia" w:eastAsia="宋体"/>
          <w:sz w:val="24"/>
          <w:lang w:val="en-US" w:eastAsia="zh-CN"/>
        </w:rPr>
        <w:t xml:space="preserve">       </w:t>
      </w:r>
      <w:r>
        <w:rPr>
          <w:rFonts w:hint="eastAsia" w:eastAsia="宋体"/>
          <w:sz w:val="24"/>
        </w:rPr>
        <w:t xml:space="preserve"> （</w:t>
      </w:r>
      <w:r>
        <w:rPr>
          <w:rFonts w:hint="eastAsia"/>
          <w:sz w:val="24"/>
        </w:rPr>
        <w:t>D.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>
      <w:pPr>
        <w:pStyle w:val="6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91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5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</w:t>
      </w:r>
      <w:r>
        <w:t>误差</w:t>
      </w:r>
      <w:r>
        <w:rPr>
          <w:rFonts w:hint="eastAsia"/>
        </w:rPr>
        <w:t>，mA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92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变送输出示值，</w:t>
      </w:r>
      <w:r>
        <w:rPr>
          <w:rFonts w:hint="eastAsia"/>
        </w:rPr>
        <w:t>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93" o:spt="75" type="#_x0000_t75" style="height:13pt;width:12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5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变送输出</w:t>
      </w:r>
      <w:r>
        <w:rPr>
          <w:rFonts w:hint="eastAsia" w:ascii="宋体" w:hAnsi="宋体" w:cs="宋体"/>
          <w:lang w:val="en-US" w:eastAsia="zh-CN"/>
        </w:rPr>
        <w:t>量程</w:t>
      </w:r>
      <w:r>
        <w:rPr>
          <w:rFonts w:hint="eastAsia" w:ascii="宋体" w:hAnsi="宋体" w:cs="宋体"/>
        </w:rPr>
        <w:t>，</w:t>
      </w:r>
      <w:r>
        <w:rPr>
          <w:rFonts w:hint="eastAsia"/>
        </w:rPr>
        <w:t>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94" o:spt="75" type="#_x0000_t75" style="height:13pt;width:12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58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检测仪量程</w:t>
      </w:r>
      <w:r>
        <w:rPr>
          <w:rFonts w:hint="eastAsia" w:ascii="宋体" w:hAnsi="宋体" w:cs="宋体"/>
        </w:rPr>
        <w:t>，</w:t>
      </w:r>
      <w:r>
        <w:rPr>
          <w:rFonts w:hint="eastAsia"/>
        </w:rPr>
        <w:t>mol/mol</w:t>
      </w:r>
      <w:r>
        <w:t>；</w:t>
      </w:r>
    </w:p>
    <w:p>
      <w:pPr>
        <w:pStyle w:val="43"/>
        <w:spacing w:line="360" w:lineRule="auto"/>
        <w:ind w:firstLine="480"/>
        <w:rPr>
          <w:rFonts w:hint="eastAsia"/>
        </w:rPr>
      </w:pPr>
      <w:r>
        <w:rPr>
          <w:position w:val="-12"/>
          <w:vertAlign w:val="subscript"/>
        </w:rPr>
        <w:object>
          <v:shape id="_x0000_i1095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</w:rPr>
        <w:t>标准气体浓度，mol/mol。</w:t>
      </w:r>
    </w:p>
    <w:p>
      <w:pPr>
        <w:pStyle w:val="43"/>
        <w:spacing w:line="360" w:lineRule="auto"/>
        <w:ind w:firstLine="480"/>
        <w:rPr>
          <w:rFonts w:hint="eastAsia"/>
        </w:rPr>
      </w:pPr>
      <w:r>
        <w:rPr>
          <w:rFonts w:hint="eastAsia"/>
          <w:lang w:val="en-US" w:eastAsia="zh-CN"/>
        </w:rPr>
        <w:t>由测量模型和被校检测仪信息可知，仪器变送输出量程A为16mA，仪器量程为100%mol/mol。通过计算，输入量</w:t>
      </w:r>
      <w:r>
        <w:rPr>
          <w:rFonts w:hint="eastAsia"/>
          <w:i/>
          <w:iCs/>
          <w:lang w:val="en-US" w:eastAsia="zh-CN"/>
        </w:rPr>
        <w:t>V</w:t>
      </w:r>
      <w:r>
        <w:rPr>
          <w:rFonts w:hint="eastAsia"/>
          <w:lang w:val="en-US" w:eastAsia="zh-CN"/>
        </w:rPr>
        <w:t>的灵敏系数C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为1，输入量</w:t>
      </w:r>
      <w:r>
        <w:rPr>
          <w:rFonts w:hint="eastAsia"/>
          <w:i/>
          <w:iCs/>
          <w:lang w:val="en-US" w:eastAsia="zh-CN"/>
        </w:rPr>
        <w:t>V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为-0.16mA/(%mol/mol)。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 xml:space="preserve">D.3 </w:t>
      </w:r>
      <w:r>
        <w:rPr>
          <w:rFonts w:hint="eastAsia" w:eastAsia="黑体"/>
        </w:rPr>
        <w:t>测量不确定度</w:t>
      </w:r>
      <w:r>
        <w:rPr>
          <w:rFonts w:hint="eastAsia" w:eastAsia="黑体"/>
          <w:lang w:val="en-US" w:eastAsia="zh-CN"/>
        </w:rPr>
        <w:t>的</w:t>
      </w:r>
      <w:r>
        <w:rPr>
          <w:rFonts w:hint="eastAsia" w:eastAsia="黑体"/>
        </w:rPr>
        <w:t>来源分析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测量不确定度来源主要有：</w:t>
      </w:r>
    </w:p>
    <w:p>
      <w:pPr>
        <w:pStyle w:val="43"/>
        <w:numPr>
          <w:ilvl w:val="0"/>
          <w:numId w:val="7"/>
        </w:num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由测量过程引入的不确定度分量</w:t>
      </w:r>
      <w:r>
        <w:rPr>
          <w:position w:val="-10"/>
          <w:vertAlign w:val="subscript"/>
        </w:rPr>
        <w:object>
          <v:shape id="_x0000_i1096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62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1.1）由测量重复性引入的不确定度分量</w:t>
      </w:r>
      <w:r>
        <w:rPr>
          <w:position w:val="-10"/>
          <w:vertAlign w:val="subscript"/>
        </w:rPr>
        <w:object>
          <v:shape id="_x0000_i1097" o:spt="75" type="#_x0000_t75" style="height:17pt;width:1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63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1.2）由数字多用表分辨力引入的不确定度分量</w:t>
      </w:r>
      <w:r>
        <w:rPr>
          <w:position w:val="-10"/>
          <w:vertAlign w:val="subscript"/>
        </w:rPr>
        <w:object>
          <v:shape id="_x0000_i1098" o:spt="75" type="#_x0000_t75" style="height:17pt;width:16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64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7"/>
        </w:num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由测量标准不确定度引入的不确定度分量</w:t>
      </w:r>
      <w:r>
        <w:rPr>
          <w:position w:val="-10"/>
          <w:vertAlign w:val="subscript"/>
        </w:rPr>
        <w:object>
          <v:shape id="_x0000_i1099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65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2.1）由标准气体不确定度引入的不确定度分量</w:t>
      </w:r>
      <w:r>
        <w:rPr>
          <w:position w:val="-10"/>
          <w:vertAlign w:val="subscript"/>
        </w:rPr>
        <w:object>
          <v:shape id="_x0000_i1100" o:spt="75" type="#_x0000_t75" style="height:17pt;width:16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66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2.2）由数字多用表准确度引入的不确定度分量</w:t>
      </w:r>
      <w:r>
        <w:rPr>
          <w:position w:val="-10"/>
          <w:vertAlign w:val="subscript"/>
        </w:rPr>
        <w:object>
          <v:shape id="_x0000_i1101" o:spt="75" type="#_x0000_t75" style="height:17pt;width:17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68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  <w:rPr>
          <w:rFonts w:cs="宋体"/>
          <w:szCs w:val="24"/>
        </w:rPr>
      </w:pPr>
      <w:r>
        <w:rPr>
          <w:rFonts w:hint="eastAsia" w:cs="宋体"/>
        </w:rPr>
        <w:t xml:space="preserve">D.4 </w:t>
      </w:r>
      <w:r>
        <w:rPr>
          <w:rFonts w:hint="eastAsia" w:eastAsia="黑体" w:cs="宋体"/>
          <w:szCs w:val="24"/>
          <w:lang w:val="en-US" w:eastAsia="zh-CN"/>
        </w:rPr>
        <w:t>测量</w:t>
      </w:r>
      <w:r>
        <w:rPr>
          <w:rFonts w:hint="eastAsia" w:eastAsia="黑体" w:cs="宋体"/>
          <w:szCs w:val="24"/>
        </w:rPr>
        <w:t>不确定度评定</w: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bookmarkStart w:id="337" w:name="_Toc1466"/>
      <w:r>
        <w:rPr>
          <w:rFonts w:hint="eastAsia"/>
          <w:szCs w:val="24"/>
        </w:rPr>
        <w:t>D.4.1 由</w:t>
      </w:r>
      <w:r>
        <w:rPr>
          <w:rFonts w:hint="eastAsia"/>
          <w:szCs w:val="24"/>
          <w:lang w:val="en-US" w:eastAsia="zh-CN"/>
        </w:rPr>
        <w:t>测量过程引入</w:t>
      </w:r>
      <w:r>
        <w:rPr>
          <w:rFonts w:hint="eastAsia"/>
          <w:szCs w:val="24"/>
        </w:rPr>
        <w:t>的不确定度分量</w:t>
      </w:r>
      <w:bookmarkEnd w:id="337"/>
      <w:r>
        <w:rPr>
          <w:position w:val="-10"/>
          <w:vertAlign w:val="subscript"/>
        </w:rPr>
        <w:object>
          <v:shape id="_x0000_i1102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70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>D</w:t>
      </w:r>
      <w:r>
        <w:rPr>
          <w:szCs w:val="24"/>
        </w:rPr>
        <w:t>.4</w:t>
      </w:r>
      <w:r>
        <w:rPr>
          <w:rFonts w:hint="eastAsia"/>
          <w:szCs w:val="24"/>
        </w:rPr>
        <w:t xml:space="preserve">.1.1 </w:t>
      </w:r>
      <w:r>
        <w:rPr>
          <w:rFonts w:hint="eastAsia"/>
          <w:szCs w:val="24"/>
          <w:lang w:val="en-US" w:eastAsia="zh-CN"/>
        </w:rPr>
        <w:t>由</w:t>
      </w:r>
      <w:r>
        <w:rPr>
          <w:rFonts w:hint="eastAsia"/>
          <w:szCs w:val="24"/>
        </w:rPr>
        <w:t>测量重复性引入的不确定度分量</w:t>
      </w:r>
      <w:r>
        <w:rPr>
          <w:position w:val="-10"/>
          <w:vertAlign w:val="subscript"/>
        </w:rPr>
        <w:object>
          <v:shape id="_x0000_i1103" o:spt="75" type="#_x0000_t75" style="height:17pt;width:1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72">
            <o:LockedField>false</o:LockedField>
          </o:OLEObject>
        </w:object>
      </w:r>
    </w:p>
    <w:p>
      <w:pPr>
        <w:pStyle w:val="6"/>
        <w:ind w:firstLine="480" w:firstLineChars="200"/>
        <w:jc w:val="left"/>
        <w:rPr>
          <w:rFonts w:hint="default" w:ascii="Times New Roman" w:hAnsi="Times New Roman" w:cs="Times New Roman"/>
          <w:position w:val="-26"/>
          <w:sz w:val="24"/>
          <w:szCs w:val="24"/>
        </w:rPr>
      </w:pPr>
      <w:r>
        <w:rPr>
          <w:rFonts w:hint="default" w:ascii="Times New Roman" w:hAnsi="Times New Roman" w:cs="Times New Roman"/>
          <w:position w:val="-26"/>
          <w:sz w:val="24"/>
          <w:szCs w:val="24"/>
        </w:rPr>
        <w:t>对一台测量范围（0～100%）mol/mol的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cs="Times New Roman"/>
          <w:position w:val="-26"/>
          <w:sz w:val="24"/>
          <w:szCs w:val="24"/>
          <w:lang w:val="en-US" w:eastAsia="zh-CN"/>
        </w:rPr>
        <w:t>仪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，变送输出（4～20）mA，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数字多用表</w:t>
      </w:r>
      <w:r>
        <w:rPr>
          <w:rFonts w:hint="default" w:ascii="Times New Roman" w:hAnsi="Times New Roman" w:cs="Times New Roman"/>
          <w:position w:val="-26"/>
          <w:sz w:val="24"/>
          <w:szCs w:val="24"/>
          <w:lang w:val="en-US" w:eastAsia="zh-CN"/>
        </w:rPr>
        <w:t>的分辨力为0.0001mA，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重复条件下，在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0%mol/mol标准气体浓度点（理论变送输出值为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mA）连续测量10次，得到数据见表D.2：</w:t>
      </w:r>
    </w:p>
    <w:p>
      <w:pPr>
        <w:spacing w:line="360" w:lineRule="auto"/>
        <w:jc w:val="center"/>
        <w:rPr>
          <w:rStyle w:val="102"/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表D.2 测量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重复性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结果</w:t>
      </w:r>
    </w:p>
    <w:tbl>
      <w:tblPr>
        <w:tblStyle w:val="2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745"/>
        <w:gridCol w:w="1745"/>
        <w:gridCol w:w="1468"/>
        <w:gridCol w:w="1468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102"/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102"/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示值/mA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2.0244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2.0152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2.0188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示值/mA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2.0167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2.0283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2.0141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2.0277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2.0305</w:t>
            </w:r>
          </w:p>
        </w:tc>
      </w:tr>
    </w:tbl>
    <w:p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其算术平均值为：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position w:val="-28"/>
          <w:sz w:val="24"/>
        </w:rPr>
        <w:object>
          <v:shape id="_x0000_i1104" o:spt="75" type="#_x0000_t75" style="height:34pt;width:132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7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rFonts w:hint="eastAsia"/>
          <w:position w:val="-30"/>
          <w:sz w:val="24"/>
        </w:rPr>
        <w:object>
          <v:shape id="_x0000_i1105" o:spt="75" type="#_x0000_t75" style="height:38pt;width:171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76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由于实际校准过程中是测量3次取平均值作为误差计算依据，则测量重复性引入的不确定为：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position w:val="-28"/>
          <w:sz w:val="24"/>
        </w:rPr>
        <w:object>
          <v:shape id="_x0000_i1106" o:spt="75" type="#_x0000_t75" style="height:33pt;width:107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78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>D</w:t>
      </w:r>
      <w:r>
        <w:rPr>
          <w:szCs w:val="24"/>
        </w:rPr>
        <w:t>.</w:t>
      </w:r>
      <w:r>
        <w:rPr>
          <w:rFonts w:hint="eastAsia"/>
          <w:szCs w:val="24"/>
        </w:rPr>
        <w:t>4.1.2 由</w:t>
      </w:r>
      <w:r>
        <w:rPr>
          <w:rFonts w:hint="eastAsia"/>
          <w:szCs w:val="24"/>
          <w:lang w:val="en-US" w:eastAsia="zh-CN"/>
        </w:rPr>
        <w:t>数字多用表</w:t>
      </w:r>
      <w:r>
        <w:rPr>
          <w:rFonts w:hint="eastAsia"/>
          <w:szCs w:val="24"/>
        </w:rPr>
        <w:t>分辨力引入的不确定度分量</w:t>
      </w:r>
      <w:r>
        <w:rPr>
          <w:position w:val="-10"/>
          <w:vertAlign w:val="subscript"/>
        </w:rPr>
        <w:object>
          <v:shape id="_x0000_i1107" o:spt="75" type="#_x0000_t75" style="height:17pt;width:16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80">
            <o:LockedField>false</o:LockedField>
          </o:OLEObject>
        </w:object>
      </w:r>
    </w:p>
    <w:p>
      <w:pPr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hint="eastAsia" w:eastAsia="宋体"/>
          <w:b w:val="0"/>
          <w:sz w:val="24"/>
          <w:lang w:val="en-US" w:eastAsia="zh-CN"/>
        </w:rPr>
        <w:t>数字多用表</w:t>
      </w:r>
      <w:r>
        <w:rPr>
          <w:rStyle w:val="27"/>
          <w:rFonts w:eastAsia="宋体"/>
          <w:b w:val="0"/>
          <w:sz w:val="24"/>
        </w:rPr>
        <w:t>的</w:t>
      </w:r>
      <w:r>
        <w:rPr>
          <w:rStyle w:val="27"/>
          <w:rFonts w:hint="eastAsia" w:eastAsia="宋体"/>
          <w:b w:val="0"/>
          <w:sz w:val="24"/>
        </w:rPr>
        <w:t>直流电流测量</w:t>
      </w:r>
      <w:r>
        <w:rPr>
          <w:rStyle w:val="27"/>
          <w:rFonts w:eastAsia="宋体"/>
          <w:b w:val="0"/>
          <w:sz w:val="24"/>
        </w:rPr>
        <w:t>分辨力为</w:t>
      </w:r>
      <w:r>
        <w:rPr>
          <w:rStyle w:val="27"/>
          <w:rFonts w:hint="eastAsia" w:eastAsia="宋体"/>
          <w:b w:val="0"/>
          <w:sz w:val="24"/>
        </w:rPr>
        <w:t>0.0001mA</w:t>
      </w:r>
      <w:r>
        <w:rPr>
          <w:rStyle w:val="27"/>
          <w:rFonts w:eastAsia="宋体"/>
          <w:b w:val="0"/>
          <w:sz w:val="24"/>
        </w:rPr>
        <w:t>，属B类评定，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区间半宽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/2=0.00</w:t>
      </w:r>
      <w:r>
        <w:rPr>
          <w:rFonts w:hint="eastAsia" w:eastAsia="宋体" w:cs="Times New Roman"/>
          <w:sz w:val="24"/>
          <w:szCs w:val="24"/>
          <w:lang w:val="en-US" w:eastAsia="zh-CN"/>
        </w:rPr>
        <w:t>005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mA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，满足均匀分布，取</w: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108" o:spt="75" type="#_x0000_t75" style="height:18pt;width:36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8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Style w:val="27"/>
          <w:rFonts w:eastAsia="宋体"/>
          <w:b w:val="0"/>
          <w:sz w:val="24"/>
        </w:rPr>
        <w:t>则：</w:t>
      </w:r>
    </w:p>
    <w:p>
      <w:pPr>
        <w:ind w:firstLine="480" w:firstLineChars="200"/>
        <w:jc w:val="center"/>
        <w:rPr>
          <w:rFonts w:eastAsia="宋体"/>
          <w:sz w:val="24"/>
        </w:rPr>
      </w:pPr>
      <w:r>
        <w:rPr>
          <w:rFonts w:eastAsia="宋体"/>
          <w:position w:val="-24"/>
          <w:sz w:val="24"/>
        </w:rPr>
        <w:object>
          <v:shape id="_x0000_i1109" o:spt="75" type="#_x0000_t75" style="height:31pt;width:112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8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hint="eastAsia" w:eastAsia="宋体"/>
          <w:b w:val="0"/>
          <w:sz w:val="24"/>
          <w:lang w:eastAsia="zh-CN"/>
        </w:rPr>
      </w:pPr>
      <w:r>
        <w:rPr>
          <w:rStyle w:val="27"/>
          <w:rFonts w:eastAsia="宋体"/>
          <w:b w:val="0"/>
          <w:sz w:val="24"/>
        </w:rPr>
        <w:t>重复性引入的不确定度分量与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数字多用表</w:t>
      </w:r>
      <w:r>
        <w:rPr>
          <w:rStyle w:val="27"/>
          <w:rFonts w:eastAsia="宋体"/>
          <w:b w:val="0"/>
          <w:sz w:val="24"/>
        </w:rPr>
        <w:t>分辨力引入的不确定度分量，两者取大值，则</w:t>
      </w:r>
      <w:r>
        <w:rPr>
          <w:rStyle w:val="27"/>
          <w:rFonts w:hint="eastAsia" w:eastAsia="宋体"/>
          <w:b w:val="0"/>
          <w:sz w:val="24"/>
          <w:lang w:eastAsia="zh-CN"/>
        </w:rPr>
        <w:t>：</w:t>
      </w:r>
      <w:bookmarkStart w:id="343" w:name="_GoBack"/>
      <w:bookmarkEnd w:id="343"/>
    </w:p>
    <w:p>
      <w:pPr>
        <w:spacing w:line="360" w:lineRule="auto"/>
        <w:jc w:val="center"/>
        <w:rPr>
          <w:rStyle w:val="27"/>
          <w:rFonts w:eastAsia="宋体"/>
          <w:b w:val="0"/>
          <w:sz w:val="24"/>
        </w:rPr>
      </w:pPr>
      <w:r>
        <w:rPr>
          <w:position w:val="-12"/>
          <w:vertAlign w:val="subscript"/>
        </w:rPr>
        <w:object>
          <v:shape id="_x0000_i1110" o:spt="75" type="#_x0000_t75" style="height:18pt;width:131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85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position w:val="-10"/>
          <w:vertAlign w:val="subscript"/>
        </w:rPr>
      </w:pPr>
      <w:bookmarkStart w:id="338" w:name="_Toc18136"/>
      <w:r>
        <w:rPr>
          <w:rFonts w:hint="eastAsia"/>
          <w:szCs w:val="24"/>
        </w:rPr>
        <w:t>D.4.2 由</w:t>
      </w:r>
      <w:r>
        <w:rPr>
          <w:rFonts w:hint="eastAsia"/>
          <w:szCs w:val="24"/>
          <w:lang w:val="en-US" w:eastAsia="zh-CN"/>
        </w:rPr>
        <w:t>测量标准不确定度</w:t>
      </w:r>
      <w:r>
        <w:rPr>
          <w:rFonts w:hint="eastAsia"/>
          <w:szCs w:val="24"/>
        </w:rPr>
        <w:t>引</w:t>
      </w:r>
      <w:r>
        <w:rPr>
          <w:rFonts w:hint="eastAsia"/>
          <w:szCs w:val="24"/>
          <w:lang w:val="en-US" w:eastAsia="zh-CN"/>
        </w:rPr>
        <w:t>入</w:t>
      </w:r>
      <w:r>
        <w:rPr>
          <w:rFonts w:hint="eastAsia"/>
          <w:szCs w:val="24"/>
        </w:rPr>
        <w:t>的不确定度分量</w:t>
      </w:r>
      <w:bookmarkEnd w:id="338"/>
      <w:r>
        <w:rPr>
          <w:position w:val="-10"/>
          <w:vertAlign w:val="subscript"/>
        </w:rPr>
        <w:object>
          <v:shape id="_x0000_i1111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87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hint="default" w:eastAsia="宋体"/>
          <w:position w:val="-10"/>
          <w:vertAlign w:val="baseline"/>
          <w:lang w:val="en-US" w:eastAsia="zh-CN"/>
        </w:rPr>
      </w:pPr>
      <w:r>
        <w:rPr>
          <w:rFonts w:hint="eastAsia"/>
          <w:position w:val="-10"/>
          <w:vertAlign w:val="baseline"/>
          <w:lang w:val="en-US" w:eastAsia="zh-CN"/>
        </w:rPr>
        <w:t>D.4.2.1 由标准气体不确定度引入的不确定度分量</w:t>
      </w:r>
      <w:r>
        <w:rPr>
          <w:rFonts w:hint="eastAsia"/>
          <w:i/>
          <w:iCs/>
          <w:position w:val="-10"/>
          <w:vertAlign w:val="baseline"/>
          <w:lang w:val="en-US" w:eastAsia="zh-CN"/>
        </w:rPr>
        <w:t>u</w:t>
      </w:r>
      <w:r>
        <w:rPr>
          <w:rFonts w:hint="eastAsia"/>
          <w:position w:val="-10"/>
          <w:vertAlign w:val="subscript"/>
          <w:lang w:val="en-US" w:eastAsia="zh-CN"/>
        </w:rPr>
        <w:t>21</w:t>
      </w:r>
    </w:p>
    <w:p>
      <w:pPr>
        <w:spacing w:line="360" w:lineRule="auto"/>
        <w:ind w:firstLine="480" w:firstLineChars="200"/>
        <w:rPr>
          <w:rFonts w:eastAsia="宋体"/>
          <w:kern w:val="0"/>
          <w:sz w:val="24"/>
          <w:lang w:bidi="ar"/>
        </w:rPr>
      </w:pPr>
      <w:r>
        <w:rPr>
          <w:rStyle w:val="27"/>
          <w:rFonts w:eastAsia="宋体"/>
          <w:b w:val="0"/>
          <w:sz w:val="24"/>
        </w:rPr>
        <w:t>标准气体的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i w:val="0"/>
          <w:iCs w:val="0"/>
          <w:kern w:val="0"/>
          <w:sz w:val="24"/>
          <w:vertAlign w:val="subscript"/>
          <w:lang w:val="en-US" w:eastAsia="zh-CN" w:bidi="ar"/>
        </w:rPr>
        <w:t>rel</w:t>
      </w:r>
      <w:r>
        <w:rPr>
          <w:rFonts w:eastAsia="宋体"/>
          <w:kern w:val="0"/>
          <w:sz w:val="24"/>
          <w:lang w:bidi="ar"/>
        </w:rPr>
        <w:t>=2%，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=2，则</w:t>
      </w:r>
      <w:r>
        <w:rPr>
          <w:rFonts w:hint="eastAsia" w:eastAsia="宋体"/>
          <w:kern w:val="0"/>
          <w:sz w:val="24"/>
          <w:lang w:bidi="ar"/>
        </w:rPr>
        <w:t>在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hint="eastAsia" w:eastAsia="宋体"/>
          <w:kern w:val="0"/>
          <w:sz w:val="24"/>
          <w:lang w:bidi="ar"/>
        </w:rPr>
        <w:t>0%mol/mol浓度时</w:t>
      </w:r>
      <w:r>
        <w:rPr>
          <w:rFonts w:hint="eastAsia" w:eastAsia="宋体"/>
          <w:kern w:val="0"/>
          <w:sz w:val="24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"/>
        </w:rPr>
        <w:t>由标准气体不确定度引入的不确定度分量为</w:t>
      </w:r>
      <w:r>
        <w:rPr>
          <w:rFonts w:eastAsia="宋体"/>
          <w:kern w:val="0"/>
          <w:sz w:val="24"/>
          <w:lang w:bidi="ar"/>
        </w:rPr>
        <w:t>：</w:t>
      </w:r>
    </w:p>
    <w:p>
      <w:pPr>
        <w:spacing w:line="360" w:lineRule="auto"/>
        <w:ind w:firstLine="420" w:firstLineChars="200"/>
        <w:jc w:val="center"/>
        <w:rPr>
          <w:rFonts w:hint="eastAsia" w:hAnsi="Cambria Math"/>
          <w:sz w:val="24"/>
        </w:rPr>
      </w:pPr>
      <w:r>
        <w:rPr>
          <w:position w:val="-24"/>
          <w:vertAlign w:val="subscript"/>
        </w:rPr>
        <w:object>
          <v:shape id="_x0000_i1112" o:spt="75" type="#_x0000_t75" style="height:31pt;width:217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89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hint="default" w:hAnsi="Cambria Math"/>
          <w:i w:val="0"/>
          <w:position w:val="-10"/>
          <w:vertAlign w:val="baseline"/>
          <w:lang w:val="en-US"/>
        </w:rPr>
      </w:pPr>
      <w:r>
        <w:rPr>
          <w:rFonts w:hint="eastAsia"/>
          <w:position w:val="-10"/>
          <w:vertAlign w:val="baseline"/>
          <w:lang w:val="en-US" w:eastAsia="zh-CN"/>
        </w:rPr>
        <w:t>D.4.2.2 由数字多用表准确度引入的不确定度分量</w:t>
      </w:r>
      <w:r>
        <w:rPr>
          <w:rFonts w:hint="eastAsia"/>
          <w:i/>
          <w:iCs/>
          <w:position w:val="-10"/>
          <w:vertAlign w:val="baseline"/>
          <w:lang w:val="en-US" w:eastAsia="zh-CN"/>
        </w:rPr>
        <w:t>u</w:t>
      </w:r>
      <w:r>
        <w:rPr>
          <w:rFonts w:hint="eastAsia"/>
          <w:position w:val="-10"/>
          <w:vertAlign w:val="subscript"/>
          <w:lang w:val="en-US" w:eastAsia="zh-CN"/>
        </w:rPr>
        <w:t>22</w:t>
      </w:r>
    </w:p>
    <w:p>
      <w:pPr>
        <w:pStyle w:val="43"/>
        <w:spacing w:before="156" w:beforeLines="50" w:after="156" w:afterLines="50"/>
        <w:ind w:firstLine="480" w:firstLineChars="200"/>
        <w:rPr>
          <w:rFonts w:hint="eastAsia" w:hAnsi="Cambria Math"/>
          <w:i w:val="0"/>
          <w:position w:val="-10"/>
          <w:vertAlign w:val="baseline"/>
          <w:lang w:val="en-US" w:eastAsia="zh-CN"/>
        </w:rPr>
      </w:pPr>
      <w:r>
        <w:rPr>
          <w:rFonts w:hint="eastAsia" w:hAnsi="Cambria Math"/>
          <w:i w:val="0"/>
          <w:position w:val="-10"/>
          <w:vertAlign w:val="baseline"/>
          <w:lang w:val="en-US" w:eastAsia="zh-CN"/>
        </w:rPr>
        <w:t>数字多用表的准确度等级为0.02级，服从均匀分布，在12mA测量点的不确定度分量为：</w:t>
      </w:r>
    </w:p>
    <w:p>
      <w:pPr>
        <w:pStyle w:val="43"/>
        <w:spacing w:before="156" w:beforeLines="50" w:after="156" w:afterLines="50"/>
        <w:ind w:firstLine="480" w:firstLineChars="200"/>
        <w:jc w:val="center"/>
        <w:rPr>
          <w:position w:val="-28"/>
          <w:vertAlign w:val="subscript"/>
        </w:rPr>
      </w:pPr>
      <w:r>
        <w:rPr>
          <w:position w:val="-28"/>
          <w:vertAlign w:val="subscript"/>
        </w:rPr>
        <w:object>
          <v:shape id="_x0000_i1113" o:spt="75" type="#_x0000_t75" style="height:33pt;width:183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91">
            <o:LockedField>false</o:LockedField>
          </o:OLEObject>
        </w:object>
      </w:r>
    </w:p>
    <w:p>
      <w:pPr>
        <w:pStyle w:val="43"/>
        <w:ind w:firstLine="480"/>
        <w:rPr>
          <w:rFonts w:hint="eastAsia"/>
          <w:vertAlign w:val="baseline"/>
          <w:lang w:val="en-US" w:eastAsia="zh-CN"/>
        </w:rPr>
      </w:pPr>
      <w:r>
        <w:rPr>
          <w:rFonts w:hint="eastAsia" w:cs="宋体"/>
          <w:szCs w:val="24"/>
          <w:lang w:val="en-US" w:eastAsia="zh-CN"/>
        </w:rPr>
        <w:t>由于</w:t>
      </w:r>
      <w:r>
        <w:rPr>
          <w:rFonts w:hint="eastAsia"/>
          <w:lang w:val="en-US" w:eastAsia="zh-CN"/>
        </w:rPr>
        <w:t>输入量V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为-0.16mA/(%mol/mol)，则由测量标准不确定度引入的不确定度分量为：</w:t>
      </w:r>
    </w:p>
    <w:p>
      <w:pPr>
        <w:pStyle w:val="43"/>
        <w:ind w:firstLine="480"/>
        <w:jc w:val="center"/>
        <w:rPr>
          <w:rFonts w:hint="default"/>
          <w:vertAlign w:val="baseline"/>
          <w:lang w:val="en-US" w:eastAsia="zh-CN"/>
        </w:rPr>
      </w:pPr>
      <w:r>
        <w:rPr>
          <w:position w:val="-12"/>
          <w:vertAlign w:val="subscript"/>
        </w:rPr>
        <w:object>
          <v:shape id="_x0000_i1114" o:spt="75" type="#_x0000_t75" style="height:22pt;width:148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93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eastAsia="黑体"/>
          <w:szCs w:val="24"/>
        </w:rPr>
      </w:pPr>
      <w:r>
        <w:rPr>
          <w:rFonts w:hint="eastAsia"/>
          <w:szCs w:val="24"/>
        </w:rPr>
        <w:t xml:space="preserve">D.5 </w:t>
      </w:r>
      <w:r>
        <w:rPr>
          <w:rFonts w:hint="eastAsia" w:ascii="Times New Roman" w:hAnsi="Times New Roman" w:eastAsia="黑体" w:cs="Times New Roman"/>
          <w:szCs w:val="24"/>
          <w:lang w:val="en-US" w:eastAsia="zh-CN"/>
        </w:rPr>
        <w:t>标准</w:t>
      </w:r>
      <w:r>
        <w:rPr>
          <w:rFonts w:hint="eastAsia" w:eastAsia="黑体"/>
          <w:szCs w:val="24"/>
        </w:rPr>
        <w:t>不确定度分量汇总</w:t>
      </w:r>
    </w:p>
    <w:p>
      <w:pPr>
        <w:pStyle w:val="43"/>
        <w:ind w:firstLine="480"/>
        <w:rPr>
          <w:rFonts w:hint="eastAsia" w:eastAsia="宋体" w:cs="宋体"/>
          <w:szCs w:val="24"/>
          <w:lang w:eastAsia="zh-CN"/>
        </w:rPr>
      </w:pPr>
      <w:r>
        <w:rPr>
          <w:rFonts w:hint="eastAsia" w:cs="宋体"/>
          <w:szCs w:val="24"/>
          <w:lang w:val="en-US" w:eastAsia="zh-CN"/>
        </w:rPr>
        <w:t>标准</w:t>
      </w:r>
      <w:r>
        <w:rPr>
          <w:rFonts w:hint="eastAsia" w:cs="宋体"/>
          <w:szCs w:val="24"/>
        </w:rPr>
        <w:t>不确定度分量汇总见表D.3</w:t>
      </w:r>
      <w:r>
        <w:rPr>
          <w:rFonts w:hint="eastAsia" w:cs="宋体"/>
          <w:szCs w:val="24"/>
          <w:lang w:eastAsia="zh-CN"/>
        </w:rPr>
        <w:t>。</w:t>
      </w:r>
    </w:p>
    <w:p>
      <w:pPr>
        <w:spacing w:line="360" w:lineRule="auto"/>
        <w:jc w:val="center"/>
        <w:rPr>
          <w:rStyle w:val="102"/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 xml:space="preserve">表D.3 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标准</w:t>
      </w:r>
      <w:r>
        <w:rPr>
          <w:rStyle w:val="102"/>
          <w:rFonts w:hint="default" w:ascii="Times New Roman" w:hAnsi="Times New Roman" w:cs="Times New Roman"/>
          <w:color w:val="auto"/>
          <w:szCs w:val="21"/>
        </w:rPr>
        <w:t>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分量汇总表</w:t>
      </w:r>
    </w:p>
    <w:tbl>
      <w:tblPr>
        <w:tblStyle w:val="2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624"/>
        <w:gridCol w:w="1713"/>
        <w:gridCol w:w="1807"/>
        <w:gridCol w:w="1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</w:t>
            </w: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不确定度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不确定度分量/mA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由测量过程引入的不确定度分量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5" o:spt="75" type="#_x0000_t75" style="height:17pt;width:12pt;" o:ole="t" filled="f" o:preferrelative="t" stroked="f" coordsize="21600,21600">
                  <v:path/>
                  <v:fill on="f" focussize="0,0"/>
                  <v:stroke on="f" joinstyle="miter"/>
                  <v:imagedata r:id="rId196" o:title=""/>
                  <o:lock v:ext="edit" aspectratio="t"/>
                  <w10:wrap type="none"/>
                  <w10:anchorlock/>
                </v:shape>
                <o:OLEObject Type="Embed" ProgID="Equation.KSEE3" ShapeID="_x0000_i1115" DrawAspect="Content" ObjectID="_1468075815" r:id="rId195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0.00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测量重复性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6" o:spt="75" type="#_x0000_t75" style="height:17pt;width:15pt;" o:ole="t" filled="f" o:preferrelative="t" stroked="f" coordsize="21600,21600">
                  <v:path/>
                  <v:fill on="f" focussize="0,0"/>
                  <v:stroke on="f"/>
                  <v:imagedata r:id="rId198" o:title=""/>
                  <o:lock v:ext="edit" aspectratio="t"/>
                  <w10:wrap type="none"/>
                  <w10:anchorlock/>
                </v:shape>
                <o:OLEObject Type="Embed" ProgID="Equation.KSEE3" ShapeID="_x0000_i1116" DrawAspect="Content" ObjectID="_1468075816" r:id="rId197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0.00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数字多用表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分辨力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7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200" o:title=""/>
                  <o:lock v:ext="edit" aspectratio="t"/>
                  <w10:wrap type="none"/>
                  <w10:anchorlock/>
                </v:shape>
                <o:OLEObject Type="Embed" ProgID="Equation.KSEE3" ShapeID="_x0000_i1117" DrawAspect="Content" ObjectID="_1468075817" r:id="rId199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0.000029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标准不确定度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8" o:spt="75" type="#_x0000_t75" style="height:17pt;width:13pt;" o:ole="t" filled="f" o:preferrelative="t" stroked="f" coordsize="21600,21600">
                  <v:path/>
                  <v:fill on="f" focussize="0,0"/>
                  <v:stroke on="f"/>
                  <v:imagedata r:id="rId202" o:title=""/>
                  <o:lock v:ext="edit" aspectratio="t"/>
                  <w10:wrap type="none"/>
                  <w10:anchorlock/>
                </v:shape>
                <o:OLEObject Type="Embed" ProgID="Equation.KSEE3" ShapeID="_x0000_i1118" DrawAspect="Content" ObjectID="_1468075818" r:id="rId201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6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由标准气体不确定度引入的不确定度分量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position w:val="-10"/>
                <w:vertAlign w:val="subscript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9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204" o:title=""/>
                  <o:lock v:ext="edit" aspectratio="t"/>
                  <w10:wrap type="none"/>
                  <w10:anchorlock/>
                </v:shape>
                <o:OLEObject Type="Embed" ProgID="Equation.KSEE3" ShapeID="_x0000_i1119" DrawAspect="Content" ObjectID="_1468075819" r:id="rId203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%mol/mol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-0.16mA/(%mol/mol)</w:t>
            </w:r>
          </w:p>
        </w:tc>
        <w:tc>
          <w:tcPr>
            <w:tcW w:w="1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2" w:type="dxa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数字多用表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准确度引入的不确定度分量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position w:val="-10"/>
                <w:vertAlign w:val="subscript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20" o:spt="75" type="#_x0000_t75" style="height:17pt;width:17pt;" o:ole="t" filled="f" o:preferrelative="t" stroked="f" coordsize="21600,21600">
                  <v:path/>
                  <v:fill on="f" focussize="0,0"/>
                  <v:stroke on="f"/>
                  <v:imagedata r:id="rId206" o:title=""/>
                  <o:lock v:ext="edit" aspectratio="t"/>
                  <w10:wrap type="none"/>
                  <w10:anchorlock/>
                </v:shape>
                <o:OLEObject Type="Embed" ProgID="Equation.KSEE3" ShapeID="_x0000_i1120" DrawAspect="Content" ObjectID="_1468075820" r:id="rId205">
                  <o:LockedField>false</o:LockedField>
                </o:OLEObject>
              </w:objec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0.001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6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>
      <w:pPr>
        <w:pStyle w:val="43"/>
        <w:spacing w:before="156" w:beforeLines="50" w:after="156" w:afterLines="50"/>
        <w:ind w:firstLine="0" w:firstLineChars="0"/>
        <w:rPr>
          <w:rFonts w:eastAsia="黑体" w:cs="宋体"/>
          <w:bCs/>
          <w:szCs w:val="24"/>
        </w:rPr>
      </w:pPr>
      <w:r>
        <w:rPr>
          <w:rFonts w:hint="eastAsia"/>
          <w:szCs w:val="24"/>
        </w:rPr>
        <w:t>D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6 </w:t>
      </w:r>
      <w:r>
        <w:rPr>
          <w:rFonts w:hint="eastAsia" w:eastAsia="黑体"/>
          <w:szCs w:val="24"/>
        </w:rPr>
        <w:t>合成</w:t>
      </w:r>
      <w:r>
        <w:rPr>
          <w:rFonts w:hint="eastAsia" w:eastAsia="黑体" w:cs="宋体"/>
          <w:bCs/>
          <w:szCs w:val="24"/>
        </w:rPr>
        <w:t>标准不确定度</w:t>
      </w:r>
    </w:p>
    <w:p>
      <w:pPr>
        <w:pStyle w:val="43"/>
        <w:ind w:firstLine="480"/>
        <w:rPr>
          <w:rFonts w:eastAsia="黑体" w:cs="宋体"/>
          <w:bCs/>
          <w:szCs w:val="24"/>
        </w:rPr>
      </w:pPr>
      <w:r>
        <w:rPr>
          <w:rFonts w:hint="eastAsia" w:cs="宋体"/>
          <w:szCs w:val="24"/>
        </w:rPr>
        <w:t>合成标准不确定度</w:t>
      </w:r>
      <w:r>
        <w:rPr>
          <w:rFonts w:hint="eastAsia" w:cs="宋体"/>
          <w:position w:val="-12"/>
          <w:szCs w:val="24"/>
        </w:rPr>
        <w:object>
          <v:shape id="_x0000_i1121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207">
            <o:LockedField>false</o:LockedField>
          </o:OLEObject>
        </w:object>
      </w:r>
      <w:r>
        <w:rPr>
          <w:rFonts w:hint="eastAsia" w:cs="宋体"/>
          <w:szCs w:val="24"/>
        </w:rPr>
        <w:t>按下式计算</w:t>
      </w:r>
      <w:r>
        <w:rPr>
          <w:rFonts w:hint="eastAsia" w:ascii="宋体" w:hAnsi="宋体" w:cs="宋体"/>
          <w:bCs/>
          <w:szCs w:val="24"/>
        </w:rPr>
        <w:t>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bCs/>
          <w:sz w:val="24"/>
        </w:rPr>
      </w:pPr>
      <w:r>
        <w:rPr>
          <w:rFonts w:hint="default" w:ascii="Times New Roman" w:hAnsi="Times New Roman" w:eastAsia="宋体" w:cs="Times New Roman"/>
          <w:i w:val="0"/>
          <w:iCs/>
          <w:position w:val="-12"/>
          <w:sz w:val="24"/>
        </w:rPr>
        <w:object>
          <v:shape id="_x0000_i1122" o:spt="75" type="#_x0000_t75" style="height:22pt;width:162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209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 xml:space="preserve">D.7 </w:t>
      </w:r>
      <w:r>
        <w:rPr>
          <w:rFonts w:hint="eastAsia" w:ascii="黑体" w:hAnsi="黑体" w:eastAsia="黑体" w:cs="黑体"/>
          <w:szCs w:val="24"/>
        </w:rPr>
        <w:t>扩展不确定度</w:t>
      </w:r>
    </w:p>
    <w:p>
      <w:pPr>
        <w:pStyle w:val="43"/>
        <w:ind w:firstLine="480"/>
        <w:rPr>
          <w:position w:val="-10"/>
          <w:szCs w:val="24"/>
        </w:rPr>
      </w:pPr>
      <w:r>
        <w:rPr>
          <w:rFonts w:hint="eastAsia"/>
          <w:position w:val="-10"/>
          <w:szCs w:val="24"/>
        </w:rPr>
        <w:t>取包含因子</w:t>
      </w:r>
      <w:r>
        <w:rPr>
          <w:rFonts w:hint="eastAsia"/>
          <w:i/>
          <w:iCs/>
          <w:position w:val="-10"/>
          <w:szCs w:val="24"/>
        </w:rPr>
        <w:t>k</w:t>
      </w:r>
      <w:r>
        <w:rPr>
          <w:rFonts w:hint="eastAsia"/>
          <w:position w:val="-10"/>
          <w:szCs w:val="24"/>
        </w:rPr>
        <w:t>=2，</w:t>
      </w:r>
      <w:r>
        <w:rPr>
          <w:rFonts w:hint="eastAsia"/>
          <w:position w:val="-10"/>
          <w:szCs w:val="24"/>
          <w:lang w:val="en-US" w:eastAsia="zh-CN"/>
        </w:rPr>
        <w:t>变送输出</w:t>
      </w:r>
      <w:r>
        <w:rPr>
          <w:rFonts w:hint="eastAsia"/>
          <w:position w:val="-10"/>
          <w:szCs w:val="24"/>
        </w:rPr>
        <w:t>误差</w:t>
      </w:r>
      <w:r>
        <w:rPr>
          <w:rFonts w:hint="eastAsia"/>
          <w:position w:val="-10"/>
          <w:szCs w:val="24"/>
          <w:lang w:val="en-US" w:eastAsia="zh-CN"/>
        </w:rPr>
        <w:t>的</w:t>
      </w:r>
      <w:r>
        <w:rPr>
          <w:rFonts w:hint="eastAsia"/>
          <w:position w:val="-10"/>
          <w:szCs w:val="24"/>
        </w:rPr>
        <w:t>测量结果扩展不确定度为：</w:t>
      </w:r>
    </w:p>
    <w:p>
      <w:pPr>
        <w:pStyle w:val="43"/>
        <w:ind w:firstLine="480"/>
        <w:jc w:val="center"/>
        <w:rPr>
          <w:rFonts w:ascii="Cambria Math" w:hAnsi="Cambria Math"/>
          <w:i/>
          <w:position w:val="-12"/>
          <w:szCs w:val="24"/>
        </w:rPr>
      </w:pPr>
      <w:r>
        <w:rPr>
          <w:rFonts w:hint="default" w:ascii="Times New Roman" w:hAnsi="Times New Roman" w:cs="Times New Roman"/>
          <w:i/>
          <w:position w:val="-12"/>
          <w:szCs w:val="24"/>
        </w:rPr>
        <w:object>
          <v:shape id="_x0000_i1123" o:spt="75" type="#_x0000_t75" style="height:18pt;width:96.9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211">
            <o:LockedField>false</o:LockedField>
          </o:OLEObject>
        </w:object>
      </w:r>
    </w:p>
    <w:p>
      <w:pPr>
        <w:pStyle w:val="43"/>
        <w:ind w:firstLine="480"/>
        <w:jc w:val="center"/>
        <w:rPr>
          <w:iCs/>
          <w:position w:val="-12"/>
          <w:szCs w:val="24"/>
        </w:rPr>
      </w:pPr>
      <w:r>
        <w:rPr>
          <w:rFonts w:hint="eastAsia"/>
          <w:iCs/>
          <w:position w:val="-12"/>
          <w:szCs w:val="24"/>
        </w:rPr>
        <w:object>
          <v:shape id="_x0000_i1124" o:spt="75" type="#_x0000_t75" style="height:18pt;width:151.6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13">
            <o:LockedField>false</o:LockedField>
          </o:OLEObject>
        </w:object>
      </w:r>
    </w:p>
    <w:p>
      <w:pPr>
        <w:pStyle w:val="43"/>
        <w:ind w:firstLine="480"/>
        <w:rPr>
          <w:rFonts w:hint="eastAsia"/>
          <w:iCs/>
          <w:position w:val="-12"/>
          <w:szCs w:val="24"/>
        </w:rPr>
      </w:pPr>
      <w:r>
        <w:rPr>
          <w:rFonts w:hint="eastAsia"/>
          <w:iCs/>
          <w:position w:val="-12"/>
          <w:szCs w:val="24"/>
        </w:rPr>
        <w:t>该</w:t>
      </w:r>
      <w:r>
        <w:rPr>
          <w:rFonts w:hint="eastAsia"/>
          <w:iCs/>
          <w:position w:val="-12"/>
          <w:szCs w:val="24"/>
          <w:lang w:val="en-US" w:eastAsia="zh-CN"/>
        </w:rPr>
        <w:t>二氧化碳</w:t>
      </w:r>
      <w:r>
        <w:rPr>
          <w:rFonts w:hint="eastAsia"/>
          <w:iCs/>
          <w:position w:val="-12"/>
          <w:szCs w:val="24"/>
        </w:rPr>
        <w:t>浓度检测报警仪在</w:t>
      </w:r>
      <w:r>
        <w:rPr>
          <w:rFonts w:hint="eastAsia"/>
          <w:iCs/>
          <w:position w:val="-12"/>
          <w:szCs w:val="24"/>
          <w:lang w:val="en-US" w:eastAsia="zh-CN"/>
        </w:rPr>
        <w:t>5</w:t>
      </w:r>
      <w:r>
        <w:rPr>
          <w:rFonts w:hint="eastAsia"/>
          <w:iCs/>
          <w:position w:val="-12"/>
          <w:szCs w:val="24"/>
        </w:rPr>
        <w:t>0%mol/mol校准点的变送输出</w:t>
      </w:r>
      <w:r>
        <w:rPr>
          <w:rFonts w:hint="eastAsia"/>
          <w:iCs/>
          <w:position w:val="-12"/>
          <w:szCs w:val="24"/>
          <w:lang w:val="en-US" w:eastAsia="zh-CN"/>
        </w:rPr>
        <w:t>校准结果</w:t>
      </w:r>
      <w:r>
        <w:rPr>
          <w:rFonts w:hint="eastAsia"/>
          <w:iCs/>
          <w:position w:val="-12"/>
          <w:szCs w:val="24"/>
        </w:rPr>
        <w:t>为1</w:t>
      </w:r>
      <w:r>
        <w:rPr>
          <w:rFonts w:hint="eastAsia"/>
          <w:iCs/>
          <w:position w:val="-12"/>
          <w:szCs w:val="24"/>
          <w:lang w:val="en-US" w:eastAsia="zh-CN"/>
        </w:rPr>
        <w:t>2.02334</w:t>
      </w:r>
      <w:r>
        <w:rPr>
          <w:rFonts w:hint="eastAsia"/>
          <w:iCs/>
          <w:position w:val="-12"/>
          <w:szCs w:val="24"/>
        </w:rPr>
        <w:t>mA，其扩展不确定度为：</w:t>
      </w:r>
    </w:p>
    <w:p>
      <w:pPr>
        <w:pStyle w:val="43"/>
        <w:ind w:firstLine="480"/>
        <w:jc w:val="center"/>
        <w:rPr>
          <w:rFonts w:hint="eastAsia"/>
          <w:iCs/>
          <w:position w:val="-12"/>
          <w:szCs w:val="24"/>
          <w:lang w:eastAsia="zh-CN"/>
        </w:rPr>
      </w:pPr>
      <w:r>
        <w:rPr>
          <w:rFonts w:hint="eastAsia"/>
          <w:i/>
          <w:position w:val="-12"/>
          <w:szCs w:val="24"/>
        </w:rPr>
        <w:t>U</w:t>
      </w:r>
      <w:r>
        <w:rPr>
          <w:rFonts w:hint="eastAsia"/>
          <w:i w:val="0"/>
          <w:iCs/>
          <w:position w:val="-12"/>
          <w:szCs w:val="24"/>
          <w:vertAlign w:val="subscript"/>
          <w:lang w:val="en-US" w:eastAsia="zh-CN"/>
        </w:rPr>
        <w:t>rel</w:t>
      </w:r>
      <w:r>
        <w:rPr>
          <w:rFonts w:hint="eastAsia"/>
          <w:iCs/>
          <w:position w:val="-12"/>
          <w:szCs w:val="24"/>
        </w:rPr>
        <w:t>=1%FS，</w:t>
      </w:r>
      <w:r>
        <w:rPr>
          <w:rFonts w:hint="eastAsia"/>
          <w:i/>
          <w:position w:val="-12"/>
          <w:szCs w:val="24"/>
        </w:rPr>
        <w:t>k</w:t>
      </w:r>
      <w:r>
        <w:rPr>
          <w:rFonts w:hint="eastAsia"/>
          <w:iCs/>
          <w:position w:val="-12"/>
          <w:szCs w:val="24"/>
        </w:rPr>
        <w:t>=2</w:t>
      </w:r>
      <w:r>
        <w:rPr>
          <w:rFonts w:hint="eastAsia" w:eastAsia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824230</wp:posOffset>
                </wp:positionV>
                <wp:extent cx="270002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6pt;margin-top:64.9pt;height:0.05pt;width:212.6pt;z-index:251674624;mso-width-relative:page;mso-height-relative:page;" filled="f" stroked="t" coordsize="21600,21600" o:gfxdata="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8gJ11wAAAAsBAAAPAAAAAAAAAAEAIAAAACIAAABkcnMvZG93bnJldi54bWxQSwECFAAU&#10;AAAACACHTuJAlzbFv/IBAADr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黑体" w:eastAsia="黑体"/>
          <w:sz w:val="28"/>
          <w:szCs w:val="28"/>
          <w:lang w:val="en-US" w:eastAsia="zh-CN"/>
        </w:rPr>
      </w:pPr>
    </w:p>
    <w:sectPr>
      <w:headerReference r:id="rId21" w:type="default"/>
      <w:footerReference r:id="rId22" w:type="default"/>
      <w:pgSz w:w="11907" w:h="16839"/>
      <w:pgMar w:top="1417" w:right="1134" w:bottom="1417" w:left="1418" w:header="102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E8275-3438-40A8-B32E-D561E098C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453BC4-7191-4B55-B463-39195416CE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1888F95-78C0-4C9D-AADD-83FAB68F0EAA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4" w:fontKey="{85A31170-0A6C-418D-B71C-71AD08ED35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B5CBCEA-152C-44B7-96CE-D6EDFFF3A4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73F7A36-9FDC-4EA9-9932-3F514737702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9AE81FBA-9C9F-40A1-9D57-A3040E39DCA5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AUOZOj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6"/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36"/>
        <w:tab w:val="center" w:pos="4153"/>
        <w:tab w:val="right" w:pos="8306"/>
        <w:tab w:val="right" w:pos="9475"/>
      </w:tabs>
      <w:snapToGrid w:val="0"/>
      <w:jc w:val="left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textAlignment w:val="bottom"/>
                            <w:rPr>
                              <w:rFonts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20.7pt;width:6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sLko/TAAAAAwEAAA8AAAAAAAAAAQAgAAAAIgAAAGRycy9k&#10;b3ducmV2LnhtbFBLAQIUABQAAAAIAIdO4kC1XJmszgEAAJYDAAAOAAAAAAAAAAEAIAAAACIBAABk&#10;cnMvZTJvRG9jLnhtbFBLBQYAAAAABgAGAFkBAABi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textAlignment w:val="bottom"/>
                      <w:rPr>
                        <w:rFonts w:eastAsia="宋体"/>
                        <w:sz w:val="18"/>
                        <w:szCs w:val="18"/>
                      </w:rPr>
                    </w:pP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III</w: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jc w:val="both"/>
      <w:rPr>
        <w:rStyle w:val="28"/>
        <w:rFonts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5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rPr>
        <w:rStyle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II</w:t>
    </w:r>
    <w:r>
      <w:fldChar w:fldCharType="end"/>
    </w:r>
  </w:p>
  <w:p>
    <w:pPr>
      <w:pStyle w:val="75"/>
      <w:ind w:right="360"/>
      <w:rPr>
        <w:rStyle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In3a/TAAAABQEAAA8AAAAAAAAAAQAgAAAAIgAAAGRycy9kb3du&#10;cmV2LnhtbFBLAQIUABQAAAAIAIdO4kDcgOFKywEAAJgDAAAOAAAAAAAAAAEAIAAAACIBAABkcnMv&#10;ZTJvRG9jLnhtbFBLBQYAAAAABgAGAFkBAABf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20.7pt;width: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C5KP0wAAAAMBAAAPAAAAAAAAAAEAIAAAACIAAABkcnMv&#10;ZG93bnJldi54bWxQSwECFAAUAAAACACHTuJAwssORM8BAACW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J92v0wAAAAUBAAAPAAAAAAAAAAEAIAAAACIAAABkcnMvZG93bnJl&#10;di54bWxQSwECFAAUAAAACACHTuJAL6kmvckBAACZAwAADgAAAAAAAAABACAAAAAiAQAAZHJzL2Uy&#10;b0RvYy54bWxQSwUGAAAAAAYABgBZAQAAX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20.7pt;width:6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C5KP0wAAAAMBAAAPAAAAAAAAAAEAIAAAACIAAABkcnMv&#10;ZG93bnJldi54bWxQSwECFAAUAAAACACHTuJAf0FQ1c8BAACW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2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黑体" w:hAnsi="黑体" w:cs="黑体"/>
        <w:szCs w:val="21"/>
      </w:rPr>
    </w:pPr>
    <w:r>
      <w:rPr>
        <w:rFonts w:hint="eastAsia" w:ascii="黑体" w:hAnsi="黑体" w:cs="黑体"/>
        <w:szCs w:val="21"/>
      </w:rPr>
      <w:t>JJ</w:t>
    </w:r>
    <w:r>
      <w:rPr>
        <w:rFonts w:hint="eastAsia" w:ascii="黑体" w:hAnsi="黑体" w:cs="黑体"/>
        <w:color w:val="000000"/>
        <w:szCs w:val="21"/>
      </w:rPr>
      <w:t>F</w:t>
    </w:r>
    <w:r>
      <w:rPr>
        <w:rFonts w:hint="eastAsia" w:ascii="黑体" w:hAnsi="黑体" w:cs="黑体"/>
        <w:szCs w:val="21"/>
      </w:rPr>
      <w:t>（有色金属）XXX—XXXX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0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DsHn8H3wEAANE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b/>
        <w:bCs/>
        <w:sz w:val="24"/>
      </w:rPr>
    </w:pPr>
    <w:r>
      <w:rPr>
        <w:b/>
        <w:bCs/>
        <w:sz w:val="24"/>
      </w:rPr>
      <w:t>J</w:t>
    </w:r>
    <w:r>
      <w:rPr>
        <w:rFonts w:hint="eastAsia"/>
        <w:b/>
        <w:bCs/>
        <w:sz w:val="24"/>
      </w:rPr>
      <w:t>JFX</w:t>
    </w:r>
    <w:r>
      <w:rPr>
        <w:rFonts w:hint="eastAsia"/>
        <w:b/>
        <w:bCs/>
      </w:rPr>
      <w:t>（机械）</w:t>
    </w:r>
    <w:r>
      <w:rPr>
        <w:rFonts w:hint="eastAsia"/>
        <w:b/>
        <w:bCs/>
        <w:sz w:val="24"/>
      </w:rPr>
      <w:t>0001-2018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1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0pt;margin-top:0.05pt;height:0pt;width:468pt;z-index:251660288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hUz71u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黑体"/>
        <w:color w:val="000000"/>
        <w:szCs w:val="21"/>
      </w:rPr>
    </w:pPr>
    <w:r>
      <w:rPr>
        <w:rFonts w:hint="eastAsia" w:ascii="黑体"/>
        <w:color w:val="000000"/>
        <w:szCs w:val="21"/>
      </w:rPr>
      <w:t>JJF（有色金属）XXX-XXXX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2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pt;width:468pt;z-index:251661312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AGoZ8/3wEAANI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center"/>
      <w:rPr>
        <w:rFonts w:ascii="黑体" w:eastAsia="黑体"/>
        <w:szCs w:val="21"/>
      </w:rPr>
    </w:pPr>
    <w:r>
      <w:rPr>
        <w:rFonts w:hint="eastAsia" w:ascii="黑体" w:eastAsia="黑体"/>
        <w:szCs w:val="21"/>
      </w:rPr>
      <w:t>JJF(有色金属)XXX-XXXX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single" w:color="auto" w:sz="4" w:space="0"/>
      </w:pBdr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JJF(有色金属)XXX-XXXX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55D7"/>
    <w:multiLevelType w:val="multilevel"/>
    <w:tmpl w:val="81C255D7"/>
    <w:lvl w:ilvl="0" w:tentative="0">
      <w:start w:val="1"/>
      <w:numFmt w:val="none"/>
      <w:pStyle w:val="8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49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93EA20E4"/>
    <w:multiLevelType w:val="singleLevel"/>
    <w:tmpl w:val="93EA20E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DA9EF9B"/>
    <w:multiLevelType w:val="multilevel"/>
    <w:tmpl w:val="ADA9EF9B"/>
    <w:lvl w:ilvl="0" w:tentative="0">
      <w:start w:val="1"/>
      <w:numFmt w:val="decimal"/>
      <w:pStyle w:val="42"/>
      <w:suff w:val="space"/>
      <w:lvlText w:val="%1"/>
      <w:lvlJc w:val="left"/>
      <w:pPr>
        <w:ind w:left="425" w:hanging="425"/>
      </w:pPr>
      <w:rPr>
        <w:rFonts w:hint="default" w:ascii="黑体" w:hAnsi="黑体" w:eastAsia="黑体" w:cs="黑体"/>
      </w:rPr>
    </w:lvl>
    <w:lvl w:ilvl="1" w:tentative="0">
      <w:start w:val="1"/>
      <w:numFmt w:val="decimal"/>
      <w:pStyle w:val="51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0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D3774554"/>
    <w:multiLevelType w:val="singleLevel"/>
    <w:tmpl w:val="D3774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D16621"/>
    <w:multiLevelType w:val="singleLevel"/>
    <w:tmpl w:val="DED16621"/>
    <w:lvl w:ilvl="0" w:tentative="0">
      <w:start w:val="1"/>
      <w:numFmt w:val="decimal"/>
      <w:pStyle w:val="88"/>
      <w:lvlText w:val="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F30D61D2"/>
    <w:multiLevelType w:val="singleLevel"/>
    <w:tmpl w:val="F30D61D2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U1MDY0ZmYzNWYzMzY3ZTZiNjMwY2EwMTIzZjkifQ=="/>
  </w:docVars>
  <w:rsids>
    <w:rsidRoot w:val="00172A27"/>
    <w:rsid w:val="00002B4F"/>
    <w:rsid w:val="00003BE5"/>
    <w:rsid w:val="0000454F"/>
    <w:rsid w:val="00006C0B"/>
    <w:rsid w:val="00006EA1"/>
    <w:rsid w:val="00006EF2"/>
    <w:rsid w:val="00013671"/>
    <w:rsid w:val="00015FB7"/>
    <w:rsid w:val="00020191"/>
    <w:rsid w:val="00020C05"/>
    <w:rsid w:val="000229D0"/>
    <w:rsid w:val="000243DA"/>
    <w:rsid w:val="0002555F"/>
    <w:rsid w:val="00026C96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5DA8"/>
    <w:rsid w:val="00045DBE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27"/>
    <w:rsid w:val="00070ACA"/>
    <w:rsid w:val="000713CB"/>
    <w:rsid w:val="0007299A"/>
    <w:rsid w:val="00074700"/>
    <w:rsid w:val="00080051"/>
    <w:rsid w:val="000804B6"/>
    <w:rsid w:val="0008434B"/>
    <w:rsid w:val="00084AF0"/>
    <w:rsid w:val="00085B5F"/>
    <w:rsid w:val="00086130"/>
    <w:rsid w:val="00092C30"/>
    <w:rsid w:val="000945F0"/>
    <w:rsid w:val="0009521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3D7D"/>
    <w:rsid w:val="000D4BE2"/>
    <w:rsid w:val="000D5F07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1FC4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2A7"/>
    <w:rsid w:val="00112373"/>
    <w:rsid w:val="00113286"/>
    <w:rsid w:val="00113B0C"/>
    <w:rsid w:val="00116098"/>
    <w:rsid w:val="00116841"/>
    <w:rsid w:val="0012108E"/>
    <w:rsid w:val="00123340"/>
    <w:rsid w:val="00123996"/>
    <w:rsid w:val="00123FE8"/>
    <w:rsid w:val="00126B52"/>
    <w:rsid w:val="00126D02"/>
    <w:rsid w:val="0012749F"/>
    <w:rsid w:val="0012787F"/>
    <w:rsid w:val="00127906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478B5"/>
    <w:rsid w:val="001507B0"/>
    <w:rsid w:val="00153045"/>
    <w:rsid w:val="00156084"/>
    <w:rsid w:val="001561E2"/>
    <w:rsid w:val="00160B60"/>
    <w:rsid w:val="00163812"/>
    <w:rsid w:val="00163BE4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4AF2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6050"/>
    <w:rsid w:val="001A752F"/>
    <w:rsid w:val="001B08AE"/>
    <w:rsid w:val="001B3136"/>
    <w:rsid w:val="001B6D25"/>
    <w:rsid w:val="001B70B2"/>
    <w:rsid w:val="001C141C"/>
    <w:rsid w:val="001C169C"/>
    <w:rsid w:val="001C1F36"/>
    <w:rsid w:val="001C2BD4"/>
    <w:rsid w:val="001C2E3F"/>
    <w:rsid w:val="001C3CEB"/>
    <w:rsid w:val="001C5703"/>
    <w:rsid w:val="001C575F"/>
    <w:rsid w:val="001C75B8"/>
    <w:rsid w:val="001C7B9D"/>
    <w:rsid w:val="001D15E4"/>
    <w:rsid w:val="001D16FD"/>
    <w:rsid w:val="001D1F51"/>
    <w:rsid w:val="001D54BD"/>
    <w:rsid w:val="001D637A"/>
    <w:rsid w:val="001D734A"/>
    <w:rsid w:val="001E1A84"/>
    <w:rsid w:val="001E1C24"/>
    <w:rsid w:val="001E20C7"/>
    <w:rsid w:val="001E2EB0"/>
    <w:rsid w:val="001E354B"/>
    <w:rsid w:val="001E3F78"/>
    <w:rsid w:val="001E4014"/>
    <w:rsid w:val="001E4FD2"/>
    <w:rsid w:val="001E55B0"/>
    <w:rsid w:val="001E56BB"/>
    <w:rsid w:val="001E61C4"/>
    <w:rsid w:val="001E6680"/>
    <w:rsid w:val="001E6AB3"/>
    <w:rsid w:val="001E6D6C"/>
    <w:rsid w:val="001F2695"/>
    <w:rsid w:val="001F36BD"/>
    <w:rsid w:val="001F3EBA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65A3"/>
    <w:rsid w:val="00217175"/>
    <w:rsid w:val="002208FD"/>
    <w:rsid w:val="0022298C"/>
    <w:rsid w:val="00223AD8"/>
    <w:rsid w:val="00223F7D"/>
    <w:rsid w:val="00224680"/>
    <w:rsid w:val="00224C1A"/>
    <w:rsid w:val="00226B25"/>
    <w:rsid w:val="00226C26"/>
    <w:rsid w:val="00231AEF"/>
    <w:rsid w:val="00234886"/>
    <w:rsid w:val="0023502D"/>
    <w:rsid w:val="00235948"/>
    <w:rsid w:val="00235E24"/>
    <w:rsid w:val="00236AAD"/>
    <w:rsid w:val="0023799B"/>
    <w:rsid w:val="002402B1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07DD"/>
    <w:rsid w:val="00261E03"/>
    <w:rsid w:val="00261E65"/>
    <w:rsid w:val="00264D82"/>
    <w:rsid w:val="00265A44"/>
    <w:rsid w:val="00265F54"/>
    <w:rsid w:val="002677E6"/>
    <w:rsid w:val="00270FF7"/>
    <w:rsid w:val="002721A6"/>
    <w:rsid w:val="00276346"/>
    <w:rsid w:val="00276BDF"/>
    <w:rsid w:val="00280202"/>
    <w:rsid w:val="00281C85"/>
    <w:rsid w:val="00283BD5"/>
    <w:rsid w:val="00284573"/>
    <w:rsid w:val="0028606E"/>
    <w:rsid w:val="00287823"/>
    <w:rsid w:val="00291245"/>
    <w:rsid w:val="00292158"/>
    <w:rsid w:val="0029448A"/>
    <w:rsid w:val="002954F4"/>
    <w:rsid w:val="0029682E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48E1"/>
    <w:rsid w:val="002C6457"/>
    <w:rsid w:val="002C7288"/>
    <w:rsid w:val="002C7743"/>
    <w:rsid w:val="002D0303"/>
    <w:rsid w:val="002D05D7"/>
    <w:rsid w:val="002D3AB7"/>
    <w:rsid w:val="002D4019"/>
    <w:rsid w:val="002D6B04"/>
    <w:rsid w:val="002D7639"/>
    <w:rsid w:val="002E435A"/>
    <w:rsid w:val="002E67DD"/>
    <w:rsid w:val="002E69F9"/>
    <w:rsid w:val="002F1E73"/>
    <w:rsid w:val="002F2A05"/>
    <w:rsid w:val="002F4D77"/>
    <w:rsid w:val="002F5104"/>
    <w:rsid w:val="002F77D2"/>
    <w:rsid w:val="00300578"/>
    <w:rsid w:val="0030096F"/>
    <w:rsid w:val="00300DE7"/>
    <w:rsid w:val="00302EBB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2CA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73FC6"/>
    <w:rsid w:val="00382041"/>
    <w:rsid w:val="00382068"/>
    <w:rsid w:val="00382421"/>
    <w:rsid w:val="00382ACE"/>
    <w:rsid w:val="00382C39"/>
    <w:rsid w:val="00383961"/>
    <w:rsid w:val="00383A8F"/>
    <w:rsid w:val="00383AC5"/>
    <w:rsid w:val="0038622E"/>
    <w:rsid w:val="003866E5"/>
    <w:rsid w:val="0039033B"/>
    <w:rsid w:val="00391026"/>
    <w:rsid w:val="0039157F"/>
    <w:rsid w:val="003919D1"/>
    <w:rsid w:val="00391A6A"/>
    <w:rsid w:val="00395E6F"/>
    <w:rsid w:val="003A151C"/>
    <w:rsid w:val="003A5204"/>
    <w:rsid w:val="003A5420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37BB2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1516"/>
    <w:rsid w:val="00494177"/>
    <w:rsid w:val="00494C07"/>
    <w:rsid w:val="004966D0"/>
    <w:rsid w:val="0049696E"/>
    <w:rsid w:val="004975B6"/>
    <w:rsid w:val="004A12F9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C642A"/>
    <w:rsid w:val="004D0CDD"/>
    <w:rsid w:val="004D1B0E"/>
    <w:rsid w:val="004E1885"/>
    <w:rsid w:val="004E2B8B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98A"/>
    <w:rsid w:val="00517F62"/>
    <w:rsid w:val="0052101A"/>
    <w:rsid w:val="00521BDD"/>
    <w:rsid w:val="00522E87"/>
    <w:rsid w:val="005309D8"/>
    <w:rsid w:val="0053217D"/>
    <w:rsid w:val="00537744"/>
    <w:rsid w:val="0054343E"/>
    <w:rsid w:val="005455BA"/>
    <w:rsid w:val="005458A3"/>
    <w:rsid w:val="00546D7F"/>
    <w:rsid w:val="00547137"/>
    <w:rsid w:val="005504A5"/>
    <w:rsid w:val="00550D0E"/>
    <w:rsid w:val="00550D14"/>
    <w:rsid w:val="00552117"/>
    <w:rsid w:val="00552738"/>
    <w:rsid w:val="0055539D"/>
    <w:rsid w:val="00555857"/>
    <w:rsid w:val="00555A3E"/>
    <w:rsid w:val="005565BC"/>
    <w:rsid w:val="005569B0"/>
    <w:rsid w:val="00560309"/>
    <w:rsid w:val="005624AC"/>
    <w:rsid w:val="00563547"/>
    <w:rsid w:val="00564845"/>
    <w:rsid w:val="00567558"/>
    <w:rsid w:val="00571BAE"/>
    <w:rsid w:val="00571E42"/>
    <w:rsid w:val="00575511"/>
    <w:rsid w:val="00580CF4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28E8"/>
    <w:rsid w:val="00593C50"/>
    <w:rsid w:val="005947C8"/>
    <w:rsid w:val="00596509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B7C63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E4239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2876"/>
    <w:rsid w:val="006333E6"/>
    <w:rsid w:val="00634514"/>
    <w:rsid w:val="00634784"/>
    <w:rsid w:val="00634B6E"/>
    <w:rsid w:val="006360D4"/>
    <w:rsid w:val="00636247"/>
    <w:rsid w:val="00640F58"/>
    <w:rsid w:val="00641035"/>
    <w:rsid w:val="0064735F"/>
    <w:rsid w:val="006505DF"/>
    <w:rsid w:val="006507F0"/>
    <w:rsid w:val="00653A57"/>
    <w:rsid w:val="00654AFA"/>
    <w:rsid w:val="0065543B"/>
    <w:rsid w:val="00655769"/>
    <w:rsid w:val="00655A58"/>
    <w:rsid w:val="00656C35"/>
    <w:rsid w:val="00657830"/>
    <w:rsid w:val="00660991"/>
    <w:rsid w:val="00662BA9"/>
    <w:rsid w:val="00663654"/>
    <w:rsid w:val="006659B6"/>
    <w:rsid w:val="00666A77"/>
    <w:rsid w:val="0066708C"/>
    <w:rsid w:val="00667188"/>
    <w:rsid w:val="00673077"/>
    <w:rsid w:val="00674BB4"/>
    <w:rsid w:val="00674E5A"/>
    <w:rsid w:val="00675383"/>
    <w:rsid w:val="00675CDD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0D84"/>
    <w:rsid w:val="006A27BE"/>
    <w:rsid w:val="006A28BC"/>
    <w:rsid w:val="006A4993"/>
    <w:rsid w:val="006A58D6"/>
    <w:rsid w:val="006A5D08"/>
    <w:rsid w:val="006A6675"/>
    <w:rsid w:val="006B1B53"/>
    <w:rsid w:val="006B2DBB"/>
    <w:rsid w:val="006B48A1"/>
    <w:rsid w:val="006B50B7"/>
    <w:rsid w:val="006B5796"/>
    <w:rsid w:val="006B72F2"/>
    <w:rsid w:val="006B7864"/>
    <w:rsid w:val="006B787D"/>
    <w:rsid w:val="006B78C5"/>
    <w:rsid w:val="006B7908"/>
    <w:rsid w:val="006C10F0"/>
    <w:rsid w:val="006C130B"/>
    <w:rsid w:val="006C140B"/>
    <w:rsid w:val="006C1472"/>
    <w:rsid w:val="006C4D08"/>
    <w:rsid w:val="006C7C3F"/>
    <w:rsid w:val="006D06F9"/>
    <w:rsid w:val="006D0EC1"/>
    <w:rsid w:val="006D7582"/>
    <w:rsid w:val="006E13FB"/>
    <w:rsid w:val="006E2464"/>
    <w:rsid w:val="006E563E"/>
    <w:rsid w:val="006E5AF6"/>
    <w:rsid w:val="006F32CB"/>
    <w:rsid w:val="006F4DC9"/>
    <w:rsid w:val="006F4F44"/>
    <w:rsid w:val="007001AB"/>
    <w:rsid w:val="007011CF"/>
    <w:rsid w:val="00701BB1"/>
    <w:rsid w:val="00705919"/>
    <w:rsid w:val="007077F7"/>
    <w:rsid w:val="00707E2E"/>
    <w:rsid w:val="00711CB5"/>
    <w:rsid w:val="00714F9C"/>
    <w:rsid w:val="007203CF"/>
    <w:rsid w:val="00721FA6"/>
    <w:rsid w:val="00725F97"/>
    <w:rsid w:val="00730198"/>
    <w:rsid w:val="00730CCB"/>
    <w:rsid w:val="00732820"/>
    <w:rsid w:val="00734C8D"/>
    <w:rsid w:val="0073797C"/>
    <w:rsid w:val="00737D12"/>
    <w:rsid w:val="0074010A"/>
    <w:rsid w:val="007428C1"/>
    <w:rsid w:val="00747DAF"/>
    <w:rsid w:val="00747FF0"/>
    <w:rsid w:val="00751A66"/>
    <w:rsid w:val="00752104"/>
    <w:rsid w:val="00753B68"/>
    <w:rsid w:val="007556F6"/>
    <w:rsid w:val="0075710A"/>
    <w:rsid w:val="00764100"/>
    <w:rsid w:val="007648FF"/>
    <w:rsid w:val="00766D0E"/>
    <w:rsid w:val="00767019"/>
    <w:rsid w:val="00767416"/>
    <w:rsid w:val="00772C90"/>
    <w:rsid w:val="007741E9"/>
    <w:rsid w:val="00774747"/>
    <w:rsid w:val="0077545F"/>
    <w:rsid w:val="007770CC"/>
    <w:rsid w:val="00781D8F"/>
    <w:rsid w:val="00782EBF"/>
    <w:rsid w:val="00784AEA"/>
    <w:rsid w:val="00796458"/>
    <w:rsid w:val="007966E0"/>
    <w:rsid w:val="007A0175"/>
    <w:rsid w:val="007A1378"/>
    <w:rsid w:val="007A1CE1"/>
    <w:rsid w:val="007A7A87"/>
    <w:rsid w:val="007B0AA0"/>
    <w:rsid w:val="007B1D4B"/>
    <w:rsid w:val="007B2DC1"/>
    <w:rsid w:val="007B4EC2"/>
    <w:rsid w:val="007B6DCC"/>
    <w:rsid w:val="007B7337"/>
    <w:rsid w:val="007C1153"/>
    <w:rsid w:val="007C173C"/>
    <w:rsid w:val="007C2839"/>
    <w:rsid w:val="007C3A2D"/>
    <w:rsid w:val="007C6ADC"/>
    <w:rsid w:val="007D07D2"/>
    <w:rsid w:val="007D39FE"/>
    <w:rsid w:val="007D5524"/>
    <w:rsid w:val="007D78E9"/>
    <w:rsid w:val="007E4BB6"/>
    <w:rsid w:val="007E5AF3"/>
    <w:rsid w:val="007E7C78"/>
    <w:rsid w:val="007F3E97"/>
    <w:rsid w:val="007F54E9"/>
    <w:rsid w:val="0080179E"/>
    <w:rsid w:val="00801C41"/>
    <w:rsid w:val="008026C4"/>
    <w:rsid w:val="008028A8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7E7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4F4A"/>
    <w:rsid w:val="008350D9"/>
    <w:rsid w:val="00835AAC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2485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3EC5"/>
    <w:rsid w:val="008B4C4F"/>
    <w:rsid w:val="008B5513"/>
    <w:rsid w:val="008C34A9"/>
    <w:rsid w:val="008C3F4E"/>
    <w:rsid w:val="008C45AA"/>
    <w:rsid w:val="008C5035"/>
    <w:rsid w:val="008C5473"/>
    <w:rsid w:val="008C61E1"/>
    <w:rsid w:val="008C6A1F"/>
    <w:rsid w:val="008C6C05"/>
    <w:rsid w:val="008C7542"/>
    <w:rsid w:val="008C787C"/>
    <w:rsid w:val="008D09EA"/>
    <w:rsid w:val="008D33EE"/>
    <w:rsid w:val="008D4E8E"/>
    <w:rsid w:val="008D56EF"/>
    <w:rsid w:val="008D5A78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0824"/>
    <w:rsid w:val="008F22F2"/>
    <w:rsid w:val="008F4C54"/>
    <w:rsid w:val="008F5CAB"/>
    <w:rsid w:val="008F6E34"/>
    <w:rsid w:val="00901623"/>
    <w:rsid w:val="0090526D"/>
    <w:rsid w:val="00911250"/>
    <w:rsid w:val="00912D71"/>
    <w:rsid w:val="00914551"/>
    <w:rsid w:val="00916A57"/>
    <w:rsid w:val="00916E67"/>
    <w:rsid w:val="009177D0"/>
    <w:rsid w:val="0092115E"/>
    <w:rsid w:val="00922D5A"/>
    <w:rsid w:val="00923DA9"/>
    <w:rsid w:val="00925A57"/>
    <w:rsid w:val="0092676E"/>
    <w:rsid w:val="0092755A"/>
    <w:rsid w:val="009306A9"/>
    <w:rsid w:val="00930CC9"/>
    <w:rsid w:val="009336F9"/>
    <w:rsid w:val="00935BE8"/>
    <w:rsid w:val="0093655F"/>
    <w:rsid w:val="00943C8C"/>
    <w:rsid w:val="00946559"/>
    <w:rsid w:val="00947CB1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A0E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14BB"/>
    <w:rsid w:val="009B2927"/>
    <w:rsid w:val="009B2BE7"/>
    <w:rsid w:val="009B45DD"/>
    <w:rsid w:val="009B7454"/>
    <w:rsid w:val="009C4272"/>
    <w:rsid w:val="009C7073"/>
    <w:rsid w:val="009D3F3B"/>
    <w:rsid w:val="009D3FD7"/>
    <w:rsid w:val="009D5A08"/>
    <w:rsid w:val="009D6ED0"/>
    <w:rsid w:val="009E0087"/>
    <w:rsid w:val="009E0205"/>
    <w:rsid w:val="009E1ABD"/>
    <w:rsid w:val="009E1F29"/>
    <w:rsid w:val="009E5C4A"/>
    <w:rsid w:val="009E6947"/>
    <w:rsid w:val="009E6B11"/>
    <w:rsid w:val="009F1BCB"/>
    <w:rsid w:val="009F3C5A"/>
    <w:rsid w:val="009F4504"/>
    <w:rsid w:val="009F624C"/>
    <w:rsid w:val="00A0608F"/>
    <w:rsid w:val="00A11629"/>
    <w:rsid w:val="00A12527"/>
    <w:rsid w:val="00A17672"/>
    <w:rsid w:val="00A178A8"/>
    <w:rsid w:val="00A17A1B"/>
    <w:rsid w:val="00A20BD3"/>
    <w:rsid w:val="00A218AC"/>
    <w:rsid w:val="00A21FF8"/>
    <w:rsid w:val="00A24E7E"/>
    <w:rsid w:val="00A25382"/>
    <w:rsid w:val="00A253D2"/>
    <w:rsid w:val="00A27917"/>
    <w:rsid w:val="00A31BBB"/>
    <w:rsid w:val="00A324F0"/>
    <w:rsid w:val="00A35A0E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0382"/>
    <w:rsid w:val="00A927E3"/>
    <w:rsid w:val="00A953B3"/>
    <w:rsid w:val="00A962F4"/>
    <w:rsid w:val="00A96C16"/>
    <w:rsid w:val="00A96E5E"/>
    <w:rsid w:val="00A97C61"/>
    <w:rsid w:val="00AA0EBA"/>
    <w:rsid w:val="00AA1673"/>
    <w:rsid w:val="00AA1CCB"/>
    <w:rsid w:val="00AA2582"/>
    <w:rsid w:val="00AA2771"/>
    <w:rsid w:val="00AA2942"/>
    <w:rsid w:val="00AA2A37"/>
    <w:rsid w:val="00AA3ED1"/>
    <w:rsid w:val="00AA5342"/>
    <w:rsid w:val="00AA6255"/>
    <w:rsid w:val="00AA79CD"/>
    <w:rsid w:val="00AB06E0"/>
    <w:rsid w:val="00AB24E0"/>
    <w:rsid w:val="00AB282E"/>
    <w:rsid w:val="00AB4EF5"/>
    <w:rsid w:val="00AB5871"/>
    <w:rsid w:val="00AB6DC5"/>
    <w:rsid w:val="00AB74B7"/>
    <w:rsid w:val="00AB7A61"/>
    <w:rsid w:val="00AC0DAB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102A"/>
    <w:rsid w:val="00AE3DD5"/>
    <w:rsid w:val="00AE4344"/>
    <w:rsid w:val="00AE4B8A"/>
    <w:rsid w:val="00AE4C8E"/>
    <w:rsid w:val="00AE6576"/>
    <w:rsid w:val="00AF004F"/>
    <w:rsid w:val="00AF024B"/>
    <w:rsid w:val="00AF0582"/>
    <w:rsid w:val="00AF17EA"/>
    <w:rsid w:val="00AF25A7"/>
    <w:rsid w:val="00AF416E"/>
    <w:rsid w:val="00AF42CC"/>
    <w:rsid w:val="00B019BA"/>
    <w:rsid w:val="00B01E42"/>
    <w:rsid w:val="00B032DC"/>
    <w:rsid w:val="00B03341"/>
    <w:rsid w:val="00B05489"/>
    <w:rsid w:val="00B06DBC"/>
    <w:rsid w:val="00B077D7"/>
    <w:rsid w:val="00B077EE"/>
    <w:rsid w:val="00B10CC0"/>
    <w:rsid w:val="00B17C44"/>
    <w:rsid w:val="00B17D53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0D09"/>
    <w:rsid w:val="00B71848"/>
    <w:rsid w:val="00B72F87"/>
    <w:rsid w:val="00B746CF"/>
    <w:rsid w:val="00B8008F"/>
    <w:rsid w:val="00B8184D"/>
    <w:rsid w:val="00B83BA9"/>
    <w:rsid w:val="00B83E6E"/>
    <w:rsid w:val="00B8413B"/>
    <w:rsid w:val="00B85297"/>
    <w:rsid w:val="00B861BD"/>
    <w:rsid w:val="00B86D9F"/>
    <w:rsid w:val="00B91B1A"/>
    <w:rsid w:val="00B93371"/>
    <w:rsid w:val="00B93A2F"/>
    <w:rsid w:val="00B97679"/>
    <w:rsid w:val="00BA4D1F"/>
    <w:rsid w:val="00BA4F7F"/>
    <w:rsid w:val="00BA5E5C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216"/>
    <w:rsid w:val="00BC03D9"/>
    <w:rsid w:val="00BC2ED0"/>
    <w:rsid w:val="00BC346D"/>
    <w:rsid w:val="00BC7FC9"/>
    <w:rsid w:val="00BD0B21"/>
    <w:rsid w:val="00BD1C33"/>
    <w:rsid w:val="00BD7E38"/>
    <w:rsid w:val="00BE021F"/>
    <w:rsid w:val="00BE148F"/>
    <w:rsid w:val="00BE3637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1DD"/>
    <w:rsid w:val="00C07990"/>
    <w:rsid w:val="00C10848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57B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1EED"/>
    <w:rsid w:val="00C52D5F"/>
    <w:rsid w:val="00C54037"/>
    <w:rsid w:val="00C546B0"/>
    <w:rsid w:val="00C54B3D"/>
    <w:rsid w:val="00C570DF"/>
    <w:rsid w:val="00C57A7E"/>
    <w:rsid w:val="00C66E4E"/>
    <w:rsid w:val="00C70448"/>
    <w:rsid w:val="00C726FF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0B3C"/>
    <w:rsid w:val="00C92A96"/>
    <w:rsid w:val="00C9395B"/>
    <w:rsid w:val="00C939F7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B6E36"/>
    <w:rsid w:val="00CC2A3C"/>
    <w:rsid w:val="00CC4B01"/>
    <w:rsid w:val="00CC6C19"/>
    <w:rsid w:val="00CD0104"/>
    <w:rsid w:val="00CD3BC9"/>
    <w:rsid w:val="00CD5449"/>
    <w:rsid w:val="00CD6DCA"/>
    <w:rsid w:val="00CE014E"/>
    <w:rsid w:val="00CE4C38"/>
    <w:rsid w:val="00CE4C5A"/>
    <w:rsid w:val="00CE6F22"/>
    <w:rsid w:val="00CE793D"/>
    <w:rsid w:val="00CF1CD8"/>
    <w:rsid w:val="00CF6B04"/>
    <w:rsid w:val="00D00853"/>
    <w:rsid w:val="00D00966"/>
    <w:rsid w:val="00D02B68"/>
    <w:rsid w:val="00D03138"/>
    <w:rsid w:val="00D102D8"/>
    <w:rsid w:val="00D13AA9"/>
    <w:rsid w:val="00D14538"/>
    <w:rsid w:val="00D17569"/>
    <w:rsid w:val="00D20DC4"/>
    <w:rsid w:val="00D22765"/>
    <w:rsid w:val="00D2299D"/>
    <w:rsid w:val="00D233A2"/>
    <w:rsid w:val="00D24110"/>
    <w:rsid w:val="00D250C5"/>
    <w:rsid w:val="00D27388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2F0C"/>
    <w:rsid w:val="00D53475"/>
    <w:rsid w:val="00D54B94"/>
    <w:rsid w:val="00D551BB"/>
    <w:rsid w:val="00D564E6"/>
    <w:rsid w:val="00D564EB"/>
    <w:rsid w:val="00D568C6"/>
    <w:rsid w:val="00D611C8"/>
    <w:rsid w:val="00D64803"/>
    <w:rsid w:val="00D65B63"/>
    <w:rsid w:val="00D6700C"/>
    <w:rsid w:val="00D676FA"/>
    <w:rsid w:val="00D71D78"/>
    <w:rsid w:val="00D74689"/>
    <w:rsid w:val="00D76B9E"/>
    <w:rsid w:val="00D7731C"/>
    <w:rsid w:val="00D80382"/>
    <w:rsid w:val="00D8084F"/>
    <w:rsid w:val="00D82F43"/>
    <w:rsid w:val="00D842A6"/>
    <w:rsid w:val="00D84D8F"/>
    <w:rsid w:val="00D861AF"/>
    <w:rsid w:val="00D868D2"/>
    <w:rsid w:val="00D87EEF"/>
    <w:rsid w:val="00D92962"/>
    <w:rsid w:val="00D94676"/>
    <w:rsid w:val="00DA326B"/>
    <w:rsid w:val="00DA4EC2"/>
    <w:rsid w:val="00DB147E"/>
    <w:rsid w:val="00DB3779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2BB9"/>
    <w:rsid w:val="00DD3046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0901"/>
    <w:rsid w:val="00DF2CE3"/>
    <w:rsid w:val="00DF36CE"/>
    <w:rsid w:val="00DF5425"/>
    <w:rsid w:val="00DF6AD1"/>
    <w:rsid w:val="00DF6D9A"/>
    <w:rsid w:val="00DF72CA"/>
    <w:rsid w:val="00DF7FF0"/>
    <w:rsid w:val="00E00F2A"/>
    <w:rsid w:val="00E03962"/>
    <w:rsid w:val="00E03B38"/>
    <w:rsid w:val="00E04253"/>
    <w:rsid w:val="00E102D7"/>
    <w:rsid w:val="00E10405"/>
    <w:rsid w:val="00E104BC"/>
    <w:rsid w:val="00E10F67"/>
    <w:rsid w:val="00E14699"/>
    <w:rsid w:val="00E20E7B"/>
    <w:rsid w:val="00E22D06"/>
    <w:rsid w:val="00E31013"/>
    <w:rsid w:val="00E33E81"/>
    <w:rsid w:val="00E342F7"/>
    <w:rsid w:val="00E34AA8"/>
    <w:rsid w:val="00E37FAE"/>
    <w:rsid w:val="00E418BF"/>
    <w:rsid w:val="00E426F8"/>
    <w:rsid w:val="00E4287F"/>
    <w:rsid w:val="00E42FDE"/>
    <w:rsid w:val="00E43048"/>
    <w:rsid w:val="00E43D29"/>
    <w:rsid w:val="00E4456C"/>
    <w:rsid w:val="00E45812"/>
    <w:rsid w:val="00E45871"/>
    <w:rsid w:val="00E458D4"/>
    <w:rsid w:val="00E5096F"/>
    <w:rsid w:val="00E51786"/>
    <w:rsid w:val="00E5220E"/>
    <w:rsid w:val="00E534C5"/>
    <w:rsid w:val="00E53943"/>
    <w:rsid w:val="00E54AC8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6A5B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7BB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1BFC"/>
    <w:rsid w:val="00ED2654"/>
    <w:rsid w:val="00ED2DA9"/>
    <w:rsid w:val="00ED3806"/>
    <w:rsid w:val="00ED40E3"/>
    <w:rsid w:val="00ED4612"/>
    <w:rsid w:val="00ED524A"/>
    <w:rsid w:val="00ED575C"/>
    <w:rsid w:val="00ED7512"/>
    <w:rsid w:val="00EE22D5"/>
    <w:rsid w:val="00EE261B"/>
    <w:rsid w:val="00EE64F3"/>
    <w:rsid w:val="00EF2B0E"/>
    <w:rsid w:val="00EF46E5"/>
    <w:rsid w:val="00EF55DC"/>
    <w:rsid w:val="00EF772B"/>
    <w:rsid w:val="00EF7CBB"/>
    <w:rsid w:val="00F11908"/>
    <w:rsid w:val="00F16992"/>
    <w:rsid w:val="00F16B73"/>
    <w:rsid w:val="00F1792B"/>
    <w:rsid w:val="00F17A07"/>
    <w:rsid w:val="00F17BD9"/>
    <w:rsid w:val="00F2079D"/>
    <w:rsid w:val="00F211B5"/>
    <w:rsid w:val="00F21D93"/>
    <w:rsid w:val="00F236B3"/>
    <w:rsid w:val="00F25D40"/>
    <w:rsid w:val="00F260EC"/>
    <w:rsid w:val="00F3026F"/>
    <w:rsid w:val="00F3064C"/>
    <w:rsid w:val="00F323BB"/>
    <w:rsid w:val="00F3416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46010"/>
    <w:rsid w:val="00F51B66"/>
    <w:rsid w:val="00F52426"/>
    <w:rsid w:val="00F542BC"/>
    <w:rsid w:val="00F55209"/>
    <w:rsid w:val="00F563ED"/>
    <w:rsid w:val="00F61B7E"/>
    <w:rsid w:val="00F66515"/>
    <w:rsid w:val="00F73A68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1F73"/>
    <w:rsid w:val="00F9302F"/>
    <w:rsid w:val="00F93F4A"/>
    <w:rsid w:val="00F94475"/>
    <w:rsid w:val="00F9740C"/>
    <w:rsid w:val="00FA15BA"/>
    <w:rsid w:val="00FA3A9E"/>
    <w:rsid w:val="00FA434D"/>
    <w:rsid w:val="00FA4AE6"/>
    <w:rsid w:val="00FA4F99"/>
    <w:rsid w:val="00FA5B86"/>
    <w:rsid w:val="00FA7390"/>
    <w:rsid w:val="00FA7ADE"/>
    <w:rsid w:val="00FA7E6B"/>
    <w:rsid w:val="00FB06F7"/>
    <w:rsid w:val="00FB14CF"/>
    <w:rsid w:val="00FB2556"/>
    <w:rsid w:val="00FB32E1"/>
    <w:rsid w:val="00FC33DB"/>
    <w:rsid w:val="00FC5372"/>
    <w:rsid w:val="00FD0DD6"/>
    <w:rsid w:val="00FD0FD1"/>
    <w:rsid w:val="00FD373F"/>
    <w:rsid w:val="00FD4EEA"/>
    <w:rsid w:val="00FD6E66"/>
    <w:rsid w:val="00FD6E8D"/>
    <w:rsid w:val="00FE00D9"/>
    <w:rsid w:val="00FE08B0"/>
    <w:rsid w:val="00FE3579"/>
    <w:rsid w:val="00FE3ABE"/>
    <w:rsid w:val="00FE43B3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4F49B2"/>
    <w:rsid w:val="017D31AE"/>
    <w:rsid w:val="018B5403"/>
    <w:rsid w:val="01FD6356"/>
    <w:rsid w:val="02097669"/>
    <w:rsid w:val="02E9239C"/>
    <w:rsid w:val="02F97B00"/>
    <w:rsid w:val="030654B3"/>
    <w:rsid w:val="03150FBF"/>
    <w:rsid w:val="03451CC6"/>
    <w:rsid w:val="03520482"/>
    <w:rsid w:val="0357188F"/>
    <w:rsid w:val="0365793C"/>
    <w:rsid w:val="03A03C13"/>
    <w:rsid w:val="03AF0465"/>
    <w:rsid w:val="04037F85"/>
    <w:rsid w:val="04561534"/>
    <w:rsid w:val="046D5102"/>
    <w:rsid w:val="049E13D4"/>
    <w:rsid w:val="04F83A68"/>
    <w:rsid w:val="052E1089"/>
    <w:rsid w:val="05641A97"/>
    <w:rsid w:val="061F0008"/>
    <w:rsid w:val="06D45E42"/>
    <w:rsid w:val="07767825"/>
    <w:rsid w:val="078725A1"/>
    <w:rsid w:val="079F3753"/>
    <w:rsid w:val="07A21AC6"/>
    <w:rsid w:val="07A768F4"/>
    <w:rsid w:val="07B72AF7"/>
    <w:rsid w:val="07C95455"/>
    <w:rsid w:val="07ED7A9D"/>
    <w:rsid w:val="07FD6DB5"/>
    <w:rsid w:val="08312E95"/>
    <w:rsid w:val="090A5322"/>
    <w:rsid w:val="091F4B4B"/>
    <w:rsid w:val="094E2F8E"/>
    <w:rsid w:val="09DF25C2"/>
    <w:rsid w:val="0A064F39"/>
    <w:rsid w:val="0A4831C7"/>
    <w:rsid w:val="0AB2218E"/>
    <w:rsid w:val="0AE4560E"/>
    <w:rsid w:val="0AF73A9D"/>
    <w:rsid w:val="0AFC6CA1"/>
    <w:rsid w:val="0B094AB8"/>
    <w:rsid w:val="0B6B1880"/>
    <w:rsid w:val="0B7F03DE"/>
    <w:rsid w:val="0B9C31F5"/>
    <w:rsid w:val="0BB261B4"/>
    <w:rsid w:val="0BBC5B5C"/>
    <w:rsid w:val="0C1A378D"/>
    <w:rsid w:val="0C264442"/>
    <w:rsid w:val="0C4442CF"/>
    <w:rsid w:val="0C9B5551"/>
    <w:rsid w:val="0C9F6ADE"/>
    <w:rsid w:val="0CE265BB"/>
    <w:rsid w:val="0D037ED7"/>
    <w:rsid w:val="0D3276FA"/>
    <w:rsid w:val="0D3F3A0E"/>
    <w:rsid w:val="0D4620C4"/>
    <w:rsid w:val="0D472739"/>
    <w:rsid w:val="0D6C7986"/>
    <w:rsid w:val="0E5D56D6"/>
    <w:rsid w:val="0E8E2E4B"/>
    <w:rsid w:val="0EE875A6"/>
    <w:rsid w:val="0EF200DB"/>
    <w:rsid w:val="0EFC4988"/>
    <w:rsid w:val="0F1265DE"/>
    <w:rsid w:val="0F21682A"/>
    <w:rsid w:val="0F376AE9"/>
    <w:rsid w:val="0FD80E22"/>
    <w:rsid w:val="0FF64098"/>
    <w:rsid w:val="1008458B"/>
    <w:rsid w:val="100E4F4D"/>
    <w:rsid w:val="101B1EBB"/>
    <w:rsid w:val="1079268B"/>
    <w:rsid w:val="107C2364"/>
    <w:rsid w:val="10CF7F6C"/>
    <w:rsid w:val="115D3413"/>
    <w:rsid w:val="119A32D5"/>
    <w:rsid w:val="11B8062E"/>
    <w:rsid w:val="1270150D"/>
    <w:rsid w:val="12844FAC"/>
    <w:rsid w:val="12CB3CCE"/>
    <w:rsid w:val="139C292F"/>
    <w:rsid w:val="13B41F5F"/>
    <w:rsid w:val="14295017"/>
    <w:rsid w:val="14407908"/>
    <w:rsid w:val="14504E56"/>
    <w:rsid w:val="14784274"/>
    <w:rsid w:val="1491347E"/>
    <w:rsid w:val="14AA3D0B"/>
    <w:rsid w:val="14D907C0"/>
    <w:rsid w:val="14EB6229"/>
    <w:rsid w:val="156F3860"/>
    <w:rsid w:val="15C373C0"/>
    <w:rsid w:val="15CD6ACF"/>
    <w:rsid w:val="15DE2DD1"/>
    <w:rsid w:val="16215294"/>
    <w:rsid w:val="16D164BC"/>
    <w:rsid w:val="16FF25C0"/>
    <w:rsid w:val="174C3557"/>
    <w:rsid w:val="17F20816"/>
    <w:rsid w:val="1804388A"/>
    <w:rsid w:val="18100480"/>
    <w:rsid w:val="183D10D6"/>
    <w:rsid w:val="186038F3"/>
    <w:rsid w:val="189A41EE"/>
    <w:rsid w:val="19B27315"/>
    <w:rsid w:val="19CF088F"/>
    <w:rsid w:val="19F71887"/>
    <w:rsid w:val="1A0956AD"/>
    <w:rsid w:val="1A3F549D"/>
    <w:rsid w:val="1B5213BB"/>
    <w:rsid w:val="1B5E76F6"/>
    <w:rsid w:val="1BC7492A"/>
    <w:rsid w:val="1BDC5B53"/>
    <w:rsid w:val="1CFF2DD8"/>
    <w:rsid w:val="1D520E2A"/>
    <w:rsid w:val="1DD277B8"/>
    <w:rsid w:val="1E0169AC"/>
    <w:rsid w:val="1E2E57E0"/>
    <w:rsid w:val="1E911BEF"/>
    <w:rsid w:val="1F4F40EC"/>
    <w:rsid w:val="1FF03521"/>
    <w:rsid w:val="202E4094"/>
    <w:rsid w:val="204752C1"/>
    <w:rsid w:val="20611842"/>
    <w:rsid w:val="206D21E8"/>
    <w:rsid w:val="208027EC"/>
    <w:rsid w:val="208F31C4"/>
    <w:rsid w:val="210E1006"/>
    <w:rsid w:val="210F7BDE"/>
    <w:rsid w:val="21180F0D"/>
    <w:rsid w:val="216D1447"/>
    <w:rsid w:val="21B22A5A"/>
    <w:rsid w:val="21D723D0"/>
    <w:rsid w:val="21DC3FC8"/>
    <w:rsid w:val="22132232"/>
    <w:rsid w:val="222A43E0"/>
    <w:rsid w:val="22782470"/>
    <w:rsid w:val="229F2B14"/>
    <w:rsid w:val="22C038DF"/>
    <w:rsid w:val="22CC769A"/>
    <w:rsid w:val="2354395B"/>
    <w:rsid w:val="23616679"/>
    <w:rsid w:val="23D3585B"/>
    <w:rsid w:val="23ED1676"/>
    <w:rsid w:val="24245322"/>
    <w:rsid w:val="2448004A"/>
    <w:rsid w:val="247D1660"/>
    <w:rsid w:val="24D26D11"/>
    <w:rsid w:val="24FE1BA3"/>
    <w:rsid w:val="250F6430"/>
    <w:rsid w:val="25CA15FA"/>
    <w:rsid w:val="25EF3CC1"/>
    <w:rsid w:val="268F1C52"/>
    <w:rsid w:val="26956D24"/>
    <w:rsid w:val="26FE6FC9"/>
    <w:rsid w:val="2714000A"/>
    <w:rsid w:val="27215C33"/>
    <w:rsid w:val="27395304"/>
    <w:rsid w:val="274D1514"/>
    <w:rsid w:val="27922449"/>
    <w:rsid w:val="29227C90"/>
    <w:rsid w:val="29424069"/>
    <w:rsid w:val="29443598"/>
    <w:rsid w:val="29BC11D6"/>
    <w:rsid w:val="2A8E79ED"/>
    <w:rsid w:val="2A961C0F"/>
    <w:rsid w:val="2AF74A83"/>
    <w:rsid w:val="2B3C0339"/>
    <w:rsid w:val="2BBF28EA"/>
    <w:rsid w:val="2BC51433"/>
    <w:rsid w:val="2BE0666B"/>
    <w:rsid w:val="2C250B47"/>
    <w:rsid w:val="2CC650DB"/>
    <w:rsid w:val="2DBD29B6"/>
    <w:rsid w:val="2E445076"/>
    <w:rsid w:val="2E4731CC"/>
    <w:rsid w:val="2E5C17B4"/>
    <w:rsid w:val="2E7A1714"/>
    <w:rsid w:val="2EA7143A"/>
    <w:rsid w:val="2ED94018"/>
    <w:rsid w:val="2EF61E24"/>
    <w:rsid w:val="2F071DD4"/>
    <w:rsid w:val="2F1523E9"/>
    <w:rsid w:val="2F324E12"/>
    <w:rsid w:val="300114AB"/>
    <w:rsid w:val="30701118"/>
    <w:rsid w:val="31734AE5"/>
    <w:rsid w:val="31A06ED3"/>
    <w:rsid w:val="31A627B9"/>
    <w:rsid w:val="31BB1982"/>
    <w:rsid w:val="322D0A1D"/>
    <w:rsid w:val="3240150B"/>
    <w:rsid w:val="325F4858"/>
    <w:rsid w:val="32951C1A"/>
    <w:rsid w:val="332A3621"/>
    <w:rsid w:val="334B0336"/>
    <w:rsid w:val="337377F8"/>
    <w:rsid w:val="337A31B1"/>
    <w:rsid w:val="33C608F0"/>
    <w:rsid w:val="33D80DE4"/>
    <w:rsid w:val="343541A1"/>
    <w:rsid w:val="344C0550"/>
    <w:rsid w:val="34923C5E"/>
    <w:rsid w:val="357B6346"/>
    <w:rsid w:val="35A30F5A"/>
    <w:rsid w:val="35F44E13"/>
    <w:rsid w:val="3612365C"/>
    <w:rsid w:val="36346297"/>
    <w:rsid w:val="364129CA"/>
    <w:rsid w:val="36563464"/>
    <w:rsid w:val="36602497"/>
    <w:rsid w:val="3660579E"/>
    <w:rsid w:val="36711403"/>
    <w:rsid w:val="371509AD"/>
    <w:rsid w:val="374411E9"/>
    <w:rsid w:val="37CF28A5"/>
    <w:rsid w:val="37FF0E28"/>
    <w:rsid w:val="38236495"/>
    <w:rsid w:val="384D5E10"/>
    <w:rsid w:val="38C00E28"/>
    <w:rsid w:val="391A61C3"/>
    <w:rsid w:val="39221E2D"/>
    <w:rsid w:val="39285AF2"/>
    <w:rsid w:val="3971346A"/>
    <w:rsid w:val="399C2E5B"/>
    <w:rsid w:val="39BF2699"/>
    <w:rsid w:val="39FB0221"/>
    <w:rsid w:val="3A05707B"/>
    <w:rsid w:val="3A300F55"/>
    <w:rsid w:val="3AAF434D"/>
    <w:rsid w:val="3AC61694"/>
    <w:rsid w:val="3B2A692E"/>
    <w:rsid w:val="3B330233"/>
    <w:rsid w:val="3B8D1DF5"/>
    <w:rsid w:val="3CDC7E72"/>
    <w:rsid w:val="3CF00E09"/>
    <w:rsid w:val="3CF6765B"/>
    <w:rsid w:val="3D01313C"/>
    <w:rsid w:val="3DF43396"/>
    <w:rsid w:val="3DF62960"/>
    <w:rsid w:val="3ECD0E99"/>
    <w:rsid w:val="3ED56171"/>
    <w:rsid w:val="3FCE45FA"/>
    <w:rsid w:val="400D6DDD"/>
    <w:rsid w:val="402C6700"/>
    <w:rsid w:val="403118EF"/>
    <w:rsid w:val="40674342"/>
    <w:rsid w:val="408F0E48"/>
    <w:rsid w:val="40965E93"/>
    <w:rsid w:val="40F41BE6"/>
    <w:rsid w:val="41547434"/>
    <w:rsid w:val="43552F20"/>
    <w:rsid w:val="43916F36"/>
    <w:rsid w:val="443F507F"/>
    <w:rsid w:val="4441404F"/>
    <w:rsid w:val="44DA5705"/>
    <w:rsid w:val="45211DD2"/>
    <w:rsid w:val="45310096"/>
    <w:rsid w:val="45AA03F8"/>
    <w:rsid w:val="45EE4532"/>
    <w:rsid w:val="462B052A"/>
    <w:rsid w:val="46431DDE"/>
    <w:rsid w:val="46FE218B"/>
    <w:rsid w:val="47C767A2"/>
    <w:rsid w:val="48E327A6"/>
    <w:rsid w:val="49B001DB"/>
    <w:rsid w:val="49D22F38"/>
    <w:rsid w:val="4A2B4D10"/>
    <w:rsid w:val="4A312D2C"/>
    <w:rsid w:val="4B585A7B"/>
    <w:rsid w:val="4BC9556A"/>
    <w:rsid w:val="4BCF1E76"/>
    <w:rsid w:val="4C212AFC"/>
    <w:rsid w:val="4C577725"/>
    <w:rsid w:val="4D131DAF"/>
    <w:rsid w:val="4E13021E"/>
    <w:rsid w:val="4E423DD5"/>
    <w:rsid w:val="4EE6571E"/>
    <w:rsid w:val="4EF96F8F"/>
    <w:rsid w:val="4F760567"/>
    <w:rsid w:val="4F9F7699"/>
    <w:rsid w:val="4FCE427F"/>
    <w:rsid w:val="502A22E5"/>
    <w:rsid w:val="50837450"/>
    <w:rsid w:val="50B846DA"/>
    <w:rsid w:val="50B90274"/>
    <w:rsid w:val="5111145E"/>
    <w:rsid w:val="513149E8"/>
    <w:rsid w:val="51402E7D"/>
    <w:rsid w:val="517C1FDB"/>
    <w:rsid w:val="517F16E2"/>
    <w:rsid w:val="5188417B"/>
    <w:rsid w:val="518E0D5A"/>
    <w:rsid w:val="52007955"/>
    <w:rsid w:val="52017C7D"/>
    <w:rsid w:val="523D7A9D"/>
    <w:rsid w:val="5258238B"/>
    <w:rsid w:val="525A7653"/>
    <w:rsid w:val="537A62E3"/>
    <w:rsid w:val="53C925BB"/>
    <w:rsid w:val="542E763B"/>
    <w:rsid w:val="54A510DF"/>
    <w:rsid w:val="54BB7C75"/>
    <w:rsid w:val="55240368"/>
    <w:rsid w:val="55C91693"/>
    <w:rsid w:val="562C0C09"/>
    <w:rsid w:val="565004A8"/>
    <w:rsid w:val="56550E39"/>
    <w:rsid w:val="56BB0085"/>
    <w:rsid w:val="56DF18D5"/>
    <w:rsid w:val="5798044E"/>
    <w:rsid w:val="579E2608"/>
    <w:rsid w:val="57B173BB"/>
    <w:rsid w:val="57E46348"/>
    <w:rsid w:val="57F32872"/>
    <w:rsid w:val="5813069E"/>
    <w:rsid w:val="5819504E"/>
    <w:rsid w:val="58844C3D"/>
    <w:rsid w:val="589B364F"/>
    <w:rsid w:val="58CB23F2"/>
    <w:rsid w:val="58E26541"/>
    <w:rsid w:val="58FB2815"/>
    <w:rsid w:val="5944495F"/>
    <w:rsid w:val="59BF5174"/>
    <w:rsid w:val="5A532DAD"/>
    <w:rsid w:val="5A5E276D"/>
    <w:rsid w:val="5AEE2B1C"/>
    <w:rsid w:val="5B481735"/>
    <w:rsid w:val="5B89030C"/>
    <w:rsid w:val="5C14118E"/>
    <w:rsid w:val="5CAF7EA5"/>
    <w:rsid w:val="5D4B4041"/>
    <w:rsid w:val="5D52443D"/>
    <w:rsid w:val="5D617242"/>
    <w:rsid w:val="5DBD054B"/>
    <w:rsid w:val="5DD46B57"/>
    <w:rsid w:val="5E1B2429"/>
    <w:rsid w:val="5E4759B9"/>
    <w:rsid w:val="5E6B63E2"/>
    <w:rsid w:val="5EAE1426"/>
    <w:rsid w:val="5ED219E0"/>
    <w:rsid w:val="5EEF24A4"/>
    <w:rsid w:val="5F6D6725"/>
    <w:rsid w:val="601A1645"/>
    <w:rsid w:val="60654E0A"/>
    <w:rsid w:val="60D16641"/>
    <w:rsid w:val="6118527D"/>
    <w:rsid w:val="61370DEA"/>
    <w:rsid w:val="6159081C"/>
    <w:rsid w:val="616E0D3D"/>
    <w:rsid w:val="617E2844"/>
    <w:rsid w:val="61A553CC"/>
    <w:rsid w:val="61C31521"/>
    <w:rsid w:val="630B04BB"/>
    <w:rsid w:val="632C02D8"/>
    <w:rsid w:val="634D6CB0"/>
    <w:rsid w:val="637A5100"/>
    <w:rsid w:val="63C4726B"/>
    <w:rsid w:val="63D11F8F"/>
    <w:rsid w:val="642665BA"/>
    <w:rsid w:val="64361247"/>
    <w:rsid w:val="645933E5"/>
    <w:rsid w:val="647E189B"/>
    <w:rsid w:val="6483738E"/>
    <w:rsid w:val="64D4441E"/>
    <w:rsid w:val="64EA3589"/>
    <w:rsid w:val="64FB500E"/>
    <w:rsid w:val="65544D98"/>
    <w:rsid w:val="65C717C5"/>
    <w:rsid w:val="66A86653"/>
    <w:rsid w:val="67EC2600"/>
    <w:rsid w:val="680F6AB1"/>
    <w:rsid w:val="688658C7"/>
    <w:rsid w:val="68AD70F9"/>
    <w:rsid w:val="68DB349A"/>
    <w:rsid w:val="68DB5512"/>
    <w:rsid w:val="692F042D"/>
    <w:rsid w:val="69B24044"/>
    <w:rsid w:val="69FA56E9"/>
    <w:rsid w:val="6B5E2426"/>
    <w:rsid w:val="6BB838ED"/>
    <w:rsid w:val="6BDF09F6"/>
    <w:rsid w:val="6BE60A7A"/>
    <w:rsid w:val="6BF6142F"/>
    <w:rsid w:val="6BF81081"/>
    <w:rsid w:val="6C0C6879"/>
    <w:rsid w:val="6C4455E8"/>
    <w:rsid w:val="6C74198C"/>
    <w:rsid w:val="6CA125CA"/>
    <w:rsid w:val="6CC54282"/>
    <w:rsid w:val="6CCA33CF"/>
    <w:rsid w:val="6CE507CD"/>
    <w:rsid w:val="6D3B4B17"/>
    <w:rsid w:val="6DBF6DFB"/>
    <w:rsid w:val="6DE602AC"/>
    <w:rsid w:val="6EB674FE"/>
    <w:rsid w:val="6EC3727D"/>
    <w:rsid w:val="6EEE522A"/>
    <w:rsid w:val="6F5116C9"/>
    <w:rsid w:val="6F752D91"/>
    <w:rsid w:val="7069114B"/>
    <w:rsid w:val="7073427E"/>
    <w:rsid w:val="70A16B63"/>
    <w:rsid w:val="70C35227"/>
    <w:rsid w:val="714D3D36"/>
    <w:rsid w:val="71920ECB"/>
    <w:rsid w:val="71C2631D"/>
    <w:rsid w:val="71E34ABE"/>
    <w:rsid w:val="72145CEC"/>
    <w:rsid w:val="722E35F8"/>
    <w:rsid w:val="72941885"/>
    <w:rsid w:val="72BB322A"/>
    <w:rsid w:val="72CD26F6"/>
    <w:rsid w:val="72ED7B95"/>
    <w:rsid w:val="733F59BC"/>
    <w:rsid w:val="737B0F0F"/>
    <w:rsid w:val="73917B0C"/>
    <w:rsid w:val="73B63354"/>
    <w:rsid w:val="74052600"/>
    <w:rsid w:val="75887905"/>
    <w:rsid w:val="75B15B14"/>
    <w:rsid w:val="75B7545F"/>
    <w:rsid w:val="760E3181"/>
    <w:rsid w:val="76934486"/>
    <w:rsid w:val="76B571DF"/>
    <w:rsid w:val="76C84CA5"/>
    <w:rsid w:val="77346FD1"/>
    <w:rsid w:val="7750356B"/>
    <w:rsid w:val="775A17ED"/>
    <w:rsid w:val="77CC0135"/>
    <w:rsid w:val="78410085"/>
    <w:rsid w:val="78654DF4"/>
    <w:rsid w:val="78B81351"/>
    <w:rsid w:val="78C57641"/>
    <w:rsid w:val="78ED5874"/>
    <w:rsid w:val="796815C7"/>
    <w:rsid w:val="79AA7D1F"/>
    <w:rsid w:val="79E34704"/>
    <w:rsid w:val="7A1F3A84"/>
    <w:rsid w:val="7A234239"/>
    <w:rsid w:val="7B7E1B70"/>
    <w:rsid w:val="7BA52AE2"/>
    <w:rsid w:val="7BA97D63"/>
    <w:rsid w:val="7BD73063"/>
    <w:rsid w:val="7C3228D0"/>
    <w:rsid w:val="7C4E2E4C"/>
    <w:rsid w:val="7CC53F51"/>
    <w:rsid w:val="7D0844A1"/>
    <w:rsid w:val="7D247928"/>
    <w:rsid w:val="7DD10836"/>
    <w:rsid w:val="7DD65096"/>
    <w:rsid w:val="7E26214D"/>
    <w:rsid w:val="7E4F3982"/>
    <w:rsid w:val="7E7E1F77"/>
    <w:rsid w:val="7E8C4596"/>
    <w:rsid w:val="7F29181D"/>
    <w:rsid w:val="7F411181"/>
    <w:rsid w:val="7F507ACB"/>
    <w:rsid w:val="7F541C4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Batang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ind w:left="1050"/>
      <w:jc w:val="left"/>
    </w:pPr>
  </w:style>
  <w:style w:type="paragraph" w:styleId="6">
    <w:name w:val="Normal Indent"/>
    <w:basedOn w:val="1"/>
    <w:qFormat/>
    <w:uiPriority w:val="99"/>
    <w:pPr>
      <w:spacing w:line="360" w:lineRule="auto"/>
      <w:ind w:firstLine="420"/>
    </w:pPr>
    <w:rPr>
      <w:rFonts w:eastAsia="宋体"/>
      <w:szCs w:val="20"/>
    </w:rPr>
  </w:style>
  <w:style w:type="paragraph" w:styleId="7">
    <w:name w:val="annotation text"/>
    <w:basedOn w:val="1"/>
    <w:link w:val="34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630"/>
      <w:jc w:val="left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1">
    <w:name w:val="toc 8"/>
    <w:basedOn w:val="1"/>
    <w:next w:val="1"/>
    <w:semiHidden/>
    <w:qFormat/>
    <w:uiPriority w:val="0"/>
    <w:pPr>
      <w:ind w:left="1260"/>
      <w:jc w:val="left"/>
    </w:pPr>
  </w:style>
  <w:style w:type="paragraph" w:styleId="12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3">
    <w:name w:val="Balloon Text"/>
    <w:basedOn w:val="1"/>
    <w:link w:val="36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next w:val="1"/>
    <w:qFormat/>
    <w:uiPriority w:val="39"/>
    <w:pPr>
      <w:widowControl w:val="0"/>
      <w:tabs>
        <w:tab w:val="right" w:leader="dot" w:pos="9345"/>
      </w:tabs>
      <w:spacing w:line="360" w:lineRule="auto"/>
    </w:pPr>
    <w:rPr>
      <w:rFonts w:ascii="Arial" w:hAnsi="Arial" w:eastAsia="宋体" w:cs="Times New Roman"/>
      <w:bCs/>
      <w:caps/>
      <w:kern w:val="2"/>
      <w:sz w:val="24"/>
      <w:szCs w:val="21"/>
      <w:lang w:val="en-US" w:eastAsia="zh-CN" w:bidi="ar-SA"/>
    </w:rPr>
  </w:style>
  <w:style w:type="paragraph" w:styleId="17">
    <w:name w:val="toc 4"/>
    <w:basedOn w:val="10"/>
    <w:next w:val="1"/>
    <w:semiHidden/>
    <w:qFormat/>
    <w:uiPriority w:val="0"/>
    <w:pPr>
      <w:ind w:left="420"/>
    </w:pPr>
  </w:style>
  <w:style w:type="paragraph" w:styleId="18">
    <w:name w:val="footnote text"/>
    <w:basedOn w:val="1"/>
    <w:link w:val="37"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semiHidden/>
    <w:qFormat/>
    <w:uiPriority w:val="0"/>
    <w:pPr>
      <w:ind w:left="840"/>
      <w:jc w:val="left"/>
    </w:pPr>
  </w:style>
  <w:style w:type="paragraph" w:styleId="20">
    <w:name w:val="toc 2"/>
    <w:basedOn w:val="1"/>
    <w:next w:val="1"/>
    <w:qFormat/>
    <w:uiPriority w:val="39"/>
    <w:pPr>
      <w:tabs>
        <w:tab w:val="right" w:leader="dot" w:pos="9345"/>
      </w:tabs>
      <w:adjustRightInd w:val="0"/>
      <w:snapToGrid w:val="0"/>
      <w:spacing w:line="360" w:lineRule="auto"/>
      <w:jc w:val="center"/>
    </w:pPr>
    <w:rPr>
      <w:rFonts w:eastAsia="宋体"/>
      <w:bCs/>
      <w:sz w:val="24"/>
    </w:rPr>
  </w:style>
  <w:style w:type="paragraph" w:styleId="21">
    <w:name w:val="toc 9"/>
    <w:basedOn w:val="1"/>
    <w:next w:val="1"/>
    <w:semiHidden/>
    <w:qFormat/>
    <w:uiPriority w:val="0"/>
    <w:pPr>
      <w:ind w:left="1470"/>
      <w:jc w:val="left"/>
    </w:pPr>
  </w:style>
  <w:style w:type="paragraph" w:styleId="22">
    <w:name w:val="Title"/>
    <w:basedOn w:val="1"/>
    <w:next w:val="1"/>
    <w:link w:val="38"/>
    <w:qFormat/>
    <w:uiPriority w:val="0"/>
    <w:pPr>
      <w:spacing w:line="360" w:lineRule="auto"/>
      <w:jc w:val="center"/>
      <w:outlineLvl w:val="0"/>
    </w:pPr>
    <w:rPr>
      <w:rFonts w:eastAsia="黑体"/>
      <w:b/>
      <w:bCs/>
      <w:szCs w:val="32"/>
    </w:rPr>
  </w:style>
  <w:style w:type="paragraph" w:styleId="23">
    <w:name w:val="annotation subject"/>
    <w:basedOn w:val="7"/>
    <w:next w:val="7"/>
    <w:link w:val="39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qFormat/>
    <w:uiPriority w:val="0"/>
    <w:rPr>
      <w:rFonts w:ascii="Times New Roman" w:hAnsi="Times New Roman" w:eastAsia="宋体"/>
      <w:sz w:val="18"/>
    </w:rPr>
  </w:style>
  <w:style w:type="character" w:styleId="29">
    <w:name w:val="Emphasis"/>
    <w:qFormat/>
    <w:uiPriority w:val="0"/>
    <w:rPr>
      <w:color w:val="CC0000"/>
    </w:rPr>
  </w:style>
  <w:style w:type="character" w:styleId="30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HTML Cite"/>
    <w:qFormat/>
    <w:uiPriority w:val="0"/>
    <w:rPr>
      <w:color w:val="008000"/>
    </w:rPr>
  </w:style>
  <w:style w:type="character" w:styleId="33">
    <w:name w:val="footnote reference"/>
    <w:qFormat/>
    <w:uiPriority w:val="0"/>
    <w:rPr>
      <w:vertAlign w:val="superscript"/>
    </w:rPr>
  </w:style>
  <w:style w:type="character" w:customStyle="1" w:styleId="34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35">
    <w:name w:val="日期 字符"/>
    <w:link w:val="12"/>
    <w:qFormat/>
    <w:uiPriority w:val="0"/>
    <w:rPr>
      <w:kern w:val="2"/>
      <w:sz w:val="21"/>
      <w:szCs w:val="24"/>
    </w:rPr>
  </w:style>
  <w:style w:type="character" w:customStyle="1" w:styleId="36">
    <w:name w:val="批注框文本 字符"/>
    <w:link w:val="13"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8"/>
    <w:qFormat/>
    <w:uiPriority w:val="0"/>
    <w:rPr>
      <w:kern w:val="2"/>
      <w:sz w:val="18"/>
      <w:szCs w:val="18"/>
    </w:rPr>
  </w:style>
  <w:style w:type="character" w:customStyle="1" w:styleId="38">
    <w:name w:val="标题 字符"/>
    <w:link w:val="22"/>
    <w:qFormat/>
    <w:uiPriority w:val="0"/>
    <w:rPr>
      <w:rFonts w:ascii="Times New Roman" w:hAnsi="Times New Roman" w:eastAsia="黑体" w:cs="Times New Roman"/>
      <w:b/>
      <w:bCs/>
      <w:kern w:val="2"/>
      <w:sz w:val="21"/>
      <w:szCs w:val="32"/>
    </w:rPr>
  </w:style>
  <w:style w:type="character" w:customStyle="1" w:styleId="39">
    <w:name w:val="批注主题 字符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0">
    <w:name w:val="hover23"/>
    <w:qFormat/>
    <w:uiPriority w:val="0"/>
  </w:style>
  <w:style w:type="character" w:customStyle="1" w:styleId="41">
    <w:name w:val="章标题 Char"/>
    <w:link w:val="42"/>
    <w:qFormat/>
    <w:uiPriority w:val="0"/>
    <w:rPr>
      <w:rFonts w:ascii="黑体" w:hAnsi="黑体" w:eastAsia="黑体"/>
      <w:sz w:val="24"/>
      <w:lang w:val="en-US" w:eastAsia="zh-CN" w:bidi="ar-SA"/>
    </w:rPr>
  </w:style>
  <w:style w:type="paragraph" w:customStyle="1" w:styleId="42">
    <w:name w:val="章标题"/>
    <w:next w:val="43"/>
    <w:link w:val="41"/>
    <w:qFormat/>
    <w:uiPriority w:val="0"/>
    <w:pPr>
      <w:numPr>
        <w:ilvl w:val="0"/>
        <w:numId w:val="1"/>
      </w:numPr>
      <w:tabs>
        <w:tab w:val="left" w:pos="420"/>
      </w:tabs>
      <w:spacing w:before="50" w:beforeLines="50" w:after="50" w:afterLines="50"/>
      <w:jc w:val="both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43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44">
    <w:name w:val="font1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5">
    <w:name w:val="hover1"/>
    <w:qFormat/>
    <w:uiPriority w:val="0"/>
    <w:rPr>
      <w:color w:val="315EFB"/>
    </w:rPr>
  </w:style>
  <w:style w:type="character" w:customStyle="1" w:styleId="46">
    <w:name w:val="五级条标题 Char"/>
    <w:link w:val="47"/>
    <w:qFormat/>
    <w:uiPriority w:val="0"/>
  </w:style>
  <w:style w:type="paragraph" w:customStyle="1" w:styleId="47">
    <w:name w:val="五级条标题"/>
    <w:basedOn w:val="48"/>
    <w:next w:val="43"/>
    <w:link w:val="46"/>
    <w:qFormat/>
    <w:uiPriority w:val="0"/>
    <w:pPr>
      <w:numPr>
        <w:ilvl w:val="6"/>
      </w:numPr>
      <w:tabs>
        <w:tab w:val="left" w:pos="0"/>
        <w:tab w:val="left" w:pos="420"/>
        <w:tab w:val="left" w:pos="3260"/>
      </w:tabs>
      <w:outlineLvl w:val="6"/>
    </w:pPr>
  </w:style>
  <w:style w:type="paragraph" w:customStyle="1" w:styleId="48">
    <w:name w:val="四级条标题"/>
    <w:basedOn w:val="49"/>
    <w:next w:val="43"/>
    <w:qFormat/>
    <w:uiPriority w:val="0"/>
    <w:pPr>
      <w:numPr>
        <w:ilvl w:val="5"/>
      </w:numPr>
      <w:tabs>
        <w:tab w:val="left" w:pos="0"/>
        <w:tab w:val="left" w:pos="420"/>
        <w:tab w:val="left" w:pos="3260"/>
      </w:tabs>
      <w:outlineLvl w:val="5"/>
    </w:pPr>
  </w:style>
  <w:style w:type="paragraph" w:customStyle="1" w:styleId="49">
    <w:name w:val="三级条标题"/>
    <w:basedOn w:val="50"/>
    <w:next w:val="43"/>
    <w:qFormat/>
    <w:uiPriority w:val="0"/>
    <w:pPr>
      <w:numPr>
        <w:ilvl w:val="4"/>
        <w:numId w:val="2"/>
      </w:numPr>
      <w:tabs>
        <w:tab w:val="left" w:pos="0"/>
        <w:tab w:val="left" w:pos="420"/>
        <w:tab w:val="left" w:pos="3260"/>
      </w:tabs>
      <w:outlineLvl w:val="4"/>
    </w:pPr>
  </w:style>
  <w:style w:type="paragraph" w:customStyle="1" w:styleId="50">
    <w:name w:val="二级条标题"/>
    <w:basedOn w:val="51"/>
    <w:next w:val="43"/>
    <w:qFormat/>
    <w:uiPriority w:val="0"/>
    <w:pPr>
      <w:numPr>
        <w:ilvl w:val="2"/>
      </w:numPr>
      <w:tabs>
        <w:tab w:val="left" w:pos="0"/>
        <w:tab w:val="left" w:pos="420"/>
        <w:tab w:val="left" w:pos="3260"/>
      </w:tabs>
      <w:spacing w:line="240" w:lineRule="auto"/>
      <w:outlineLvl w:val="3"/>
    </w:pPr>
    <w:rPr>
      <w:rFonts w:ascii="Times New Roman" w:hAnsi="Times New Roman"/>
    </w:rPr>
  </w:style>
  <w:style w:type="paragraph" w:customStyle="1" w:styleId="51">
    <w:name w:val="一级条标题"/>
    <w:basedOn w:val="42"/>
    <w:next w:val="43"/>
    <w:link w:val="52"/>
    <w:qFormat/>
    <w:uiPriority w:val="0"/>
    <w:pPr>
      <w:numPr>
        <w:ilvl w:val="1"/>
      </w:numPr>
      <w:tabs>
        <w:tab w:val="left" w:pos="0"/>
        <w:tab w:val="left" w:pos="3260"/>
      </w:tabs>
      <w:snapToGrid w:val="0"/>
      <w:spacing w:line="360" w:lineRule="auto"/>
      <w:jc w:val="left"/>
      <w:outlineLvl w:val="0"/>
    </w:pPr>
    <w:rPr>
      <w:rFonts w:eastAsia="宋体"/>
    </w:rPr>
  </w:style>
  <w:style w:type="character" w:customStyle="1" w:styleId="52">
    <w:name w:val="一级条标题 Char"/>
    <w:link w:val="51"/>
    <w:qFormat/>
    <w:uiPriority w:val="0"/>
    <w:rPr>
      <w:rFonts w:hAnsi="黑体" w:eastAsia="宋体"/>
      <w:sz w:val="24"/>
    </w:rPr>
  </w:style>
  <w:style w:type="character" w:customStyle="1" w:styleId="53">
    <w:name w:val="font11"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54">
    <w:name w:val="font9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5">
    <w:name w:val="font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6">
    <w:name w:val="font18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7">
    <w:name w:val="font22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qFormat/>
    <w:uiPriority w:val="0"/>
  </w:style>
  <w:style w:type="character" w:customStyle="1" w:styleId="59">
    <w:name w:val="标准书眉一 Char"/>
    <w:link w:val="60"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61">
    <w:name w:val="hover"/>
    <w:qFormat/>
    <w:uiPriority w:val="0"/>
  </w:style>
  <w:style w:type="character" w:customStyle="1" w:styleId="62">
    <w:name w:val="font7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24"/>
    <w:qFormat/>
    <w:uiPriority w:val="0"/>
    <w:rPr>
      <w:color w:val="315EFB"/>
    </w:rPr>
  </w:style>
  <w:style w:type="character" w:customStyle="1" w:styleId="64">
    <w:name w:val="c-icon28"/>
    <w:qFormat/>
    <w:uiPriority w:val="0"/>
  </w:style>
  <w:style w:type="paragraph" w:customStyle="1" w:styleId="65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8"/>
      <w:lang w:val="en-US" w:eastAsia="zh-CN" w:bidi="ar-SA"/>
    </w:rPr>
  </w:style>
  <w:style w:type="paragraph" w:customStyle="1" w:styleId="66">
    <w:name w:val="标准书脚_奇数页"/>
    <w:qFormat/>
    <w:uiPriority w:val="0"/>
    <w:pPr>
      <w:spacing w:before="120"/>
      <w:jc w:val="right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67">
    <w:name w:val="附录一级条标题"/>
    <w:basedOn w:val="68"/>
    <w:next w:val="43"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68">
    <w:name w:val="附录章标题"/>
    <w:next w:val="43"/>
    <w:qFormat/>
    <w:uiPriority w:val="0"/>
    <w:pPr>
      <w:numPr>
        <w:ilvl w:val="1"/>
        <w:numId w:val="3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70">
    <w:name w:val="Body text|1"/>
    <w:basedOn w:val="1"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71">
    <w:name w:val="_Style 7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7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Batang" w:cs="Times New Roman"/>
      <w:sz w:val="28"/>
      <w:lang w:val="en-US" w:eastAsia="zh-CN" w:bidi="ar-SA"/>
    </w:rPr>
  </w:style>
  <w:style w:type="paragraph" w:customStyle="1" w:styleId="7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4">
    <w:name w:val="封面正文"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5">
    <w:name w:val="标准书脚_偶数页"/>
    <w:qFormat/>
    <w:uiPriority w:val="0"/>
    <w:pPr>
      <w:spacing w:before="120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76">
    <w:name w:val="默认段落字体 Para Char Char Char Char Char Char Char Char Char Char"/>
    <w:basedOn w:val="1"/>
    <w:qFormat/>
    <w:uiPriority w:val="0"/>
  </w:style>
  <w:style w:type="paragraph" w:customStyle="1" w:styleId="7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8">
    <w:name w:val="WPSOffice手动目录 2"/>
    <w:qFormat/>
    <w:uiPriority w:val="0"/>
    <w:pPr>
      <w:ind w:left="200" w:leftChars="20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9">
    <w:name w:val="Char Char"/>
    <w:basedOn w:val="1"/>
    <w:qFormat/>
    <w:uiPriority w:val="0"/>
  </w:style>
  <w:style w:type="paragraph" w:customStyle="1" w:styleId="8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82">
    <w:name w:val="目次、标准名称标题"/>
    <w:basedOn w:val="83"/>
    <w:next w:val="43"/>
    <w:qFormat/>
    <w:uiPriority w:val="0"/>
    <w:pPr>
      <w:numPr>
        <w:numId w:val="0"/>
      </w:numPr>
      <w:spacing w:line="460" w:lineRule="exact"/>
    </w:pPr>
  </w:style>
  <w:style w:type="paragraph" w:customStyle="1" w:styleId="8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4">
    <w:name w:val="Other|1"/>
    <w:basedOn w:val="1"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5">
    <w:name w:val="WPSOffice手动目录 1"/>
    <w:qFormat/>
    <w:uiPriority w:val="0"/>
    <w:rPr>
      <w:rFonts w:ascii="Times New Roman" w:hAnsi="Times New Roman" w:eastAsia="Batang" w:cs="Times New Roman"/>
      <w:lang w:val="en-US" w:eastAsia="zh-CN" w:bidi="ar-SA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Body text|2"/>
    <w:basedOn w:val="1"/>
    <w:qFormat/>
    <w:uiPriority w:val="0"/>
    <w:pPr>
      <w:spacing w:line="384" w:lineRule="auto"/>
    </w:pPr>
  </w:style>
  <w:style w:type="paragraph" w:customStyle="1" w:styleId="88">
    <w:name w:val="注"/>
    <w:basedOn w:val="1"/>
    <w:next w:val="8"/>
    <w:qFormat/>
    <w:uiPriority w:val="0"/>
    <w:pPr>
      <w:numPr>
        <w:ilvl w:val="0"/>
        <w:numId w:val="4"/>
      </w:numPr>
      <w:adjustRightInd w:val="0"/>
      <w:spacing w:line="360" w:lineRule="auto"/>
      <w:ind w:firstLine="480" w:firstLineChars="200"/>
      <w:textAlignment w:val="baseline"/>
      <w:outlineLvl w:val="0"/>
    </w:pPr>
    <w:rPr>
      <w:rFonts w:eastAsia="宋体"/>
      <w:kern w:val="0"/>
      <w:sz w:val="24"/>
      <w:szCs w:val="20"/>
    </w:rPr>
  </w:style>
  <w:style w:type="paragraph" w:customStyle="1" w:styleId="8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4"/>
      <w:lang w:val="en-US" w:eastAsia="zh-CN" w:bidi="ar-SA"/>
    </w:rPr>
  </w:style>
  <w:style w:type="paragraph" w:customStyle="1" w:styleId="9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1">
    <w:name w:val="实施日期"/>
    <w:basedOn w:val="90"/>
    <w:qFormat/>
    <w:uiPriority w:val="0"/>
    <w:pPr>
      <w:framePr w:hSpace="0" w:wrap="around" w:xAlign="right"/>
      <w:jc w:val="right"/>
    </w:pPr>
  </w:style>
  <w:style w:type="paragraph" w:customStyle="1" w:styleId="92">
    <w:name w:val="标准书眉_偶数页"/>
    <w:basedOn w:val="80"/>
    <w:next w:val="1"/>
    <w:qFormat/>
    <w:uiPriority w:val="0"/>
    <w:pPr>
      <w:jc w:val="left"/>
    </w:pPr>
  </w:style>
  <w:style w:type="paragraph" w:customStyle="1" w:styleId="9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Batang" w:cs="Times New Roman"/>
      <w:b/>
      <w:w w:val="130"/>
      <w:sz w:val="96"/>
      <w:lang w:val="en-US" w:eastAsia="zh-CN" w:bidi="ar-SA"/>
    </w:rPr>
  </w:style>
  <w:style w:type="paragraph" w:customStyle="1" w:styleId="94">
    <w:name w:val="Char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96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7">
    <w:name w:val="Header or footer|2"/>
    <w:basedOn w:val="1"/>
    <w:qFormat/>
    <w:uiPriority w:val="0"/>
    <w:rPr>
      <w:sz w:val="20"/>
      <w:szCs w:val="20"/>
    </w:rPr>
  </w:style>
  <w:style w:type="character" w:customStyle="1" w:styleId="9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9">
    <w:name w:val="font51"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</w:rPr>
  </w:style>
  <w:style w:type="character" w:customStyle="1" w:styleId="100">
    <w:name w:val="font41"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  <w:vertAlign w:val="subscript"/>
    </w:rPr>
  </w:style>
  <w:style w:type="character" w:customStyle="1" w:styleId="101">
    <w:name w:val="图题及表格"/>
    <w:basedOn w:val="26"/>
    <w:qFormat/>
    <w:uiPriority w:val="0"/>
    <w:rPr>
      <w:rFonts w:ascii="Times New Roman" w:hAnsi="Times New Roman" w:eastAsia="宋体"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02">
    <w:name w:val="表题"/>
    <w:qFormat/>
    <w:uiPriority w:val="0"/>
    <w:rPr>
      <w:rFonts w:hint="eastAsia" w:ascii="Times New Roman" w:hAnsi="Times New Roman" w:eastAsia="黑体" w:cs="黑体"/>
      <w:color w:val="000000"/>
      <w:sz w:val="21"/>
      <w:szCs w:val="20"/>
      <w:u w:val="none"/>
    </w:rPr>
  </w:style>
  <w:style w:type="paragraph" w:styleId="103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9.wmf"/><Relationship Id="rId98" Type="http://schemas.openxmlformats.org/officeDocument/2006/relationships/oleObject" Target="embeddings/oleObject37.bin"/><Relationship Id="rId97" Type="http://schemas.openxmlformats.org/officeDocument/2006/relationships/image" Target="media/image38.wmf"/><Relationship Id="rId96" Type="http://schemas.openxmlformats.org/officeDocument/2006/relationships/oleObject" Target="embeddings/oleObject36.bin"/><Relationship Id="rId95" Type="http://schemas.openxmlformats.org/officeDocument/2006/relationships/image" Target="media/image37.wmf"/><Relationship Id="rId94" Type="http://schemas.openxmlformats.org/officeDocument/2006/relationships/oleObject" Target="embeddings/oleObject35.bin"/><Relationship Id="rId93" Type="http://schemas.openxmlformats.org/officeDocument/2006/relationships/oleObject" Target="embeddings/oleObject34.bin"/><Relationship Id="rId92" Type="http://schemas.openxmlformats.org/officeDocument/2006/relationships/oleObject" Target="embeddings/oleObject33.bin"/><Relationship Id="rId91" Type="http://schemas.openxmlformats.org/officeDocument/2006/relationships/image" Target="media/image36.wmf"/><Relationship Id="rId90" Type="http://schemas.openxmlformats.org/officeDocument/2006/relationships/oleObject" Target="embeddings/oleObject32.bin"/><Relationship Id="rId9" Type="http://schemas.openxmlformats.org/officeDocument/2006/relationships/header" Target="header4.xml"/><Relationship Id="rId89" Type="http://schemas.openxmlformats.org/officeDocument/2006/relationships/image" Target="media/image35.wmf"/><Relationship Id="rId88" Type="http://schemas.openxmlformats.org/officeDocument/2006/relationships/oleObject" Target="embeddings/oleObject31.bin"/><Relationship Id="rId87" Type="http://schemas.openxmlformats.org/officeDocument/2006/relationships/image" Target="media/image34.wmf"/><Relationship Id="rId86" Type="http://schemas.openxmlformats.org/officeDocument/2006/relationships/oleObject" Target="embeddings/oleObject30.bin"/><Relationship Id="rId85" Type="http://schemas.openxmlformats.org/officeDocument/2006/relationships/image" Target="media/image33.wmf"/><Relationship Id="rId84" Type="http://schemas.openxmlformats.org/officeDocument/2006/relationships/oleObject" Target="embeddings/oleObject29.bin"/><Relationship Id="rId83" Type="http://schemas.openxmlformats.org/officeDocument/2006/relationships/image" Target="media/image32.wmf"/><Relationship Id="rId82" Type="http://schemas.openxmlformats.org/officeDocument/2006/relationships/oleObject" Target="embeddings/oleObject28.bin"/><Relationship Id="rId81" Type="http://schemas.openxmlformats.org/officeDocument/2006/relationships/image" Target="media/image31.wmf"/><Relationship Id="rId80" Type="http://schemas.openxmlformats.org/officeDocument/2006/relationships/oleObject" Target="embeddings/oleObject27.bin"/><Relationship Id="rId8" Type="http://schemas.openxmlformats.org/officeDocument/2006/relationships/footer" Target="footer3.xml"/><Relationship Id="rId79" Type="http://schemas.openxmlformats.org/officeDocument/2006/relationships/image" Target="media/image30.wmf"/><Relationship Id="rId78" Type="http://schemas.openxmlformats.org/officeDocument/2006/relationships/oleObject" Target="embeddings/oleObject26.bin"/><Relationship Id="rId77" Type="http://schemas.openxmlformats.org/officeDocument/2006/relationships/image" Target="media/image29.wmf"/><Relationship Id="rId76" Type="http://schemas.openxmlformats.org/officeDocument/2006/relationships/oleObject" Target="embeddings/oleObject25.bin"/><Relationship Id="rId75" Type="http://schemas.openxmlformats.org/officeDocument/2006/relationships/image" Target="media/image28.wmf"/><Relationship Id="rId74" Type="http://schemas.openxmlformats.org/officeDocument/2006/relationships/oleObject" Target="embeddings/oleObject24.bin"/><Relationship Id="rId73" Type="http://schemas.openxmlformats.org/officeDocument/2006/relationships/image" Target="media/image27.wmf"/><Relationship Id="rId72" Type="http://schemas.openxmlformats.org/officeDocument/2006/relationships/oleObject" Target="embeddings/oleObject23.bin"/><Relationship Id="rId71" Type="http://schemas.openxmlformats.org/officeDocument/2006/relationships/image" Target="media/image26.wmf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25.wmf"/><Relationship Id="rId68" Type="http://schemas.openxmlformats.org/officeDocument/2006/relationships/oleObject" Target="embeddings/oleObject21.bin"/><Relationship Id="rId67" Type="http://schemas.openxmlformats.org/officeDocument/2006/relationships/image" Target="media/image24.wmf"/><Relationship Id="rId66" Type="http://schemas.openxmlformats.org/officeDocument/2006/relationships/oleObject" Target="embeddings/oleObject20.bin"/><Relationship Id="rId65" Type="http://schemas.openxmlformats.org/officeDocument/2006/relationships/image" Target="media/image23.wmf"/><Relationship Id="rId64" Type="http://schemas.openxmlformats.org/officeDocument/2006/relationships/oleObject" Target="embeddings/oleObject19.bin"/><Relationship Id="rId63" Type="http://schemas.openxmlformats.org/officeDocument/2006/relationships/image" Target="media/image22.wmf"/><Relationship Id="rId62" Type="http://schemas.openxmlformats.org/officeDocument/2006/relationships/oleObject" Target="embeddings/oleObject18.bin"/><Relationship Id="rId61" Type="http://schemas.openxmlformats.org/officeDocument/2006/relationships/image" Target="media/image21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20.wmf"/><Relationship Id="rId58" Type="http://schemas.openxmlformats.org/officeDocument/2006/relationships/oleObject" Target="embeddings/oleObject16.bin"/><Relationship Id="rId57" Type="http://schemas.openxmlformats.org/officeDocument/2006/relationships/image" Target="media/image19.wmf"/><Relationship Id="rId56" Type="http://schemas.openxmlformats.org/officeDocument/2006/relationships/oleObject" Target="embeddings/oleObject15.bin"/><Relationship Id="rId55" Type="http://schemas.openxmlformats.org/officeDocument/2006/relationships/image" Target="media/image18.wmf"/><Relationship Id="rId54" Type="http://schemas.openxmlformats.org/officeDocument/2006/relationships/oleObject" Target="embeddings/oleObject14.bin"/><Relationship Id="rId53" Type="http://schemas.openxmlformats.org/officeDocument/2006/relationships/image" Target="media/image17.wmf"/><Relationship Id="rId52" Type="http://schemas.openxmlformats.org/officeDocument/2006/relationships/oleObject" Target="embeddings/oleObject13.bin"/><Relationship Id="rId51" Type="http://schemas.openxmlformats.org/officeDocument/2006/relationships/image" Target="media/image16.wmf"/><Relationship Id="rId50" Type="http://schemas.openxmlformats.org/officeDocument/2006/relationships/oleObject" Target="embeddings/oleObject12.bin"/><Relationship Id="rId5" Type="http://schemas.openxmlformats.org/officeDocument/2006/relationships/header" Target="header3.xml"/><Relationship Id="rId49" Type="http://schemas.openxmlformats.org/officeDocument/2006/relationships/image" Target="media/image15.wmf"/><Relationship Id="rId48" Type="http://schemas.openxmlformats.org/officeDocument/2006/relationships/oleObject" Target="embeddings/oleObject11.bin"/><Relationship Id="rId47" Type="http://schemas.openxmlformats.org/officeDocument/2006/relationships/image" Target="media/image14.wmf"/><Relationship Id="rId46" Type="http://schemas.openxmlformats.org/officeDocument/2006/relationships/oleObject" Target="embeddings/oleObject10.bin"/><Relationship Id="rId45" Type="http://schemas.openxmlformats.org/officeDocument/2006/relationships/image" Target="media/image13.wmf"/><Relationship Id="rId44" Type="http://schemas.openxmlformats.org/officeDocument/2006/relationships/oleObject" Target="embeddings/oleObject9.bin"/><Relationship Id="rId43" Type="http://schemas.openxmlformats.org/officeDocument/2006/relationships/image" Target="media/image12.wmf"/><Relationship Id="rId42" Type="http://schemas.openxmlformats.org/officeDocument/2006/relationships/oleObject" Target="embeddings/oleObject8.bin"/><Relationship Id="rId41" Type="http://schemas.openxmlformats.org/officeDocument/2006/relationships/image" Target="media/image11.wmf"/><Relationship Id="rId40" Type="http://schemas.openxmlformats.org/officeDocument/2006/relationships/oleObject" Target="embeddings/oleObject7.bin"/><Relationship Id="rId4" Type="http://schemas.openxmlformats.org/officeDocument/2006/relationships/header" Target="header2.xml"/><Relationship Id="rId39" Type="http://schemas.openxmlformats.org/officeDocument/2006/relationships/image" Target="media/image10.wmf"/><Relationship Id="rId38" Type="http://schemas.openxmlformats.org/officeDocument/2006/relationships/oleObject" Target="embeddings/oleObject6.bin"/><Relationship Id="rId37" Type="http://schemas.openxmlformats.org/officeDocument/2006/relationships/image" Target="media/image9.wmf"/><Relationship Id="rId36" Type="http://schemas.openxmlformats.org/officeDocument/2006/relationships/oleObject" Target="embeddings/oleObject5.bin"/><Relationship Id="rId35" Type="http://schemas.openxmlformats.org/officeDocument/2006/relationships/image" Target="media/image8.wmf"/><Relationship Id="rId34" Type="http://schemas.openxmlformats.org/officeDocument/2006/relationships/oleObject" Target="embeddings/oleObject4.bin"/><Relationship Id="rId33" Type="http://schemas.openxmlformats.org/officeDocument/2006/relationships/image" Target="media/image7.wmf"/><Relationship Id="rId32" Type="http://schemas.openxmlformats.org/officeDocument/2006/relationships/oleObject" Target="embeddings/oleObject3.bin"/><Relationship Id="rId31" Type="http://schemas.openxmlformats.org/officeDocument/2006/relationships/image" Target="media/image6.wmf"/><Relationship Id="rId30" Type="http://schemas.openxmlformats.org/officeDocument/2006/relationships/oleObject" Target="embeddings/oleObject2.bin"/><Relationship Id="rId3" Type="http://schemas.openxmlformats.org/officeDocument/2006/relationships/header" Target="header1.xml"/><Relationship Id="rId29" Type="http://schemas.openxmlformats.org/officeDocument/2006/relationships/image" Target="media/image5.wmf"/><Relationship Id="rId28" Type="http://schemas.openxmlformats.org/officeDocument/2006/relationships/oleObject" Target="embeddings/oleObject1.bin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emf"/><Relationship Id="rId24" Type="http://schemas.openxmlformats.org/officeDocument/2006/relationships/image" Target="media/image1.emf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7" Type="http://schemas.openxmlformats.org/officeDocument/2006/relationships/fontTable" Target="fontTable.xml"/><Relationship Id="rId216" Type="http://schemas.openxmlformats.org/officeDocument/2006/relationships/numbering" Target="numbering.xml"/><Relationship Id="rId215" Type="http://schemas.openxmlformats.org/officeDocument/2006/relationships/customXml" Target="../customXml/item1.xml"/><Relationship Id="rId214" Type="http://schemas.openxmlformats.org/officeDocument/2006/relationships/image" Target="media/image91.wmf"/><Relationship Id="rId213" Type="http://schemas.openxmlformats.org/officeDocument/2006/relationships/oleObject" Target="embeddings/oleObject100.bin"/><Relationship Id="rId212" Type="http://schemas.openxmlformats.org/officeDocument/2006/relationships/image" Target="media/image90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89.wmf"/><Relationship Id="rId21" Type="http://schemas.openxmlformats.org/officeDocument/2006/relationships/header" Target="header9.xml"/><Relationship Id="rId209" Type="http://schemas.openxmlformats.org/officeDocument/2006/relationships/oleObject" Target="embeddings/oleObject98.bin"/><Relationship Id="rId208" Type="http://schemas.openxmlformats.org/officeDocument/2006/relationships/image" Target="media/image88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87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86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85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84.wmf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83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82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81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80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79.wmf"/><Relationship Id="rId19" Type="http://schemas.openxmlformats.org/officeDocument/2006/relationships/header" Target="header8.xml"/><Relationship Id="rId189" Type="http://schemas.openxmlformats.org/officeDocument/2006/relationships/oleObject" Target="embeddings/oleObject88.bin"/><Relationship Id="rId188" Type="http://schemas.openxmlformats.org/officeDocument/2006/relationships/image" Target="media/image78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77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76.wmf"/><Relationship Id="rId183" Type="http://schemas.openxmlformats.org/officeDocument/2006/relationships/oleObject" Target="embeddings/oleObject85.bin"/><Relationship Id="rId182" Type="http://schemas.openxmlformats.org/officeDocument/2006/relationships/oleObject" Target="embeddings/oleObject84.bin"/><Relationship Id="rId181" Type="http://schemas.openxmlformats.org/officeDocument/2006/relationships/image" Target="media/image75.wmf"/><Relationship Id="rId180" Type="http://schemas.openxmlformats.org/officeDocument/2006/relationships/oleObject" Target="embeddings/oleObject83.bin"/><Relationship Id="rId18" Type="http://schemas.openxmlformats.org/officeDocument/2006/relationships/footer" Target="footer9.xml"/><Relationship Id="rId179" Type="http://schemas.openxmlformats.org/officeDocument/2006/relationships/image" Target="media/image74.wmf"/><Relationship Id="rId178" Type="http://schemas.openxmlformats.org/officeDocument/2006/relationships/oleObject" Target="embeddings/oleObject82.bin"/><Relationship Id="rId177" Type="http://schemas.openxmlformats.org/officeDocument/2006/relationships/image" Target="media/image73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72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71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70.wmf"/><Relationship Id="rId170" Type="http://schemas.openxmlformats.org/officeDocument/2006/relationships/oleObject" Target="embeddings/oleObject78.bin"/><Relationship Id="rId17" Type="http://schemas.openxmlformats.org/officeDocument/2006/relationships/footer" Target="footer8.xml"/><Relationship Id="rId169" Type="http://schemas.openxmlformats.org/officeDocument/2006/relationships/image" Target="media/image69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68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image" Target="media/image67.wmf"/><Relationship Id="rId160" Type="http://schemas.openxmlformats.org/officeDocument/2006/relationships/oleObject" Target="embeddings/oleObject71.bin"/><Relationship Id="rId16" Type="http://schemas.openxmlformats.org/officeDocument/2006/relationships/footer" Target="footer7.xml"/><Relationship Id="rId159" Type="http://schemas.openxmlformats.org/officeDocument/2006/relationships/image" Target="media/image66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65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64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63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62.wmf"/><Relationship Id="rId150" Type="http://schemas.openxmlformats.org/officeDocument/2006/relationships/oleObject" Target="embeddings/oleObject66.bin"/><Relationship Id="rId15" Type="http://schemas.openxmlformats.org/officeDocument/2006/relationships/header" Target="header7.xml"/><Relationship Id="rId149" Type="http://schemas.openxmlformats.org/officeDocument/2006/relationships/image" Target="media/image61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60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59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58.wmf"/><Relationship Id="rId142" Type="http://schemas.openxmlformats.org/officeDocument/2006/relationships/oleObject" Target="embeddings/oleObject62.bin"/><Relationship Id="rId141" Type="http://schemas.openxmlformats.org/officeDocument/2006/relationships/oleObject" Target="embeddings/oleObject61.bin"/><Relationship Id="rId140" Type="http://schemas.openxmlformats.org/officeDocument/2006/relationships/image" Target="media/image57.wmf"/><Relationship Id="rId14" Type="http://schemas.openxmlformats.org/officeDocument/2006/relationships/footer" Target="footer6.xml"/><Relationship Id="rId139" Type="http://schemas.openxmlformats.org/officeDocument/2006/relationships/oleObject" Target="embeddings/oleObject60.bin"/><Relationship Id="rId138" Type="http://schemas.openxmlformats.org/officeDocument/2006/relationships/image" Target="media/image56.wmf"/><Relationship Id="rId137" Type="http://schemas.openxmlformats.org/officeDocument/2006/relationships/oleObject" Target="embeddings/oleObject59.bin"/><Relationship Id="rId136" Type="http://schemas.openxmlformats.org/officeDocument/2006/relationships/oleObject" Target="embeddings/oleObject58.bin"/><Relationship Id="rId135" Type="http://schemas.openxmlformats.org/officeDocument/2006/relationships/image" Target="media/image55.wmf"/><Relationship Id="rId134" Type="http://schemas.openxmlformats.org/officeDocument/2006/relationships/oleObject" Target="embeddings/oleObject57.bin"/><Relationship Id="rId133" Type="http://schemas.openxmlformats.org/officeDocument/2006/relationships/oleObject" Target="embeddings/oleObject56.bin"/><Relationship Id="rId132" Type="http://schemas.openxmlformats.org/officeDocument/2006/relationships/image" Target="media/image54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53.wmf"/><Relationship Id="rId13" Type="http://schemas.openxmlformats.org/officeDocument/2006/relationships/header" Target="header6.xml"/><Relationship Id="rId129" Type="http://schemas.openxmlformats.org/officeDocument/2006/relationships/oleObject" Target="embeddings/oleObject54.bin"/><Relationship Id="rId128" Type="http://schemas.openxmlformats.org/officeDocument/2006/relationships/image" Target="media/image52.wmf"/><Relationship Id="rId127" Type="http://schemas.openxmlformats.org/officeDocument/2006/relationships/oleObject" Target="embeddings/oleObject53.bin"/><Relationship Id="rId126" Type="http://schemas.openxmlformats.org/officeDocument/2006/relationships/image" Target="media/image51.wmf"/><Relationship Id="rId125" Type="http://schemas.openxmlformats.org/officeDocument/2006/relationships/oleObject" Target="embeddings/oleObject52.bin"/><Relationship Id="rId124" Type="http://schemas.openxmlformats.org/officeDocument/2006/relationships/image" Target="media/image50.wmf"/><Relationship Id="rId123" Type="http://schemas.openxmlformats.org/officeDocument/2006/relationships/oleObject" Target="embeddings/oleObject51.bin"/><Relationship Id="rId122" Type="http://schemas.openxmlformats.org/officeDocument/2006/relationships/image" Target="media/image49.wmf"/><Relationship Id="rId121" Type="http://schemas.openxmlformats.org/officeDocument/2006/relationships/oleObject" Target="embeddings/oleObject50.bin"/><Relationship Id="rId120" Type="http://schemas.openxmlformats.org/officeDocument/2006/relationships/image" Target="media/image48.wmf"/><Relationship Id="rId12" Type="http://schemas.openxmlformats.org/officeDocument/2006/relationships/footer" Target="footer5.xml"/><Relationship Id="rId119" Type="http://schemas.openxmlformats.org/officeDocument/2006/relationships/oleObject" Target="embeddings/oleObject49.bin"/><Relationship Id="rId118" Type="http://schemas.openxmlformats.org/officeDocument/2006/relationships/image" Target="media/image47.wmf"/><Relationship Id="rId117" Type="http://schemas.openxmlformats.org/officeDocument/2006/relationships/oleObject" Target="embeddings/oleObject48.bin"/><Relationship Id="rId116" Type="http://schemas.openxmlformats.org/officeDocument/2006/relationships/oleObject" Target="embeddings/oleObject47.bin"/><Relationship Id="rId115" Type="http://schemas.openxmlformats.org/officeDocument/2006/relationships/image" Target="media/image46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45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44.wmf"/><Relationship Id="rId110" Type="http://schemas.openxmlformats.org/officeDocument/2006/relationships/oleObject" Target="embeddings/oleObject44.bin"/><Relationship Id="rId11" Type="http://schemas.openxmlformats.org/officeDocument/2006/relationships/footer" Target="footer4.xml"/><Relationship Id="rId109" Type="http://schemas.openxmlformats.org/officeDocument/2006/relationships/image" Target="media/image43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42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41.wmf"/><Relationship Id="rId104" Type="http://schemas.openxmlformats.org/officeDocument/2006/relationships/oleObject" Target="embeddings/oleObject41.bin"/><Relationship Id="rId103" Type="http://schemas.openxmlformats.org/officeDocument/2006/relationships/oleObject" Target="embeddings/oleObject40.bin"/><Relationship Id="rId102" Type="http://schemas.openxmlformats.org/officeDocument/2006/relationships/oleObject" Target="embeddings/oleObject39.bin"/><Relationship Id="rId101" Type="http://schemas.openxmlformats.org/officeDocument/2006/relationships/image" Target="media/image40.wmf"/><Relationship Id="rId100" Type="http://schemas.openxmlformats.org/officeDocument/2006/relationships/oleObject" Target="embeddings/oleObject38.bin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7241</Words>
  <Characters>8350</Characters>
  <Lines>96</Lines>
  <Paragraphs>27</Paragraphs>
  <TotalTime>6</TotalTime>
  <ScaleCrop>false</ScaleCrop>
  <LinksUpToDate>false</LinksUpToDate>
  <CharactersWithSpaces>9122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2017-12-06T03:12:00Z</dcterms:created>
  <dc:creator>User</dc:creator>
  <cp:lastModifiedBy>包超强</cp:lastModifiedBy>
  <cp:lastPrinted>2024-03-29T02:09:00Z</cp:lastPrinted>
  <dcterms:modified xsi:type="dcterms:W3CDTF">2026-01-13T03:06:43Z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A678DDAEA30E40909D6B231D70D81693_13</vt:lpwstr>
  </property>
  <property fmtid="{D5CDD505-2E9C-101B-9397-08002B2CF9AE}" pid="4" name="KSOTemplateDocerSaveRecord">
    <vt:lpwstr>eyJoZGlkIjoiY2E0MmM4NGFhNmY3YzQ0YTgyZmE4Mzc3ODI5ODE3MjkiLCJ1c2VySWQiOiIzNzg3MzIzNjEifQ==</vt:lpwstr>
  </property>
</Properties>
</file>