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513A">
      <w:pPr>
        <w:pStyle w:val="98"/>
        <w:jc w:val="center"/>
        <w:rPr>
          <w:rFonts w:ascii="黑体" w:hAnsi="黑体" w:eastAsia="黑体"/>
          <w:b w:val="0"/>
          <w:bCs w:val="0"/>
          <w:sz w:val="24"/>
          <w:szCs w:val="24"/>
        </w:rPr>
      </w:pPr>
      <w:bookmarkStart w:id="0" w:name="_Toc464728891"/>
      <w:bookmarkStart w:id="1" w:name="SectionMark4"/>
    </w:p>
    <w:p w14:paraId="261607E6">
      <w:pPr>
        <w:pStyle w:val="98"/>
        <w:jc w:val="center"/>
        <w:rPr>
          <w:rFonts w:ascii="黑体" w:hAnsi="黑体" w:eastAsia="黑体"/>
          <w:b w:val="0"/>
          <w:bCs w:val="0"/>
          <w:sz w:val="24"/>
          <w:szCs w:val="24"/>
        </w:rPr>
      </w:pPr>
    </w:p>
    <w:p w14:paraId="5CCD06B1">
      <w:pPr>
        <w:pStyle w:val="98"/>
        <w:jc w:val="center"/>
        <w:rPr>
          <w:rFonts w:ascii="黑体" w:hAnsi="黑体" w:eastAsia="黑体"/>
          <w:b w:val="0"/>
          <w:bCs w:val="0"/>
          <w:sz w:val="24"/>
          <w:szCs w:val="24"/>
        </w:rPr>
      </w:pPr>
    </w:p>
    <w:p w14:paraId="23A4CA42">
      <w:pPr>
        <w:pStyle w:val="98"/>
        <w:jc w:val="center"/>
        <w:rPr>
          <w:rFonts w:ascii="黑体" w:hAnsi="黑体" w:eastAsia="黑体"/>
          <w:b w:val="0"/>
          <w:bCs w:val="0"/>
          <w:sz w:val="24"/>
          <w:szCs w:val="24"/>
        </w:rPr>
      </w:pPr>
    </w:p>
    <w:p w14:paraId="1CEAA560">
      <w:pPr>
        <w:pStyle w:val="98"/>
        <w:jc w:val="center"/>
        <w:rPr>
          <w:rFonts w:ascii="黑体" w:hAnsi="黑体" w:eastAsia="黑体"/>
          <w:b w:val="0"/>
          <w:bCs w:val="0"/>
          <w:sz w:val="24"/>
          <w:szCs w:val="24"/>
        </w:rPr>
      </w:pPr>
    </w:p>
    <w:p w14:paraId="1E5655C1">
      <w:pPr>
        <w:pStyle w:val="98"/>
        <w:jc w:val="center"/>
        <w:rPr>
          <w:rFonts w:ascii="黑体" w:hAnsi="黑体" w:eastAsia="黑体"/>
          <w:b w:val="0"/>
          <w:bCs w:val="0"/>
          <w:sz w:val="24"/>
          <w:szCs w:val="24"/>
        </w:rPr>
      </w:pPr>
    </w:p>
    <w:p w14:paraId="365DF92E">
      <w:pPr>
        <w:pStyle w:val="98"/>
        <w:jc w:val="center"/>
        <w:rPr>
          <w:rFonts w:ascii="黑体" w:hAnsi="黑体" w:eastAsia="黑体"/>
          <w:b w:val="0"/>
          <w:bCs w:val="0"/>
          <w:sz w:val="24"/>
          <w:szCs w:val="24"/>
        </w:rPr>
      </w:pPr>
      <w:bookmarkStart w:id="90" w:name="_GoBack"/>
      <w:bookmarkEnd w:id="90"/>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3BF3227D">
                            <w:pPr>
                              <w:pStyle w:val="75"/>
                              <w:rPr>
                                <w:rFonts w:hint="default" w:hAnsi="黑体" w:eastAsia="黑体" w:cs="黑体"/>
                                <w:sz w:val="44"/>
                                <w:szCs w:val="44"/>
                                <w:lang w:val="en-US" w:eastAsia="zh-CN"/>
                              </w:rPr>
                            </w:pPr>
                            <w:bookmarkStart w:id="89" w:name="_Hlk23687263"/>
                            <w:r>
                              <w:rPr>
                                <w:rFonts w:hint="eastAsia" w:hAnsi="黑体" w:cs="黑体"/>
                                <w:sz w:val="44"/>
                                <w:szCs w:val="44"/>
                              </w:rPr>
                              <w:t>JJF（有色金属）</w:t>
                            </w:r>
                            <w:r>
                              <w:rPr>
                                <w:rFonts w:hint="default" w:hAnsi="黑体" w:cs="黑体"/>
                                <w:sz w:val="44"/>
                                <w:szCs w:val="44"/>
                                <w:lang w:val="en-US"/>
                              </w:rPr>
                              <w:t>XXX</w:t>
                            </w:r>
                            <w:r>
                              <w:rPr>
                                <w:rFonts w:hint="eastAsia" w:hAnsi="黑体" w:cs="黑体"/>
                                <w:sz w:val="44"/>
                                <w:szCs w:val="44"/>
                              </w:rPr>
                              <w:t>—</w:t>
                            </w:r>
                            <w:r>
                              <w:rPr>
                                <w:rFonts w:hint="eastAsia" w:hAnsi="黑体" w:cs="黑体"/>
                                <w:sz w:val="44"/>
                                <w:szCs w:val="44"/>
                                <w:lang w:val="en-US" w:eastAsia="zh-CN"/>
                              </w:rPr>
                              <w:t>20</w:t>
                            </w:r>
                            <w:r>
                              <w:rPr>
                                <w:rFonts w:hint="default" w:hAnsi="黑体" w:cs="黑体"/>
                                <w:sz w:val="44"/>
                                <w:szCs w:val="44"/>
                                <w:lang w:val="en-US" w:eastAsia="zh-CN"/>
                              </w:rPr>
                              <w:t>XX</w:t>
                            </w:r>
                          </w:p>
                          <w:bookmarkEnd w:id="89"/>
                          <w:p w14:paraId="011E22CF">
                            <w:pPr>
                              <w:pStyle w:val="75"/>
                              <w:rPr>
                                <w:rFonts w:hAnsi="黑体" w:cs="黑体"/>
                                <w:szCs w:val="52"/>
                              </w:rPr>
                            </w:pPr>
                            <w:r>
                              <w:rPr>
                                <w:rFonts w:hint="eastAsia" w:hAnsi="黑体" w:cs="黑体"/>
                                <w:szCs w:val="52"/>
                                <w:lang w:val="en-US" w:eastAsia="zh-CN"/>
                              </w:rPr>
                              <w:t>动态热机械分析仪校准规范</w:t>
                            </w:r>
                            <w:r>
                              <w:rPr>
                                <w:rFonts w:hint="eastAsia" w:hAnsi="黑体" w:cs="黑体"/>
                                <w:szCs w:val="52"/>
                              </w:rPr>
                              <w:t>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3BF3227D">
                      <w:pPr>
                        <w:pStyle w:val="75"/>
                        <w:rPr>
                          <w:rFonts w:hint="default" w:hAnsi="黑体" w:eastAsia="黑体" w:cs="黑体"/>
                          <w:sz w:val="44"/>
                          <w:szCs w:val="44"/>
                          <w:lang w:val="en-US" w:eastAsia="zh-CN"/>
                        </w:rPr>
                      </w:pPr>
                      <w:bookmarkStart w:id="89" w:name="_Hlk23687263"/>
                      <w:r>
                        <w:rPr>
                          <w:rFonts w:hint="eastAsia" w:hAnsi="黑体" w:cs="黑体"/>
                          <w:sz w:val="44"/>
                          <w:szCs w:val="44"/>
                        </w:rPr>
                        <w:t>JJF（有色金属）</w:t>
                      </w:r>
                      <w:r>
                        <w:rPr>
                          <w:rFonts w:hint="default" w:hAnsi="黑体" w:cs="黑体"/>
                          <w:sz w:val="44"/>
                          <w:szCs w:val="44"/>
                          <w:lang w:val="en-US"/>
                        </w:rPr>
                        <w:t>XXX</w:t>
                      </w:r>
                      <w:r>
                        <w:rPr>
                          <w:rFonts w:hint="eastAsia" w:hAnsi="黑体" w:cs="黑体"/>
                          <w:sz w:val="44"/>
                          <w:szCs w:val="44"/>
                        </w:rPr>
                        <w:t>—</w:t>
                      </w:r>
                      <w:r>
                        <w:rPr>
                          <w:rFonts w:hint="eastAsia" w:hAnsi="黑体" w:cs="黑体"/>
                          <w:sz w:val="44"/>
                          <w:szCs w:val="44"/>
                          <w:lang w:val="en-US" w:eastAsia="zh-CN"/>
                        </w:rPr>
                        <w:t>20</w:t>
                      </w:r>
                      <w:r>
                        <w:rPr>
                          <w:rFonts w:hint="default" w:hAnsi="黑体" w:cs="黑体"/>
                          <w:sz w:val="44"/>
                          <w:szCs w:val="44"/>
                          <w:lang w:val="en-US" w:eastAsia="zh-CN"/>
                        </w:rPr>
                        <w:t>XX</w:t>
                      </w:r>
                    </w:p>
                    <w:bookmarkEnd w:id="89"/>
                    <w:p w14:paraId="011E22CF">
                      <w:pPr>
                        <w:pStyle w:val="75"/>
                        <w:rPr>
                          <w:rFonts w:hAnsi="黑体" w:cs="黑体"/>
                          <w:szCs w:val="52"/>
                        </w:rPr>
                      </w:pPr>
                      <w:r>
                        <w:rPr>
                          <w:rFonts w:hint="eastAsia" w:hAnsi="黑体" w:cs="黑体"/>
                          <w:szCs w:val="52"/>
                          <w:lang w:val="en-US" w:eastAsia="zh-CN"/>
                        </w:rPr>
                        <w:t>动态热机械分析仪校准规范</w:t>
                      </w:r>
                      <w:r>
                        <w:rPr>
                          <w:rFonts w:hint="eastAsia" w:hAnsi="黑体" w:cs="黑体"/>
                          <w:szCs w:val="52"/>
                        </w:rPr>
                        <w:t>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57F1709">
      <w:pPr>
        <w:pStyle w:val="98"/>
        <w:jc w:val="center"/>
        <w:rPr>
          <w:rFonts w:ascii="黑体" w:hAnsi="黑体" w:eastAsia="黑体"/>
          <w:b w:val="0"/>
          <w:bCs w:val="0"/>
          <w:sz w:val="24"/>
          <w:szCs w:val="24"/>
        </w:rPr>
      </w:pPr>
    </w:p>
    <w:p w14:paraId="5B12077C">
      <w:pPr>
        <w:pStyle w:val="98"/>
        <w:jc w:val="center"/>
        <w:rPr>
          <w:rFonts w:ascii="黑体" w:hAnsi="黑体" w:eastAsia="黑体"/>
          <w:b w:val="0"/>
          <w:bCs w:val="0"/>
          <w:sz w:val="24"/>
          <w:szCs w:val="24"/>
        </w:rPr>
      </w:pPr>
    </w:p>
    <w:p w14:paraId="4B6D4267">
      <w:pPr>
        <w:pStyle w:val="98"/>
        <w:jc w:val="center"/>
        <w:rPr>
          <w:rFonts w:ascii="黑体" w:hAnsi="黑体" w:eastAsia="黑体"/>
          <w:b w:val="0"/>
          <w:bCs w:val="0"/>
          <w:sz w:val="24"/>
          <w:szCs w:val="24"/>
        </w:rPr>
      </w:pPr>
    </w:p>
    <w:p w14:paraId="5CEE8E5D">
      <w:pPr>
        <w:pStyle w:val="98"/>
        <w:jc w:val="center"/>
        <w:rPr>
          <w:rFonts w:ascii="黑体" w:hAnsi="黑体" w:eastAsia="黑体"/>
          <w:b w:val="0"/>
          <w:bCs w:val="0"/>
          <w:sz w:val="24"/>
          <w:szCs w:val="24"/>
        </w:rPr>
      </w:pPr>
    </w:p>
    <w:p w14:paraId="520DE93F">
      <w:pPr>
        <w:pStyle w:val="98"/>
        <w:jc w:val="center"/>
        <w:rPr>
          <w:rFonts w:ascii="黑体" w:hAnsi="黑体" w:eastAsia="黑体"/>
          <w:b w:val="0"/>
          <w:bCs w:val="0"/>
          <w:sz w:val="24"/>
          <w:szCs w:val="24"/>
        </w:rPr>
      </w:pPr>
    </w:p>
    <w:p w14:paraId="4DC0BF17">
      <w:pPr>
        <w:pStyle w:val="98"/>
        <w:jc w:val="center"/>
        <w:rPr>
          <w:rFonts w:ascii="黑体" w:hAnsi="黑体" w:eastAsia="黑体"/>
          <w:b w:val="0"/>
          <w:bCs w:val="0"/>
          <w:sz w:val="24"/>
          <w:szCs w:val="24"/>
        </w:rPr>
      </w:pPr>
    </w:p>
    <w:p w14:paraId="4A8606C4">
      <w:pPr>
        <w:pStyle w:val="98"/>
        <w:jc w:val="center"/>
        <w:rPr>
          <w:rFonts w:ascii="黑体" w:hAnsi="黑体" w:eastAsia="黑体"/>
          <w:b w:val="0"/>
          <w:bCs w:val="0"/>
          <w:sz w:val="24"/>
          <w:szCs w:val="24"/>
        </w:rPr>
      </w:pPr>
    </w:p>
    <w:p w14:paraId="426E253B">
      <w:pPr>
        <w:pStyle w:val="98"/>
        <w:jc w:val="center"/>
        <w:rPr>
          <w:rFonts w:ascii="黑体" w:hAnsi="黑体" w:eastAsia="黑体"/>
          <w:b w:val="0"/>
          <w:bCs w:val="0"/>
          <w:sz w:val="24"/>
          <w:szCs w:val="24"/>
        </w:rPr>
      </w:pPr>
    </w:p>
    <w:p w14:paraId="7AF395CF">
      <w:pPr>
        <w:pStyle w:val="98"/>
        <w:jc w:val="center"/>
        <w:rPr>
          <w:rFonts w:ascii="黑体" w:hAnsi="黑体" w:eastAsia="黑体"/>
          <w:b w:val="0"/>
          <w:bCs w:val="0"/>
          <w:sz w:val="24"/>
          <w:szCs w:val="24"/>
        </w:rPr>
      </w:pPr>
    </w:p>
    <w:p w14:paraId="7E7C99B0">
      <w:pPr>
        <w:pStyle w:val="98"/>
        <w:jc w:val="center"/>
        <w:rPr>
          <w:rFonts w:ascii="黑体" w:hAnsi="黑体" w:eastAsia="黑体"/>
          <w:b w:val="0"/>
          <w:bCs w:val="0"/>
          <w:sz w:val="24"/>
          <w:szCs w:val="24"/>
        </w:rPr>
      </w:pPr>
    </w:p>
    <w:p w14:paraId="44A9AD4F">
      <w:pPr>
        <w:pStyle w:val="98"/>
        <w:jc w:val="center"/>
        <w:rPr>
          <w:rFonts w:ascii="黑体" w:hAnsi="黑体" w:eastAsia="黑体"/>
          <w:b w:val="0"/>
          <w:bCs w:val="0"/>
          <w:sz w:val="24"/>
          <w:szCs w:val="24"/>
        </w:rPr>
      </w:pPr>
    </w:p>
    <w:p w14:paraId="02AC33B4">
      <w:pPr>
        <w:pStyle w:val="98"/>
        <w:jc w:val="center"/>
        <w:rPr>
          <w:rFonts w:ascii="黑体" w:hAnsi="黑体" w:eastAsia="黑体"/>
          <w:b w:val="0"/>
          <w:bCs w:val="0"/>
          <w:sz w:val="24"/>
          <w:szCs w:val="24"/>
        </w:rPr>
      </w:pPr>
    </w:p>
    <w:p w14:paraId="6C0AC297">
      <w:pPr>
        <w:pStyle w:val="98"/>
        <w:jc w:val="center"/>
        <w:rPr>
          <w:rFonts w:ascii="黑体" w:hAnsi="黑体" w:eastAsia="黑体"/>
          <w:b w:val="0"/>
          <w:bCs w:val="0"/>
          <w:sz w:val="24"/>
          <w:szCs w:val="24"/>
        </w:rPr>
      </w:pPr>
    </w:p>
    <w:p w14:paraId="6ED72D46">
      <w:pPr>
        <w:pStyle w:val="98"/>
        <w:jc w:val="center"/>
        <w:rPr>
          <w:rFonts w:ascii="黑体" w:hAnsi="黑体" w:eastAsia="黑体"/>
          <w:b w:val="0"/>
          <w:bCs w:val="0"/>
          <w:sz w:val="24"/>
          <w:szCs w:val="24"/>
        </w:rPr>
      </w:pPr>
    </w:p>
    <w:p w14:paraId="4D140896">
      <w:pPr>
        <w:pStyle w:val="98"/>
        <w:jc w:val="center"/>
        <w:rPr>
          <w:rFonts w:ascii="黑体" w:hAnsi="黑体" w:eastAsia="黑体"/>
          <w:b w:val="0"/>
          <w:bCs w:val="0"/>
          <w:sz w:val="24"/>
          <w:szCs w:val="24"/>
        </w:rPr>
      </w:pPr>
    </w:p>
    <w:p w14:paraId="276BDB7B">
      <w:pPr>
        <w:pStyle w:val="98"/>
        <w:jc w:val="center"/>
        <w:rPr>
          <w:rFonts w:ascii="黑体" w:hAnsi="黑体" w:eastAsia="黑体"/>
          <w:b w:val="0"/>
          <w:bCs w:val="0"/>
          <w:sz w:val="24"/>
          <w:szCs w:val="24"/>
        </w:rPr>
      </w:pPr>
    </w:p>
    <w:p w14:paraId="55981809">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D583F56">
                            <w:pPr>
                              <w:pStyle w:val="67"/>
                              <w:spacing w:before="600"/>
                              <w:rPr>
                                <w:rFonts w:ascii="黑体" w:hAnsi="黑体" w:eastAsia="黑体"/>
                                <w:sz w:val="36"/>
                                <w:szCs w:val="36"/>
                              </w:rPr>
                            </w:pPr>
                            <w:r>
                              <w:rPr>
                                <w:rFonts w:hint="eastAsia" w:ascii="黑体" w:hAnsi="黑体" w:eastAsia="黑体"/>
                                <w:sz w:val="36"/>
                                <w:szCs w:val="36"/>
                                <w:lang w:val="en-US" w:eastAsia="zh-CN"/>
                              </w:rPr>
                              <w:t>讨论</w:t>
                            </w:r>
                            <w:r>
                              <w:rPr>
                                <w:rFonts w:hint="eastAsia" w:ascii="黑体" w:hAnsi="黑体" w:eastAsia="黑体"/>
                                <w:sz w:val="36"/>
                                <w:szCs w:val="36"/>
                              </w:rPr>
                              <w:t>稿</w:t>
                            </w:r>
                          </w:p>
                          <w:p w14:paraId="15A726FB">
                            <w:pPr>
                              <w:pStyle w:val="67"/>
                              <w:spacing w:before="600"/>
                              <w:rPr>
                                <w:rFonts w:hint="eastAsia"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D583F56">
                      <w:pPr>
                        <w:pStyle w:val="67"/>
                        <w:spacing w:before="600"/>
                        <w:rPr>
                          <w:rFonts w:ascii="黑体" w:hAnsi="黑体" w:eastAsia="黑体"/>
                          <w:sz w:val="36"/>
                          <w:szCs w:val="36"/>
                        </w:rPr>
                      </w:pPr>
                      <w:r>
                        <w:rPr>
                          <w:rFonts w:hint="eastAsia" w:ascii="黑体" w:hAnsi="黑体" w:eastAsia="黑体"/>
                          <w:sz w:val="36"/>
                          <w:szCs w:val="36"/>
                          <w:lang w:val="en-US" w:eastAsia="zh-CN"/>
                        </w:rPr>
                        <w:t>讨论</w:t>
                      </w:r>
                      <w:r>
                        <w:rPr>
                          <w:rFonts w:hint="eastAsia" w:ascii="黑体" w:hAnsi="黑体" w:eastAsia="黑体"/>
                          <w:sz w:val="36"/>
                          <w:szCs w:val="36"/>
                        </w:rPr>
                        <w:t>稿</w:t>
                      </w:r>
                    </w:p>
                    <w:p w14:paraId="15A726FB">
                      <w:pPr>
                        <w:pStyle w:val="67"/>
                        <w:spacing w:before="600"/>
                        <w:rPr>
                          <w:rFonts w:hint="eastAsia"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1</w:t>
                      </w:r>
                    </w:p>
                  </w:txbxContent>
                </v:textbox>
                <w10:anchorlock/>
              </v:rect>
            </w:pict>
          </mc:Fallback>
        </mc:AlternateContent>
      </w:r>
    </w:p>
    <w:p w14:paraId="60A4B863">
      <w:pPr>
        <w:pStyle w:val="98"/>
        <w:jc w:val="center"/>
        <w:rPr>
          <w:rFonts w:ascii="黑体" w:hAnsi="黑体" w:eastAsia="黑体"/>
          <w:b w:val="0"/>
          <w:bCs w:val="0"/>
          <w:sz w:val="24"/>
          <w:szCs w:val="24"/>
        </w:rPr>
      </w:pPr>
    </w:p>
    <w:p w14:paraId="5485B151">
      <w:pPr>
        <w:pStyle w:val="98"/>
        <w:jc w:val="center"/>
        <w:rPr>
          <w:rFonts w:ascii="黑体" w:hAnsi="黑体" w:eastAsia="黑体"/>
          <w:b w:val="0"/>
          <w:bCs w:val="0"/>
          <w:sz w:val="24"/>
          <w:szCs w:val="24"/>
        </w:rPr>
      </w:pPr>
    </w:p>
    <w:p w14:paraId="6EAE2478">
      <w:pPr>
        <w:pStyle w:val="98"/>
        <w:jc w:val="center"/>
        <w:rPr>
          <w:rFonts w:ascii="黑体" w:hAnsi="黑体" w:eastAsia="黑体"/>
          <w:b w:val="0"/>
          <w:bCs w:val="0"/>
          <w:sz w:val="24"/>
          <w:szCs w:val="24"/>
        </w:rPr>
      </w:pPr>
    </w:p>
    <w:p w14:paraId="51704646">
      <w:pPr>
        <w:pStyle w:val="98"/>
        <w:jc w:val="center"/>
        <w:rPr>
          <w:rFonts w:ascii="黑体" w:hAnsi="黑体" w:eastAsia="黑体"/>
          <w:b w:val="0"/>
          <w:bCs w:val="0"/>
          <w:sz w:val="24"/>
          <w:szCs w:val="24"/>
        </w:rPr>
      </w:pPr>
    </w:p>
    <w:p w14:paraId="7E453036">
      <w:pPr>
        <w:pStyle w:val="98"/>
        <w:jc w:val="center"/>
        <w:rPr>
          <w:rFonts w:ascii="黑体" w:hAnsi="黑体" w:eastAsia="黑体"/>
          <w:b w:val="0"/>
          <w:bCs w:val="0"/>
          <w:sz w:val="24"/>
          <w:szCs w:val="24"/>
        </w:rPr>
      </w:pPr>
    </w:p>
    <w:p w14:paraId="642EA6C2">
      <w:pPr>
        <w:pStyle w:val="98"/>
        <w:jc w:val="center"/>
        <w:rPr>
          <w:rFonts w:ascii="黑体" w:hAnsi="黑体" w:eastAsia="黑体"/>
          <w:b w:val="0"/>
          <w:bCs w:val="0"/>
          <w:sz w:val="24"/>
          <w:szCs w:val="24"/>
        </w:rPr>
      </w:pPr>
    </w:p>
    <w:p w14:paraId="0082894A">
      <w:pPr>
        <w:pStyle w:val="98"/>
        <w:jc w:val="center"/>
        <w:rPr>
          <w:rFonts w:ascii="黑体" w:hAnsi="黑体" w:eastAsia="黑体"/>
          <w:b w:val="0"/>
          <w:bCs w:val="0"/>
          <w:sz w:val="24"/>
          <w:szCs w:val="24"/>
        </w:rPr>
      </w:pPr>
    </w:p>
    <w:p w14:paraId="0709B332">
      <w:pPr>
        <w:pStyle w:val="98"/>
        <w:jc w:val="center"/>
        <w:rPr>
          <w:rFonts w:ascii="黑体" w:hAnsi="黑体" w:eastAsia="黑体"/>
          <w:b w:val="0"/>
          <w:bCs w:val="0"/>
          <w:sz w:val="24"/>
          <w:szCs w:val="24"/>
        </w:rPr>
      </w:pPr>
    </w:p>
    <w:p w14:paraId="5258344D">
      <w:pPr>
        <w:pStyle w:val="98"/>
        <w:jc w:val="center"/>
        <w:rPr>
          <w:rFonts w:ascii="黑体" w:hAnsi="黑体" w:eastAsia="黑体"/>
          <w:b w:val="0"/>
          <w:bCs w:val="0"/>
          <w:sz w:val="24"/>
          <w:szCs w:val="24"/>
        </w:rPr>
      </w:pPr>
    </w:p>
    <w:p w14:paraId="660B44CE">
      <w:pPr>
        <w:pStyle w:val="98"/>
        <w:jc w:val="center"/>
        <w:rPr>
          <w:rFonts w:ascii="黑体" w:hAnsi="黑体" w:eastAsia="黑体"/>
          <w:b w:val="0"/>
          <w:bCs w:val="0"/>
          <w:sz w:val="24"/>
          <w:szCs w:val="24"/>
        </w:rPr>
      </w:pPr>
    </w:p>
    <w:p w14:paraId="29D1196A">
      <w:pPr>
        <w:pStyle w:val="98"/>
        <w:jc w:val="center"/>
        <w:rPr>
          <w:rFonts w:ascii="黑体" w:hAnsi="黑体" w:eastAsia="黑体"/>
          <w:b w:val="0"/>
          <w:bCs w:val="0"/>
          <w:sz w:val="24"/>
          <w:szCs w:val="24"/>
        </w:rPr>
      </w:pPr>
    </w:p>
    <w:p w14:paraId="60223242">
      <w:pPr>
        <w:pStyle w:val="98"/>
        <w:jc w:val="center"/>
        <w:rPr>
          <w:rFonts w:ascii="黑体" w:hAnsi="黑体" w:eastAsia="黑体"/>
          <w:b w:val="0"/>
          <w:bCs w:val="0"/>
          <w:sz w:val="24"/>
          <w:szCs w:val="24"/>
        </w:rPr>
      </w:pPr>
    </w:p>
    <w:p w14:paraId="7AAF4CC4">
      <w:pPr>
        <w:pStyle w:val="98"/>
        <w:jc w:val="center"/>
        <w:rPr>
          <w:rFonts w:ascii="黑体" w:hAnsi="黑体" w:eastAsia="黑体"/>
          <w:b w:val="0"/>
          <w:bCs w:val="0"/>
          <w:sz w:val="24"/>
          <w:szCs w:val="24"/>
        </w:rPr>
      </w:pPr>
    </w:p>
    <w:p w14:paraId="75E989CA">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6FD6E607">
                            <w:pPr>
                              <w:pStyle w:val="75"/>
                              <w:rPr>
                                <w:rFonts w:ascii="宋体" w:hAnsi="宋体" w:eastAsia="宋体" w:cs="宋体"/>
                                <w:spacing w:val="58"/>
                                <w:w w:val="120"/>
                                <w:kern w:val="2"/>
                                <w:sz w:val="28"/>
                                <w:szCs w:val="28"/>
                              </w:rPr>
                            </w:pPr>
                          </w:p>
                          <w:p w14:paraId="47B6C924">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动态热机械分析仪</w:t>
                            </w:r>
                            <w:r>
                              <w:rPr>
                                <w:rFonts w:hint="eastAsia" w:ascii="宋体" w:hAnsi="宋体" w:cs="宋体"/>
                                <w:spacing w:val="58"/>
                                <w:w w:val="120"/>
                                <w:sz w:val="28"/>
                                <w:szCs w:val="28"/>
                              </w:rPr>
                              <w:t>校准规范</w:t>
                            </w:r>
                          </w:p>
                          <w:p w14:paraId="06143CAA">
                            <w:pPr>
                              <w:jc w:val="center"/>
                              <w:rPr>
                                <w:rFonts w:ascii="宋体" w:hAnsi="宋体" w:cs="宋体"/>
                                <w:sz w:val="28"/>
                                <w:szCs w:val="28"/>
                              </w:rPr>
                            </w:pPr>
                            <w:r>
                              <w:rPr>
                                <w:rFonts w:hint="eastAsia" w:ascii="宋体" w:hAnsi="宋体" w:cs="宋体"/>
                                <w:spacing w:val="58"/>
                                <w:w w:val="120"/>
                                <w:sz w:val="28"/>
                                <w:szCs w:val="28"/>
                              </w:rPr>
                              <w:t>编制组</w:t>
                            </w:r>
                          </w:p>
                          <w:p w14:paraId="703B9137">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国标（北京）检验认证有限</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6FD6E607">
                      <w:pPr>
                        <w:pStyle w:val="75"/>
                        <w:rPr>
                          <w:rFonts w:ascii="宋体" w:hAnsi="宋体" w:eastAsia="宋体" w:cs="宋体"/>
                          <w:spacing w:val="58"/>
                          <w:w w:val="120"/>
                          <w:kern w:val="2"/>
                          <w:sz w:val="28"/>
                          <w:szCs w:val="28"/>
                        </w:rPr>
                      </w:pPr>
                    </w:p>
                    <w:p w14:paraId="47B6C924">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动态热机械分析仪</w:t>
                      </w:r>
                      <w:r>
                        <w:rPr>
                          <w:rFonts w:hint="eastAsia" w:ascii="宋体" w:hAnsi="宋体" w:cs="宋体"/>
                          <w:spacing w:val="58"/>
                          <w:w w:val="120"/>
                          <w:sz w:val="28"/>
                          <w:szCs w:val="28"/>
                        </w:rPr>
                        <w:t>校准规范</w:t>
                      </w:r>
                    </w:p>
                    <w:p w14:paraId="06143CAA">
                      <w:pPr>
                        <w:jc w:val="center"/>
                        <w:rPr>
                          <w:rFonts w:ascii="宋体" w:hAnsi="宋体" w:cs="宋体"/>
                          <w:sz w:val="28"/>
                          <w:szCs w:val="28"/>
                        </w:rPr>
                      </w:pPr>
                      <w:r>
                        <w:rPr>
                          <w:rFonts w:hint="eastAsia" w:ascii="宋体" w:hAnsi="宋体" w:cs="宋体"/>
                          <w:spacing w:val="58"/>
                          <w:w w:val="120"/>
                          <w:sz w:val="28"/>
                          <w:szCs w:val="28"/>
                        </w:rPr>
                        <w:t>编制组</w:t>
                      </w:r>
                    </w:p>
                    <w:p w14:paraId="703B9137">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国标（北京）检验认证有限</w:t>
                      </w:r>
                      <w:r>
                        <w:rPr>
                          <w:rFonts w:hint="eastAsia" w:ascii="宋体" w:hAnsi="宋体" w:eastAsia="宋体" w:cs="宋体"/>
                          <w:sz w:val="28"/>
                          <w:szCs w:val="28"/>
                        </w:rPr>
                        <w:t>公司</w:t>
                      </w:r>
                    </w:p>
                  </w:txbxContent>
                </v:textbox>
                <w10:anchorlock/>
              </v:rect>
            </w:pict>
          </mc:Fallback>
        </mc:AlternateContent>
      </w:r>
    </w:p>
    <w:p w14:paraId="08C76235">
      <w:pPr>
        <w:pStyle w:val="98"/>
        <w:jc w:val="center"/>
        <w:rPr>
          <w:rFonts w:ascii="黑体" w:hAnsi="黑体" w:eastAsia="黑体"/>
          <w:b w:val="0"/>
          <w:bCs w:val="0"/>
          <w:sz w:val="24"/>
          <w:szCs w:val="24"/>
        </w:rPr>
      </w:pPr>
    </w:p>
    <w:p w14:paraId="207D3399">
      <w:pPr>
        <w:pStyle w:val="98"/>
        <w:jc w:val="center"/>
        <w:rPr>
          <w:rFonts w:ascii="黑体" w:hAnsi="黑体" w:eastAsia="黑体"/>
          <w:b w:val="0"/>
          <w:bCs w:val="0"/>
          <w:sz w:val="24"/>
          <w:szCs w:val="24"/>
        </w:rPr>
      </w:pPr>
    </w:p>
    <w:p w14:paraId="2A2979CC">
      <w:pPr>
        <w:pStyle w:val="98"/>
        <w:jc w:val="center"/>
        <w:rPr>
          <w:rFonts w:ascii="黑体" w:hAnsi="黑体" w:eastAsia="黑体"/>
          <w:b w:val="0"/>
          <w:bCs w:val="0"/>
          <w:sz w:val="24"/>
          <w:szCs w:val="24"/>
        </w:rPr>
      </w:pPr>
    </w:p>
    <w:p w14:paraId="1C6E7CC3">
      <w:pPr>
        <w:pStyle w:val="98"/>
        <w:jc w:val="center"/>
        <w:rPr>
          <w:rFonts w:ascii="黑体" w:hAnsi="黑体" w:eastAsia="黑体"/>
          <w:b w:val="0"/>
          <w:bCs w:val="0"/>
          <w:sz w:val="24"/>
          <w:szCs w:val="24"/>
        </w:rPr>
      </w:pPr>
    </w:p>
    <w:p w14:paraId="1F92AC1C">
      <w:pPr>
        <w:pStyle w:val="98"/>
        <w:jc w:val="center"/>
        <w:rPr>
          <w:rFonts w:ascii="黑体" w:hAnsi="黑体" w:eastAsia="黑体"/>
          <w:b w:val="0"/>
          <w:bCs w:val="0"/>
          <w:sz w:val="24"/>
          <w:szCs w:val="24"/>
        </w:rPr>
      </w:pPr>
    </w:p>
    <w:p w14:paraId="0C6A8990">
      <w:pPr>
        <w:pStyle w:val="98"/>
        <w:jc w:val="center"/>
        <w:rPr>
          <w:rFonts w:ascii="黑体" w:hAnsi="黑体" w:eastAsia="黑体"/>
          <w:b w:val="0"/>
          <w:bCs w:val="0"/>
          <w:sz w:val="24"/>
          <w:szCs w:val="24"/>
        </w:rPr>
      </w:pPr>
    </w:p>
    <w:p w14:paraId="6F63AF80">
      <w:pPr>
        <w:pStyle w:val="98"/>
        <w:jc w:val="center"/>
        <w:rPr>
          <w:rFonts w:ascii="黑体" w:hAnsi="黑体" w:eastAsia="黑体"/>
          <w:b w:val="0"/>
          <w:bCs w:val="0"/>
          <w:sz w:val="24"/>
          <w:szCs w:val="24"/>
        </w:rPr>
      </w:pPr>
    </w:p>
    <w:p w14:paraId="4518B1F7">
      <w:pPr>
        <w:pStyle w:val="2"/>
        <w:spacing w:before="156" w:after="156"/>
        <w:rPr>
          <w:b w:val="0"/>
          <w:bCs w:val="0"/>
        </w:rPr>
      </w:pPr>
      <w:r>
        <w:rPr>
          <w:rFonts w:hint="eastAsia"/>
          <w:b w:val="0"/>
          <w:bCs w:val="0"/>
        </w:rPr>
        <w:t>一、工作简况</w:t>
      </w:r>
      <w:bookmarkEnd w:id="0"/>
      <w:bookmarkStart w:id="2" w:name="_Toc464728896"/>
    </w:p>
    <w:p w14:paraId="75FBB674">
      <w:pPr>
        <w:pStyle w:val="3"/>
        <w:spacing w:before="156" w:after="156"/>
        <w:rPr>
          <w:b w:val="0"/>
          <w:bCs w:val="0"/>
        </w:rPr>
      </w:pPr>
      <w:r>
        <w:rPr>
          <w:rFonts w:hint="eastAsia"/>
          <w:b w:val="0"/>
          <w:bCs w:val="0"/>
        </w:rPr>
        <w:t>1.立项目的</w:t>
      </w:r>
    </w:p>
    <w:p w14:paraId="0D7E6401">
      <w:pPr>
        <w:spacing w:line="400" w:lineRule="exact"/>
        <w:ind w:firstLine="555"/>
        <w:rPr>
          <w:rFonts w:hint="eastAsia" w:hAnsi="宋体" w:eastAsia="宋体"/>
          <w:b w:val="0"/>
          <w:bCs w:val="0"/>
          <w:szCs w:val="21"/>
          <w:highlight w:val="none"/>
          <w:lang w:eastAsia="zh-CN"/>
        </w:rPr>
      </w:pPr>
      <w:r>
        <w:rPr>
          <w:rFonts w:hAnsi="宋体"/>
          <w:b w:val="0"/>
          <w:bCs w:val="0"/>
          <w:szCs w:val="21"/>
          <w:highlight w:val="none"/>
        </w:rPr>
        <w:t>动态热机械分析仪是测量样品的黏弹性能与时间或温度关系的仪器。常用于材料的刚性、黏弹性、玻璃化温度、相转变、软化温度等测量</w:t>
      </w:r>
      <w:r>
        <w:rPr>
          <w:rFonts w:hint="eastAsia" w:hAnsi="宋体"/>
          <w:b w:val="0"/>
          <w:bCs w:val="0"/>
          <w:szCs w:val="21"/>
          <w:highlight w:val="none"/>
          <w:lang w:eastAsia="zh-CN"/>
        </w:rPr>
        <w:t>。</w:t>
      </w:r>
      <w:r>
        <w:rPr>
          <w:rFonts w:hint="eastAsia" w:hAnsi="宋体"/>
          <w:b w:val="0"/>
          <w:bCs w:val="0"/>
          <w:szCs w:val="21"/>
          <w:highlight w:val="none"/>
          <w:lang w:val="en-US" w:eastAsia="zh-CN"/>
        </w:rPr>
        <w:t>随着现代工业的发展，特别是在汽车制造业和航空航天高科技领域，</w:t>
      </w:r>
      <w:r>
        <w:rPr>
          <w:rFonts w:hAnsi="宋体"/>
          <w:b w:val="0"/>
          <w:bCs w:val="0"/>
          <w:szCs w:val="21"/>
          <w:highlight w:val="none"/>
        </w:rPr>
        <w:t>动态热机械分析仪</w:t>
      </w:r>
      <w:r>
        <w:rPr>
          <w:rFonts w:hint="eastAsia" w:hAnsi="宋体"/>
          <w:b w:val="0"/>
          <w:bCs w:val="0"/>
          <w:szCs w:val="21"/>
          <w:highlight w:val="none"/>
          <w:lang w:val="en-US" w:eastAsia="zh-CN"/>
        </w:rPr>
        <w:t>作为测试材料阻尼性能和动态力学性能的关键设备，其测量结果的准确性直接关系到产品质量和安全性。</w:t>
      </w:r>
      <w:r>
        <w:rPr>
          <w:rFonts w:hAnsi="宋体"/>
          <w:b w:val="0"/>
          <w:bCs w:val="0"/>
          <w:szCs w:val="21"/>
          <w:highlight w:val="none"/>
        </w:rPr>
        <w:t>为</w:t>
      </w:r>
      <w:r>
        <w:rPr>
          <w:rFonts w:hint="eastAsia" w:hAnsi="宋体"/>
          <w:b w:val="0"/>
          <w:bCs w:val="0"/>
          <w:szCs w:val="21"/>
          <w:highlight w:val="none"/>
          <w:lang w:val="en-US" w:eastAsia="zh-CN"/>
        </w:rPr>
        <w:t>保证</w:t>
      </w:r>
      <w:r>
        <w:rPr>
          <w:rFonts w:hAnsi="宋体"/>
          <w:b w:val="0"/>
          <w:bCs w:val="0"/>
          <w:szCs w:val="21"/>
          <w:highlight w:val="none"/>
        </w:rPr>
        <w:t>动态热机械分析仪</w:t>
      </w:r>
      <w:r>
        <w:rPr>
          <w:rFonts w:hint="eastAsia" w:hAnsi="宋体"/>
          <w:b w:val="0"/>
          <w:bCs w:val="0"/>
          <w:szCs w:val="21"/>
          <w:highlight w:val="none"/>
          <w:lang w:val="en-US" w:eastAsia="zh-CN"/>
        </w:rPr>
        <w:t>测试结果的</w:t>
      </w:r>
      <w:r>
        <w:rPr>
          <w:rFonts w:hAnsi="宋体"/>
          <w:b w:val="0"/>
          <w:bCs w:val="0"/>
          <w:szCs w:val="21"/>
          <w:highlight w:val="none"/>
        </w:rPr>
        <w:t>准确可靠，需要对其进行</w:t>
      </w:r>
      <w:r>
        <w:rPr>
          <w:rFonts w:hint="eastAsia" w:hAnsi="宋体"/>
          <w:b w:val="0"/>
          <w:bCs w:val="0"/>
          <w:szCs w:val="21"/>
          <w:highlight w:val="none"/>
          <w:lang w:val="en-US" w:eastAsia="zh-CN"/>
        </w:rPr>
        <w:t>校准</w:t>
      </w:r>
      <w:r>
        <w:rPr>
          <w:rFonts w:hAnsi="宋体"/>
          <w:b w:val="0"/>
          <w:bCs w:val="0"/>
          <w:szCs w:val="21"/>
          <w:highlight w:val="none"/>
        </w:rPr>
        <w:t>，保证其量值准确、可靠、有源可溯。</w:t>
      </w:r>
    </w:p>
    <w:p w14:paraId="61D1CF67">
      <w:pPr>
        <w:pStyle w:val="21"/>
        <w:spacing w:line="400" w:lineRule="exact"/>
        <w:ind w:firstLine="420" w:firstLineChars="200"/>
        <w:rPr>
          <w:rFonts w:hAnsi="宋体"/>
          <w:b w:val="0"/>
          <w:bCs w:val="0"/>
          <w:szCs w:val="21"/>
          <w:highlight w:val="none"/>
        </w:rPr>
      </w:pPr>
      <w:r>
        <w:rPr>
          <w:rFonts w:hAnsi="宋体"/>
          <w:b w:val="0"/>
          <w:bCs w:val="0"/>
          <w:szCs w:val="21"/>
          <w:highlight w:val="none"/>
        </w:rPr>
        <w:t>本规范重点解决了</w:t>
      </w:r>
      <w:r>
        <w:rPr>
          <w:rFonts w:hint="eastAsia" w:hAnsi="黑体" w:cs="黑体"/>
          <w:szCs w:val="52"/>
          <w:highlight w:val="none"/>
          <w:lang w:val="en-US" w:eastAsia="zh-CN"/>
        </w:rPr>
        <w:t>动态热机械分析仪无校准方法的问题，</w:t>
      </w:r>
      <w:r>
        <w:rPr>
          <w:rFonts w:hAnsi="宋体"/>
          <w:b w:val="0"/>
          <w:bCs w:val="0"/>
          <w:szCs w:val="21"/>
          <w:highlight w:val="none"/>
        </w:rPr>
        <w:t>弥补</w:t>
      </w:r>
      <w:r>
        <w:rPr>
          <w:rFonts w:hint="eastAsia" w:hAnsi="黑体" w:cs="黑体"/>
          <w:szCs w:val="52"/>
          <w:highlight w:val="none"/>
          <w:lang w:val="en-US" w:eastAsia="zh-CN"/>
        </w:rPr>
        <w:t>动态热机械分析仪</w:t>
      </w:r>
      <w:r>
        <w:rPr>
          <w:rFonts w:hAnsi="宋体"/>
          <w:b w:val="0"/>
          <w:bCs w:val="0"/>
          <w:szCs w:val="21"/>
          <w:highlight w:val="none"/>
        </w:rPr>
        <w:t>校准的空白，为</w:t>
      </w:r>
      <w:r>
        <w:rPr>
          <w:rFonts w:hint="eastAsia" w:hAnsi="宋体"/>
          <w:b w:val="0"/>
          <w:bCs w:val="0"/>
          <w:szCs w:val="21"/>
          <w:highlight w:val="none"/>
          <w:lang w:val="en-US" w:eastAsia="zh-CN"/>
        </w:rPr>
        <w:t>进行</w:t>
      </w:r>
      <w:r>
        <w:rPr>
          <w:rFonts w:hAnsi="宋体"/>
          <w:b w:val="0"/>
          <w:bCs w:val="0"/>
          <w:szCs w:val="21"/>
          <w:highlight w:val="none"/>
        </w:rPr>
        <w:t>量值传递提供</w:t>
      </w:r>
      <w:r>
        <w:rPr>
          <w:rFonts w:hint="eastAsia" w:hAnsi="宋体"/>
          <w:b w:val="0"/>
          <w:bCs w:val="0"/>
          <w:szCs w:val="21"/>
          <w:highlight w:val="none"/>
          <w:lang w:val="en-US" w:eastAsia="zh-CN"/>
        </w:rPr>
        <w:t>了有效</w:t>
      </w:r>
      <w:r>
        <w:rPr>
          <w:rFonts w:hAnsi="宋体"/>
          <w:b w:val="0"/>
          <w:bCs w:val="0"/>
          <w:szCs w:val="21"/>
          <w:highlight w:val="none"/>
        </w:rPr>
        <w:t>保证，</w:t>
      </w:r>
      <w:r>
        <w:rPr>
          <w:rFonts w:hint="eastAsia" w:hAnsi="宋体"/>
          <w:b w:val="0"/>
          <w:bCs w:val="0"/>
          <w:szCs w:val="21"/>
          <w:highlight w:val="none"/>
          <w:lang w:val="en-US" w:eastAsia="zh-CN"/>
        </w:rPr>
        <w:t>进一步</w:t>
      </w:r>
      <w:r>
        <w:rPr>
          <w:rFonts w:hAnsi="宋体"/>
          <w:b w:val="0"/>
          <w:bCs w:val="0"/>
          <w:szCs w:val="21"/>
          <w:highlight w:val="none"/>
        </w:rPr>
        <w:t>提高</w:t>
      </w:r>
      <w:r>
        <w:rPr>
          <w:rFonts w:hint="eastAsia" w:hAnsi="宋体"/>
          <w:b w:val="0"/>
          <w:bCs w:val="0"/>
          <w:szCs w:val="21"/>
          <w:highlight w:val="none"/>
          <w:lang w:val="en-US" w:eastAsia="zh-CN"/>
        </w:rPr>
        <w:t>了</w:t>
      </w:r>
      <w:r>
        <w:rPr>
          <w:rFonts w:hint="eastAsia" w:hAnsi="黑体" w:cs="黑体"/>
          <w:szCs w:val="52"/>
          <w:highlight w:val="none"/>
          <w:lang w:val="en-US" w:eastAsia="zh-CN"/>
        </w:rPr>
        <w:t>动态热机械分析仪</w:t>
      </w:r>
      <w:r>
        <w:rPr>
          <w:rFonts w:hAnsi="宋体"/>
          <w:b w:val="0"/>
          <w:bCs w:val="0"/>
          <w:szCs w:val="21"/>
          <w:highlight w:val="none"/>
        </w:rPr>
        <w:t>的准确性。</w:t>
      </w:r>
    </w:p>
    <w:p w14:paraId="33748486">
      <w:pPr>
        <w:pStyle w:val="3"/>
        <w:spacing w:before="156" w:after="156"/>
        <w:rPr>
          <w:b w:val="0"/>
          <w:bCs w:val="0"/>
        </w:rPr>
      </w:pPr>
      <w:r>
        <w:rPr>
          <w:rFonts w:hint="eastAsia"/>
          <w:b w:val="0"/>
          <w:bCs w:val="0"/>
        </w:rPr>
        <w:t>2.任务来源</w:t>
      </w:r>
      <w:bookmarkEnd w:id="2"/>
    </w:p>
    <w:p w14:paraId="50272B02">
      <w:pPr>
        <w:pStyle w:val="35"/>
        <w:spacing w:after="0" w:line="400" w:lineRule="exact"/>
        <w:ind w:firstLine="420" w:firstLineChars="200"/>
        <w:rPr>
          <w:rFonts w:hint="eastAsia" w:hAnsi="宋体"/>
          <w:b w:val="0"/>
          <w:bCs w:val="0"/>
          <w:szCs w:val="21"/>
        </w:rPr>
      </w:pPr>
      <w:r>
        <w:rPr>
          <w:rFonts w:hint="eastAsia" w:hAnsi="宋体"/>
          <w:b w:val="0"/>
          <w:bCs w:val="0"/>
          <w:szCs w:val="21"/>
        </w:rPr>
        <w:t>根据工业和信息化部《关于印发202</w:t>
      </w:r>
      <w:r>
        <w:rPr>
          <w:rFonts w:hint="eastAsia" w:hAnsi="宋体"/>
          <w:b w:val="0"/>
          <w:bCs w:val="0"/>
          <w:szCs w:val="21"/>
          <w:lang w:val="en-US" w:eastAsia="zh-CN"/>
        </w:rPr>
        <w:t>5</w:t>
      </w:r>
      <w:r>
        <w:rPr>
          <w:rFonts w:hint="eastAsia" w:hAnsi="宋体"/>
          <w:b w:val="0"/>
          <w:bCs w:val="0"/>
          <w:szCs w:val="21"/>
        </w:rPr>
        <w:t>年行业计量技术规范制修订计划的通知》（工</w:t>
      </w:r>
      <w:r>
        <w:rPr>
          <w:rFonts w:hint="eastAsia" w:hAnsi="宋体"/>
          <w:b w:val="0"/>
          <w:bCs w:val="0"/>
          <w:szCs w:val="21"/>
          <w:lang w:val="en-US" w:eastAsia="zh-CN"/>
        </w:rPr>
        <w:t>信厅科函</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w:t>
      </w:r>
      <w:r>
        <w:rPr>
          <w:rFonts w:hint="eastAsia" w:hAnsi="宋体"/>
          <w:b w:val="0"/>
          <w:bCs w:val="0"/>
          <w:szCs w:val="21"/>
          <w:lang w:val="en-US" w:eastAsia="zh-CN"/>
        </w:rPr>
        <w:t>299</w:t>
      </w:r>
      <w:r>
        <w:rPr>
          <w:rFonts w:hint="eastAsia" w:hAnsi="宋体"/>
          <w:b w:val="0"/>
          <w:bCs w:val="0"/>
          <w:szCs w:val="21"/>
        </w:rPr>
        <w:t>号）文的要求，行业计量技术规范《</w:t>
      </w:r>
      <w:r>
        <w:rPr>
          <w:rFonts w:hint="eastAsia" w:hAnsi="宋体"/>
          <w:b w:val="0"/>
          <w:bCs w:val="0"/>
          <w:szCs w:val="21"/>
          <w:lang w:val="en-US" w:eastAsia="zh-CN"/>
        </w:rPr>
        <w:t>动态热机械分析仪</w:t>
      </w:r>
      <w:r>
        <w:rPr>
          <w:rFonts w:hint="eastAsia" w:hAnsi="宋体"/>
          <w:b w:val="0"/>
          <w:bCs w:val="0"/>
          <w:szCs w:val="21"/>
        </w:rPr>
        <w:t>校准规范》由</w:t>
      </w:r>
      <w:r>
        <w:rPr>
          <w:rFonts w:hint="eastAsia" w:hAnsi="宋体"/>
          <w:b w:val="0"/>
          <w:bCs w:val="0"/>
          <w:szCs w:val="21"/>
          <w:lang w:val="en-US" w:eastAsia="zh-CN"/>
        </w:rPr>
        <w:t>国标（北京）检验认证有限</w:t>
      </w:r>
      <w:r>
        <w:rPr>
          <w:rFonts w:hint="eastAsia" w:hAnsi="宋体"/>
          <w:b w:val="0"/>
          <w:bCs w:val="0"/>
          <w:szCs w:val="21"/>
        </w:rPr>
        <w:t>公司负责起草。该项目计划编号为</w:t>
      </w:r>
      <w:r>
        <w:rPr>
          <w:rFonts w:hAnsi="宋体"/>
          <w:b w:val="0"/>
          <w:bCs w:val="0"/>
          <w:szCs w:val="21"/>
        </w:rPr>
        <w:t>JJF</w:t>
      </w:r>
      <w:r>
        <w:rPr>
          <w:rFonts w:hint="eastAsia" w:hAnsi="宋体"/>
          <w:b w:val="0"/>
          <w:bCs w:val="0"/>
          <w:szCs w:val="21"/>
        </w:rPr>
        <w:t>Z（有色金属）</w:t>
      </w:r>
      <w:r>
        <w:rPr>
          <w:rFonts w:hint="eastAsia" w:hAnsi="宋体"/>
          <w:b w:val="0"/>
          <w:bCs w:val="0"/>
          <w:szCs w:val="21"/>
          <w:lang w:val="en-US" w:eastAsia="zh-CN"/>
        </w:rPr>
        <w:t>012</w:t>
      </w:r>
      <w:r>
        <w:rPr>
          <w:rFonts w:hint="eastAsia" w:hAnsi="宋体"/>
          <w:b w:val="0"/>
          <w:bCs w:val="0"/>
          <w:szCs w:val="21"/>
        </w:rPr>
        <w:t>-2</w:t>
      </w:r>
      <w:r>
        <w:rPr>
          <w:rFonts w:hAnsi="宋体"/>
          <w:b w:val="0"/>
          <w:bCs w:val="0"/>
          <w:szCs w:val="21"/>
        </w:rPr>
        <w:t>02</w:t>
      </w:r>
      <w:r>
        <w:rPr>
          <w:rFonts w:hint="eastAsia" w:hAnsi="宋体"/>
          <w:b w:val="0"/>
          <w:bCs w:val="0"/>
          <w:szCs w:val="21"/>
          <w:lang w:val="en-US" w:eastAsia="zh-CN"/>
        </w:rPr>
        <w:t>5</w:t>
      </w:r>
      <w:r>
        <w:rPr>
          <w:rFonts w:hint="eastAsia" w:hAnsi="宋体"/>
          <w:b w:val="0"/>
          <w:bCs w:val="0"/>
          <w:szCs w:val="21"/>
        </w:rPr>
        <w:t>。</w:t>
      </w:r>
      <w:r>
        <w:rPr>
          <w:rFonts w:hint="eastAsia"/>
          <w:szCs w:val="21"/>
        </w:rPr>
        <w:t>按计划要求，本计量规范应于</w:t>
      </w:r>
      <w:r>
        <w:rPr>
          <w:szCs w:val="21"/>
        </w:rPr>
        <w:t>202</w:t>
      </w:r>
      <w:r>
        <w:rPr>
          <w:rFonts w:hint="eastAsia"/>
          <w:szCs w:val="21"/>
          <w:lang w:val="en-US" w:eastAsia="zh-CN"/>
        </w:rPr>
        <w:t>7</w:t>
      </w:r>
      <w:r>
        <w:rPr>
          <w:rFonts w:hint="eastAsia"/>
          <w:szCs w:val="21"/>
        </w:rPr>
        <w:t>年完成</w:t>
      </w:r>
      <w:r>
        <w:rPr>
          <w:rFonts w:hint="eastAsia"/>
          <w:szCs w:val="21"/>
          <w:lang w:val="en-US" w:eastAsia="zh-CN"/>
        </w:rPr>
        <w:t>制定</w:t>
      </w:r>
      <w:r>
        <w:rPr>
          <w:szCs w:val="21"/>
        </w:rPr>
        <w:t>。</w:t>
      </w:r>
    </w:p>
    <w:p w14:paraId="7285DE43">
      <w:pPr>
        <w:pStyle w:val="3"/>
        <w:spacing w:before="156" w:after="156"/>
        <w:rPr>
          <w:b w:val="0"/>
          <w:bCs w:val="0"/>
        </w:rPr>
      </w:pPr>
      <w:r>
        <w:rPr>
          <w:rFonts w:hint="eastAsia"/>
          <w:b w:val="0"/>
          <w:bCs w:val="0"/>
        </w:rPr>
        <w:t>3.项目编制组单位简况</w:t>
      </w:r>
    </w:p>
    <w:p w14:paraId="5C80AFEB">
      <w:pPr>
        <w:pStyle w:val="4"/>
        <w:spacing w:before="156" w:after="156"/>
        <w:rPr>
          <w:b w:val="0"/>
          <w:bCs w:val="0"/>
        </w:rPr>
      </w:pPr>
      <w:r>
        <w:rPr>
          <w:rFonts w:hint="eastAsia"/>
          <w:b w:val="0"/>
          <w:bCs w:val="0"/>
        </w:rPr>
        <w:t>3.1编制组成员单位</w:t>
      </w:r>
    </w:p>
    <w:p w14:paraId="40014D57">
      <w:pPr>
        <w:widowControl/>
        <w:autoSpaceDE w:val="0"/>
        <w:autoSpaceDN w:val="0"/>
        <w:spacing w:line="400" w:lineRule="exact"/>
        <w:ind w:firstLine="420" w:firstLineChars="200"/>
        <w:rPr>
          <w:rFonts w:hint="default"/>
          <w:b w:val="0"/>
          <w:bCs w:val="0"/>
          <w:szCs w:val="21"/>
        </w:rPr>
      </w:pPr>
      <w:bookmarkStart w:id="3" w:name="_Toc462884344"/>
      <w:bookmarkStart w:id="4" w:name="_Toc464728900"/>
      <w:r>
        <w:rPr>
          <w:rFonts w:hint="eastAsia"/>
          <w:b w:val="0"/>
          <w:bCs w:val="0"/>
          <w:szCs w:val="21"/>
        </w:rPr>
        <w:t>本规范的编制组单位为：</w:t>
      </w:r>
      <w:r>
        <w:rPr>
          <w:rFonts w:hint="eastAsia" w:eastAsia="宋体"/>
          <w:b w:val="0"/>
          <w:bCs w:val="0"/>
          <w:szCs w:val="21"/>
          <w:lang w:val="en-US" w:eastAsia="zh-CN"/>
        </w:rPr>
        <w:t>国标（北京）检验认证有限公司、北京航空航天大学测试中心、耐驰科学仪器商贸（上海）有限公司、中国船舶集团有限公司第七二五研究所、中国科学院宁波材料技术与工程研究所、国合通用（青岛）测试评价</w:t>
      </w:r>
      <w:r>
        <w:rPr>
          <w:rFonts w:hint="eastAsia"/>
          <w:b w:val="0"/>
          <w:bCs w:val="0"/>
          <w:szCs w:val="21"/>
          <w:lang w:val="en-US" w:eastAsia="zh-CN"/>
        </w:rPr>
        <w:t>股份有限公司、中国汽车技术研究中心有限公司</w:t>
      </w:r>
      <w:r>
        <w:rPr>
          <w:rFonts w:hint="eastAsia"/>
          <w:b w:val="0"/>
          <w:bCs w:val="0"/>
          <w:szCs w:val="21"/>
        </w:rPr>
        <w:t>。</w:t>
      </w:r>
    </w:p>
    <w:p w14:paraId="7D4F1A94">
      <w:pPr>
        <w:pStyle w:val="4"/>
        <w:spacing w:before="156" w:after="156"/>
        <w:rPr>
          <w:b w:val="0"/>
          <w:bCs w:val="0"/>
        </w:rPr>
      </w:pPr>
      <w:r>
        <w:rPr>
          <w:rFonts w:hint="eastAsia"/>
          <w:b w:val="0"/>
          <w:bCs w:val="0"/>
        </w:rPr>
        <w:t>3.2 主编单位简介</w:t>
      </w:r>
    </w:p>
    <w:bookmarkEnd w:id="3"/>
    <w:bookmarkEnd w:id="4"/>
    <w:p w14:paraId="4C1A40B6">
      <w:pPr>
        <w:spacing w:line="400" w:lineRule="exact"/>
        <w:ind w:firstLine="420" w:firstLineChars="200"/>
        <w:rPr>
          <w:rFonts w:hint="eastAsia"/>
          <w:b w:val="0"/>
          <w:bCs w:val="0"/>
          <w:szCs w:val="21"/>
          <w:lang w:val="en-US" w:eastAsia="zh-CN"/>
        </w:rPr>
      </w:pPr>
      <w:r>
        <w:rPr>
          <w:rFonts w:hint="eastAsia"/>
          <w:b w:val="0"/>
          <w:bCs w:val="0"/>
          <w:szCs w:val="21"/>
          <w:lang w:val="en-US" w:eastAsia="zh-CN"/>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是我国有色行业金属材料检测的权威机构。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271E3DDC">
      <w:pPr>
        <w:spacing w:line="400" w:lineRule="exact"/>
        <w:ind w:firstLine="420" w:firstLineChars="200"/>
        <w:rPr>
          <w:rFonts w:hint="default"/>
          <w:b w:val="0"/>
          <w:bCs w:val="0"/>
          <w:szCs w:val="21"/>
          <w:lang w:val="en-US" w:eastAsia="zh-CN"/>
        </w:rPr>
      </w:pPr>
      <w:r>
        <w:rPr>
          <w:rFonts w:hint="default"/>
          <w:b w:val="0"/>
          <w:bCs w:val="0"/>
          <w:szCs w:val="21"/>
          <w:lang w:val="en-US" w:eastAsia="zh-CN"/>
        </w:rPr>
        <w:t>在铝及铝合金材料的监督检验方面，该公司具备深厚的基础，承担了大量的分析检测任务和标准起草制定工作。实验室配备有ICP-MS、ICP-ES、GD-MS、光谱仪、氧氮氢测定仪等一系列化学分析仪器，可对铝及铝合金材料进行全元素定性和定量分析。实验室配备了万能材料试验机及相关配套设备，可进行高低室温下的拉伸、压缩、剪切等力学性能试验，以及弯曲、扩口、压扁、杯突等工艺性能的检测、配备有高周、低周和弯曲疲劳试验机及高、低温环境箱，可进行高、低、室温下的高周疲劳和弯曲疲劳性能，以及室温下的低周疲劳、裂纹扩展速率、断裂韧性、腐蚀疲劳等性能的检测。配备了多种硬度检测设备，可进行布氏、洛氏、维氏、韦氏等硬度检测。另外还可开展铝及铝合金的应力腐蚀、剥落腐蚀、盐雾腐蚀等抗腐蚀性能的检测，以及持久蠕变试验、冲击试验、热分析、粗糙度、电性能、密度、涂层性能等参数的检测，基本涵盖了铝及铝合金产品监督检验的领域范围。</w:t>
      </w:r>
    </w:p>
    <w:p w14:paraId="1BFEC3A0">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w:t>
      </w:r>
      <w:r>
        <w:rPr>
          <w:rFonts w:hint="eastAsia"/>
          <w:b w:val="0"/>
          <w:bCs w:val="0"/>
          <w:szCs w:val="21"/>
        </w:rPr>
        <w:t>单位</w:t>
      </w:r>
      <w:r>
        <w:rPr>
          <w:rFonts w:hint="eastAsia"/>
          <w:b w:val="0"/>
          <w:bCs w:val="0"/>
          <w:szCs w:val="21"/>
          <w:lang w:val="en-US" w:eastAsia="zh-CN"/>
        </w:rPr>
        <w:t>主要负责本规范的起草工作</w:t>
      </w:r>
      <w:r>
        <w:rPr>
          <w:rFonts w:hint="eastAsia"/>
          <w:b w:val="0"/>
          <w:bCs w:val="0"/>
          <w:szCs w:val="21"/>
          <w:lang w:eastAsia="zh-CN"/>
        </w:rPr>
        <w:t>，</w:t>
      </w:r>
      <w:r>
        <w:rPr>
          <w:rFonts w:hint="eastAsia"/>
          <w:b w:val="0"/>
          <w:bCs w:val="0"/>
          <w:szCs w:val="21"/>
          <w:lang w:val="en-US" w:eastAsia="zh-CN"/>
        </w:rPr>
        <w:t>成立编制组并根据委员会的工作安排组织编制组成员单位开展相关校准工作</w:t>
      </w:r>
      <w:r>
        <w:rPr>
          <w:rFonts w:hint="eastAsia"/>
          <w:b w:val="0"/>
          <w:bCs w:val="0"/>
          <w:szCs w:val="21"/>
        </w:rPr>
        <w:t>，组织</w:t>
      </w:r>
      <w:r>
        <w:rPr>
          <w:rFonts w:hint="eastAsia"/>
          <w:b w:val="0"/>
          <w:bCs w:val="0"/>
          <w:szCs w:val="21"/>
          <w:lang w:val="en-US" w:eastAsia="zh-CN"/>
        </w:rPr>
        <w:t>各</w:t>
      </w:r>
      <w:r>
        <w:rPr>
          <w:rFonts w:hint="eastAsia"/>
          <w:b w:val="0"/>
          <w:bCs w:val="0"/>
          <w:szCs w:val="21"/>
        </w:rPr>
        <w:t>单位对规范的《征求意见稿》</w:t>
      </w:r>
      <w:r>
        <w:rPr>
          <w:rFonts w:hint="eastAsia"/>
          <w:b w:val="0"/>
          <w:bCs w:val="0"/>
          <w:szCs w:val="21"/>
          <w:lang w:eastAsia="zh-CN"/>
        </w:rPr>
        <w:t>、《</w:t>
      </w:r>
      <w:r>
        <w:rPr>
          <w:rFonts w:hint="eastAsia"/>
          <w:b w:val="0"/>
          <w:bCs w:val="0"/>
          <w:szCs w:val="21"/>
          <w:lang w:val="en-US" w:eastAsia="zh-CN"/>
        </w:rPr>
        <w:t>预审稿</w:t>
      </w:r>
      <w:r>
        <w:rPr>
          <w:rFonts w:hint="eastAsia"/>
          <w:b w:val="0"/>
          <w:bCs w:val="0"/>
          <w:szCs w:val="21"/>
          <w:lang w:eastAsia="zh-CN"/>
        </w:rPr>
        <w:t>》</w:t>
      </w:r>
      <w:r>
        <w:rPr>
          <w:rFonts w:hint="eastAsia"/>
          <w:b w:val="0"/>
          <w:bCs w:val="0"/>
          <w:szCs w:val="21"/>
          <w:lang w:val="en-US" w:eastAsia="zh-CN"/>
        </w:rPr>
        <w:t>及《送审稿》</w:t>
      </w:r>
      <w:r>
        <w:rPr>
          <w:rFonts w:hint="eastAsia"/>
          <w:b w:val="0"/>
          <w:bCs w:val="0"/>
          <w:szCs w:val="21"/>
        </w:rPr>
        <w:t>进行认真的讨论，</w:t>
      </w:r>
      <w:r>
        <w:rPr>
          <w:rFonts w:hint="eastAsia"/>
          <w:b w:val="0"/>
          <w:bCs w:val="0"/>
          <w:szCs w:val="21"/>
          <w:lang w:val="en-US" w:eastAsia="zh-CN"/>
        </w:rPr>
        <w:t>并就</w:t>
      </w:r>
      <w:r>
        <w:rPr>
          <w:rFonts w:hint="eastAsia"/>
          <w:b w:val="0"/>
          <w:bCs w:val="0"/>
          <w:szCs w:val="21"/>
        </w:rPr>
        <w:t>提出的意见和建议</w:t>
      </w:r>
      <w:r>
        <w:rPr>
          <w:rFonts w:hint="eastAsia"/>
          <w:b w:val="0"/>
          <w:bCs w:val="0"/>
          <w:szCs w:val="21"/>
          <w:lang w:val="en-US" w:eastAsia="zh-CN"/>
        </w:rPr>
        <w:t>进行反馈和修改</w:t>
      </w:r>
      <w:r>
        <w:rPr>
          <w:rFonts w:hint="eastAsia"/>
          <w:b w:val="0"/>
          <w:bCs w:val="0"/>
          <w:szCs w:val="21"/>
        </w:rPr>
        <w:t>，在编制组中发挥了</w:t>
      </w:r>
      <w:r>
        <w:rPr>
          <w:rFonts w:hint="eastAsia"/>
          <w:b w:val="0"/>
          <w:bCs w:val="0"/>
          <w:szCs w:val="21"/>
          <w:lang w:val="en-US" w:eastAsia="zh-CN"/>
        </w:rPr>
        <w:t>主要带头</w:t>
      </w:r>
      <w:r>
        <w:rPr>
          <w:rFonts w:hint="eastAsia"/>
          <w:b w:val="0"/>
          <w:bCs w:val="0"/>
          <w:szCs w:val="21"/>
        </w:rPr>
        <w:t>作用。</w:t>
      </w:r>
    </w:p>
    <w:p w14:paraId="6220CB61">
      <w:pPr>
        <w:pStyle w:val="60"/>
        <w:numPr>
          <w:ilvl w:val="0"/>
          <w:numId w:val="0"/>
        </w:numPr>
        <w:spacing w:before="156" w:beforeLines="50" w:after="156" w:afterLines="50"/>
        <w:rPr>
          <w:b w:val="0"/>
          <w:bCs w:val="0"/>
          <w:color w:val="auto"/>
        </w:rPr>
      </w:pPr>
      <w:bookmarkStart w:id="5" w:name="_Toc464728901"/>
      <w:bookmarkStart w:id="6" w:name="_Toc462884345"/>
      <w:r>
        <w:rPr>
          <w:rFonts w:hint="eastAsia"/>
          <w:b w:val="0"/>
          <w:bCs w:val="0"/>
          <w:color w:val="auto"/>
        </w:rPr>
        <w:t>3.3成员单位简介</w:t>
      </w:r>
      <w:bookmarkEnd w:id="5"/>
      <w:bookmarkEnd w:id="6"/>
    </w:p>
    <w:p w14:paraId="053677B6">
      <w:pPr>
        <w:pStyle w:val="59"/>
        <w:numPr>
          <w:ilvl w:val="0"/>
          <w:numId w:val="0"/>
        </w:numPr>
        <w:spacing w:before="156" w:beforeLines="50" w:after="156" w:afterLines="50"/>
        <w:contextualSpacing/>
        <w:rPr>
          <w:rFonts w:hint="eastAsia"/>
          <w:b w:val="0"/>
          <w:bCs w:val="0"/>
          <w:szCs w:val="21"/>
          <w:lang w:val="en-US" w:eastAsia="zh-CN"/>
        </w:rPr>
      </w:pPr>
      <w:r>
        <w:rPr>
          <w:rFonts w:hint="eastAsia"/>
          <w:b w:val="0"/>
          <w:bCs w:val="0"/>
        </w:rPr>
        <w:t>3.3.</w:t>
      </w:r>
      <w:r>
        <w:rPr>
          <w:rFonts w:hint="eastAsia"/>
          <w:b w:val="0"/>
          <w:bCs w:val="0"/>
          <w:lang w:val="en-US" w:eastAsia="zh-CN"/>
        </w:rPr>
        <w:t>1</w:t>
      </w:r>
      <w:r>
        <w:rPr>
          <w:rFonts w:hint="eastAsia" w:ascii="Times New Roman"/>
          <w:b w:val="0"/>
          <w:bCs w:val="0"/>
        </w:rPr>
        <w:t xml:space="preserve">  </w:t>
      </w:r>
      <w:r>
        <w:rPr>
          <w:rFonts w:hint="eastAsia"/>
          <w:b w:val="0"/>
          <w:bCs w:val="0"/>
          <w:szCs w:val="21"/>
          <w:lang w:val="en-US" w:eastAsia="zh-CN"/>
        </w:rPr>
        <w:t>北京航空航天大学分析测试中心</w:t>
      </w:r>
    </w:p>
    <w:p w14:paraId="0DE5620D">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北京航空航天大学分析测试中心（The Analysis &amp; Testing Center, Beihang University）成立于2022年11月，定位为校级公共服务支撑平台，在资产与实验室管理处的业务指导和协调支持下，负责校内公共平台的运行、维护和开放共享，是一个集约化公共服务平台为中心、多个协同测试平台为支撑的综合测试服务平台。分析测试中心拥有120余台套仪器设备，资产总值约3.3亿元。分测中心按照“共建共享、发挥效益、有偿服务”的原则，分成“集约服务平台”和“协同服务平台”运行管理，通过建立物联网智能管理模式，对实验仪器进行购置、更新、保养、维护、使用的全生命流程管理，实现面向校内外用户的开放共享。集约服务平台放置通用分析测试设备，共有80余台套，其中单价500万以上仪器设备11台套，单价1000万以上仪器设备2台套，目前有场发射扫描透射电镜、双束显微镜、硬X射线近常压XPS、无损亚微米X射线分析仪、脉冲波谱仪、纳米飞行时间二次离子质谱仪、超高分辨率多级环形离子淌度质谱系统、极低温强磁场综合测量系统、超高分辨激光共聚焦荧光光谱仪等。</w:t>
      </w:r>
    </w:p>
    <w:p w14:paraId="26993F65">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协同服务平台由学院与分析测试中心协同建设和管理运行，放置特色专业分析测试设备，约有40台套，目前有双球差矫正透射电镜、原子分辨透射电镜、场发射电子探针显微分析仪、激光共焦拉曼光谱仪等。分析测试中心以显微结构分析、化学成分与结构分析、基础物理性能分析、材料力学性能分析等分析测试业务为核心，以新材料原位生长/超高时空分辨原位表征、多场环境下物理化学性质的分子级精准原位表征、极端条件物理特性分析表征等为特色，为学校物理、化学、材料、环境、电子、生医、医工、空环、机械、航空、宇航、力学、交通、能源动力、仪器光电、集成电路等学科，提供委托测试、协同测试和自行测试等多样化分析测试服务，同时面向全校学生开展实验类课程的实训及虚拟类实验课程、科研课堂、科普教学以及技能培训设计与开发。此外，中心定期组织学术交流活动，促进学校学科交叉融合。分析测试中心规划通过三年时间逐步建设、建成、建好，将是学校本科生及研究生的教学实践平台，是本科生实验类课程、科研课堂、毕业设计、学科竞赛、课外科技活动的重要基地。</w:t>
      </w:r>
    </w:p>
    <w:p w14:paraId="4935B015">
      <w:pPr>
        <w:spacing w:line="400" w:lineRule="exact"/>
        <w:ind w:firstLine="420" w:firstLineChars="200"/>
        <w:contextualSpacing/>
        <w:jc w:val="left"/>
        <w:rPr>
          <w:rFonts w:hint="eastAsia"/>
          <w:b w:val="0"/>
          <w:bCs w:val="0"/>
          <w:szCs w:val="21"/>
        </w:rPr>
      </w:pPr>
      <w:r>
        <w:rPr>
          <w:rFonts w:hint="eastAsia"/>
          <w:b w:val="0"/>
          <w:bCs w:val="0"/>
          <w:szCs w:val="21"/>
          <w:lang w:val="en-US" w:eastAsia="zh-CN"/>
        </w:rPr>
        <w:t>北京航空航天大学分析测试中心积极参加新立项校准规范，配合制定校准规范中各项参数的规范，并承担验证工作。</w:t>
      </w:r>
    </w:p>
    <w:p w14:paraId="0E19BB5F">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szCs w:val="21"/>
          <w:lang w:val="en-US" w:eastAsia="zh-CN"/>
        </w:rPr>
        <w:t>耐驰科学仪器商贸（上海）有限公司</w:t>
      </w:r>
    </w:p>
    <w:p w14:paraId="3DD3D997">
      <w:pPr>
        <w:spacing w:line="400" w:lineRule="exact"/>
        <w:ind w:firstLine="420" w:firstLineChars="200"/>
        <w:contextualSpacing/>
        <w:jc w:val="left"/>
        <w:rPr>
          <w:rFonts w:hint="eastAsia"/>
          <w:b w:val="0"/>
          <w:bCs w:val="0"/>
          <w:szCs w:val="21"/>
          <w:lang w:eastAsia="zh-CN"/>
        </w:rPr>
      </w:pPr>
      <w:r>
        <w:rPr>
          <w:rFonts w:hint="eastAsia"/>
          <w:b w:val="0"/>
          <w:bCs w:val="0"/>
          <w:szCs w:val="21"/>
          <w:lang w:val="en-US" w:eastAsia="zh-CN"/>
        </w:rPr>
        <w:t>德国耐驰（NETZSCH），总部位于德国Selb，是热分析、热物性测量与旋转流变仪器的专业厂商，致力于研发多功能、高灵敏度、高可靠性的热分析仪器与流变仪，广泛适用于材料研发、质量控制、失效分析等。德国耐驰在全球37个国家设立了130个销售和制造中心，超过3000名员工保证为客户提供及时快捷的专业服务。现拥有多项专利技术，多次获得全球重大科学技术革新大奖。</w:t>
      </w:r>
    </w:p>
    <w:p w14:paraId="18374AD4">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进入中国二十多年来，耐驰在上海、北京、广州、成都等多个城市设立了分支机构和技术服务中心，并且在上海设立了应用实验室以及备件仓库，为客户提供强大的技术支持和完善的售后服务。除丰富的产品外，耐驰还为中国用户定制了中文版的操作和分析软件、中文操作说明书以及中文应用资料。耐驰的技术专家每年定期举办用户交流会和技术讲座，并根据用户需求提供定制化高级应用培训。迄今，耐驰仪器在国内已拥有数千家用户，遍布工业领域的研发及质量检验部门，各知名高校研究所，国家权威产品检验部门及国防前沿材料研究领域的国家重点实验室等。</w:t>
      </w:r>
    </w:p>
    <w:p w14:paraId="07BEEAA8">
      <w:pPr>
        <w:spacing w:line="400" w:lineRule="exact"/>
        <w:ind w:firstLine="420" w:firstLineChars="200"/>
        <w:contextualSpacing/>
        <w:jc w:val="left"/>
        <w:rPr>
          <w:rFonts w:hint="eastAsia"/>
          <w:b w:val="0"/>
          <w:bCs w:val="0"/>
          <w:szCs w:val="21"/>
          <w:lang w:val="en-US" w:eastAsia="zh-CN"/>
        </w:rPr>
      </w:pPr>
      <w:r>
        <w:rPr>
          <w:rFonts w:hint="eastAsia" w:eastAsia="宋体"/>
          <w:b w:val="0"/>
          <w:bCs w:val="0"/>
          <w:szCs w:val="21"/>
          <w:lang w:val="en-US" w:eastAsia="zh-CN"/>
        </w:rPr>
        <w:t>耐驰科学仪器商贸（上海）有限公司</w:t>
      </w:r>
      <w:r>
        <w:rPr>
          <w:rFonts w:hint="eastAsia"/>
          <w:b w:val="0"/>
          <w:bCs w:val="0"/>
          <w:szCs w:val="21"/>
          <w:lang w:val="en-US" w:eastAsia="zh-CN"/>
        </w:rPr>
        <w:t>积极参加新立项校准规范，配合制定校准规范中各项参数的规范，并承担验证工作。</w:t>
      </w:r>
    </w:p>
    <w:p w14:paraId="0CD33B0C">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szCs w:val="21"/>
          <w:lang w:val="en-US" w:eastAsia="zh-CN"/>
        </w:rPr>
        <w:t>中国船舶集团有限公司第七二五研究所</w:t>
      </w:r>
    </w:p>
    <w:p w14:paraId="042FB4DC">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船舶集团有限公司第七二五研究所是一个隶属于中国船舶集团有限公司的军工科研事业单位，成立于1961年。该所以专业从事舰船材料与工艺及应用性研究为主，拥有丰富的科研经验和强大的研发能力。七二五所下设8个研究室，包括1个国家级腐蚀与防护国防科技重点实验室和1个国防科技工业大型构件焊接技术中心，以及4个国家级海水环境试验站和11个科技产业公司。其研究领域广泛，包括船体结构材料研究、有色金属研究、非金属材料研究、腐蚀与防护研究、特种材料研究、焊接工艺研究、自然环境试验研究等。</w:t>
      </w:r>
    </w:p>
    <w:p w14:paraId="020B294F">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中国船舶集团有限公司积极参加新立项校准规范，配合制定校准规范中各项参数的规范，并承担验证工作。</w:t>
      </w:r>
    </w:p>
    <w:p w14:paraId="1BDB93E1">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val="en-US" w:eastAsia="zh-CN"/>
        </w:rPr>
        <w:t>中国科学院宁波材料技术与工程研究所</w:t>
      </w:r>
    </w:p>
    <w:p w14:paraId="4A67D0F0">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科学院宁波材料技术与工程研究所建于2004年4月，围绕“材料研究”，先后布局了材料技术、材料+制造、材料+能源、材料+医工4大领域。经过20多年的努力，已成为新材料及相关领域的重要研究基地和技术提供者。根据研究所科研布局及区域新材料产业分布特点，于2007年建立了公共技术中心（简称中心）。中心于2009年通过了国家计量认证（CMA）和实验室认可（CNAS），现集中了用于材料科学研究的大型精密仪器250余台套，价值5亿元，具备材料成分、结构、性能、使役特性等全方位的评估评价能力。近来年中心承担了国家发改委、工信部、海洋局等重大平台建设项目，以及对区域科技型企业的优秀支持，被评为国家级中小企业服务平台，国家级小巨人公共服务平台，已成为支撑研究所科研和区域科技创新的重要服务平台。</w:t>
      </w:r>
    </w:p>
    <w:p w14:paraId="69EA9C57">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中国科学院宁波材料技术与工程研究所积极参加新立项校准规范，配合制定校准规范中各项参数的规范，并承担验证工作。</w:t>
      </w:r>
    </w:p>
    <w:p w14:paraId="04A38A58">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szCs w:val="21"/>
          <w:lang w:val="en-US" w:eastAsia="zh-CN"/>
        </w:rPr>
        <w:t>国合通用（青岛）测试评价股份有限公司</w:t>
      </w:r>
    </w:p>
    <w:p w14:paraId="170CA019">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国合通用（青岛）测试评价有限公司是承担国家新材料测试评价平台-主中心项目的国合通用测试评价认证股份公司（以下简称“国合通测”）的全资子公司，是国务院国资委直属央企有研科技集团有限公司（以下简称“有研集团”）的三级子公司。目前拥有化学分析、性能测试、组织结构和无损检测四个专业实验室，逐步建设汽车整车及零部件实验室、轨道交通实验室、船舶与海洋工程实验室、环境实验室、食品实验室、纺织品实验室等专业实验室，重点对汽车、轨道交通、船舶、海洋工程等行业提供第三方检测服务，同时开展材料失效分析、应用评价、产品认证、专业技能培训等业务。</w:t>
      </w:r>
    </w:p>
    <w:p w14:paraId="44001515">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国合通用（青岛）测试评价有限公司积极参加新立项校准规范，配合制定校准规范中各项参数的规范，并承担验证工作。</w:t>
      </w:r>
    </w:p>
    <w:p w14:paraId="1F9FAD2F">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szCs w:val="21"/>
          <w:lang w:val="en-US" w:eastAsia="zh-CN"/>
        </w:rPr>
        <w:t>中国汽车技术研究中心有限公司</w:t>
      </w:r>
    </w:p>
    <w:p w14:paraId="79DA0141">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中国汽车技术研究中心有限公司</w:t>
      </w:r>
    </w:p>
    <w:p w14:paraId="0E4C0F48">
      <w:pPr>
        <w:spacing w:line="400" w:lineRule="exact"/>
        <w:contextualSpacing/>
        <w:jc w:val="left"/>
        <w:rPr>
          <w:rFonts w:hint="eastAsia"/>
          <w:b w:val="0"/>
          <w:bCs w:val="0"/>
          <w:szCs w:val="21"/>
          <w:lang w:val="en-US" w:eastAsia="zh-CN"/>
        </w:rPr>
      </w:pPr>
    </w:p>
    <w:p w14:paraId="1CA26D8A">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7" w:name="_Toc462884347"/>
      <w:bookmarkStart w:id="8" w:name="_Toc464728903"/>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14:paraId="35305676">
      <w:pPr>
        <w:pStyle w:val="59"/>
        <w:numPr>
          <w:ilvl w:val="3"/>
          <w:numId w:val="0"/>
        </w:numPr>
        <w:spacing w:before="156" w:beforeLines="50" w:after="156" w:afterLines="50"/>
        <w:ind w:left="2" w:leftChars="0" w:firstLine="396" w:firstLineChars="200"/>
        <w:contextualSpacing/>
        <w:rPr>
          <w:rFonts w:hint="eastAsia" w:ascii="宋体" w:hAnsi="宋体" w:eastAsia="宋体" w:cs="宋体"/>
          <w:b w:val="0"/>
          <w:bCs w:val="0"/>
          <w:color w:val="auto"/>
          <w:kern w:val="2"/>
          <w:sz w:val="21"/>
          <w:szCs w:val="21"/>
          <w:highlight w:val="none"/>
          <w:lang w:val="en-US" w:eastAsia="zh-CN"/>
        </w:rPr>
      </w:pPr>
      <w:r>
        <w:rPr>
          <w:rFonts w:hint="eastAsia" w:ascii="Times New Roman" w:hAnsi="Times New Roman" w:eastAsia="宋体" w:cs="Times New Roman"/>
          <w:sz w:val="21"/>
          <w:szCs w:val="21"/>
          <w:lang w:val="en-US" w:eastAsia="zh-CN"/>
        </w:rPr>
        <w:t>编制组依据各单位情况，对整个规范的起草进行了分工。</w:t>
      </w:r>
      <w:r>
        <w:rPr>
          <w:rFonts w:hint="eastAsia" w:eastAsia="宋体"/>
          <w:b w:val="0"/>
          <w:bCs w:val="0"/>
          <w:szCs w:val="21"/>
          <w:lang w:val="en-US" w:eastAsia="zh-CN"/>
        </w:rPr>
        <w:t>国标（北京）检验认证有限公司</w:t>
      </w:r>
      <w:r>
        <w:rPr>
          <w:rFonts w:hint="default" w:ascii="宋体" w:hAnsi="宋体" w:eastAsia="宋体" w:cs="宋体"/>
          <w:b w:val="0"/>
          <w:bCs w:val="0"/>
          <w:color w:val="auto"/>
          <w:kern w:val="2"/>
          <w:sz w:val="21"/>
          <w:szCs w:val="21"/>
          <w:highlight w:val="none"/>
          <w:lang w:val="en-US" w:eastAsia="zh-CN"/>
        </w:rPr>
        <w:t>负责</w:t>
      </w:r>
      <w:r>
        <w:rPr>
          <w:rFonts w:hint="eastAsia" w:ascii="宋体" w:hAnsi="宋体" w:eastAsia="宋体" w:cs="宋体"/>
          <w:b w:val="0"/>
          <w:bCs w:val="0"/>
          <w:color w:val="auto"/>
          <w:kern w:val="2"/>
          <w:sz w:val="21"/>
          <w:szCs w:val="21"/>
          <w:highlight w:val="none"/>
          <w:lang w:val="en-US" w:eastAsia="zh-CN"/>
        </w:rPr>
        <w:t>资料的调研、</w:t>
      </w:r>
      <w:r>
        <w:rPr>
          <w:rFonts w:hint="default" w:ascii="宋体" w:hAnsi="宋体" w:eastAsia="宋体" w:cs="宋体"/>
          <w:b w:val="0"/>
          <w:bCs w:val="0"/>
          <w:color w:val="auto"/>
          <w:kern w:val="2"/>
          <w:sz w:val="21"/>
          <w:szCs w:val="21"/>
          <w:highlight w:val="none"/>
          <w:lang w:val="en-US" w:eastAsia="zh-CN"/>
        </w:rPr>
        <w:t>收集，完成分析方法研究工作，撰写标准文稿、编制说明和研究报告</w:t>
      </w:r>
      <w:r>
        <w:rPr>
          <w:rFonts w:hint="eastAsia" w:ascii="宋体" w:hAnsi="宋体" w:eastAsia="宋体" w:cs="宋体"/>
          <w:b w:val="0"/>
          <w:bCs w:val="0"/>
          <w:color w:val="auto"/>
          <w:kern w:val="2"/>
          <w:sz w:val="21"/>
          <w:szCs w:val="21"/>
          <w:highlight w:val="none"/>
          <w:lang w:val="en-US" w:eastAsia="zh-CN"/>
        </w:rPr>
        <w:t>。北京航空航天大学测试中心、耐驰科学仪器商贸（上海）有限公司、中国船舶集团有限公司第七二五研究所、中国科学院宁波材料技术与工程研究所、国合通用（青岛）测试评价股份有限公司、中国汽车技术研究中心有限公司等</w:t>
      </w:r>
      <w:r>
        <w:rPr>
          <w:rFonts w:hint="eastAsia" w:ascii="Times New Roman" w:hAnsi="Times New Roman" w:eastAsia="宋体" w:cs="Times New Roman"/>
          <w:sz w:val="21"/>
          <w:szCs w:val="21"/>
          <w:lang w:val="en-US" w:eastAsia="zh-CN"/>
        </w:rPr>
        <w:t>对规范内容提出具体修改意见，</w:t>
      </w:r>
      <w:r>
        <w:rPr>
          <w:rFonts w:hint="default" w:ascii="宋体" w:hAnsi="宋体" w:eastAsia="宋体" w:cs="宋体"/>
          <w:b w:val="0"/>
          <w:bCs w:val="0"/>
          <w:color w:val="auto"/>
          <w:kern w:val="2"/>
          <w:sz w:val="21"/>
          <w:szCs w:val="21"/>
          <w:highlight w:val="none"/>
          <w:lang w:val="en-US" w:eastAsia="zh-CN"/>
        </w:rPr>
        <w:t>提供</w:t>
      </w:r>
      <w:r>
        <w:rPr>
          <w:rFonts w:hint="eastAsia" w:ascii="宋体" w:hAnsi="宋体" w:eastAsia="宋体" w:cs="宋体"/>
          <w:b w:val="0"/>
          <w:bCs w:val="0"/>
          <w:color w:val="auto"/>
          <w:kern w:val="2"/>
          <w:sz w:val="21"/>
          <w:szCs w:val="21"/>
          <w:highlight w:val="none"/>
          <w:lang w:val="en-US" w:eastAsia="zh-CN"/>
        </w:rPr>
        <w:t>对规范方法的验证工作及完成相应验证报告</w:t>
      </w:r>
      <w:r>
        <w:rPr>
          <w:rFonts w:hint="default" w:ascii="宋体" w:hAnsi="宋体" w:eastAsia="宋体" w:cs="宋体"/>
          <w:b w:val="0"/>
          <w:bCs w:val="0"/>
          <w:color w:val="auto"/>
          <w:kern w:val="2"/>
          <w:sz w:val="21"/>
          <w:szCs w:val="21"/>
          <w:highlight w:val="none"/>
          <w:lang w:val="en-US" w:eastAsia="zh-CN"/>
        </w:rPr>
        <w:t>，并对标准文稿等提出相应修改意见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14:paraId="6875DD3B">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218"/>
        <w:gridCol w:w="1178"/>
        <w:gridCol w:w="4069"/>
      </w:tblGrid>
      <w:tr w14:paraId="5A853F7D">
        <w:trPr>
          <w:jc w:val="center"/>
        </w:trPr>
        <w:tc>
          <w:tcPr>
            <w:tcW w:w="1618" w:type="pct"/>
            <w:noWrap w:val="0"/>
            <w:vAlign w:val="top"/>
          </w:tcPr>
          <w:p w14:paraId="6FA11AC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637" w:type="pct"/>
            <w:noWrap w:val="0"/>
            <w:vAlign w:val="top"/>
          </w:tcPr>
          <w:p w14:paraId="0B022E8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616" w:type="pct"/>
            <w:noWrap w:val="0"/>
            <w:vAlign w:val="top"/>
          </w:tcPr>
          <w:p w14:paraId="635D796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职称</w:t>
            </w:r>
          </w:p>
        </w:tc>
        <w:tc>
          <w:tcPr>
            <w:tcW w:w="2127" w:type="pct"/>
            <w:noWrap w:val="0"/>
            <w:vAlign w:val="top"/>
          </w:tcPr>
          <w:p w14:paraId="6F25BDF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4D53D518">
        <w:trPr>
          <w:jc w:val="center"/>
        </w:trPr>
        <w:tc>
          <w:tcPr>
            <w:tcW w:w="1618" w:type="pct"/>
            <w:noWrap w:val="0"/>
            <w:vAlign w:val="center"/>
          </w:tcPr>
          <w:p w14:paraId="62D0D5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国标（北京）检验认证有限公司</w:t>
            </w:r>
          </w:p>
        </w:tc>
        <w:tc>
          <w:tcPr>
            <w:tcW w:w="637" w:type="pct"/>
            <w:noWrap w:val="0"/>
            <w:vAlign w:val="center"/>
          </w:tcPr>
          <w:p w14:paraId="073434F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钟赢葆</w:t>
            </w:r>
          </w:p>
        </w:tc>
        <w:tc>
          <w:tcPr>
            <w:tcW w:w="616" w:type="pct"/>
            <w:noWrap w:val="0"/>
            <w:vAlign w:val="center"/>
          </w:tcPr>
          <w:p w14:paraId="71BD95C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tc>
        <w:tc>
          <w:tcPr>
            <w:tcW w:w="2127" w:type="pct"/>
            <w:noWrap w:val="0"/>
            <w:vAlign w:val="top"/>
          </w:tcPr>
          <w:p w14:paraId="6D26C6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177E5349">
        <w:trPr>
          <w:jc w:val="center"/>
        </w:trPr>
        <w:tc>
          <w:tcPr>
            <w:tcW w:w="1618" w:type="pct"/>
            <w:noWrap w:val="0"/>
            <w:vAlign w:val="top"/>
          </w:tcPr>
          <w:p w14:paraId="7815E36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p>
        </w:tc>
        <w:tc>
          <w:tcPr>
            <w:tcW w:w="637" w:type="pct"/>
            <w:noWrap w:val="0"/>
            <w:vAlign w:val="center"/>
          </w:tcPr>
          <w:p w14:paraId="54AE804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cs="Times New Roman"/>
                <w:b w:val="0"/>
                <w:color w:val="auto"/>
                <w:kern w:val="2"/>
                <w:sz w:val="21"/>
                <w:szCs w:val="21"/>
                <w:vertAlign w:val="baseline"/>
                <w:lang w:val="en-US" w:eastAsia="zh-CN" w:bidi="ar-SA"/>
              </w:rPr>
            </w:pPr>
          </w:p>
        </w:tc>
        <w:tc>
          <w:tcPr>
            <w:tcW w:w="616" w:type="pct"/>
            <w:noWrap w:val="0"/>
            <w:vAlign w:val="top"/>
          </w:tcPr>
          <w:p w14:paraId="4277F63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top"/>
          </w:tcPr>
          <w:p w14:paraId="3E8EFE7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14:paraId="5F2B810B">
        <w:trPr>
          <w:jc w:val="center"/>
        </w:trPr>
        <w:tc>
          <w:tcPr>
            <w:tcW w:w="1618" w:type="pct"/>
            <w:noWrap w:val="0"/>
            <w:vAlign w:val="top"/>
          </w:tcPr>
          <w:p w14:paraId="2AA3AAA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p>
        </w:tc>
        <w:tc>
          <w:tcPr>
            <w:tcW w:w="637" w:type="pct"/>
            <w:noWrap w:val="0"/>
            <w:vAlign w:val="center"/>
          </w:tcPr>
          <w:p w14:paraId="7F4DE7B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eastAsia="宋体" w:cs="Times New Roman"/>
                <w:b w:val="0"/>
                <w:color w:val="auto"/>
                <w:kern w:val="2"/>
                <w:sz w:val="21"/>
                <w:szCs w:val="21"/>
                <w:lang w:val="en-US" w:eastAsia="zh-CN" w:bidi="ar-SA"/>
              </w:rPr>
            </w:pPr>
          </w:p>
        </w:tc>
        <w:tc>
          <w:tcPr>
            <w:tcW w:w="616" w:type="pct"/>
            <w:noWrap w:val="0"/>
            <w:vAlign w:val="center"/>
          </w:tcPr>
          <w:p w14:paraId="11CDDAC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38BC250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2DC50C97">
        <w:trPr>
          <w:trHeight w:val="389" w:hRule="atLeast"/>
          <w:jc w:val="center"/>
        </w:trPr>
        <w:tc>
          <w:tcPr>
            <w:tcW w:w="1618" w:type="pct"/>
            <w:noWrap w:val="0"/>
            <w:vAlign w:val="top"/>
          </w:tcPr>
          <w:p w14:paraId="24F71CD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p>
        </w:tc>
        <w:tc>
          <w:tcPr>
            <w:tcW w:w="637" w:type="pct"/>
            <w:noWrap w:val="0"/>
            <w:vAlign w:val="center"/>
          </w:tcPr>
          <w:p w14:paraId="1BB6FF0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lang w:val="en-US" w:eastAsia="zh-CN" w:bidi="ar-SA"/>
              </w:rPr>
            </w:pPr>
          </w:p>
        </w:tc>
        <w:tc>
          <w:tcPr>
            <w:tcW w:w="616" w:type="pct"/>
            <w:noWrap w:val="0"/>
            <w:vAlign w:val="center"/>
          </w:tcPr>
          <w:p w14:paraId="1A6A085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2A38005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17D989DA">
        <w:trPr>
          <w:jc w:val="center"/>
        </w:trPr>
        <w:tc>
          <w:tcPr>
            <w:tcW w:w="1618" w:type="pct"/>
            <w:noWrap w:val="0"/>
            <w:vAlign w:val="top"/>
          </w:tcPr>
          <w:p w14:paraId="7531200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p>
        </w:tc>
        <w:tc>
          <w:tcPr>
            <w:tcW w:w="637" w:type="pct"/>
            <w:noWrap w:val="0"/>
            <w:vAlign w:val="center"/>
          </w:tcPr>
          <w:p w14:paraId="7B86B48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cs="Times New Roman"/>
                <w:b w:val="0"/>
                <w:color w:val="auto"/>
                <w:kern w:val="2"/>
                <w:sz w:val="21"/>
                <w:szCs w:val="21"/>
                <w:vertAlign w:val="baseline"/>
                <w:lang w:val="en-US" w:eastAsia="zh-CN" w:bidi="ar-SA"/>
              </w:rPr>
            </w:pPr>
          </w:p>
        </w:tc>
        <w:tc>
          <w:tcPr>
            <w:tcW w:w="616" w:type="pct"/>
            <w:noWrap w:val="0"/>
            <w:vAlign w:val="center"/>
          </w:tcPr>
          <w:p w14:paraId="3F2A6D1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05D5D6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6B40FB54">
        <w:trPr>
          <w:jc w:val="center"/>
        </w:trPr>
        <w:tc>
          <w:tcPr>
            <w:tcW w:w="1618" w:type="pct"/>
            <w:noWrap w:val="0"/>
            <w:vAlign w:val="top"/>
          </w:tcPr>
          <w:p w14:paraId="3958F1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sz w:val="21"/>
                <w:szCs w:val="21"/>
                <w:highlight w:val="none"/>
                <w:lang w:val="en-US" w:eastAsia="zh-CN"/>
              </w:rPr>
            </w:pPr>
          </w:p>
        </w:tc>
        <w:tc>
          <w:tcPr>
            <w:tcW w:w="637" w:type="pct"/>
            <w:noWrap w:val="0"/>
            <w:vAlign w:val="center"/>
          </w:tcPr>
          <w:p w14:paraId="572D04A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vertAlign w:val="baseline"/>
                <w:lang w:val="en-US" w:eastAsia="zh-CN" w:bidi="ar-SA"/>
              </w:rPr>
            </w:pPr>
          </w:p>
        </w:tc>
        <w:tc>
          <w:tcPr>
            <w:tcW w:w="616" w:type="pct"/>
            <w:noWrap w:val="0"/>
            <w:vAlign w:val="center"/>
          </w:tcPr>
          <w:p w14:paraId="190519D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3733E5B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6C96BC3A">
        <w:trPr>
          <w:jc w:val="center"/>
        </w:trPr>
        <w:tc>
          <w:tcPr>
            <w:tcW w:w="1618" w:type="pct"/>
            <w:noWrap w:val="0"/>
            <w:vAlign w:val="center"/>
          </w:tcPr>
          <w:p w14:paraId="4E6D32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p>
        </w:tc>
        <w:tc>
          <w:tcPr>
            <w:tcW w:w="637" w:type="pct"/>
            <w:noWrap w:val="0"/>
            <w:vAlign w:val="center"/>
          </w:tcPr>
          <w:p w14:paraId="4FC5A01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宋体" w:hAnsi="宋体" w:cs="宋体"/>
                <w:b w:val="0"/>
                <w:bCs w:val="0"/>
                <w:color w:val="auto"/>
                <w:kern w:val="2"/>
                <w:sz w:val="21"/>
                <w:szCs w:val="21"/>
                <w:lang w:val="en-US" w:eastAsia="zh-CN"/>
              </w:rPr>
            </w:pPr>
          </w:p>
        </w:tc>
        <w:tc>
          <w:tcPr>
            <w:tcW w:w="616" w:type="pct"/>
            <w:noWrap w:val="0"/>
            <w:vAlign w:val="center"/>
          </w:tcPr>
          <w:p w14:paraId="51A0F96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noWrap w:val="0"/>
            <w:vAlign w:val="center"/>
          </w:tcPr>
          <w:p w14:paraId="10FC709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实验方案讨论，内容审阅并提出修改意见</w:t>
            </w:r>
          </w:p>
        </w:tc>
      </w:tr>
      <w:tr w14:paraId="5244DD68">
        <w:trPr>
          <w:jc w:val="center"/>
        </w:trPr>
        <w:tc>
          <w:tcPr>
            <w:tcW w:w="1618" w:type="pct"/>
            <w:shd w:val="clear" w:color="auto" w:fill="auto"/>
            <w:noWrap w:val="0"/>
            <w:vAlign w:val="center"/>
          </w:tcPr>
          <w:p w14:paraId="691FC40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p>
        </w:tc>
        <w:tc>
          <w:tcPr>
            <w:tcW w:w="637" w:type="pct"/>
            <w:shd w:val="clear" w:color="auto" w:fill="auto"/>
            <w:noWrap w:val="0"/>
            <w:vAlign w:val="center"/>
          </w:tcPr>
          <w:p w14:paraId="090A575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p>
        </w:tc>
        <w:tc>
          <w:tcPr>
            <w:tcW w:w="616" w:type="pct"/>
            <w:shd w:val="clear" w:color="auto" w:fill="auto"/>
            <w:noWrap w:val="0"/>
            <w:vAlign w:val="center"/>
          </w:tcPr>
          <w:p w14:paraId="3D99618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shd w:val="clear" w:color="auto" w:fill="auto"/>
            <w:noWrap w:val="0"/>
            <w:vAlign w:val="center"/>
          </w:tcPr>
          <w:p w14:paraId="0E5789D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16B3D6F8">
        <w:trPr>
          <w:jc w:val="center"/>
        </w:trPr>
        <w:tc>
          <w:tcPr>
            <w:tcW w:w="1618" w:type="pct"/>
            <w:shd w:val="clear" w:color="auto" w:fill="auto"/>
            <w:noWrap w:val="0"/>
            <w:vAlign w:val="top"/>
          </w:tcPr>
          <w:p w14:paraId="3141884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p>
        </w:tc>
        <w:tc>
          <w:tcPr>
            <w:tcW w:w="637" w:type="pct"/>
            <w:shd w:val="clear" w:color="auto" w:fill="auto"/>
            <w:noWrap w:val="0"/>
            <w:vAlign w:val="center"/>
          </w:tcPr>
          <w:p w14:paraId="0A634BB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lang w:val="en-US" w:eastAsia="zh-CN" w:bidi="ar-SA"/>
              </w:rPr>
            </w:pPr>
          </w:p>
        </w:tc>
        <w:tc>
          <w:tcPr>
            <w:tcW w:w="616" w:type="pct"/>
            <w:shd w:val="clear" w:color="auto" w:fill="auto"/>
            <w:noWrap w:val="0"/>
            <w:vAlign w:val="center"/>
          </w:tcPr>
          <w:p w14:paraId="1DA706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c>
          <w:tcPr>
            <w:tcW w:w="2127" w:type="pct"/>
            <w:shd w:val="clear" w:color="auto" w:fill="auto"/>
            <w:noWrap w:val="0"/>
            <w:vAlign w:val="center"/>
          </w:tcPr>
          <w:p w14:paraId="1351A1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bl>
    <w:p w14:paraId="5F1BADAA">
      <w:pPr>
        <w:pStyle w:val="58"/>
        <w:rPr>
          <w:rFonts w:hint="default"/>
          <w:lang w:val="en-US" w:eastAsia="zh-CN"/>
        </w:rPr>
      </w:pPr>
    </w:p>
    <w:bookmarkEnd w:id="7"/>
    <w:bookmarkEnd w:id="8"/>
    <w:p w14:paraId="3126F503">
      <w:pPr>
        <w:pStyle w:val="4"/>
        <w:spacing w:before="156" w:after="156"/>
        <w:rPr>
          <w:b w:val="0"/>
          <w:bCs w:val="0"/>
        </w:rPr>
      </w:pPr>
      <w:bookmarkStart w:id="9" w:name="_Toc462884357"/>
      <w:bookmarkStart w:id="10" w:name="_Toc464728913"/>
      <w:r>
        <w:rPr>
          <w:rFonts w:hint="eastAsia"/>
          <w:b w:val="0"/>
          <w:bCs w:val="0"/>
        </w:rPr>
        <w:t>4.主要工作过程</w:t>
      </w:r>
      <w:bookmarkEnd w:id="9"/>
      <w:bookmarkEnd w:id="10"/>
    </w:p>
    <w:p w14:paraId="4E957C5B">
      <w:pPr>
        <w:spacing w:line="400" w:lineRule="exact"/>
        <w:ind w:firstLine="420" w:firstLineChars="200"/>
        <w:rPr>
          <w:b w:val="0"/>
          <w:bCs w:val="0"/>
        </w:rPr>
      </w:pPr>
      <w:bookmarkStart w:id="11" w:name="_Hlk134448643"/>
      <w:r>
        <w:rPr>
          <w:rFonts w:hint="eastAsia" w:ascii="宋体" w:hAnsi="宋体" w:cs="宋体"/>
          <w:b w:val="0"/>
          <w:bCs w:val="0"/>
          <w:color w:val="auto"/>
          <w:kern w:val="2"/>
          <w:sz w:val="21"/>
          <w:szCs w:val="21"/>
          <w:lang w:val="en-US" w:eastAsia="zh-CN"/>
        </w:rPr>
        <w:t>国标（北京）检验认证有限公司</w:t>
      </w:r>
      <w:r>
        <w:rPr>
          <w:rFonts w:hint="eastAsia"/>
          <w:b w:val="0"/>
          <w:bCs w:val="0"/>
          <w:lang w:val="en-US" w:eastAsia="zh-CN"/>
        </w:rPr>
        <w:t>于2025年7月</w:t>
      </w:r>
      <w:r>
        <w:rPr>
          <w:rFonts w:hint="eastAsia"/>
          <w:b w:val="0"/>
          <w:bCs w:val="0"/>
        </w:rPr>
        <w:t>接到有色金属行业计量技术委员会转发</w:t>
      </w:r>
      <w:r>
        <w:rPr>
          <w:rFonts w:hint="eastAsia"/>
          <w:b w:val="0"/>
          <w:bCs w:val="0"/>
          <w:lang w:val="en-US" w:eastAsia="zh-CN"/>
        </w:rPr>
        <w:t>的</w:t>
      </w:r>
      <w:r>
        <w:rPr>
          <w:rFonts w:hint="eastAsia"/>
          <w:b w:val="0"/>
          <w:bCs w:val="0"/>
        </w:rPr>
        <w:t>下达的制定任务后，成立了计量规范编制组，对计量技术规范编写工作进行了部署和分工，制定了</w:t>
      </w:r>
      <w:r>
        <w:rPr>
          <w:rFonts w:hint="eastAsia"/>
          <w:b w:val="0"/>
          <w:bCs w:val="0"/>
          <w:lang w:val="en-US" w:eastAsia="zh-CN"/>
        </w:rPr>
        <w:t>本规范的</w:t>
      </w:r>
      <w:r>
        <w:rPr>
          <w:rFonts w:hint="eastAsia"/>
          <w:b w:val="0"/>
          <w:bCs w:val="0"/>
        </w:rPr>
        <w:t>制定原则及工作计划。本项目主要工作过程经过了以下几个阶段：</w:t>
      </w:r>
    </w:p>
    <w:p w14:paraId="4FB712F9">
      <w:pPr>
        <w:spacing w:line="400" w:lineRule="exact"/>
        <w:ind w:firstLine="420" w:firstLineChars="200"/>
        <w:rPr>
          <w:b w:val="0"/>
          <w:bCs w:val="0"/>
        </w:rPr>
      </w:pPr>
      <w:r>
        <w:rPr>
          <w:b w:val="0"/>
          <w:bCs w:val="0"/>
        </w:rPr>
        <w:t>1</w:t>
      </w:r>
      <w:r>
        <w:rPr>
          <w:rFonts w:hint="eastAsia"/>
          <w:b w:val="0"/>
          <w:bCs w:val="0"/>
        </w:rPr>
        <w:t>）</w:t>
      </w:r>
      <w:r>
        <w:rPr>
          <w:b w:val="0"/>
          <w:bCs w:val="0"/>
        </w:rPr>
        <w:t>20</w:t>
      </w:r>
      <w:r>
        <w:rPr>
          <w:rFonts w:hint="eastAsia"/>
          <w:b w:val="0"/>
          <w:bCs w:val="0"/>
        </w:rPr>
        <w:t>2</w:t>
      </w:r>
      <w:r>
        <w:rPr>
          <w:rFonts w:hint="eastAsia"/>
          <w:b w:val="0"/>
          <w:bCs w:val="0"/>
          <w:lang w:val="en-US" w:eastAsia="zh-CN"/>
        </w:rPr>
        <w:t>5</w:t>
      </w:r>
      <w:r>
        <w:rPr>
          <w:rFonts w:hint="eastAsia"/>
          <w:b w:val="0"/>
          <w:bCs w:val="0"/>
        </w:rPr>
        <w:t>年</w:t>
      </w:r>
      <w:r>
        <w:rPr>
          <w:rFonts w:hint="eastAsia"/>
          <w:b w:val="0"/>
          <w:bCs w:val="0"/>
          <w:lang w:val="en-US" w:eastAsia="zh-CN"/>
        </w:rPr>
        <w:t>9</w:t>
      </w:r>
      <w:r>
        <w:rPr>
          <w:rFonts w:hint="eastAsia"/>
          <w:b w:val="0"/>
          <w:bCs w:val="0"/>
        </w:rPr>
        <w:t>月成立了计量规范编制组，明确了编制组成员各自的工作内容和任务。</w:t>
      </w:r>
    </w:p>
    <w:p w14:paraId="3117B2B9">
      <w:pPr>
        <w:spacing w:line="400" w:lineRule="exact"/>
        <w:ind w:firstLine="420" w:firstLineChars="200"/>
        <w:rPr>
          <w:b w:val="0"/>
          <w:bCs w:val="0"/>
        </w:rPr>
      </w:pPr>
      <w:r>
        <w:rPr>
          <w:b w:val="0"/>
          <w:bCs w:val="0"/>
        </w:rPr>
        <w:t>2</w:t>
      </w:r>
      <w:r>
        <w:rPr>
          <w:rFonts w:hint="eastAsia"/>
          <w:b w:val="0"/>
          <w:bCs w:val="0"/>
        </w:rPr>
        <w:t>）</w:t>
      </w:r>
      <w:r>
        <w:rPr>
          <w:b w:val="0"/>
          <w:bCs w:val="0"/>
        </w:rPr>
        <w:t>20</w:t>
      </w:r>
      <w:r>
        <w:rPr>
          <w:rFonts w:hint="eastAsia"/>
          <w:b w:val="0"/>
          <w:bCs w:val="0"/>
        </w:rPr>
        <w:t>2</w:t>
      </w:r>
      <w:r>
        <w:rPr>
          <w:rFonts w:hint="eastAsia"/>
          <w:b w:val="0"/>
          <w:bCs w:val="0"/>
          <w:lang w:val="en-US" w:eastAsia="zh-CN"/>
        </w:rPr>
        <w:t>5</w:t>
      </w:r>
      <w:r>
        <w:rPr>
          <w:rFonts w:hint="eastAsia"/>
          <w:b w:val="0"/>
          <w:bCs w:val="0"/>
        </w:rPr>
        <w:t>年</w:t>
      </w:r>
      <w:r>
        <w:rPr>
          <w:rFonts w:hint="eastAsia"/>
          <w:b w:val="0"/>
          <w:bCs w:val="0"/>
          <w:lang w:val="en-US" w:eastAsia="zh-CN"/>
        </w:rPr>
        <w:t>10</w:t>
      </w:r>
      <w:r>
        <w:rPr>
          <w:rFonts w:hint="eastAsia"/>
          <w:b w:val="0"/>
          <w:bCs w:val="0"/>
        </w:rPr>
        <w:t>月～202</w:t>
      </w:r>
      <w:r>
        <w:rPr>
          <w:rFonts w:hint="eastAsia"/>
          <w:b w:val="0"/>
          <w:bCs w:val="0"/>
          <w:lang w:val="en-US" w:eastAsia="zh-CN"/>
        </w:rPr>
        <w:t>6</w:t>
      </w:r>
      <w:r>
        <w:rPr>
          <w:rFonts w:hint="eastAsia"/>
          <w:b w:val="0"/>
          <w:bCs w:val="0"/>
        </w:rPr>
        <w:t>年</w:t>
      </w:r>
      <w:r>
        <w:rPr>
          <w:rFonts w:hint="eastAsia"/>
          <w:b w:val="0"/>
          <w:bCs w:val="0"/>
          <w:lang w:val="en-US" w:eastAsia="zh-CN"/>
        </w:rPr>
        <w:t>1</w:t>
      </w:r>
      <w:r>
        <w:rPr>
          <w:rFonts w:hint="eastAsia"/>
          <w:b w:val="0"/>
          <w:bCs w:val="0"/>
        </w:rPr>
        <w:t>月</w:t>
      </w:r>
      <w:r>
        <w:rPr>
          <w:rFonts w:hint="eastAsia"/>
          <w:b w:val="0"/>
          <w:bCs w:val="0"/>
          <w:lang w:eastAsia="zh-CN"/>
        </w:rPr>
        <w:t>，</w:t>
      </w:r>
      <w:r>
        <w:rPr>
          <w:rFonts w:hint="eastAsia"/>
          <w:b w:val="0"/>
          <w:bCs w:val="0"/>
        </w:rPr>
        <w:t>编制组成员对</w:t>
      </w:r>
      <w:r>
        <w:rPr>
          <w:rFonts w:hint="eastAsia"/>
          <w:b w:val="0"/>
          <w:bCs w:val="0"/>
          <w:lang w:eastAsia="zh-CN"/>
        </w:rPr>
        <w:t>《</w:t>
      </w:r>
      <w:r>
        <w:rPr>
          <w:rFonts w:hint="eastAsia"/>
          <w:b w:val="0"/>
          <w:bCs w:val="0"/>
          <w:lang w:val="en-US" w:eastAsia="zh-CN"/>
        </w:rPr>
        <w:t>动态热机械分析仪</w:t>
      </w:r>
      <w:r>
        <w:rPr>
          <w:rFonts w:hint="eastAsia"/>
          <w:b w:val="0"/>
          <w:bCs w:val="0"/>
        </w:rPr>
        <w:t>校准规范</w:t>
      </w:r>
      <w:r>
        <w:rPr>
          <w:rFonts w:hint="eastAsia"/>
          <w:b w:val="0"/>
          <w:bCs w:val="0"/>
          <w:lang w:eastAsia="zh-CN"/>
        </w:rPr>
        <w:t>》</w:t>
      </w:r>
      <w:r>
        <w:rPr>
          <w:rFonts w:hint="eastAsia"/>
          <w:b w:val="0"/>
          <w:bCs w:val="0"/>
        </w:rPr>
        <w:t>中的计量特性及校准方法进行了讨论，确定了校准项目和方法，在</w:t>
      </w:r>
      <w:r>
        <w:rPr>
          <w:b w:val="0"/>
          <w:bCs w:val="0"/>
        </w:rPr>
        <w:t>202</w:t>
      </w:r>
      <w:r>
        <w:rPr>
          <w:rFonts w:hint="eastAsia"/>
          <w:b w:val="0"/>
          <w:bCs w:val="0"/>
          <w:lang w:val="en-US" w:eastAsia="zh-CN"/>
        </w:rPr>
        <w:t>6</w:t>
      </w:r>
      <w:r>
        <w:rPr>
          <w:rFonts w:hint="eastAsia"/>
          <w:b w:val="0"/>
          <w:bCs w:val="0"/>
        </w:rPr>
        <w:t>年</w:t>
      </w:r>
      <w:r>
        <w:rPr>
          <w:rFonts w:hint="eastAsia"/>
          <w:b w:val="0"/>
          <w:bCs w:val="0"/>
          <w:lang w:val="en-US" w:eastAsia="zh-CN"/>
        </w:rPr>
        <w:t>1</w:t>
      </w:r>
      <w:r>
        <w:rPr>
          <w:rFonts w:hint="eastAsia"/>
          <w:b w:val="0"/>
          <w:bCs w:val="0"/>
        </w:rPr>
        <w:t>月形成了计量规范讨论稿。</w:t>
      </w:r>
    </w:p>
    <w:p w14:paraId="6FBC0613">
      <w:pPr>
        <w:spacing w:line="400" w:lineRule="exact"/>
        <w:ind w:firstLine="420" w:firstLineChars="200"/>
        <w:rPr>
          <w:rFonts w:hint="eastAsia"/>
          <w:b w:val="0"/>
          <w:bCs w:val="0"/>
          <w:szCs w:val="21"/>
          <w:highlight w:val="none"/>
          <w:lang w:eastAsia="zh-CN"/>
        </w:rPr>
      </w:pPr>
      <w:r>
        <w:rPr>
          <w:rFonts w:hint="eastAsia"/>
          <w:b w:val="0"/>
          <w:bCs w:val="0"/>
        </w:rPr>
        <w:t>3）202</w:t>
      </w:r>
      <w:r>
        <w:rPr>
          <w:rFonts w:hint="eastAsia"/>
          <w:b w:val="0"/>
          <w:bCs w:val="0"/>
          <w:lang w:val="en-US" w:eastAsia="zh-CN"/>
        </w:rPr>
        <w:t>6</w:t>
      </w:r>
      <w:r>
        <w:rPr>
          <w:rFonts w:hint="eastAsia"/>
          <w:b w:val="0"/>
          <w:bCs w:val="0"/>
        </w:rPr>
        <w:t>年</w:t>
      </w:r>
      <w:r>
        <w:rPr>
          <w:rFonts w:hint="eastAsia"/>
          <w:b w:val="0"/>
          <w:bCs w:val="0"/>
          <w:lang w:val="en-US" w:eastAsia="zh-CN"/>
        </w:rPr>
        <w:t>1</w:t>
      </w:r>
      <w:r>
        <w:rPr>
          <w:rFonts w:hint="eastAsia"/>
          <w:b w:val="0"/>
          <w:bCs w:val="0"/>
        </w:rPr>
        <w:t>月</w:t>
      </w:r>
      <w:r>
        <w:rPr>
          <w:rFonts w:hint="eastAsia"/>
          <w:b w:val="0"/>
          <w:bCs w:val="0"/>
          <w:lang w:val="en-US" w:eastAsia="zh-CN"/>
        </w:rPr>
        <w:t>22</w:t>
      </w:r>
      <w:r>
        <w:rPr>
          <w:rFonts w:hint="eastAsia"/>
          <w:b w:val="0"/>
          <w:bCs w:val="0"/>
        </w:rPr>
        <w:t>日~</w:t>
      </w:r>
      <w:r>
        <w:rPr>
          <w:rFonts w:hint="eastAsia"/>
          <w:b w:val="0"/>
          <w:bCs w:val="0"/>
          <w:lang w:val="en-US" w:eastAsia="zh-CN"/>
        </w:rPr>
        <w:t>23</w:t>
      </w:r>
      <w:r>
        <w:rPr>
          <w:rFonts w:hint="eastAsia"/>
          <w:b w:val="0"/>
          <w:bCs w:val="0"/>
        </w:rPr>
        <w:t>日，在</w:t>
      </w:r>
      <w:r>
        <w:rPr>
          <w:rFonts w:hint="eastAsia"/>
          <w:b w:val="0"/>
          <w:bCs w:val="0"/>
          <w:lang w:val="en-US" w:eastAsia="zh-CN"/>
        </w:rPr>
        <w:t>汕头</w:t>
      </w:r>
      <w:r>
        <w:rPr>
          <w:rFonts w:hint="eastAsia"/>
          <w:b w:val="0"/>
          <w:bCs w:val="0"/>
        </w:rPr>
        <w:t>市召开有色金属计量技术规范研讨会，</w:t>
      </w:r>
      <w:r>
        <w:rPr>
          <w:rFonts w:hint="eastAsia"/>
          <w:b w:val="0"/>
          <w:bCs w:val="0"/>
          <w:szCs w:val="21"/>
        </w:rPr>
        <w:t>会上对《</w:t>
      </w:r>
      <w:r>
        <w:rPr>
          <w:rFonts w:hint="eastAsia"/>
          <w:b w:val="0"/>
          <w:bCs w:val="0"/>
          <w:lang w:val="en-US" w:eastAsia="zh-CN"/>
        </w:rPr>
        <w:t>动态热机械分析仪</w:t>
      </w:r>
      <w:r>
        <w:rPr>
          <w:rFonts w:hint="eastAsia" w:hAnsi="宋体"/>
          <w:b w:val="0"/>
          <w:bCs w:val="0"/>
          <w:szCs w:val="21"/>
        </w:rPr>
        <w:t>校准规范</w:t>
      </w:r>
      <w:r>
        <w:rPr>
          <w:rFonts w:hint="eastAsia"/>
          <w:b w:val="0"/>
          <w:bCs w:val="0"/>
          <w:szCs w:val="21"/>
        </w:rPr>
        <w:t>-讨论稿》进行了讨论，会上有来自不同单位的计量委员会委员、专家、代表</w:t>
      </w:r>
      <w:r>
        <w:rPr>
          <w:rFonts w:hint="eastAsia"/>
          <w:b w:val="0"/>
          <w:bCs w:val="0"/>
          <w:szCs w:val="21"/>
          <w:lang w:val="en-US" w:eastAsia="zh-CN"/>
        </w:rPr>
        <w:t>对</w:t>
      </w:r>
      <w:r>
        <w:rPr>
          <w:rFonts w:hint="eastAsia"/>
          <w:b w:val="0"/>
          <w:bCs w:val="0"/>
          <w:szCs w:val="21"/>
        </w:rPr>
        <w:t>《</w:t>
      </w:r>
      <w:r>
        <w:rPr>
          <w:rFonts w:hint="eastAsia"/>
          <w:b w:val="0"/>
          <w:bCs w:val="0"/>
          <w:lang w:val="en-US" w:eastAsia="zh-CN"/>
        </w:rPr>
        <w:t>动态热机械分析仪</w:t>
      </w:r>
      <w:r>
        <w:rPr>
          <w:rFonts w:hint="eastAsia" w:hAnsi="宋体"/>
          <w:b w:val="0"/>
          <w:bCs w:val="0"/>
          <w:szCs w:val="21"/>
        </w:rPr>
        <w:t>校准规范</w:t>
      </w:r>
      <w:r>
        <w:rPr>
          <w:rFonts w:hint="eastAsia"/>
          <w:b w:val="0"/>
          <w:bCs w:val="0"/>
          <w:szCs w:val="21"/>
        </w:rPr>
        <w:t>-讨论稿》提出了修改建议和意见，</w:t>
      </w:r>
      <w:r>
        <w:rPr>
          <w:rFonts w:hint="eastAsia"/>
          <w:b w:val="0"/>
          <w:bCs w:val="0"/>
          <w:szCs w:val="21"/>
          <w:lang w:val="en-US" w:eastAsia="zh-CN"/>
        </w:rPr>
        <w:t>同时，</w:t>
      </w:r>
      <w:r>
        <w:rPr>
          <w:rFonts w:hint="eastAsia"/>
          <w:b w:val="0"/>
          <w:bCs w:val="0"/>
        </w:rPr>
        <w:t>会上确定了项目</w:t>
      </w:r>
      <w:r>
        <w:rPr>
          <w:rFonts w:hint="eastAsia"/>
          <w:b w:val="0"/>
          <w:bCs w:val="0"/>
          <w:lang w:val="en-US" w:eastAsia="zh-CN"/>
        </w:rPr>
        <w:t>的参编</w:t>
      </w:r>
      <w:r>
        <w:rPr>
          <w:rFonts w:hint="eastAsia"/>
          <w:b w:val="0"/>
          <w:bCs w:val="0"/>
        </w:rPr>
        <w:t>单位及一验、二验单位，明确了各项工作时间进度要求</w:t>
      </w:r>
      <w:r>
        <w:rPr>
          <w:rFonts w:hint="eastAsia"/>
          <w:b w:val="0"/>
          <w:bCs w:val="0"/>
          <w:highlight w:val="none"/>
          <w:lang w:eastAsia="zh-CN"/>
        </w:rPr>
        <w:t>，</w:t>
      </w:r>
      <w:r>
        <w:rPr>
          <w:rFonts w:hint="eastAsia"/>
          <w:b w:val="0"/>
          <w:bCs w:val="0"/>
          <w:highlight w:val="none"/>
          <w:lang w:val="en-US" w:eastAsia="zh-CN"/>
        </w:rPr>
        <w:t>具体内容见表2</w:t>
      </w:r>
      <w:r>
        <w:rPr>
          <w:rFonts w:hint="eastAsia"/>
          <w:b w:val="0"/>
          <w:bCs w:val="0"/>
          <w:highlight w:val="none"/>
        </w:rPr>
        <w:t>。修改</w:t>
      </w:r>
      <w:r>
        <w:rPr>
          <w:rFonts w:hint="eastAsia"/>
          <w:b w:val="0"/>
          <w:bCs w:val="0"/>
          <w:highlight w:val="none"/>
          <w:lang w:val="en-US" w:eastAsia="zh-CN"/>
        </w:rPr>
        <w:t>后</w:t>
      </w:r>
      <w:r>
        <w:rPr>
          <w:rFonts w:hint="eastAsia"/>
          <w:b w:val="0"/>
          <w:bCs w:val="0"/>
          <w:highlight w:val="none"/>
        </w:rPr>
        <w:t>形成</w:t>
      </w:r>
      <w:r>
        <w:rPr>
          <w:rFonts w:hint="eastAsia"/>
          <w:b w:val="0"/>
          <w:bCs w:val="0"/>
          <w:highlight w:val="none"/>
          <w:lang w:val="en-US" w:eastAsia="zh-CN"/>
        </w:rPr>
        <w:t>了</w:t>
      </w:r>
      <w:r>
        <w:rPr>
          <w:rFonts w:hint="eastAsia"/>
          <w:b w:val="0"/>
          <w:bCs w:val="0"/>
          <w:szCs w:val="21"/>
          <w:highlight w:val="none"/>
        </w:rPr>
        <w:t>《</w:t>
      </w:r>
      <w:r>
        <w:rPr>
          <w:rFonts w:hint="eastAsia"/>
          <w:b w:val="0"/>
          <w:bCs w:val="0"/>
          <w:lang w:val="en-US" w:eastAsia="zh-CN"/>
        </w:rPr>
        <w:t>动态热机械分析仪</w:t>
      </w:r>
      <w:r>
        <w:rPr>
          <w:rFonts w:hint="eastAsia" w:hAnsi="宋体"/>
          <w:b w:val="0"/>
          <w:bCs w:val="0"/>
          <w:szCs w:val="21"/>
          <w:highlight w:val="none"/>
        </w:rPr>
        <w:t>校准规范</w:t>
      </w:r>
      <w:r>
        <w:rPr>
          <w:rFonts w:hint="eastAsia"/>
          <w:b w:val="0"/>
          <w:bCs w:val="0"/>
          <w:szCs w:val="21"/>
          <w:highlight w:val="none"/>
        </w:rPr>
        <w:t>-</w:t>
      </w:r>
      <w:r>
        <w:rPr>
          <w:rFonts w:hint="eastAsia"/>
          <w:b w:val="0"/>
          <w:bCs w:val="0"/>
          <w:highlight w:val="none"/>
        </w:rPr>
        <w:t>征求意见稿</w:t>
      </w:r>
      <w:r>
        <w:rPr>
          <w:rFonts w:hint="eastAsia"/>
          <w:b w:val="0"/>
          <w:bCs w:val="0"/>
          <w:szCs w:val="21"/>
          <w:highlight w:val="none"/>
        </w:rPr>
        <w:t>》</w:t>
      </w:r>
      <w:r>
        <w:rPr>
          <w:rFonts w:hint="eastAsia"/>
          <w:b w:val="0"/>
          <w:bCs w:val="0"/>
          <w:szCs w:val="21"/>
          <w:highlight w:val="none"/>
          <w:lang w:eastAsia="zh-CN"/>
        </w:rPr>
        <w:t>。</w:t>
      </w:r>
    </w:p>
    <w:p w14:paraId="0DCD1129">
      <w:pPr>
        <w:spacing w:line="360" w:lineRule="auto"/>
        <w:ind w:firstLine="210" w:firstLineChars="100"/>
        <w:jc w:val="center"/>
        <w:rPr>
          <w:b w:val="0"/>
          <w:bCs w:val="0"/>
        </w:rPr>
      </w:pPr>
      <w:r>
        <w:rPr>
          <w:rFonts w:hint="eastAsia"/>
          <w:b w:val="0"/>
          <w:bCs w:val="0"/>
          <w:highlight w:val="none"/>
        </w:rPr>
        <w:t>表</w:t>
      </w:r>
      <w:r>
        <w:rPr>
          <w:rFonts w:hint="eastAsia"/>
          <w:b w:val="0"/>
          <w:bCs w:val="0"/>
          <w:highlight w:val="none"/>
          <w:lang w:val="en-US" w:eastAsia="zh-CN"/>
        </w:rPr>
        <w:t>2</w:t>
      </w:r>
      <w:r>
        <w:rPr>
          <w:rFonts w:hint="eastAsia"/>
          <w:b w:val="0"/>
          <w:bCs w:val="0"/>
          <w:highlight w:val="none"/>
        </w:rPr>
        <w:t xml:space="preserve"> 《</w:t>
      </w:r>
      <w:r>
        <w:rPr>
          <w:rFonts w:hint="eastAsia"/>
          <w:b w:val="0"/>
          <w:bCs w:val="0"/>
          <w:lang w:val="en-US" w:eastAsia="zh-CN"/>
        </w:rPr>
        <w:t>动态热机械分析仪</w:t>
      </w:r>
      <w:r>
        <w:rPr>
          <w:rFonts w:hint="eastAsia"/>
          <w:b w:val="0"/>
          <w:bCs w:val="0"/>
        </w:rPr>
        <w:t>校准规范-讨论稿》</w:t>
      </w:r>
      <w:r>
        <w:rPr>
          <w:rFonts w:hint="eastAsia"/>
          <w:b w:val="0"/>
          <w:bCs w:val="0"/>
          <w:lang w:val="en-US" w:eastAsia="zh-CN"/>
        </w:rPr>
        <w:t>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6C4C001E">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67166">
            <w:pPr>
              <w:spacing w:line="360" w:lineRule="auto"/>
              <w:rPr>
                <w:b w:val="0"/>
                <w:bCs w:val="0"/>
              </w:rPr>
            </w:pPr>
            <w:r>
              <w:rPr>
                <w:rFonts w:hint="eastAsia"/>
                <w:b w:val="0"/>
                <w:bCs w:val="0"/>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566732B">
            <w:pPr>
              <w:widowControl/>
              <w:spacing w:line="240" w:lineRule="auto"/>
              <w:jc w:val="left"/>
              <w:rPr>
                <w:rFonts w:hint="eastAsia" w:eastAsia="宋体"/>
                <w:b w:val="0"/>
                <w:bCs w:val="0"/>
                <w:highlight w:val="none"/>
                <w:lang w:eastAsia="zh-CN"/>
              </w:rPr>
            </w:pPr>
            <w:r>
              <w:rPr>
                <w:rFonts w:hint="eastAsia" w:cs="宋体"/>
                <w:b w:val="0"/>
                <w:bCs w:val="0"/>
                <w:color w:val="000000"/>
                <w:kern w:val="0"/>
                <w:szCs w:val="21"/>
                <w:highlight w:val="none"/>
                <w:lang w:val="en-US" w:eastAsia="zh-CN"/>
              </w:rPr>
              <w:t>国标（北京）检验认证有限公司、北京航空航天大学测试中心、耐驰科学仪器商贸（上海）有限公司、中国船舶集团有限公司第七二五研究所、中国科学院宁波材料技术与工程研究所、国合通用（青岛）测试评价股份有限公司、中国汽车技术研究中心有限公司</w:t>
            </w:r>
            <w:r>
              <w:rPr>
                <w:rFonts w:cs="宋体"/>
                <w:b w:val="0"/>
                <w:bCs w:val="0"/>
                <w:color w:val="000000"/>
                <w:kern w:val="0"/>
                <w:szCs w:val="21"/>
                <w:highlight w:val="none"/>
              </w:rPr>
              <w:t>等</w:t>
            </w:r>
          </w:p>
        </w:tc>
      </w:tr>
      <w:tr w14:paraId="6AAF695B">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9D188">
            <w:pPr>
              <w:spacing w:line="360" w:lineRule="auto"/>
              <w:rPr>
                <w:rFonts w:hint="eastAsia"/>
                <w:b w:val="0"/>
                <w:bCs w:val="0"/>
              </w:rPr>
            </w:pPr>
            <w:r>
              <w:rPr>
                <w:rFonts w:hint="eastAsia"/>
                <w:b w:val="0"/>
                <w:bCs w:val="0"/>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1708EE69">
            <w:pPr>
              <w:spacing w:line="360" w:lineRule="auto"/>
              <w:ind w:firstLine="420" w:firstLineChars="200"/>
              <w:rPr>
                <w:rFonts w:hint="default" w:eastAsia="宋体"/>
                <w:b w:val="0"/>
                <w:bCs w:val="0"/>
                <w:highlight w:val="yellow"/>
                <w:lang w:val="en-US" w:eastAsia="zh-CN"/>
              </w:rPr>
            </w:pPr>
          </w:p>
        </w:tc>
      </w:tr>
      <w:tr w14:paraId="651E6F15">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B13C8">
            <w:pPr>
              <w:spacing w:line="360" w:lineRule="auto"/>
              <w:rPr>
                <w:rFonts w:hint="eastAsia"/>
                <w:b w:val="0"/>
                <w:bCs w:val="0"/>
              </w:rPr>
            </w:pPr>
            <w:r>
              <w:rPr>
                <w:rFonts w:hint="eastAsia"/>
                <w:b w:val="0"/>
                <w:bCs w:val="0"/>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6A7E4888">
            <w:pPr>
              <w:spacing w:line="360" w:lineRule="auto"/>
              <w:ind w:firstLine="420" w:firstLineChars="200"/>
              <w:rPr>
                <w:rFonts w:hint="eastAsia"/>
                <w:b w:val="0"/>
                <w:bCs w:val="0"/>
                <w:highlight w:val="yellow"/>
              </w:rPr>
            </w:pPr>
          </w:p>
        </w:tc>
      </w:tr>
      <w:tr w14:paraId="2D643FA7">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DC773">
            <w:pPr>
              <w:spacing w:line="360" w:lineRule="auto"/>
              <w:rPr>
                <w:b w:val="0"/>
                <w:bCs w:val="0"/>
              </w:rPr>
            </w:pPr>
            <w:r>
              <w:rPr>
                <w:rFonts w:hint="eastAsia"/>
                <w:b w:val="0"/>
                <w:bCs w:val="0"/>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140D78B">
            <w:pPr>
              <w:spacing w:line="360" w:lineRule="auto"/>
              <w:ind w:firstLine="420" w:firstLineChars="200"/>
              <w:rPr>
                <w:b w:val="0"/>
                <w:bCs w:val="0"/>
              </w:rPr>
            </w:pPr>
          </w:p>
        </w:tc>
      </w:tr>
      <w:bookmarkEnd w:id="11"/>
    </w:tbl>
    <w:p w14:paraId="35C3C864">
      <w:pPr>
        <w:pStyle w:val="2"/>
        <w:spacing w:before="156" w:after="156"/>
        <w:rPr>
          <w:b w:val="0"/>
          <w:bCs w:val="0"/>
        </w:rPr>
      </w:pPr>
      <w:r>
        <w:rPr>
          <w:rFonts w:hint="eastAsia"/>
          <w:b w:val="0"/>
          <w:bCs w:val="0"/>
        </w:rPr>
        <w:t>二、编制原则和依据</w:t>
      </w:r>
    </w:p>
    <w:p w14:paraId="3F1A852F">
      <w:pPr>
        <w:pStyle w:val="3"/>
        <w:spacing w:before="156" w:after="156"/>
        <w:rPr>
          <w:b w:val="0"/>
          <w:bCs w:val="0"/>
        </w:rPr>
      </w:pPr>
      <w:bookmarkStart w:id="12" w:name="_Toc464728925"/>
      <w:r>
        <w:rPr>
          <w:rFonts w:hint="eastAsia"/>
          <w:b w:val="0"/>
          <w:bCs w:val="0"/>
        </w:rPr>
        <w:t>（一）编制原则</w:t>
      </w:r>
      <w:bookmarkEnd w:id="12"/>
    </w:p>
    <w:p w14:paraId="0AD6C02E">
      <w:pPr>
        <w:spacing w:line="400" w:lineRule="exact"/>
        <w:ind w:firstLine="420" w:firstLineChars="200"/>
        <w:rPr>
          <w:rFonts w:hint="eastAsia"/>
          <w:b w:val="0"/>
          <w:bCs w:val="0"/>
          <w:szCs w:val="21"/>
        </w:rPr>
      </w:pPr>
      <w:bookmarkStart w:id="13" w:name="_Toc464728926"/>
      <w:r>
        <w:rPr>
          <w:rFonts w:hint="eastAsia"/>
          <w:b w:val="0"/>
          <w:bCs w:val="0"/>
          <w:szCs w:val="21"/>
        </w:rPr>
        <w:t>JJF 1071</w:t>
      </w:r>
      <w:r>
        <w:rPr>
          <w:rFonts w:hint="eastAsia"/>
          <w:b w:val="0"/>
          <w:bCs w:val="0"/>
          <w:szCs w:val="21"/>
          <w:lang w:val="en-US" w:eastAsia="zh-CN"/>
        </w:rPr>
        <w:t>-2010</w:t>
      </w:r>
      <w:r>
        <w:rPr>
          <w:rFonts w:hint="eastAsia"/>
          <w:b w:val="0"/>
          <w:bCs w:val="0"/>
          <w:szCs w:val="21"/>
        </w:rPr>
        <w:t>《国家计量校准规范编写规则》、JJF 1001-</w:t>
      </w:r>
      <w:r>
        <w:rPr>
          <w:rFonts w:hint="eastAsia"/>
          <w:b w:val="0"/>
          <w:bCs w:val="0"/>
          <w:szCs w:val="21"/>
          <w:lang w:val="en-US" w:eastAsia="zh-CN"/>
        </w:rPr>
        <w:t>2011</w:t>
      </w:r>
      <w:r>
        <w:rPr>
          <w:rFonts w:hint="eastAsia"/>
          <w:b w:val="0"/>
          <w:bCs w:val="0"/>
          <w:szCs w:val="21"/>
        </w:rPr>
        <w:t>《通用计量术语及定义》和JJF 1059.1</w:t>
      </w:r>
      <w:r>
        <w:rPr>
          <w:rFonts w:hint="eastAsia"/>
          <w:b w:val="0"/>
          <w:bCs w:val="0"/>
          <w:szCs w:val="21"/>
          <w:lang w:val="en-US" w:eastAsia="zh-CN"/>
        </w:rPr>
        <w:t>-</w:t>
      </w:r>
      <w:r>
        <w:rPr>
          <w:rFonts w:hint="eastAsia"/>
          <w:b w:val="0"/>
          <w:bCs w:val="0"/>
          <w:szCs w:val="21"/>
        </w:rPr>
        <w:t>《测量不确定度评定与表示》</w:t>
      </w:r>
      <w:r>
        <w:rPr>
          <w:rFonts w:hint="eastAsia"/>
          <w:b w:val="0"/>
          <w:bCs w:val="0"/>
          <w:szCs w:val="21"/>
          <w:lang w:val="en-US" w:eastAsia="zh-CN"/>
        </w:rPr>
        <w:t>共同构成</w:t>
      </w:r>
      <w:r>
        <w:rPr>
          <w:rFonts w:hint="eastAsia"/>
          <w:b w:val="0"/>
          <w:bCs w:val="0"/>
          <w:lang w:val="en-US" w:eastAsia="zh-CN"/>
        </w:rPr>
        <w:t>动态热机械分析仪</w:t>
      </w:r>
      <w:r>
        <w:rPr>
          <w:rFonts w:hint="eastAsia"/>
          <w:b w:val="0"/>
          <w:bCs w:val="0"/>
        </w:rPr>
        <w:t>校准规范</w:t>
      </w:r>
      <w:r>
        <w:rPr>
          <w:rFonts w:hint="eastAsia"/>
          <w:b w:val="0"/>
          <w:bCs w:val="0"/>
          <w:szCs w:val="21"/>
        </w:rPr>
        <w:t>。</w:t>
      </w:r>
    </w:p>
    <w:p w14:paraId="10B86985">
      <w:pPr>
        <w:spacing w:line="400" w:lineRule="exact"/>
        <w:ind w:firstLine="420" w:firstLineChars="200"/>
        <w:rPr>
          <w:b w:val="0"/>
          <w:bCs w:val="0"/>
          <w:szCs w:val="21"/>
        </w:rPr>
      </w:pPr>
      <w:r>
        <w:rPr>
          <w:rFonts w:hint="eastAsia"/>
          <w:b w:val="0"/>
          <w:bCs w:val="0"/>
          <w:szCs w:val="21"/>
        </w:rPr>
        <w:t>本规范</w:t>
      </w:r>
      <w:r>
        <w:rPr>
          <w:rFonts w:hint="eastAsia"/>
          <w:b w:val="0"/>
          <w:bCs w:val="0"/>
          <w:szCs w:val="21"/>
          <w:lang w:val="en-US" w:eastAsia="zh-CN"/>
        </w:rPr>
        <w:t>参考了JJG 936-2012《示差扫描热量计》、ASTM E1867-22《动态热机械分析仪温度校准的标准试验方法》（Standard Test Methods for Temperature Calibration of Dynamic Mechanical Analyzers）、GB/T 3306.1-2016《塑料 动态力学性能的测定 第一部分：通则》</w:t>
      </w:r>
      <w:r>
        <w:rPr>
          <w:rFonts w:hint="eastAsia"/>
          <w:b w:val="0"/>
          <w:bCs w:val="0"/>
          <w:szCs w:val="21"/>
        </w:rPr>
        <w:t>等</w:t>
      </w:r>
      <w:r>
        <w:rPr>
          <w:rFonts w:hint="eastAsia"/>
          <w:b w:val="0"/>
          <w:bCs w:val="0"/>
          <w:szCs w:val="21"/>
          <w:lang w:val="en-US" w:eastAsia="zh-CN"/>
        </w:rPr>
        <w:t>相关技术</w:t>
      </w:r>
      <w:r>
        <w:rPr>
          <w:rFonts w:hint="eastAsia"/>
          <w:b w:val="0"/>
          <w:bCs w:val="0"/>
          <w:szCs w:val="21"/>
        </w:rPr>
        <w:t>内容</w:t>
      </w:r>
      <w:r>
        <w:rPr>
          <w:rFonts w:hint="eastAsia"/>
          <w:b w:val="0"/>
          <w:bCs w:val="0"/>
          <w:szCs w:val="21"/>
          <w:lang w:eastAsia="zh-CN"/>
        </w:rPr>
        <w:t>。</w:t>
      </w:r>
      <w:r>
        <w:rPr>
          <w:rFonts w:hint="eastAsia"/>
          <w:b w:val="0"/>
          <w:bCs w:val="0"/>
          <w:szCs w:val="21"/>
        </w:rPr>
        <w:t>提出了对</w:t>
      </w:r>
      <w:r>
        <w:rPr>
          <w:rFonts w:hint="eastAsia"/>
          <w:b w:val="0"/>
          <w:bCs w:val="0"/>
          <w:lang w:val="en-US" w:eastAsia="zh-CN"/>
        </w:rPr>
        <w:t>动态热机械分析仪</w:t>
      </w:r>
      <w:r>
        <w:rPr>
          <w:rFonts w:hint="eastAsia"/>
          <w:b w:val="0"/>
          <w:bCs w:val="0"/>
          <w:szCs w:val="21"/>
        </w:rPr>
        <w:t>计量特性的要求，制定了基本原则和编制依据，可对</w:t>
      </w:r>
      <w:r>
        <w:rPr>
          <w:rFonts w:hint="eastAsia"/>
          <w:b w:val="0"/>
          <w:bCs w:val="0"/>
          <w:szCs w:val="21"/>
          <w:lang w:val="en-US" w:eastAsia="zh-CN"/>
        </w:rPr>
        <w:t>动态热机械分析仪</w:t>
      </w:r>
      <w:r>
        <w:rPr>
          <w:rFonts w:hint="eastAsia"/>
          <w:b w:val="0"/>
          <w:bCs w:val="0"/>
          <w:szCs w:val="21"/>
        </w:rPr>
        <w:t>进行校准，解决了目前没有</w:t>
      </w:r>
      <w:r>
        <w:rPr>
          <w:rFonts w:hint="eastAsia"/>
          <w:b w:val="0"/>
          <w:bCs w:val="0"/>
          <w:lang w:val="en-US" w:eastAsia="zh-CN"/>
        </w:rPr>
        <w:t>动态热机械分析仪</w:t>
      </w:r>
      <w:r>
        <w:rPr>
          <w:rFonts w:hint="eastAsia"/>
          <w:b w:val="0"/>
          <w:bCs w:val="0"/>
          <w:szCs w:val="21"/>
        </w:rPr>
        <w:t>校准方法的难题。</w:t>
      </w:r>
    </w:p>
    <w:p w14:paraId="30DE95D9">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14:paraId="3099D9D4">
      <w:pPr>
        <w:pStyle w:val="4"/>
        <w:spacing w:before="156" w:after="156"/>
        <w:rPr>
          <w:b w:val="0"/>
          <w:bCs w:val="0"/>
        </w:rPr>
      </w:pPr>
      <w:bookmarkStart w:id="14" w:name="_Toc500258929"/>
      <w:bookmarkStart w:id="15" w:name="_Toc23837_WPSOffice_Level1"/>
      <w:bookmarkStart w:id="16" w:name="_Toc193860027"/>
      <w:bookmarkStart w:id="17" w:name="_Toc193860177"/>
      <w:bookmarkStart w:id="18" w:name="_Toc193860208"/>
      <w:bookmarkStart w:id="19" w:name="_Toc464728964"/>
      <w:r>
        <w:rPr>
          <w:rFonts w:hint="eastAsia"/>
          <w:b w:val="0"/>
          <w:bCs w:val="0"/>
        </w:rPr>
        <w:t>1范围</w:t>
      </w:r>
      <w:bookmarkEnd w:id="14"/>
      <w:bookmarkEnd w:id="15"/>
      <w:bookmarkEnd w:id="16"/>
      <w:bookmarkEnd w:id="17"/>
      <w:bookmarkEnd w:id="18"/>
    </w:p>
    <w:p w14:paraId="35A4A0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Theme="minorEastAsia"/>
          <w:b w:val="0"/>
          <w:bCs w:val="0"/>
          <w:kern w:val="0"/>
          <w:szCs w:val="21"/>
          <w:lang w:val="en-US" w:eastAsia="zh-CN"/>
        </w:rPr>
      </w:pPr>
      <w:r>
        <w:rPr>
          <w:rFonts w:hint="eastAsia" w:eastAsiaTheme="minorEastAsia"/>
          <w:b w:val="0"/>
          <w:bCs w:val="0"/>
          <w:kern w:val="0"/>
          <w:szCs w:val="21"/>
          <w:lang w:val="en-US" w:eastAsia="zh-CN"/>
        </w:rPr>
        <w:t>本规范适用于温度范围从室温到800℃的动态热机械分析仪（Dynamic Mechanical Analyzers，简称DMA）的校准，其他温度测量范围的也可参考本规范。</w:t>
      </w:r>
    </w:p>
    <w:p w14:paraId="0794AE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Theme="minorEastAsia"/>
          <w:b w:val="0"/>
          <w:bCs w:val="0"/>
          <w:kern w:val="0"/>
          <w:szCs w:val="21"/>
          <w:lang w:val="en-US" w:eastAsia="zh-CN"/>
        </w:rPr>
      </w:pPr>
      <w:r>
        <w:rPr>
          <w:rFonts w:hint="eastAsia" w:eastAsiaTheme="minorEastAsia"/>
          <w:b w:val="0"/>
          <w:bCs w:val="0"/>
          <w:kern w:val="0"/>
          <w:szCs w:val="21"/>
          <w:lang w:val="en-US" w:eastAsia="zh-CN"/>
        </w:rPr>
        <w:t>编制理由：</w:t>
      </w:r>
    </w:p>
    <w:p w14:paraId="3E1C9689">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default" w:eastAsiaTheme="minorEastAsia"/>
          <w:b w:val="0"/>
          <w:bCs w:val="0"/>
          <w:kern w:val="0"/>
          <w:szCs w:val="21"/>
          <w:lang w:val="en-US" w:eastAsia="zh-CN"/>
        </w:rPr>
      </w:pPr>
      <w:r>
        <w:rPr>
          <w:rFonts w:hint="eastAsia" w:eastAsiaTheme="minorEastAsia"/>
          <w:b w:val="0"/>
          <w:bCs w:val="0"/>
          <w:kern w:val="0"/>
          <w:szCs w:val="21"/>
          <w:lang w:val="en-US" w:eastAsia="zh-CN"/>
        </w:rPr>
        <w:t>目前没有对动态热机械分析仪进行校准的规范性文件。</w:t>
      </w:r>
    </w:p>
    <w:p w14:paraId="00EFD1BF">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default" w:eastAsiaTheme="minorEastAsia"/>
          <w:b w:val="0"/>
          <w:bCs w:val="0"/>
          <w:kern w:val="0"/>
          <w:szCs w:val="21"/>
          <w:lang w:val="en-US" w:eastAsia="zh-CN"/>
        </w:rPr>
      </w:pPr>
      <w:r>
        <w:rPr>
          <w:rFonts w:hint="eastAsia" w:eastAsiaTheme="minorEastAsia"/>
          <w:b w:val="0"/>
          <w:bCs w:val="0"/>
          <w:kern w:val="0"/>
          <w:szCs w:val="21"/>
          <w:lang w:val="en-US" w:eastAsia="zh-CN"/>
        </w:rPr>
        <w:t>为满足动态热机械分析法相关测试标准中对试验机的校准要求。</w:t>
      </w:r>
    </w:p>
    <w:p w14:paraId="6DEAF128">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default" w:eastAsiaTheme="minorEastAsia"/>
          <w:b w:val="0"/>
          <w:bCs w:val="0"/>
          <w:kern w:val="0"/>
          <w:szCs w:val="21"/>
          <w:lang w:val="en-US" w:eastAsia="zh-CN"/>
        </w:rPr>
      </w:pPr>
      <w:r>
        <w:rPr>
          <w:rFonts w:hint="eastAsia" w:eastAsiaTheme="minorEastAsia"/>
          <w:b w:val="0"/>
          <w:bCs w:val="0"/>
          <w:kern w:val="0"/>
          <w:szCs w:val="21"/>
          <w:lang w:val="en-US" w:eastAsia="zh-CN"/>
        </w:rPr>
        <w:t>通过对动态热机械分析仪进行校准，为指导和开展动态热机械分析仪的校准工作提供详尽的技术指标，保证量值的准确性。</w:t>
      </w:r>
    </w:p>
    <w:p w14:paraId="4133810B">
      <w:pPr>
        <w:pStyle w:val="4"/>
        <w:spacing w:before="156" w:after="156"/>
        <w:rPr>
          <w:rFonts w:hint="eastAsia" w:eastAsiaTheme="minorEastAsia"/>
          <w:b w:val="0"/>
          <w:bCs w:val="0"/>
          <w:kern w:val="0"/>
          <w:szCs w:val="21"/>
          <w:highlight w:val="none"/>
        </w:rPr>
      </w:pPr>
      <w:bookmarkStart w:id="20" w:name="_Toc193860028"/>
      <w:bookmarkStart w:id="21" w:name="_Toc193860178"/>
      <w:bookmarkStart w:id="22" w:name="_Toc193860209"/>
      <w:bookmarkStart w:id="23" w:name="_Toc500258930"/>
      <w:bookmarkStart w:id="24" w:name="_Toc7848_WPSOffice_Level1"/>
      <w:r>
        <w:rPr>
          <w:rFonts w:hint="eastAsia"/>
          <w:b w:val="0"/>
          <w:bCs w:val="0"/>
        </w:rPr>
        <w:t>2 引用文</w:t>
      </w:r>
      <w:bookmarkEnd w:id="20"/>
      <w:bookmarkEnd w:id="21"/>
      <w:bookmarkEnd w:id="22"/>
      <w:r>
        <w:rPr>
          <w:rFonts w:hint="eastAsia"/>
          <w:b w:val="0"/>
          <w:bCs w:val="0"/>
        </w:rPr>
        <w:t>件</w:t>
      </w:r>
      <w:bookmarkEnd w:id="23"/>
      <w:bookmarkEnd w:id="24"/>
    </w:p>
    <w:p w14:paraId="4C8E5B64">
      <w:pPr>
        <w:spacing w:line="400" w:lineRule="exact"/>
        <w:ind w:firstLine="420" w:firstLineChars="200"/>
        <w:rPr>
          <w:rFonts w:hint="eastAsia" w:eastAsiaTheme="minorEastAsia"/>
          <w:b w:val="0"/>
          <w:bCs w:val="0"/>
          <w:kern w:val="0"/>
          <w:szCs w:val="21"/>
          <w:highlight w:val="none"/>
        </w:rPr>
      </w:pPr>
      <w:r>
        <w:rPr>
          <w:rFonts w:hint="eastAsia" w:eastAsiaTheme="minorEastAsia"/>
          <w:b w:val="0"/>
          <w:bCs w:val="0"/>
          <w:kern w:val="0"/>
          <w:szCs w:val="21"/>
          <w:highlight w:val="none"/>
          <w:lang w:val="en-US" w:eastAsia="zh-CN"/>
        </w:rPr>
        <w:t>本规范没有引用文件。</w:t>
      </w:r>
    </w:p>
    <w:p w14:paraId="6EB93489">
      <w:pPr>
        <w:pStyle w:val="4"/>
        <w:spacing w:before="156" w:after="156"/>
        <w:rPr>
          <w:b w:val="0"/>
          <w:bCs w:val="0"/>
        </w:rPr>
      </w:pPr>
      <w:bookmarkStart w:id="25" w:name="_Toc500258937"/>
      <w:bookmarkStart w:id="26" w:name="_Toc193619055"/>
      <w:bookmarkStart w:id="27" w:name="_Toc13054_WPSOffice_Level1"/>
      <w:bookmarkStart w:id="28" w:name="_Toc193619097"/>
      <w:bookmarkStart w:id="29" w:name="_Toc193618952"/>
      <w:bookmarkStart w:id="30" w:name="_Toc193860030"/>
      <w:bookmarkStart w:id="31" w:name="_Toc193860180"/>
      <w:bookmarkStart w:id="32" w:name="_Toc193860211"/>
      <w:r>
        <w:rPr>
          <w:rFonts w:hint="eastAsia"/>
          <w:b w:val="0"/>
          <w:bCs w:val="0"/>
        </w:rPr>
        <w:t>3 概述</w:t>
      </w:r>
      <w:bookmarkEnd w:id="25"/>
      <w:bookmarkEnd w:id="26"/>
      <w:bookmarkEnd w:id="27"/>
      <w:bookmarkEnd w:id="28"/>
      <w:bookmarkEnd w:id="29"/>
      <w:bookmarkEnd w:id="30"/>
      <w:bookmarkEnd w:id="31"/>
      <w:bookmarkEnd w:id="32"/>
    </w:p>
    <w:p w14:paraId="3D1F3E48">
      <w:pPr>
        <w:autoSpaceDE w:val="0"/>
        <w:autoSpaceDN w:val="0"/>
        <w:adjustRightInd w:val="0"/>
        <w:spacing w:line="400" w:lineRule="exact"/>
        <w:ind w:firstLine="420" w:firstLineChars="200"/>
        <w:rPr>
          <w:rFonts w:hint="eastAsia"/>
          <w:b w:val="0"/>
          <w:bCs w:val="0"/>
        </w:rPr>
      </w:pPr>
      <w:r>
        <w:rPr>
          <w:rFonts w:hint="eastAsia"/>
          <w:b w:val="0"/>
          <w:bCs w:val="0"/>
          <w:lang w:val="en-US" w:eastAsia="zh-CN"/>
        </w:rPr>
        <w:t>动态热机械分析仪是测量样品的黏弹性能与时间或温度关系的仪器。常用于材料的刚性、黏弹性、玻璃化温度、相转变、软化温度、应力与应变等测量。动态热机械分析仪通常由加热炉、位移传感器、样品支架、振荡马达及仪器操作软件和数据处理软件等构成。动态热机械分析仪的测量模式有单双悬臂梁、三点弯曲、拉伸、压缩和穿刺等。测量时需要根据样品的形态与模量选择相对应的夹具类型。</w:t>
      </w:r>
    </w:p>
    <w:p w14:paraId="3F711BA5">
      <w:pPr>
        <w:pStyle w:val="4"/>
        <w:spacing w:before="156" w:after="156"/>
        <w:rPr>
          <w:rFonts w:hint="eastAsia"/>
          <w:b w:val="0"/>
          <w:bCs w:val="0"/>
          <w:color w:val="0000FF"/>
          <w:lang w:eastAsia="zh-CN"/>
        </w:rPr>
      </w:pPr>
      <w:bookmarkStart w:id="33" w:name="_Toc193618953"/>
      <w:bookmarkStart w:id="34" w:name="_Toc193860212"/>
      <w:bookmarkStart w:id="35" w:name="_Toc19851_WPSOffice_Level1"/>
      <w:bookmarkStart w:id="36" w:name="_Toc193619098"/>
      <w:bookmarkStart w:id="37" w:name="_Toc500258938"/>
      <w:bookmarkStart w:id="38" w:name="_Toc193619056"/>
      <w:bookmarkStart w:id="39" w:name="_Toc193860181"/>
      <w:bookmarkStart w:id="40" w:name="_Toc193860031"/>
      <w:r>
        <w:rPr>
          <w:rFonts w:hint="eastAsia"/>
          <w:b w:val="0"/>
          <w:bCs w:val="0"/>
        </w:rPr>
        <w:t>4计量特性</w:t>
      </w:r>
      <w:bookmarkEnd w:id="33"/>
      <w:bookmarkEnd w:id="34"/>
      <w:bookmarkEnd w:id="35"/>
      <w:bookmarkEnd w:id="36"/>
      <w:bookmarkEnd w:id="37"/>
      <w:bookmarkEnd w:id="38"/>
      <w:bookmarkEnd w:id="39"/>
      <w:bookmarkEnd w:id="40"/>
      <w:bookmarkStart w:id="41" w:name="_Toc25829_WPSOffice_Level1"/>
    </w:p>
    <w:p w14:paraId="71346FD5">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sz w:val="21"/>
          <w:szCs w:val="21"/>
          <w:lang w:val="en-US" w:eastAsia="zh-CN"/>
        </w:rPr>
        <w:t>计量特性见下表</w:t>
      </w:r>
    </w:p>
    <w:tbl>
      <w:tblPr>
        <w:tblStyle w:val="42"/>
        <w:tblpPr w:leftFromText="180" w:rightFromText="180" w:vertAnchor="text" w:horzAnchor="page" w:tblpX="180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2B8B816B">
        <w:trPr>
          <w:trHeight w:val="340" w:hRule="atLeast"/>
        </w:trPr>
        <w:tc>
          <w:tcPr>
            <w:tcW w:w="4428" w:type="dxa"/>
            <w:vAlign w:val="center"/>
          </w:tcPr>
          <w:p w14:paraId="0FA7BF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校准项目</w:t>
            </w:r>
          </w:p>
        </w:tc>
        <w:tc>
          <w:tcPr>
            <w:tcW w:w="4428" w:type="dxa"/>
            <w:vAlign w:val="center"/>
          </w:tcPr>
          <w:p w14:paraId="3096C1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技术指标</w:t>
            </w:r>
          </w:p>
        </w:tc>
      </w:tr>
      <w:tr w14:paraId="52CC48B5">
        <w:trPr>
          <w:trHeight w:val="340" w:hRule="atLeast"/>
        </w:trPr>
        <w:tc>
          <w:tcPr>
            <w:tcW w:w="4428" w:type="dxa"/>
            <w:vAlign w:val="center"/>
          </w:tcPr>
          <w:p w14:paraId="45C8E8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位移示值误差/mm</w:t>
            </w:r>
          </w:p>
        </w:tc>
        <w:tc>
          <w:tcPr>
            <w:tcW w:w="4428" w:type="dxa"/>
            <w:vAlign w:val="center"/>
          </w:tcPr>
          <w:p w14:paraId="10261F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cs="Times New Roman"/>
                <w:sz w:val="21"/>
                <w:szCs w:val="21"/>
                <w:highlight w:val="none"/>
                <w:lang w:val="en-US" w:eastAsia="zh-CN"/>
              </w:rPr>
              <w:t>不超过</w:t>
            </w:r>
            <w:r>
              <w:rPr>
                <w:rFonts w:hint="eastAsia" w:ascii="Times New Roman" w:hAnsi="Times New Roman" w:eastAsia="宋体" w:cs="Times New Roman"/>
                <w:sz w:val="21"/>
                <w:szCs w:val="21"/>
                <w:highlight w:val="none"/>
                <w:lang w:val="en-US" w:eastAsia="zh-CN"/>
              </w:rPr>
              <w:t>±</w:t>
            </w:r>
            <w:r>
              <w:rPr>
                <w:rFonts w:hint="eastAsia" w:ascii="Times New Roman" w:eastAsia="宋体" w:cs="Times New Roman"/>
                <w:sz w:val="21"/>
                <w:szCs w:val="21"/>
                <w:highlight w:val="none"/>
                <w:lang w:val="en-US" w:eastAsia="zh-CN"/>
              </w:rPr>
              <w:t>0.05</w:t>
            </w:r>
          </w:p>
        </w:tc>
      </w:tr>
      <w:tr w14:paraId="01C308A5">
        <w:trPr>
          <w:trHeight w:val="340" w:hRule="atLeast"/>
        </w:trPr>
        <w:tc>
          <w:tcPr>
            <w:tcW w:w="4428" w:type="dxa"/>
            <w:vAlign w:val="center"/>
          </w:tcPr>
          <w:p w14:paraId="0C62A7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sz w:val="21"/>
                <w:szCs w:val="21"/>
                <w:vertAlign w:val="baseline"/>
                <w:lang w:val="en-US"/>
              </w:rPr>
            </w:pPr>
            <w:r>
              <w:rPr>
                <w:rFonts w:hint="eastAsia" w:ascii="Times New Roman" w:hAnsi="Times New Roman" w:eastAsia="宋体" w:cs="Times New Roman"/>
                <w:sz w:val="21"/>
                <w:szCs w:val="21"/>
                <w:lang w:val="en-US" w:eastAsia="zh-CN" w:bidi="ar-SA"/>
              </w:rPr>
              <w:t>升温速率示值误差</w:t>
            </w:r>
            <w:r>
              <w:rPr>
                <w:rFonts w:hint="eastAsia" w:cs="Times New Roman"/>
                <w:sz w:val="21"/>
                <w:szCs w:val="21"/>
                <w:lang w:val="en-US" w:eastAsia="zh-CN" w:bidi="ar-SA"/>
              </w:rPr>
              <w:t>/</w:t>
            </w:r>
            <w:r>
              <w:rPr>
                <w:rFonts w:hint="eastAsia" w:ascii="Times New Roman" w:cs="Times New Roman"/>
                <w:sz w:val="21"/>
                <w:szCs w:val="21"/>
                <w:lang w:val="en-US" w:eastAsia="zh-CN"/>
              </w:rPr>
              <w:t>%</w:t>
            </w:r>
          </w:p>
        </w:tc>
        <w:tc>
          <w:tcPr>
            <w:tcW w:w="4428" w:type="dxa"/>
            <w:vAlign w:val="center"/>
          </w:tcPr>
          <w:p w14:paraId="3A583E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cs="Times New Roman"/>
                <w:sz w:val="21"/>
                <w:szCs w:val="21"/>
                <w:highlight w:val="none"/>
                <w:lang w:val="en-US" w:eastAsia="zh-CN"/>
              </w:rPr>
              <w:t>不超过</w:t>
            </w:r>
            <w:r>
              <w:rPr>
                <w:rFonts w:hint="eastAsia" w:ascii="Times New Roman" w:hAnsi="Times New Roman" w:eastAsia="宋体" w:cs="Times New Roman"/>
                <w:sz w:val="21"/>
                <w:szCs w:val="21"/>
                <w:highlight w:val="none"/>
                <w:lang w:val="en-US" w:eastAsia="zh-CN"/>
              </w:rPr>
              <w:t>±</w:t>
            </w:r>
            <w:r>
              <w:rPr>
                <w:rFonts w:hint="eastAsia" w:ascii="Times New Roman" w:cs="Times New Roman"/>
                <w:sz w:val="21"/>
                <w:szCs w:val="21"/>
                <w:lang w:val="en-US" w:eastAsia="zh-CN"/>
              </w:rPr>
              <w:t>5</w:t>
            </w:r>
          </w:p>
        </w:tc>
      </w:tr>
      <w:tr w14:paraId="599D4298">
        <w:trPr>
          <w:trHeight w:val="340" w:hRule="atLeast"/>
        </w:trPr>
        <w:tc>
          <w:tcPr>
            <w:tcW w:w="4428" w:type="dxa"/>
            <w:vAlign w:val="center"/>
          </w:tcPr>
          <w:p w14:paraId="51453D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sz w:val="21"/>
                <w:szCs w:val="21"/>
                <w:vertAlign w:val="baseline"/>
                <w:lang w:val="en-US"/>
              </w:rPr>
            </w:pPr>
            <w:r>
              <w:rPr>
                <w:rFonts w:hint="eastAsia" w:ascii="Times New Roman" w:hAnsi="Times New Roman" w:eastAsia="宋体" w:cs="Times New Roman"/>
                <w:sz w:val="21"/>
                <w:szCs w:val="21"/>
                <w:lang w:val="en-US" w:eastAsia="zh-CN" w:bidi="ar-SA"/>
              </w:rPr>
              <w:t>温度示值误差</w:t>
            </w:r>
            <w:r>
              <w:rPr>
                <w:rFonts w:hint="eastAsia" w:cs="Times New Roman"/>
                <w:sz w:val="21"/>
                <w:szCs w:val="21"/>
                <w:lang w:val="en-US" w:eastAsia="zh-CN" w:bidi="ar-SA"/>
              </w:rPr>
              <w:t>/</w:t>
            </w:r>
            <w:r>
              <w:rPr>
                <w:rFonts w:hint="eastAsia" w:hAnsi="Times New Roman" w:eastAsia="宋体" w:cs="Times New Roman"/>
                <w:sz w:val="21"/>
                <w:szCs w:val="21"/>
                <w:highlight w:val="none"/>
              </w:rPr>
              <w:t>℃</w:t>
            </w:r>
          </w:p>
        </w:tc>
        <w:tc>
          <w:tcPr>
            <w:tcW w:w="4428" w:type="dxa"/>
            <w:vAlign w:val="center"/>
          </w:tcPr>
          <w:p w14:paraId="6DF1B8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cs="Times New Roman"/>
                <w:sz w:val="21"/>
                <w:szCs w:val="21"/>
                <w:highlight w:val="none"/>
                <w:lang w:val="en-US" w:eastAsia="zh-CN"/>
              </w:rPr>
              <w:t>不超过</w:t>
            </w:r>
            <w:r>
              <w:rPr>
                <w:rFonts w:hint="eastAsia" w:ascii="Times New Roman" w:hAnsi="Times New Roman" w:eastAsia="宋体" w:cs="Times New Roman"/>
                <w:sz w:val="21"/>
                <w:szCs w:val="21"/>
                <w:highlight w:val="none"/>
                <w:lang w:val="en-US" w:eastAsia="zh-CN"/>
              </w:rPr>
              <w:t>±</w:t>
            </w:r>
            <w:r>
              <w:rPr>
                <w:rFonts w:hint="eastAsia" w:ascii="Times New Roman" w:eastAsia="宋体" w:cs="Times New Roman"/>
                <w:sz w:val="21"/>
                <w:szCs w:val="21"/>
                <w:highlight w:val="none"/>
                <w:lang w:val="en-US" w:eastAsia="zh-CN"/>
              </w:rPr>
              <w:t>6</w:t>
            </w:r>
          </w:p>
        </w:tc>
      </w:tr>
      <w:tr w14:paraId="7D569D92">
        <w:trPr>
          <w:trHeight w:val="340" w:hRule="atLeast"/>
        </w:trPr>
        <w:tc>
          <w:tcPr>
            <w:tcW w:w="4428" w:type="dxa"/>
            <w:vAlign w:val="center"/>
          </w:tcPr>
          <w:p w14:paraId="3838A2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ascii="Times New Roman" w:cs="Times New Roman"/>
                <w:sz w:val="21"/>
                <w:szCs w:val="21"/>
                <w:lang w:val="en-US" w:eastAsia="zh-CN"/>
              </w:rPr>
              <w:t>温度重复性</w:t>
            </w:r>
            <w:r>
              <w:rPr>
                <w:rFonts w:hint="eastAsia" w:cs="Times New Roman"/>
                <w:sz w:val="21"/>
                <w:szCs w:val="21"/>
                <w:lang w:val="en-US" w:eastAsia="zh-CN" w:bidi="ar-SA"/>
              </w:rPr>
              <w:t>/</w:t>
            </w:r>
            <w:r>
              <w:rPr>
                <w:rFonts w:hint="eastAsia" w:hAnsi="Times New Roman" w:eastAsia="宋体" w:cs="Times New Roman"/>
                <w:sz w:val="21"/>
                <w:szCs w:val="21"/>
                <w:highlight w:val="none"/>
              </w:rPr>
              <w:t>℃</w:t>
            </w:r>
          </w:p>
        </w:tc>
        <w:tc>
          <w:tcPr>
            <w:tcW w:w="4428" w:type="dxa"/>
            <w:vAlign w:val="center"/>
          </w:tcPr>
          <w:p w14:paraId="498671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ascii="宋体" w:hAnsi="宋体" w:eastAsia="宋体" w:cs="宋体"/>
                <w:vertAlign w:val="baseline"/>
                <w:lang w:val="en-US" w:eastAsia="zh-CN"/>
              </w:rPr>
              <w:t>≤</w:t>
            </w:r>
            <w:r>
              <w:rPr>
                <w:rFonts w:hint="eastAsia" w:ascii="Times New Roman" w:hAnsi="Times New Roman" w:cs="Times New Roman"/>
                <w:vertAlign w:val="baseline"/>
                <w:lang w:val="en-US" w:eastAsia="zh-CN"/>
              </w:rPr>
              <w:t>3</w:t>
            </w:r>
            <w:r>
              <w:rPr>
                <w:rFonts w:hint="default" w:ascii="Times New Roman" w:hAnsi="Times New Roman" w:cs="Times New Roman"/>
                <w:vertAlign w:val="baseline"/>
                <w:lang w:val="en-US" w:eastAsia="zh-CN"/>
              </w:rPr>
              <w:t>℃</w:t>
            </w:r>
          </w:p>
        </w:tc>
      </w:tr>
      <w:tr w14:paraId="03A4D64D">
        <w:trPr>
          <w:trHeight w:val="340" w:hRule="atLeast"/>
        </w:trPr>
        <w:tc>
          <w:tcPr>
            <w:tcW w:w="4428" w:type="dxa"/>
            <w:vAlign w:val="center"/>
          </w:tcPr>
          <w:p w14:paraId="524B7D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cs="Times New Roman"/>
                <w:sz w:val="21"/>
                <w:szCs w:val="21"/>
                <w:lang w:val="en-US" w:eastAsia="zh-CN"/>
              </w:rPr>
              <w:t>储能</w:t>
            </w:r>
            <w:r>
              <w:rPr>
                <w:rFonts w:hint="eastAsia" w:ascii="Times New Roman" w:cs="Times New Roman"/>
                <w:sz w:val="21"/>
                <w:szCs w:val="21"/>
                <w:lang w:val="en-US" w:eastAsia="zh-CN"/>
              </w:rPr>
              <w:t>模量示值</w:t>
            </w:r>
            <w:r>
              <w:rPr>
                <w:rFonts w:hint="eastAsia" w:ascii="Times New Roman" w:hAnsi="Times New Roman" w:eastAsia="宋体" w:cs="Times New Roman"/>
                <w:sz w:val="21"/>
                <w:szCs w:val="21"/>
                <w:lang w:val="en-US" w:eastAsia="zh-CN" w:bidi="ar-SA"/>
              </w:rPr>
              <w:t>误差</w:t>
            </w:r>
            <w:r>
              <w:rPr>
                <w:rFonts w:hint="eastAsia" w:cs="Times New Roman"/>
                <w:sz w:val="21"/>
                <w:szCs w:val="21"/>
                <w:lang w:val="en-US" w:eastAsia="zh-CN" w:bidi="ar-SA"/>
              </w:rPr>
              <w:t>/</w:t>
            </w:r>
            <w:r>
              <w:rPr>
                <w:rFonts w:hint="eastAsia" w:ascii="Times New Roman" w:cs="Times New Roman"/>
                <w:sz w:val="21"/>
                <w:szCs w:val="21"/>
                <w:lang w:val="en-US" w:eastAsia="zh-CN"/>
              </w:rPr>
              <w:t>%</w:t>
            </w:r>
          </w:p>
        </w:tc>
        <w:tc>
          <w:tcPr>
            <w:tcW w:w="4428" w:type="dxa"/>
            <w:vAlign w:val="center"/>
          </w:tcPr>
          <w:p w14:paraId="086E30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ascii="Times New Roman" w:cs="Times New Roman"/>
                <w:sz w:val="21"/>
                <w:szCs w:val="21"/>
                <w:lang w:val="en-US" w:eastAsia="zh-CN"/>
              </w:rPr>
              <w:t>不超过</w:t>
            </w:r>
            <w:r>
              <w:rPr>
                <w:rFonts w:hint="eastAsia" w:ascii="Times New Roman" w:hAnsi="Times New Roman" w:eastAsia="宋体" w:cs="Times New Roman"/>
                <w:sz w:val="21"/>
                <w:szCs w:val="21"/>
                <w:highlight w:val="none"/>
                <w:lang w:val="en-US" w:eastAsia="zh-CN"/>
              </w:rPr>
              <w:t>±</w:t>
            </w:r>
            <w:r>
              <w:rPr>
                <w:rFonts w:hint="eastAsia" w:ascii="Times New Roman" w:eastAsia="宋体" w:cs="Times New Roman"/>
                <w:sz w:val="21"/>
                <w:szCs w:val="21"/>
                <w:highlight w:val="none"/>
                <w:lang w:val="en-US" w:eastAsia="zh-CN"/>
              </w:rPr>
              <w:t>1</w:t>
            </w:r>
            <w:r>
              <w:rPr>
                <w:rFonts w:hint="eastAsia" w:eastAsia="宋体" w:cs="Times New Roman"/>
                <w:sz w:val="21"/>
                <w:szCs w:val="21"/>
                <w:highlight w:val="none"/>
                <w:lang w:val="en-US" w:eastAsia="zh-CN"/>
              </w:rPr>
              <w:t>5</w:t>
            </w:r>
          </w:p>
        </w:tc>
      </w:tr>
      <w:tr w14:paraId="395A0815">
        <w:trPr>
          <w:trHeight w:val="340" w:hRule="atLeast"/>
        </w:trPr>
        <w:tc>
          <w:tcPr>
            <w:tcW w:w="4428" w:type="dxa"/>
            <w:vAlign w:val="center"/>
          </w:tcPr>
          <w:p w14:paraId="73C4DF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cs="Times New Roman"/>
                <w:sz w:val="21"/>
                <w:szCs w:val="21"/>
                <w:lang w:val="en-US" w:eastAsia="zh-CN"/>
              </w:rPr>
              <w:t>储能</w:t>
            </w:r>
            <w:r>
              <w:rPr>
                <w:rFonts w:hint="eastAsia" w:ascii="Times New Roman" w:cs="Times New Roman"/>
                <w:sz w:val="21"/>
                <w:szCs w:val="21"/>
                <w:lang w:val="en-US" w:eastAsia="zh-CN"/>
              </w:rPr>
              <w:t>模量重复性</w:t>
            </w:r>
            <w:r>
              <w:rPr>
                <w:rFonts w:hint="eastAsia" w:cs="Times New Roman"/>
                <w:sz w:val="21"/>
                <w:szCs w:val="21"/>
                <w:lang w:val="en-US" w:eastAsia="zh-CN" w:bidi="ar-SA"/>
              </w:rPr>
              <w:t>/</w:t>
            </w:r>
            <w:r>
              <w:rPr>
                <w:rFonts w:hint="eastAsia" w:ascii="Times New Roman" w:cs="Times New Roman"/>
                <w:sz w:val="21"/>
                <w:szCs w:val="21"/>
                <w:lang w:val="en-US" w:eastAsia="zh-CN"/>
              </w:rPr>
              <w:t>%</w:t>
            </w:r>
          </w:p>
        </w:tc>
        <w:tc>
          <w:tcPr>
            <w:tcW w:w="4428" w:type="dxa"/>
            <w:vAlign w:val="center"/>
          </w:tcPr>
          <w:p w14:paraId="57C2C2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sz w:val="21"/>
                <w:szCs w:val="21"/>
                <w:vertAlign w:val="baseline"/>
              </w:rPr>
            </w:pPr>
            <w:r>
              <w:rPr>
                <w:rFonts w:hint="eastAsia" w:ascii="宋体" w:hAnsi="宋体" w:eastAsia="宋体" w:cs="宋体"/>
                <w:vertAlign w:val="baseline"/>
                <w:lang w:val="en-US" w:eastAsia="zh-CN"/>
              </w:rPr>
              <w:t>≤</w:t>
            </w:r>
            <w:r>
              <w:rPr>
                <w:rFonts w:hint="eastAsia" w:ascii="Times New Roman" w:cs="Times New Roman"/>
                <w:vertAlign w:val="baseline"/>
                <w:lang w:val="en-US" w:eastAsia="zh-CN"/>
              </w:rPr>
              <w:t>3</w:t>
            </w:r>
          </w:p>
        </w:tc>
      </w:tr>
      <w:tr w14:paraId="27C54A0E">
        <w:trPr>
          <w:trHeight w:val="232" w:hRule="atLeast"/>
        </w:trPr>
        <w:tc>
          <w:tcPr>
            <w:tcW w:w="8856" w:type="dxa"/>
            <w:gridSpan w:val="2"/>
            <w:vAlign w:val="center"/>
          </w:tcPr>
          <w:p w14:paraId="6439C19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华文仿宋" w:hAnsi="华文仿宋" w:eastAsia="华文仿宋" w:cs="华文仿宋"/>
                <w:sz w:val="21"/>
                <w:szCs w:val="21"/>
                <w:vertAlign w:val="baseline"/>
                <w:lang w:val="en-US" w:eastAsia="zh-CN"/>
              </w:rPr>
              <w:t>注：如果仪器本身不具备样品测长功能，则不需要进行位移示值误差校准。</w:t>
            </w:r>
          </w:p>
        </w:tc>
      </w:tr>
    </w:tbl>
    <w:p w14:paraId="54CDD2D9">
      <w:pPr>
        <w:keepNext w:val="0"/>
        <w:keepLines w:val="0"/>
        <w:pageBreakBefore w:val="0"/>
        <w:widowControl w:val="0"/>
        <w:kinsoku/>
        <w:wordWrap/>
        <w:overflowPunct/>
        <w:topLinePunct w:val="0"/>
        <w:autoSpaceDE/>
        <w:autoSpaceDN/>
        <w:bidi w:val="0"/>
        <w:adjustRightInd/>
        <w:snapToGrid/>
        <w:spacing w:line="400" w:lineRule="exact"/>
        <w:ind w:leftChars="0" w:firstLine="420" w:firstLineChars="200"/>
        <w:textAlignment w:val="auto"/>
        <w:rPr>
          <w:rFonts w:hint="eastAsia" w:eastAsiaTheme="minorEastAsia"/>
          <w:b w:val="0"/>
          <w:bCs w:val="0"/>
          <w:kern w:val="0"/>
          <w:szCs w:val="21"/>
          <w:lang w:val="en-US" w:eastAsia="zh-CN"/>
        </w:rPr>
      </w:pPr>
      <w:r>
        <w:rPr>
          <w:rFonts w:hint="eastAsia" w:eastAsiaTheme="minorEastAsia"/>
          <w:b w:val="0"/>
          <w:bCs w:val="0"/>
          <w:kern w:val="0"/>
          <w:szCs w:val="21"/>
          <w:lang w:val="en-US" w:eastAsia="zh-CN"/>
        </w:rPr>
        <w:t>编制理由：</w:t>
      </w:r>
    </w:p>
    <w:p w14:paraId="385F5CE2">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lang w:val="en-US" w:eastAsia="zh-CN"/>
        </w:rPr>
      </w:pPr>
      <w:r>
        <w:rPr>
          <w:rFonts w:hint="eastAsia"/>
          <w:b w:val="0"/>
          <w:bCs w:val="0"/>
          <w:lang w:val="en-US" w:eastAsia="zh-CN"/>
        </w:rPr>
        <w:t>动态热机械分析仪的模量和温度测量是主要参数，本规范对主要参数的技术指标做出规定。</w:t>
      </w:r>
    </w:p>
    <w:p w14:paraId="014EAA00">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lang w:val="en-US" w:eastAsia="zh-CN"/>
        </w:rPr>
      </w:pPr>
      <w:r>
        <w:rPr>
          <w:rFonts w:hint="eastAsia"/>
          <w:sz w:val="21"/>
          <w:szCs w:val="21"/>
          <w:vertAlign w:val="baseline"/>
          <w:lang w:val="en-US" w:eastAsia="zh-CN"/>
        </w:rPr>
        <w:t>位移示值误差</w:t>
      </w:r>
      <w:r>
        <w:rPr>
          <w:rFonts w:hint="eastAsia" w:cs="Times New Roman"/>
          <w:sz w:val="21"/>
          <w:szCs w:val="21"/>
          <w:highlight w:val="none"/>
          <w:lang w:val="en-US" w:eastAsia="zh-CN"/>
        </w:rPr>
        <w:t>不超过</w:t>
      </w:r>
      <w:r>
        <w:rPr>
          <w:rFonts w:hint="eastAsia" w:ascii="Times New Roman" w:hAnsi="Times New Roman" w:eastAsia="宋体" w:cs="Times New Roman"/>
          <w:sz w:val="21"/>
          <w:szCs w:val="21"/>
          <w:highlight w:val="none"/>
          <w:lang w:val="en-US" w:eastAsia="zh-CN"/>
        </w:rPr>
        <w:t>±</w:t>
      </w:r>
      <w:r>
        <w:rPr>
          <w:rFonts w:hint="eastAsia" w:ascii="Times New Roman" w:eastAsia="宋体" w:cs="Times New Roman"/>
          <w:sz w:val="21"/>
          <w:szCs w:val="21"/>
          <w:highlight w:val="none"/>
          <w:lang w:val="en-US" w:eastAsia="zh-CN"/>
        </w:rPr>
        <w:t>0.05</w:t>
      </w:r>
      <w:r>
        <w:rPr>
          <w:rFonts w:hint="default" w:eastAsia="宋体" w:cs="Times New Roman"/>
          <w:sz w:val="21"/>
          <w:szCs w:val="21"/>
          <w:highlight w:val="none"/>
          <w:lang w:val="en-US" w:eastAsia="zh-CN"/>
        </w:rPr>
        <w:t>mm</w:t>
      </w:r>
      <w:r>
        <w:rPr>
          <w:rFonts w:hint="eastAsia"/>
          <w:sz w:val="21"/>
          <w:szCs w:val="21"/>
          <w:vertAlign w:val="baseline"/>
          <w:lang w:val="en-US" w:eastAsia="zh-CN"/>
        </w:rPr>
        <w:t>：根据</w:t>
      </w:r>
      <w:r>
        <w:rPr>
          <w:rFonts w:hint="default"/>
          <w:sz w:val="21"/>
          <w:szCs w:val="21"/>
          <w:vertAlign w:val="baseline"/>
          <w:lang w:val="en-US" w:eastAsia="zh-CN"/>
        </w:rPr>
        <w:t>GB/T 33061.1</w:t>
      </w:r>
      <w:r>
        <w:rPr>
          <w:rFonts w:hint="eastAsia"/>
          <w:b w:val="0"/>
          <w:bCs w:val="0"/>
          <w:szCs w:val="21"/>
          <w:lang w:val="en-US" w:eastAsia="zh-CN"/>
        </w:rPr>
        <w:t>《塑料 动态力学性能的测定 第一部分：通则》5.6中的测量试样尺寸仪器精度应达到</w:t>
      </w:r>
      <w:r>
        <w:rPr>
          <w:rFonts w:hint="eastAsia" w:ascii="Times New Roman" w:hAnsi="Times New Roman" w:eastAsia="宋体" w:cs="Times New Roman"/>
          <w:sz w:val="21"/>
          <w:szCs w:val="21"/>
          <w:highlight w:val="none"/>
          <w:lang w:val="en-US" w:eastAsia="zh-CN"/>
        </w:rPr>
        <w:t>±</w:t>
      </w:r>
      <w:r>
        <w:rPr>
          <w:rFonts w:hint="eastAsia" w:ascii="Times New Roman" w:eastAsia="宋体" w:cs="Times New Roman"/>
          <w:sz w:val="21"/>
          <w:szCs w:val="21"/>
          <w:highlight w:val="none"/>
          <w:lang w:val="en-US" w:eastAsia="zh-CN"/>
        </w:rPr>
        <w:t>0.05</w:t>
      </w:r>
      <w:r>
        <w:rPr>
          <w:rFonts w:hint="default" w:eastAsia="宋体" w:cs="Times New Roman"/>
          <w:sz w:val="21"/>
          <w:szCs w:val="21"/>
          <w:highlight w:val="none"/>
          <w:lang w:val="en-US" w:eastAsia="zh-CN"/>
        </w:rPr>
        <w:t>mm</w:t>
      </w:r>
      <w:r>
        <w:rPr>
          <w:rFonts w:hint="eastAsia" w:eastAsia="宋体" w:cs="Times New Roman"/>
          <w:sz w:val="21"/>
          <w:szCs w:val="21"/>
          <w:highlight w:val="none"/>
          <w:lang w:val="en-US" w:eastAsia="zh-CN"/>
        </w:rPr>
        <w:t>。</w:t>
      </w:r>
    </w:p>
    <w:p w14:paraId="3768A8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420" w:firstLineChars="200"/>
        <w:textAlignment w:val="auto"/>
        <w:rPr>
          <w:rFonts w:hint="default" w:eastAsia="宋体" w:cstheme="majorBidi"/>
          <w:b w:val="0"/>
          <w:bCs w:val="0"/>
          <w:kern w:val="44"/>
          <w:lang w:val="en-US" w:eastAsia="zh-CN"/>
        </w:rPr>
      </w:pPr>
      <w:r>
        <w:rPr>
          <w:rFonts w:hint="eastAsia" w:ascii="Times New Roman" w:hAnsi="Times New Roman" w:eastAsia="宋体" w:cs="Times New Roman"/>
          <w:sz w:val="21"/>
          <w:szCs w:val="21"/>
          <w:lang w:val="en-US" w:eastAsia="zh-CN" w:bidi="ar-SA"/>
        </w:rPr>
        <w:t>升温速率示值误差</w:t>
      </w:r>
      <w:r>
        <w:rPr>
          <w:rFonts w:hint="eastAsia" w:cs="Times New Roman"/>
          <w:sz w:val="21"/>
          <w:szCs w:val="21"/>
          <w:highlight w:val="none"/>
          <w:lang w:val="en-US" w:eastAsia="zh-CN"/>
        </w:rPr>
        <w:t>不超过</w:t>
      </w:r>
      <w:r>
        <w:rPr>
          <w:rFonts w:hint="eastAsia" w:ascii="Times New Roman" w:hAnsi="Times New Roman" w:eastAsia="宋体" w:cs="Times New Roman"/>
          <w:sz w:val="21"/>
          <w:szCs w:val="21"/>
          <w:highlight w:val="none"/>
          <w:lang w:val="en-US" w:eastAsia="zh-CN"/>
        </w:rPr>
        <w:t>±</w:t>
      </w:r>
      <w:r>
        <w:rPr>
          <w:rFonts w:hint="eastAsia" w:ascii="Times New Roman" w:cs="Times New Roman"/>
          <w:sz w:val="21"/>
          <w:szCs w:val="21"/>
          <w:lang w:val="en-US" w:eastAsia="zh-CN"/>
        </w:rPr>
        <w:t>5%</w:t>
      </w:r>
      <w:r>
        <w:rPr>
          <w:rFonts w:hint="eastAsia" w:cs="Times New Roman"/>
          <w:sz w:val="21"/>
          <w:szCs w:val="21"/>
          <w:lang w:val="en-US" w:eastAsia="zh-CN"/>
        </w:rPr>
        <w:t xml:space="preserve"> ：根据</w:t>
      </w:r>
      <w:r>
        <w:rPr>
          <w:rFonts w:hint="default"/>
          <w:sz w:val="21"/>
          <w:szCs w:val="21"/>
          <w:vertAlign w:val="baseline"/>
          <w:lang w:val="en-US" w:eastAsia="zh-CN"/>
        </w:rPr>
        <w:t>GB/T 33061.1</w:t>
      </w:r>
      <w:r>
        <w:rPr>
          <w:rFonts w:hint="eastAsia"/>
          <w:sz w:val="21"/>
          <w:szCs w:val="21"/>
          <w:vertAlign w:val="baseline"/>
          <w:lang w:val="en-US" w:eastAsia="zh-CN"/>
        </w:rPr>
        <w:t>1</w:t>
      </w:r>
      <w:r>
        <w:rPr>
          <w:rFonts w:hint="eastAsia"/>
          <w:b w:val="0"/>
          <w:bCs w:val="0"/>
          <w:szCs w:val="21"/>
          <w:lang w:val="en-US" w:eastAsia="zh-CN"/>
        </w:rPr>
        <w:t>《塑料 动态力学性能的测定 第111部分：玻璃化转变温度》5</w:t>
      </w:r>
      <w:r>
        <w:rPr>
          <w:rFonts w:hint="default"/>
          <w:b w:val="0"/>
          <w:bCs w:val="0"/>
          <w:szCs w:val="21"/>
          <w:lang w:val="en-US" w:eastAsia="zh-CN"/>
        </w:rPr>
        <w:t>.</w:t>
      </w:r>
      <w:r>
        <w:rPr>
          <w:rFonts w:hint="eastAsia"/>
          <w:b w:val="0"/>
          <w:bCs w:val="0"/>
          <w:szCs w:val="21"/>
          <w:lang w:val="en-US" w:eastAsia="zh-CN"/>
        </w:rPr>
        <w:t>1中的试验设备升温速率精度应优于</w:t>
      </w:r>
      <w:r>
        <w:rPr>
          <w:rFonts w:hint="eastAsia" w:ascii="Times New Roman" w:hAnsi="Times New Roman" w:eastAsia="宋体" w:cs="Times New Roman"/>
          <w:sz w:val="21"/>
          <w:szCs w:val="21"/>
          <w:highlight w:val="none"/>
          <w:lang w:val="en-US" w:eastAsia="zh-CN"/>
        </w:rPr>
        <w:t>±</w:t>
      </w:r>
      <w:r>
        <w:rPr>
          <w:rFonts w:hint="eastAsia" w:ascii="Times New Roman" w:cs="Times New Roman"/>
          <w:sz w:val="21"/>
          <w:szCs w:val="21"/>
          <w:lang w:val="en-US" w:eastAsia="zh-CN"/>
        </w:rPr>
        <w:t>5%</w:t>
      </w:r>
      <w:r>
        <w:rPr>
          <w:rFonts w:hint="eastAsia" w:cs="Times New Roman"/>
          <w:sz w:val="21"/>
          <w:szCs w:val="21"/>
          <w:lang w:val="en-US" w:eastAsia="zh-CN"/>
        </w:rPr>
        <w:t>。</w:t>
      </w:r>
    </w:p>
    <w:p w14:paraId="198E2038">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420" w:firstLineChars="200"/>
        <w:textAlignment w:val="auto"/>
        <w:rPr>
          <w:rFonts w:hint="default" w:eastAsia="宋体" w:cstheme="majorBidi"/>
          <w:b w:val="0"/>
          <w:bCs w:val="0"/>
          <w:kern w:val="44"/>
          <w:lang w:val="en-US" w:eastAsia="zh-CN"/>
        </w:rPr>
      </w:pPr>
      <w:r>
        <w:rPr>
          <w:rFonts w:hint="eastAsia" w:ascii="Times New Roman" w:hAnsi="Times New Roman" w:eastAsia="宋体" w:cs="Times New Roman"/>
          <w:sz w:val="21"/>
          <w:szCs w:val="21"/>
          <w:lang w:val="en-US" w:eastAsia="zh-CN" w:bidi="ar-SA"/>
        </w:rPr>
        <w:t>温度示值误差</w:t>
      </w:r>
      <w:r>
        <w:rPr>
          <w:rFonts w:hint="eastAsia" w:eastAsia="宋体" w:cs="Times New Roman"/>
          <w:sz w:val="21"/>
          <w:szCs w:val="21"/>
          <w:lang w:val="en-US" w:eastAsia="zh-CN" w:bidi="ar-SA"/>
        </w:rPr>
        <w:t>、</w:t>
      </w:r>
      <w:r>
        <w:rPr>
          <w:rFonts w:hint="eastAsia" w:ascii="Times New Roman" w:cs="Times New Roman"/>
          <w:sz w:val="21"/>
          <w:szCs w:val="21"/>
          <w:lang w:val="en-US" w:eastAsia="zh-CN"/>
        </w:rPr>
        <w:t>温度重复性</w:t>
      </w:r>
      <w:r>
        <w:rPr>
          <w:rFonts w:hint="eastAsia" w:cs="Times New Roman"/>
          <w:sz w:val="21"/>
          <w:szCs w:val="21"/>
          <w:lang w:val="en-US" w:eastAsia="zh-CN"/>
        </w:rPr>
        <w:t>：参考</w:t>
      </w:r>
      <w:r>
        <w:rPr>
          <w:rFonts w:hint="eastAsia"/>
          <w:b w:val="0"/>
          <w:bCs w:val="0"/>
          <w:szCs w:val="21"/>
          <w:lang w:val="en-US" w:eastAsia="zh-CN"/>
        </w:rPr>
        <w:t>JJG 936-2012《示差扫描热量计》4中的计量性能要求，</w:t>
      </w:r>
      <w:r>
        <w:rPr>
          <w:rFonts w:hint="eastAsia" w:cstheme="majorBidi"/>
          <w:b w:val="0"/>
          <w:bCs w:val="0"/>
          <w:kern w:val="44"/>
          <w:lang w:val="en-US" w:eastAsia="zh-CN"/>
        </w:rPr>
        <w:t>并经实验室验证，该校准要求可以满足实验室使用规范。</w:t>
      </w:r>
    </w:p>
    <w:p w14:paraId="3452EFCB">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420" w:firstLineChars="200"/>
        <w:textAlignment w:val="auto"/>
        <w:rPr>
          <w:rFonts w:cstheme="majorBidi"/>
          <w:b w:val="0"/>
          <w:bCs w:val="0"/>
          <w:kern w:val="44"/>
        </w:rPr>
      </w:pPr>
      <w:r>
        <w:rPr>
          <w:rFonts w:hint="eastAsia" w:cs="Times New Roman"/>
          <w:sz w:val="21"/>
          <w:szCs w:val="21"/>
          <w:lang w:val="en-US" w:eastAsia="zh-CN"/>
        </w:rPr>
        <w:t>储能</w:t>
      </w:r>
      <w:r>
        <w:rPr>
          <w:rFonts w:hint="eastAsia" w:ascii="Times New Roman" w:cs="Times New Roman"/>
          <w:sz w:val="21"/>
          <w:szCs w:val="21"/>
          <w:lang w:val="en-US" w:eastAsia="zh-CN"/>
        </w:rPr>
        <w:t>模量示值</w:t>
      </w:r>
      <w:r>
        <w:rPr>
          <w:rFonts w:hint="eastAsia" w:ascii="Times New Roman" w:hAnsi="Times New Roman" w:eastAsia="宋体" w:cs="Times New Roman"/>
          <w:sz w:val="21"/>
          <w:szCs w:val="21"/>
          <w:lang w:val="en-US" w:eastAsia="zh-CN" w:bidi="ar-SA"/>
        </w:rPr>
        <w:t>误差</w:t>
      </w:r>
      <w:r>
        <w:rPr>
          <w:rFonts w:hint="eastAsia" w:eastAsia="宋体" w:cs="Times New Roman"/>
          <w:sz w:val="21"/>
          <w:szCs w:val="21"/>
          <w:lang w:val="en-US" w:eastAsia="zh-CN" w:bidi="ar-SA"/>
        </w:rPr>
        <w:t>、</w:t>
      </w:r>
      <w:r>
        <w:rPr>
          <w:rFonts w:hint="eastAsia" w:cs="Times New Roman"/>
          <w:sz w:val="21"/>
          <w:szCs w:val="21"/>
          <w:lang w:val="en-US" w:eastAsia="zh-CN"/>
        </w:rPr>
        <w:t>储能</w:t>
      </w:r>
      <w:r>
        <w:rPr>
          <w:rFonts w:hint="eastAsia" w:ascii="Times New Roman" w:cs="Times New Roman"/>
          <w:sz w:val="21"/>
          <w:szCs w:val="21"/>
          <w:lang w:val="en-US" w:eastAsia="zh-CN"/>
        </w:rPr>
        <w:t>模量重复性</w:t>
      </w:r>
      <w:r>
        <w:rPr>
          <w:rFonts w:hint="eastAsia" w:cs="Times New Roman"/>
          <w:sz w:val="21"/>
          <w:szCs w:val="21"/>
          <w:lang w:val="en-US" w:eastAsia="zh-CN"/>
        </w:rPr>
        <w:t>：</w:t>
      </w:r>
      <w:r>
        <w:rPr>
          <w:rFonts w:hint="eastAsia" w:cstheme="majorBidi"/>
          <w:b w:val="0"/>
          <w:bCs w:val="0"/>
          <w:kern w:val="44"/>
          <w:lang w:val="en-US" w:eastAsia="zh-CN"/>
        </w:rPr>
        <w:t>经实验室验证，该校准要求可以满足实验室使用规范。</w:t>
      </w:r>
    </w:p>
    <w:p w14:paraId="160736D5">
      <w:pPr>
        <w:pStyle w:val="4"/>
        <w:spacing w:before="156" w:after="156"/>
        <w:rPr>
          <w:b w:val="0"/>
          <w:bCs w:val="0"/>
        </w:rPr>
      </w:pPr>
      <w:r>
        <w:rPr>
          <w:rFonts w:hint="eastAsia"/>
          <w:b w:val="0"/>
          <w:bCs w:val="0"/>
        </w:rPr>
        <w:t>5 校准条件</w:t>
      </w:r>
      <w:bookmarkEnd w:id="41"/>
      <w:bookmarkStart w:id="42" w:name="_Toc193860214"/>
      <w:bookmarkStart w:id="43" w:name="_Toc500258942"/>
      <w:bookmarkStart w:id="44" w:name="_Toc193860033"/>
      <w:bookmarkStart w:id="45" w:name="_Toc193860183"/>
    </w:p>
    <w:p w14:paraId="6C496608">
      <w:pPr>
        <w:spacing w:line="400" w:lineRule="exact"/>
        <w:rPr>
          <w:rFonts w:cstheme="majorBidi"/>
          <w:kern w:val="44"/>
        </w:rPr>
      </w:pPr>
      <w:bookmarkStart w:id="46" w:name="_Toc161838411"/>
      <w:bookmarkStart w:id="47" w:name="_Toc533963948"/>
      <w:r>
        <w:rPr>
          <w:rFonts w:cstheme="majorBidi"/>
          <w:kern w:val="44"/>
        </w:rPr>
        <w:t>5.1 环境条件</w:t>
      </w:r>
      <w:bookmarkEnd w:id="46"/>
      <w:bookmarkEnd w:id="47"/>
    </w:p>
    <w:p w14:paraId="3AEEC420">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 xml:space="preserve">5.1.1 环境温度；(15～30)℃。 </w:t>
      </w:r>
    </w:p>
    <w:p w14:paraId="41B8AF97">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 xml:space="preserve">5.1.2 相对湿度：≤85%RH。 </w:t>
      </w:r>
    </w:p>
    <w:p w14:paraId="2350FDB8">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 xml:space="preserve">5.1.3 仪器应置于平稳且牢固的工作台上，并调至水平状态，周围无影响仪器正常工 </w:t>
      </w:r>
    </w:p>
    <w:p w14:paraId="5CC3A5FE">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 xml:space="preserve">作的震源。在校准过程中避免触碰实验台，以消除震动干扰。 </w:t>
      </w:r>
    </w:p>
    <w:p w14:paraId="3E49B995">
      <w:pPr>
        <w:spacing w:line="360" w:lineRule="auto"/>
        <w:ind w:firstLine="420" w:firstLineChars="200"/>
        <w:rPr>
          <w:rFonts w:hint="eastAsia" w:eastAsiaTheme="minorEastAsia"/>
          <w:b w:val="0"/>
          <w:bCs w:val="0"/>
          <w:szCs w:val="21"/>
        </w:rPr>
      </w:pPr>
      <w:r>
        <w:rPr>
          <w:rFonts w:hint="eastAsia" w:eastAsiaTheme="minorEastAsia"/>
          <w:b w:val="0"/>
          <w:bCs w:val="0"/>
          <w:szCs w:val="21"/>
          <w:lang w:val="en-US" w:eastAsia="zh-CN"/>
        </w:rPr>
        <w:t>5.1.4 检定场所应通风良好，没有热辐射影响，不应有易燃、易爆物及腐蚀性气体。</w:t>
      </w:r>
    </w:p>
    <w:p w14:paraId="7679DAAA">
      <w:pPr>
        <w:spacing w:line="360" w:lineRule="auto"/>
        <w:ind w:firstLine="420" w:firstLineChars="200"/>
        <w:rPr>
          <w:rFonts w:hint="eastAsia" w:eastAsiaTheme="minorEastAsia"/>
          <w:b w:val="0"/>
          <w:bCs w:val="0"/>
          <w:szCs w:val="21"/>
          <w:lang w:val="en-US" w:eastAsia="zh-CN"/>
        </w:rPr>
      </w:pPr>
      <w:r>
        <w:rPr>
          <w:rFonts w:hint="eastAsia" w:eastAsiaTheme="minorEastAsia"/>
          <w:b w:val="0"/>
          <w:bCs w:val="0"/>
          <w:szCs w:val="21"/>
          <w:lang w:val="en-US" w:eastAsia="zh-CN"/>
        </w:rPr>
        <w:t>编制理由：</w:t>
      </w:r>
    </w:p>
    <w:p w14:paraId="32C478F6">
      <w:pPr>
        <w:spacing w:line="360" w:lineRule="auto"/>
        <w:ind w:firstLine="420" w:firstLineChars="200"/>
        <w:rPr>
          <w:rFonts w:hint="default" w:eastAsiaTheme="minorEastAsia"/>
          <w:b w:val="0"/>
          <w:bCs w:val="0"/>
          <w:szCs w:val="21"/>
          <w:lang w:val="en-US" w:eastAsia="zh-CN"/>
        </w:rPr>
      </w:pPr>
      <w:r>
        <w:rPr>
          <w:rFonts w:hint="eastAsia" w:eastAsiaTheme="minorEastAsia"/>
          <w:b w:val="0"/>
          <w:bCs w:val="0"/>
          <w:szCs w:val="21"/>
          <w:lang w:val="en-US" w:eastAsia="zh-CN"/>
        </w:rPr>
        <w:t>实验室环境条件根据市场上90%以上的仪器制造商规定的环境条件确定。</w:t>
      </w:r>
    </w:p>
    <w:p w14:paraId="18CD4457">
      <w:pPr>
        <w:spacing w:line="400" w:lineRule="exact"/>
        <w:rPr>
          <w:rFonts w:cstheme="majorBidi"/>
          <w:kern w:val="44"/>
        </w:rPr>
      </w:pPr>
      <w:bookmarkStart w:id="48" w:name="_Toc533963949"/>
      <w:bookmarkStart w:id="49" w:name="_Toc161838412"/>
      <w:r>
        <w:rPr>
          <w:rFonts w:cstheme="majorBidi"/>
          <w:kern w:val="44"/>
        </w:rPr>
        <w:t>5.2</w:t>
      </w:r>
      <w:bookmarkEnd w:id="48"/>
      <w:r>
        <w:rPr>
          <w:rFonts w:cstheme="majorBidi"/>
          <w:kern w:val="44"/>
        </w:rPr>
        <w:t xml:space="preserve"> 测量标准</w:t>
      </w:r>
      <w:bookmarkEnd w:id="49"/>
    </w:p>
    <w:p w14:paraId="32C21AFB">
      <w:pPr>
        <w:spacing w:line="324" w:lineRule="auto"/>
        <w:ind w:firstLine="420" w:firstLineChars="200"/>
        <w:outlineLvl w:val="1"/>
        <w:rPr>
          <w:rFonts w:hint="eastAsia"/>
          <w:szCs w:val="21"/>
          <w:highlight w:val="yellow"/>
        </w:rPr>
      </w:pPr>
      <w:r>
        <w:rPr>
          <w:rFonts w:hint="eastAsia"/>
          <w:szCs w:val="21"/>
        </w:rPr>
        <w:t>测</w:t>
      </w:r>
      <w:r>
        <w:rPr>
          <w:rFonts w:hint="eastAsia"/>
          <w:szCs w:val="21"/>
          <w:highlight w:val="none"/>
        </w:rPr>
        <w:t>量标准及其他</w:t>
      </w:r>
      <w:r>
        <w:rPr>
          <w:rFonts w:hint="eastAsia"/>
          <w:szCs w:val="21"/>
          <w:highlight w:val="none"/>
          <w:lang w:val="en-US" w:eastAsia="zh-CN"/>
        </w:rPr>
        <w:t>辅助</w:t>
      </w:r>
      <w:r>
        <w:rPr>
          <w:rFonts w:hint="eastAsia"/>
          <w:szCs w:val="21"/>
          <w:highlight w:val="none"/>
        </w:rPr>
        <w:t>设备</w:t>
      </w:r>
      <w:r>
        <w:rPr>
          <w:rFonts w:hint="eastAsia"/>
          <w:szCs w:val="21"/>
          <w:highlight w:val="none"/>
          <w:lang w:eastAsia="zh-CN"/>
        </w:rPr>
        <w:t>，</w:t>
      </w:r>
      <w:r>
        <w:rPr>
          <w:rFonts w:hint="eastAsia"/>
          <w:szCs w:val="21"/>
          <w:highlight w:val="none"/>
        </w:rPr>
        <w:t>包括</w:t>
      </w:r>
      <w:r>
        <w:rPr>
          <w:rFonts w:hint="eastAsia"/>
          <w:szCs w:val="21"/>
          <w:highlight w:val="none"/>
          <w:lang w:val="en-US" w:eastAsia="zh-CN"/>
        </w:rPr>
        <w:t>卡尺、量</w:t>
      </w:r>
      <w:r>
        <w:rPr>
          <w:rFonts w:hint="eastAsia"/>
          <w:szCs w:val="21"/>
          <w:highlight w:val="none"/>
        </w:rPr>
        <w:t>块、</w:t>
      </w:r>
      <w:bookmarkStart w:id="50" w:name="_Toc32032"/>
      <w:r>
        <w:rPr>
          <w:rFonts w:hint="eastAsia" w:ascii="Times New Roman" w:hAnsi="Times New Roman" w:cs="Times New Roman"/>
          <w:b w:val="0"/>
          <w:bCs w:val="0"/>
          <w:sz w:val="21"/>
          <w:szCs w:val="21"/>
          <w:highlight w:val="none"/>
          <w:lang w:val="en-US" w:eastAsia="zh-CN"/>
        </w:rPr>
        <w:t>电子秒表</w:t>
      </w:r>
      <w:bookmarkEnd w:id="50"/>
      <w:r>
        <w:rPr>
          <w:rFonts w:hint="eastAsia"/>
          <w:szCs w:val="21"/>
          <w:highlight w:val="none"/>
        </w:rPr>
        <w:t>、</w:t>
      </w:r>
      <w:bookmarkStart w:id="51" w:name="_Toc8161"/>
      <w:r>
        <w:rPr>
          <w:rFonts w:hint="eastAsia" w:ascii="Times New Roman" w:hAnsi="Times New Roman" w:cs="Times New Roman"/>
          <w:b w:val="0"/>
          <w:bCs w:val="0"/>
          <w:sz w:val="21"/>
          <w:szCs w:val="21"/>
          <w:highlight w:val="none"/>
          <w:lang w:val="en-US" w:eastAsia="zh-CN"/>
        </w:rPr>
        <w:t>热分析标准物质</w:t>
      </w:r>
      <w:bookmarkEnd w:id="51"/>
      <w:r>
        <w:rPr>
          <w:rFonts w:hint="eastAsia"/>
          <w:szCs w:val="21"/>
          <w:highlight w:val="none"/>
        </w:rPr>
        <w:t>、</w:t>
      </w:r>
      <w:bookmarkStart w:id="52" w:name="_Toc19079"/>
      <w:r>
        <w:rPr>
          <w:rFonts w:hint="eastAsia" w:ascii="Times New Roman" w:hAnsi="Times New Roman" w:cs="Times New Roman"/>
          <w:b w:val="0"/>
          <w:bCs w:val="0"/>
          <w:sz w:val="21"/>
          <w:szCs w:val="21"/>
          <w:highlight w:val="none"/>
          <w:lang w:val="en-US" w:eastAsia="zh-CN"/>
        </w:rPr>
        <w:t>玻璃化转变温度标准物质</w:t>
      </w:r>
      <w:bookmarkEnd w:id="52"/>
      <w:r>
        <w:rPr>
          <w:rFonts w:hint="eastAsia"/>
          <w:szCs w:val="21"/>
          <w:highlight w:val="none"/>
        </w:rPr>
        <w:t>、</w:t>
      </w:r>
      <w:bookmarkStart w:id="53" w:name="_Toc14797"/>
      <w:r>
        <w:rPr>
          <w:rFonts w:hint="eastAsia" w:ascii="Times New Roman" w:hAnsi="Times New Roman" w:cs="Times New Roman"/>
          <w:b w:val="0"/>
          <w:bCs w:val="0"/>
          <w:sz w:val="21"/>
          <w:szCs w:val="21"/>
          <w:highlight w:val="none"/>
          <w:lang w:val="en-US" w:eastAsia="zh-CN"/>
        </w:rPr>
        <w:t>储能模量标块</w:t>
      </w:r>
      <w:bookmarkEnd w:id="53"/>
      <w:r>
        <w:rPr>
          <w:rFonts w:hint="eastAsia" w:cs="Times New Roman"/>
          <w:b w:val="0"/>
          <w:bCs w:val="0"/>
          <w:sz w:val="21"/>
          <w:szCs w:val="21"/>
          <w:highlight w:val="none"/>
          <w:lang w:val="en-US" w:eastAsia="zh-CN"/>
        </w:rPr>
        <w:t>的</w:t>
      </w:r>
      <w:r>
        <w:rPr>
          <w:bCs/>
          <w:color w:val="000000" w:themeColor="text1"/>
          <w14:textFill>
            <w14:solidFill>
              <w14:schemeClr w14:val="tx1"/>
            </w14:solidFill>
          </w14:textFill>
        </w:rPr>
        <w:t>技术要求应符合</w:t>
      </w:r>
      <w:r>
        <w:rPr>
          <w:rFonts w:hint="eastAsia"/>
          <w:bCs/>
          <w:color w:val="000000" w:themeColor="text1"/>
          <w:lang w:val="en-US" w:eastAsia="zh-CN"/>
          <w14:textFill>
            <w14:solidFill>
              <w14:schemeClr w14:val="tx1"/>
            </w14:solidFill>
          </w14:textFill>
        </w:rPr>
        <w:t>正文中</w:t>
      </w:r>
      <w:r>
        <w:rPr>
          <w:bCs/>
          <w:color w:val="000000" w:themeColor="text1"/>
          <w14:textFill>
            <w14:solidFill>
              <w14:schemeClr w14:val="tx1"/>
            </w14:solidFill>
          </w14:textFill>
        </w:rPr>
        <w:t>表</w:t>
      </w:r>
      <w:r>
        <w:rPr>
          <w:rFonts w:hint="eastAsia"/>
          <w:bCs/>
          <w:color w:val="000000" w:themeColor="text1"/>
          <w:lang w:val="en-US" w:eastAsia="zh-CN"/>
          <w14:textFill>
            <w14:solidFill>
              <w14:schemeClr w14:val="tx1"/>
            </w14:solidFill>
          </w14:textFill>
        </w:rPr>
        <w:t>2</w:t>
      </w:r>
      <w:r>
        <w:rPr>
          <w:bCs/>
          <w:color w:val="000000" w:themeColor="text1"/>
          <w14:textFill>
            <w14:solidFill>
              <w14:schemeClr w14:val="tx1"/>
            </w14:solidFill>
          </w14:textFill>
        </w:rPr>
        <w:t>的规定</w:t>
      </w:r>
      <w:r>
        <w:rPr>
          <w:rFonts w:hint="eastAsia"/>
          <w:szCs w:val="21"/>
          <w:highlight w:val="none"/>
        </w:rPr>
        <w:t>。</w:t>
      </w:r>
      <w:r>
        <w:rPr>
          <w:rFonts w:hint="eastAsia"/>
          <w:kern w:val="0"/>
          <w:lang w:val="en-US" w:eastAsia="zh-CN"/>
        </w:rPr>
        <w:t>为保证计量溯源性，测量标准需使用有证标准物质或标准样品，并尽可能覆盖</w:t>
      </w:r>
      <w:r>
        <w:rPr>
          <w:rFonts w:hint="eastAsia" w:ascii="宋体" w:hAnsi="宋体" w:eastAsia="宋体" w:cs="宋体"/>
          <w:sz w:val="21"/>
          <w:szCs w:val="21"/>
        </w:rPr>
        <w:t>动态热机械分析仪</w:t>
      </w:r>
      <w:r>
        <w:rPr>
          <w:rFonts w:hint="eastAsia" w:ascii="宋体" w:hAnsi="宋体" w:eastAsia="宋体" w:cs="宋体"/>
          <w:sz w:val="21"/>
          <w:szCs w:val="21"/>
          <w:lang w:val="en-US" w:eastAsia="zh-CN"/>
        </w:rPr>
        <w:t>使用范围。</w:t>
      </w:r>
    </w:p>
    <w:bookmarkEnd w:id="42"/>
    <w:bookmarkEnd w:id="43"/>
    <w:bookmarkEnd w:id="44"/>
    <w:bookmarkEnd w:id="45"/>
    <w:p w14:paraId="5DBB4C8F">
      <w:pPr>
        <w:pStyle w:val="4"/>
        <w:spacing w:before="156" w:after="156"/>
        <w:rPr>
          <w:rFonts w:hint="eastAsia"/>
        </w:rPr>
      </w:pPr>
      <w:bookmarkStart w:id="54" w:name="_Toc193618955"/>
      <w:bookmarkStart w:id="55" w:name="_Toc193860216"/>
      <w:bookmarkStart w:id="56" w:name="_Toc193619058"/>
      <w:bookmarkStart w:id="57" w:name="_Toc193619100"/>
      <w:bookmarkStart w:id="58" w:name="_Toc2741_WPSOffice_Level1"/>
      <w:bookmarkStart w:id="59" w:name="_Toc193860185"/>
      <w:bookmarkStart w:id="60" w:name="_Toc500258944"/>
      <w:bookmarkStart w:id="61" w:name="_Toc193860035"/>
      <w:r>
        <w:rPr>
          <w:rFonts w:hint="eastAsia"/>
          <w:b w:val="0"/>
          <w:bCs w:val="0"/>
        </w:rPr>
        <w:t>6 校准项目和校准方法</w:t>
      </w:r>
      <w:bookmarkEnd w:id="54"/>
      <w:bookmarkEnd w:id="55"/>
      <w:bookmarkEnd w:id="56"/>
      <w:bookmarkEnd w:id="57"/>
      <w:bookmarkEnd w:id="58"/>
      <w:bookmarkEnd w:id="59"/>
      <w:bookmarkEnd w:id="60"/>
      <w:bookmarkEnd w:id="61"/>
    </w:p>
    <w:p w14:paraId="23A3F284">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2"/>
        <w:rPr>
          <w:rFonts w:hint="eastAsia" w:ascii="Times New Roman" w:eastAsia="宋体"/>
          <w:sz w:val="21"/>
          <w:szCs w:val="21"/>
          <w:lang w:val="en-US" w:eastAsia="zh-CN"/>
        </w:rPr>
      </w:pPr>
      <w:bookmarkStart w:id="62" w:name="_Toc23104"/>
      <w:bookmarkStart w:id="63" w:name="_Toc14936"/>
      <w:bookmarkStart w:id="64" w:name="_Toc10967"/>
      <w:bookmarkStart w:id="65" w:name="_Toc15625"/>
      <w:bookmarkStart w:id="66" w:name="_Toc193619101"/>
      <w:bookmarkStart w:id="67" w:name="_Toc193618956"/>
      <w:bookmarkStart w:id="68" w:name="_Toc193860219"/>
      <w:bookmarkStart w:id="69" w:name="_Toc193860188"/>
      <w:bookmarkStart w:id="70" w:name="_Toc193619059"/>
      <w:bookmarkStart w:id="71" w:name="_Toc193860038"/>
      <w:bookmarkStart w:id="72" w:name="_Toc500258947"/>
      <w:bookmarkStart w:id="73" w:name="_Toc25466_WPSOffice_Level1"/>
      <w:r>
        <w:rPr>
          <w:rFonts w:hint="eastAsia" w:ascii="Times New Roman"/>
          <w:sz w:val="21"/>
          <w:szCs w:val="21"/>
        </w:rPr>
        <w:t>校准项目</w:t>
      </w:r>
      <w:bookmarkEnd w:id="62"/>
      <w:bookmarkEnd w:id="63"/>
      <w:bookmarkEnd w:id="64"/>
      <w:bookmarkEnd w:id="65"/>
      <w:r>
        <w:rPr>
          <w:rFonts w:hint="eastAsia" w:ascii="Times New Roman"/>
          <w:sz w:val="21"/>
          <w:szCs w:val="21"/>
          <w:lang w:val="en-US" w:eastAsia="zh-CN"/>
        </w:rPr>
        <w:t>包括外观检查、</w:t>
      </w:r>
      <w:r>
        <w:rPr>
          <w:rFonts w:hint="eastAsia" w:ascii="Times New Roman" w:cs="Times New Roman"/>
          <w:sz w:val="21"/>
          <w:szCs w:val="21"/>
          <w:highlight w:val="none"/>
          <w:lang w:val="en-US" w:eastAsia="zh-CN"/>
        </w:rPr>
        <w:t>位移示值误差、升温速率示值误差、</w:t>
      </w:r>
      <w:r>
        <w:rPr>
          <w:rFonts w:hint="eastAsia" w:ascii="Times New Roman" w:cs="Times New Roman"/>
          <w:i w:val="0"/>
          <w:iCs w:val="0"/>
          <w:sz w:val="21"/>
          <w:szCs w:val="21"/>
          <w:highlight w:val="none"/>
          <w:lang w:val="en-US" w:eastAsia="zh-CN"/>
        </w:rPr>
        <w:t>温度示值误差及重复性、</w:t>
      </w:r>
      <w:r>
        <w:rPr>
          <w:rFonts w:ascii="宋体" w:hAnsi="宋体" w:eastAsia="宋体" w:cs="宋体"/>
          <w:sz w:val="21"/>
          <w:szCs w:val="21"/>
        </w:rPr>
        <w:t>储能模量示值误差</w:t>
      </w:r>
      <w:r>
        <w:rPr>
          <w:rFonts w:hint="eastAsia" w:ascii="宋体" w:hAnsi="宋体" w:eastAsia="宋体" w:cs="宋体"/>
          <w:sz w:val="21"/>
          <w:szCs w:val="21"/>
          <w:lang w:val="en-US" w:eastAsia="zh-CN"/>
        </w:rPr>
        <w:t>及</w:t>
      </w:r>
      <w:r>
        <w:rPr>
          <w:rFonts w:ascii="宋体" w:hAnsi="宋体" w:eastAsia="宋体" w:cs="宋体"/>
          <w:sz w:val="21"/>
          <w:szCs w:val="21"/>
        </w:rPr>
        <w:t>重复性</w:t>
      </w:r>
      <w:r>
        <w:rPr>
          <w:rFonts w:hint="eastAsia" w:ascii="宋体" w:hAnsi="宋体" w:eastAsia="宋体" w:cs="宋体"/>
          <w:sz w:val="21"/>
          <w:szCs w:val="21"/>
          <w:lang w:eastAsia="zh-CN"/>
        </w:rPr>
        <w:t>。</w:t>
      </w:r>
    </w:p>
    <w:p w14:paraId="6400400C">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textAlignment w:val="auto"/>
        <w:outlineLvl w:val="2"/>
        <w:rPr>
          <w:rFonts w:hint="default" w:ascii="Times New Roman"/>
          <w:sz w:val="21"/>
          <w:szCs w:val="21"/>
          <w:lang w:val="en-US" w:eastAsia="zh-CN"/>
        </w:rPr>
      </w:pPr>
      <w:r>
        <w:rPr>
          <w:rFonts w:ascii="宋体" w:hAnsi="宋体" w:eastAsia="宋体" w:cs="宋体"/>
          <w:sz w:val="21"/>
          <w:szCs w:val="21"/>
        </w:rPr>
        <w:t>外观检查</w:t>
      </w:r>
    </w:p>
    <w:p w14:paraId="119C4757">
      <w:pPr>
        <w:pStyle w:val="58"/>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Times New Roman"/>
          <w:sz w:val="21"/>
          <w:szCs w:val="21"/>
          <w:lang w:val="en-US" w:eastAsia="zh-CN"/>
        </w:rPr>
      </w:pPr>
      <w:r>
        <w:rPr>
          <w:rFonts w:hint="eastAsia" w:ascii="Times New Roman"/>
          <w:sz w:val="21"/>
          <w:szCs w:val="21"/>
          <w:lang w:val="en-US" w:eastAsia="zh-CN"/>
        </w:rPr>
        <w:t>用目视的方法</w:t>
      </w:r>
      <w:r>
        <w:rPr>
          <w:rFonts w:hint="default" w:ascii="Times New Roman"/>
          <w:sz w:val="21"/>
          <w:szCs w:val="21"/>
          <w:lang w:val="en-US" w:eastAsia="zh-CN"/>
        </w:rPr>
        <w:t>检查仪器</w:t>
      </w:r>
      <w:r>
        <w:rPr>
          <w:rFonts w:hint="eastAsia" w:ascii="Times New Roman"/>
          <w:sz w:val="21"/>
          <w:szCs w:val="21"/>
          <w:lang w:val="en-US" w:eastAsia="zh-CN"/>
        </w:rPr>
        <w:t>中</w:t>
      </w:r>
      <w:r>
        <w:rPr>
          <w:rFonts w:hint="default" w:ascii="Times New Roman"/>
          <w:sz w:val="21"/>
          <w:szCs w:val="21"/>
          <w:lang w:val="en-US" w:eastAsia="zh-CN"/>
        </w:rPr>
        <w:t>各夹具的连接牢固</w:t>
      </w:r>
      <w:r>
        <w:rPr>
          <w:rFonts w:hint="eastAsia" w:ascii="Times New Roman"/>
          <w:sz w:val="21"/>
          <w:szCs w:val="21"/>
          <w:lang w:val="en-US" w:eastAsia="zh-CN"/>
        </w:rPr>
        <w:t>无锈蚀</w:t>
      </w:r>
      <w:r>
        <w:rPr>
          <w:rFonts w:hint="default" w:ascii="Times New Roman"/>
          <w:sz w:val="21"/>
          <w:szCs w:val="21"/>
          <w:lang w:val="en-US" w:eastAsia="zh-CN"/>
        </w:rPr>
        <w:t>。</w:t>
      </w:r>
    </w:p>
    <w:p w14:paraId="6EC71AFE">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Times New Roman" w:cs="Times New Roman"/>
          <w:sz w:val="21"/>
          <w:szCs w:val="21"/>
          <w:highlight w:val="none"/>
          <w:lang w:val="en-US" w:eastAsia="zh-CN"/>
        </w:rPr>
      </w:pPr>
      <w:r>
        <w:rPr>
          <w:rFonts w:hint="eastAsia" w:ascii="Times New Roman" w:cs="Times New Roman"/>
          <w:sz w:val="21"/>
          <w:szCs w:val="21"/>
          <w:highlight w:val="none"/>
          <w:lang w:val="en-US" w:eastAsia="zh-CN"/>
        </w:rPr>
        <w:t>位移示值误差</w:t>
      </w:r>
    </w:p>
    <w:p w14:paraId="206B21F1">
      <w:pPr>
        <w:pStyle w:val="58"/>
        <w:keepNext w:val="0"/>
        <w:keepLines w:val="0"/>
        <w:widowControl/>
        <w:suppressLineNumbers w:val="0"/>
        <w:autoSpaceDE w:val="0"/>
        <w:autoSpaceDN w:val="0"/>
        <w:adjustRightInd w:val="0"/>
        <w:snapToGrid w:val="0"/>
        <w:spacing w:line="360" w:lineRule="auto"/>
        <w:ind w:firstLine="420" w:firstLineChars="200"/>
        <w:jc w:val="both"/>
        <w:rPr>
          <w:rFonts w:hint="default" w:ascii="Times New Roman" w:cs="Times New Roman"/>
          <w:sz w:val="21"/>
          <w:szCs w:val="21"/>
          <w:highlight w:val="none"/>
          <w:lang w:val="en-US" w:eastAsia="zh-CN"/>
        </w:rPr>
      </w:pPr>
      <w:r>
        <w:rPr>
          <w:rFonts w:hint="default" w:ascii="Times New Roman" w:cs="Times New Roman"/>
          <w:sz w:val="21"/>
          <w:szCs w:val="21"/>
          <w:highlight w:val="none"/>
          <w:lang w:val="en-US" w:eastAsia="zh-CN"/>
        </w:rPr>
        <w:t>使DMA设备保持空载状态</w:t>
      </w:r>
      <w:r>
        <w:rPr>
          <w:rFonts w:hint="eastAsia" w:ascii="Times New Roman" w:cs="Times New Roman"/>
          <w:sz w:val="21"/>
          <w:szCs w:val="21"/>
          <w:highlight w:val="none"/>
          <w:lang w:val="en-US" w:eastAsia="zh-CN"/>
        </w:rPr>
        <w:t>、加热炉保持关闭状态，</w:t>
      </w:r>
      <w:r>
        <w:rPr>
          <w:rFonts w:hint="default" w:ascii="Times New Roman" w:cs="Times New Roman"/>
          <w:sz w:val="21"/>
          <w:szCs w:val="21"/>
          <w:highlight w:val="none"/>
          <w:lang w:val="en-US" w:eastAsia="zh-CN"/>
        </w:rPr>
        <w:t>选用压缩</w:t>
      </w:r>
      <w:r>
        <w:rPr>
          <w:rFonts w:hint="eastAsia" w:ascii="Times New Roman" w:cs="Times New Roman"/>
          <w:sz w:val="21"/>
          <w:szCs w:val="21"/>
          <w:highlight w:val="none"/>
          <w:lang w:val="en-US" w:eastAsia="zh-CN"/>
        </w:rPr>
        <w:t>夹具进行</w:t>
      </w:r>
      <w:r>
        <w:rPr>
          <w:rFonts w:hint="default" w:ascii="Times New Roman" w:cs="Times New Roman"/>
          <w:sz w:val="21"/>
          <w:szCs w:val="21"/>
          <w:highlight w:val="none"/>
          <w:lang w:val="en-US" w:eastAsia="zh-CN"/>
        </w:rPr>
        <w:t>测量</w:t>
      </w:r>
      <w:r>
        <w:rPr>
          <w:rFonts w:hint="eastAsia" w:ascii="Times New Roman" w:cs="Times New Roman"/>
          <w:sz w:val="21"/>
          <w:szCs w:val="21"/>
          <w:highlight w:val="none"/>
          <w:lang w:val="en-US" w:eastAsia="zh-CN"/>
        </w:rPr>
        <w:t xml:space="preserve">，负载力设为0.01N，待设备稳定后将位移示数清零。打开加热炉，将量块置于样品支架的测量位置后关闭炉体，待稳定后记录该量块长度的测量值，按同样步骤重复测量两次后换另一个量块，得到每个量块下3个测量值，按公式计算位移示值误差。                     </w:t>
      </w:r>
    </w:p>
    <w:p w14:paraId="4260EB6E">
      <w:pPr>
        <w:pStyle w:val="58"/>
        <w:keepNext w:val="0"/>
        <w:keepLines w:val="0"/>
        <w:pageBreakBefore w:val="0"/>
        <w:widowControl/>
        <w:numPr>
          <w:ilvl w:val="0"/>
          <w:numId w:val="13"/>
        </w:numPr>
        <w:kinsoku/>
        <w:wordWrap/>
        <w:overflowPunct/>
        <w:topLinePunct w:val="0"/>
        <w:autoSpaceDE w:val="0"/>
        <w:autoSpaceDN w:val="0"/>
        <w:bidi w:val="0"/>
        <w:adjustRightInd/>
        <w:snapToGrid/>
        <w:spacing w:line="360" w:lineRule="auto"/>
        <w:ind w:left="0" w:leftChars="0" w:firstLine="420" w:firstLineChars="200"/>
        <w:textAlignment w:val="auto"/>
        <w:outlineLvl w:val="2"/>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升温速率示值误差</w:t>
      </w:r>
    </w:p>
    <w:p w14:paraId="34B0B8C1">
      <w:pPr>
        <w:pStyle w:val="58"/>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sz w:val="21"/>
          <w:szCs w:val="21"/>
          <w:lang w:val="en-US" w:eastAsia="zh-CN"/>
        </w:rPr>
      </w:pPr>
      <w:bookmarkStart w:id="74" w:name="_Toc126"/>
      <w:r>
        <w:rPr>
          <w:rFonts w:hint="eastAsia" w:ascii="Times New Roman" w:eastAsiaTheme="minorEastAsia"/>
          <w:sz w:val="21"/>
          <w:szCs w:val="21"/>
          <w:highlight w:val="none"/>
          <w:lang w:val="en-US" w:eastAsia="zh-CN"/>
        </w:rPr>
        <w:t>支架上放置一个高熔点热分析标物，通入</w:t>
      </w:r>
      <w:r>
        <w:rPr>
          <w:rFonts w:ascii="宋体" w:hAnsi="宋体" w:eastAsia="宋体" w:cs="宋体"/>
          <w:sz w:val="21"/>
          <w:szCs w:val="21"/>
        </w:rPr>
        <w:t>氮气</w:t>
      </w:r>
      <w:r>
        <w:rPr>
          <w:rFonts w:hint="eastAsia" w:ascii="Times New Roman" w:eastAsiaTheme="minorEastAsia"/>
          <w:sz w:val="21"/>
          <w:szCs w:val="21"/>
          <w:highlight w:val="none"/>
          <w:lang w:val="en-US" w:eastAsia="zh-CN"/>
        </w:rPr>
        <w:t>，</w:t>
      </w:r>
      <w:r>
        <w:rPr>
          <w:rFonts w:ascii="宋体" w:hAnsi="宋体" w:eastAsia="宋体" w:cs="宋体"/>
          <w:sz w:val="21"/>
          <w:szCs w:val="21"/>
        </w:rPr>
        <w:t>并调节氮气流量至仪器说明书推荐的流量值</w:t>
      </w:r>
      <w:r>
        <w:rPr>
          <w:rFonts w:hint="eastAsia" w:ascii="宋体" w:hAnsi="宋体" w:eastAsia="宋体" w:cs="宋体"/>
          <w:sz w:val="21"/>
          <w:szCs w:val="21"/>
          <w:lang w:eastAsia="zh-CN"/>
        </w:rPr>
        <w:t>，</w:t>
      </w:r>
      <w:r>
        <w:rPr>
          <w:rFonts w:hint="eastAsia" w:ascii="Times New Roman" w:eastAsiaTheme="minorEastAsia"/>
          <w:sz w:val="21"/>
          <w:szCs w:val="21"/>
          <w:highlight w:val="none"/>
          <w:lang w:val="en-US" w:eastAsia="zh-CN"/>
        </w:rPr>
        <w:t>关闭加热炉，以</w:t>
      </w:r>
      <w:r>
        <w:rPr>
          <w:rFonts w:hint="eastAsia" w:ascii="Times New Roman" w:hAnsi="Times New Roman" w:eastAsia="宋体" w:cs="Times New Roman"/>
          <w:sz w:val="21"/>
          <w:szCs w:val="21"/>
          <w:lang w:val="en-US" w:eastAsia="zh-CN"/>
        </w:rPr>
        <w:t>3℃/min</w:t>
      </w:r>
      <w:r>
        <w:rPr>
          <w:rFonts w:hint="eastAsia" w:ascii="Times New Roman" w:eastAsiaTheme="minorEastAsia"/>
          <w:sz w:val="21"/>
          <w:szCs w:val="21"/>
          <w:highlight w:val="none"/>
          <w:lang w:val="en-US" w:eastAsia="zh-CN"/>
        </w:rPr>
        <w:t>的升温速率进行加热，待升温稳定后用秒表开始计时，此时样品温度为</w:t>
      </w:r>
      <w:r>
        <w:rPr>
          <w:rFonts w:hint="eastAsia" w:ascii="Times New Roman" w:eastAsiaTheme="minorEastAsia"/>
          <w:i/>
          <w:iCs/>
          <w:sz w:val="21"/>
          <w:szCs w:val="21"/>
          <w:highlight w:val="none"/>
          <w:lang w:val="en-US" w:eastAsia="zh-CN"/>
        </w:rPr>
        <w:t>T</w:t>
      </w:r>
      <w:r>
        <w:rPr>
          <w:rFonts w:hint="eastAsia" w:ascii="Times New Roman" w:eastAsiaTheme="minorEastAsia"/>
          <w:sz w:val="21"/>
          <w:szCs w:val="21"/>
          <w:highlight w:val="none"/>
          <w:vertAlign w:val="subscript"/>
          <w:lang w:val="en-US" w:eastAsia="zh-CN"/>
        </w:rPr>
        <w:t>0</w:t>
      </w:r>
      <w:r>
        <w:rPr>
          <w:rFonts w:hint="eastAsia" w:ascii="Times New Roman" w:eastAsiaTheme="minorEastAsia"/>
          <w:sz w:val="21"/>
          <w:szCs w:val="21"/>
          <w:highlight w:val="none"/>
          <w:lang w:val="en-US" w:eastAsia="zh-CN"/>
        </w:rPr>
        <w:t>，</w:t>
      </w:r>
      <w:r>
        <w:rPr>
          <w:rFonts w:hint="eastAsia" w:ascii="Times New Roman" w:hAnsi="Times New Roman" w:eastAsia="宋体" w:cs="Times New Roman"/>
          <w:sz w:val="21"/>
          <w:szCs w:val="21"/>
          <w:lang w:val="en-US" w:eastAsia="zh-CN"/>
        </w:rPr>
        <w:t>10</w:t>
      </w:r>
      <w:r>
        <w:rPr>
          <w:rFonts w:hint="eastAsia" w:ascii="Times New Roman" w:eastAsiaTheme="minorEastAsia"/>
          <w:sz w:val="21"/>
          <w:szCs w:val="21"/>
          <w:highlight w:val="none"/>
          <w:lang w:val="en-US" w:eastAsia="zh-CN"/>
        </w:rPr>
        <w:t>分钟后记录样品温度</w:t>
      </w:r>
      <w:r>
        <w:rPr>
          <w:rFonts w:hint="eastAsia" w:ascii="Times New Roman" w:eastAsiaTheme="minorEastAsia"/>
          <w:i/>
          <w:iCs/>
          <w:sz w:val="21"/>
          <w:szCs w:val="21"/>
          <w:highlight w:val="none"/>
          <w:lang w:val="en-US" w:eastAsia="zh-CN"/>
        </w:rPr>
        <w:t>T</w:t>
      </w:r>
      <w:r>
        <w:rPr>
          <w:rFonts w:hint="eastAsia" w:ascii="Times New Roman" w:eastAsiaTheme="minorEastAsia"/>
          <w:sz w:val="21"/>
          <w:szCs w:val="21"/>
          <w:highlight w:val="none"/>
          <w:vertAlign w:val="subscript"/>
          <w:lang w:val="en-US" w:eastAsia="zh-CN"/>
        </w:rPr>
        <w:t>10</w:t>
      </w:r>
      <w:r>
        <w:rPr>
          <w:rFonts w:hint="eastAsia" w:ascii="Times New Roman" w:eastAsiaTheme="minorEastAsia"/>
          <w:sz w:val="21"/>
          <w:szCs w:val="21"/>
          <w:highlight w:val="none"/>
          <w:lang w:val="en-US" w:eastAsia="zh-CN"/>
        </w:rPr>
        <w:t>，</w:t>
      </w:r>
      <w:r>
        <w:rPr>
          <w:rFonts w:hint="eastAsia" w:ascii="Times New Roman" w:cs="Times New Roman"/>
          <w:sz w:val="21"/>
          <w:szCs w:val="21"/>
          <w:highlight w:val="none"/>
          <w:lang w:val="en-US" w:eastAsia="zh-CN"/>
        </w:rPr>
        <w:t>按公式</w:t>
      </w:r>
      <w:r>
        <w:rPr>
          <w:rFonts w:hint="eastAsia" w:ascii="Times New Roman" w:eastAsiaTheme="minorEastAsia"/>
          <w:sz w:val="21"/>
          <w:szCs w:val="21"/>
          <w:highlight w:val="none"/>
          <w:lang w:val="en-US" w:eastAsia="zh-CN"/>
        </w:rPr>
        <w:t xml:space="preserve">计算升温速率示值误差。 </w:t>
      </w:r>
      <w:bookmarkEnd w:id="74"/>
      <w:r>
        <w:rPr>
          <w:rFonts w:hint="eastAsia" w:ascii="Times New Roman" w:hAnsi="Times New Roman" w:eastAsia="宋体" w:cs="Times New Roman"/>
          <w:sz w:val="21"/>
          <w:szCs w:val="21"/>
          <w:highlight w:val="none"/>
          <w:lang w:val="en-US" w:eastAsia="zh-CN"/>
        </w:rPr>
        <w:t xml:space="preserve">        </w:t>
      </w:r>
    </w:p>
    <w:p w14:paraId="41F44B82">
      <w:pPr>
        <w:pStyle w:val="58"/>
        <w:keepNext w:val="0"/>
        <w:keepLines w:val="0"/>
        <w:pageBreakBefore w:val="0"/>
        <w:widowControl/>
        <w:numPr>
          <w:ilvl w:val="0"/>
          <w:numId w:val="13"/>
        </w:numPr>
        <w:kinsoku/>
        <w:wordWrap/>
        <w:overflowPunct/>
        <w:topLinePunct w:val="0"/>
        <w:autoSpaceDE w:val="0"/>
        <w:autoSpaceDN w:val="0"/>
        <w:bidi w:val="0"/>
        <w:adjustRightInd/>
        <w:snapToGrid/>
        <w:ind w:left="0" w:leftChars="0" w:firstLine="420" w:firstLineChars="200"/>
        <w:textAlignment w:val="auto"/>
        <w:rPr>
          <w:rFonts w:hint="eastAsia" w:ascii="E-BZ" w:hAnsi="E-BZ" w:cs="宋体"/>
          <w:color w:val="000000"/>
          <w:kern w:val="0"/>
          <w:sz w:val="21"/>
          <w:szCs w:val="21"/>
          <w:highlight w:val="none"/>
          <w:lang w:val="en-US" w:eastAsia="zh-CN"/>
        </w:rPr>
      </w:pPr>
      <w:r>
        <w:rPr>
          <w:rFonts w:hint="default" w:ascii="Times New Roman" w:hAnsi="Times New Roman" w:cs="Times New Roman"/>
          <w:sz w:val="21"/>
          <w:szCs w:val="21"/>
          <w:lang w:val="en-US" w:eastAsia="zh-CN"/>
        </w:rPr>
        <w:t>穿刺夹具校准温度重复性</w:t>
      </w:r>
      <w:r>
        <w:rPr>
          <w:rFonts w:hint="eastAsia" w:ascii="Times New Roman" w:hAnsi="Times New Roman" w:cs="Times New Roman"/>
          <w:sz w:val="21"/>
          <w:szCs w:val="21"/>
          <w:lang w:val="en-US" w:eastAsia="zh-CN"/>
        </w:rPr>
        <w:t>及</w:t>
      </w:r>
      <w:r>
        <w:rPr>
          <w:rFonts w:hint="default" w:ascii="Times New Roman" w:hAnsi="Times New Roman" w:cs="Times New Roman"/>
          <w:sz w:val="21"/>
          <w:szCs w:val="21"/>
          <w:lang w:val="en-US" w:eastAsia="zh-CN"/>
        </w:rPr>
        <w:t>示值误差</w:t>
      </w:r>
    </w:p>
    <w:p w14:paraId="5EC116F2">
      <w:pPr>
        <w:spacing w:line="360" w:lineRule="auto"/>
        <w:ind w:firstLine="420" w:firstLineChars="200"/>
        <w:rPr>
          <w:rFonts w:hint="eastAsia" w:ascii="Times New Roman" w:cs="Times New Roman"/>
          <w:i w:val="0"/>
          <w:iCs w:val="0"/>
          <w:sz w:val="21"/>
          <w:szCs w:val="21"/>
          <w:highlight w:val="none"/>
          <w:lang w:val="en-US" w:eastAsia="zh-CN"/>
        </w:rPr>
      </w:pPr>
      <w:r>
        <w:rPr>
          <w:rFonts w:hint="eastAsia" w:ascii="Times New Roman" w:cs="Times New Roman"/>
          <w:i w:val="0"/>
          <w:iCs w:val="0"/>
          <w:sz w:val="21"/>
          <w:szCs w:val="21"/>
          <w:highlight w:val="none"/>
          <w:lang w:val="en-US" w:eastAsia="zh-CN"/>
        </w:rPr>
        <w:t>根据DMA实际使用的温度范围，从附录A选取两种热分析标准物质</w:t>
      </w:r>
      <w:r>
        <w:rPr>
          <w:rFonts w:hint="eastAsia" w:cs="Times New Roman"/>
          <w:i w:val="0"/>
          <w:iCs w:val="0"/>
          <w:sz w:val="21"/>
          <w:szCs w:val="21"/>
          <w:highlight w:val="none"/>
          <w:lang w:val="en-US" w:eastAsia="zh-CN"/>
        </w:rPr>
        <w:t>，每种标准物质至少取2mg</w:t>
      </w:r>
      <w:r>
        <w:rPr>
          <w:rFonts w:hint="eastAsia" w:ascii="Times New Roman" w:cs="Times New Roman"/>
          <w:i w:val="0"/>
          <w:iCs w:val="0"/>
          <w:sz w:val="21"/>
          <w:szCs w:val="21"/>
          <w:highlight w:val="none"/>
          <w:lang w:val="en-US" w:eastAsia="zh-CN"/>
        </w:rPr>
        <w:t>。将其中一个热分析标准物质放置在支架测量位置，通入氮气气氛，并调节氮气流量至仪器说明书推荐的流量值，升温速率设定为</w:t>
      </w:r>
      <w:r>
        <w:rPr>
          <w:rFonts w:hint="default" w:ascii="Times New Roman" w:hAnsi="Times New Roman" w:cs="Times New Roman"/>
          <w:i w:val="0"/>
          <w:iCs w:val="0"/>
          <w:sz w:val="21"/>
          <w:szCs w:val="21"/>
          <w:highlight w:val="none"/>
          <w:lang w:val="en-US" w:eastAsia="zh-CN"/>
        </w:rPr>
        <w:t>3℃</w:t>
      </w:r>
      <w:r>
        <w:rPr>
          <w:rFonts w:hint="eastAsia" w:ascii="Times New Roman" w:cs="Times New Roman"/>
          <w:i w:val="0"/>
          <w:iCs w:val="0"/>
          <w:sz w:val="21"/>
          <w:szCs w:val="21"/>
          <w:highlight w:val="none"/>
          <w:lang w:val="en-US" w:eastAsia="zh-CN"/>
        </w:rPr>
        <w:t>/min，初始力0.01N，参照附录A设定温度程序。实验结束后，计算标准物质的熔点</w:t>
      </w:r>
      <w:r>
        <w:rPr>
          <w:rFonts w:hint="eastAsia" w:ascii="Times New Roman" w:cs="Times New Roman"/>
          <w:i/>
          <w:iCs/>
          <w:sz w:val="21"/>
          <w:szCs w:val="21"/>
          <w:highlight w:val="none"/>
          <w:lang w:val="en-US" w:eastAsia="zh-CN"/>
        </w:rPr>
        <w:t>T</w:t>
      </w:r>
      <w:r>
        <w:rPr>
          <w:rFonts w:hint="eastAsia" w:ascii="Times New Roman" w:cs="Times New Roman"/>
          <w:i w:val="0"/>
          <w:iCs w:val="0"/>
          <w:sz w:val="21"/>
          <w:szCs w:val="21"/>
          <w:highlight w:val="none"/>
          <w:vertAlign w:val="subscript"/>
          <w:lang w:val="en-US" w:eastAsia="zh-CN"/>
        </w:rPr>
        <w:t>m</w:t>
      </w:r>
      <w:r>
        <w:rPr>
          <w:rFonts w:hint="eastAsia" w:ascii="Times New Roman" w:cs="Times New Roman"/>
          <w:i w:val="0"/>
          <w:iCs w:val="0"/>
          <w:sz w:val="21"/>
          <w:szCs w:val="21"/>
          <w:highlight w:val="none"/>
          <w:lang w:val="en-US" w:eastAsia="zh-CN"/>
        </w:rPr>
        <w:t>，单位为</w:t>
      </w:r>
      <w:r>
        <w:rPr>
          <w:rFonts w:hint="default" w:ascii="Times New Roman" w:hAnsi="Times New Roman" w:cs="Times New Roman"/>
          <w:i w:val="0"/>
          <w:iCs w:val="0"/>
          <w:sz w:val="21"/>
          <w:szCs w:val="21"/>
          <w:highlight w:val="none"/>
          <w:lang w:val="en-US" w:eastAsia="zh-CN"/>
        </w:rPr>
        <w:t>℃</w:t>
      </w:r>
      <w:r>
        <w:rPr>
          <w:rFonts w:hint="eastAsia" w:ascii="Times New Roman" w:cs="Times New Roman"/>
          <w:i w:val="0"/>
          <w:iCs w:val="0"/>
          <w:sz w:val="21"/>
          <w:szCs w:val="21"/>
          <w:highlight w:val="none"/>
          <w:lang w:val="en-US" w:eastAsia="zh-CN"/>
        </w:rPr>
        <w:t>。依据上述测量方法，更换样品，重复测量1次，共计测量2次。按公式计算温度的重复性</w:t>
      </w:r>
      <w:r>
        <w:rPr>
          <w:rFonts w:hint="eastAsia" w:cs="Times New Roman"/>
          <w:i w:val="0"/>
          <w:iCs w:val="0"/>
          <w:sz w:val="21"/>
          <w:szCs w:val="21"/>
          <w:highlight w:val="none"/>
          <w:lang w:val="en-US" w:eastAsia="zh-CN"/>
        </w:rPr>
        <w:t>及</w:t>
      </w:r>
      <w:r>
        <w:rPr>
          <w:rFonts w:hint="eastAsia" w:ascii="Times New Roman" w:cs="Times New Roman"/>
          <w:i w:val="0"/>
          <w:iCs w:val="0"/>
          <w:sz w:val="21"/>
          <w:szCs w:val="21"/>
          <w:highlight w:val="none"/>
          <w:lang w:val="en-US" w:eastAsia="zh-CN"/>
        </w:rPr>
        <w:t>温度的示值误差。</w:t>
      </w:r>
    </w:p>
    <w:p w14:paraId="65AC4859">
      <w:pPr>
        <w:spacing w:line="360" w:lineRule="auto"/>
        <w:ind w:firstLine="420" w:firstLineChars="200"/>
        <w:rPr>
          <w:rFonts w:hint="eastAsia" w:ascii="Times New Roman" w:hAnsi="Times New Roman" w:eastAsia="宋体" w:cs="Times New Roman"/>
          <w:i w:val="0"/>
          <w:iCs w:val="0"/>
          <w:kern w:val="2"/>
          <w:sz w:val="21"/>
          <w:szCs w:val="21"/>
          <w:highlight w:val="none"/>
          <w:lang w:val="en-US" w:eastAsia="zh-CN" w:bidi="ar-SA"/>
        </w:rPr>
      </w:pPr>
      <w:r>
        <w:rPr>
          <w:rFonts w:hint="eastAsia" w:ascii="Times New Roman" w:hAnsi="Times New Roman" w:eastAsia="宋体" w:cs="Times New Roman"/>
          <w:i w:val="0"/>
          <w:iCs w:val="0"/>
          <w:kern w:val="2"/>
          <w:sz w:val="21"/>
          <w:szCs w:val="21"/>
          <w:highlight w:val="none"/>
          <w:lang w:val="en-US" w:eastAsia="zh-CN" w:bidi="ar-SA"/>
        </w:rPr>
        <w:t>选取另一种热分析标准物质，参考上述测量方法和附录A的温度程序，重复测量2次。</w:t>
      </w:r>
      <w:r>
        <w:rPr>
          <w:rFonts w:hint="eastAsia" w:ascii="Times New Roman" w:cs="Times New Roman"/>
          <w:i w:val="0"/>
          <w:iCs w:val="0"/>
          <w:sz w:val="21"/>
          <w:szCs w:val="21"/>
          <w:highlight w:val="none"/>
          <w:lang w:val="en-US" w:eastAsia="zh-CN"/>
        </w:rPr>
        <w:t>按公式计算温度的重复性</w:t>
      </w:r>
      <w:r>
        <w:rPr>
          <w:rFonts w:hint="eastAsia" w:cs="Times New Roman"/>
          <w:i w:val="0"/>
          <w:iCs w:val="0"/>
          <w:sz w:val="21"/>
          <w:szCs w:val="21"/>
          <w:highlight w:val="none"/>
          <w:lang w:val="en-US" w:eastAsia="zh-CN"/>
        </w:rPr>
        <w:t>及</w:t>
      </w:r>
      <w:r>
        <w:rPr>
          <w:rFonts w:hint="eastAsia" w:ascii="Times New Roman" w:cs="Times New Roman"/>
          <w:i w:val="0"/>
          <w:iCs w:val="0"/>
          <w:sz w:val="21"/>
          <w:szCs w:val="21"/>
          <w:highlight w:val="none"/>
          <w:lang w:val="en-US" w:eastAsia="zh-CN"/>
        </w:rPr>
        <w:t>温度的示值误差。</w:t>
      </w:r>
    </w:p>
    <w:p w14:paraId="300C0176">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jc w:val="both"/>
        <w:textAlignment w:val="auto"/>
        <w:outlineLvl w:val="2"/>
        <w:rPr>
          <w:rFonts w:hint="eastAsia" w:ascii="Times New Roman" w:cs="Times New Roman"/>
          <w:i w:val="0"/>
          <w:iCs w:val="0"/>
          <w:sz w:val="21"/>
          <w:szCs w:val="21"/>
          <w:highlight w:val="none"/>
          <w:lang w:val="en-US" w:eastAsia="zh-CN"/>
        </w:rPr>
      </w:pPr>
      <w:r>
        <w:rPr>
          <w:rFonts w:hint="eastAsia" w:ascii="Times New Roman" w:cs="Times New Roman"/>
          <w:i w:val="0"/>
          <w:iCs w:val="0"/>
          <w:sz w:val="21"/>
          <w:szCs w:val="21"/>
          <w:highlight w:val="none"/>
          <w:lang w:val="en-US" w:eastAsia="zh-CN"/>
        </w:rPr>
        <w:t>单悬臂夹具校准温度重复性及示值误差</w:t>
      </w:r>
    </w:p>
    <w:p w14:paraId="03923F82">
      <w:pPr>
        <w:pStyle w:val="58"/>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default" w:ascii="Times New Roman" w:cs="Times New Roman"/>
          <w:i w:val="0"/>
          <w:iCs w:val="0"/>
          <w:sz w:val="21"/>
          <w:szCs w:val="21"/>
          <w:highlight w:val="none"/>
          <w:lang w:val="en-US" w:eastAsia="zh-CN"/>
        </w:rPr>
      </w:pPr>
      <w:r>
        <w:rPr>
          <w:rFonts w:hint="eastAsia" w:ascii="Times New Roman" w:cs="Times New Roman"/>
          <w:i w:val="0"/>
          <w:iCs w:val="0"/>
          <w:sz w:val="21"/>
          <w:szCs w:val="21"/>
          <w:highlight w:val="none"/>
          <w:lang w:val="en-US" w:eastAsia="zh-CN"/>
        </w:rPr>
        <w:t>选择单悬臂夹具</w:t>
      </w:r>
      <w:r>
        <w:rPr>
          <w:rFonts w:hint="eastAsia" w:cs="Times New Roman"/>
          <w:i w:val="0"/>
          <w:iCs w:val="0"/>
          <w:sz w:val="21"/>
          <w:szCs w:val="21"/>
          <w:highlight w:val="none"/>
          <w:lang w:val="en-US" w:eastAsia="zh-CN"/>
        </w:rPr>
        <w:t>并</w:t>
      </w:r>
      <w:r>
        <w:rPr>
          <w:rFonts w:hint="eastAsia" w:ascii="Times New Roman" w:cs="Times New Roman"/>
          <w:i w:val="0"/>
          <w:iCs w:val="0"/>
          <w:sz w:val="21"/>
          <w:szCs w:val="21"/>
          <w:highlight w:val="none"/>
          <w:lang w:val="en-US" w:eastAsia="zh-CN"/>
        </w:rPr>
        <w:t>完成夹具校正，</w:t>
      </w:r>
      <w:r>
        <w:rPr>
          <w:rFonts w:hint="default" w:ascii="Times New Roman" w:cs="Times New Roman"/>
          <w:i w:val="0"/>
          <w:iCs w:val="0"/>
          <w:sz w:val="21"/>
          <w:szCs w:val="21"/>
          <w:highlight w:val="none"/>
          <w:lang w:val="en-US" w:eastAsia="zh-CN"/>
        </w:rPr>
        <w:t>将</w:t>
      </w:r>
      <w:r>
        <w:rPr>
          <w:rFonts w:hint="eastAsia" w:ascii="Times New Roman" w:cs="Times New Roman"/>
          <w:i w:val="0"/>
          <w:iCs w:val="0"/>
          <w:sz w:val="21"/>
          <w:szCs w:val="21"/>
          <w:highlight w:val="none"/>
          <w:lang w:val="en-US" w:eastAsia="zh-CN"/>
        </w:rPr>
        <w:t>其中一个</w:t>
      </w:r>
      <w:r>
        <w:rPr>
          <w:rFonts w:hint="default" w:ascii="Times New Roman" w:cs="Times New Roman"/>
          <w:i w:val="0"/>
          <w:iCs w:val="0"/>
          <w:sz w:val="21"/>
          <w:szCs w:val="21"/>
          <w:highlight w:val="none"/>
          <w:lang w:val="en-US" w:eastAsia="zh-CN"/>
        </w:rPr>
        <w:t>玻璃化转变温度标准物质放置在支架测量位置，通入氮气气氛，并调节氮气流量至仪器说明书推荐的流量值，在起始温度30℃下恒温5min，升温速率设定为3℃/min，初始力设为0.01N，振幅设为25um，频率设为1Hz</w:t>
      </w:r>
      <w:r>
        <w:rPr>
          <w:rFonts w:hint="eastAsia" w:ascii="Times New Roman" w:cs="Times New Roman"/>
          <w:i w:val="0"/>
          <w:iCs w:val="0"/>
          <w:sz w:val="21"/>
          <w:szCs w:val="21"/>
          <w:highlight w:val="none"/>
          <w:lang w:val="en-US" w:eastAsia="zh-CN"/>
        </w:rPr>
        <w:t>，</w:t>
      </w:r>
      <w:r>
        <w:rPr>
          <w:rFonts w:hint="default" w:ascii="Times New Roman" w:cs="Times New Roman"/>
          <w:i w:val="0"/>
          <w:iCs w:val="0"/>
          <w:sz w:val="21"/>
          <w:szCs w:val="21"/>
          <w:highlight w:val="none"/>
          <w:lang w:val="en-US" w:eastAsia="zh-CN"/>
        </w:rPr>
        <w:t>参照附录A设定温度程序</w:t>
      </w:r>
      <w:r>
        <w:rPr>
          <w:rFonts w:hint="eastAsia" w:ascii="Times New Roman" w:cs="Times New Roman"/>
          <w:i w:val="0"/>
          <w:iCs w:val="0"/>
          <w:sz w:val="21"/>
          <w:szCs w:val="21"/>
          <w:highlight w:val="none"/>
          <w:lang w:val="en-US" w:eastAsia="zh-CN"/>
        </w:rPr>
        <w:t>。</w:t>
      </w:r>
      <w:r>
        <w:rPr>
          <w:rFonts w:hint="default" w:ascii="Times New Roman" w:cs="Times New Roman"/>
          <w:i w:val="0"/>
          <w:iCs w:val="0"/>
          <w:sz w:val="21"/>
          <w:szCs w:val="21"/>
          <w:highlight w:val="none"/>
          <w:lang w:val="en-US" w:eastAsia="zh-CN"/>
        </w:rPr>
        <w:t>实验结束后，计算标准物质的玻璃化转变温度</w:t>
      </w:r>
      <w:r>
        <w:rPr>
          <w:rFonts w:hint="default" w:ascii="Times New Roman" w:cs="Times New Roman"/>
          <w:i/>
          <w:iCs/>
          <w:sz w:val="21"/>
          <w:szCs w:val="21"/>
          <w:highlight w:val="none"/>
          <w:lang w:val="en-US" w:eastAsia="zh-CN"/>
        </w:rPr>
        <w:t>T</w:t>
      </w:r>
      <w:r>
        <w:rPr>
          <w:rFonts w:hint="default" w:ascii="Times New Roman" w:cs="Times New Roman"/>
          <w:i w:val="0"/>
          <w:iCs w:val="0"/>
          <w:sz w:val="21"/>
          <w:szCs w:val="21"/>
          <w:highlight w:val="none"/>
          <w:vertAlign w:val="subscript"/>
          <w:lang w:val="en-US" w:eastAsia="zh-CN"/>
        </w:rPr>
        <w:t>g</w:t>
      </w:r>
      <w:r>
        <w:rPr>
          <w:rFonts w:hint="default" w:ascii="Times New Roman" w:cs="Times New Roman"/>
          <w:i w:val="0"/>
          <w:iCs w:val="0"/>
          <w:sz w:val="21"/>
          <w:szCs w:val="21"/>
          <w:highlight w:val="none"/>
          <w:lang w:val="en-US" w:eastAsia="zh-CN"/>
        </w:rPr>
        <w:t>，单位为℃。依据上述测量方法，更换样品，重复测量1次，共计测量2次。按公式计算温度重复性</w:t>
      </w:r>
      <w:r>
        <w:rPr>
          <w:rFonts w:hint="eastAsia" w:ascii="Times New Roman" w:cs="Times New Roman"/>
          <w:i w:val="0"/>
          <w:iCs w:val="0"/>
          <w:sz w:val="21"/>
          <w:szCs w:val="21"/>
          <w:highlight w:val="none"/>
          <w:lang w:val="en-US" w:eastAsia="zh-CN"/>
        </w:rPr>
        <w:t>及</w:t>
      </w:r>
      <w:r>
        <w:rPr>
          <w:rFonts w:hint="default" w:ascii="Times New Roman" w:cs="Times New Roman"/>
          <w:i w:val="0"/>
          <w:iCs w:val="0"/>
          <w:sz w:val="21"/>
          <w:szCs w:val="21"/>
          <w:highlight w:val="none"/>
          <w:lang w:val="en-US" w:eastAsia="zh-CN"/>
        </w:rPr>
        <w:t>温度示值误差。</w:t>
      </w:r>
    </w:p>
    <w:p w14:paraId="5610A919">
      <w:pPr>
        <w:pStyle w:val="58"/>
        <w:keepNext w:val="0"/>
        <w:keepLines w:val="0"/>
        <w:pageBreakBefore w:val="0"/>
        <w:widowControl/>
        <w:kinsoku/>
        <w:wordWrap/>
        <w:overflowPunct/>
        <w:topLinePunct w:val="0"/>
        <w:autoSpaceDE w:val="0"/>
        <w:autoSpaceDN w:val="0"/>
        <w:bidi w:val="0"/>
        <w:adjustRightInd w:val="0"/>
        <w:snapToGrid w:val="0"/>
        <w:spacing w:line="360" w:lineRule="auto"/>
        <w:jc w:val="both"/>
        <w:textAlignment w:val="auto"/>
        <w:rPr>
          <w:rFonts w:hint="default" w:ascii="Times New Roman" w:cs="Times New Roman"/>
          <w:sz w:val="21"/>
          <w:szCs w:val="21"/>
          <w:highlight w:val="none"/>
          <w:lang w:val="en-US" w:eastAsia="zh-CN"/>
        </w:rPr>
      </w:pPr>
      <w:r>
        <w:rPr>
          <w:rFonts w:hint="default" w:ascii="Times New Roman" w:cs="Times New Roman"/>
          <w:sz w:val="21"/>
          <w:szCs w:val="21"/>
          <w:highlight w:val="none"/>
          <w:lang w:val="en-US" w:eastAsia="zh-CN"/>
        </w:rPr>
        <w:t>选取另一种玻璃化转变温度标准物质，参考上述测量方法和附录A的温度程序，重复测量2次。</w:t>
      </w:r>
      <w:r>
        <w:rPr>
          <w:rFonts w:hint="default" w:ascii="Times New Roman" w:cs="Times New Roman"/>
          <w:i w:val="0"/>
          <w:iCs w:val="0"/>
          <w:sz w:val="21"/>
          <w:szCs w:val="21"/>
          <w:highlight w:val="none"/>
          <w:lang w:val="en-US" w:eastAsia="zh-CN"/>
        </w:rPr>
        <w:t>按公式计算温度重复性</w:t>
      </w:r>
      <w:r>
        <w:rPr>
          <w:rFonts w:hint="eastAsia" w:ascii="Times New Roman" w:cs="Times New Roman"/>
          <w:i w:val="0"/>
          <w:iCs w:val="0"/>
          <w:sz w:val="21"/>
          <w:szCs w:val="21"/>
          <w:highlight w:val="none"/>
          <w:lang w:val="en-US" w:eastAsia="zh-CN"/>
        </w:rPr>
        <w:t>及</w:t>
      </w:r>
      <w:r>
        <w:rPr>
          <w:rFonts w:hint="default" w:ascii="Times New Roman" w:cs="Times New Roman"/>
          <w:i w:val="0"/>
          <w:iCs w:val="0"/>
          <w:sz w:val="21"/>
          <w:szCs w:val="21"/>
          <w:highlight w:val="none"/>
          <w:lang w:val="en-US" w:eastAsia="zh-CN"/>
        </w:rPr>
        <w:t>温度示值误差</w:t>
      </w:r>
      <w:r>
        <w:rPr>
          <w:rFonts w:hint="default" w:ascii="Times New Roman" w:cs="Times New Roman"/>
          <w:sz w:val="21"/>
          <w:szCs w:val="21"/>
          <w:highlight w:val="none"/>
          <w:lang w:val="en-US" w:eastAsia="zh-CN"/>
        </w:rPr>
        <w:t>。</w:t>
      </w:r>
    </w:p>
    <w:p w14:paraId="7B5940A6">
      <w:pPr>
        <w:pStyle w:val="58"/>
        <w:keepNext w:val="0"/>
        <w:keepLines w:val="0"/>
        <w:pageBreakBefore w:val="0"/>
        <w:widowControl/>
        <w:numPr>
          <w:ilvl w:val="0"/>
          <w:numId w:val="13"/>
        </w:numPr>
        <w:kinsoku/>
        <w:wordWrap/>
        <w:overflowPunct/>
        <w:topLinePunct w:val="0"/>
        <w:autoSpaceDE w:val="0"/>
        <w:autoSpaceDN w:val="0"/>
        <w:bidi w:val="0"/>
        <w:adjustRightInd w:val="0"/>
        <w:snapToGrid w:val="0"/>
        <w:spacing w:line="360" w:lineRule="auto"/>
        <w:ind w:left="0" w:leftChars="0" w:firstLine="420" w:firstLineChars="200"/>
        <w:textAlignment w:val="auto"/>
        <w:outlineLvl w:val="2"/>
        <w:rPr>
          <w:rFonts w:hint="default" w:ascii="Times New Roman"/>
          <w:sz w:val="21"/>
          <w:szCs w:val="21"/>
          <w:lang w:val="en-US" w:eastAsia="zh-CN"/>
        </w:rPr>
      </w:pPr>
      <w:r>
        <w:rPr>
          <w:rFonts w:ascii="宋体" w:hAnsi="宋体" w:eastAsia="宋体" w:cs="宋体"/>
          <w:sz w:val="21"/>
          <w:szCs w:val="21"/>
        </w:rPr>
        <w:t>储能模量示值误差</w:t>
      </w:r>
      <w:r>
        <w:rPr>
          <w:rFonts w:hint="eastAsia" w:ascii="宋体" w:hAnsi="宋体" w:eastAsia="宋体" w:cs="宋体"/>
          <w:sz w:val="21"/>
          <w:szCs w:val="21"/>
          <w:lang w:val="en-US" w:eastAsia="zh-CN"/>
        </w:rPr>
        <w:t>及</w:t>
      </w:r>
      <w:r>
        <w:rPr>
          <w:rFonts w:ascii="宋体" w:hAnsi="宋体" w:eastAsia="宋体" w:cs="宋体"/>
          <w:sz w:val="21"/>
          <w:szCs w:val="21"/>
        </w:rPr>
        <w:t>重复性</w:t>
      </w:r>
    </w:p>
    <w:p w14:paraId="3B6DB8F9">
      <w:pPr>
        <w:pStyle w:val="58"/>
        <w:keepNext w:val="0"/>
        <w:keepLines w:val="0"/>
        <w:pageBreakBefore w:val="0"/>
        <w:widowControl/>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sz w:val="21"/>
          <w:szCs w:val="21"/>
          <w:lang w:val="en-US" w:eastAsia="zh-CN"/>
        </w:rPr>
      </w:pPr>
      <w:r>
        <w:rPr>
          <w:rFonts w:ascii="宋体" w:hAnsi="宋体" w:eastAsia="宋体" w:cs="宋体"/>
          <w:sz w:val="21"/>
          <w:szCs w:val="21"/>
        </w:rPr>
        <w:t>选择单悬臂</w:t>
      </w:r>
      <w:r>
        <w:rPr>
          <w:rFonts w:hint="eastAsia" w:ascii="宋体" w:hAnsi="宋体" w:eastAsia="宋体" w:cs="宋体"/>
          <w:sz w:val="21"/>
          <w:szCs w:val="21"/>
          <w:lang w:val="en-US" w:eastAsia="zh-CN"/>
        </w:rPr>
        <w:t>夹具并完成夹具校正，待设备稳定后将储能模量标块置于样品支架的测量位置，关闭加热炉。程序温度设为</w:t>
      </w:r>
      <w:r>
        <w:rPr>
          <w:rFonts w:hint="default" w:ascii="Times New Roman" w:hAnsi="Times New Roman" w:eastAsia="宋体" w:cs="Times New Roman"/>
          <w:sz w:val="21"/>
          <w:szCs w:val="21"/>
          <w:lang w:val="en-US" w:eastAsia="zh-CN"/>
        </w:rPr>
        <w:t>30℃</w:t>
      </w:r>
      <w:r>
        <w:rPr>
          <w:rFonts w:hint="eastAsia" w:ascii="Times New Roman" w:cs="Times New Roman"/>
          <w:sz w:val="21"/>
          <w:szCs w:val="21"/>
          <w:lang w:val="en-US" w:eastAsia="zh-CN"/>
        </w:rPr>
        <w:t>，</w:t>
      </w:r>
      <w:r>
        <w:rPr>
          <w:rFonts w:ascii="宋体" w:hAnsi="宋体" w:eastAsia="宋体" w:cs="宋体"/>
          <w:sz w:val="21"/>
          <w:szCs w:val="21"/>
        </w:rPr>
        <w:t>振幅设为</w:t>
      </w:r>
      <w:r>
        <w:rPr>
          <w:rFonts w:hint="default" w:ascii="Times New Roman" w:hAnsi="Times New Roman" w:eastAsia="宋体" w:cs="Times New Roman"/>
          <w:sz w:val="21"/>
          <w:szCs w:val="21"/>
        </w:rPr>
        <w:t>30µm</w:t>
      </w:r>
      <w:r>
        <w:rPr>
          <w:rFonts w:ascii="宋体" w:hAnsi="宋体" w:eastAsia="宋体" w:cs="宋体"/>
          <w:sz w:val="21"/>
          <w:szCs w:val="21"/>
        </w:rPr>
        <w:t>，频率设为</w:t>
      </w:r>
      <w:r>
        <w:rPr>
          <w:rFonts w:hint="default" w:ascii="Times New Roman" w:hAnsi="Times New Roman" w:eastAsia="宋体" w:cs="Times New Roman"/>
          <w:sz w:val="21"/>
          <w:szCs w:val="21"/>
        </w:rPr>
        <w:t>1Hz</w:t>
      </w:r>
      <w:r>
        <w:rPr>
          <w:rFonts w:ascii="宋体" w:hAnsi="宋体" w:eastAsia="宋体" w:cs="宋体"/>
          <w:sz w:val="21"/>
          <w:szCs w:val="21"/>
        </w:rPr>
        <w:t>，</w:t>
      </w:r>
      <w:r>
        <w:rPr>
          <w:rFonts w:hint="eastAsia" w:ascii="宋体" w:hAnsi="宋体" w:eastAsia="宋体" w:cs="宋体"/>
          <w:sz w:val="21"/>
          <w:szCs w:val="21"/>
          <w:lang w:val="en-US" w:eastAsia="zh-CN"/>
        </w:rPr>
        <w:t>在</w:t>
      </w:r>
      <w:r>
        <w:rPr>
          <w:rFonts w:hint="default"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val="en-US" w:eastAsia="zh-CN"/>
        </w:rPr>
        <w:t>稳定</w:t>
      </w:r>
      <w:r>
        <w:rPr>
          <w:rFonts w:hint="default" w:ascii="Times New Roman" w:hAnsi="Times New Roman" w:eastAsia="宋体" w:cs="Times New Roman"/>
          <w:sz w:val="21"/>
          <w:szCs w:val="21"/>
          <w:lang w:val="en-US" w:eastAsia="zh-CN"/>
        </w:rPr>
        <w:t>10min</w:t>
      </w:r>
      <w:r>
        <w:rPr>
          <w:rFonts w:hint="eastAsia" w:ascii="宋体" w:hAnsi="宋体" w:eastAsia="宋体" w:cs="宋体"/>
          <w:sz w:val="21"/>
          <w:szCs w:val="21"/>
          <w:lang w:val="en-US" w:eastAsia="zh-CN"/>
        </w:rPr>
        <w:t>后记录储能模量标块的示值。按相同的步骤重复测量1次，共计测量2次，按公式计算储能模量重复性及示值误差。</w:t>
      </w:r>
    </w:p>
    <w:p w14:paraId="20CB6028">
      <w:pPr>
        <w:pStyle w:val="4"/>
        <w:spacing w:before="156" w:after="156"/>
        <w:rPr>
          <w:b w:val="0"/>
          <w:bCs w:val="0"/>
        </w:rPr>
      </w:pPr>
      <w:r>
        <w:rPr>
          <w:rFonts w:hint="eastAsia"/>
          <w:b w:val="0"/>
          <w:bCs w:val="0"/>
        </w:rPr>
        <w:t>7 校准结果</w:t>
      </w:r>
      <w:bookmarkEnd w:id="66"/>
      <w:bookmarkEnd w:id="67"/>
      <w:bookmarkEnd w:id="68"/>
      <w:bookmarkEnd w:id="69"/>
      <w:bookmarkEnd w:id="70"/>
      <w:bookmarkEnd w:id="71"/>
      <w:r>
        <w:rPr>
          <w:rFonts w:hint="eastAsia"/>
          <w:b w:val="0"/>
          <w:bCs w:val="0"/>
        </w:rPr>
        <w:t>表达</w:t>
      </w:r>
      <w:bookmarkEnd w:id="72"/>
      <w:bookmarkEnd w:id="73"/>
    </w:p>
    <w:p w14:paraId="51CF54D2">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p>
    <w:p w14:paraId="0813B1C4">
      <w:pPr>
        <w:pStyle w:val="4"/>
        <w:spacing w:before="156" w:after="156"/>
        <w:rPr>
          <w:b w:val="0"/>
          <w:bCs w:val="0"/>
        </w:rPr>
      </w:pPr>
      <w:bookmarkStart w:id="75" w:name="_Toc14803_WPSOffice_Level1"/>
      <w:bookmarkStart w:id="76" w:name="_Toc193860189"/>
      <w:bookmarkStart w:id="77" w:name="_Toc193860040"/>
      <w:bookmarkStart w:id="78" w:name="_Toc193860220"/>
      <w:bookmarkStart w:id="79" w:name="_Toc5529"/>
      <w:bookmarkStart w:id="80" w:name="_Toc193860041"/>
      <w:r>
        <w:rPr>
          <w:rFonts w:hint="eastAsia"/>
          <w:b w:val="0"/>
          <w:bCs w:val="0"/>
        </w:rPr>
        <w:t>8 复校</w:t>
      </w:r>
      <w:bookmarkEnd w:id="75"/>
      <w:bookmarkEnd w:id="76"/>
      <w:bookmarkEnd w:id="77"/>
      <w:bookmarkEnd w:id="78"/>
      <w:bookmarkEnd w:id="79"/>
      <w:r>
        <w:rPr>
          <w:rFonts w:hint="eastAsia"/>
          <w:b w:val="0"/>
          <w:bCs w:val="0"/>
        </w:rPr>
        <w:t>时间间隔</w:t>
      </w:r>
    </w:p>
    <w:bookmarkEnd w:id="80"/>
    <w:p w14:paraId="41CF2C2A">
      <w:pPr>
        <w:pStyle w:val="58"/>
        <w:spacing w:line="360" w:lineRule="auto"/>
        <w:ind w:firstLine="420"/>
        <w:rPr>
          <w:rFonts w:hint="eastAsia" w:ascii="Times New Roman" w:hAnsi="Times New Roman" w:eastAsiaTheme="minorEastAsia"/>
          <w:b w:val="0"/>
          <w:bCs w:val="0"/>
          <w:kern w:val="2"/>
          <w:szCs w:val="21"/>
        </w:rPr>
      </w:pPr>
      <w:r>
        <w:rPr>
          <w:rFonts w:hint="eastAsia" w:ascii="Times New Roman" w:hAnsi="Times New Roman" w:eastAsiaTheme="minorEastAsia"/>
          <w:b w:val="0"/>
          <w:bCs w:val="0"/>
          <w:kern w:val="2"/>
          <w:szCs w:val="21"/>
          <w:lang w:val="en-US" w:eastAsia="zh-CN"/>
        </w:rPr>
        <w:t>复校时间间隔的长短取决于其使用情况，使用单位可根据实际使用情况自主决定复校的时间，建议复校时间间隔为1年。</w:t>
      </w:r>
    </w:p>
    <w:p w14:paraId="07668B45">
      <w:pPr>
        <w:pStyle w:val="4"/>
        <w:spacing w:before="156" w:after="156"/>
        <w:rPr>
          <w:b w:val="0"/>
          <w:bCs w:val="0"/>
        </w:rPr>
      </w:pPr>
      <w:r>
        <w:rPr>
          <w:rFonts w:hint="eastAsia"/>
          <w:b w:val="0"/>
          <w:bCs w:val="0"/>
        </w:rPr>
        <w:t>9附录</w:t>
      </w:r>
    </w:p>
    <w:p w14:paraId="2E83D7CB">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附录主要包含</w:t>
      </w:r>
      <w:r>
        <w:rPr>
          <w:rFonts w:hint="eastAsia" w:ascii="Times New Roman" w:hAnsi="Times New Roman" w:eastAsiaTheme="minorEastAsia"/>
          <w:b w:val="0"/>
          <w:bCs w:val="0"/>
          <w:kern w:val="2"/>
          <w:szCs w:val="21"/>
          <w:lang w:val="en-US" w:eastAsia="zh-CN"/>
        </w:rPr>
        <w:t>参考使用的标准物质认定值和升温范围、</w:t>
      </w:r>
      <w:r>
        <w:rPr>
          <w:rFonts w:hint="eastAsia" w:ascii="Times New Roman" w:hAnsi="Times New Roman" w:eastAsiaTheme="minorEastAsia"/>
          <w:b w:val="0"/>
          <w:bCs w:val="0"/>
          <w:kern w:val="2"/>
          <w:szCs w:val="21"/>
        </w:rPr>
        <w:t>校准原始记录参考格式、校准证书内页参考格式、</w:t>
      </w:r>
      <w:r>
        <w:rPr>
          <w:rFonts w:hint="eastAsia" w:ascii="Times New Roman" w:hAnsi="Times New Roman" w:eastAsiaTheme="minorEastAsia"/>
          <w:b w:val="0"/>
          <w:bCs w:val="0"/>
          <w:kern w:val="2"/>
          <w:szCs w:val="21"/>
          <w:lang w:val="en-US" w:eastAsia="zh-CN"/>
        </w:rPr>
        <w:t>动态热机械分析仪温度示值误差</w:t>
      </w:r>
      <w:r>
        <w:rPr>
          <w:rFonts w:hint="eastAsia" w:ascii="Times New Roman" w:hAnsi="Times New Roman" w:eastAsiaTheme="minorEastAsia"/>
          <w:b w:val="0"/>
          <w:bCs w:val="0"/>
          <w:kern w:val="2"/>
          <w:szCs w:val="21"/>
        </w:rPr>
        <w:t>测量不确定度评定示例</w:t>
      </w:r>
      <w:r>
        <w:rPr>
          <w:rFonts w:hint="eastAsia" w:ascii="Times New Roman" w:hAnsi="Times New Roman" w:eastAsiaTheme="minorEastAsia"/>
          <w:b w:val="0"/>
          <w:bCs w:val="0"/>
          <w:kern w:val="2"/>
          <w:szCs w:val="21"/>
          <w:lang w:eastAsia="zh-CN"/>
        </w:rPr>
        <w:t>、</w:t>
      </w:r>
      <w:r>
        <w:rPr>
          <w:rFonts w:hint="eastAsia" w:ascii="Times New Roman" w:hAnsi="Times New Roman" w:eastAsiaTheme="minorEastAsia"/>
          <w:b w:val="0"/>
          <w:bCs w:val="0"/>
          <w:kern w:val="2"/>
          <w:szCs w:val="21"/>
          <w:lang w:val="en-US" w:eastAsia="zh-CN"/>
        </w:rPr>
        <w:t>动态热机械分析仪位移示值误差测量不确定度评定示例</w:t>
      </w:r>
      <w:r>
        <w:rPr>
          <w:rFonts w:hint="eastAsia" w:ascii="Times New Roman" w:hAnsi="Times New Roman" w:eastAsiaTheme="minorEastAsia"/>
          <w:b w:val="0"/>
          <w:bCs w:val="0"/>
          <w:kern w:val="2"/>
          <w:szCs w:val="21"/>
          <w:lang w:eastAsia="zh-CN"/>
        </w:rPr>
        <w:t>、</w:t>
      </w:r>
      <w:r>
        <w:rPr>
          <w:rFonts w:hint="eastAsia" w:ascii="Times New Roman" w:hAnsi="Times New Roman" w:eastAsiaTheme="minorEastAsia"/>
          <w:b w:val="0"/>
          <w:bCs w:val="0"/>
          <w:kern w:val="2"/>
          <w:szCs w:val="21"/>
          <w:lang w:val="en-US" w:eastAsia="zh-CN"/>
        </w:rPr>
        <w:t>动态热机械分析仪储能模量误差测量不确定度评定示例</w:t>
      </w:r>
      <w:r>
        <w:rPr>
          <w:rFonts w:hint="eastAsia" w:ascii="Times New Roman" w:hAnsi="Times New Roman" w:eastAsiaTheme="minorEastAsia"/>
          <w:b w:val="0"/>
          <w:bCs w:val="0"/>
          <w:kern w:val="2"/>
          <w:szCs w:val="21"/>
        </w:rPr>
        <w:t>。</w:t>
      </w:r>
    </w:p>
    <w:p w14:paraId="23184B3A">
      <w:pPr>
        <w:adjustRightInd w:val="0"/>
        <w:snapToGrid w:val="0"/>
        <w:spacing w:line="360" w:lineRule="auto"/>
        <w:ind w:firstLine="420" w:firstLineChars="200"/>
        <w:rPr>
          <w:b w:val="0"/>
          <w:bCs w:val="0"/>
        </w:rPr>
      </w:pPr>
      <w:r>
        <w:rPr>
          <w:rFonts w:hint="eastAsia"/>
          <w:b w:val="0"/>
          <w:bCs w:val="0"/>
          <w:lang w:val="en-US" w:eastAsia="zh-CN"/>
        </w:rPr>
        <w:t>本规范</w:t>
      </w:r>
      <w:r>
        <w:rPr>
          <w:rFonts w:hint="eastAsia"/>
          <w:b w:val="0"/>
          <w:bCs w:val="0"/>
        </w:rPr>
        <w:t>设置了</w:t>
      </w:r>
      <w:r>
        <w:rPr>
          <w:rFonts w:hint="eastAsia"/>
          <w:b w:val="0"/>
          <w:bCs w:val="0"/>
          <w:lang w:val="en-US" w:eastAsia="zh-CN"/>
        </w:rPr>
        <w:t>6</w:t>
      </w:r>
      <w:r>
        <w:rPr>
          <w:rFonts w:hint="eastAsia"/>
          <w:b w:val="0"/>
          <w:bCs w:val="0"/>
        </w:rPr>
        <w:t>个附录，便于校准时参考和规范。</w:t>
      </w:r>
    </w:p>
    <w:p w14:paraId="71B9B9A9">
      <w:pPr>
        <w:adjustRightInd w:val="0"/>
        <w:snapToGrid w:val="0"/>
        <w:spacing w:line="360" w:lineRule="auto"/>
        <w:ind w:firstLine="420" w:firstLineChars="200"/>
        <w:rPr>
          <w:rFonts w:hint="eastAsia"/>
          <w:b w:val="0"/>
          <w:bCs w:val="0"/>
        </w:rPr>
      </w:pPr>
      <w:r>
        <w:rPr>
          <w:rFonts w:hint="eastAsia"/>
          <w:b w:val="0"/>
          <w:bCs w:val="0"/>
        </w:rPr>
        <w:t xml:space="preserve">附录A </w:t>
      </w:r>
      <w:bookmarkStart w:id="81" w:name="_Toc831661992"/>
      <w:bookmarkStart w:id="82" w:name="_Toc1027037846"/>
      <w:bookmarkStart w:id="83" w:name="_Toc798313278"/>
      <w:r>
        <w:rPr>
          <w:rFonts w:hint="eastAsia"/>
          <w:b w:val="0"/>
          <w:bCs w:val="0"/>
          <w:lang w:val="en-US" w:eastAsia="zh-CN"/>
        </w:rPr>
        <w:t>参考使用的标准物质认定值和升温范围</w:t>
      </w:r>
      <w:bookmarkEnd w:id="81"/>
      <w:bookmarkEnd w:id="82"/>
      <w:bookmarkEnd w:id="83"/>
    </w:p>
    <w:p w14:paraId="4A83E3E7">
      <w:pPr>
        <w:adjustRightInd w:val="0"/>
        <w:snapToGrid w:val="0"/>
        <w:spacing w:line="360" w:lineRule="auto"/>
        <w:ind w:firstLine="420" w:firstLineChars="200"/>
        <w:rPr>
          <w:b w:val="0"/>
          <w:bCs w:val="0"/>
        </w:rPr>
      </w:pPr>
      <w:r>
        <w:rPr>
          <w:rFonts w:hint="eastAsia"/>
          <w:b w:val="0"/>
          <w:bCs w:val="0"/>
        </w:rPr>
        <w:t>附录</w:t>
      </w:r>
      <w:r>
        <w:rPr>
          <w:rFonts w:hint="default"/>
          <w:b w:val="0"/>
          <w:bCs w:val="0"/>
          <w:lang w:val="en-US"/>
        </w:rPr>
        <w:t>B</w:t>
      </w:r>
      <w:r>
        <w:rPr>
          <w:rFonts w:hint="eastAsia"/>
          <w:b w:val="0"/>
          <w:bCs w:val="0"/>
        </w:rPr>
        <w:t xml:space="preserve"> </w:t>
      </w:r>
      <w:r>
        <w:rPr>
          <w:rFonts w:hint="eastAsia"/>
          <w:b w:val="0"/>
          <w:bCs w:val="0"/>
          <w:lang w:val="en-US" w:eastAsia="zh-CN"/>
        </w:rPr>
        <w:t>动态热机械分析仪</w:t>
      </w:r>
      <w:r>
        <w:rPr>
          <w:rFonts w:hint="eastAsia"/>
          <w:b w:val="0"/>
          <w:bCs w:val="0"/>
        </w:rPr>
        <w:t>校准记录参考格式</w:t>
      </w:r>
    </w:p>
    <w:p w14:paraId="0A8963F5">
      <w:pPr>
        <w:adjustRightInd w:val="0"/>
        <w:snapToGrid w:val="0"/>
        <w:spacing w:line="360" w:lineRule="auto"/>
        <w:ind w:firstLine="420" w:firstLineChars="200"/>
        <w:rPr>
          <w:b w:val="0"/>
          <w:bCs w:val="0"/>
        </w:rPr>
      </w:pPr>
      <w:r>
        <w:rPr>
          <w:rFonts w:hint="eastAsia"/>
          <w:b w:val="0"/>
          <w:bCs w:val="0"/>
        </w:rPr>
        <w:t>附录</w:t>
      </w:r>
      <w:r>
        <w:rPr>
          <w:rFonts w:hint="default"/>
          <w:b w:val="0"/>
          <w:bCs w:val="0"/>
          <w:lang w:val="en-US"/>
        </w:rPr>
        <w:t>C</w:t>
      </w:r>
      <w:r>
        <w:rPr>
          <w:rFonts w:hint="eastAsia"/>
          <w:b w:val="0"/>
          <w:bCs w:val="0"/>
        </w:rPr>
        <w:t xml:space="preserve"> </w:t>
      </w:r>
      <w:r>
        <w:rPr>
          <w:rFonts w:hint="eastAsia"/>
          <w:b w:val="0"/>
          <w:bCs w:val="0"/>
          <w:lang w:val="en-US" w:eastAsia="zh-CN"/>
        </w:rPr>
        <w:t>动态热机械分析仪</w:t>
      </w:r>
      <w:r>
        <w:rPr>
          <w:rFonts w:hint="eastAsia"/>
          <w:b w:val="0"/>
          <w:bCs w:val="0"/>
        </w:rPr>
        <w:t>校准证书内页参考格式</w:t>
      </w:r>
    </w:p>
    <w:p w14:paraId="3C5E1556">
      <w:pPr>
        <w:adjustRightInd w:val="0"/>
        <w:snapToGrid w:val="0"/>
        <w:spacing w:line="360" w:lineRule="auto"/>
        <w:ind w:firstLine="420" w:firstLineChars="200"/>
        <w:rPr>
          <w:rFonts w:hint="eastAsia"/>
          <w:b w:val="0"/>
          <w:bCs w:val="0"/>
        </w:rPr>
      </w:pPr>
      <w:r>
        <w:rPr>
          <w:rFonts w:hint="eastAsia"/>
          <w:b w:val="0"/>
          <w:bCs w:val="0"/>
        </w:rPr>
        <w:t>附录</w:t>
      </w:r>
      <w:r>
        <w:rPr>
          <w:rFonts w:hint="default"/>
          <w:b w:val="0"/>
          <w:bCs w:val="0"/>
          <w:lang w:val="en-US"/>
        </w:rPr>
        <w:t>D</w:t>
      </w:r>
      <w:r>
        <w:rPr>
          <w:rFonts w:hint="eastAsia"/>
          <w:b w:val="0"/>
          <w:bCs w:val="0"/>
        </w:rPr>
        <w:t xml:space="preserve"> </w:t>
      </w:r>
      <w:r>
        <w:rPr>
          <w:rFonts w:hint="eastAsia"/>
          <w:b w:val="0"/>
          <w:bCs w:val="0"/>
          <w:lang w:val="en-US" w:eastAsia="zh-CN"/>
        </w:rPr>
        <w:t>动态热机械分析仪温度</w:t>
      </w:r>
      <w:r>
        <w:rPr>
          <w:rFonts w:hint="eastAsia"/>
          <w:b w:val="0"/>
          <w:bCs w:val="0"/>
        </w:rPr>
        <w:t>示值误差测量不确定度评定示例</w:t>
      </w:r>
    </w:p>
    <w:p w14:paraId="378252E4">
      <w:pPr>
        <w:adjustRightInd w:val="0"/>
        <w:snapToGrid w:val="0"/>
        <w:spacing w:line="360" w:lineRule="auto"/>
        <w:ind w:firstLine="420" w:firstLineChars="200"/>
        <w:rPr>
          <w:rFonts w:hint="eastAsia"/>
          <w:b w:val="0"/>
          <w:bCs w:val="0"/>
        </w:rPr>
      </w:pPr>
      <w:r>
        <w:rPr>
          <w:rFonts w:hint="eastAsia"/>
          <w:b w:val="0"/>
          <w:bCs w:val="0"/>
        </w:rPr>
        <w:t>附录</w:t>
      </w:r>
      <w:r>
        <w:rPr>
          <w:rFonts w:hint="default"/>
          <w:b w:val="0"/>
          <w:bCs w:val="0"/>
          <w:lang w:val="en-US"/>
        </w:rPr>
        <w:t>E</w:t>
      </w:r>
      <w:r>
        <w:rPr>
          <w:rFonts w:hint="eastAsia"/>
          <w:b w:val="0"/>
          <w:bCs w:val="0"/>
        </w:rPr>
        <w:t xml:space="preserve"> </w:t>
      </w:r>
      <w:r>
        <w:rPr>
          <w:rFonts w:hint="eastAsia"/>
          <w:b w:val="0"/>
          <w:bCs w:val="0"/>
          <w:lang w:val="en-US" w:eastAsia="zh-CN"/>
        </w:rPr>
        <w:t>动态热机械分析仪位移</w:t>
      </w:r>
      <w:r>
        <w:rPr>
          <w:rFonts w:hint="eastAsia"/>
          <w:b w:val="0"/>
          <w:bCs w:val="0"/>
        </w:rPr>
        <w:t>示值误差测量不确定度评定示例</w:t>
      </w:r>
    </w:p>
    <w:p w14:paraId="5B37EC13">
      <w:pPr>
        <w:adjustRightInd w:val="0"/>
        <w:snapToGrid w:val="0"/>
        <w:spacing w:line="360" w:lineRule="auto"/>
        <w:ind w:firstLine="420" w:firstLineChars="200"/>
        <w:rPr>
          <w:rFonts w:hint="eastAsia"/>
          <w:b w:val="0"/>
          <w:bCs w:val="0"/>
        </w:rPr>
      </w:pPr>
      <w:r>
        <w:rPr>
          <w:rFonts w:hint="eastAsia"/>
          <w:b w:val="0"/>
          <w:bCs w:val="0"/>
        </w:rPr>
        <w:t>附录</w:t>
      </w:r>
      <w:r>
        <w:rPr>
          <w:rFonts w:hint="default"/>
          <w:b w:val="0"/>
          <w:bCs w:val="0"/>
          <w:lang w:val="en-US"/>
        </w:rPr>
        <w:t>F</w:t>
      </w:r>
      <w:r>
        <w:rPr>
          <w:rFonts w:hint="eastAsia"/>
          <w:b w:val="0"/>
          <w:bCs w:val="0"/>
        </w:rPr>
        <w:t xml:space="preserve"> </w:t>
      </w:r>
      <w:r>
        <w:rPr>
          <w:rFonts w:hint="eastAsia"/>
          <w:b w:val="0"/>
          <w:bCs w:val="0"/>
          <w:lang w:val="en-US" w:eastAsia="zh-CN"/>
        </w:rPr>
        <w:t>动态热机械分析仪储能模量</w:t>
      </w:r>
      <w:r>
        <w:rPr>
          <w:rFonts w:hint="eastAsia"/>
          <w:b w:val="0"/>
          <w:bCs w:val="0"/>
        </w:rPr>
        <w:t>示值误差测量不确定度评定示例</w:t>
      </w:r>
    </w:p>
    <w:bookmarkEnd w:id="1"/>
    <w:bookmarkEnd w:id="19"/>
    <w:p w14:paraId="162FAECD">
      <w:pPr>
        <w:pStyle w:val="2"/>
        <w:spacing w:before="156" w:after="156"/>
        <w:rPr>
          <w:rFonts w:hint="eastAsia"/>
          <w:b w:val="0"/>
          <w:bCs w:val="0"/>
        </w:rPr>
      </w:pPr>
      <w:bookmarkStart w:id="84" w:name="_Toc464728965"/>
      <w:r>
        <w:rPr>
          <w:rFonts w:hint="eastAsia"/>
          <w:b w:val="0"/>
          <w:bCs w:val="0"/>
        </w:rPr>
        <w:t>三、实践检测情况</w:t>
      </w:r>
    </w:p>
    <w:p w14:paraId="16136252">
      <w:pPr>
        <w:adjustRightInd w:val="0"/>
        <w:spacing w:line="360" w:lineRule="auto"/>
        <w:ind w:firstLine="420" w:firstLineChars="200"/>
        <w:rPr>
          <w:rFonts w:hint="default"/>
          <w:b w:val="0"/>
          <w:bCs w:val="0"/>
          <w:color w:val="0000FF"/>
          <w:sz w:val="21"/>
          <w:szCs w:val="24"/>
        </w:rPr>
      </w:pPr>
      <w:r>
        <w:rPr>
          <w:rFonts w:hint="eastAsia"/>
          <w:b w:val="0"/>
          <w:bCs w:val="0"/>
          <w:color w:val="0000FF"/>
          <w:sz w:val="21"/>
          <w:szCs w:val="24"/>
          <w:lang w:val="en-US" w:eastAsia="zh-CN"/>
        </w:rPr>
        <w:t>XXX</w:t>
      </w:r>
      <w:r>
        <w:rPr>
          <w:rFonts w:hint="default"/>
          <w:b w:val="0"/>
          <w:bCs w:val="0"/>
          <w:color w:val="0000FF"/>
          <w:sz w:val="21"/>
          <w:szCs w:val="24"/>
        </w:rPr>
        <w:t>公司</w:t>
      </w:r>
      <w:r>
        <w:rPr>
          <w:rFonts w:hint="eastAsia"/>
          <w:b w:val="0"/>
          <w:bCs w:val="0"/>
          <w:color w:val="0000FF"/>
          <w:sz w:val="21"/>
          <w:szCs w:val="24"/>
          <w:lang w:eastAsia="zh-CN"/>
        </w:rPr>
        <w:t>、</w:t>
      </w:r>
      <w:r>
        <w:rPr>
          <w:rFonts w:hint="eastAsia"/>
          <w:b w:val="0"/>
          <w:bCs w:val="0"/>
          <w:color w:val="0000FF"/>
          <w:sz w:val="21"/>
          <w:szCs w:val="24"/>
          <w:lang w:val="en-US" w:eastAsia="zh-CN"/>
        </w:rPr>
        <w:t>XXX公司、XX公司</w:t>
      </w:r>
      <w:r>
        <w:rPr>
          <w:rFonts w:hint="default"/>
          <w:b w:val="0"/>
          <w:bCs w:val="0"/>
          <w:color w:val="0000FF"/>
          <w:sz w:val="21"/>
          <w:szCs w:val="24"/>
        </w:rPr>
        <w:t>根据本</w:t>
      </w:r>
      <w:r>
        <w:rPr>
          <w:rFonts w:hint="default"/>
          <w:b w:val="0"/>
          <w:bCs w:val="0"/>
          <w:color w:val="0000FF"/>
          <w:sz w:val="21"/>
          <w:szCs w:val="24"/>
          <w:lang w:val="en-US" w:eastAsia="zh-CN"/>
        </w:rPr>
        <w:t>规范</w:t>
      </w:r>
      <w:r>
        <w:rPr>
          <w:rFonts w:hint="eastAsia"/>
          <w:b w:val="0"/>
          <w:bCs w:val="0"/>
          <w:color w:val="0000FF"/>
          <w:sz w:val="21"/>
          <w:szCs w:val="24"/>
          <w:lang w:val="en-US" w:eastAsia="zh-CN"/>
        </w:rPr>
        <w:t>的校准项目</w:t>
      </w:r>
      <w:r>
        <w:rPr>
          <w:rFonts w:hint="default"/>
          <w:b w:val="0"/>
          <w:bCs w:val="0"/>
          <w:color w:val="0000FF"/>
          <w:sz w:val="21"/>
          <w:szCs w:val="24"/>
        </w:rPr>
        <w:t>对</w:t>
      </w:r>
      <w:r>
        <w:rPr>
          <w:rFonts w:hint="eastAsia"/>
          <w:b w:val="0"/>
          <w:bCs w:val="0"/>
          <w:color w:val="0000FF"/>
          <w:sz w:val="21"/>
          <w:szCs w:val="24"/>
          <w:lang w:val="en-US" w:eastAsia="zh-CN"/>
        </w:rPr>
        <w:t>XXX</w:t>
      </w:r>
      <w:r>
        <w:rPr>
          <w:rFonts w:hint="default"/>
          <w:b w:val="0"/>
          <w:bCs w:val="0"/>
          <w:color w:val="0000FF"/>
          <w:sz w:val="21"/>
          <w:szCs w:val="24"/>
        </w:rPr>
        <w:t>进行了全计量特性的校准，内容详见校准报告。</w:t>
      </w:r>
    </w:p>
    <w:p w14:paraId="7AA329CC">
      <w:pPr>
        <w:pStyle w:val="2"/>
        <w:spacing w:before="156" w:after="156"/>
        <w:rPr>
          <w:b w:val="0"/>
          <w:bCs w:val="0"/>
        </w:rPr>
      </w:pPr>
      <w:r>
        <w:rPr>
          <w:rFonts w:hint="eastAsia"/>
          <w:b w:val="0"/>
          <w:bCs w:val="0"/>
          <w:lang w:val="en-US" w:eastAsia="zh-CN"/>
        </w:rPr>
        <w:t>四</w:t>
      </w:r>
      <w:r>
        <w:rPr>
          <w:rFonts w:hint="eastAsia"/>
          <w:b w:val="0"/>
          <w:bCs w:val="0"/>
        </w:rPr>
        <w:t>、规范水平分析</w:t>
      </w:r>
      <w:bookmarkEnd w:id="84"/>
    </w:p>
    <w:p w14:paraId="47AD13F6">
      <w:pPr>
        <w:adjustRightInd w:val="0"/>
        <w:spacing w:line="360" w:lineRule="auto"/>
        <w:ind w:firstLine="420" w:firstLineChars="200"/>
        <w:rPr>
          <w:rFonts w:hint="eastAsia" w:ascii="宋体" w:hAnsi="宋体"/>
          <w:b w:val="0"/>
          <w:bCs w:val="0"/>
          <w:sz w:val="21"/>
          <w:szCs w:val="21"/>
        </w:rPr>
      </w:pPr>
      <w:r>
        <w:rPr>
          <w:rFonts w:hint="eastAsia" w:ascii="宋体" w:hAnsi="宋体"/>
          <w:b w:val="0"/>
          <w:bCs w:val="0"/>
          <w:sz w:val="21"/>
          <w:szCs w:val="21"/>
        </w:rPr>
        <w:t>目前国外没有相关技术规范，本规范水平达到国</w:t>
      </w:r>
      <w:r>
        <w:rPr>
          <w:rFonts w:hint="eastAsia" w:ascii="宋体" w:hAnsi="宋体"/>
          <w:b w:val="0"/>
          <w:bCs w:val="0"/>
          <w:sz w:val="21"/>
          <w:szCs w:val="21"/>
          <w:lang w:val="en-US" w:eastAsia="zh-CN"/>
        </w:rPr>
        <w:t>内</w:t>
      </w:r>
      <w:r>
        <w:rPr>
          <w:rFonts w:hint="eastAsia" w:ascii="宋体" w:hAnsi="宋体"/>
          <w:b w:val="0"/>
          <w:bCs w:val="0"/>
          <w:sz w:val="21"/>
          <w:szCs w:val="21"/>
        </w:rPr>
        <w:t>先进水平。</w:t>
      </w:r>
      <w:r>
        <w:rPr>
          <w:rFonts w:hint="eastAsia"/>
          <w:b w:val="0"/>
          <w:bCs w:val="0"/>
          <w:sz w:val="21"/>
          <w:szCs w:val="21"/>
        </w:rPr>
        <w:t>本</w:t>
      </w:r>
      <w:r>
        <w:rPr>
          <w:rFonts w:hint="eastAsia"/>
          <w:b w:val="0"/>
          <w:bCs w:val="0"/>
          <w:sz w:val="21"/>
          <w:szCs w:val="21"/>
          <w:lang w:eastAsia="zh-CN"/>
        </w:rPr>
        <w:t>规范</w:t>
      </w:r>
      <w:r>
        <w:rPr>
          <w:rFonts w:hint="eastAsia"/>
          <w:b w:val="0"/>
          <w:bCs w:val="0"/>
          <w:sz w:val="21"/>
          <w:szCs w:val="21"/>
        </w:rPr>
        <w:t>的制定填补了有色金属行业</w:t>
      </w:r>
      <w:r>
        <w:rPr>
          <w:rFonts w:hint="eastAsia"/>
          <w:b w:val="0"/>
          <w:bCs w:val="0"/>
          <w:sz w:val="21"/>
          <w:szCs w:val="21"/>
          <w:lang w:val="en-US" w:eastAsia="zh-CN"/>
        </w:rPr>
        <w:t>动态热机械分析仪</w:t>
      </w:r>
      <w:r>
        <w:rPr>
          <w:rFonts w:hint="eastAsia"/>
          <w:b w:val="0"/>
          <w:bCs w:val="0"/>
          <w:sz w:val="21"/>
          <w:szCs w:val="21"/>
        </w:rPr>
        <w:t>的校准空白，属于国内首创，水平达到国内领先</w:t>
      </w:r>
      <w:r>
        <w:rPr>
          <w:rFonts w:hint="eastAsia"/>
          <w:b w:val="0"/>
          <w:bCs w:val="0"/>
          <w:sz w:val="21"/>
          <w:szCs w:val="21"/>
          <w:lang w:val="en-US" w:eastAsia="zh-CN"/>
        </w:rPr>
        <w:t>。</w:t>
      </w:r>
    </w:p>
    <w:p w14:paraId="25294A3D">
      <w:pPr>
        <w:pStyle w:val="2"/>
        <w:spacing w:before="156" w:after="156"/>
        <w:rPr>
          <w:b w:val="0"/>
          <w:bCs w:val="0"/>
        </w:rPr>
      </w:pPr>
      <w:r>
        <w:rPr>
          <w:rFonts w:hint="eastAsia"/>
          <w:b w:val="0"/>
          <w:bCs w:val="0"/>
        </w:rPr>
        <w:t>五、与有关的现行法律、法规和强制性国家标准的关系</w:t>
      </w:r>
    </w:p>
    <w:p w14:paraId="4BF94920">
      <w:pPr>
        <w:pStyle w:val="58"/>
        <w:spacing w:line="30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14:paraId="167DC1A0">
      <w:pPr>
        <w:pStyle w:val="2"/>
        <w:spacing w:before="156" w:after="156"/>
        <w:rPr>
          <w:b w:val="0"/>
          <w:bCs w:val="0"/>
        </w:rPr>
      </w:pPr>
      <w:bookmarkStart w:id="85" w:name="_Toc464728973"/>
      <w:r>
        <w:rPr>
          <w:rFonts w:hint="eastAsia"/>
          <w:b w:val="0"/>
          <w:bCs w:val="0"/>
        </w:rPr>
        <w:t>六、规范中涉及的专利或知识产权说明</w:t>
      </w:r>
      <w:bookmarkEnd w:id="85"/>
    </w:p>
    <w:p w14:paraId="54E002EC">
      <w:pPr>
        <w:pStyle w:val="58"/>
        <w:spacing w:line="300" w:lineRule="auto"/>
        <w:ind w:firstLineChars="0"/>
        <w:contextualSpacing/>
        <w:rPr>
          <w:rFonts w:hint="eastAsia" w:eastAsia="宋体"/>
          <w:b w:val="0"/>
          <w:bCs w:val="0"/>
          <w:szCs w:val="21"/>
          <w:lang w:eastAsia="zh-CN"/>
        </w:rPr>
      </w:pPr>
      <w:bookmarkStart w:id="86" w:name="_Toc464728974"/>
      <w:r>
        <w:rPr>
          <w:rFonts w:hint="eastAsia"/>
          <w:b w:val="0"/>
          <w:bCs w:val="0"/>
          <w:szCs w:val="21"/>
        </w:rPr>
        <w:t>无</w:t>
      </w:r>
      <w:r>
        <w:rPr>
          <w:rFonts w:hint="eastAsia"/>
          <w:b w:val="0"/>
          <w:bCs w:val="0"/>
          <w:szCs w:val="21"/>
          <w:lang w:eastAsia="zh-CN"/>
        </w:rPr>
        <w:t>。</w:t>
      </w:r>
    </w:p>
    <w:p w14:paraId="7D8DB3BE">
      <w:pPr>
        <w:pStyle w:val="2"/>
        <w:spacing w:before="156" w:after="156"/>
        <w:rPr>
          <w:b w:val="0"/>
          <w:bCs w:val="0"/>
        </w:rPr>
      </w:pPr>
      <w:r>
        <w:rPr>
          <w:rFonts w:hint="eastAsia"/>
          <w:b w:val="0"/>
          <w:bCs w:val="0"/>
        </w:rPr>
        <w:t>七、重大分歧意见的处理经过和依据</w:t>
      </w:r>
      <w:bookmarkEnd w:id="86"/>
    </w:p>
    <w:p w14:paraId="17CCC10A">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14:paraId="5CD0AA0C">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14:paraId="5BC96BFC">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14:paraId="54A64974">
      <w:pPr>
        <w:pStyle w:val="2"/>
        <w:spacing w:before="156" w:after="156"/>
        <w:rPr>
          <w:b w:val="0"/>
          <w:bCs w:val="0"/>
        </w:rPr>
      </w:pPr>
      <w:bookmarkStart w:id="87" w:name="_Toc464728976"/>
      <w:r>
        <w:rPr>
          <w:rFonts w:hint="eastAsia"/>
          <w:b w:val="0"/>
          <w:bCs w:val="0"/>
        </w:rPr>
        <w:t>九、贯彻规范的要求和措施建议</w:t>
      </w:r>
      <w:bookmarkEnd w:id="87"/>
    </w:p>
    <w:p w14:paraId="1B58E1C8">
      <w:pPr>
        <w:pStyle w:val="58"/>
        <w:spacing w:line="30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本规范发布后，中国有色金属行业协会和有色金属行业计量技术委员会应加强本规范的宣传力度，以促进我国企业的技术进步和产品质量上档次，提高我国产品在国际国内市场的竞争能力。</w:t>
      </w:r>
    </w:p>
    <w:p w14:paraId="30254EEA">
      <w:pPr>
        <w:pStyle w:val="2"/>
        <w:spacing w:before="156" w:after="156"/>
        <w:rPr>
          <w:b w:val="0"/>
          <w:bCs w:val="0"/>
        </w:rPr>
      </w:pPr>
      <w:bookmarkStart w:id="88" w:name="_Toc464728977"/>
      <w:r>
        <w:rPr>
          <w:rFonts w:hint="eastAsia"/>
          <w:b w:val="0"/>
          <w:bCs w:val="0"/>
        </w:rPr>
        <w:t>十、废止现行有关规范的建议</w:t>
      </w:r>
      <w:bookmarkEnd w:id="88"/>
    </w:p>
    <w:p w14:paraId="39E87E15">
      <w:pPr>
        <w:pStyle w:val="58"/>
        <w:spacing w:line="300" w:lineRule="auto"/>
        <w:ind w:firstLine="420"/>
        <w:contextualSpacing/>
        <w:rPr>
          <w:b w:val="0"/>
          <w:bCs w:val="0"/>
          <w:szCs w:val="21"/>
        </w:rPr>
      </w:pPr>
      <w:r>
        <w:rPr>
          <w:rFonts w:hint="eastAsia"/>
          <w:b w:val="0"/>
          <w:bCs w:val="0"/>
          <w:szCs w:val="21"/>
        </w:rPr>
        <w:t>无。</w:t>
      </w:r>
    </w:p>
    <w:p w14:paraId="348B930C">
      <w:pPr>
        <w:pStyle w:val="2"/>
        <w:spacing w:before="156" w:after="156"/>
        <w:rPr>
          <w:b w:val="0"/>
          <w:bCs w:val="0"/>
        </w:rPr>
      </w:pPr>
      <w:r>
        <w:rPr>
          <w:rFonts w:hint="eastAsia"/>
          <w:b w:val="0"/>
          <w:bCs w:val="0"/>
          <w:lang w:val="en-US" w:eastAsia="zh-CN"/>
        </w:rPr>
        <w:t>十一</w:t>
      </w:r>
      <w:r>
        <w:rPr>
          <w:rFonts w:hint="eastAsia"/>
          <w:b w:val="0"/>
          <w:bCs w:val="0"/>
        </w:rPr>
        <w:t>、预期效果</w:t>
      </w:r>
    </w:p>
    <w:p w14:paraId="6FBF4B3B">
      <w:pPr>
        <w:ind w:firstLine="420" w:firstLineChars="200"/>
        <w:rPr>
          <w:rFonts w:ascii="宋体" w:hAnsi="宋体"/>
          <w:b w:val="0"/>
          <w:bCs w:val="0"/>
          <w:kern w:val="0"/>
          <w:szCs w:val="21"/>
        </w:rPr>
      </w:pPr>
      <w:r>
        <w:rPr>
          <w:rFonts w:hint="eastAsia" w:ascii="宋体" w:hAnsi="宋体"/>
          <w:b w:val="0"/>
          <w:bCs w:val="0"/>
          <w:kern w:val="0"/>
          <w:szCs w:val="21"/>
          <w:lang w:val="en-US" w:eastAsia="zh-CN"/>
        </w:rPr>
        <w:t>本</w:t>
      </w:r>
      <w:r>
        <w:rPr>
          <w:rFonts w:ascii="宋体" w:hAnsi="宋体"/>
          <w:b w:val="0"/>
          <w:bCs w:val="0"/>
          <w:kern w:val="0"/>
          <w:szCs w:val="21"/>
        </w:rPr>
        <w:t>规范</w:t>
      </w:r>
      <w:r>
        <w:rPr>
          <w:rFonts w:hint="eastAsia" w:ascii="宋体" w:hAnsi="宋体"/>
          <w:b w:val="0"/>
          <w:bCs w:val="0"/>
          <w:kern w:val="0"/>
          <w:szCs w:val="21"/>
          <w:lang w:val="en-US" w:eastAsia="zh-CN"/>
        </w:rPr>
        <w:t>发布后，能</w:t>
      </w:r>
      <w:r>
        <w:rPr>
          <w:rFonts w:ascii="宋体" w:hAnsi="宋体"/>
          <w:b w:val="0"/>
          <w:bCs w:val="0"/>
          <w:kern w:val="0"/>
          <w:szCs w:val="21"/>
        </w:rPr>
        <w:t>解决</w:t>
      </w:r>
      <w:r>
        <w:rPr>
          <w:rFonts w:hint="eastAsia" w:ascii="宋体" w:hAnsi="宋体"/>
          <w:b w:val="0"/>
          <w:bCs w:val="0"/>
          <w:kern w:val="0"/>
          <w:szCs w:val="21"/>
          <w:lang w:val="en-US" w:eastAsia="zh-CN"/>
        </w:rPr>
        <w:t>动态热机械分析仪</w:t>
      </w:r>
      <w:r>
        <w:rPr>
          <w:rFonts w:ascii="宋体" w:hAnsi="宋体"/>
          <w:b w:val="0"/>
          <w:bCs w:val="0"/>
          <w:kern w:val="0"/>
          <w:szCs w:val="21"/>
        </w:rPr>
        <w:t>校准方法不统一、校准方法差异化、计量标准技术指标不明确、校准点的选择不统一、</w:t>
      </w:r>
      <w:r>
        <w:rPr>
          <w:rFonts w:hint="eastAsia"/>
          <w:b w:val="0"/>
          <w:bCs w:val="0"/>
          <w:lang w:val="en-US" w:eastAsia="zh-CN"/>
        </w:rPr>
        <w:t>动态热机械分析仪</w:t>
      </w:r>
      <w:r>
        <w:rPr>
          <w:rFonts w:ascii="宋体" w:hAnsi="宋体"/>
          <w:b w:val="0"/>
          <w:bCs w:val="0"/>
          <w:kern w:val="0"/>
          <w:szCs w:val="21"/>
        </w:rPr>
        <w:t>的校准方法未规定等问题，弥补</w:t>
      </w:r>
      <w:r>
        <w:rPr>
          <w:rFonts w:hint="eastAsia"/>
          <w:b w:val="0"/>
          <w:bCs w:val="0"/>
          <w:lang w:val="en-US" w:eastAsia="zh-CN"/>
        </w:rPr>
        <w:t>动态热机械分析仪</w:t>
      </w:r>
      <w:r>
        <w:rPr>
          <w:rFonts w:ascii="宋体" w:hAnsi="宋体"/>
          <w:b w:val="0"/>
          <w:bCs w:val="0"/>
          <w:kern w:val="0"/>
          <w:szCs w:val="21"/>
        </w:rPr>
        <w:t>校准的空白，</w:t>
      </w:r>
      <w:r>
        <w:rPr>
          <w:rFonts w:hint="eastAsia" w:ascii="宋体" w:hAnsi="宋体"/>
          <w:b w:val="0"/>
          <w:bCs w:val="0"/>
          <w:kern w:val="0"/>
          <w:szCs w:val="21"/>
        </w:rPr>
        <w:t>为保证</w:t>
      </w:r>
      <w:r>
        <w:rPr>
          <w:rFonts w:hint="eastAsia"/>
          <w:b w:val="0"/>
          <w:bCs w:val="0"/>
          <w:lang w:val="en-US" w:eastAsia="zh-CN"/>
        </w:rPr>
        <w:t>动态热机械分析仪</w:t>
      </w:r>
      <w:r>
        <w:rPr>
          <w:rFonts w:hint="eastAsia" w:ascii="宋体" w:hAnsi="宋体"/>
          <w:b w:val="0"/>
          <w:bCs w:val="0"/>
          <w:kern w:val="0"/>
          <w:szCs w:val="21"/>
        </w:rPr>
        <w:t>测试结果的准确可靠</w:t>
      </w:r>
      <w:r>
        <w:rPr>
          <w:rFonts w:ascii="宋体" w:hAnsi="宋体"/>
          <w:b w:val="0"/>
          <w:bCs w:val="0"/>
          <w:kern w:val="0"/>
          <w:szCs w:val="21"/>
        </w:rPr>
        <w:t>提供保证，从而提高刻线精度的准确性。</w:t>
      </w:r>
    </w:p>
    <w:p w14:paraId="56F595F0">
      <w:pPr>
        <w:pStyle w:val="2"/>
        <w:spacing w:before="156" w:after="156"/>
        <w:rPr>
          <w:b w:val="0"/>
          <w:bCs w:val="0"/>
        </w:rPr>
      </w:pPr>
      <w:r>
        <w:rPr>
          <w:rFonts w:hint="eastAsia"/>
          <w:b w:val="0"/>
          <w:bCs w:val="0"/>
        </w:rPr>
        <w:t>十一、其他应予说明的事项</w:t>
      </w:r>
    </w:p>
    <w:p w14:paraId="5513842A">
      <w:pPr>
        <w:pStyle w:val="58"/>
        <w:spacing w:line="300" w:lineRule="auto"/>
        <w:ind w:firstLineChars="0"/>
        <w:contextualSpacing/>
        <w:rPr>
          <w:rFonts w:hint="eastAsia"/>
          <w:b w:val="0"/>
          <w:bCs w:val="0"/>
          <w:szCs w:val="21"/>
        </w:rPr>
      </w:pPr>
      <w:r>
        <w:rPr>
          <w:rFonts w:hint="eastAsia"/>
          <w:b w:val="0"/>
          <w:bCs w:val="0"/>
          <w:szCs w:val="21"/>
        </w:rPr>
        <w:t>无。</w:t>
      </w:r>
    </w:p>
    <w:p w14:paraId="5BAC7404">
      <w:pPr>
        <w:pStyle w:val="58"/>
        <w:spacing w:line="300" w:lineRule="auto"/>
        <w:ind w:firstLineChars="0"/>
        <w:contextualSpacing/>
        <w:rPr>
          <w:rFonts w:hint="eastAsia"/>
          <w:b w:val="0"/>
          <w:bCs w:val="0"/>
          <w:szCs w:val="21"/>
        </w:rPr>
      </w:pPr>
    </w:p>
    <w:p w14:paraId="053C011A">
      <w:pPr>
        <w:pStyle w:val="58"/>
        <w:spacing w:line="300" w:lineRule="auto"/>
        <w:ind w:firstLineChars="0"/>
        <w:contextualSpacing/>
        <w:jc w:val="right"/>
        <w:rPr>
          <w:rFonts w:ascii="Times New Roman" w:hAnsi="Times New Roman" w:eastAsia="黑体"/>
          <w:b w:val="0"/>
          <w:bCs w:val="0"/>
        </w:rPr>
      </w:pPr>
      <w:r>
        <w:rPr>
          <w:rFonts w:ascii="Times New Roman" w:hAnsi="Times New Roman" w:eastAsia="黑体"/>
          <w:b w:val="0"/>
          <w:bCs w:val="0"/>
        </w:rPr>
        <w:t xml:space="preserve"> </w:t>
      </w:r>
    </w:p>
    <w:p w14:paraId="32741746">
      <w:pPr>
        <w:pStyle w:val="58"/>
        <w:spacing w:line="300" w:lineRule="auto"/>
        <w:ind w:firstLineChars="0"/>
        <w:contextualSpacing/>
        <w:jc w:val="right"/>
        <w:rPr>
          <w:rFonts w:ascii="Times New Roman" w:hAnsi="Times New Roman" w:eastAsia="黑体"/>
          <w:b w:val="0"/>
          <w:bCs w:val="0"/>
        </w:rPr>
      </w:pPr>
    </w:p>
    <w:p w14:paraId="617FCDFA">
      <w:pPr>
        <w:pStyle w:val="58"/>
        <w:spacing w:line="300" w:lineRule="auto"/>
        <w:ind w:firstLineChars="0"/>
        <w:contextualSpacing/>
        <w:jc w:val="right"/>
        <w:rPr>
          <w:rFonts w:ascii="Times New Roman" w:hAnsi="Times New Roman" w:eastAsia="方正行楷简体"/>
          <w:b w:val="0"/>
          <w:bCs w:val="0"/>
          <w:szCs w:val="21"/>
        </w:rPr>
      </w:pPr>
      <w:r>
        <w:rPr>
          <w:rFonts w:ascii="Times New Roman" w:hAnsi="Times New Roman" w:eastAsia="方正行楷简体"/>
          <w:b w:val="0"/>
          <w:bCs w:val="0"/>
          <w:szCs w:val="21"/>
        </w:rPr>
        <w:t>《</w:t>
      </w:r>
      <w:r>
        <w:rPr>
          <w:rFonts w:hint="eastAsia" w:ascii="Times New Roman" w:eastAsia="宋体"/>
          <w:b w:val="0"/>
          <w:bCs w:val="0"/>
          <w:lang w:val="en-US" w:eastAsia="zh-CN"/>
        </w:rPr>
        <w:t>动态热机械分析仪</w:t>
      </w:r>
      <w:r>
        <w:rPr>
          <w:rFonts w:ascii="Times New Roman" w:hAnsi="Times New Roman"/>
          <w:b w:val="0"/>
          <w:bCs w:val="0"/>
          <w:szCs w:val="21"/>
        </w:rPr>
        <w:t>校准规范</w:t>
      </w:r>
      <w:r>
        <w:rPr>
          <w:rFonts w:ascii="Times New Roman" w:hAnsi="Times New Roman" w:eastAsia="方正行楷简体"/>
          <w:b w:val="0"/>
          <w:bCs w:val="0"/>
          <w:szCs w:val="21"/>
        </w:rPr>
        <w:t xml:space="preserve">》编制组  </w:t>
      </w:r>
    </w:p>
    <w:p w14:paraId="62FF3414">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eastAsia="zh-CN"/>
        </w:rPr>
        <w:t>X</w:t>
      </w:r>
      <w:r>
        <w:rPr>
          <w:rFonts w:ascii="Times New Roman" w:hAnsi="Times New Roman" w:eastAsia="方正行楷简体"/>
          <w:b w:val="0"/>
          <w:bCs w:val="0"/>
          <w:szCs w:val="21"/>
        </w:rPr>
        <w:t>年</w:t>
      </w:r>
      <w:r>
        <w:rPr>
          <w:rFonts w:hint="eastAsia" w:ascii="Times New Roman" w:hAnsi="Times New Roman" w:eastAsia="方正行楷简体"/>
          <w:b w:val="0"/>
          <w:bCs w:val="0"/>
          <w:szCs w:val="21"/>
          <w:lang w:val="en-US" w:eastAsia="zh-CN"/>
        </w:rPr>
        <w:t>X</w:t>
      </w:r>
      <w:r>
        <w:rPr>
          <w:rFonts w:ascii="Times New Roman" w:hAnsi="Times New Roman" w:eastAsia="方正行楷简体"/>
          <w:b w:val="0"/>
          <w:bCs w:val="0"/>
          <w:szCs w:val="21"/>
        </w:rPr>
        <w:t>月</w:t>
      </w:r>
      <w:r>
        <w:rPr>
          <w:rFonts w:hint="eastAsia" w:ascii="Times New Roman" w:hAnsi="Times New Roman" w:eastAsia="方正行楷简体"/>
          <w:b w:val="0"/>
          <w:bCs w:val="0"/>
          <w:szCs w:val="21"/>
          <w:lang w:val="en-US" w:eastAsia="zh-CN"/>
        </w:rPr>
        <w:t>X</w:t>
      </w:r>
      <w:r>
        <w:rPr>
          <w:rFonts w:ascii="Times New Roman" w:hAnsi="Times New Roman" w:eastAsia="方正行楷简体"/>
          <w:b w:val="0"/>
          <w:bCs w:val="0"/>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0"/>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 w:name="方正行楷简体">
    <w:altName w:val="行楷-简"/>
    <w:panose1 w:val="00000000000000000000"/>
    <w:charset w:val="86"/>
    <w:family w:val="auto"/>
    <w:pitch w:val="default"/>
    <w:sig w:usb0="00000000" w:usb1="00000000" w:usb2="00000010" w:usb3="00000000" w:csb0="00040000" w:csb1="00000000"/>
  </w:font>
  <w:font w:name="行楷-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YShuSongEr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Arial">
    <w:panose1 w:val="020B0604020202090204"/>
    <w:charset w:val="00"/>
    <w:family w:val="auto"/>
    <w:pitch w:val="default"/>
    <w:sig w:usb0="E0000AFF" w:usb1="00007843" w:usb2="00000001" w:usb3="00000000" w:csb0="400001BF" w:csb1="DFF70000"/>
  </w:font>
  <w:font w:name="HYZhongHeiKW">
    <w:panose1 w:val="00020600040101010101"/>
    <w:charset w:val="86"/>
    <w:family w:val="auto"/>
    <w:pitch w:val="default"/>
    <w:sig w:usb0="A00002BF" w:usb1="18E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Math">
    <w:altName w:val="Kingsoft Math"/>
    <w:panose1 w:val="02040503050406030204"/>
    <w:charset w:val="00"/>
    <w:family w:val="auto"/>
    <w:pitch w:val="default"/>
    <w:sig w:usb0="00000000" w:usb1="00000000" w:usb2="02000000" w:usb3="00000000" w:csb0="2000019F" w:csb1="00000000"/>
  </w:font>
  <w:font w:name="E-BZ">
    <w:altName w:val="苹方-简"/>
    <w:panose1 w:val="00000000000000000000"/>
    <w:charset w:val="00"/>
    <w:family w:val="roman"/>
    <w:pitch w:val="default"/>
    <w:sig w:usb0="00000000" w:usb1="00000000" w:usb2="00000000" w:usb3="00000000" w:csb0="00000000" w:csb1="00000000"/>
  </w:font>
  <w:font w:name="Kingsoft Math">
    <w:panose1 w:val="02040503050406030204"/>
    <w:charset w:val="00"/>
    <w:family w:val="auto"/>
    <w:pitch w:val="default"/>
    <w:sig w:usb0="80000087" w:usb1="00002068"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03B6">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3C842">
    <w:pPr>
      <w:pStyle w:val="30"/>
      <w:jc w:val="both"/>
    </w:pPr>
  </w:p>
  <w:p w14:paraId="4A90730C">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B392">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E6E3D"/>
    <w:multiLevelType w:val="singleLevel"/>
    <w:tmpl w:val="976E6E3D"/>
    <w:lvl w:ilvl="0" w:tentative="0">
      <w:start w:val="1"/>
      <w:numFmt w:val="decimal"/>
      <w:lvlText w:val="%1)"/>
      <w:lvlJc w:val="left"/>
      <w:pPr>
        <w:ind w:left="425" w:hanging="425"/>
      </w:pPr>
      <w:rPr>
        <w:rFonts w:hint="default"/>
      </w:rPr>
    </w:lvl>
  </w:abstractNum>
  <w:abstractNum w:abstractNumId="1">
    <w:nsid w:val="E6A8B753"/>
    <w:multiLevelType w:val="singleLevel"/>
    <w:tmpl w:val="E6A8B753"/>
    <w:lvl w:ilvl="0" w:tentative="0">
      <w:start w:val="1"/>
      <w:numFmt w:val="decimal"/>
      <w:lvlText w:val="%1)"/>
      <w:lvlJc w:val="left"/>
      <w:pPr>
        <w:ind w:left="425" w:hanging="425"/>
      </w:pPr>
      <w:rPr>
        <w:rFonts w:hint="default"/>
      </w:rPr>
    </w:lvl>
  </w:abstractNum>
  <w:abstractNum w:abstractNumId="2">
    <w:nsid w:val="EE7BBE53"/>
    <w:multiLevelType w:val="singleLevel"/>
    <w:tmpl w:val="EE7BBE53"/>
    <w:lvl w:ilvl="0" w:tentative="0">
      <w:start w:val="1"/>
      <w:numFmt w:val="decimal"/>
      <w:lvlText w:val="%1)"/>
      <w:lvlJc w:val="left"/>
      <w:pPr>
        <w:ind w:left="425" w:hanging="425"/>
      </w:pPr>
      <w:rPr>
        <w:rFonts w:hint="default"/>
      </w:rPr>
    </w:lvl>
  </w:abstractNum>
  <w:abstractNum w:abstractNumId="3">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10">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8"/>
  </w:num>
  <w:num w:numId="3">
    <w:abstractNumId w:val="12"/>
  </w:num>
  <w:num w:numId="4">
    <w:abstractNumId w:val="3"/>
  </w:num>
  <w:num w:numId="5">
    <w:abstractNumId w:val="6"/>
  </w:num>
  <w:num w:numId="6">
    <w:abstractNumId w:val="10"/>
  </w:num>
  <w:num w:numId="7">
    <w:abstractNumId w:val="5"/>
  </w:num>
  <w:num w:numId="8">
    <w:abstractNumId w:val="9"/>
  </w:num>
  <w:num w:numId="9">
    <w:abstractNumId w:val="4"/>
  </w:num>
  <w:num w:numId="10">
    <w:abstractNumId w:val="7"/>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F703B0"/>
    <w:rsid w:val="04731467"/>
    <w:rsid w:val="05F125DB"/>
    <w:rsid w:val="06716757"/>
    <w:rsid w:val="07DC0ED5"/>
    <w:rsid w:val="07FF5728"/>
    <w:rsid w:val="0904785D"/>
    <w:rsid w:val="09573966"/>
    <w:rsid w:val="0A781AE7"/>
    <w:rsid w:val="0CB9457A"/>
    <w:rsid w:val="0CCA0314"/>
    <w:rsid w:val="0D064911"/>
    <w:rsid w:val="0D5DD7BE"/>
    <w:rsid w:val="0D8022CA"/>
    <w:rsid w:val="0E6513CA"/>
    <w:rsid w:val="0F9D3A7F"/>
    <w:rsid w:val="11471F43"/>
    <w:rsid w:val="137FBABE"/>
    <w:rsid w:val="13877F6B"/>
    <w:rsid w:val="13B1031D"/>
    <w:rsid w:val="14317D7D"/>
    <w:rsid w:val="14FE0CE9"/>
    <w:rsid w:val="14FF5A34"/>
    <w:rsid w:val="158E7867"/>
    <w:rsid w:val="162A7F08"/>
    <w:rsid w:val="16A67923"/>
    <w:rsid w:val="174C2AB4"/>
    <w:rsid w:val="17E64F25"/>
    <w:rsid w:val="17FA7D73"/>
    <w:rsid w:val="1AFF62D7"/>
    <w:rsid w:val="1BF3B487"/>
    <w:rsid w:val="1C803B53"/>
    <w:rsid w:val="1D671CC9"/>
    <w:rsid w:val="1DDB8ED0"/>
    <w:rsid w:val="1E713A82"/>
    <w:rsid w:val="1E7FEAA5"/>
    <w:rsid w:val="1F4373CB"/>
    <w:rsid w:val="1F5A1A25"/>
    <w:rsid w:val="1F5B9A3D"/>
    <w:rsid w:val="1F714057"/>
    <w:rsid w:val="1FAB00D4"/>
    <w:rsid w:val="1FCE60D8"/>
    <w:rsid w:val="1FF6D921"/>
    <w:rsid w:val="1FFB35B9"/>
    <w:rsid w:val="208E75B3"/>
    <w:rsid w:val="218A16C9"/>
    <w:rsid w:val="21BE3478"/>
    <w:rsid w:val="21D04080"/>
    <w:rsid w:val="22423DCF"/>
    <w:rsid w:val="225C10E7"/>
    <w:rsid w:val="23A74BBD"/>
    <w:rsid w:val="23D43A72"/>
    <w:rsid w:val="277C51D7"/>
    <w:rsid w:val="27BD3A55"/>
    <w:rsid w:val="28A00A66"/>
    <w:rsid w:val="29176C77"/>
    <w:rsid w:val="29846CB3"/>
    <w:rsid w:val="29E46257"/>
    <w:rsid w:val="2A4110A1"/>
    <w:rsid w:val="2A7D07D1"/>
    <w:rsid w:val="2AB85E2C"/>
    <w:rsid w:val="2B6F4CB1"/>
    <w:rsid w:val="2C147130"/>
    <w:rsid w:val="2C281A12"/>
    <w:rsid w:val="2C96B508"/>
    <w:rsid w:val="2CFFFA61"/>
    <w:rsid w:val="2E772BB0"/>
    <w:rsid w:val="2EBD5F3B"/>
    <w:rsid w:val="2F656952"/>
    <w:rsid w:val="2F6672ED"/>
    <w:rsid w:val="2FACE5F0"/>
    <w:rsid w:val="2FAF744F"/>
    <w:rsid w:val="2FBE527A"/>
    <w:rsid w:val="2FDEF8C4"/>
    <w:rsid w:val="2FFF9689"/>
    <w:rsid w:val="31B57A58"/>
    <w:rsid w:val="325F3B1A"/>
    <w:rsid w:val="33FF703B"/>
    <w:rsid w:val="34745E77"/>
    <w:rsid w:val="34CD5E22"/>
    <w:rsid w:val="36AE69D8"/>
    <w:rsid w:val="36E79D35"/>
    <w:rsid w:val="37CF33F9"/>
    <w:rsid w:val="38B6063A"/>
    <w:rsid w:val="39E63C45"/>
    <w:rsid w:val="39EFF2D7"/>
    <w:rsid w:val="3A1DC1F6"/>
    <w:rsid w:val="3A910669"/>
    <w:rsid w:val="3ADC614D"/>
    <w:rsid w:val="3B9BB65B"/>
    <w:rsid w:val="3BE7C7A5"/>
    <w:rsid w:val="3BEBE2A2"/>
    <w:rsid w:val="3BF73E6C"/>
    <w:rsid w:val="3BF75111"/>
    <w:rsid w:val="3BFA1058"/>
    <w:rsid w:val="3BFC1452"/>
    <w:rsid w:val="3D354D1F"/>
    <w:rsid w:val="3DD7AB06"/>
    <w:rsid w:val="3DEF1B7B"/>
    <w:rsid w:val="3DF3EE03"/>
    <w:rsid w:val="3DF4D523"/>
    <w:rsid w:val="3DFB8892"/>
    <w:rsid w:val="3DFFAA27"/>
    <w:rsid w:val="3DFFEE07"/>
    <w:rsid w:val="3EBA5BC3"/>
    <w:rsid w:val="3EFB8C59"/>
    <w:rsid w:val="3EFE5A38"/>
    <w:rsid w:val="3F5B390B"/>
    <w:rsid w:val="3F5DE094"/>
    <w:rsid w:val="3F7B869E"/>
    <w:rsid w:val="3F7DA1CB"/>
    <w:rsid w:val="3F9F9487"/>
    <w:rsid w:val="3FBE9416"/>
    <w:rsid w:val="3FC79610"/>
    <w:rsid w:val="3FDF1096"/>
    <w:rsid w:val="3FDFEBFC"/>
    <w:rsid w:val="3FE25D82"/>
    <w:rsid w:val="3FEA882C"/>
    <w:rsid w:val="3FEF6524"/>
    <w:rsid w:val="3FF7D65B"/>
    <w:rsid w:val="3FFFE564"/>
    <w:rsid w:val="414956DF"/>
    <w:rsid w:val="420E5348"/>
    <w:rsid w:val="425F603B"/>
    <w:rsid w:val="4286740D"/>
    <w:rsid w:val="43A67182"/>
    <w:rsid w:val="43D37A7A"/>
    <w:rsid w:val="44100726"/>
    <w:rsid w:val="44347A9B"/>
    <w:rsid w:val="44CE02A0"/>
    <w:rsid w:val="456D3D97"/>
    <w:rsid w:val="45E87405"/>
    <w:rsid w:val="45ED7702"/>
    <w:rsid w:val="46474D73"/>
    <w:rsid w:val="465C4787"/>
    <w:rsid w:val="46FDE49E"/>
    <w:rsid w:val="473A498E"/>
    <w:rsid w:val="47552183"/>
    <w:rsid w:val="47E16112"/>
    <w:rsid w:val="48211129"/>
    <w:rsid w:val="48BE5C4B"/>
    <w:rsid w:val="49214E6F"/>
    <w:rsid w:val="4AE6291D"/>
    <w:rsid w:val="4AEA403C"/>
    <w:rsid w:val="4B8C5809"/>
    <w:rsid w:val="4B933E1A"/>
    <w:rsid w:val="4D432356"/>
    <w:rsid w:val="4D62CFBC"/>
    <w:rsid w:val="4D73BE91"/>
    <w:rsid w:val="4DF7F774"/>
    <w:rsid w:val="4DFB2719"/>
    <w:rsid w:val="4DFF8D13"/>
    <w:rsid w:val="4E3430C7"/>
    <w:rsid w:val="4FA7278A"/>
    <w:rsid w:val="4FDA3A6F"/>
    <w:rsid w:val="4FDE0131"/>
    <w:rsid w:val="4FDF7D4D"/>
    <w:rsid w:val="4FDFC345"/>
    <w:rsid w:val="4FFD1132"/>
    <w:rsid w:val="50011CA3"/>
    <w:rsid w:val="51051BD9"/>
    <w:rsid w:val="51442F7B"/>
    <w:rsid w:val="52A97DDB"/>
    <w:rsid w:val="54FF70A8"/>
    <w:rsid w:val="55152B55"/>
    <w:rsid w:val="55EF0E8D"/>
    <w:rsid w:val="56154CA2"/>
    <w:rsid w:val="565F1FDD"/>
    <w:rsid w:val="56A00E5A"/>
    <w:rsid w:val="56EB3CB0"/>
    <w:rsid w:val="56FDD0C4"/>
    <w:rsid w:val="57676F98"/>
    <w:rsid w:val="57C3E7B2"/>
    <w:rsid w:val="58DA5965"/>
    <w:rsid w:val="590A235B"/>
    <w:rsid w:val="597F82D8"/>
    <w:rsid w:val="5A931503"/>
    <w:rsid w:val="5A971C98"/>
    <w:rsid w:val="5AC42DA1"/>
    <w:rsid w:val="5AFA5C95"/>
    <w:rsid w:val="5AFBFB7F"/>
    <w:rsid w:val="5AFF3C55"/>
    <w:rsid w:val="5B3F359A"/>
    <w:rsid w:val="5B975573"/>
    <w:rsid w:val="5BBD2895"/>
    <w:rsid w:val="5BF5ACCF"/>
    <w:rsid w:val="5BFE8850"/>
    <w:rsid w:val="5CDE078E"/>
    <w:rsid w:val="5D5D496C"/>
    <w:rsid w:val="5D6F3878"/>
    <w:rsid w:val="5DBFC109"/>
    <w:rsid w:val="5DC655CC"/>
    <w:rsid w:val="5DD12082"/>
    <w:rsid w:val="5DDF4451"/>
    <w:rsid w:val="5E5FEAC9"/>
    <w:rsid w:val="5E772C4B"/>
    <w:rsid w:val="5E7BDE08"/>
    <w:rsid w:val="5EB7E5D6"/>
    <w:rsid w:val="5EEE05FC"/>
    <w:rsid w:val="5EFB282A"/>
    <w:rsid w:val="5EFF576E"/>
    <w:rsid w:val="5F37F5FA"/>
    <w:rsid w:val="5F776EED"/>
    <w:rsid w:val="5F7F2F68"/>
    <w:rsid w:val="5F7F8397"/>
    <w:rsid w:val="5FAEE288"/>
    <w:rsid w:val="5FD71211"/>
    <w:rsid w:val="5FDF33CF"/>
    <w:rsid w:val="5FE13BFC"/>
    <w:rsid w:val="5FF7D9E9"/>
    <w:rsid w:val="5FFD493D"/>
    <w:rsid w:val="5FFF7FE7"/>
    <w:rsid w:val="605176D9"/>
    <w:rsid w:val="61690122"/>
    <w:rsid w:val="62B34EBF"/>
    <w:rsid w:val="6371179A"/>
    <w:rsid w:val="63EC7FA9"/>
    <w:rsid w:val="63F828E6"/>
    <w:rsid w:val="64FD7C67"/>
    <w:rsid w:val="654D6460"/>
    <w:rsid w:val="6760797E"/>
    <w:rsid w:val="677FD312"/>
    <w:rsid w:val="67DEF1BF"/>
    <w:rsid w:val="694F496D"/>
    <w:rsid w:val="69BC4907"/>
    <w:rsid w:val="6AB57C02"/>
    <w:rsid w:val="6AE574EF"/>
    <w:rsid w:val="6AF7022D"/>
    <w:rsid w:val="6B27051F"/>
    <w:rsid w:val="6B61E2B2"/>
    <w:rsid w:val="6B66E72C"/>
    <w:rsid w:val="6B753BDA"/>
    <w:rsid w:val="6B770841"/>
    <w:rsid w:val="6B7DC924"/>
    <w:rsid w:val="6BBD93EE"/>
    <w:rsid w:val="6BFBE88F"/>
    <w:rsid w:val="6BFDDC2A"/>
    <w:rsid w:val="6BFFEA09"/>
    <w:rsid w:val="6C57A654"/>
    <w:rsid w:val="6D281A14"/>
    <w:rsid w:val="6DD38806"/>
    <w:rsid w:val="6DE7C1D6"/>
    <w:rsid w:val="6DFF3CEB"/>
    <w:rsid w:val="6E8A0C2B"/>
    <w:rsid w:val="6E9A1846"/>
    <w:rsid w:val="6EF60757"/>
    <w:rsid w:val="6EF95119"/>
    <w:rsid w:val="6EFC2B43"/>
    <w:rsid w:val="6F676C59"/>
    <w:rsid w:val="6F9B50F5"/>
    <w:rsid w:val="6FB9BA97"/>
    <w:rsid w:val="6FBCCFB4"/>
    <w:rsid w:val="6FBD28EA"/>
    <w:rsid w:val="6FBF8654"/>
    <w:rsid w:val="6FC76990"/>
    <w:rsid w:val="6FDBB8A4"/>
    <w:rsid w:val="6FDCF8EB"/>
    <w:rsid w:val="6FDD7740"/>
    <w:rsid w:val="6FDEC133"/>
    <w:rsid w:val="6FFB12AA"/>
    <w:rsid w:val="704643A1"/>
    <w:rsid w:val="70757340"/>
    <w:rsid w:val="70A61265"/>
    <w:rsid w:val="70FA146A"/>
    <w:rsid w:val="710228B1"/>
    <w:rsid w:val="72EFF472"/>
    <w:rsid w:val="72FF127E"/>
    <w:rsid w:val="733ED6FF"/>
    <w:rsid w:val="73A7009A"/>
    <w:rsid w:val="73AFA897"/>
    <w:rsid w:val="73B91013"/>
    <w:rsid w:val="73B95B2E"/>
    <w:rsid w:val="73CF8A3B"/>
    <w:rsid w:val="73E7DED0"/>
    <w:rsid w:val="73EFE246"/>
    <w:rsid w:val="73FF4518"/>
    <w:rsid w:val="73FF4DA7"/>
    <w:rsid w:val="74130018"/>
    <w:rsid w:val="74C2317D"/>
    <w:rsid w:val="74D35BFF"/>
    <w:rsid w:val="75FF41CE"/>
    <w:rsid w:val="771505B3"/>
    <w:rsid w:val="778F6C17"/>
    <w:rsid w:val="77CB6CDA"/>
    <w:rsid w:val="77CE2BEC"/>
    <w:rsid w:val="77D59AFF"/>
    <w:rsid w:val="77EB08C7"/>
    <w:rsid w:val="77F835D8"/>
    <w:rsid w:val="77FBFEB6"/>
    <w:rsid w:val="787484BF"/>
    <w:rsid w:val="78931FA4"/>
    <w:rsid w:val="78CE2872"/>
    <w:rsid w:val="78DB44BD"/>
    <w:rsid w:val="78E4085E"/>
    <w:rsid w:val="795C2ECE"/>
    <w:rsid w:val="799F6811"/>
    <w:rsid w:val="79F7624E"/>
    <w:rsid w:val="79FBE8D3"/>
    <w:rsid w:val="79FF20C3"/>
    <w:rsid w:val="79FF605D"/>
    <w:rsid w:val="7A14C18D"/>
    <w:rsid w:val="7ABFCF4B"/>
    <w:rsid w:val="7AC757F1"/>
    <w:rsid w:val="7AF5780F"/>
    <w:rsid w:val="7AFF2471"/>
    <w:rsid w:val="7B207CB9"/>
    <w:rsid w:val="7BBFFC5C"/>
    <w:rsid w:val="7BCDEB90"/>
    <w:rsid w:val="7BD2B643"/>
    <w:rsid w:val="7BDAD3FC"/>
    <w:rsid w:val="7BFB87EE"/>
    <w:rsid w:val="7BFF2BE2"/>
    <w:rsid w:val="7BFF9546"/>
    <w:rsid w:val="7C171990"/>
    <w:rsid w:val="7C9B03B1"/>
    <w:rsid w:val="7CFD4651"/>
    <w:rsid w:val="7D5087BF"/>
    <w:rsid w:val="7D700DB4"/>
    <w:rsid w:val="7D7A0B23"/>
    <w:rsid w:val="7D7F54B9"/>
    <w:rsid w:val="7DBBD2FF"/>
    <w:rsid w:val="7DBC3E88"/>
    <w:rsid w:val="7DCF4113"/>
    <w:rsid w:val="7DF57275"/>
    <w:rsid w:val="7DFB1948"/>
    <w:rsid w:val="7DFBA75B"/>
    <w:rsid w:val="7DFEE74F"/>
    <w:rsid w:val="7DFF5B16"/>
    <w:rsid w:val="7DFFCA7F"/>
    <w:rsid w:val="7E069B0F"/>
    <w:rsid w:val="7EBD1AB8"/>
    <w:rsid w:val="7EDD561C"/>
    <w:rsid w:val="7EEF5633"/>
    <w:rsid w:val="7EF7643A"/>
    <w:rsid w:val="7F13E833"/>
    <w:rsid w:val="7F1EB2FD"/>
    <w:rsid w:val="7F3F5D48"/>
    <w:rsid w:val="7F576FAE"/>
    <w:rsid w:val="7F5E9732"/>
    <w:rsid w:val="7F6FD55F"/>
    <w:rsid w:val="7F72061C"/>
    <w:rsid w:val="7F7A143C"/>
    <w:rsid w:val="7F98CD93"/>
    <w:rsid w:val="7F9F4983"/>
    <w:rsid w:val="7FB52E36"/>
    <w:rsid w:val="7FB78784"/>
    <w:rsid w:val="7FB79D31"/>
    <w:rsid w:val="7FCBCECE"/>
    <w:rsid w:val="7FDC0CBC"/>
    <w:rsid w:val="7FDF3BF8"/>
    <w:rsid w:val="7FDFB308"/>
    <w:rsid w:val="7FED5CB4"/>
    <w:rsid w:val="7FF057D7"/>
    <w:rsid w:val="7FFBD645"/>
    <w:rsid w:val="7FFCF613"/>
    <w:rsid w:val="7FFD54D7"/>
    <w:rsid w:val="7FFDE4A9"/>
    <w:rsid w:val="7FFF31B9"/>
    <w:rsid w:val="7FFF4F4C"/>
    <w:rsid w:val="7FFFC061"/>
    <w:rsid w:val="8BFCA20F"/>
    <w:rsid w:val="93FD4359"/>
    <w:rsid w:val="97FF3441"/>
    <w:rsid w:val="9CB7B36C"/>
    <w:rsid w:val="9FEF9F2E"/>
    <w:rsid w:val="9FFF6709"/>
    <w:rsid w:val="A2FF4A66"/>
    <w:rsid w:val="A5FF5135"/>
    <w:rsid w:val="A71DBBD9"/>
    <w:rsid w:val="A75BB586"/>
    <w:rsid w:val="A8E5FE17"/>
    <w:rsid w:val="ABFBD078"/>
    <w:rsid w:val="ABFFC973"/>
    <w:rsid w:val="ADCF8216"/>
    <w:rsid w:val="AE8D2525"/>
    <w:rsid w:val="AF13C77C"/>
    <w:rsid w:val="AFAE9D75"/>
    <w:rsid w:val="AFDD4E70"/>
    <w:rsid w:val="AFEF06A6"/>
    <w:rsid w:val="B1EF9A3B"/>
    <w:rsid w:val="B2B75BDB"/>
    <w:rsid w:val="B4EF1D0A"/>
    <w:rsid w:val="B7C6382F"/>
    <w:rsid w:val="B7D6B6E9"/>
    <w:rsid w:val="B8AFDA5F"/>
    <w:rsid w:val="BB2ED2AE"/>
    <w:rsid w:val="BB7F23AA"/>
    <w:rsid w:val="BBBF9142"/>
    <w:rsid w:val="BD7D02B8"/>
    <w:rsid w:val="BD7F0F17"/>
    <w:rsid w:val="BDEBB917"/>
    <w:rsid w:val="BDFE7C45"/>
    <w:rsid w:val="BE5F3FFF"/>
    <w:rsid w:val="BF406812"/>
    <w:rsid w:val="BF7CC03C"/>
    <w:rsid w:val="BFA80F3E"/>
    <w:rsid w:val="BFB74DB1"/>
    <w:rsid w:val="BFDB49EE"/>
    <w:rsid w:val="BFDDE488"/>
    <w:rsid w:val="BFDF134F"/>
    <w:rsid w:val="BFE61963"/>
    <w:rsid w:val="BFE6C81B"/>
    <w:rsid w:val="BFF5EC97"/>
    <w:rsid w:val="BFF74E49"/>
    <w:rsid w:val="BFF77ED8"/>
    <w:rsid w:val="BFF78111"/>
    <w:rsid w:val="BFFBBC46"/>
    <w:rsid w:val="C38BB5B6"/>
    <w:rsid w:val="C4D41D45"/>
    <w:rsid w:val="C748ADEC"/>
    <w:rsid w:val="C7A74AE8"/>
    <w:rsid w:val="C7F308B5"/>
    <w:rsid w:val="C9AFA9D8"/>
    <w:rsid w:val="CBDF6F4E"/>
    <w:rsid w:val="CD3FA027"/>
    <w:rsid w:val="CDEFBAA1"/>
    <w:rsid w:val="CFFA4456"/>
    <w:rsid w:val="CFFF2BEF"/>
    <w:rsid w:val="D3FF1F92"/>
    <w:rsid w:val="D70B5B48"/>
    <w:rsid w:val="D7F5C0DB"/>
    <w:rsid w:val="DB5F749C"/>
    <w:rsid w:val="DBFF23FC"/>
    <w:rsid w:val="DCBF1523"/>
    <w:rsid w:val="DCFB4109"/>
    <w:rsid w:val="DDC907F9"/>
    <w:rsid w:val="DDDD1E9B"/>
    <w:rsid w:val="DDF6F91C"/>
    <w:rsid w:val="DEBDEC26"/>
    <w:rsid w:val="DEFD7C13"/>
    <w:rsid w:val="DF3A80F9"/>
    <w:rsid w:val="DF7E8E18"/>
    <w:rsid w:val="DF7F6A2D"/>
    <w:rsid w:val="DF980E93"/>
    <w:rsid w:val="DFBA4A54"/>
    <w:rsid w:val="DFDF2917"/>
    <w:rsid w:val="DFFDB184"/>
    <w:rsid w:val="DFFF51CD"/>
    <w:rsid w:val="DFFF6AE3"/>
    <w:rsid w:val="E1F77665"/>
    <w:rsid w:val="E37FA233"/>
    <w:rsid w:val="E5EE1B6E"/>
    <w:rsid w:val="E5FFE21D"/>
    <w:rsid w:val="E6FDDF38"/>
    <w:rsid w:val="E7A1348C"/>
    <w:rsid w:val="E7FE71BF"/>
    <w:rsid w:val="E8B7D561"/>
    <w:rsid w:val="EAFB8C73"/>
    <w:rsid w:val="EBB15924"/>
    <w:rsid w:val="EBF735A9"/>
    <w:rsid w:val="EBF94A7F"/>
    <w:rsid w:val="EDB3762D"/>
    <w:rsid w:val="EEAD9103"/>
    <w:rsid w:val="EEBD5797"/>
    <w:rsid w:val="EEBF0552"/>
    <w:rsid w:val="EEF5A4D6"/>
    <w:rsid w:val="EEFBF0FB"/>
    <w:rsid w:val="EF3D9627"/>
    <w:rsid w:val="EF776E6D"/>
    <w:rsid w:val="EFBFC62D"/>
    <w:rsid w:val="EFE8A98D"/>
    <w:rsid w:val="EFEF3914"/>
    <w:rsid w:val="EFEF5980"/>
    <w:rsid w:val="EFF5D102"/>
    <w:rsid w:val="EFF7DA21"/>
    <w:rsid w:val="EFFDCB85"/>
    <w:rsid w:val="EFFF3526"/>
    <w:rsid w:val="EFFFF27F"/>
    <w:rsid w:val="F04F8262"/>
    <w:rsid w:val="F172E677"/>
    <w:rsid w:val="F2B746B3"/>
    <w:rsid w:val="F2FF76C9"/>
    <w:rsid w:val="F33BD115"/>
    <w:rsid w:val="F3BC06A2"/>
    <w:rsid w:val="F3DD0EC2"/>
    <w:rsid w:val="F5BD6D7B"/>
    <w:rsid w:val="F5F5CCF9"/>
    <w:rsid w:val="F6BB61EA"/>
    <w:rsid w:val="F6BF8F9A"/>
    <w:rsid w:val="F6DF305F"/>
    <w:rsid w:val="F7AF2D35"/>
    <w:rsid w:val="F7BF751F"/>
    <w:rsid w:val="F7CB6F3C"/>
    <w:rsid w:val="F7F56EEE"/>
    <w:rsid w:val="F7FBC808"/>
    <w:rsid w:val="F7FC287F"/>
    <w:rsid w:val="F7FF10FE"/>
    <w:rsid w:val="F7FFB5E5"/>
    <w:rsid w:val="F8FFDBEC"/>
    <w:rsid w:val="F9CE613D"/>
    <w:rsid w:val="FA3F3B6B"/>
    <w:rsid w:val="FA5F59DD"/>
    <w:rsid w:val="FA6D7414"/>
    <w:rsid w:val="FB53E4CE"/>
    <w:rsid w:val="FB6F4384"/>
    <w:rsid w:val="FBAEF990"/>
    <w:rsid w:val="FBBD762C"/>
    <w:rsid w:val="FBBFE76D"/>
    <w:rsid w:val="FBC6FF38"/>
    <w:rsid w:val="FBCBDC82"/>
    <w:rsid w:val="FBCFF26D"/>
    <w:rsid w:val="FBDAD68C"/>
    <w:rsid w:val="FBEE7073"/>
    <w:rsid w:val="FBEF8FC4"/>
    <w:rsid w:val="FBEFBA48"/>
    <w:rsid w:val="FBF3762E"/>
    <w:rsid w:val="FBFFCC45"/>
    <w:rsid w:val="FCB60831"/>
    <w:rsid w:val="FCCF9DD0"/>
    <w:rsid w:val="FCFF7FDE"/>
    <w:rsid w:val="FD3AB2C5"/>
    <w:rsid w:val="FD9A89CC"/>
    <w:rsid w:val="FD9C3DB7"/>
    <w:rsid w:val="FDAFFC3B"/>
    <w:rsid w:val="FDE2876C"/>
    <w:rsid w:val="FDEDADF2"/>
    <w:rsid w:val="FDFFE6A2"/>
    <w:rsid w:val="FE3B42C1"/>
    <w:rsid w:val="FE53971D"/>
    <w:rsid w:val="FE569181"/>
    <w:rsid w:val="FE7D1A49"/>
    <w:rsid w:val="FEA3BB70"/>
    <w:rsid w:val="FEB1887C"/>
    <w:rsid w:val="FEBCEB92"/>
    <w:rsid w:val="FEBFA84B"/>
    <w:rsid w:val="FEDDBB07"/>
    <w:rsid w:val="FEEBD30C"/>
    <w:rsid w:val="FEEEECE5"/>
    <w:rsid w:val="FEF51F8E"/>
    <w:rsid w:val="FEFFAA59"/>
    <w:rsid w:val="FF08857D"/>
    <w:rsid w:val="FF3ED25C"/>
    <w:rsid w:val="FF4F3CF4"/>
    <w:rsid w:val="FF54BC3D"/>
    <w:rsid w:val="FF62C903"/>
    <w:rsid w:val="FF668803"/>
    <w:rsid w:val="FF6B6726"/>
    <w:rsid w:val="FF7E1561"/>
    <w:rsid w:val="FF9665F5"/>
    <w:rsid w:val="FFA3FB69"/>
    <w:rsid w:val="FFBB7229"/>
    <w:rsid w:val="FFBDCCA5"/>
    <w:rsid w:val="FFBE2398"/>
    <w:rsid w:val="FFBF05CC"/>
    <w:rsid w:val="FFC914F3"/>
    <w:rsid w:val="FFCDC8C8"/>
    <w:rsid w:val="FFDB0576"/>
    <w:rsid w:val="FFDD2111"/>
    <w:rsid w:val="FFE511A7"/>
    <w:rsid w:val="FFEF8249"/>
    <w:rsid w:val="FFF5DED1"/>
    <w:rsid w:val="FFFA50E8"/>
    <w:rsid w:val="FFFB1183"/>
    <w:rsid w:val="FFFC02E3"/>
    <w:rsid w:val="FFFCBC69"/>
    <w:rsid w:val="FFFD6236"/>
    <w:rsid w:val="FFFE9032"/>
    <w:rsid w:val="FFFEAC33"/>
    <w:rsid w:val="FFFF3DAB"/>
    <w:rsid w:val="FFFFB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 w:type="paragraph" w:customStyle="1" w:styleId="324">
    <w:name w:val="p1"/>
    <w:basedOn w:val="1"/>
    <w:uiPriority w:val="0"/>
    <w:pPr>
      <w:spacing w:before="0" w:beforeAutospacing="0" w:after="0" w:afterAutospacing="0"/>
      <w:ind w:left="0" w:right="0"/>
      <w:jc w:val="left"/>
    </w:pPr>
    <w:rPr>
      <w:rFonts w:ascii="helvetica" w:hAnsi="helvetica" w:eastAsia="helvetica" w:cs="helvetica"/>
      <w:color w:val="000000"/>
      <w:kern w:val="0"/>
      <w:sz w:val="24"/>
      <w:szCs w:val="24"/>
      <w:lang w:val="en-US" w:eastAsia="zh-CN" w:bidi="ar"/>
    </w:rPr>
  </w:style>
  <w:style w:type="character" w:customStyle="1" w:styleId="325">
    <w:name w:val="s1"/>
    <w:basedOn w:val="43"/>
    <w:uiPriority w:val="0"/>
    <w:rPr>
      <w:rFonts w:ascii="Times New Roman" w:hAnsi="Times New Roman" w:cs="Times New Roman"/>
      <w:sz w:val="24"/>
      <w:szCs w:val="24"/>
    </w:rPr>
  </w:style>
  <w:style w:type="paragraph" w:customStyle="1" w:styleId="326">
    <w:name w:val="p2"/>
    <w:basedOn w:val="1"/>
    <w:uiPriority w:val="0"/>
    <w:pPr>
      <w:spacing w:before="0" w:beforeAutospacing="0" w:after="0" w:afterAutospacing="0"/>
      <w:ind w:left="0" w:right="0"/>
      <w:jc w:val="left"/>
    </w:pPr>
    <w:rPr>
      <w:rFonts w:ascii="helvetica" w:hAnsi="helvetica" w:eastAsia="helvetica" w:cs="helvetica"/>
      <w:color w:val="000000"/>
      <w:kern w:val="0"/>
      <w:sz w:val="24"/>
      <w:szCs w:val="24"/>
      <w:lang w:val="en-US" w:eastAsia="zh-CN" w:bidi="ar"/>
    </w:rPr>
  </w:style>
  <w:style w:type="character" w:customStyle="1" w:styleId="327">
    <w:name w:val="s3"/>
    <w:basedOn w:val="43"/>
    <w:uiPriority w:val="0"/>
    <w:rPr>
      <w:rFonts w:ascii="Times New Roman" w:hAnsi="Times New Roman" w:cs="Times New Roman"/>
      <w:sz w:val="18"/>
      <w:szCs w:val="18"/>
    </w:rPr>
  </w:style>
  <w:style w:type="character" w:customStyle="1" w:styleId="328">
    <w:name w:val="s4"/>
    <w:basedOn w:val="43"/>
    <w:uiPriority w:val="0"/>
    <w:rPr>
      <w:color w:val="000000"/>
    </w:rPr>
  </w:style>
  <w:style w:type="character" w:customStyle="1" w:styleId="329">
    <w:name w:val="s2"/>
    <w:basedOn w:val="43"/>
    <w:uiPriority w:val="0"/>
    <w:rPr>
      <w:rFonts w:hint="default"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baoye/Library/Containers/com.kingsoft.wpsoffice.mac/Data/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11</Pages>
  <Words>4512</Words>
  <Characters>5077</Characters>
  <Lines>40</Lines>
  <Paragraphs>11</Paragraphs>
  <TotalTime>2</TotalTime>
  <ScaleCrop>false</ScaleCrop>
  <LinksUpToDate>false</LinksUpToDate>
  <CharactersWithSpaces>5140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2022-01-10T10:10:00Z</dcterms:created>
  <dc:creator>Administrator.DESKTOP-ME924ED</dc:creator>
  <cp:lastModifiedBy>沉默背后↘是殇</cp:lastModifiedBy>
  <cp:lastPrinted>2016-10-21T04:13:00Z</cp:lastPrinted>
  <dcterms:modified xsi:type="dcterms:W3CDTF">2026-01-15T22:45:02Z</dcterms:modified>
  <dc:title>编制说明</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432388E36962DB8CD9F3D8685EA2C35D_43</vt:lpwstr>
  </property>
  <property fmtid="{D5CDD505-2E9C-101B-9397-08002B2CF9AE}" pid="4" name="KSOTemplateDocerSaveRecord">
    <vt:lpwstr>eyJoZGlkIjoiYWU0M2M1MGU4ODM5ZWMxYjk2MTQxMzllNDI1ZDRlZDciLCJ1c2VySWQiOiIzNzg3MzIzNjEifQ==</vt:lpwstr>
  </property>
</Properties>
</file>