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643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5" name="文本框 15"/>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15"/>
                            </w:pPr>
                            <w:r>
                              <w:rPr>
                                <w:rFonts w:ascii="Times New Roman" w:hAnsi="Times New Roman" w:eastAsia="宋体" w:cs="Times New Roman"/>
                                <w:w w:val="130"/>
                                <w:szCs w:val="20"/>
                              </w:rPr>
                              <w:t>YS</w:t>
                            </w:r>
                          </w:p>
                        </w:txbxContent>
                      </wps:txbx>
                      <wps:bodyPr lIns="0" tIns="0" rIns="0" bIns="0" upright="1"/>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643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ZOzzYAAAACgEAAA8AAAAAAAAAAQAgAAAAIgAA&#10;AGRycy9kb3ducmV2LnhtbFBLAQIUABQAAAAIAIdO4kA2PStIzwEAAJ0DAAAOAAAAAAAAAAEAIAAA&#10;ACcBAABkcnMvZTJvRG9jLnhtbFBLBQYAAAAABgAGAFkBAABoBQAAAAA=&#10;">
                <v:fill on="t" focussize="0,0"/>
                <v:stroke on="f"/>
                <v:imagedata o:title=""/>
                <o:lock v:ext="edit" aspectratio="f"/>
                <v:textbox inset="0mm,0mm,0mm,0mm">
                  <w:txbxContent>
                    <w:p>
                      <w:pPr>
                        <w:pStyle w:val="15"/>
                      </w:pPr>
                      <w:r>
                        <w:rPr>
                          <w:rFonts w:ascii="Times New Roman" w:hAnsi="Times New Roman" w:eastAsia="宋体" w:cs="Times New Roman"/>
                          <w:w w:val="130"/>
                          <w:szCs w:val="20"/>
                        </w:rPr>
                        <w:t>YS</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4148455</wp:posOffset>
                </wp:positionH>
                <wp:positionV relativeFrom="margin">
                  <wp:posOffset>8182610</wp:posOffset>
                </wp:positionV>
                <wp:extent cx="2019300" cy="312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7"/>
                            </w:pPr>
                            <w:r>
                              <w:rPr>
                                <w:rFonts w:hint="eastAsia"/>
                              </w:rPr>
                              <w:t>××××-××-××实施</w:t>
                            </w:r>
                          </w:p>
                          <w:p/>
                        </w:txbxContent>
                      </wps:txbx>
                      <wps:bodyPr lIns="0" tIns="0" rIns="0" bIns="0" upright="1"/>
                    </wps:wsp>
                  </a:graphicData>
                </a:graphic>
              </wp:anchor>
            </w:drawing>
          </mc:Choice>
          <mc:Fallback>
            <w:pict>
              <v:shape id="_x0000_s1026" o:spid="_x0000_s1026" o:spt="202" type="#_x0000_t202" style="position:absolute;left:0pt;margin-left:326.65pt;margin-top:644.3pt;height:24.6pt;width:159pt;mso-position-horizontal-relative:margin;mso-position-vertical-relative:margin;z-index:251663360;mso-width-relative:page;mso-height-relative:page;" fillcolor="#FFFFFF" filled="t" stroked="f" coordsize="21600,21600" o:gfxdata="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uFpEjaAAAADQEAAA8AAAAAAAAAAQAgAAAA&#10;IgAAAGRycy9kb3ducmV2LnhtbFBLAQIUABQAAAAIAIdO4kCk1bHz0AEAAJ0DAAAOAAAAAAAAAAEA&#10;IAAAACkBAABkcnMvZTJvRG9jLnhtbFBLBQYAAAAABgAGAFkBAABrBQAAAAA=&#10;">
                <v:fill on="t" focussize="0,0"/>
                <v:stroke on="f"/>
                <v:imagedata o:title=""/>
                <o:lock v:ext="edit" aspectratio="f"/>
                <v:textbox inset="0mm,0mm,0mm,0mm">
                  <w:txbxContent>
                    <w:p>
                      <w:pPr>
                        <w:pStyle w:val="27"/>
                      </w:pPr>
                      <w:r>
                        <w:rPr>
                          <w:rFonts w:hint="eastAsia"/>
                        </w:rPr>
                        <w:t>××××-××-××实施</w:t>
                      </w:r>
                    </w:p>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8154035</wp:posOffset>
                </wp:positionV>
                <wp:extent cx="2019300" cy="312420"/>
                <wp:effectExtent l="0" t="0" r="0" b="11430"/>
                <wp:wrapNone/>
                <wp:docPr id="17" name="文本框 17"/>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5"/>
                            </w:pPr>
                            <w:r>
                              <w:rPr>
                                <w:rFonts w:hint="eastAsia"/>
                              </w:rPr>
                              <w:t>××××-××-××发布</w:t>
                            </w:r>
                          </w:p>
                          <w:p/>
                        </w:txbxContent>
                      </wps:txbx>
                      <wps:bodyPr lIns="0" tIns="0" rIns="0" bIns="0" upright="1"/>
                    </wps:wsp>
                  </a:graphicData>
                </a:graphic>
              </wp:anchor>
            </w:drawing>
          </mc:Choice>
          <mc:Fallback>
            <w:pict>
              <v:shape id="_x0000_s1026" o:spid="_x0000_s1026" o:spt="202" type="#_x0000_t202" style="position:absolute;left:0pt;margin-left:0pt;margin-top:642.05pt;height:24.6pt;width:159pt;mso-position-horizontal-relative:margin;mso-position-vertical-relative:margin;z-index:251662336;mso-width-relative:page;mso-height-relative:page;" fillcolor="#FFFFFF" filled="t" stroked="f" coordsize="21600,21600" o:gfxdata="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Ke1QHXAAAACgEAAA8AAAAAAAAAAQAgAAAAIgAA&#10;AGRycy9kb3ducmV2LnhtbFBLAQIUABQAAAAIAIdO4kBiAtRB0AEAAJ0DAAAOAAAAAAAAAAEAIAAA&#10;ACYBAABkcnMvZTJvRG9jLnhtbFBLBQYAAAAABgAGAFkBAABoBQAAAAA=&#10;">
                <v:fill on="t" focussize="0,0"/>
                <v:stroke on="f"/>
                <v:imagedata o:title=""/>
                <o:lock v:ext="edit" aspectratio="f"/>
                <v:textbox inset="0mm,0mm,0mm,0mm">
                  <w:txbxContent>
                    <w:p>
                      <w:pPr>
                        <w:pStyle w:val="25"/>
                      </w:pPr>
                      <w:r>
                        <w:rPr>
                          <w:rFonts w:hint="eastAsia"/>
                        </w:rPr>
                        <w:t>××××-××-××发布</w:t>
                      </w:r>
                    </w:p>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3" name="文本框 2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pPr>
                              <w:pStyle w:val="43"/>
                            </w:pPr>
                            <w:r>
                              <w:rPr>
                                <w:rFonts w:hint="eastAsia"/>
                              </w:rPr>
                              <w:t>YS</w:t>
                            </w:r>
                            <w:r>
                              <w:t xml:space="preserve"> </w:t>
                            </w:r>
                            <w:r>
                              <w:rPr>
                                <w:rFonts w:hint="eastAsia"/>
                              </w:rPr>
                              <w:t>/T XXXX</w:t>
                            </w:r>
                            <w:r>
                              <w:t>—</w:t>
                            </w:r>
                            <w:r>
                              <w:rPr>
                                <w:rFonts w:hint="eastAsia"/>
                              </w:rPr>
                              <w:t>202X</w:t>
                            </w:r>
                          </w:p>
                          <w:p>
                            <w:pPr>
                              <w:pStyle w:val="43"/>
                            </w:pPr>
                          </w:p>
                        </w:txbxContent>
                      </wps:txbx>
                      <wps:bodyPr lIns="0" tIns="0" rIns="0" bIns="0" upright="1"/>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UBpPvYAAAACAEAAA8AAAAAAAAAAQAgAAAAIgAA&#10;AGRycy9kb3ducmV2LnhtbFBLAQIUABQAAAAIAIdO4kCJ7eCEzwEAAJ0DAAAOAAAAAAAAAAEAIAAA&#10;ACcBAABkcnMvZTJvRG9jLnhtbFBLBQYAAAAABgAGAFkBAABoBQAAAAA=&#10;">
                <v:fill on="t" focussize="0,0"/>
                <v:stroke on="f"/>
                <v:imagedata o:title=""/>
                <o:lock v:ext="edit" aspectratio="f"/>
                <v:textbox inset="0mm,0mm,0mm,0mm">
                  <w:txbxContent>
                    <w:p>
                      <w:pPr>
                        <w:pStyle w:val="43"/>
                      </w:pPr>
                      <w:r>
                        <w:rPr>
                          <w:rFonts w:hint="eastAsia"/>
                        </w:rPr>
                        <w:t>YS</w:t>
                      </w:r>
                      <w:r>
                        <w:t xml:space="preserve"> </w:t>
                      </w:r>
                      <w:r>
                        <w:rPr>
                          <w:rFonts w:hint="eastAsia"/>
                        </w:rPr>
                        <w:t>/T XXXX</w:t>
                      </w:r>
                      <w:r>
                        <w:t>—</w:t>
                      </w:r>
                      <w:r>
                        <w:rPr>
                          <w:rFonts w:hint="eastAsia"/>
                        </w:rPr>
                        <w:t>202X</w:t>
                      </w:r>
                    </w:p>
                    <w:p>
                      <w:pPr>
                        <w:pStyle w:val="43"/>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8" name="文本框 18"/>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16"/>
                            </w:pPr>
                            <w:r>
                              <w:rPr>
                                <w:rFonts w:hint="eastAsia" w:hAnsi="宋体" w:cs="Times New Roman"/>
                                <w:spacing w:val="0"/>
                                <w:sz w:val="52"/>
                                <w:szCs w:val="20"/>
                              </w:rPr>
                              <w:t>中华人民共和国有色金属行业标准</w:t>
                            </w:r>
                          </w:p>
                        </w:txbxContent>
                      </wps:txbx>
                      <wps:bodyPr lIns="0" tIns="0" rIns="0" bIns="0" upright="1"/>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&#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DkcF1wAAAAgBAAAPAAAAAAAAAAEAIAAAACIAAABk&#10;cnMvZG93bnJldi54bWxQSwECFAAUAAAACACHTuJAalM1eM4BAACdAwAADgAAAAAAAAABACAAAAAm&#10;AQAAZHJzL2Uyb0RvYy54bWxQSwUGAAAAAAYABgBZAQAAZgUAAAAA&#10;">
                <v:fill on="t" focussize="0,0"/>
                <v:stroke on="f"/>
                <v:imagedata o:title=""/>
                <o:lock v:ext="edit" aspectratio="f"/>
                <v:textbox inset="0mm,0mm,0mm,0mm">
                  <w:txbxContent>
                    <w:p>
                      <w:pPr>
                        <w:pStyle w:val="16"/>
                      </w:pPr>
                      <w:r>
                        <w:rPr>
                          <w:rFonts w:hint="eastAsia" w:hAnsi="宋体" w:cs="Times New Roman"/>
                          <w:spacing w:val="0"/>
                          <w:sz w:val="52"/>
                          <w:szCs w:val="20"/>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198120</wp:posOffset>
                </wp:positionV>
                <wp:extent cx="2540000" cy="396240"/>
                <wp:effectExtent l="0" t="0" r="12700" b="3810"/>
                <wp:wrapNone/>
                <wp:docPr id="22" name="文本框 22"/>
                <wp:cNvGraphicFramePr/>
                <a:graphic xmlns:a="http://schemas.openxmlformats.org/drawingml/2006/main">
                  <a:graphicData uri="http://schemas.microsoft.com/office/word/2010/wordprocessingShape">
                    <wps:wsp>
                      <wps:cNvSpPr txBox="1"/>
                      <wps:spPr>
                        <a:xfrm>
                          <a:off x="0" y="0"/>
                          <a:ext cx="2540000" cy="396240"/>
                        </a:xfrm>
                        <a:prstGeom prst="rect">
                          <a:avLst/>
                        </a:prstGeom>
                        <a:solidFill>
                          <a:srgbClr val="FFFFFF"/>
                        </a:solidFill>
                        <a:ln>
                          <a:noFill/>
                        </a:ln>
                      </wps:spPr>
                      <wps:txbx>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15.6pt;height:31.2pt;width:200pt;mso-position-horizontal-relative:margin;mso-position-vertical-relative:margin;z-index:251659264;mso-width-relative:page;mso-height-relative:page;" fillcolor="#FFFFFF" filled="t" stroked="f" coordsize="21600,21600" o:gfxdata="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UF431QAAAAYBAAAPAAAAAAAAAAEAIAAAACIAAABk&#10;cnMvZG93bnJldi54bWxQSwECFAAUAAAACACHTuJAvtOIjtABAACdAwAADgAAAAAAAAABACAAAAAk&#10;AQAAZHJzL2Uyb0RvYy54bWxQSwUGAAAAAAYABgBZAQAAZgUAAAAA&#10;">
                <v:fill on="t" focussize="0,0"/>
                <v:stroke on="f"/>
                <v:imagedata o:title=""/>
                <o:lock v:ext="edit" aspectratio="f"/>
                <v:textbox inset="0mm,0mm,0mm,0mm">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v:textbox>
                <w10:anchorlock/>
              </v:shape>
            </w:pict>
          </mc:Fallback>
        </mc:AlternateContent>
      </w: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38735</wp:posOffset>
                </wp:positionV>
                <wp:extent cx="6121400" cy="0"/>
                <wp:effectExtent l="0" t="0" r="0" b="0"/>
                <wp:wrapTopAndBottom/>
                <wp:docPr id="19" name="直接连接符 1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3.05pt;height:0pt;width:482pt;mso-wrap-distance-bottom:0pt;mso-wrap-distance-top:0pt;z-index:251664384;mso-width-relative:page;mso-height-relative:page;" filled="f" stroked="t" coordsize="21600,21600" o:gfxdata="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tbsw0QAAAAYBAAAPAAAAAAAAAAEAIAAAACIAAABkcnMvZG93bnJldi54bWxQSwECFAAU&#10;AAAACACHTuJAOw6WZvgBAADnAwAADgAAAAAAAAABACAAAAAgAQAAZHJzL2Uyb0RvYy54bWxQSwUG&#10;AAAAAAYABgBZAQAAigUAAAAA&#10;">
                <v:fill on="f" focussize="0,0"/>
                <v:stroke weight="1pt" color="#800008" joinstyle="round"/>
                <v:imagedata o:title=""/>
                <o:lock v:ext="edit" aspectratio="f"/>
                <w10:wrap type="topAndBottom"/>
              </v:line>
            </w:pict>
          </mc:Fallback>
        </mc:AlternateContent>
      </w: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pPr>
    </w:p>
    <w:p>
      <w:pPr>
        <w:pBdr>
          <w:top w:val="none" w:color="auto" w:sz="0" w:space="0"/>
          <w:left w:val="none" w:color="auto" w:sz="0" w:space="0"/>
          <w:bottom w:val="none" w:color="auto" w:sz="0" w:space="0"/>
          <w:right w:val="none" w:color="auto" w:sz="0" w:space="0"/>
        </w:pBdr>
        <w:spacing w:line="360" w:lineRule="auto"/>
        <w:jc w:val="center"/>
        <w:rPr>
          <w:rFonts w:hint="eastAsia" w:eastAsia="黑体"/>
          <w:sz w:val="52"/>
        </w:rPr>
      </w:pPr>
    </w:p>
    <w:p>
      <w:pPr>
        <w:pBdr>
          <w:top w:val="none" w:color="auto" w:sz="0" w:space="0"/>
          <w:left w:val="none" w:color="auto" w:sz="0" w:space="0"/>
          <w:bottom w:val="none" w:color="auto" w:sz="0" w:space="0"/>
          <w:right w:val="none" w:color="auto" w:sz="0" w:space="0"/>
        </w:pBdr>
        <w:spacing w:line="360" w:lineRule="auto"/>
        <w:jc w:val="center"/>
        <w:rPr>
          <w:rFonts w:hint="eastAsia"/>
          <w:sz w:val="28"/>
        </w:rPr>
      </w:pPr>
      <w:r>
        <w:rPr>
          <w:rFonts w:hint="eastAsia" w:eastAsia="黑体"/>
          <w:sz w:val="52"/>
        </w:rPr>
        <w:t>有色金属行业工业数据分类分级指南</w:t>
      </w:r>
      <w:r>
        <w:rPr>
          <w:rFonts w:hint="eastAsia"/>
          <w:sz w:val="28"/>
        </w:rPr>
        <w:t xml:space="preserve"> Guidelines for industial data classification and grading of non-ferrous metals industry</w:t>
      </w:r>
    </w:p>
    <w:p>
      <w:pPr>
        <w:pBdr>
          <w:top w:val="none" w:color="auto" w:sz="0" w:space="0"/>
          <w:left w:val="none" w:color="auto" w:sz="0" w:space="0"/>
          <w:bottom w:val="none" w:color="auto" w:sz="0" w:space="0"/>
          <w:right w:val="none" w:color="auto" w:sz="0" w:space="0"/>
        </w:pBdr>
        <w:spacing w:line="360" w:lineRule="auto"/>
        <w:jc w:val="center"/>
        <w:rPr>
          <w:rFonts w:hint="eastAsia"/>
          <w:sz w:val="28"/>
        </w:rPr>
      </w:pPr>
      <w:r>
        <w:rPr>
          <w:rFonts w:hint="eastAsia"/>
          <w:sz w:val="28"/>
        </w:rPr>
        <w:t>（</w:t>
      </w:r>
      <w:r>
        <w:rPr>
          <w:rFonts w:hint="eastAsia"/>
          <w:sz w:val="28"/>
          <w:lang w:val="en-US" w:eastAsia="zh-CN"/>
        </w:rPr>
        <w:t>讨论</w:t>
      </w:r>
      <w:r>
        <w:rPr>
          <w:rFonts w:hint="eastAsia"/>
          <w:sz w:val="28"/>
        </w:rPr>
        <w:t>稿）</w:t>
      </w:r>
    </w:p>
    <w:p>
      <w:pPr>
        <w:pBdr>
          <w:top w:val="none" w:color="auto" w:sz="0" w:space="0"/>
          <w:left w:val="none" w:color="auto" w:sz="0" w:space="0"/>
          <w:bottom w:val="none" w:color="auto" w:sz="0" w:space="0"/>
          <w:right w:val="none" w:color="auto" w:sz="0" w:space="0"/>
        </w:pBdr>
        <w:spacing w:line="360" w:lineRule="auto"/>
        <w:jc w:val="center"/>
        <w:rPr>
          <w:sz w:val="28"/>
        </w:rPr>
      </w:pPr>
    </w:p>
    <w:p>
      <w:pPr>
        <w:pBdr>
          <w:top w:val="none" w:color="auto" w:sz="0" w:space="0"/>
          <w:left w:val="none" w:color="auto" w:sz="0" w:space="0"/>
          <w:bottom w:val="none" w:color="auto" w:sz="0" w:space="0"/>
          <w:right w:val="none" w:color="auto" w:sz="0" w:space="0"/>
        </w:pBdr>
        <w:spacing w:line="360" w:lineRule="auto"/>
        <w:rPr>
          <w:sz w:val="28"/>
        </w:rPr>
      </w:pPr>
    </w:p>
    <w:p>
      <w:pPr>
        <w:pBdr>
          <w:top w:val="none" w:color="auto" w:sz="0" w:space="0"/>
          <w:left w:val="none" w:color="auto" w:sz="0" w:space="0"/>
          <w:bottom w:val="none" w:color="auto" w:sz="0" w:space="0"/>
          <w:right w:val="none" w:color="auto" w:sz="0" w:space="0"/>
        </w:pBdr>
        <w:spacing w:line="360" w:lineRule="auto"/>
        <w:rPr>
          <w:b/>
          <w:bCs/>
          <w:sz w:val="28"/>
        </w:rPr>
      </w:pPr>
    </w:p>
    <w:p>
      <w:pPr>
        <w:pBdr>
          <w:top w:val="none" w:color="auto" w:sz="0" w:space="0"/>
          <w:left w:val="none" w:color="auto" w:sz="0" w:space="0"/>
          <w:bottom w:val="none" w:color="auto" w:sz="0" w:space="0"/>
          <w:right w:val="none" w:color="auto" w:sz="0" w:space="0"/>
        </w:pBdr>
        <w:spacing w:line="360" w:lineRule="auto"/>
        <w:rPr>
          <w:b/>
          <w:bCs/>
          <w:sz w:val="28"/>
        </w:rPr>
      </w:pPr>
    </w:p>
    <w:p>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pPr>
        <w:pBdr>
          <w:top w:val="none" w:color="auto" w:sz="0" w:space="0"/>
          <w:left w:val="none" w:color="auto" w:sz="0" w:space="0"/>
          <w:bottom w:val="none" w:color="auto" w:sz="0" w:space="0"/>
          <w:right w:val="none" w:color="auto" w:sz="0" w:space="0"/>
        </w:pBdr>
        <w:spacing w:line="360" w:lineRule="auto"/>
        <w:rPr>
          <w:rFonts w:hint="eastAsia"/>
          <w:b/>
          <w:bCs/>
          <w:sz w:val="28"/>
          <w:u w:val="thick"/>
        </w:rPr>
      </w:pPr>
    </w:p>
    <w:p>
      <w:pPr>
        <w:pBdr>
          <w:top w:val="none" w:color="auto" w:sz="0" w:space="0"/>
          <w:left w:val="none" w:color="auto" w:sz="0" w:space="0"/>
          <w:bottom w:val="none" w:color="auto" w:sz="0" w:space="0"/>
          <w:right w:val="none" w:color="auto" w:sz="0" w:space="0"/>
        </w:pBdr>
        <w:spacing w:line="360" w:lineRule="auto"/>
        <w:rPr>
          <w:b/>
          <w:bCs/>
          <w:sz w:val="28"/>
          <w:u w:val="thick"/>
        </w:rPr>
      </w:pPr>
      <w: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13970</wp:posOffset>
                </wp:positionV>
                <wp:extent cx="6121400" cy="0"/>
                <wp:effectExtent l="0" t="0" r="0" b="0"/>
                <wp:wrapTopAndBottom/>
                <wp:docPr id="20" name="直接连接符 2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1.1pt;height:0pt;width:482pt;mso-wrap-distance-bottom:0pt;mso-wrap-distance-top:0pt;z-index:251665408;mso-width-relative:page;mso-height-relative:page;" filled="f" stroked="t" coordsize="21600,21600" o:gfxdata="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BO6DNEAAAAFAQAADwAAAAAAAAABACAAAAAiAAAAZHJzL2Rvd25yZXYueG1sUEsBAhQAFAAA&#10;AAgAh07iQHAVrQD2AQAA5wMAAA4AAAAAAAAAAQAgAAAAIAEAAGRycy9lMm9Eb2MueG1sUEsFBgAA&#10;AAAGAAYAWQEAAIgFAAAAAA==&#10;">
                <v:fill on="f" focussize="0,0"/>
                <v:stroke weight="1pt" color="#800008" joinstyle="round"/>
                <v:imagedata o:title=""/>
                <o:lock v:ext="edit" aspectratio="f"/>
                <w10:wrap type="topAndBottom"/>
              </v:line>
            </w:pict>
          </mc:Fallback>
        </mc:AlternateContent>
      </w:r>
      <w:r>
        <w:rPr>
          <w:b/>
          <w:bCs/>
          <w:sz w:val="28"/>
          <w:u w:val="thick"/>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8740140</wp:posOffset>
                </wp:positionV>
                <wp:extent cx="6120130" cy="363220"/>
                <wp:effectExtent l="0" t="0" r="13970" b="17780"/>
                <wp:wrapNone/>
                <wp:docPr id="21" name="文本框 21"/>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28"/>
                            </w:pPr>
                            <w:r>
                              <w:rPr>
                                <w:rFonts w:hint="eastAsia"/>
                              </w:rPr>
                              <w:t>中华人民共和国工业和信息化部</w:t>
                            </w:r>
                            <w:r>
                              <w:rPr>
                                <w:rStyle w:val="31"/>
                                <w:rFonts w:hint="eastAsia"/>
                              </w:rPr>
                              <w:t xml:space="preserve"> 发布</w:t>
                            </w:r>
                          </w:p>
                        </w:txbxContent>
                      </wps:txbx>
                      <wps:bodyPr lIns="0" tIns="0" rIns="0" bIns="0" upright="1"/>
                    </wps:wsp>
                  </a:graphicData>
                </a:graphic>
              </wp:anchor>
            </w:drawing>
          </mc:Choice>
          <mc:Fallback>
            <w:pict>
              <v:shape id="_x0000_s1026" o:spid="_x0000_s1026" o:spt="202" type="#_x0000_t202" style="position:absolute;left:0pt;margin-left:0pt;margin-top:688.2pt;height:28.6pt;width:481.9pt;mso-position-horizontal-relative:margin;mso-position-vertical-relative:margin;z-index:251667456;mso-width-relative:page;mso-height-relative:page;" fillcolor="#FFFFFF" filled="t" stroked="f" coordsize="21600,21600" o:gfxdata="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FmFjYAAAACgEAAA8AAAAAAAAAAQAgAAAAIgAA&#10;AGRycy9kb3ducmV2LnhtbFBLAQIUABQAAAAIAIdO4kAIzI9nzwEAAJ0DAAAOAAAAAAAAAAEAIAAA&#10;ACcBAABkcnMvZTJvRG9jLnhtbFBLBQYAAAAABgAGAFkBAABoBQAAAAA=&#10;">
                <v:fill on="t" focussize="0,0"/>
                <v:stroke on="f"/>
                <v:imagedata o:title=""/>
                <o:lock v:ext="edit" aspectratio="f"/>
                <v:textbox inset="0mm,0mm,0mm,0mm">
                  <w:txbxContent>
                    <w:p>
                      <w:pPr>
                        <w:pStyle w:val="28"/>
                      </w:pPr>
                      <w:r>
                        <w:rPr>
                          <w:rFonts w:hint="eastAsia"/>
                        </w:rPr>
                        <w:t>中华人民共和国工业和信息化部</w:t>
                      </w:r>
                      <w:r>
                        <w:rPr>
                          <w:rStyle w:val="31"/>
                          <w:rFonts w:hint="eastAsia"/>
                        </w:rPr>
                        <w:t xml:space="preserve"> 发布</w:t>
                      </w:r>
                    </w:p>
                  </w:txbxContent>
                </v:textbox>
                <w10:anchorlock/>
              </v:shape>
            </w:pict>
          </mc:Fallback>
        </mc:AlternateContent>
      </w:r>
    </w:p>
    <w:p>
      <w:pPr>
        <w:pBdr>
          <w:top w:val="none" w:color="auto" w:sz="0" w:space="0"/>
          <w:left w:val="none" w:color="auto" w:sz="0" w:space="0"/>
          <w:bottom w:val="none" w:color="auto" w:sz="0" w:space="0"/>
          <w:right w:val="none" w:color="auto" w:sz="0" w:space="0"/>
        </w:pBdr>
        <w:spacing w:line="360" w:lineRule="auto"/>
        <w:rPr>
          <w:kern w:val="0"/>
        </w:rPr>
      </w:pPr>
    </w:p>
    <w:p>
      <w:pPr>
        <w:pBdr>
          <w:top w:val="none" w:color="auto" w:sz="0" w:space="0"/>
          <w:left w:val="none" w:color="auto" w:sz="0" w:space="0"/>
          <w:bottom w:val="none" w:color="auto" w:sz="0" w:space="0"/>
          <w:right w:val="none" w:color="auto" w:sz="0" w:space="0"/>
        </w:pBdr>
        <w:autoSpaceDE w:val="0"/>
        <w:autoSpaceDN w:val="0"/>
        <w:adjustRightInd w:val="0"/>
        <w:spacing w:before="1" w:line="360" w:lineRule="auto"/>
        <w:ind w:right="284" w:firstLine="3840" w:firstLineChars="1200"/>
        <w:outlineLvl w:val="0"/>
        <w:rPr>
          <w:rFonts w:ascii="黑体" w:hAnsi="黑体" w:eastAsia="黑体" w:cs="黑体"/>
          <w:kern w:val="0"/>
          <w:sz w:val="32"/>
          <w:szCs w:val="28"/>
        </w:rPr>
        <w:sectPr>
          <w:pgSz w:w="11906" w:h="16838"/>
          <w:pgMar w:top="1134" w:right="1418" w:bottom="1134" w:left="1418" w:header="567" w:footer="283" w:gutter="0"/>
          <w:pgBorders>
            <w:top w:val="none" w:sz="0" w:space="0"/>
            <w:left w:val="none" w:sz="0" w:space="0"/>
            <w:bottom w:val="none" w:sz="0" w:space="0"/>
            <w:right w:val="none" w:sz="0" w:space="0"/>
          </w:pgBorders>
          <w:pgNumType w:fmt="upperRoman" w:start="1"/>
          <w:cols w:space="720" w:num="1"/>
          <w:docGrid w:type="lines" w:linePitch="312" w:charSpace="0"/>
        </w:sect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MS Mincho" w:hAnsi="MS Mincho" w:eastAsia="MS Mincho" w:cs="MS Mincho"/>
        </w:rPr>
        <w:t>  </w:t>
      </w:r>
      <w:r>
        <w:rPr>
          <w:rFonts w:hint="eastAsia" w:ascii="黑体" w:hAnsi="黑体" w:eastAsia="黑体" w:cs="黑体"/>
          <w:sz w:val="32"/>
          <w:szCs w:val="32"/>
        </w:rPr>
        <w:t>次</w:t>
      </w:r>
    </w:p>
    <w:p>
      <w:pPr>
        <w:spacing w:line="360" w:lineRule="auto"/>
        <w:jc w:val="center"/>
        <w:rPr>
          <w:rFonts w:hint="eastAsia"/>
          <w:sz w:val="32"/>
          <w:szCs w:val="32"/>
        </w:rPr>
      </w:pPr>
    </w:p>
    <w:p>
      <w:pPr>
        <w:pStyle w:val="8"/>
        <w:tabs>
          <w:tab w:val="right" w:leader="dot" w:pos="9746"/>
          <w:tab w:val="clear" w:pos="9241"/>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_Toc24849 </w:instrText>
      </w:r>
      <w:r>
        <w:rPr>
          <w:rFonts w:hint="eastAsia" w:ascii="宋体" w:hAnsi="宋体" w:eastAsia="宋体" w:cs="宋体"/>
          <w:szCs w:val="21"/>
        </w:rPr>
        <w:fldChar w:fldCharType="separate"/>
      </w:r>
      <w:r>
        <w:rPr>
          <w:rFonts w:hint="eastAsia" w:ascii="黑体" w:hAnsi="黑体" w:eastAsia="黑体" w:cs="黑体"/>
        </w:rPr>
        <w:t>前  言</w:t>
      </w:r>
      <w:r>
        <w:tab/>
      </w:r>
      <w:r>
        <w:fldChar w:fldCharType="begin"/>
      </w:r>
      <w:r>
        <w:instrText xml:space="preserve"> PAGEREF _Toc24849 \h </w:instrText>
      </w:r>
      <w:r>
        <w:fldChar w:fldCharType="separate"/>
      </w:r>
      <w:r>
        <w:t>II</w:t>
      </w:r>
      <w:r>
        <w:fldChar w:fldCharType="end"/>
      </w:r>
      <w:r>
        <w:rPr>
          <w:rFonts w:hint="eastAsia" w:ascii="宋体" w:hAnsi="宋体" w:eastAsia="宋体" w:cs="宋体"/>
          <w:szCs w:val="21"/>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_Toc25410 </w:instrText>
      </w:r>
      <w:r>
        <w:rPr>
          <w:rFonts w:hint="eastAsia" w:ascii="宋体" w:hAnsi="宋体" w:eastAsia="宋体" w:cs="宋体"/>
          <w:bCs/>
          <w:szCs w:val="21"/>
          <w:lang w:val="zh-CN"/>
        </w:rPr>
        <w:fldChar w:fldCharType="separate"/>
      </w:r>
      <w:r>
        <w:rPr>
          <w:rFonts w:hint="eastAsia" w:ascii="黑体" w:hAnsi="黑体" w:eastAsia="黑体" w:cs="黑体"/>
          <w:bCs w:val="0"/>
          <w:lang w:val="en-US" w:eastAsia="zh-CN"/>
        </w:rPr>
        <w:t>引</w:t>
      </w:r>
      <w:r>
        <w:rPr>
          <w:rFonts w:hint="eastAsia" w:ascii="黑体" w:hAnsi="黑体" w:eastAsia="黑体" w:cs="黑体"/>
          <w:bCs w:val="0"/>
        </w:rPr>
        <w:t>  言</w:t>
      </w:r>
      <w:r>
        <w:tab/>
      </w:r>
      <w:r>
        <w:fldChar w:fldCharType="begin"/>
      </w:r>
      <w:r>
        <w:instrText xml:space="preserve"> PAGEREF _Toc25410 \h </w:instrText>
      </w:r>
      <w:r>
        <w:fldChar w:fldCharType="separate"/>
      </w:r>
      <w:r>
        <w:t>III</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_Toc24081 </w:instrText>
      </w:r>
      <w:r>
        <w:rPr>
          <w:rFonts w:hint="eastAsia" w:ascii="宋体" w:hAnsi="宋体" w:eastAsia="宋体" w:cs="宋体"/>
          <w:bCs/>
          <w:szCs w:val="21"/>
          <w:lang w:val="zh-CN"/>
        </w:rPr>
        <w:fldChar w:fldCharType="separate"/>
      </w:r>
      <w:r>
        <w:rPr>
          <w:rFonts w:hint="eastAsia"/>
          <w:bCs/>
          <w:lang w:val="en-US" w:eastAsia="zh-CN"/>
        </w:rPr>
        <w:t xml:space="preserve">1  </w:t>
      </w:r>
      <w:r>
        <w:rPr>
          <w:rFonts w:hint="eastAsia"/>
          <w:bCs/>
        </w:rPr>
        <w:t>范围</w:t>
      </w:r>
      <w:r>
        <w:tab/>
      </w:r>
      <w:r>
        <w:fldChar w:fldCharType="begin"/>
      </w:r>
      <w:r>
        <w:instrText xml:space="preserve"> PAGEREF _Toc24081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_Toc8949 </w:instrText>
      </w:r>
      <w:r>
        <w:rPr>
          <w:rFonts w:hint="eastAsia" w:ascii="宋体" w:hAnsi="宋体" w:eastAsia="宋体" w:cs="宋体"/>
          <w:bCs/>
          <w:szCs w:val="21"/>
          <w:lang w:val="zh-CN"/>
        </w:rPr>
        <w:fldChar w:fldCharType="separate"/>
      </w:r>
      <w:r>
        <w:rPr>
          <w:rFonts w:hint="eastAsia" w:cs="Times New Roman"/>
          <w:bCs/>
          <w:lang w:val="en-US" w:eastAsia="zh-CN"/>
        </w:rPr>
        <w:t>2  规范性引用文件</w:t>
      </w:r>
      <w:r>
        <w:tab/>
      </w:r>
      <w:r>
        <w:fldChar w:fldCharType="begin"/>
      </w:r>
      <w:r>
        <w:instrText xml:space="preserve"> PAGEREF _Toc8949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_Toc18436 </w:instrText>
      </w:r>
      <w:r>
        <w:rPr>
          <w:rFonts w:hint="eastAsia" w:ascii="宋体" w:hAnsi="宋体" w:eastAsia="宋体" w:cs="宋体"/>
          <w:bCs/>
          <w:szCs w:val="21"/>
          <w:lang w:val="zh-CN"/>
        </w:rPr>
        <w:fldChar w:fldCharType="separate"/>
      </w:r>
      <w:r>
        <w:rPr>
          <w:rFonts w:hint="eastAsia" w:cs="Times New Roman"/>
          <w:bCs/>
          <w:lang w:val="en-US" w:eastAsia="zh-CN"/>
        </w:rPr>
        <w:t>3  术语和定义</w:t>
      </w:r>
      <w:r>
        <w:tab/>
      </w:r>
      <w:r>
        <w:fldChar w:fldCharType="begin"/>
      </w:r>
      <w:r>
        <w:instrText xml:space="preserve"> PAGEREF _Toc18436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_Toc657 </w:instrText>
      </w:r>
      <w:r>
        <w:rPr>
          <w:rFonts w:hint="eastAsia" w:ascii="宋体" w:hAnsi="宋体" w:eastAsia="宋体" w:cs="宋体"/>
          <w:bCs/>
          <w:szCs w:val="21"/>
          <w:lang w:val="zh-CN"/>
        </w:rPr>
        <w:fldChar w:fldCharType="separate"/>
      </w:r>
      <w:r>
        <w:rPr>
          <w:rFonts w:hint="eastAsia" w:cs="Times New Roman"/>
          <w:bCs/>
          <w:lang w:val="en-US" w:eastAsia="zh-CN"/>
        </w:rPr>
        <w:t>4  基本原则</w:t>
      </w:r>
      <w:r>
        <w:tab/>
      </w:r>
      <w:r>
        <w:fldChar w:fldCharType="begin"/>
      </w:r>
      <w:r>
        <w:instrText xml:space="preserve"> PAGEREF _Toc657 \h </w:instrText>
      </w:r>
      <w:r>
        <w:fldChar w:fldCharType="separate"/>
      </w:r>
      <w:r>
        <w:t>2</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_Toc1771 </w:instrText>
      </w:r>
      <w:r>
        <w:rPr>
          <w:rFonts w:hint="eastAsia" w:ascii="宋体" w:hAnsi="宋体" w:eastAsia="宋体" w:cs="宋体"/>
          <w:bCs/>
          <w:szCs w:val="21"/>
          <w:lang w:val="zh-CN"/>
        </w:rPr>
        <w:fldChar w:fldCharType="separate"/>
      </w:r>
      <w:r>
        <w:rPr>
          <w:rFonts w:hint="eastAsia" w:cs="Times New Roman"/>
          <w:bCs/>
          <w:lang w:val="en-US" w:eastAsia="zh-CN"/>
        </w:rPr>
        <w:t>5  数据分类规则</w:t>
      </w:r>
      <w:r>
        <w:tab/>
      </w:r>
      <w:r>
        <w:fldChar w:fldCharType="begin"/>
      </w:r>
      <w:r>
        <w:instrText xml:space="preserve"> PAGEREF _Toc1771 \h </w:instrText>
      </w:r>
      <w:r>
        <w:fldChar w:fldCharType="separate"/>
      </w:r>
      <w:r>
        <w:t>2</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_Toc2637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5.1 数据分类框架</w:t>
      </w:r>
      <w:r>
        <w:tab/>
      </w:r>
      <w:r>
        <w:fldChar w:fldCharType="begin"/>
      </w:r>
      <w:r>
        <w:instrText xml:space="preserve"> PAGEREF _Toc2637 \h </w:instrText>
      </w:r>
      <w:r>
        <w:fldChar w:fldCharType="separate"/>
      </w:r>
      <w:r>
        <w:t>3</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_Toc2442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5.2 数据分类方法</w:t>
      </w:r>
      <w:r>
        <w:tab/>
      </w:r>
      <w:r>
        <w:fldChar w:fldCharType="begin"/>
      </w:r>
      <w:r>
        <w:instrText xml:space="preserve"> PAGEREF _Toc2442 \h </w:instrText>
      </w:r>
      <w:r>
        <w:fldChar w:fldCharType="separate"/>
      </w:r>
      <w:r>
        <w:t>3</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_Toc32666 </w:instrText>
      </w:r>
      <w:r>
        <w:rPr>
          <w:rFonts w:hint="eastAsia" w:ascii="宋体" w:hAnsi="宋体" w:eastAsia="宋体" w:cs="宋体"/>
          <w:bCs/>
          <w:szCs w:val="21"/>
          <w:lang w:val="zh-CN"/>
        </w:rPr>
        <w:fldChar w:fldCharType="separate"/>
      </w:r>
      <w:r>
        <w:rPr>
          <w:rFonts w:hint="eastAsia" w:cs="Times New Roman"/>
          <w:bCs/>
          <w:lang w:val="en-US" w:eastAsia="zh-CN"/>
        </w:rPr>
        <w:t>6  数据分级规则</w:t>
      </w:r>
      <w:r>
        <w:tab/>
      </w:r>
      <w:r>
        <w:fldChar w:fldCharType="begin"/>
      </w:r>
      <w:r>
        <w:instrText xml:space="preserve"> PAGEREF _Toc32666 \h </w:instrText>
      </w:r>
      <w:r>
        <w:fldChar w:fldCharType="separate"/>
      </w:r>
      <w:r>
        <w:t>3</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_Toc21063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6.1 数据分级框架</w:t>
      </w:r>
      <w:r>
        <w:tab/>
      </w:r>
      <w:r>
        <w:fldChar w:fldCharType="begin"/>
      </w:r>
      <w:r>
        <w:instrText xml:space="preserve"> PAGEREF _Toc21063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_Toc19224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6.2 数据分级方法</w:t>
      </w:r>
      <w:r>
        <w:tab/>
      </w:r>
      <w:r>
        <w:fldChar w:fldCharType="begin"/>
      </w:r>
      <w:r>
        <w:instrText xml:space="preserve"> PAGEREF _Toc19224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_Toc8138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 重要数据识别维度</w:t>
      </w:r>
      <w:r>
        <w:tab/>
      </w:r>
      <w:r>
        <w:fldChar w:fldCharType="begin"/>
      </w:r>
      <w:r>
        <w:instrText xml:space="preserve"> PAGEREF _Toc8138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_Toc28465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6.3.1 概述</w:t>
      </w:r>
      <w:r>
        <w:tab/>
      </w:r>
      <w:r>
        <w:fldChar w:fldCharType="begin"/>
      </w:r>
      <w:r>
        <w:instrText xml:space="preserve"> PAGEREF _Toc28465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_Toc14258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6.3.2 与国家秘密生成相关</w:t>
      </w:r>
      <w:r>
        <w:tab/>
      </w:r>
      <w:r>
        <w:fldChar w:fldCharType="begin"/>
      </w:r>
      <w:r>
        <w:instrText xml:space="preserve"> PAGEREF _Toc14258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_Toc7295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6.3.3 与国家安全相关</w:t>
      </w:r>
      <w:r>
        <w:tab/>
      </w:r>
      <w:r>
        <w:fldChar w:fldCharType="begin"/>
      </w:r>
      <w:r>
        <w:instrText xml:space="preserve"> PAGEREF _Toc7295 \h </w:instrText>
      </w:r>
      <w:r>
        <w:fldChar w:fldCharType="separate"/>
      </w:r>
      <w:r>
        <w:t>5</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_Toc19421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6.3.4 与行业发展相关</w:t>
      </w:r>
      <w:r>
        <w:tab/>
      </w:r>
      <w:r>
        <w:fldChar w:fldCharType="begin"/>
      </w:r>
      <w:r>
        <w:instrText xml:space="preserve"> PAGEREF _Toc19421 \h </w:instrText>
      </w:r>
      <w:r>
        <w:fldChar w:fldCharType="separate"/>
      </w:r>
      <w:r>
        <w:t>5</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_Toc6756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6.3.5 与工业领域出口管制物项相关</w:t>
      </w:r>
      <w:r>
        <w:tab/>
      </w:r>
      <w:r>
        <w:fldChar w:fldCharType="begin"/>
      </w:r>
      <w:r>
        <w:instrText xml:space="preserve"> PAGEREF _Toc6756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_Toc30490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6.3.6 与行业特色相关</w:t>
      </w:r>
      <w:r>
        <w:tab/>
      </w:r>
      <w:r>
        <w:fldChar w:fldCharType="begin"/>
      </w:r>
      <w:r>
        <w:instrText xml:space="preserve"> PAGEREF _Toc30490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_Toc11657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6.3.7 其他</w:t>
      </w:r>
      <w:r>
        <w:tab/>
      </w:r>
      <w:r>
        <w:fldChar w:fldCharType="begin"/>
      </w:r>
      <w:r>
        <w:instrText xml:space="preserve"> PAGEREF _Toc11657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_Toc29755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6.4 综合确定级别</w:t>
      </w:r>
      <w:r>
        <w:tab/>
      </w:r>
      <w:r>
        <w:fldChar w:fldCharType="begin"/>
      </w:r>
      <w:r>
        <w:instrText xml:space="preserve"> PAGEREF _Toc29755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_Toc13078 </w:instrText>
      </w:r>
      <w:r>
        <w:rPr>
          <w:rFonts w:hint="eastAsia" w:ascii="宋体" w:hAnsi="宋体" w:eastAsia="宋体" w:cs="宋体"/>
          <w:bCs/>
          <w:szCs w:val="21"/>
          <w:lang w:val="zh-CN"/>
        </w:rPr>
        <w:fldChar w:fldCharType="separate"/>
      </w:r>
      <w:r>
        <w:rPr>
          <w:rFonts w:hint="eastAsia" w:cs="Times New Roman"/>
          <w:bCs/>
          <w:lang w:val="en-US" w:eastAsia="zh-CN"/>
        </w:rPr>
        <w:t>7  数据分类分级流程</w:t>
      </w:r>
      <w:r>
        <w:tab/>
      </w:r>
      <w:r>
        <w:fldChar w:fldCharType="begin"/>
      </w:r>
      <w:r>
        <w:instrText xml:space="preserve"> PAGEREF _Toc13078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_Toc2784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7.1 概述</w:t>
      </w:r>
      <w:r>
        <w:tab/>
      </w:r>
      <w:r>
        <w:fldChar w:fldCharType="begin"/>
      </w:r>
      <w:r>
        <w:instrText xml:space="preserve"> PAGEREF _Toc2784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_Toc7905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7.2 数据资产梳理</w:t>
      </w:r>
      <w:r>
        <w:tab/>
      </w:r>
      <w:r>
        <w:fldChar w:fldCharType="begin"/>
      </w:r>
      <w:r>
        <w:instrText xml:space="preserve"> PAGEREF _Toc7905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_Toc18291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7.3 重要数据识别</w:t>
      </w:r>
      <w:r>
        <w:tab/>
      </w:r>
      <w:r>
        <w:fldChar w:fldCharType="begin"/>
      </w:r>
      <w:r>
        <w:instrText xml:space="preserve"> PAGEREF _Toc18291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_Toc15338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7.4 内部审批</w:t>
      </w:r>
      <w:r>
        <w:tab/>
      </w:r>
      <w:r>
        <w:fldChar w:fldCharType="begin"/>
      </w:r>
      <w:r>
        <w:instrText xml:space="preserve"> PAGEREF _Toc15338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7.5 重要数据目录备案</w:t>
      </w:r>
      <w:r>
        <w:tab/>
      </w:r>
      <w:r>
        <w:fldChar w:fldCharType="begin"/>
      </w:r>
      <w:r>
        <w:instrText xml:space="preserve"> PAGEREF _Toc46 \h </w:instrText>
      </w:r>
      <w:r>
        <w:fldChar w:fldCharType="separate"/>
      </w:r>
      <w:r>
        <w:t>8</w:t>
      </w:r>
      <w:r>
        <w:fldChar w:fldCharType="end"/>
      </w:r>
      <w:r>
        <w:rPr>
          <w:rFonts w:hint="eastAsia" w:ascii="宋体" w:hAnsi="宋体" w:eastAsia="宋体" w:cs="宋体"/>
          <w:bCs/>
          <w:szCs w:val="21"/>
          <w:lang w:val="zh-CN"/>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_Toc18906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A</w:t>
      </w:r>
      <w:r>
        <w:tab/>
      </w:r>
      <w:r>
        <w:fldChar w:fldCharType="begin"/>
      </w:r>
      <w:r>
        <w:instrText xml:space="preserve"> PAGEREF _Toc18906 \h </w:instrText>
      </w:r>
      <w:r>
        <w:fldChar w:fldCharType="separate"/>
      </w:r>
      <w:r>
        <w:t>1</w:t>
      </w:r>
      <w:r>
        <w:fldChar w:fldCharType="end"/>
      </w:r>
      <w:r>
        <w:rPr>
          <w:rFonts w:hint="eastAsia" w:ascii="宋体" w:hAnsi="宋体" w:eastAsia="宋体" w:cs="宋体"/>
          <w:bCs/>
          <w:szCs w:val="21"/>
          <w:lang w:val="zh-CN"/>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_Toc30496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 xml:space="preserve">附 录 </w:t>
      </w:r>
      <w:r>
        <w:rPr>
          <w:rFonts w:hint="eastAsia" w:hAnsi="黑体" w:cs="黑体"/>
          <w:bCs w:val="0"/>
          <w:szCs w:val="21"/>
          <w:lang w:val="en-US" w:eastAsia="zh-CN"/>
        </w:rPr>
        <w:t>B</w:t>
      </w:r>
      <w:r>
        <w:tab/>
      </w:r>
      <w:r>
        <w:fldChar w:fldCharType="begin"/>
      </w:r>
      <w:r>
        <w:instrText xml:space="preserve"> PAGEREF _Toc30496 \h </w:instrText>
      </w:r>
      <w:r>
        <w:fldChar w:fldCharType="separate"/>
      </w:r>
      <w:r>
        <w:t>1</w:t>
      </w:r>
      <w:r>
        <w:fldChar w:fldCharType="end"/>
      </w:r>
      <w:r>
        <w:rPr>
          <w:rFonts w:hint="eastAsia" w:ascii="宋体" w:hAnsi="宋体" w:eastAsia="宋体" w:cs="宋体"/>
          <w:bCs/>
          <w:szCs w:val="21"/>
          <w:lang w:val="zh-CN"/>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_Toc10083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参 考 文 献</w:t>
      </w:r>
      <w:r>
        <w:tab/>
      </w:r>
      <w:r>
        <w:fldChar w:fldCharType="begin"/>
      </w:r>
      <w:r>
        <w:instrText xml:space="preserve"> PAGEREF _Toc10083 \h </w:instrText>
      </w:r>
      <w:r>
        <w:fldChar w:fldCharType="separate"/>
      </w:r>
      <w:r>
        <w:t>9</w:t>
      </w:r>
      <w:r>
        <w:fldChar w:fldCharType="end"/>
      </w:r>
      <w:r>
        <w:rPr>
          <w:rFonts w:hint="eastAsia" w:ascii="宋体" w:hAnsi="宋体" w:eastAsia="宋体" w:cs="宋体"/>
          <w:bCs/>
          <w:szCs w:val="21"/>
          <w:lang w:val="zh-CN"/>
        </w:rPr>
        <w:fldChar w:fldCharType="end"/>
      </w:r>
    </w:p>
    <w:p>
      <w:pPr>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sz w:val="21"/>
          <w:szCs w:val="21"/>
        </w:rPr>
      </w:pPr>
      <w:r>
        <w:rPr>
          <w:rFonts w:hint="eastAsia" w:ascii="宋体" w:hAnsi="宋体" w:eastAsia="宋体" w:cs="宋体"/>
          <w:bCs/>
          <w:szCs w:val="21"/>
          <w:lang w:val="zh-CN"/>
        </w:rPr>
        <w:fldChar w:fldCharType="end"/>
      </w:r>
    </w:p>
    <w:p>
      <w:pPr>
        <w:pStyle w:val="28"/>
      </w:pPr>
    </w:p>
    <w:p>
      <w:pPr>
        <w:pStyle w:val="33"/>
        <w:rPr>
          <w:rFonts w:hint="eastAsia" w:ascii="黑体" w:hAnsi="黑体" w:eastAsia="黑体" w:cs="黑体"/>
        </w:rPr>
      </w:pPr>
      <w:r>
        <w:rPr>
          <w:rFonts w:hint="eastAsia" w:ascii="黑体" w:hAnsi="黑体" w:eastAsia="黑体" w:cs="黑体"/>
        </w:rPr>
        <w:t>前  言</w:t>
      </w:r>
    </w:p>
    <w:p>
      <w:pPr>
        <w:numPr>
          <w:ilvl w:val="0"/>
          <w:numId w:val="3"/>
        </w:numPr>
        <w:spacing w:line="360" w:lineRule="auto"/>
        <w:ind w:firstLine="420" w:firstLineChars="200"/>
        <w:rPr>
          <w:highlight w:val="none"/>
        </w:rPr>
      </w:pPr>
      <w:r>
        <w:rPr>
          <w:rFonts w:hint="eastAsia"/>
          <w:highlight w:val="none"/>
        </w:rPr>
        <w:t>本文件按照</w:t>
      </w:r>
      <w:r>
        <w:rPr>
          <w:highlight w:val="none"/>
        </w:rPr>
        <w:t>GB/T 1.1—20</w:t>
      </w:r>
      <w:r>
        <w:rPr>
          <w:rFonts w:hint="eastAsia"/>
          <w:highlight w:val="none"/>
        </w:rPr>
        <w:t>20《标准化工作导则  第1部分：标准化文件的结构和起草规则》的规定起草。</w:t>
      </w:r>
    </w:p>
    <w:p>
      <w:pPr>
        <w:autoSpaceDE w:val="0"/>
        <w:autoSpaceDN w:val="0"/>
        <w:adjustRightInd w:val="0"/>
        <w:spacing w:before="1" w:line="360" w:lineRule="auto"/>
        <w:ind w:right="284" w:firstLine="420" w:firstLineChars="200"/>
        <w:rPr>
          <w:rFonts w:hint="eastAsia"/>
          <w:kern w:val="0"/>
          <w:highlight w:val="none"/>
        </w:rPr>
      </w:pPr>
      <w:r>
        <w:rPr>
          <w:rFonts w:hint="eastAsia"/>
          <w:highlight w:val="none"/>
        </w:rPr>
        <w:t>请注意本文件的某些内容可能涉及专利。本文件的发布机构不承担识别专利的责任。</w:t>
      </w:r>
    </w:p>
    <w:p>
      <w:pPr>
        <w:pStyle w:val="30"/>
        <w:spacing w:line="360" w:lineRule="auto"/>
        <w:ind w:firstLine="420"/>
        <w:rPr>
          <w:rFonts w:hint="eastAsia"/>
          <w:highlight w:val="none"/>
        </w:rPr>
      </w:pPr>
      <w:r>
        <w:rPr>
          <w:rFonts w:hint="eastAsia"/>
          <w:highlight w:val="none"/>
        </w:rPr>
        <w:t>本文件由全国有色金属标准化技术委员会（SAC/TC243）提出并归口。</w:t>
      </w:r>
    </w:p>
    <w:p>
      <w:pPr>
        <w:pStyle w:val="30"/>
        <w:spacing w:line="360" w:lineRule="auto"/>
        <w:ind w:firstLine="420"/>
        <w:rPr>
          <w:rFonts w:hint="eastAsia"/>
        </w:rPr>
      </w:pPr>
      <w:r>
        <w:rPr>
          <w:rFonts w:hint="eastAsia" w:ascii="宋体" w:hAnsi="宋体" w:cs="宋体"/>
          <w:kern w:val="0"/>
          <w:highlight w:val="none"/>
        </w:rPr>
        <w:t>本文件起草单位：</w:t>
      </w:r>
    </w:p>
    <w:p>
      <w:pPr>
        <w:ind w:firstLine="420" w:firstLineChars="200"/>
        <w:rPr>
          <w:rFonts w:hint="eastAsia" w:ascii="宋体" w:eastAsia="宋体" w:cs="宋体"/>
          <w:kern w:val="0"/>
          <w:szCs w:val="21"/>
          <w:lang w:val="en-US" w:eastAsia="zh-CN"/>
        </w:rPr>
      </w:pPr>
      <w:r>
        <w:rPr>
          <w:rFonts w:hint="eastAsia"/>
        </w:rPr>
        <w:t>本文件主要起草人：</w:t>
      </w:r>
    </w:p>
    <w:p>
      <w:pPr>
        <w:ind w:firstLine="420" w:firstLineChars="200"/>
        <w:rPr>
          <w:rFonts w:hint="eastAsia" w:ascii="宋体" w:cs="宋体"/>
          <w:kern w:val="0"/>
          <w:szCs w:val="21"/>
          <w:lang w:eastAsia="zh-CN"/>
        </w:rPr>
      </w:pPr>
    </w:p>
    <w:p>
      <w:pPr>
        <w:ind w:firstLine="420" w:firstLineChars="200"/>
        <w:rPr>
          <w:rFonts w:hint="eastAsia" w:ascii="宋体" w:cs="宋体"/>
          <w:kern w:val="0"/>
          <w:szCs w:val="21"/>
          <w:lang w:eastAsia="zh-CN"/>
        </w:rPr>
      </w:pPr>
    </w:p>
    <w:p>
      <w:pPr>
        <w:rPr>
          <w:rFonts w:hint="eastAsia" w:ascii="宋体" w:cs="宋体"/>
          <w:kern w:val="0"/>
          <w:szCs w:val="21"/>
          <w:lang w:eastAsia="zh-CN"/>
        </w:rPr>
      </w:pPr>
    </w:p>
    <w:p>
      <w:pPr>
        <w:ind w:firstLine="420" w:firstLineChars="200"/>
      </w:pPr>
      <w:r>
        <w:br w:type="page"/>
      </w:r>
    </w:p>
    <w:p>
      <w:pPr>
        <w:pStyle w:val="33"/>
        <w:rPr>
          <w:rFonts w:hint="eastAsia" w:ascii="黑体" w:hAnsi="黑体" w:eastAsia="黑体" w:cs="黑体"/>
          <w:b w:val="0"/>
          <w:bCs w:val="0"/>
        </w:rPr>
      </w:pPr>
      <w:r>
        <w:rPr>
          <w:rFonts w:hint="eastAsia" w:ascii="黑体" w:hAnsi="黑体" w:eastAsia="黑体" w:cs="黑体"/>
          <w:b w:val="0"/>
          <w:bCs w:val="0"/>
          <w:lang w:val="en-US" w:eastAsia="zh-CN"/>
        </w:rPr>
        <w:t>引</w:t>
      </w:r>
      <w:r>
        <w:rPr>
          <w:rFonts w:hint="eastAsia" w:ascii="黑体" w:hAnsi="黑体" w:eastAsia="黑体" w:cs="黑体"/>
          <w:b w:val="0"/>
          <w:bCs w:val="0"/>
        </w:rPr>
        <w:t>  言</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pPr>
      <w:r>
        <w:rPr>
          <w:rFonts w:hint="eastAsia"/>
        </w:rPr>
        <w:t>2024年2月23日，工业和信息化部印发《工业领域数据安全能力提升实施方案（2024-2026年）》，提出“分行业分领域研究制定重要数据和核心数据识别细则，形成‘1+N’的工业领域数据分类分级规范体系，科学指导各行业落地实施”。</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pPr>
      <w:r>
        <w:rPr>
          <w:rFonts w:hint="eastAsia"/>
          <w:lang w:val="en-US" w:eastAsia="zh-CN"/>
        </w:rPr>
        <w:t>开展工业领域数据安全能力提升实施工作，首先需要对数据进行分类分级，识别重要数据和核心数据，然后建立相应的数据安全保护措施。</w:t>
      </w:r>
      <w:r>
        <w:t>本</w:t>
      </w:r>
      <w:r>
        <w:rPr>
          <w:rFonts w:hint="eastAsia"/>
          <w:lang w:eastAsia="zh-CN"/>
        </w:rPr>
        <w:t>文件</w:t>
      </w:r>
      <w:r>
        <w:rPr>
          <w:rFonts w:hint="eastAsia"/>
          <w:lang w:val="en-US" w:eastAsia="zh-CN"/>
        </w:rPr>
        <w:t>在国家数据安全工作协调机制指导下</w:t>
      </w:r>
      <w:r>
        <w:rPr>
          <w:rFonts w:hint="eastAsia"/>
          <w:lang w:eastAsia="zh-CN"/>
        </w:rPr>
        <w:t>，</w:t>
      </w:r>
      <w:r>
        <w:t>依据</w:t>
      </w:r>
      <w:r>
        <w:rPr>
          <w:rFonts w:hint="eastAsia"/>
          <w:lang w:eastAsia="zh-CN"/>
        </w:rPr>
        <w:t>《中华人民共和国数据安全法》《中华人民共和国网络安全法》等法规及《工业和信息化领域数据安全管理办法（试行）》等</w:t>
      </w:r>
      <w:r>
        <w:rPr>
          <w:rFonts w:hint="eastAsia"/>
          <w:lang w:val="en-US" w:eastAsia="zh-CN"/>
        </w:rPr>
        <w:t>规定进行编制</w:t>
      </w:r>
      <w:r>
        <w:rPr>
          <w:rFonts w:hint="eastAsia"/>
          <w:lang w:eastAsia="zh-CN"/>
        </w:rPr>
        <w:t>，</w:t>
      </w:r>
      <w:r>
        <w:t>为有色金属行业提供一套全面、系统的</w:t>
      </w:r>
      <w:r>
        <w:rPr>
          <w:rFonts w:hint="eastAsia"/>
          <w:lang w:val="en-US" w:eastAsia="zh-CN"/>
        </w:rPr>
        <w:t>工业数据分类分级规范</w:t>
      </w:r>
      <w:r>
        <w:t>，</w:t>
      </w:r>
      <w:r>
        <w:rPr>
          <w:rFonts w:hint="eastAsia"/>
          <w:lang w:val="en-US" w:eastAsia="zh-CN"/>
        </w:rPr>
        <w:t>用于指导有色金属行业采选、冶炼、加工企业开展数据分类分级工作，为</w:t>
      </w:r>
      <w:r>
        <w:rPr>
          <w:rFonts w:hint="eastAsia"/>
          <w:lang w:eastAsia="zh-CN"/>
        </w:rPr>
        <w:t>数据处理活动、数据安全管理、数据开发利用</w:t>
      </w:r>
      <w:r>
        <w:rPr>
          <w:rFonts w:hint="eastAsia"/>
          <w:lang w:val="en-US" w:eastAsia="zh-CN"/>
        </w:rPr>
        <w:t>提供基础支撑，更好地推动行业数字化转型，赋能制造业高质量发展</w:t>
      </w:r>
      <w:r>
        <w:t>。</w:t>
      </w:r>
    </w:p>
    <w:p>
      <w:pPr>
        <w:pStyle w:val="30"/>
        <w:bidi w:val="0"/>
      </w:pPr>
    </w:p>
    <w:p>
      <w:pPr>
        <w:pStyle w:val="30"/>
        <w:bidi w:val="0"/>
        <w:rPr>
          <w:rFonts w:hint="default"/>
          <w:lang w:val="en-US" w:eastAsia="zh-CN"/>
        </w:rPr>
      </w:pPr>
    </w:p>
    <w:p>
      <w:pPr>
        <w:pStyle w:val="32"/>
        <w:rPr>
          <w:rFonts w:hint="eastAsia"/>
        </w:rPr>
        <w:sectPr>
          <w:headerReference r:id="rId3" w:type="default"/>
          <w:footerReference r:id="rId4" w:type="default"/>
          <w:pgSz w:w="11906" w:h="16838"/>
          <w:pgMar w:top="1417" w:right="1134" w:bottom="1417" w:left="1417" w:header="1418" w:footer="1134" w:gutter="0"/>
          <w:paperSrc/>
          <w:pgBorders>
            <w:top w:val="none" w:sz="0" w:space="0"/>
            <w:left w:val="none" w:sz="0" w:space="0"/>
            <w:bottom w:val="none" w:sz="0" w:space="0"/>
            <w:right w:val="none" w:sz="0" w:space="0"/>
          </w:pgBorders>
          <w:pgNumType w:fmt="upperRoman" w:start="1"/>
          <w:cols w:space="0" w:num="1"/>
          <w:formProt w:val="0"/>
          <w:rtlGutter w:val="0"/>
          <w:docGrid w:type="lines" w:linePitch="312" w:charSpace="0"/>
        </w:sectPr>
      </w:pPr>
    </w:p>
    <w:p>
      <w:pPr>
        <w:pStyle w:val="30"/>
        <w:spacing w:line="360" w:lineRule="auto"/>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有色金属行业</w:t>
      </w:r>
      <w:r>
        <w:rPr>
          <w:rFonts w:hint="eastAsia" w:ascii="黑体" w:hAnsi="黑体" w:eastAsia="黑体" w:cs="黑体"/>
          <w:sz w:val="32"/>
          <w:szCs w:val="32"/>
          <w:lang w:val="en-US" w:eastAsia="zh-CN"/>
        </w:rPr>
        <w:t>工业</w:t>
      </w:r>
      <w:r>
        <w:rPr>
          <w:rFonts w:hint="eastAsia" w:ascii="黑体" w:hAnsi="黑体" w:eastAsia="黑体" w:cs="黑体"/>
          <w:sz w:val="32"/>
          <w:szCs w:val="32"/>
          <w:lang w:eastAsia="zh-CN"/>
        </w:rPr>
        <w:t>数据分类分级指南</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b w:val="0"/>
          <w:bCs/>
        </w:rPr>
      </w:pPr>
      <w:r>
        <w:rPr>
          <w:rFonts w:hint="eastAsia"/>
          <w:b w:val="0"/>
          <w:bCs/>
          <w:lang w:val="en-US" w:eastAsia="zh-CN"/>
        </w:rPr>
        <w:t xml:space="preserve">1  </w:t>
      </w:r>
      <w:r>
        <w:rPr>
          <w:rFonts w:hint="eastAsia"/>
          <w:b w:val="0"/>
          <w:bCs/>
        </w:rPr>
        <w:t>范围</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本文件</w:t>
      </w:r>
      <w:r>
        <w:rPr>
          <w:rFonts w:hint="eastAsia" w:ascii="宋体" w:hAnsi="Times New Roman" w:eastAsia="宋体" w:cs="Times New Roman"/>
          <w:lang w:val="en-US" w:eastAsia="zh-CN"/>
        </w:rPr>
        <w:t>规定了</w:t>
      </w:r>
      <w:r>
        <w:rPr>
          <w:rFonts w:hint="eastAsia" w:ascii="宋体" w:hAnsi="Times New Roman" w:eastAsia="宋体" w:cs="Times New Roman"/>
          <w:lang w:eastAsia="zh-CN"/>
        </w:rPr>
        <w:t>有色金属行业</w:t>
      </w:r>
      <w:r>
        <w:rPr>
          <w:rFonts w:hint="eastAsia" w:ascii="宋体" w:hAnsi="Times New Roman" w:eastAsia="宋体" w:cs="Times New Roman"/>
          <w:lang w:val="en-US" w:eastAsia="zh-CN"/>
        </w:rPr>
        <w:t>工业</w:t>
      </w:r>
      <w:r>
        <w:rPr>
          <w:rFonts w:hint="eastAsia" w:ascii="宋体" w:hAnsi="Times New Roman" w:eastAsia="宋体" w:cs="Times New Roman"/>
          <w:lang w:eastAsia="zh-CN"/>
        </w:rPr>
        <w:t>数据分类分级</w:t>
      </w:r>
      <w:r>
        <w:rPr>
          <w:rFonts w:hint="eastAsia" w:ascii="宋体" w:hAnsi="Times New Roman" w:eastAsia="宋体" w:cs="Times New Roman"/>
          <w:lang w:val="en-US" w:eastAsia="zh-CN"/>
        </w:rPr>
        <w:t>的基本原则、规则</w:t>
      </w:r>
      <w:r>
        <w:rPr>
          <w:rFonts w:hint="eastAsia" w:hAnsi="Times New Roman" w:cs="Times New Roman"/>
          <w:lang w:val="en-US" w:eastAsia="zh-CN"/>
        </w:rPr>
        <w:t>和流程</w:t>
      </w:r>
      <w:r>
        <w:rPr>
          <w:rFonts w:hint="eastAsia" w:ascii="宋体" w:hAnsi="Times New Roman" w:eastAsia="宋体" w:cs="Times New Roman"/>
          <w:lang w:val="en-US" w:eastAsia="zh-CN"/>
        </w:rPr>
        <w:t>。</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本文件适用于有色金属行业采选、冶炼、加工企业参考本标准开展数据分类分级工作,同时为数据处理者进行数据分类分级提供参考。</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2  规范性引用文件</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rPr>
        <w:t>GB/T 36073—2018</w:t>
      </w:r>
      <w:r>
        <w:rPr>
          <w:rFonts w:hint="eastAsia" w:ascii="宋体" w:hAnsi="Times New Roman" w:eastAsia="宋体" w:cs="Times New Roman"/>
          <w:lang w:val="en-US" w:eastAsia="zh-CN"/>
        </w:rPr>
        <w:t xml:space="preserve"> 数据管理能力成熟度评估模型</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43697—2024</w:t>
      </w:r>
      <w:r>
        <w:rPr>
          <w:rFonts w:hint="eastAsia" w:ascii="宋体" w:hAnsi="Times New Roman" w:eastAsia="宋体" w:cs="Times New Roman"/>
          <w:lang w:val="en-US" w:eastAsia="zh-CN"/>
        </w:rPr>
        <w:t xml:space="preserve"> </w:t>
      </w:r>
      <w:r>
        <w:rPr>
          <w:rFonts w:hint="eastAsia" w:ascii="宋体" w:hAnsi="Times New Roman" w:eastAsia="宋体" w:cs="Times New Roman"/>
        </w:rPr>
        <w:t>数据安全技术 数据分类分级规则</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YD/T 4981—2024 工业领域重要数据识别指南</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3  术语和定义</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36073—2018和GB/T 43697—2024</w:t>
      </w:r>
      <w:r>
        <w:rPr>
          <w:rFonts w:hint="eastAsia" w:ascii="宋体" w:hAnsi="Times New Roman" w:eastAsia="宋体" w:cs="Times New Roman"/>
          <w:lang w:val="en-US" w:eastAsia="zh-CN"/>
        </w:rPr>
        <w:t>界定的</w:t>
      </w:r>
      <w:r>
        <w:rPr>
          <w:rFonts w:hint="eastAsia" w:ascii="宋体" w:hAnsi="Times New Roman" w:eastAsia="宋体" w:cs="Times New Roman"/>
        </w:rPr>
        <w:t>以及下列术语和定义适用于本</w:t>
      </w:r>
      <w:r>
        <w:rPr>
          <w:rFonts w:hint="eastAsia" w:ascii="宋体" w:hAnsi="Times New Roman" w:eastAsia="宋体" w:cs="Times New Roman"/>
          <w:lang w:val="en-US" w:eastAsia="zh-CN"/>
        </w:rPr>
        <w:t>文件</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3.1</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eastAsia="黑体"/>
          <w:lang w:val="en-US" w:eastAsia="zh-CN"/>
        </w:rPr>
      </w:pPr>
      <w:r>
        <w:rPr>
          <w:rFonts w:hint="eastAsia" w:ascii="黑体" w:hAnsi="黑体" w:eastAsia="黑体" w:cs="黑体"/>
          <w:b w:val="0"/>
          <w:bCs w:val="0"/>
          <w:lang w:val="en-US" w:eastAsia="zh-CN"/>
        </w:rPr>
        <w:t>工业</w:t>
      </w:r>
      <w:r>
        <w:rPr>
          <w:rFonts w:hint="eastAsia" w:ascii="黑体" w:hAnsi="黑体" w:eastAsia="黑体" w:cs="黑体"/>
          <w:b w:val="0"/>
          <w:bCs w:val="0"/>
        </w:rPr>
        <w:t xml:space="preserve">数据 </w:t>
      </w:r>
      <w:r>
        <w:rPr>
          <w:rFonts w:hint="eastAsia" w:ascii="黑体" w:hAnsi="黑体" w:eastAsia="黑体" w:cs="黑体"/>
          <w:b w:val="0"/>
          <w:bCs w:val="0"/>
          <w:lang w:val="en-US" w:eastAsia="zh-CN"/>
        </w:rPr>
        <w:t>industrial</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有色金属行业在研发设计、生产制造、经营管理、平台运营、应用服务等过程中产生或收集的数据</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3.2</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eastAsia="黑体"/>
          <w:lang w:val="en-US" w:eastAsia="zh-CN"/>
        </w:rPr>
      </w:pPr>
      <w:r>
        <w:rPr>
          <w:rFonts w:hint="eastAsia" w:ascii="黑体" w:hAnsi="黑体" w:eastAsia="黑体" w:cs="黑体"/>
          <w:b w:val="0"/>
          <w:bCs w:val="0"/>
        </w:rPr>
        <w:t xml:space="preserve">核心数据 </w:t>
      </w:r>
      <w:r>
        <w:rPr>
          <w:rFonts w:hint="eastAsia" w:ascii="黑体" w:hAnsi="黑体" w:eastAsia="黑体" w:cs="黑体"/>
          <w:b w:val="0"/>
          <w:bCs w:val="0"/>
          <w:lang w:val="en-US" w:eastAsia="zh-CN"/>
        </w:rPr>
        <w:t>c</w:t>
      </w:r>
      <w:r>
        <w:rPr>
          <w:rFonts w:hint="eastAsia" w:ascii="黑体" w:hAnsi="黑体" w:eastAsia="黑体" w:cs="黑体"/>
          <w:b w:val="0"/>
          <w:bCs w:val="0"/>
        </w:rPr>
        <w:t xml:space="preserve">ore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与有色金属行业生产经营密切相关，一旦遭到泄露、篡改、损毁、或者非法获取、非法使用、非法共享，对国家安全、社会秩序、经济运行和行业发展造成</w:t>
      </w:r>
      <w:r>
        <w:rPr>
          <w:rFonts w:hint="eastAsia" w:hAnsi="Times New Roman" w:cs="Times New Roman"/>
          <w:lang w:val="en-US" w:eastAsia="zh-CN"/>
        </w:rPr>
        <w:t>直接</w:t>
      </w:r>
      <w:r>
        <w:rPr>
          <w:rFonts w:hint="eastAsia" w:ascii="宋体" w:hAnsi="Times New Roman" w:eastAsia="宋体" w:cs="Times New Roman"/>
        </w:rPr>
        <w:t>危害</w:t>
      </w:r>
      <w:r>
        <w:rPr>
          <w:rFonts w:hint="eastAsia" w:ascii="宋体" w:hAnsi="Times New Roman" w:eastAsia="宋体" w:cs="Times New Roman"/>
          <w:lang w:val="en-US" w:eastAsia="zh-CN"/>
        </w:rPr>
        <w:t>或重</w:t>
      </w:r>
      <w:r>
        <w:rPr>
          <w:rFonts w:hint="eastAsia" w:ascii="宋体" w:hAnsi="Times New Roman" w:eastAsia="宋体" w:cs="Times New Roman"/>
        </w:rPr>
        <w:t>大风险</w:t>
      </w:r>
      <w:r>
        <w:rPr>
          <w:rFonts w:hint="eastAsia" w:ascii="宋体" w:hAnsi="Times New Roman" w:eastAsia="宋体" w:cs="Times New Roman"/>
          <w:lang w:val="en-US" w:eastAsia="zh-CN"/>
        </w:rPr>
        <w:t>的数据</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3.3</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重要数据 </w:t>
      </w:r>
      <w:r>
        <w:rPr>
          <w:rFonts w:hint="eastAsia" w:ascii="黑体" w:hAnsi="黑体" w:eastAsia="黑体" w:cs="黑体"/>
          <w:b w:val="0"/>
          <w:bCs w:val="0"/>
          <w:lang w:val="en-US" w:eastAsia="zh-CN"/>
        </w:rPr>
        <w:t>key</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与有色</w:t>
      </w:r>
      <w:r>
        <w:rPr>
          <w:rFonts w:hint="eastAsia" w:hAnsi="Times New Roman" w:cs="Times New Roman"/>
          <w:lang w:val="en-US" w:eastAsia="zh-CN"/>
        </w:rPr>
        <w:t>金属</w:t>
      </w:r>
      <w:r>
        <w:rPr>
          <w:rFonts w:hint="eastAsia" w:ascii="宋体" w:hAnsi="Times New Roman" w:eastAsia="宋体" w:cs="Times New Roman"/>
        </w:rPr>
        <w:t>行业生产经营密切相关</w:t>
      </w:r>
      <w:r>
        <w:rPr>
          <w:rFonts w:hint="eastAsia" w:ascii="宋体" w:hAnsi="Times New Roman" w:eastAsia="宋体" w:cs="Times New Roman"/>
          <w:lang w:val="en-US" w:eastAsia="zh-CN"/>
        </w:rPr>
        <w:t>，一旦遭到泄露、篡改、损毁、或者非法获取、非法使用、非法共享，对国家安全、社会秩序、经济运行和行业发展</w:t>
      </w:r>
      <w:r>
        <w:rPr>
          <w:rFonts w:hint="eastAsia" w:ascii="宋体" w:hAnsi="Times New Roman" w:eastAsia="宋体" w:cs="Times New Roman"/>
        </w:rPr>
        <w:t>造成</w:t>
      </w:r>
      <w:r>
        <w:rPr>
          <w:rFonts w:hint="eastAsia" w:ascii="宋体" w:hAnsi="Times New Roman" w:eastAsia="宋体" w:cs="Times New Roman"/>
          <w:lang w:val="en-US" w:eastAsia="zh-CN"/>
        </w:rPr>
        <w:t>较</w:t>
      </w:r>
      <w:r>
        <w:rPr>
          <w:rFonts w:hint="eastAsia" w:ascii="宋体" w:hAnsi="Times New Roman" w:eastAsia="宋体" w:cs="Times New Roman"/>
        </w:rPr>
        <w:t>大风险</w:t>
      </w:r>
      <w:r>
        <w:rPr>
          <w:rFonts w:hint="eastAsia" w:hAnsi="Times New Roman" w:cs="Times New Roman"/>
          <w:lang w:val="en-US" w:eastAsia="zh-CN"/>
        </w:rPr>
        <w:t>的数据</w:t>
      </w:r>
      <w:r>
        <w:rPr>
          <w:rFonts w:hint="eastAsia" w:ascii="宋体" w:hAnsi="Times New Roman" w:eastAsia="宋体" w:cs="Times New Roman"/>
        </w:rPr>
        <w:t>。</w:t>
      </w:r>
    </w:p>
    <w:p>
      <w:pPr>
        <w:pStyle w:val="30"/>
        <w:spacing w:line="360" w:lineRule="auto"/>
        <w:ind w:firstLine="420"/>
        <w:rPr>
          <w:rFonts w:hint="eastAsia" w:ascii="宋体" w:hAnsi="Times New Roman" w:eastAsia="宋体" w:cs="Times New Roma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只对企业自身而言重要的数据（如企业的内部管理相关数据等）不属于重要数据。</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3.4</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一般数据 </w:t>
      </w:r>
      <w:r>
        <w:rPr>
          <w:rFonts w:hint="eastAsia" w:ascii="黑体" w:hAnsi="黑体" w:eastAsia="黑体" w:cs="黑体"/>
          <w:b w:val="0"/>
          <w:bCs w:val="0"/>
          <w:lang w:val="en-US" w:eastAsia="zh-CN"/>
        </w:rPr>
        <w:t>g</w:t>
      </w:r>
      <w:r>
        <w:rPr>
          <w:rFonts w:hint="eastAsia" w:ascii="黑体" w:hAnsi="黑体" w:eastAsia="黑体" w:cs="黑体"/>
          <w:b w:val="0"/>
          <w:bCs w:val="0"/>
        </w:rPr>
        <w:t xml:space="preserve">eneral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核心数据</w:t>
      </w:r>
      <w:r>
        <w:rPr>
          <w:rFonts w:hint="eastAsia" w:ascii="宋体" w:hAnsi="Times New Roman" w:eastAsia="宋体" w:cs="Times New Roman"/>
          <w:lang w:eastAsia="zh-CN"/>
        </w:rPr>
        <w:t>、</w:t>
      </w:r>
      <w:r>
        <w:rPr>
          <w:rFonts w:hint="eastAsia" w:ascii="宋体" w:hAnsi="Times New Roman" w:eastAsia="宋体" w:cs="Times New Roman"/>
        </w:rPr>
        <w:t>重要数据之外的其他数据。</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43697—2024</w:t>
      </w:r>
      <w:r>
        <w:rPr>
          <w:rFonts w:hint="eastAsia" w:ascii="宋体" w:hAnsi="Times New Roman" w:eastAsia="宋体" w:cs="Times New Roman"/>
          <w:lang w:val="en-US" w:eastAsia="zh-CN"/>
        </w:rPr>
        <w:t>,3.4,有修改]</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3.5</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数据处理者 </w:t>
      </w:r>
      <w:r>
        <w:rPr>
          <w:rFonts w:hint="eastAsia" w:ascii="黑体" w:hAnsi="黑体" w:eastAsia="黑体" w:cs="黑体"/>
          <w:b w:val="0"/>
          <w:bCs w:val="0"/>
          <w:lang w:val="en-US" w:eastAsia="zh-CN"/>
        </w:rPr>
        <w:t>d</w:t>
      </w:r>
      <w:r>
        <w:rPr>
          <w:rFonts w:hint="eastAsia" w:ascii="黑体" w:hAnsi="黑体" w:eastAsia="黑体" w:cs="黑体"/>
          <w:b w:val="0"/>
          <w:bCs w:val="0"/>
        </w:rPr>
        <w:t xml:space="preserve">ata </w:t>
      </w:r>
      <w:r>
        <w:rPr>
          <w:rFonts w:hint="eastAsia" w:ascii="黑体" w:hAnsi="黑体" w:eastAsia="黑体" w:cs="黑体"/>
          <w:b w:val="0"/>
          <w:bCs w:val="0"/>
          <w:lang w:val="en-US" w:eastAsia="zh-CN"/>
        </w:rPr>
        <w:t>p</w:t>
      </w:r>
      <w:r>
        <w:rPr>
          <w:rFonts w:hint="eastAsia" w:ascii="黑体" w:hAnsi="黑体" w:eastAsia="黑体" w:cs="黑体"/>
          <w:b w:val="0"/>
          <w:bCs w:val="0"/>
        </w:rPr>
        <w:t>rocessor</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在数据处理活动中自主决定数据处理目的</w:t>
      </w:r>
      <w:r>
        <w:rPr>
          <w:rFonts w:hint="eastAsia" w:ascii="宋体" w:hAnsi="Times New Roman" w:eastAsia="宋体" w:cs="Times New Roman"/>
          <w:lang w:eastAsia="zh-CN"/>
        </w:rPr>
        <w:t>、</w:t>
      </w:r>
      <w:r>
        <w:rPr>
          <w:rFonts w:hint="eastAsia" w:ascii="宋体" w:hAnsi="Times New Roman" w:eastAsia="宋体" w:cs="Times New Roman"/>
          <w:lang w:val="en-US" w:eastAsia="zh-CN"/>
        </w:rPr>
        <w:t>处理</w:t>
      </w:r>
      <w:r>
        <w:rPr>
          <w:rFonts w:hint="eastAsia" w:ascii="宋体" w:hAnsi="Times New Roman" w:eastAsia="宋体" w:cs="Times New Roman"/>
        </w:rPr>
        <w:t>方式的</w:t>
      </w:r>
      <w:r>
        <w:rPr>
          <w:rFonts w:hint="eastAsia" w:ascii="宋体" w:hAnsi="Times New Roman" w:eastAsia="宋体" w:cs="Times New Roman"/>
          <w:lang w:val="en-US" w:eastAsia="zh-CN"/>
        </w:rPr>
        <w:t>有色金属行业各类</w:t>
      </w:r>
      <w:r>
        <w:rPr>
          <w:rFonts w:hint="eastAsia" w:ascii="宋体" w:hAnsi="Times New Roman" w:eastAsia="宋体" w:cs="Times New Roman"/>
        </w:rPr>
        <w:t>主体。</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43697—2024</w:t>
      </w:r>
      <w:r>
        <w:rPr>
          <w:rFonts w:hint="eastAsia" w:ascii="宋体" w:hAnsi="Times New Roman" w:eastAsia="宋体" w:cs="Times New Roman"/>
          <w:lang w:val="en-US" w:eastAsia="zh-CN"/>
        </w:rPr>
        <w:t>,3.11,有修改]</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3.6</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数据安全 data security</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数据的机密性、完整性和可用性</w:t>
      </w:r>
      <w:r>
        <w:rPr>
          <w:rFonts w:hint="eastAsia" w:ascii="宋体" w:hAnsi="Times New Roman" w:eastAsia="宋体" w:cs="Times New Roman"/>
        </w:rPr>
        <w:t>。</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[来源：</w:t>
      </w:r>
      <w:r>
        <w:rPr>
          <w:rFonts w:hint="eastAsia" w:ascii="宋体" w:hAnsi="Times New Roman" w:eastAsia="宋体" w:cs="Times New Roman"/>
        </w:rPr>
        <w:t>GB/T 36073—2018</w:t>
      </w:r>
      <w:r>
        <w:rPr>
          <w:rFonts w:hint="eastAsia" w:ascii="宋体" w:hAnsi="Times New Roman" w:eastAsia="宋体" w:cs="Times New Roman"/>
          <w:lang w:val="en-US" w:eastAsia="zh-CN"/>
        </w:rPr>
        <w:t>,3.11]</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4  基本原则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36"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i w:val="0"/>
          <w:iCs w:val="0"/>
          <w:caps w:val="0"/>
          <w:color w:val="060607"/>
          <w:spacing w:val="4"/>
          <w:sz w:val="21"/>
          <w:szCs w:val="21"/>
          <w:shd w:val="clear" w:fill="FFFFFF"/>
        </w:rPr>
        <w:t>有色金属行业工业数据分类分级</w:t>
      </w:r>
      <w:r>
        <w:rPr>
          <w:rFonts w:hint="eastAsia" w:ascii="宋体" w:hAnsi="宋体" w:eastAsia="宋体" w:cs="宋体"/>
          <w:i w:val="0"/>
          <w:iCs w:val="0"/>
          <w:caps w:val="0"/>
          <w:color w:val="060607"/>
          <w:spacing w:val="4"/>
          <w:sz w:val="21"/>
          <w:szCs w:val="21"/>
          <w:shd w:val="clear" w:fill="FFFFFF"/>
          <w:lang w:val="en-US" w:eastAsia="zh-CN"/>
        </w:rPr>
        <w:t>除</w:t>
      </w:r>
      <w:r>
        <w:rPr>
          <w:rFonts w:hint="eastAsia" w:ascii="宋体" w:hAnsi="宋体" w:eastAsia="宋体" w:cs="宋体"/>
          <w:color w:val="000000"/>
          <w:kern w:val="0"/>
          <w:sz w:val="21"/>
          <w:szCs w:val="21"/>
          <w:lang w:val="en-US" w:eastAsia="zh-CN" w:bidi="ar"/>
        </w:rPr>
        <w:t>遵循</w:t>
      </w:r>
      <w:r>
        <w:rPr>
          <w:rFonts w:hint="eastAsia" w:ascii="宋体" w:hAnsi="宋体" w:eastAsia="宋体" w:cs="宋体"/>
        </w:rPr>
        <w:t>GB/T 43697</w:t>
      </w:r>
      <w:r>
        <w:rPr>
          <w:rFonts w:hint="eastAsia" w:ascii="宋体" w:hAnsi="宋体" w:eastAsia="宋体" w:cs="宋体"/>
          <w:i w:val="0"/>
          <w:iCs w:val="0"/>
          <w:caps w:val="0"/>
          <w:color w:val="060607"/>
          <w:spacing w:val="4"/>
          <w:sz w:val="21"/>
          <w:szCs w:val="21"/>
          <w:shd w:val="clear" w:fill="FFFFFF"/>
          <w:lang w:val="en-US" w:eastAsia="zh-CN"/>
        </w:rPr>
        <w:t>基本原则</w:t>
      </w:r>
      <w:r>
        <w:rPr>
          <w:rFonts w:hint="eastAsia" w:ascii="宋体" w:hAnsi="宋体" w:eastAsia="宋体" w:cs="宋体"/>
          <w:lang w:val="en-US" w:eastAsia="zh-CN"/>
        </w:rPr>
        <w:t>外，在重要数据识别上还应当</w:t>
      </w:r>
      <w:r>
        <w:rPr>
          <w:rFonts w:hint="eastAsia" w:ascii="宋体" w:hAnsi="宋体" w:eastAsia="宋体" w:cs="宋体"/>
          <w:color w:val="000000"/>
          <w:kern w:val="0"/>
          <w:sz w:val="21"/>
          <w:szCs w:val="21"/>
          <w:lang w:val="en-US" w:eastAsia="zh-CN" w:bidi="ar"/>
        </w:rPr>
        <w:t>遵循</w:t>
      </w:r>
      <w:r>
        <w:rPr>
          <w:rFonts w:hint="eastAsia" w:ascii="宋体" w:hAnsi="宋体" w:eastAsia="宋体" w:cs="宋体"/>
          <w:lang w:val="en-US" w:eastAsia="zh-CN"/>
        </w:rPr>
        <w:t>以下原则</w:t>
      </w:r>
      <w:r>
        <w:rPr>
          <w:rFonts w:hint="eastAsia" w:ascii="宋体" w:hAnsi="宋体" w:eastAsia="宋体" w:cs="宋体"/>
          <w:color w:val="000000"/>
          <w:kern w:val="0"/>
          <w:sz w:val="21"/>
          <w:szCs w:val="21"/>
          <w:lang w:bidi="ar"/>
        </w:rPr>
        <w:t>。</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安全风险影响原则：从国家安全、社会秩序、经济运行和行业发展等角度识别工业数据的影响力，数据一旦被泄露、篡改、损毁、非法获取或非法使用，对国家、社会、经济和行业造成的安全事故风险和经济损失程度；</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定性定量结合原则：以定性与定量相结合的方式识别重要数据，并根据具体数据类</w:t>
      </w:r>
      <w:r>
        <w:rPr>
          <w:rStyle w:val="12"/>
          <w:rFonts w:hint="eastAsia" w:ascii="宋体" w:hAnsi="宋体" w:cs="宋体"/>
          <w:b w:val="0"/>
          <w:bCs w:val="0"/>
          <w:i w:val="0"/>
          <w:iCs w:val="0"/>
          <w:caps w:val="0"/>
          <w:color w:val="060607"/>
          <w:spacing w:val="4"/>
          <w:kern w:val="0"/>
          <w:sz w:val="21"/>
          <w:szCs w:val="21"/>
          <w:shd w:val="clear" w:fill="FFFFFF"/>
          <w:vertAlign w:val="baseline"/>
          <w:lang w:val="en-US" w:eastAsia="zh-CN" w:bidi="ar"/>
        </w:rPr>
        <w:t>别</w:t>
      </w: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、数据用途、数据来源采取不同的定性或定量方法。</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5  数据分类规则</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5.1 数据分类框架</w:t>
      </w:r>
    </w:p>
    <w:p>
      <w:pPr>
        <w:pStyle w:val="30"/>
        <w:keepNext w:val="0"/>
        <w:keepLines w:val="0"/>
        <w:pageBreakBefore w:val="0"/>
        <w:widowControl/>
        <w:kinsoku/>
        <w:wordWrap/>
        <w:overflowPunct/>
        <w:topLinePunct w:val="0"/>
        <w:autoSpaceDE w:val="0"/>
        <w:autoSpaceDN w:val="0"/>
        <w:bidi w:val="0"/>
        <w:adjustRightInd/>
        <w:snapToGrid/>
        <w:spacing w:line="360" w:lineRule="auto"/>
        <w:ind w:left="0" w:leftChars="0" w:firstLine="436" w:firstLineChars="200"/>
        <w:textAlignment w:val="auto"/>
        <w:rPr>
          <w:rFonts w:hint="default" w:ascii="Helvetica" w:hAnsi="Helvetica" w:eastAsia="宋体" w:cs="Helvetica"/>
          <w:i w:val="0"/>
          <w:iCs w:val="0"/>
          <w:caps w:val="0"/>
          <w:color w:val="060607"/>
          <w:spacing w:val="4"/>
          <w:sz w:val="21"/>
          <w:szCs w:val="21"/>
          <w:shd w:val="clear" w:fill="FFFFFF"/>
          <w:lang w:val="en-US" w:eastAsia="zh-CN"/>
        </w:rPr>
      </w:pPr>
      <w:r>
        <w:rPr>
          <w:rFonts w:hint="eastAsia" w:ascii="Helvetica" w:hAnsi="Helvetica" w:eastAsia="Helvetica" w:cs="Helvetica"/>
          <w:i w:val="0"/>
          <w:iCs w:val="0"/>
          <w:caps w:val="0"/>
          <w:color w:val="060607"/>
          <w:spacing w:val="4"/>
          <w:sz w:val="21"/>
          <w:szCs w:val="21"/>
          <w:shd w:val="clear" w:fill="FFFFFF"/>
        </w:rPr>
        <w:t>有色金属行业的数据分类框架应结合行业特点，</w:t>
      </w:r>
      <w:r>
        <w:rPr>
          <w:rFonts w:hint="eastAsia" w:ascii="Helvetica" w:hAnsi="Helvetica" w:eastAsia="宋体" w:cs="Helvetica"/>
          <w:i w:val="0"/>
          <w:iCs w:val="0"/>
          <w:caps w:val="0"/>
          <w:color w:val="060607"/>
          <w:spacing w:val="4"/>
          <w:sz w:val="21"/>
          <w:szCs w:val="21"/>
          <w:shd w:val="clear" w:fill="FFFFFF"/>
          <w:lang w:val="en-US" w:eastAsia="zh-CN"/>
        </w:rPr>
        <w:t>按照</w:t>
      </w:r>
      <w:r>
        <w:rPr>
          <w:rFonts w:hint="eastAsia" w:ascii="Helvetica" w:hAnsi="Helvetica" w:eastAsia="Helvetica" w:cs="Helvetica"/>
          <w:i w:val="0"/>
          <w:iCs w:val="0"/>
          <w:caps w:val="0"/>
          <w:color w:val="060607"/>
          <w:spacing w:val="4"/>
          <w:sz w:val="21"/>
          <w:szCs w:val="21"/>
          <w:shd w:val="clear" w:fill="FFFFFF"/>
        </w:rPr>
        <w:t>业务属性进行细</w:t>
      </w:r>
      <w:r>
        <w:rPr>
          <w:rFonts w:hint="eastAsia" w:ascii="Helvetica" w:hAnsi="Helvetica" w:eastAsia="宋体" w:cs="Helvetica"/>
          <w:i w:val="0"/>
          <w:iCs w:val="0"/>
          <w:caps w:val="0"/>
          <w:color w:val="060607"/>
          <w:spacing w:val="4"/>
          <w:sz w:val="21"/>
          <w:szCs w:val="21"/>
          <w:shd w:val="clear" w:fill="FFFFFF"/>
          <w:lang w:val="en-US" w:eastAsia="zh-CN"/>
        </w:rPr>
        <w:t>化</w:t>
      </w:r>
      <w:r>
        <w:rPr>
          <w:rFonts w:hint="eastAsia" w:ascii="Helvetica" w:hAnsi="Helvetica" w:eastAsia="Helvetica" w:cs="Helvetica"/>
          <w:i w:val="0"/>
          <w:iCs w:val="0"/>
          <w:caps w:val="0"/>
          <w:color w:val="060607"/>
          <w:spacing w:val="4"/>
          <w:sz w:val="21"/>
          <w:szCs w:val="21"/>
          <w:shd w:val="clear" w:fill="FFFFFF"/>
        </w:rPr>
        <w:t>分</w:t>
      </w:r>
      <w:r>
        <w:rPr>
          <w:rFonts w:hint="eastAsia" w:ascii="Helvetica" w:hAnsi="Helvetica" w:eastAsia="宋体" w:cs="Helvetica"/>
          <w:i w:val="0"/>
          <w:iCs w:val="0"/>
          <w:caps w:val="0"/>
          <w:color w:val="060607"/>
          <w:spacing w:val="4"/>
          <w:sz w:val="21"/>
          <w:szCs w:val="21"/>
          <w:shd w:val="clear" w:fill="FFFFFF"/>
          <w:lang w:val="en-US" w:eastAsia="zh-CN"/>
        </w:rPr>
        <w:t>类。</w:t>
      </w:r>
      <w:r>
        <w:rPr>
          <w:rFonts w:hint="default" w:ascii="Helvetica" w:hAnsi="Helvetica" w:eastAsia="宋体" w:cs="Helvetica"/>
          <w:i w:val="0"/>
          <w:iCs w:val="0"/>
          <w:caps w:val="0"/>
          <w:color w:val="060607"/>
          <w:spacing w:val="4"/>
          <w:sz w:val="21"/>
          <w:szCs w:val="21"/>
          <w:shd w:val="clear" w:fill="FFFFFF"/>
          <w:lang w:val="en-US" w:eastAsia="zh-CN"/>
        </w:rPr>
        <w:t>常见业务属性包括但不限于</w:t>
      </w:r>
      <w:r>
        <w:rPr>
          <w:rFonts w:hint="eastAsia" w:ascii="Helvetica" w:hAnsi="Helvetica" w:cs="Helvetica"/>
          <w:i w:val="0"/>
          <w:iCs w:val="0"/>
          <w:caps w:val="0"/>
          <w:color w:val="060607"/>
          <w:spacing w:val="4"/>
          <w:sz w:val="21"/>
          <w:szCs w:val="21"/>
          <w:shd w:val="clear" w:fill="FFFFFF"/>
          <w:lang w:val="en-US" w:eastAsia="zh-CN"/>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业务领域</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按照业务范围、业务种类或业务功能进行细化分类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注1：</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按照有色金属行业业务领域分为轻金属、重金属、稀有金属</w:t>
      </w:r>
      <w:r>
        <w:rPr>
          <w:rStyle w:val="12"/>
          <w:rFonts w:hint="eastAsia" w:ascii="宋体" w:hAnsi="宋体" w:cs="宋体"/>
          <w:b w:val="0"/>
          <w:bCs w:val="0"/>
          <w:i w:val="0"/>
          <w:iCs w:val="0"/>
          <w:caps w:val="0"/>
          <w:color w:val="060607"/>
          <w:spacing w:val="4"/>
          <w:kern w:val="0"/>
          <w:sz w:val="18"/>
          <w:szCs w:val="18"/>
          <w:shd w:val="clear" w:fill="FFFFFF"/>
          <w:vertAlign w:val="baseline"/>
          <w:lang w:val="en-US" w:eastAsia="zh-CN" w:bidi="ar"/>
        </w:rPr>
        <w:t>、粉末冶金</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流程环节</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按照业务流程、产业链环节进行细化分类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t>注</w:t>
      </w: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2：</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按照有色金属行业特性，流程环节分为采选、冶炼、加工。</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描述对象</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按照数据描述的对象进行细化分类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注3：</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按照描述对象分为研发设计、生产制造、经营管理、运行维护、平台运营、应用服务。</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除以上外，还可按照</w:t>
      </w:r>
      <w:r>
        <w:rPr>
          <w:rFonts w:hint="default" w:ascii="Times New Roman" w:hAnsi="Times New Roman" w:eastAsia="宋体" w:cs="Times New Roman"/>
          <w:lang w:val="en-US" w:eastAsia="zh-CN"/>
        </w:rPr>
        <w:t>内容主题</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数据用途</w:t>
      </w:r>
      <w:r>
        <w:rPr>
          <w:rFonts w:hint="eastAsia" w:ascii="Times New Roman" w:hAnsi="Times New Roman" w:eastAsia="宋体" w:cs="Times New Roman"/>
          <w:lang w:val="en-US" w:eastAsia="zh-CN"/>
        </w:rPr>
        <w:t>、数据处理、</w:t>
      </w:r>
      <w:r>
        <w:rPr>
          <w:rFonts w:hint="default" w:ascii="Times New Roman" w:hAnsi="Times New Roman" w:eastAsia="宋体" w:cs="Times New Roman"/>
          <w:lang w:val="en-US" w:eastAsia="zh-CN"/>
        </w:rPr>
        <w:t>数据来源</w:t>
      </w:r>
      <w:r>
        <w:rPr>
          <w:rFonts w:hint="eastAsia" w:ascii="Times New Roman" w:hAnsi="Times New Roman" w:eastAsia="宋体" w:cs="Times New Roman"/>
          <w:lang w:val="en-US" w:eastAsia="zh-CN"/>
        </w:rPr>
        <w:t>等属性</w:t>
      </w:r>
      <w:r>
        <w:rPr>
          <w:rFonts w:hint="default" w:ascii="Times New Roman" w:hAnsi="Times New Roman" w:eastAsia="宋体" w:cs="Times New Roman"/>
          <w:lang w:val="en-US" w:eastAsia="zh-CN"/>
        </w:rPr>
        <w:t>进行细化分类</w:t>
      </w:r>
      <w:r>
        <w:rPr>
          <w:rFonts w:hint="eastAsia" w:ascii="Times New Roman" w:hAnsi="Times New Roman" w:eastAsia="宋体" w:cs="Times New Roman"/>
          <w:lang w:val="en-US" w:eastAsia="zh-CN"/>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如涉及法律法规有专门管理要求的数据类别，应按照有关规定和标准进行识别和分类。</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r>
        <w:rPr>
          <w:rFonts w:hint="eastAsia" w:ascii="黑体" w:hAnsi="黑体" w:cs="黑体"/>
          <w:b w:val="0"/>
          <w:bCs w:val="0"/>
          <w:lang w:val="en-US" w:eastAsia="zh-CN"/>
        </w:rPr>
        <w:t>5.2 数据分类方法</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数据分类应根据数据管理和使用需求，结合已有数据分类基础，灵活选择业务属性将数据细化分类。有色金属行业企业可参考以下步骤开展工业数据分类。</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明确数据范围：企业可根据业务范围以及在产业链中所处流程环节，明确管理的数据范围；</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细化业务分类：企业可结合部门职责分工、管理模式、业务流程等，细化或明确各业务条线的业务分类；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注1：</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按照业务条线可分为研发设计、生产制造、供应链管理、环保与安全、设备与能源、运行与维护、数据管理与服务。</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业务属性分类：选择合适的业务属性，对关键业务的数据进行细化分类；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注2：</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常用的业务属性包括业务领域、责任主体、流程环节、描述对象等。</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确定分类规则：梳理分析各关键业务的数据分类结果，根据数据管理和使用需求，</w:t>
      </w:r>
      <w:r>
        <w:rPr>
          <w:rFonts w:hint="eastAsia" w:ascii="宋体" w:hAnsi="宋体" w:eastAsia="宋体" w:cs="Times New Roman"/>
          <w:lang w:val="en-US" w:eastAsia="zh-CN"/>
        </w:rPr>
        <w:t>可采取“业务条线—关键业务—业务属性分类”的方式给出数据分类规则，或对关键业务的数据分类结果进行归类分析，将具有相似主题的数据子类进行归类。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注3：</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以冶炼企业为例，数据按照描述对象方法,可分为研发设计数据、生产制造数据、经营管理数据、运行维护数据等，生产制造数据细分为生产监控数据、控制信息、工况状态、工艺参数等，以熔炼配料数据为例，数据类别可标识为“冶炼数据-生产制造数据-工艺参数数据”。</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6  数据分级规则</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r>
        <w:rPr>
          <w:rFonts w:hint="eastAsia" w:ascii="黑体" w:hAnsi="黑体" w:cs="黑体"/>
          <w:b w:val="0"/>
          <w:bCs w:val="0"/>
          <w:lang w:val="en-US" w:eastAsia="zh-CN"/>
        </w:rPr>
        <w:t>6.1 数据分级框架</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根据数据在国家安全、社会秩序、经济运行和行业发展的重要程度，以及一旦遭到泄露、篡改、损毁、或者非法获取、非法使用、非法共享,对国家安全、社会秩序、经济运行和行业发展造成的危害程度，将数据从高到低分为核心数据、重要数据、一般数据三个级别。</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r>
        <w:rPr>
          <w:rFonts w:hint="eastAsia" w:ascii="黑体" w:hAnsi="黑体" w:cs="黑体"/>
          <w:b w:val="0"/>
          <w:bCs w:val="0"/>
          <w:lang w:val="en-US" w:eastAsia="zh-CN"/>
        </w:rPr>
        <w:t>6.2 数据分级方法</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数据分级是为了确保数据在全生命周期内的安全性和合规性，有色金属行业采选、冶炼、加工企业可参考以下步骤进行</w:t>
      </w:r>
      <w:r>
        <w:rPr>
          <w:rFonts w:hint="eastAsia"/>
          <w:lang w:val="en-US" w:eastAsia="zh-CN"/>
        </w:rPr>
        <w:t>数据分级</w:t>
      </w:r>
      <w:r>
        <w:rPr>
          <w:rFonts w:hint="default"/>
          <w:lang w:val="en-US" w:eastAsia="zh-CN"/>
        </w:rPr>
        <w:t>。</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rPr>
      </w:pPr>
      <w:r>
        <w:rPr>
          <w:rFonts w:hint="default"/>
          <w:lang w:val="en-US" w:eastAsia="zh-CN"/>
        </w:rPr>
        <w:t>确定分级对象：明确待分级的数据对象，包括但不限于数据项、数据集、衍生数据等</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10" w:leftChars="397" w:hanging="376" w:hangingChars="20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数据项通常表现为数据库表中的某一列字段，例如铜冶炼工艺参数中的电流密度。数据集是由多个数据记录组成的集合，如数据库表、数据文件或生产过程中的实时监测数据集合</w:t>
      </w: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衍生数据是指基于原始数据（包括数据项、数据集等）经过统计、关联、挖掘、聚合、去标识化等加工活动而产生的新数据。</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rPr>
      </w:pPr>
      <w:r>
        <w:rPr>
          <w:rFonts w:hint="eastAsia" w:ascii="宋体" w:hAnsi="宋体" w:cs="宋体"/>
          <w:lang w:val="en-US" w:eastAsia="zh-CN"/>
        </w:rPr>
        <w:t>重要数据</w:t>
      </w:r>
      <w:r>
        <w:rPr>
          <w:rFonts w:hint="eastAsia" w:ascii="宋体" w:hAnsi="宋体" w:eastAsia="宋体" w:cs="宋体"/>
          <w:lang w:val="en-US" w:eastAsia="zh-CN"/>
        </w:rPr>
        <w:t>识别：结合有色金属行业的数据特点，</w:t>
      </w:r>
      <w:r>
        <w:rPr>
          <w:rFonts w:hint="eastAsia" w:ascii="宋体" w:hAnsi="宋体" w:cs="宋体"/>
          <w:lang w:val="en-US" w:eastAsia="zh-CN"/>
        </w:rPr>
        <w:t>按照6.3进行重要数据</w:t>
      </w:r>
      <w:r>
        <w:rPr>
          <w:rFonts w:hint="eastAsia" w:ascii="宋体" w:hAnsi="宋体" w:eastAsia="宋体" w:cs="宋体"/>
          <w:lang w:val="en-US" w:eastAsia="zh-CN"/>
        </w:rPr>
        <w:t>识别，分析数据在遭到</w:t>
      </w:r>
      <w:r>
        <w:rPr>
          <w:rFonts w:hint="eastAsia" w:ascii="宋体" w:hAnsi="宋体" w:eastAsia="宋体" w:cs="Times New Roman"/>
          <w:lang w:val="en-US" w:eastAsia="zh-CN"/>
        </w:rPr>
        <w:t>泄露、篡改、损毁、或者非法获取、非法使用、非法共享</w:t>
      </w:r>
      <w:r>
        <w:rPr>
          <w:rFonts w:hint="eastAsia" w:ascii="宋体" w:hAnsi="宋体" w:eastAsia="宋体" w:cs="宋体"/>
          <w:lang w:val="en-US" w:eastAsia="zh-CN"/>
        </w:rPr>
        <w:t>时</w:t>
      </w:r>
      <w:r>
        <w:rPr>
          <w:rFonts w:hint="eastAsia" w:ascii="宋体" w:hAnsi="宋体" w:cs="宋体"/>
          <w:lang w:val="en-US" w:eastAsia="zh-CN"/>
        </w:rPr>
        <w:t>，</w:t>
      </w:r>
      <w:r>
        <w:rPr>
          <w:rFonts w:hint="eastAsia" w:ascii="宋体" w:hAnsi="宋体" w:eastAsia="宋体" w:cs="宋体"/>
          <w:lang w:val="en-US" w:eastAsia="zh-CN"/>
        </w:rPr>
        <w:t>可能影响的对象（如国家安全、经济运行、社会秩序、</w:t>
      </w:r>
      <w:r>
        <w:rPr>
          <w:rFonts w:hint="eastAsia" w:ascii="宋体" w:hAnsi="宋体" w:cs="宋体"/>
          <w:lang w:val="en-US" w:eastAsia="zh-CN"/>
        </w:rPr>
        <w:t>行业发展</w:t>
      </w:r>
      <w:r>
        <w:rPr>
          <w:rFonts w:hint="eastAsia" w:ascii="宋体" w:hAnsi="宋体" w:eastAsia="宋体" w:cs="宋体"/>
          <w:lang w:val="en-US" w:eastAsia="zh-CN"/>
        </w:rPr>
        <w:t>）及影响程度（特别严重危害、严重危害、一般危害）</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rPr>
      </w:pPr>
      <w:r>
        <w:rPr>
          <w:rFonts w:hint="eastAsia" w:ascii="宋体" w:hAnsi="宋体" w:eastAsia="宋体" w:cs="宋体"/>
          <w:lang w:val="en-US" w:eastAsia="zh-CN"/>
        </w:rPr>
        <w:t>综合确定级别：综合考虑数据的分级</w:t>
      </w:r>
      <w:r>
        <w:rPr>
          <w:rFonts w:hint="eastAsia" w:ascii="宋体" w:hAnsi="宋体" w:cs="宋体"/>
          <w:lang w:val="en-US" w:eastAsia="zh-CN"/>
        </w:rPr>
        <w:t>维度</w:t>
      </w:r>
      <w:r>
        <w:rPr>
          <w:rFonts w:hint="eastAsia" w:ascii="宋体" w:hAnsi="宋体" w:eastAsia="宋体" w:cs="宋体"/>
          <w:lang w:val="en-US" w:eastAsia="zh-CN"/>
        </w:rPr>
        <w:t>和影响分析结果，确定数据的级别。在确定级别时，如涉及多个要素、多个影响对象或影响程度</w:t>
      </w:r>
      <w:r>
        <w:rPr>
          <w:rFonts w:hint="eastAsia" w:ascii="宋体" w:hAnsi="宋体" w:cs="宋体"/>
          <w:lang w:val="en-US" w:eastAsia="zh-CN"/>
        </w:rPr>
        <w:t>，</w:t>
      </w:r>
      <w:r>
        <w:rPr>
          <w:rFonts w:hint="eastAsia" w:ascii="宋体" w:hAnsi="宋体" w:eastAsia="宋体" w:cs="宋体"/>
          <w:lang w:val="en-US" w:eastAsia="zh-CN"/>
        </w:rPr>
        <w:t>应遵循“就高从严”的原则，确保数据分级的科学性和安全性。</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6.3 重要数据识别维度</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eastAsia" w:ascii="黑体" w:hAnsi="黑体" w:cs="黑体"/>
          <w:b w:val="0"/>
          <w:bCs w:val="0"/>
          <w:lang w:val="en-US" w:eastAsia="zh-CN"/>
        </w:rPr>
      </w:pPr>
      <w:r>
        <w:rPr>
          <w:rFonts w:hint="eastAsia" w:ascii="黑体" w:hAnsi="黑体" w:cs="黑体"/>
          <w:b w:val="0"/>
          <w:bCs w:val="0"/>
          <w:lang w:val="en-US" w:eastAsia="zh-CN"/>
        </w:rPr>
        <w:t>6.3.1 概述</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lang w:val="en-US" w:eastAsia="zh-CN"/>
        </w:rPr>
      </w:pPr>
      <w:r>
        <w:rPr>
          <w:rFonts w:hint="eastAsia" w:ascii="宋体" w:hAnsi="宋体" w:eastAsia="宋体" w:cs="Times New Roman"/>
          <w:lang w:val="en-US" w:eastAsia="zh-CN"/>
        </w:rPr>
        <w:t>有色金属行业工业数据识别维度包括与国家秘密生成相关、与国家安全相关、与行业发展相关、与工业领域出口管制物项相关、与行业特色相关、其他，按照数据与分级维度的相符性确定数据为核心数据、重要数据或一般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6.3.2 与国家秘密生成相关</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有色金属行业与国家秘密相关的或在生成国家秘密的过程中所使用分析的原始非密数据。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6.3.3 与国家安全相关</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lang w:val="en-US" w:eastAsia="zh-CN"/>
        </w:rPr>
      </w:pPr>
      <w:r>
        <w:rPr>
          <w:rFonts w:hint="eastAsia" w:ascii="宋体" w:hAnsi="宋体" w:eastAsia="宋体" w:cs="Times New Roman"/>
          <w:lang w:val="en-US" w:eastAsia="zh-CN"/>
        </w:rPr>
        <w:t>数据</w:t>
      </w:r>
      <w:r>
        <w:rPr>
          <w:rFonts w:hint="eastAsia" w:ascii="宋体" w:hAnsi="宋体" w:eastAsia="宋体" w:cs="宋体"/>
          <w:lang w:val="en-US" w:eastAsia="zh-CN"/>
        </w:rPr>
        <w:t>遭到</w:t>
      </w:r>
      <w:r>
        <w:rPr>
          <w:rFonts w:hint="eastAsia" w:ascii="宋体" w:hAnsi="宋体" w:eastAsia="宋体" w:cs="Times New Roman"/>
          <w:lang w:val="en-US" w:eastAsia="zh-CN"/>
        </w:rPr>
        <w:t>泄露、篡改、损毁、或者非法获取、非法使用、非法共享，对政治、国土、军事、经济、文化、社会、科技、生态、资源、海外利益、人工智能等国家安全相关领域造成严重影响的工业数据属于重要数据，包括但不限于：</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与国家经济安全相关：经汇聚、分析后能够推算未公开的国家经济运行情况的相关行业数据，如未公开的重点有色金属企业的进出口量及流向数据</w:t>
      </w:r>
      <w:r>
        <w:rPr>
          <w:rFonts w:hint="eastAsia" w:ascii="Helvetica" w:hAnsi="Helvetica" w:eastAsia="宋体" w:cs="Helvetica"/>
          <w:i w:val="0"/>
          <w:iCs w:val="0"/>
          <w:caps w:val="0"/>
          <w:color w:val="060607"/>
          <w:spacing w:val="4"/>
          <w:sz w:val="21"/>
          <w:szCs w:val="21"/>
          <w:shd w:val="clear" w:fill="FFFFFF"/>
          <w:lang w:val="en-US"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与国家科技安全相关，包括但不限于：</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与国家安全直接相关的有色金属行业领域国家科技计划（含国家重大专项、重点研发计划）项目在规划和实施过程中产生的，涉及国家安全和社会发展利益的数据，国家专项范围相关可行性研究报告、建设方案、科研数据、科技成果、产品技术研发路线以及相关知识产权数据</w:t>
      </w:r>
      <w:r>
        <w:rPr>
          <w:rFonts w:hint="eastAsia"/>
          <w:lang w:eastAsia="zh-CN"/>
        </w:rPr>
        <w:t>；</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eastAsia="zh-CN"/>
        </w:rPr>
        <w:t>《</w:t>
      </w:r>
      <w:r>
        <w:rPr>
          <w:rFonts w:hint="eastAsia"/>
          <w:lang w:val="en-US" w:eastAsia="zh-CN"/>
        </w:rPr>
        <w:t>中国禁止出口限购出口技术目录</w:t>
      </w:r>
      <w:r>
        <w:rPr>
          <w:rFonts w:hint="eastAsia"/>
          <w:lang w:eastAsia="zh-CN"/>
        </w:rPr>
        <w:t>》</w:t>
      </w:r>
      <w:r>
        <w:rPr>
          <w:rFonts w:hint="eastAsia"/>
          <w:lang w:val="en-US" w:eastAsia="zh-CN"/>
        </w:rPr>
        <w:t>中涉及的我国有色金属行业领域特有技术数据，如特有配方、制件工艺、生产工艺、编码和加密技术、制备技术等</w:t>
      </w:r>
      <w:r>
        <w:rPr>
          <w:rFonts w:hint="eastAsia"/>
          <w:lang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与国家网络安全相关：能够引发行业重大网络和数据安全事件或生产安全事故的漏洞信息、恶意程序、事件信息、应急通信数据、网络与数据安全重大发现与重要研究成果；</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default"/>
          <w:lang w:val="en-US" w:eastAsia="zh-CN"/>
        </w:rPr>
      </w:pPr>
      <w:r>
        <w:rPr>
          <w:rFonts w:hint="eastAsia" w:ascii="Times New Roman" w:hAnsi="Times New Roman" w:eastAsia="宋体" w:cs="Times New Roman"/>
          <w:lang w:val="en-US" w:eastAsia="zh-CN"/>
        </w:rPr>
        <w:t>与人工智能相关：人工智能控制程序、算法、源代码、训练模型、挖掘分析数据等。</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6.3.4 与行业发展相关</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数据</w:t>
      </w:r>
      <w:r>
        <w:rPr>
          <w:rFonts w:hint="eastAsia" w:ascii="宋体" w:hAnsi="宋体" w:eastAsia="宋体" w:cs="宋体"/>
          <w:lang w:val="en-US" w:eastAsia="zh-CN"/>
        </w:rPr>
        <w:t>遭到</w:t>
      </w:r>
      <w:r>
        <w:rPr>
          <w:rFonts w:hint="eastAsia" w:ascii="宋体" w:hAnsi="宋体" w:eastAsia="宋体" w:cs="Times New Roman"/>
          <w:lang w:val="en-US" w:eastAsia="zh-CN"/>
        </w:rPr>
        <w:t>泄露、篡改、损毁、或者非法获取、非法使用、非法共享，对有色金属行业发展造成严重影响的工业数据属于重要数据，包括但不限于：</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与行业竞争性或产业核心竞争力相关：涉及行业核心竞争力或产业生态发展的关键技术、关键工艺、关键产品、重要国产化设备在研发设计、生产制造等过程中收集和产生的数据，包括</w:t>
      </w:r>
      <w:r>
        <w:rPr>
          <w:rFonts w:hint="eastAsia" w:ascii="Helvetica" w:hAnsi="Helvetica" w:eastAsia="宋体" w:cs="Helvetica"/>
          <w:i w:val="0"/>
          <w:iCs w:val="0"/>
          <w:caps w:val="0"/>
          <w:color w:val="060607"/>
          <w:spacing w:val="4"/>
          <w:sz w:val="21"/>
          <w:szCs w:val="21"/>
          <w:shd w:val="clear" w:fill="FFFFFF"/>
          <w:lang w:val="en-US" w:eastAsia="zh-CN"/>
        </w:rPr>
        <w:t>；</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在研发设计过程中，收集和产生的与行业竞争力相关的数据，如短流程冶炼技术的实验报告、稀有元素分离的萃取剂配比、新型合金材料配方等数据；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生产制造过程中，收集和产生的与行业生产安全发展相关的先进基础工艺参数、测试数据、控制信息、质量数据等，如高温合金真空熔炼动态控制参数、合成反应釜温度压力联动测试数据、智能生产线紧急停机逻辑控制代码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在经营管理过程中，收集和产生的有色金属行业整体发展战略、重大决策、安全建设方案等数据；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在系统运维、技术服务等过程中，收集和产生的关系行业发展的重要系统、平台的账号密码、采购销售订单、库存信息等数据；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在平台运营过程中，收集和产生的关系行业发展的平台运营分析数据，如平台汇聚的有色金属全产业链（采矿、冶炼、加工）的产能利用率动态分析、平台记录的上下游企业交易规模与趋势等数据。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与行业供应链安全相关：涉及有色金属行业关键系统，能够影响供应链安全的组件、软件和设备的销售、使用、运行、维护等情况的相关数据，以及行业供需情况、价格趋势、供应商及用户分布情况等数据；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与行业经济运行相关：整体反映有色金属行业或重大技术装备生产经营情况的未公开的运行分析数据；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与行业生产安全管控相关：整体反映有色金属行业生产安全管控情况的数据，如行业生产安全管理系统中的作业管控数据；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与行业绿色发展相关：整体反映有色金属行业能源资源消耗、碳排放情况的未公开数据。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6.3.5 与工业领域出口管制物项相关</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有色金属行业出口管制物项涉及的核心技术、设计方案、生产工艺、制件方法、源代码等数据。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6.3.6 与行业特色相关</w:t>
      </w:r>
    </w:p>
    <w:p>
      <w:pPr>
        <w:pStyle w:val="30"/>
        <w:keepNext w:val="0"/>
        <w:keepLines w:val="0"/>
        <w:pageBreakBefore w:val="0"/>
        <w:kinsoku/>
        <w:wordWrap/>
        <w:overflowPunct/>
        <w:topLinePunct w:val="0"/>
        <w:bidi w:val="0"/>
        <w:adjustRightInd/>
        <w:snapToGrid/>
        <w:spacing w:line="360" w:lineRule="auto"/>
        <w:textAlignment w:val="auto"/>
        <w:rPr>
          <w:rFonts w:hint="eastAsia"/>
          <w:lang w:val="en-US" w:eastAsia="zh-CN"/>
        </w:rPr>
      </w:pPr>
      <w:r>
        <w:rPr>
          <w:rFonts w:hint="eastAsia"/>
          <w:lang w:val="en-US" w:eastAsia="zh-CN"/>
        </w:rPr>
        <w:t>结合有色金属行业数据特点，与行业特色相关的重要数据，包括但不限于：</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有色金属采选、冶炼、加工等环节的原料渠道、物料储备、销售去向、工厂设置等涉及敏感领域的信息，或可能影响战略性矿产资源安全和产业安全的数据。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r>
        <w:rPr>
          <w:rFonts w:hint="eastAsia" w:ascii="黑体" w:hAnsi="黑体" w:cs="黑体"/>
          <w:b w:val="0"/>
          <w:bCs w:val="0"/>
          <w:lang w:val="en-US" w:eastAsia="zh-CN"/>
        </w:rPr>
        <w:t>6.3.7 其他</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其他满足下列条件之一的数据属于重要数据：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lang w:val="en-US" w:eastAsia="zh-CN"/>
        </w:rPr>
      </w:pPr>
      <w:r>
        <w:rPr>
          <w:rFonts w:hint="eastAsia"/>
          <w:lang w:val="en-US" w:eastAsia="zh-CN"/>
        </w:rPr>
        <w:t>数据处理者收集和产生的达到10万人以上数量或影响特定群体的个人信息</w:t>
      </w:r>
      <w:r>
        <w:rPr>
          <w:rFonts w:hint="eastAsia" w:ascii="Helvetica" w:hAnsi="Helvetica" w:eastAsia="宋体" w:cs="Helvetica"/>
          <w:i w:val="0"/>
          <w:iCs w:val="0"/>
          <w:caps w:val="0"/>
          <w:color w:val="060607"/>
          <w:spacing w:val="4"/>
          <w:sz w:val="21"/>
          <w:szCs w:val="21"/>
          <w:shd w:val="clear" w:fill="FFFFFF"/>
          <w:lang w:val="en-US" w:eastAsia="zh-CN"/>
        </w:rPr>
        <w:t>；</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lang w:val="en-US" w:eastAsia="zh-CN"/>
        </w:rPr>
      </w:pPr>
      <w:r>
        <w:rPr>
          <w:rFonts w:hint="eastAsia"/>
          <w:lang w:val="en-US" w:eastAsia="zh-CN"/>
        </w:rPr>
        <w:t>引发的级联效应明显，影响范围涉及多个行业、区域或者行业内多个企业，或者影响持续时间长，对行业发展、技术进步和产业生态造成严重影响；</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lang w:val="en-US" w:eastAsia="zh-CN"/>
        </w:rPr>
      </w:pPr>
      <w:r>
        <w:rPr>
          <w:rFonts w:hint="eastAsia"/>
          <w:lang w:val="en-US" w:eastAsia="zh-CN"/>
        </w:rPr>
        <w:t>经有色金属行业监管部门评估确定的其他重要数据。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r>
        <w:rPr>
          <w:rFonts w:hint="eastAsia" w:ascii="黑体" w:hAnsi="黑体" w:cs="黑体"/>
          <w:b w:val="0"/>
          <w:bCs w:val="0"/>
          <w:lang w:val="en-US" w:eastAsia="zh-CN"/>
        </w:rPr>
        <w:t>6.4 综合确定级别</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w:t>
      </w:r>
      <w:r>
        <w:rPr>
          <w:rFonts w:hint="eastAsia" w:cs="宋体"/>
          <w:sz w:val="21"/>
          <w:szCs w:val="21"/>
          <w:lang w:val="en-US" w:eastAsia="zh-CN"/>
        </w:rPr>
        <w:t>企业确定工业数据分级对象后，依据6.3完成重要数据识别，进一步</w:t>
      </w:r>
      <w:r>
        <w:rPr>
          <w:rFonts w:hint="eastAsia" w:ascii="宋体" w:hAnsi="宋体" w:eastAsia="宋体" w:cs="宋体"/>
          <w:sz w:val="21"/>
          <w:szCs w:val="21"/>
          <w:lang w:val="en-US" w:eastAsia="zh-CN"/>
        </w:rPr>
        <w:t>分析数据影响</w:t>
      </w:r>
      <w:r>
        <w:rPr>
          <w:rFonts w:hint="eastAsia" w:cs="宋体"/>
          <w:sz w:val="21"/>
          <w:szCs w:val="21"/>
          <w:lang w:val="en-US" w:eastAsia="zh-CN"/>
        </w:rPr>
        <w:t>对象和危害程度</w:t>
      </w:r>
      <w:r>
        <w:rPr>
          <w:rFonts w:hint="eastAsia" w:ascii="宋体" w:hAnsi="宋体" w:eastAsia="宋体" w:cs="宋体"/>
          <w:sz w:val="21"/>
          <w:szCs w:val="21"/>
          <w:lang w:val="en-US" w:eastAsia="zh-CN"/>
        </w:rPr>
        <w:t>，按照以下规则综合确定数据级别：</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cs="宋体"/>
          <w:i w:val="0"/>
          <w:iCs w:val="0"/>
          <w:caps w:val="0"/>
          <w:color w:val="060607"/>
          <w:spacing w:val="4"/>
          <w:sz w:val="21"/>
          <w:szCs w:val="21"/>
          <w:shd w:val="clear" w:fill="FFFFFF"/>
          <w:lang w:val="en-US" w:eastAsia="zh-CN"/>
        </w:rPr>
        <w:t>重要数据：符合6.3.2-6.3.7任意一个识别维度的数据均属于重要数据</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（有色金属行业工业重要数据识别参考</w:t>
      </w:r>
      <w:r>
        <w:rPr>
          <w:rFonts w:hint="eastAsia" w:ascii="宋体" w:hAnsi="宋体" w:eastAsia="宋体" w:cs="宋体"/>
          <w:sz w:val="21"/>
          <w:szCs w:val="21"/>
          <w:lang w:val="en-US" w:eastAsia="zh-CN"/>
        </w:rPr>
        <w:t>见附录</w:t>
      </w:r>
      <w:r>
        <w:rPr>
          <w:rFonts w:hint="eastAsia" w:cs="宋体"/>
          <w:sz w:val="21"/>
          <w:szCs w:val="21"/>
          <w:lang w:val="en-US" w:eastAsia="zh-CN"/>
        </w:rPr>
        <w:t>A）</w:t>
      </w:r>
      <w:r>
        <w:rPr>
          <w:rFonts w:hint="eastAsia" w:ascii="宋体" w:hAnsi="宋体" w:cs="宋体"/>
          <w:sz w:val="21"/>
          <w:szCs w:val="21"/>
          <w:lang w:val="en-US" w:eastAsia="zh-CN"/>
        </w:rPr>
        <w:t>；</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核心数据：在重要数据范围内，对国家安全、社会秩序、经济运行和行业发展具有重大影响，一旦遭到泄露、篡改、损毁、或者非法获取、非法使用、非法共享，对国家安全、社会秩序、经济运行和行业发展造成重大风险，或危害国家安全、公共利益的重要数据，识别为核心数据</w:t>
      </w:r>
      <w:r>
        <w:rPr>
          <w:rFonts w:hint="eastAsia" w:ascii="宋体" w:hAnsi="宋体" w:cs="宋体"/>
          <w:sz w:val="21"/>
          <w:szCs w:val="21"/>
          <w:lang w:val="en-US" w:eastAsia="zh-CN"/>
        </w:rPr>
        <w:t>；</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一般数据：未识别为核心数据、重要数据的其他数据</w:t>
      </w:r>
      <w:r>
        <w:rPr>
          <w:rFonts w:hint="eastAsia" w:ascii="宋体" w:hAnsi="宋体" w:cs="宋体"/>
          <w:i w:val="0"/>
          <w:iCs w:val="0"/>
          <w:caps w:val="0"/>
          <w:color w:val="060607"/>
          <w:spacing w:val="4"/>
          <w:sz w:val="21"/>
          <w:szCs w:val="21"/>
          <w:shd w:val="clear" w:fill="FFFFFF"/>
          <w:lang w:val="en-US" w:eastAsia="zh-CN"/>
        </w:rPr>
        <w:t>，</w:t>
      </w:r>
      <w:bookmarkStart w:id="0" w:name="_GoBack"/>
      <w:bookmarkEnd w:id="0"/>
      <w:r>
        <w:rPr>
          <w:rFonts w:hint="eastAsia" w:ascii="宋体" w:hAnsi="宋体" w:eastAsia="宋体" w:cs="宋体"/>
          <w:i w:val="0"/>
          <w:iCs w:val="0"/>
          <w:caps w:val="0"/>
          <w:color w:val="060607"/>
          <w:spacing w:val="4"/>
          <w:sz w:val="21"/>
          <w:szCs w:val="21"/>
          <w:shd w:val="clear" w:fill="FFFFFF"/>
          <w:lang w:val="en-US" w:eastAsia="zh-CN"/>
        </w:rPr>
        <w:t>确定为一般数据；</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如待分级数据涉及多个要素、多个影响对象或影响程度,应按照就高从严原则确定数据级别；</w:t>
      </w:r>
    </w:p>
    <w:p>
      <w:pPr>
        <w:keepNext w:val="0"/>
        <w:keepLines w:val="0"/>
        <w:pageBreakBefore w:val="0"/>
        <w:numPr>
          <w:ilvl w:val="0"/>
          <w:numId w:val="13"/>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根据数据重要程度和可能造成的危害程度的变化,应对数据级别进行动态更新。</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r>
        <w:rPr>
          <w:rFonts w:hint="eastAsia" w:cs="Times New Roman"/>
          <w:b w:val="0"/>
          <w:bCs/>
          <w:lang w:val="en-US" w:eastAsia="zh-CN"/>
        </w:rPr>
        <w:t>7  数据分类分级流程</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7.1 概述</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有色金属行业企业作为工业数据处理者在进行数据分类分级工作时，可按照数据资产梳理、重要数据识别、内部审批、重要数据目录备案四个阶段开展工作。</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7.2 数据资产梳理</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有色金属行业企业应组织相关数据所属部门（如研发、生产、运维部门等），全面梳理盘点数据资产，形成数据资产清单。对数据进行分类，并对公共数据、外部数据等特殊类别数据进行识别和分类。</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7.3 重要数据识别</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有色金属行业企业应参照重要数据识别维度开展重要数据识别工作，并进一步根据影响对象和危害程度识别核心数据，确定核心数据、重要数据和一般数据的范围，形成重要数据（含核心数据）清单。</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有色金属行业采选、冶炼、加工企业工业数据分类分级清单示例见附录</w:t>
      </w:r>
      <w:r>
        <w:rPr>
          <w:rFonts w:hint="eastAsia" w:cs="宋体"/>
          <w:sz w:val="21"/>
          <w:szCs w:val="21"/>
          <w:lang w:val="en-US" w:eastAsia="zh-CN"/>
        </w:rPr>
        <w:t>B</w:t>
      </w:r>
      <w:r>
        <w:rPr>
          <w:rFonts w:hint="eastAsia" w:ascii="宋体" w:hAnsi="宋体" w:eastAsia="宋体" w:cs="宋体"/>
          <w:sz w:val="21"/>
          <w:szCs w:val="21"/>
          <w:lang w:val="en-US" w:eastAsia="zh-CN"/>
        </w:rPr>
        <w:t>。</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7.4 内部审批</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有色金属行业企业应对形成的重要数据清单进行内部审批，如审批通过，生成重要数据目录，如审批未通过，应重新开展重要数据识别工作。</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r>
        <w:rPr>
          <w:rFonts w:hint="eastAsia" w:ascii="黑体" w:hAnsi="黑体" w:cs="黑体"/>
          <w:b w:val="0"/>
          <w:bCs w:val="0"/>
          <w:lang w:val="en-US" w:eastAsia="zh-CN"/>
        </w:rPr>
        <w:t>7.5 重要数据目录备案</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向行业监管部门报送重要数据目录，如重要数据目录审核通过，按要求开展重要数据保护；如重要数据目录审核未通过，应重新开展重要数据识别和报送工作。企业重要数据目录发生重大变化时，及时更新重要数据目录并进行上报。</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pP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sectPr>
          <w:footerReference r:id="rId5" w:type="default"/>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pPr>
    </w:p>
    <w:p>
      <w:pPr>
        <w:pStyle w:val="33"/>
        <w:keepNext/>
        <w:keepLines w:val="0"/>
        <w:pageBreakBefore/>
        <w:widowControl/>
        <w:shd w:val="clear" w:color="FFFFFF" w:fill="FFFFFF"/>
        <w:kinsoku/>
        <w:wordWrap/>
        <w:overflowPunct/>
        <w:topLinePunct w:val="0"/>
        <w:autoSpaceDE/>
        <w:autoSpaceDN/>
        <w:bidi w:val="0"/>
        <w:adjustRightInd/>
        <w:snapToGrid/>
        <w:spacing w:before="0" w:after="0" w:line="360" w:lineRule="auto"/>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附 录 </w:t>
      </w:r>
      <w:r>
        <w:rPr>
          <w:rFonts w:hint="eastAsia" w:hAnsi="黑体" w:cs="黑体"/>
          <w:b w:val="0"/>
          <w:bCs w:val="0"/>
          <w:sz w:val="21"/>
          <w:szCs w:val="21"/>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(资料性)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21"/>
          <w:szCs w:val="21"/>
          <w:lang w:val="en-US"/>
        </w:rPr>
      </w:pPr>
      <w:r>
        <w:rPr>
          <w:rFonts w:hint="eastAsia" w:ascii="黑体" w:hAnsi="黑体" w:eastAsia="黑体" w:cs="黑体"/>
          <w:color w:val="000000"/>
          <w:kern w:val="0"/>
          <w:sz w:val="21"/>
          <w:szCs w:val="21"/>
          <w:lang w:val="en-US" w:eastAsia="zh-CN" w:bidi="ar"/>
        </w:rPr>
        <w:t>有色金属行业工业重要数据识别参考</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A.1 研发设计场景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数据处理者在整合全球研发资源、产品协同设计开发过程中，收集和产生的物料清单、研发设计文档</w:t>
      </w:r>
      <w:r>
        <w:rPr>
          <w:rFonts w:hint="eastAsia" w:ascii="宋体" w:hAnsi="宋体" w:cs="宋体"/>
          <w:color w:val="000000"/>
          <w:kern w:val="0"/>
          <w:sz w:val="19"/>
          <w:szCs w:val="19"/>
          <w:lang w:val="en-US" w:eastAsia="zh-CN" w:bidi="ar"/>
        </w:rPr>
        <w:t>等</w:t>
      </w:r>
      <w:r>
        <w:rPr>
          <w:rFonts w:hint="default" w:ascii="宋体" w:hAnsi="宋体" w:eastAsia="宋体" w:cs="宋体"/>
          <w:color w:val="000000"/>
          <w:kern w:val="0"/>
          <w:sz w:val="19"/>
          <w:szCs w:val="19"/>
          <w:lang w:val="en-US" w:eastAsia="zh-CN" w:bidi="ar"/>
        </w:rPr>
        <w:t>数据</w:t>
      </w:r>
      <w:r>
        <w:rPr>
          <w:rFonts w:hint="eastAsia" w:ascii="宋体" w:hAnsi="宋体" w:cs="宋体"/>
          <w:color w:val="000000"/>
          <w:kern w:val="0"/>
          <w:sz w:val="19"/>
          <w:szCs w:val="19"/>
          <w:lang w:val="en-US" w:eastAsia="zh-CN" w:bidi="ar"/>
        </w:rPr>
        <w:t>。有色金属行业研发设计场景重要数据</w:t>
      </w:r>
      <w:r>
        <w:rPr>
          <w:rFonts w:hint="eastAsia" w:ascii="宋体" w:hAnsi="宋体" w:eastAsia="宋体" w:cs="宋体"/>
          <w:color w:val="000000"/>
          <w:kern w:val="0"/>
          <w:sz w:val="19"/>
          <w:szCs w:val="19"/>
          <w:lang w:val="en-US" w:eastAsia="zh-CN" w:bidi="ar"/>
        </w:rPr>
        <w:t>示例见表</w:t>
      </w:r>
      <w:r>
        <w:rPr>
          <w:rFonts w:hint="eastAsia" w:ascii="宋体" w:hAnsi="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A.1 有色金属行业研发设计场景重要数据示例</w:t>
      </w:r>
    </w:p>
    <w:tbl>
      <w:tblPr>
        <w:tblStyle w:val="10"/>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44"/>
        <w:gridCol w:w="2018"/>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产品研发</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设计物料清单</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设计阶段所需原材料、零部件或组件清单文件，包括物料规格、数量、层级关系等</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被列入国家重大专项、国家重点研发计划的</w:t>
            </w:r>
            <w:r>
              <w:rPr>
                <w:rFonts w:hint="eastAsia" w:ascii="宋体" w:hAnsi="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产品测试</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仿真场景数据、测 试场景数据</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测试阶段，收集和产生的仿真场景数据、测试场景数据等</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经汇聚、分析后能够推算</w:t>
            </w:r>
            <w:r>
              <w:rPr>
                <w:rFonts w:hint="eastAsia" w:ascii="宋体" w:hAnsi="宋体" w:cs="宋体"/>
                <w:kern w:val="2"/>
                <w:sz w:val="18"/>
                <w:szCs w:val="18"/>
                <w:lang w:val="en-US" w:eastAsia="zh-CN" w:bidi="ar-SA"/>
              </w:rPr>
              <w:t>出</w:t>
            </w:r>
            <w:r>
              <w:rPr>
                <w:rFonts w:hint="eastAsia" w:ascii="宋体" w:hAnsi="宋体" w:eastAsia="宋体" w:cs="宋体"/>
                <w:kern w:val="2"/>
                <w:sz w:val="18"/>
                <w:szCs w:val="18"/>
                <w:lang w:val="en-US" w:eastAsia="zh-CN" w:bidi="ar-SA"/>
              </w:rPr>
              <w:t>未公开的国家经济运行情况</w:t>
            </w:r>
            <w:r>
              <w:rPr>
                <w:rFonts w:hint="eastAsia" w:ascii="宋体" w:hAnsi="宋体" w:cs="宋体"/>
                <w:kern w:val="2"/>
                <w:sz w:val="18"/>
                <w:szCs w:val="18"/>
                <w:lang w:val="en-US" w:eastAsia="zh-CN" w:bidi="ar-SA"/>
              </w:rPr>
              <w:t>、行业核心竞争力</w:t>
            </w:r>
            <w:r>
              <w:rPr>
                <w:rFonts w:hint="eastAsia" w:ascii="宋体" w:hAnsi="宋体" w:eastAsia="宋体" w:cs="宋体"/>
                <w:kern w:val="2"/>
                <w:sz w:val="18"/>
                <w:szCs w:val="18"/>
                <w:lang w:val="en-US" w:eastAsia="zh-CN" w:bidi="ar-SA"/>
              </w:rPr>
              <w:t>的相关数据</w:t>
            </w:r>
            <w:r>
              <w:rPr>
                <w:rFonts w:hint="eastAsia" w:ascii="宋体" w:hAnsi="宋体" w:cs="宋体"/>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A.2 生产制造场景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w:t>
      </w:r>
      <w:r>
        <w:rPr>
          <w:rFonts w:hint="eastAsia" w:ascii="宋体" w:hAnsi="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产品生产制造过程中，收集和产生的物料清单、生产控制程序源代码</w:t>
      </w:r>
      <w:r>
        <w:rPr>
          <w:rFonts w:hint="eastAsia" w:ascii="宋体" w:hAnsi="宋体" w:cs="宋体"/>
          <w:color w:val="000000"/>
          <w:kern w:val="0"/>
          <w:sz w:val="19"/>
          <w:szCs w:val="19"/>
          <w:lang w:val="en-US" w:eastAsia="zh-CN" w:bidi="ar"/>
        </w:rPr>
        <w:t>等数据。有色金属行业生产制造场景重要数据</w:t>
      </w:r>
      <w:r>
        <w:rPr>
          <w:rFonts w:hint="eastAsia" w:ascii="宋体" w:hAnsi="宋体" w:eastAsia="宋体" w:cs="宋体"/>
          <w:color w:val="000000"/>
          <w:kern w:val="0"/>
          <w:sz w:val="19"/>
          <w:szCs w:val="19"/>
          <w:lang w:val="en-US" w:eastAsia="zh-CN" w:bidi="ar"/>
        </w:rPr>
        <w:t>示例见表</w:t>
      </w:r>
      <w:r>
        <w:rPr>
          <w:rFonts w:hint="eastAsia" w:ascii="宋体" w:hAnsi="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A.2 有色金属行业生产制造场景重要数据示例</w:t>
      </w:r>
    </w:p>
    <w:tbl>
      <w:tblPr>
        <w:tblStyle w:val="10"/>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44"/>
        <w:gridCol w:w="2018"/>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vMerge w:val="restar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生产控制程序源代码</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数控机床控制程序源代码</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用于</w:t>
            </w:r>
            <w:r>
              <w:rPr>
                <w:rFonts w:hint="eastAsia" w:ascii="宋体" w:hAnsi="宋体" w:cs="宋体"/>
                <w:sz w:val="18"/>
                <w:szCs w:val="18"/>
                <w:lang w:val="en-US" w:eastAsia="zh-CN"/>
              </w:rPr>
              <w:t>生产</w:t>
            </w:r>
            <w:r>
              <w:rPr>
                <w:rFonts w:hint="eastAsia" w:ascii="宋体" w:hAnsi="宋体" w:eastAsia="宋体" w:cs="宋体"/>
                <w:sz w:val="18"/>
                <w:szCs w:val="18"/>
                <w:lang w:val="en-US" w:eastAsia="zh-CN"/>
              </w:rPr>
              <w:t>产品、零部件或组件的数控机床控制程序源代码</w:t>
            </w:r>
          </w:p>
        </w:tc>
        <w:tc>
          <w:tcPr>
            <w:tcW w:w="1656" w:type="pct"/>
            <w:vMerge w:val="restar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符合以下任意一项条件的：</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1.被列入国家重大专项、国家重点研发计划的；</w:t>
            </w:r>
          </w:p>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2.符合《中国禁止出口限制出口技术目录》中相关技术控制要点的。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vMerge w:val="continue"/>
            <w:shd w:val="clear" w:color="auto" w:fill="auto"/>
            <w:tcMar>
              <w:top w:w="180" w:type="dxa"/>
              <w:left w:w="270" w:type="dxa"/>
              <w:bottom w:w="180" w:type="dxa"/>
              <w:right w:w="270" w:type="dxa"/>
            </w:tcMar>
            <w:vAlign w:val="center"/>
          </w:tcPr>
          <w:p>
            <w:pPr>
              <w:jc w:val="center"/>
              <w:rPr>
                <w:rFonts w:hint="eastAsia" w:ascii="宋体" w:hAnsi="宋体" w:cs="宋体"/>
                <w:sz w:val="18"/>
                <w:szCs w:val="18"/>
                <w:lang w:val="en-US" w:eastAsia="zh-CN"/>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工业机器人控制程序源代码</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用于生产产品、零部件或组件的工业机器人控制程序源代码</w:t>
            </w:r>
          </w:p>
        </w:tc>
        <w:tc>
          <w:tcPr>
            <w:tcW w:w="1656" w:type="pct"/>
            <w:vMerge w:val="continue"/>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物料清单</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工艺物料清单</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产品、零部件或组件的工艺物料清单</w:t>
            </w:r>
          </w:p>
        </w:tc>
        <w:tc>
          <w:tcPr>
            <w:tcW w:w="1656" w:type="pct"/>
            <w:vMerge w:val="continue"/>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A.3 经营管理场景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default" w:ascii="宋体" w:hAnsi="宋体" w:eastAsia="宋体" w:cs="宋体"/>
          <w:color w:val="000000"/>
          <w:kern w:val="0"/>
          <w:sz w:val="19"/>
          <w:szCs w:val="19"/>
          <w:lang w:val="en-US" w:eastAsia="zh-CN" w:bidi="ar"/>
        </w:rPr>
      </w:pPr>
      <w:r>
        <w:rPr>
          <w:rFonts w:hint="default" w:ascii="宋体" w:hAnsi="宋体" w:eastAsia="宋体" w:cs="宋体"/>
          <w:color w:val="000000"/>
          <w:kern w:val="0"/>
          <w:sz w:val="19"/>
          <w:szCs w:val="19"/>
          <w:lang w:val="en-US" w:eastAsia="zh-CN" w:bidi="ar"/>
        </w:rPr>
        <w:t>数据处理者</w:t>
      </w:r>
      <w:r>
        <w:rPr>
          <w:rFonts w:hint="eastAsia" w:ascii="宋体" w:hAnsi="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产品</w:t>
      </w:r>
      <w:r>
        <w:rPr>
          <w:rFonts w:hint="eastAsia" w:ascii="宋体" w:hAnsi="宋体" w:cs="宋体"/>
          <w:color w:val="000000"/>
          <w:kern w:val="0"/>
          <w:sz w:val="19"/>
          <w:szCs w:val="19"/>
          <w:lang w:val="en-US" w:eastAsia="zh-CN" w:bidi="ar"/>
        </w:rPr>
        <w:t>经营管理</w:t>
      </w:r>
      <w:r>
        <w:rPr>
          <w:rFonts w:hint="eastAsia" w:ascii="宋体" w:hAnsi="宋体" w:eastAsia="宋体" w:cs="宋体"/>
          <w:color w:val="000000"/>
          <w:kern w:val="0"/>
          <w:sz w:val="19"/>
          <w:szCs w:val="19"/>
          <w:lang w:val="en-US" w:eastAsia="zh-CN" w:bidi="ar"/>
        </w:rPr>
        <w:t>过</w:t>
      </w:r>
      <w:r>
        <w:rPr>
          <w:rFonts w:hint="eastAsia" w:ascii="宋体" w:hAnsi="宋体" w:cs="宋体"/>
          <w:color w:val="000000"/>
          <w:kern w:val="0"/>
          <w:sz w:val="19"/>
          <w:szCs w:val="19"/>
          <w:lang w:val="en-US" w:eastAsia="zh-CN" w:bidi="ar"/>
        </w:rPr>
        <w:t>程中，收集和产生的有色金属采选、冶炼、加工等环节的成本、物料储备、销售去向、原料渠道、工厂设置等数据。有色金属行业经营管理场景重要数据示例见表A.3。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A.3 有色金属行业经营管理场景重要数据示例</w:t>
      </w:r>
    </w:p>
    <w:tbl>
      <w:tblPr>
        <w:tblStyle w:val="10"/>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44"/>
        <w:gridCol w:w="2018"/>
        <w:gridCol w:w="3297"/>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7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数据类别</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w:t>
            </w:r>
          </w:p>
        </w:tc>
        <w:tc>
          <w:tcPr>
            <w:tcW w:w="1655"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165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判定规则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物料储备</w:t>
            </w:r>
          </w:p>
        </w:tc>
        <w:tc>
          <w:tcPr>
            <w:tcW w:w="1013"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可采矿石储量</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经济可采储量及平均金属品位</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涉及敏感领域供应链信息或可能影响战略性矿产资源安全和产业安全的数据</w:t>
            </w:r>
            <w:r>
              <w:rPr>
                <w:rFonts w:hint="eastAsia" w:ascii="宋体" w:hAnsi="宋体"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原料渠道</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核心</w:t>
            </w:r>
            <w:r>
              <w:rPr>
                <w:rFonts w:hint="eastAsia" w:ascii="宋体" w:hAnsi="宋体" w:cs="宋体"/>
                <w:sz w:val="18"/>
                <w:szCs w:val="18"/>
                <w:lang w:val="en-US" w:eastAsia="zh-CN"/>
              </w:rPr>
              <w:t>原料</w:t>
            </w:r>
            <w:r>
              <w:rPr>
                <w:rFonts w:hint="eastAsia" w:ascii="宋体" w:hAnsi="宋体" w:eastAsia="宋体" w:cs="宋体"/>
                <w:sz w:val="18"/>
                <w:szCs w:val="18"/>
                <w:lang w:val="en-US" w:eastAsia="zh-CN"/>
              </w:rPr>
              <w:t>采购信息</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主要原料供应地、采购量、长期协议条款及运输保障方案等</w:t>
            </w:r>
          </w:p>
        </w:tc>
        <w:tc>
          <w:tcPr>
            <w:tcW w:w="1656" w:type="pct"/>
            <w:shd w:val="clear" w:color="auto" w:fill="auto"/>
            <w:tcMar>
              <w:top w:w="180" w:type="dxa"/>
              <w:left w:w="270" w:type="dxa"/>
              <w:bottom w:w="180" w:type="dxa"/>
              <w:right w:w="270" w:type="dxa"/>
            </w:tcMar>
            <w:vAlign w:val="center"/>
          </w:tcPr>
          <w:p>
            <w:pPr>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涉及供应链安全或可能影响原料市场定价权的数据。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75"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013"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5"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656" w:type="pct"/>
            <w:shd w:val="clear" w:color="auto" w:fill="auto"/>
            <w:tcMar>
              <w:top w:w="180" w:type="dxa"/>
              <w:left w:w="270" w:type="dxa"/>
              <w:bottom w:w="180" w:type="dxa"/>
              <w:right w:w="270" w:type="dxa"/>
            </w:tcMar>
            <w:vAlign w:val="center"/>
          </w:tcPr>
          <w:p>
            <w:pPr>
              <w:jc w:val="both"/>
              <w:rPr>
                <w:rFonts w:hint="eastAsia" w:ascii="宋体" w:hAnsi="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pPr>
    </w:p>
    <w:p>
      <w:pPr>
        <w:keepNext w:val="0"/>
        <w:keepLines w:val="0"/>
        <w:widowControl/>
        <w:suppressLineNumbers w:val="0"/>
        <w:jc w:val="center"/>
      </w:pPr>
    </w:p>
    <w:p>
      <w:pPr>
        <w:keepNext w:val="0"/>
        <w:keepLines w:val="0"/>
        <w:widowControl/>
        <w:suppressLineNumbers w:val="0"/>
        <w:jc w:val="center"/>
        <w:sectPr>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pPr>
    </w:p>
    <w:p>
      <w:pPr>
        <w:pStyle w:val="33"/>
        <w:keepNext/>
        <w:keepLines w:val="0"/>
        <w:pageBreakBefore/>
        <w:widowControl/>
        <w:shd w:val="clear" w:color="FFFFFF" w:fill="FFFFFF"/>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附 录 </w:t>
      </w:r>
      <w:r>
        <w:rPr>
          <w:rFonts w:hint="eastAsia" w:hAnsi="黑体" w:cs="黑体"/>
          <w:b w:val="0"/>
          <w:bCs w:val="0"/>
          <w:sz w:val="21"/>
          <w:szCs w:val="21"/>
          <w:lang w:val="en-US" w:eastAsia="zh-CN"/>
        </w:rPr>
        <w:t>B</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(资料性)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有色金属行业工业数据分类分级清单示例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lang w:val="en-US"/>
        </w:rPr>
      </w:pPr>
      <w:r>
        <w:rPr>
          <w:rFonts w:hint="eastAsia" w:ascii="黑体" w:hAnsi="黑体" w:eastAsia="黑体" w:cs="黑体"/>
          <w:color w:val="000000"/>
          <w:kern w:val="0"/>
          <w:sz w:val="21"/>
          <w:szCs w:val="21"/>
          <w:lang w:val="en-US" w:eastAsia="zh-CN" w:bidi="ar"/>
        </w:rPr>
        <w:t>B.1 采选企业工业数据分类分级清单示例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采选企业工业数据具有强资源关联性、高安全风险及深产业链渗透特点，数据分类分级围绕研发、生产、运维等数据域，依据数据对资源安全、生产安全和企业竞争力的影响，划分为核心、重要和一般数据，精准覆盖矿产勘探、工艺参数等关键数据。采选企业工业数据分类分级清单示例见表</w:t>
      </w:r>
      <w:r>
        <w:rPr>
          <w:rFonts w:hint="eastAsia" w:ascii="宋体" w:hAnsi="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黑体" w:hAnsi="黑体" w:eastAsia="黑体" w:cs="黑体"/>
          <w:color w:val="000000"/>
          <w:kern w:val="0"/>
          <w:sz w:val="21"/>
          <w:szCs w:val="21"/>
          <w:lang w:val="en-US" w:eastAsia="zh-CN" w:bidi="ar"/>
        </w:rPr>
        <w:t>表 B.1 采选企业工业数据分类分级清单示例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367"/>
        <w:gridCol w:w="127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20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矿产资源勘探数据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包含矿区地质构造图、矿产储量估算模型、钻孔岩芯分析数据、资源品位分布数据等，是采选企业规划开采方案、评估资源价值的核心依据，直接关系企业战略布局和国家资源安全。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10-50GB（三维地质模型、钻孔数据等）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选矿工艺优化实验数据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涵盖浮选药剂配比实验、磨矿细度与回收率关系数据、选矿流程模拟结果等，用于优化选矿效率，提升精矿品质和产量，对企业经济效益有重要影响。</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1-10GB（实验记录、参数对比表等）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采矿方法开发数据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包括井下采矿方法（如充填采矿法、空场采矿法）的设计参数、稳定性模拟数据、现场试验效果记录等，关系采矿作业的安全性和资源回收率。</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5-20GB（采矿方案设计图、模拟仿真数据等）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采矿作业控制信息</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涵盖爆破参数（装药量、起爆时间）、井下开采面推进控制指令、提升机运行控制信号等，直接控制采矿作业流程，其准确性和安全性关乎生产安全与连续性。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100GB-1TB/年（实时控制指令、传感器流数据）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选矿工况状态数据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包括球磨机电流、浮选槽液位、矿浆浓度、尾矿库水位等实时监测数据，是判断选矿生产是否稳定的重要依据，可用于及时发现和处理生产异常。</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50GB-500GB/年（设备实时状态、环境监测数据）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关键工艺参数</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如选矿回收率目标值、精矿品位控制区间、采矿贫化率参数等，直接决定产品质量与资源利用率，是采选企业生产的核心指标，影响企业核心竞争力。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5-50GB/年（历史参数记录、优化阈值）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生产系统运行日志</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包括PLC系统操作日志、设备启停记录、数据采集异常报警日志等，主要用于故障追溯和系统维护，不直接涉及核心工艺和生产安全。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10-100GB/年（系统操作记录、错误日志）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设备运维记录数据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涵盖破碎机轴承更换记录、选矿设备润滑周期数据、关键部件寿命预测数据等，关系设备的可靠性和使用寿命，保障生产的连续稳定运行。</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1-5GB/年（维修记录、备件更换记录）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矿山物流调度数据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包括矿车运输路线规划、矿石从井下到选矿厂的转运记录、辅料（如炸药）配送调度数据等，反映矿山物流的效率和合理性。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500MB-2GB/年（运输路线、车次记录）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尾矿库运维数据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包含尾矿库坝体沉降位移监测数据、渗流量及水质监测数据、排洪系统运行状态记录等，直接关系尾矿库的安全，避免发生溃坝等重大安全事故。</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2-10GB/年（坝体位移监测、渗流数据等）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矿产资源储备数据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包括矿区内各类矿产的可采储量、储备分布区域、品位等级划分数据，以及短期和长期开采储备规划数据，是企业可持续生产的基础，关系国家资源安全和企业长远发展。</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5-30GB（可采储量、储备分布等）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生产物资储备数据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涵盖生产所需的关键设备备件库存数量及位置、炸药、浮选药剂等辅料的储备量及保质期数据，以及应急物资（如急救设备、防汛物资）的储备记录，保障生产的连续性和应对突发情况的能力。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1-10GB（备件库存、辅料储备等）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矿山资产台账数据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涵盖采矿权证书数字化信息、大型设备（如矿井提升机）资产原值与折旧数据、矿区土地使用范围坐标等，是企业合法运营的基础，关系企业的权益和生存发展。</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500MB-2GB（设备资产、土地权证等）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安全生产管理数据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包括井下安全检查记录、安全隐患排查与整改数据、重大危险源监控数据等，保障矿山生产安全，避免发生安全事故。</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500MB-2GB/年（安全检查记录、隐患整改数据等）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人力资源数据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包括员工基本信息、考勤记录、薪酬数据等，主要用于企业内部人力资源管理，不直接影响生产和行业竞争力。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100-500MB（员工信息、考勤记录等）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精矿产品销售数据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包括精矿产品销售合同、客户信息、销售价格及数量记录等，关系企业的市场份额和经济效益，反映企业的市场竞争力。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1-5GB/年（销售合同、客户信息等）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原材料采购数据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如炸药、选矿药剂等原材料的采购合同、供应商信息、采购价格与渠道记录等，保障原材料的稳定供应，影响生产的连续性。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1-5GB/年（采购合同、供应商信息等）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生产经营统计数据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包括月度、季度及年度的采矿量、选矿量、主要技术经济指标统计数据</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生产成木核算数据等，用于企业内部经营管理和决策分析。</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500MB-2GB/年（产量统计、成本核算等）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行业政策法规数据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包括国家及地方关于采选行业的政策文件、法规解读、行业标准等，用于企业合规经营和战略调整。</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100-500MB（政策文件、法规解读等）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市场行情数据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如各类矿产资源及精矿产品的市场价格走势、市场需求预测数据等，用于企业调整生产计划和销售策略，应对市场变化。</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500MB-2GB（价格走势、市场需求等）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B.2 冶炼企业工业数据分类分级清单示例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冶炼企业工业数据具有高温高压环境下的强实时性、多环节工艺关联性及高环保安全敏感性特点，数据分类分级以研发、生产、运维等数据域为框架，按数据对冶炼工艺稳定性、产品质量、环保达标及企业核心竞争力的影响，划分为核心、重要和一般数据，涵盖熔炼参数、污染物排放监测等关键数据。冶炼企业工业数据分类分级清单示例见表</w:t>
      </w:r>
      <w:r>
        <w:rPr>
          <w:rFonts w:hint="eastAsia" w:ascii="宋体" w:hAnsi="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B.2 冶炼企业工业数据分类分级清单示例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367"/>
        <w:gridCol w:w="127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冶炼关键技术开发及工艺优化科研项目数据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国家科技计划项目相关数据，包括国家专项范围相关可行性研究报告、建设方案、科学数据、科技成果、产品技术研发路线以及相关知识产权数据，属于国家重大专项、重点研发计划等项目在规划和实施过程中产生的与国家科技安全相关高价值敏感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10-50GB（图纸文档、研究报告等）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冶炼工艺研发数据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包含新型冶炼工艺（如短流程冶炼、真空熔炼）的设计方案、关键参数（如反应温度、还原剂配比）、中试实验记录等，是企业技术突破和降本增效的核心支撑，直接决定冶炼效率与产品竞争力。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15-80GB（工艺设计图纸、实验参数等）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环保技术开发数据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包括污染物处理工艺（如烟气脱硫效率提升实验）、环保材料选型数据、超低排放技术验证报告等，关系企业环保合规性与绿色生产竞争力。</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5-30GB（脱硫脱硝工艺、废水处理实验等）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冶炼关键系统组件、设备控制数据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转炉/电解槽的温度、压力、电流等实时控制指令，以及深冷制氧、湿法制砷等高危生产环节中关键系统组件、设备的控制信息，用于冶炼生产过程中生产指令操作、控制和调度工作，涉及行业内未公开的先进基础工艺、重点危险化学品生产存储/严重影响生产安全的关键控制系统及联网控制器。属于在生产制造过程中，收集和产生的与行业生产安全发展相关的先进基础工艺参数、控制信息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冶炼工况监测数据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包括冶炼炉窑的能耗数据（如吨铜能耗）、炉气成分（如一氧化碳浓度）、冷却水流量等实时监测数据，用于判断生产状态是否正常，是故障预警的关键依据。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100GB-1TB/年（设备运行状态、介质参数等）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生产系统运行日志</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包括控制系统操作记录、设备故障报警日志（非核心参数异常）、数据采集断点记录等，主要用于事后追溯，不直接影响实时生产。</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50-300GB/年（操作记录、报警日志等）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危化品管理数据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包含冶炼硫酸、三氧化二砷、剧毒萃取剂等危化品的存储坐标、领用记录、泄漏应急处理预案数据，直接关系厂区安全与人员健康。</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1-5GB/年（存储位置、使用记录、应急处置等）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冶炼设备资产数据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涵盖熔炼炉、电解槽等核心设备的采购合同、折旧记录、技术参数），是企业生产能力的核心载体，关系固定资产管理与产能规划。</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2-10GB（设备台账、价值评估等）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安全生产管理数据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包括高温作业区安全防护记录、煤气泄漏应急演练视频数据、特种作业人员资质台账等，用于保障冶炼高风险环境下的生产安全。</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2-10GB/年（隐患排查、应急演练等）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人力资源与培训数据
</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涵盖冶炼车间工人岗位资质、安全培训考核成绩、薪酬发放记录等，主要用于内部人事管理，不直接影响生产工艺。</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500MB-2GB（员工档案、培训记录等）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冶炼产品质量数据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包括产品成分检测报告、缺陷品追溯数据、客户反馈的质量异议处理记录，直接影响下游加工企业合作与品牌声誉。</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1-8GB/年（质检报告、追溯记录等）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原材料采购与供应链数据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如铜精矿、铝土矿、铅锌矿、氧化铝、阳极炭块等原材料采购价格与渠道、供应商产能数据、运输损耗率记录等，关系原材料成本控制与供应链稳定性（如突发断供风险）。</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5-30GB/年（供应商信息、采购合同等）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生产经营计划与统计数据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包括冶炼产量计划、各车间生产任务分配表、能耗、主要产品产量、主要技术经济指标统计报表等，用于经营分析。</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1-5GB/年（月度计划、产量报表等）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行业环保标准数据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如国家大气污染物排放标准、地方环保政策解读等，用于对标合规，不涉及企业核心技术。</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500MB-2GB（国标/行标文件、解读报告等）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关键设备运维数据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涵盖冶炼炉炉衬更换周期数据、电解槽大修工艺记录、真空泵等关键设备的振动/温度趋势分析，关系设备寿命与生产连续性，避免非计划停机。</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5-30GB/年（检修记录、备件更换记录等）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冶炼物料调度数据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包括矿石从料场到冶炼炉的配送计划、中间产品（如粗铜）转运记录、辅料（如焦炭）库存调配数据等，反映物料流转效率。</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2-10GB/年（原料配送路线、物料平衡表等）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上下游企业共享数据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如下游加工企业对高纯阴极铜的成分要求、上游矿山的矿石品位预报数据，用于调整生产计划，保障产业链协同效率。</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1-5GB/年（需求预测、质量要求等）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bl>
    <w:p>
      <w:pPr>
        <w:keepNext w:val="0"/>
        <w:keepLines w:val="0"/>
        <w:widowControl/>
        <w:suppressLineNumbers w:val="0"/>
        <w:jc w:val="center"/>
        <w:rPr>
          <w:rFonts w:hint="eastAsia" w:ascii="黑体" w:hAnsi="黑体" w:eastAsia="黑体" w:cs="黑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B.3 加工企业工业数据分类分级清单示例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加工企业工业数据具有高精密性、多工序关联性及强客户定制化特征，数据分类分级以研发、生产、运维等数据域为基础，依据数据对加工精度、产品质量稳定性及市场竞争力的影响，划分为核心、重要和一般数据，覆盖工艺参数、质量检测等关键数据。加工企业工业数据分类分级清单示例见表</w:t>
      </w:r>
      <w:r>
        <w:rPr>
          <w:rFonts w:hint="eastAsia" w:ascii="宋体" w:hAnsi="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B.3 加工企业工业数据分类分级清单示例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4090"/>
        <w:gridCol w:w="1287"/>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数据类</w:t>
            </w:r>
            <w:r>
              <w:rPr>
                <w:rFonts w:hint="eastAsia" w:ascii="宋体" w:hAnsi="宋体" w:cs="宋体"/>
                <w:sz w:val="18"/>
                <w:szCs w:val="18"/>
                <w:lang w:val="en-US" w:eastAsia="zh-CN"/>
              </w:rPr>
              <w:t>别</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w:t>
            </w:r>
            <w:r>
              <w:rPr>
                <w:rFonts w:hint="eastAsia" w:ascii="宋体" w:hAnsi="宋体" w:cs="宋体"/>
                <w:sz w:val="18"/>
                <w:szCs w:val="18"/>
                <w:lang w:val="en-US" w:eastAsia="zh-CN"/>
              </w:rPr>
              <w:t>项</w:t>
            </w:r>
          </w:p>
        </w:tc>
        <w:tc>
          <w:tcPr>
            <w:tcW w:w="206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数据项说明</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数据级别</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数据量（参考）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产品研发设计数据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包含各类有色金属加工产品（如铝合金型材、铜箔等）的三维模型、结构设计图纸、材料选用参数等，是产品研发的核心成果，直接影响产品性能和市场竞争力。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20-100GB（三维模型、设计图纸等）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工艺改进实验数据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涵盖轧制工艺参数调整实验、热处理工艺改进数据、表面处理效果测试记录等，用于提升产品质量和生产效率，对企业经济效益有重要影响。</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5-30GB（实验记录、参数优化数据等）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新设备开发适配数据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包括为适应新型加工工艺而开发的设备参数匹配数据、设备调试过程中的运行数据、设备与工艺适配性测试记录等。</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10-50GB（设备参数匹配、调试数据等）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关键质量参数</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如产品尺寸公差范围、力学性能指标（抗拉强度、延伸率）、表面粗糙度要求等，直接决定产品是否符合标准，是企业产品质量的核心体现。</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10-80GB/年（质量检测标准、历史数据等）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生产过程控制信息</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涵盖轧制速度控制指令、温度调节信号、压力控制参数等，直接控制加工生产流程，其准确性和稳定性关乎产品质量与生产安全。</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生产工况监测数据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包括加工设备运行转速、电流、温度，车间环境温湿度、粉尘浓度等实时监测数据，是判断生产是否正常的重要依据，可及时发现生产异常。</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100GB-1GB/年（设备运行状态、环境数据等）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设备维护保养数据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涵盖加工设备定期保养计划、零部件更换记录、故障维修报告等，关系设备的使用寿命和运行稳定性，保障生产连续进行。</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5-20GB/年（保养计划、维修记录等）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生产物料调度数据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包括原材料从仓库到生产线的配送路线、加工成品的转运记录、物料批次追溯数据等，反映生产物料流转效率。</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1-5GB/年（物料配送路线、批次记录等）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工具工装管理数据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包含模具尺寸参数、刀具使用寿命记录、工装夹具维护数据等，直接影响加工精度和产品质量，避免因工具问题导致生产事故。</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2-10GB/年（工具参数、使用寿命记录等）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生产设备资产数据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涵盖加工设备（如轧机、冲压机）的资产台账、购置价值、折旧记录、设备技术参数等，是企业生产资产的重要组成部分，关系企业生产能力。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1-5GB（设备台账、价值评估等）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生产安全管理数据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包括车间安全检查记录、生产安全隐患整改数据、应急演练方案及结果记录等，保障生产过程中的人员和设备安全。</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1-5GB/年（安全检查记录、应急演练数据等）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人员岗位技能数据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包括员工岗位技能证书、专业培训记录、技能考核成绩等，主要用于人员岗位调配和技能提升管理，不直接影响核心生产。</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200-800MB（技能证书、培训记录等）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产品销售订单数据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包括产品销售订单详情、客户对产品的特殊要求、交货期约定等，关系企业的市场份额和客户满意度，反映企业市场响应能力。</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5-20GB/年（订单信息、客户需求等）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原材料采购供应数据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如有色金属原材料采购计划、供应商资质数据、采购价格及交货周期记录等，保障原材料稳定供应，影响生产连续性。</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5-20GB/年（采购计划、供应商信息等）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生产经营分析数据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包括月度及年度生产产量分析、产品成本核算、生产效率统计等数据，用于企业内部经营决策和管理优化。</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1-5GB/年（产量分析、成本核算等）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行业技术标准数据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包括国家及行业关于有色金属加工产品的技术标准、质量规范、环保要求等，用于指导企业生产合规产品。</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200-1000MB（标准文件、规范要求等）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市场竞争动态数据</w:t>
            </w: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如竞争对手的产品特点、市场价格策略、市场占有率变化等数据，用于企业制定市场竞争策略，应对市场变化。</w:t>
            </w: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1-5GB（竞争对手信息、市场份额等）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p>
        </w:tc>
        <w:tc>
          <w:tcPr>
            <w:tcW w:w="206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p>
        </w:tc>
        <w:tc>
          <w:tcPr>
            <w:tcW w:w="650"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p>
        </w:tc>
        <w:tc>
          <w:tcPr>
            <w:tcW w:w="990"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p>
        </w:tc>
      </w:tr>
    </w:tbl>
    <w:p/>
    <w:p/>
    <w:p>
      <w:r>
        <w:br w:type="page"/>
      </w:r>
    </w:p>
    <w:p>
      <w:pPr>
        <w:pStyle w:val="33"/>
        <w:rPr>
          <w:rFonts w:hint="eastAsia"/>
        </w:rPr>
      </w:pPr>
      <w:r>
        <w:rPr>
          <w:rFonts w:hint="eastAsia" w:ascii="黑体" w:hAnsi="黑体" w:eastAsia="黑体" w:cs="黑体"/>
          <w:b w:val="0"/>
          <w:bCs w:val="0"/>
          <w:sz w:val="21"/>
          <w:szCs w:val="21"/>
          <w:lang w:val="en-US" w:eastAsia="zh-CN"/>
        </w:rPr>
        <w:t>参 考 文 献</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lang w:val="en-US" w:eastAsia="zh-CN"/>
        </w:rPr>
        <w:t>[1] 中华人民共和国网络安全法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[2] 中华人民共和国数据安全法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[3] 中华人民共和国个人信息保护法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[4] 网络数据安全管理条例</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 xml:space="preserve">[5] </w:t>
      </w:r>
      <w:r>
        <w:rPr>
          <w:rFonts w:hint="eastAsia" w:ascii="宋体" w:hAnsi="宋体" w:eastAsia="宋体" w:cs="宋体"/>
          <w:color w:val="auto"/>
          <w:kern w:val="2"/>
          <w:sz w:val="21"/>
          <w:szCs w:val="21"/>
          <w:lang w:val="en-US" w:eastAsia="zh-CN"/>
        </w:rPr>
        <w:t>工业数据分类分级指南（试行）</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[6] 工业和信息化领域数据安全管理办法（试行）</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[7] 工业领域数据安全能力提升实施方案（2024-2026年）</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p>
    <w:p>
      <w:pPr>
        <w:pStyle w:val="30"/>
        <w:bidi w:val="0"/>
        <w:jc w:val="center"/>
        <w:rPr>
          <w:rFonts w:hint="default"/>
          <w:lang w:val="en-US" w:eastAsia="zh-CN"/>
        </w:rPr>
      </w:pPr>
      <w:r>
        <w:rPr>
          <w:rFonts w:hint="eastAsia"/>
          <w:lang w:val="en-US" w:eastAsia="zh-CN"/>
        </w:rPr>
        <w:t>______________________________</w:t>
      </w:r>
    </w:p>
    <w:sectPr>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rPr>
      <w:t>YS/T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DFE66"/>
    <w:multiLevelType w:val="multilevel"/>
    <w:tmpl w:val="8AADFE66"/>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3C870A6"/>
    <w:multiLevelType w:val="multilevel"/>
    <w:tmpl w:val="93C870A6"/>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A3B7D1F4"/>
    <w:multiLevelType w:val="multilevel"/>
    <w:tmpl w:val="A3B7D1F4"/>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FCA8EC13"/>
    <w:multiLevelType w:val="multilevel"/>
    <w:tmpl w:val="FCA8EC13"/>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F9C7C17"/>
    <w:multiLevelType w:val="multilevel"/>
    <w:tmpl w:val="0F9C7C17"/>
    <w:lvl w:ilvl="0" w:tentative="0">
      <w:start w:val="1"/>
      <w:numFmt w:val="decimal"/>
      <w:lvlText w:val="%1"/>
      <w:lvlJc w:val="left"/>
      <w:pPr>
        <w:ind w:left="432" w:hanging="432"/>
      </w:pPr>
      <w:rPr>
        <w:rFonts w:hint="default"/>
        <w:b/>
        <w:bCs/>
      </w:rPr>
    </w:lvl>
    <w:lvl w:ilvl="1" w:tentative="0">
      <w:start w:val="1"/>
      <w:numFmt w:val="decimal"/>
      <w:pStyle w:val="2"/>
      <w:lvlText w:val="%1.%2"/>
      <w:lvlJc w:val="left"/>
      <w:pPr>
        <w:ind w:left="576" w:hanging="576"/>
      </w:pPr>
      <w:rPr>
        <w:rFonts w:hint="default" w:ascii="黑体" w:hAnsi="黑体" w:eastAsia="黑体"/>
        <w:b/>
        <w:bCs/>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ascii="黑体" w:hAnsi="黑体" w:eastAsia="黑体"/>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1F6A8368"/>
    <w:multiLevelType w:val="multilevel"/>
    <w:tmpl w:val="1F6A836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none"/>
      <w:lvlText w:val="注："/>
      <w:lvlJc w:val="left"/>
      <w:pPr>
        <w:ind w:left="1270" w:leftChars="0" w:hanging="430" w:firstLineChars="0"/>
      </w:pPr>
      <w:rPr>
        <w:rFonts w:hint="default" w:ascii="黑体" w:hAnsi="黑体" w:eastAsia="黑体" w:cs="黑体"/>
        <w:b w:val="0"/>
        <w:bC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B52EDBE"/>
    <w:multiLevelType w:val="multilevel"/>
    <w:tmpl w:val="2B52EDBE"/>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4D6E7ED1"/>
    <w:multiLevelType w:val="multilevel"/>
    <w:tmpl w:val="4D6E7ED1"/>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500CA415"/>
    <w:multiLevelType w:val="multilevel"/>
    <w:tmpl w:val="500CA415"/>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646260FA"/>
    <w:multiLevelType w:val="multilevel"/>
    <w:tmpl w:val="646260FA"/>
    <w:lvl w:ilvl="0" w:tentative="0">
      <w:start w:val="1"/>
      <w:numFmt w:val="decimal"/>
      <w:pStyle w:val="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1C5BB0"/>
    <w:multiLevelType w:val="multilevel"/>
    <w:tmpl w:val="6D1C5BB0"/>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7ACCCBAA"/>
    <w:multiLevelType w:val="multilevel"/>
    <w:tmpl w:val="7ACCCBAA"/>
    <w:lvl w:ilvl="0" w:tentative="0">
      <w:start w:val="1"/>
      <w:numFmt w:val="lowerLetter"/>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9"/>
  </w:num>
  <w:num w:numId="3">
    <w:abstractNumId w:val="10"/>
  </w:num>
  <w:num w:numId="4">
    <w:abstractNumId w:val="12"/>
  </w:num>
  <w:num w:numId="5">
    <w:abstractNumId w:val="11"/>
  </w:num>
  <w:num w:numId="6">
    <w:abstractNumId w:val="1"/>
  </w:num>
  <w:num w:numId="7">
    <w:abstractNumId w:val="5"/>
  </w:num>
  <w:num w:numId="8">
    <w:abstractNumId w:val="6"/>
  </w:num>
  <w:num w:numId="9">
    <w:abstractNumId w:val="2"/>
  </w:num>
  <w:num w:numId="10">
    <w:abstractNumId w:val="8"/>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ZmNhODdlMGIxMDc1Mjk0NzgyMzFlNDY4MjM2MDAifQ=="/>
  </w:docVars>
  <w:rsids>
    <w:rsidRoot w:val="39F16015"/>
    <w:rsid w:val="003C4B21"/>
    <w:rsid w:val="003D49F4"/>
    <w:rsid w:val="004D720D"/>
    <w:rsid w:val="00C63F9E"/>
    <w:rsid w:val="010D654B"/>
    <w:rsid w:val="01DA1937"/>
    <w:rsid w:val="01DF087E"/>
    <w:rsid w:val="01F4435B"/>
    <w:rsid w:val="02014C63"/>
    <w:rsid w:val="022A2F1B"/>
    <w:rsid w:val="02755A93"/>
    <w:rsid w:val="028E7122"/>
    <w:rsid w:val="030D12B9"/>
    <w:rsid w:val="03161237"/>
    <w:rsid w:val="03256636"/>
    <w:rsid w:val="040B51EE"/>
    <w:rsid w:val="05145458"/>
    <w:rsid w:val="054576D8"/>
    <w:rsid w:val="05471393"/>
    <w:rsid w:val="057B3CD5"/>
    <w:rsid w:val="05972365"/>
    <w:rsid w:val="05B74BAA"/>
    <w:rsid w:val="05F33875"/>
    <w:rsid w:val="064A2E72"/>
    <w:rsid w:val="065910BF"/>
    <w:rsid w:val="065D535C"/>
    <w:rsid w:val="06B75EE8"/>
    <w:rsid w:val="072169E8"/>
    <w:rsid w:val="07CA2ED7"/>
    <w:rsid w:val="07F6721E"/>
    <w:rsid w:val="07FA7E23"/>
    <w:rsid w:val="081741D0"/>
    <w:rsid w:val="0853529F"/>
    <w:rsid w:val="08E01DA3"/>
    <w:rsid w:val="09161874"/>
    <w:rsid w:val="098531AD"/>
    <w:rsid w:val="09883B98"/>
    <w:rsid w:val="098F0FA5"/>
    <w:rsid w:val="0A0100FD"/>
    <w:rsid w:val="0A6506AD"/>
    <w:rsid w:val="0A920D6E"/>
    <w:rsid w:val="0BB9314C"/>
    <w:rsid w:val="0C02670B"/>
    <w:rsid w:val="0C1237DB"/>
    <w:rsid w:val="0C420E51"/>
    <w:rsid w:val="0C9E289C"/>
    <w:rsid w:val="0CD90829"/>
    <w:rsid w:val="0CDF2E28"/>
    <w:rsid w:val="0D4C342B"/>
    <w:rsid w:val="0D4C6FD9"/>
    <w:rsid w:val="0D9D78B8"/>
    <w:rsid w:val="0DAE2F9F"/>
    <w:rsid w:val="0E2F1962"/>
    <w:rsid w:val="0E324ADA"/>
    <w:rsid w:val="0E3A1CFF"/>
    <w:rsid w:val="0E960F7B"/>
    <w:rsid w:val="0EBA2435"/>
    <w:rsid w:val="0EE42D5D"/>
    <w:rsid w:val="0F262DE9"/>
    <w:rsid w:val="0F4C207B"/>
    <w:rsid w:val="0F5F7EB5"/>
    <w:rsid w:val="0F642379"/>
    <w:rsid w:val="0F697787"/>
    <w:rsid w:val="0F6D575B"/>
    <w:rsid w:val="0F7E1C23"/>
    <w:rsid w:val="0F914696"/>
    <w:rsid w:val="102E0E8F"/>
    <w:rsid w:val="10B647F9"/>
    <w:rsid w:val="10D242CF"/>
    <w:rsid w:val="10D53811"/>
    <w:rsid w:val="111B4D7F"/>
    <w:rsid w:val="11825B20"/>
    <w:rsid w:val="11B248DD"/>
    <w:rsid w:val="11DF2DD0"/>
    <w:rsid w:val="11F34201"/>
    <w:rsid w:val="12290C30"/>
    <w:rsid w:val="123D1F30"/>
    <w:rsid w:val="12552C20"/>
    <w:rsid w:val="125606A2"/>
    <w:rsid w:val="12B90746"/>
    <w:rsid w:val="138E0F73"/>
    <w:rsid w:val="13CF716E"/>
    <w:rsid w:val="1429347C"/>
    <w:rsid w:val="143C0B97"/>
    <w:rsid w:val="143D2B06"/>
    <w:rsid w:val="14691EDC"/>
    <w:rsid w:val="146E3FB5"/>
    <w:rsid w:val="1478454C"/>
    <w:rsid w:val="148771E4"/>
    <w:rsid w:val="14994BCF"/>
    <w:rsid w:val="14F670A8"/>
    <w:rsid w:val="15200185"/>
    <w:rsid w:val="15D12ED7"/>
    <w:rsid w:val="15D361A8"/>
    <w:rsid w:val="16526AEE"/>
    <w:rsid w:val="167C35DD"/>
    <w:rsid w:val="16A843D2"/>
    <w:rsid w:val="16BB13FE"/>
    <w:rsid w:val="16CF58CF"/>
    <w:rsid w:val="16E7123F"/>
    <w:rsid w:val="171C0D51"/>
    <w:rsid w:val="17A53209"/>
    <w:rsid w:val="17C95FBA"/>
    <w:rsid w:val="17D2397F"/>
    <w:rsid w:val="1822066F"/>
    <w:rsid w:val="18565113"/>
    <w:rsid w:val="18702526"/>
    <w:rsid w:val="19696774"/>
    <w:rsid w:val="19A17550"/>
    <w:rsid w:val="1A0E6C42"/>
    <w:rsid w:val="1A6C44A8"/>
    <w:rsid w:val="1A7A6085"/>
    <w:rsid w:val="1A7F13E7"/>
    <w:rsid w:val="1A821E92"/>
    <w:rsid w:val="1A953AA2"/>
    <w:rsid w:val="1AB62205"/>
    <w:rsid w:val="1B0A7C6C"/>
    <w:rsid w:val="1B15245C"/>
    <w:rsid w:val="1B7262F1"/>
    <w:rsid w:val="1B920E49"/>
    <w:rsid w:val="1BD318B3"/>
    <w:rsid w:val="1BF223F6"/>
    <w:rsid w:val="1C182059"/>
    <w:rsid w:val="1C3B2AED"/>
    <w:rsid w:val="1CBB4733"/>
    <w:rsid w:val="1CBF78B4"/>
    <w:rsid w:val="1CF06807"/>
    <w:rsid w:val="1D0D78A7"/>
    <w:rsid w:val="1D381F16"/>
    <w:rsid w:val="1D40788B"/>
    <w:rsid w:val="1D8E0EC0"/>
    <w:rsid w:val="1DD41F50"/>
    <w:rsid w:val="1DE01993"/>
    <w:rsid w:val="1DFE2229"/>
    <w:rsid w:val="1E2123EB"/>
    <w:rsid w:val="1E4D0963"/>
    <w:rsid w:val="1EA06BBB"/>
    <w:rsid w:val="1EF905BE"/>
    <w:rsid w:val="1F0957C1"/>
    <w:rsid w:val="1F251A49"/>
    <w:rsid w:val="1F5155C6"/>
    <w:rsid w:val="1F682713"/>
    <w:rsid w:val="1FC11EA9"/>
    <w:rsid w:val="1FC513E7"/>
    <w:rsid w:val="1FEC48D3"/>
    <w:rsid w:val="200D799B"/>
    <w:rsid w:val="205729C5"/>
    <w:rsid w:val="206B7D6A"/>
    <w:rsid w:val="20C813D6"/>
    <w:rsid w:val="20D538AC"/>
    <w:rsid w:val="20F47035"/>
    <w:rsid w:val="21346507"/>
    <w:rsid w:val="21477726"/>
    <w:rsid w:val="217E3234"/>
    <w:rsid w:val="21A97250"/>
    <w:rsid w:val="22071169"/>
    <w:rsid w:val="220821C8"/>
    <w:rsid w:val="223B6B95"/>
    <w:rsid w:val="224131C1"/>
    <w:rsid w:val="228274AE"/>
    <w:rsid w:val="229049BB"/>
    <w:rsid w:val="22974956"/>
    <w:rsid w:val="22BC2D38"/>
    <w:rsid w:val="22CC3FAD"/>
    <w:rsid w:val="22D66FF2"/>
    <w:rsid w:val="22DE117B"/>
    <w:rsid w:val="22E57F9E"/>
    <w:rsid w:val="22F85279"/>
    <w:rsid w:val="230B1E6C"/>
    <w:rsid w:val="2321399F"/>
    <w:rsid w:val="234E5CCC"/>
    <w:rsid w:val="23547806"/>
    <w:rsid w:val="24424E18"/>
    <w:rsid w:val="247B4B68"/>
    <w:rsid w:val="24952361"/>
    <w:rsid w:val="24976644"/>
    <w:rsid w:val="24E013A4"/>
    <w:rsid w:val="24F14CA9"/>
    <w:rsid w:val="24FD2909"/>
    <w:rsid w:val="25420DC4"/>
    <w:rsid w:val="25446CB1"/>
    <w:rsid w:val="2576388D"/>
    <w:rsid w:val="25847E20"/>
    <w:rsid w:val="26793BE5"/>
    <w:rsid w:val="268D703C"/>
    <w:rsid w:val="26E543C0"/>
    <w:rsid w:val="27135C28"/>
    <w:rsid w:val="27544493"/>
    <w:rsid w:val="27663A80"/>
    <w:rsid w:val="27DD6975"/>
    <w:rsid w:val="27FB3942"/>
    <w:rsid w:val="27FC1E61"/>
    <w:rsid w:val="28193077"/>
    <w:rsid w:val="284C5E4A"/>
    <w:rsid w:val="290B259E"/>
    <w:rsid w:val="29250FED"/>
    <w:rsid w:val="29B35110"/>
    <w:rsid w:val="29BE7AA7"/>
    <w:rsid w:val="29C33313"/>
    <w:rsid w:val="2A072B1B"/>
    <w:rsid w:val="2A0D63FD"/>
    <w:rsid w:val="2A68414C"/>
    <w:rsid w:val="2AC670C5"/>
    <w:rsid w:val="2B597F39"/>
    <w:rsid w:val="2B715282"/>
    <w:rsid w:val="2BB90718"/>
    <w:rsid w:val="2BCE1BDE"/>
    <w:rsid w:val="2C090FCE"/>
    <w:rsid w:val="2C0C79D5"/>
    <w:rsid w:val="2C5D3253"/>
    <w:rsid w:val="2CE91E27"/>
    <w:rsid w:val="2CEB405C"/>
    <w:rsid w:val="2D364B93"/>
    <w:rsid w:val="2D900586"/>
    <w:rsid w:val="2DA21723"/>
    <w:rsid w:val="2DD64A42"/>
    <w:rsid w:val="2F352725"/>
    <w:rsid w:val="2F397228"/>
    <w:rsid w:val="2F70752B"/>
    <w:rsid w:val="2FDA2024"/>
    <w:rsid w:val="30073ABF"/>
    <w:rsid w:val="30161F54"/>
    <w:rsid w:val="30233650"/>
    <w:rsid w:val="30263F71"/>
    <w:rsid w:val="306E51F2"/>
    <w:rsid w:val="30AF613B"/>
    <w:rsid w:val="30B55C11"/>
    <w:rsid w:val="312456BF"/>
    <w:rsid w:val="31937B62"/>
    <w:rsid w:val="323077C6"/>
    <w:rsid w:val="324C0285"/>
    <w:rsid w:val="32807969"/>
    <w:rsid w:val="32917273"/>
    <w:rsid w:val="32E60304"/>
    <w:rsid w:val="32EF2E0A"/>
    <w:rsid w:val="33111651"/>
    <w:rsid w:val="334A7032"/>
    <w:rsid w:val="33C0792A"/>
    <w:rsid w:val="33C84CBD"/>
    <w:rsid w:val="33F407FF"/>
    <w:rsid w:val="345614B9"/>
    <w:rsid w:val="346E5C12"/>
    <w:rsid w:val="34836482"/>
    <w:rsid w:val="34C71F3F"/>
    <w:rsid w:val="350D68A4"/>
    <w:rsid w:val="35215623"/>
    <w:rsid w:val="353820E0"/>
    <w:rsid w:val="35B47D0F"/>
    <w:rsid w:val="361E5A4A"/>
    <w:rsid w:val="36E94025"/>
    <w:rsid w:val="374643BF"/>
    <w:rsid w:val="37553E76"/>
    <w:rsid w:val="37751A06"/>
    <w:rsid w:val="37C4673A"/>
    <w:rsid w:val="37E56B2E"/>
    <w:rsid w:val="37EB7B3F"/>
    <w:rsid w:val="38455ACD"/>
    <w:rsid w:val="38542969"/>
    <w:rsid w:val="38834C85"/>
    <w:rsid w:val="38C05E29"/>
    <w:rsid w:val="38DA0B62"/>
    <w:rsid w:val="39251919"/>
    <w:rsid w:val="39487007"/>
    <w:rsid w:val="39C22DE4"/>
    <w:rsid w:val="39CD5D7A"/>
    <w:rsid w:val="39F16015"/>
    <w:rsid w:val="3A0A3189"/>
    <w:rsid w:val="3A0C2FBD"/>
    <w:rsid w:val="3A234F15"/>
    <w:rsid w:val="3A4606E3"/>
    <w:rsid w:val="3A844811"/>
    <w:rsid w:val="3B056063"/>
    <w:rsid w:val="3B0752BB"/>
    <w:rsid w:val="3B4007CD"/>
    <w:rsid w:val="3B564B69"/>
    <w:rsid w:val="3B5C15F8"/>
    <w:rsid w:val="3B6B5FCD"/>
    <w:rsid w:val="3B77509E"/>
    <w:rsid w:val="3B927D15"/>
    <w:rsid w:val="3B993054"/>
    <w:rsid w:val="3BC02F13"/>
    <w:rsid w:val="3BEB698B"/>
    <w:rsid w:val="3C1557B6"/>
    <w:rsid w:val="3C353CE7"/>
    <w:rsid w:val="3C5E53AF"/>
    <w:rsid w:val="3C8C7AEE"/>
    <w:rsid w:val="3C97441D"/>
    <w:rsid w:val="3CC03DB6"/>
    <w:rsid w:val="3D007B53"/>
    <w:rsid w:val="3D623944"/>
    <w:rsid w:val="3D8C40DD"/>
    <w:rsid w:val="3E383B83"/>
    <w:rsid w:val="3E3F0633"/>
    <w:rsid w:val="3E7D754F"/>
    <w:rsid w:val="3EAB715E"/>
    <w:rsid w:val="3EC13ECC"/>
    <w:rsid w:val="3EE51CD9"/>
    <w:rsid w:val="3EFA6251"/>
    <w:rsid w:val="3F034249"/>
    <w:rsid w:val="3F30526F"/>
    <w:rsid w:val="3F495844"/>
    <w:rsid w:val="3FB50A00"/>
    <w:rsid w:val="3FB848CA"/>
    <w:rsid w:val="3FC456AD"/>
    <w:rsid w:val="3FCF5C3C"/>
    <w:rsid w:val="3FE32840"/>
    <w:rsid w:val="4034639D"/>
    <w:rsid w:val="406C796F"/>
    <w:rsid w:val="408137D6"/>
    <w:rsid w:val="40BB71EE"/>
    <w:rsid w:val="40F07398"/>
    <w:rsid w:val="4148218A"/>
    <w:rsid w:val="414C7ECC"/>
    <w:rsid w:val="41933FD4"/>
    <w:rsid w:val="41A73FD7"/>
    <w:rsid w:val="41AD7A52"/>
    <w:rsid w:val="41D167BE"/>
    <w:rsid w:val="41D47692"/>
    <w:rsid w:val="41DD5436"/>
    <w:rsid w:val="41E71F48"/>
    <w:rsid w:val="41EC49D0"/>
    <w:rsid w:val="421D2BB5"/>
    <w:rsid w:val="425C68A4"/>
    <w:rsid w:val="42BF4F03"/>
    <w:rsid w:val="44546EE9"/>
    <w:rsid w:val="448A687F"/>
    <w:rsid w:val="44B042CE"/>
    <w:rsid w:val="44CF12C8"/>
    <w:rsid w:val="44E53C46"/>
    <w:rsid w:val="45131C52"/>
    <w:rsid w:val="455C6204"/>
    <w:rsid w:val="45737BDF"/>
    <w:rsid w:val="45823382"/>
    <w:rsid w:val="458A7911"/>
    <w:rsid w:val="46177DFD"/>
    <w:rsid w:val="464F66B7"/>
    <w:rsid w:val="470D43A0"/>
    <w:rsid w:val="471B6F39"/>
    <w:rsid w:val="472C13D1"/>
    <w:rsid w:val="473429D4"/>
    <w:rsid w:val="474657FE"/>
    <w:rsid w:val="47555600"/>
    <w:rsid w:val="477B49D4"/>
    <w:rsid w:val="47D93B3C"/>
    <w:rsid w:val="47EF7803"/>
    <w:rsid w:val="4849586A"/>
    <w:rsid w:val="48503071"/>
    <w:rsid w:val="4851260D"/>
    <w:rsid w:val="48804281"/>
    <w:rsid w:val="488F1019"/>
    <w:rsid w:val="48A04659"/>
    <w:rsid w:val="48E51A62"/>
    <w:rsid w:val="49984538"/>
    <w:rsid w:val="49BD3C89"/>
    <w:rsid w:val="49C01457"/>
    <w:rsid w:val="49C51AD6"/>
    <w:rsid w:val="49E366AE"/>
    <w:rsid w:val="49F20EE5"/>
    <w:rsid w:val="4A1E1CDA"/>
    <w:rsid w:val="4A2E73B2"/>
    <w:rsid w:val="4A5F5EDB"/>
    <w:rsid w:val="4A9A58AC"/>
    <w:rsid w:val="4B7B46F0"/>
    <w:rsid w:val="4BBD5522"/>
    <w:rsid w:val="4BC04353"/>
    <w:rsid w:val="4BFE4527"/>
    <w:rsid w:val="4C265CC6"/>
    <w:rsid w:val="4C4D523C"/>
    <w:rsid w:val="4C675DE6"/>
    <w:rsid w:val="4CC103F0"/>
    <w:rsid w:val="4CE27C75"/>
    <w:rsid w:val="4CE64136"/>
    <w:rsid w:val="4D2D012D"/>
    <w:rsid w:val="4D322037"/>
    <w:rsid w:val="4D35565B"/>
    <w:rsid w:val="4D3A7CC9"/>
    <w:rsid w:val="4D5B106D"/>
    <w:rsid w:val="4D601FB1"/>
    <w:rsid w:val="4D7A191D"/>
    <w:rsid w:val="4E0D0129"/>
    <w:rsid w:val="4E226D28"/>
    <w:rsid w:val="4E5F4707"/>
    <w:rsid w:val="4E803ED7"/>
    <w:rsid w:val="4EB12A71"/>
    <w:rsid w:val="4F1A33B7"/>
    <w:rsid w:val="4F1F148C"/>
    <w:rsid w:val="4F3062A5"/>
    <w:rsid w:val="4F31425D"/>
    <w:rsid w:val="4F696084"/>
    <w:rsid w:val="4F797BAB"/>
    <w:rsid w:val="4F975561"/>
    <w:rsid w:val="4F9C201E"/>
    <w:rsid w:val="4FB229E9"/>
    <w:rsid w:val="50233325"/>
    <w:rsid w:val="502718C3"/>
    <w:rsid w:val="505179D5"/>
    <w:rsid w:val="50671B79"/>
    <w:rsid w:val="50AB003F"/>
    <w:rsid w:val="512A02E4"/>
    <w:rsid w:val="513F39D2"/>
    <w:rsid w:val="51964985"/>
    <w:rsid w:val="51B82F1C"/>
    <w:rsid w:val="52671844"/>
    <w:rsid w:val="52F01600"/>
    <w:rsid w:val="53463BFC"/>
    <w:rsid w:val="53614D5A"/>
    <w:rsid w:val="543737DA"/>
    <w:rsid w:val="545C1D7C"/>
    <w:rsid w:val="545F66E9"/>
    <w:rsid w:val="548079D5"/>
    <w:rsid w:val="54AF0B23"/>
    <w:rsid w:val="54E04737"/>
    <w:rsid w:val="54E253E0"/>
    <w:rsid w:val="54FD1AC9"/>
    <w:rsid w:val="557D7F01"/>
    <w:rsid w:val="55AF78A6"/>
    <w:rsid w:val="55C51FC5"/>
    <w:rsid w:val="56BC4265"/>
    <w:rsid w:val="56BF6FF0"/>
    <w:rsid w:val="56D26C7F"/>
    <w:rsid w:val="57720D7B"/>
    <w:rsid w:val="577F009D"/>
    <w:rsid w:val="579221F0"/>
    <w:rsid w:val="57C24823"/>
    <w:rsid w:val="57DB56EB"/>
    <w:rsid w:val="58923090"/>
    <w:rsid w:val="58A13AA3"/>
    <w:rsid w:val="595E51D7"/>
    <w:rsid w:val="59C772F1"/>
    <w:rsid w:val="59E35ED0"/>
    <w:rsid w:val="5A3F7DB6"/>
    <w:rsid w:val="5ABF3065"/>
    <w:rsid w:val="5B0E2582"/>
    <w:rsid w:val="5B1369AF"/>
    <w:rsid w:val="5B653E6E"/>
    <w:rsid w:val="5B6E15E4"/>
    <w:rsid w:val="5B81476F"/>
    <w:rsid w:val="5BBF5B13"/>
    <w:rsid w:val="5BC94674"/>
    <w:rsid w:val="5BE30FD5"/>
    <w:rsid w:val="5BF32AEA"/>
    <w:rsid w:val="5C001C90"/>
    <w:rsid w:val="5C401B37"/>
    <w:rsid w:val="5CC826A5"/>
    <w:rsid w:val="5CFE0FC7"/>
    <w:rsid w:val="5D152E0F"/>
    <w:rsid w:val="5D3808CD"/>
    <w:rsid w:val="5D6B3074"/>
    <w:rsid w:val="5D83481E"/>
    <w:rsid w:val="5D995DEF"/>
    <w:rsid w:val="5DAF64AB"/>
    <w:rsid w:val="5E495364"/>
    <w:rsid w:val="5EC75A8B"/>
    <w:rsid w:val="5EFB537D"/>
    <w:rsid w:val="5EFD25E1"/>
    <w:rsid w:val="5EFF27C0"/>
    <w:rsid w:val="5F2C1A7B"/>
    <w:rsid w:val="5F2D46F6"/>
    <w:rsid w:val="5FB80565"/>
    <w:rsid w:val="600E6E0D"/>
    <w:rsid w:val="60680A3A"/>
    <w:rsid w:val="606E01A6"/>
    <w:rsid w:val="607C7302"/>
    <w:rsid w:val="60FD1644"/>
    <w:rsid w:val="60FE69AF"/>
    <w:rsid w:val="61135DC9"/>
    <w:rsid w:val="611F660B"/>
    <w:rsid w:val="61233DE1"/>
    <w:rsid w:val="61276FB4"/>
    <w:rsid w:val="61357BDD"/>
    <w:rsid w:val="617678F3"/>
    <w:rsid w:val="618F1AB2"/>
    <w:rsid w:val="61C54741"/>
    <w:rsid w:val="61D554B4"/>
    <w:rsid w:val="620424D9"/>
    <w:rsid w:val="620C3034"/>
    <w:rsid w:val="6222328F"/>
    <w:rsid w:val="62B45C9F"/>
    <w:rsid w:val="62C236F2"/>
    <w:rsid w:val="62CC2C2D"/>
    <w:rsid w:val="62EE47AC"/>
    <w:rsid w:val="63562F74"/>
    <w:rsid w:val="63D412A5"/>
    <w:rsid w:val="642B6186"/>
    <w:rsid w:val="646E3B0C"/>
    <w:rsid w:val="651803A5"/>
    <w:rsid w:val="655B398A"/>
    <w:rsid w:val="658265DD"/>
    <w:rsid w:val="659F7039"/>
    <w:rsid w:val="65AC11C4"/>
    <w:rsid w:val="65FA13F5"/>
    <w:rsid w:val="660D2DBF"/>
    <w:rsid w:val="662D6FF1"/>
    <w:rsid w:val="66615CF5"/>
    <w:rsid w:val="672940C9"/>
    <w:rsid w:val="67A05FCC"/>
    <w:rsid w:val="682643EB"/>
    <w:rsid w:val="6829511B"/>
    <w:rsid w:val="68924F9A"/>
    <w:rsid w:val="68A276A3"/>
    <w:rsid w:val="68A7750E"/>
    <w:rsid w:val="69112B6D"/>
    <w:rsid w:val="691873F2"/>
    <w:rsid w:val="692B7910"/>
    <w:rsid w:val="693B5546"/>
    <w:rsid w:val="69A41DA4"/>
    <w:rsid w:val="6A384ADA"/>
    <w:rsid w:val="6A4860BB"/>
    <w:rsid w:val="6A571104"/>
    <w:rsid w:val="6AE7483F"/>
    <w:rsid w:val="6B23052E"/>
    <w:rsid w:val="6B3B3325"/>
    <w:rsid w:val="6B3C2484"/>
    <w:rsid w:val="6BD44496"/>
    <w:rsid w:val="6BFD677B"/>
    <w:rsid w:val="6C37119B"/>
    <w:rsid w:val="6C442A2F"/>
    <w:rsid w:val="6C4A1337"/>
    <w:rsid w:val="6C4B45B8"/>
    <w:rsid w:val="6C5C0714"/>
    <w:rsid w:val="6CDB15B9"/>
    <w:rsid w:val="6CE61263"/>
    <w:rsid w:val="6D512242"/>
    <w:rsid w:val="6D6A4A10"/>
    <w:rsid w:val="6D7E5A8E"/>
    <w:rsid w:val="6DB07703"/>
    <w:rsid w:val="6DC26339"/>
    <w:rsid w:val="6DC31DCA"/>
    <w:rsid w:val="6DED797A"/>
    <w:rsid w:val="6E35795C"/>
    <w:rsid w:val="6E5C4E76"/>
    <w:rsid w:val="6E8E04A4"/>
    <w:rsid w:val="6F93328A"/>
    <w:rsid w:val="6FA21DDE"/>
    <w:rsid w:val="6FC41126"/>
    <w:rsid w:val="6FC778CB"/>
    <w:rsid w:val="6FEA15AC"/>
    <w:rsid w:val="714A6763"/>
    <w:rsid w:val="71716B68"/>
    <w:rsid w:val="71791D1D"/>
    <w:rsid w:val="719A5A6F"/>
    <w:rsid w:val="71AA5A25"/>
    <w:rsid w:val="71C92D3B"/>
    <w:rsid w:val="71D701A8"/>
    <w:rsid w:val="71F87130"/>
    <w:rsid w:val="71FE3596"/>
    <w:rsid w:val="7242215A"/>
    <w:rsid w:val="72BF1FCE"/>
    <w:rsid w:val="72FE5C6B"/>
    <w:rsid w:val="730E3151"/>
    <w:rsid w:val="737838B2"/>
    <w:rsid w:val="73843011"/>
    <w:rsid w:val="738D4559"/>
    <w:rsid w:val="74F556AA"/>
    <w:rsid w:val="751C4038"/>
    <w:rsid w:val="75FC27A0"/>
    <w:rsid w:val="76027B23"/>
    <w:rsid w:val="76120095"/>
    <w:rsid w:val="76175C62"/>
    <w:rsid w:val="761B0CC8"/>
    <w:rsid w:val="76263B40"/>
    <w:rsid w:val="765C5BBE"/>
    <w:rsid w:val="76AE3D4D"/>
    <w:rsid w:val="771D4F43"/>
    <w:rsid w:val="774C3647"/>
    <w:rsid w:val="775C1463"/>
    <w:rsid w:val="77AB07A1"/>
    <w:rsid w:val="77BF7E83"/>
    <w:rsid w:val="77F50340"/>
    <w:rsid w:val="7831493E"/>
    <w:rsid w:val="78592911"/>
    <w:rsid w:val="7868492C"/>
    <w:rsid w:val="79382508"/>
    <w:rsid w:val="79471B51"/>
    <w:rsid w:val="79637177"/>
    <w:rsid w:val="797A4987"/>
    <w:rsid w:val="798450E7"/>
    <w:rsid w:val="79A22C08"/>
    <w:rsid w:val="79B86F11"/>
    <w:rsid w:val="79ED56BC"/>
    <w:rsid w:val="79F77CCE"/>
    <w:rsid w:val="7A1563A6"/>
    <w:rsid w:val="7A4B76EC"/>
    <w:rsid w:val="7A5944E4"/>
    <w:rsid w:val="7A6E7F35"/>
    <w:rsid w:val="7A703BEB"/>
    <w:rsid w:val="7A7A3D98"/>
    <w:rsid w:val="7A8F43AA"/>
    <w:rsid w:val="7AC95061"/>
    <w:rsid w:val="7B172B57"/>
    <w:rsid w:val="7BBE37CE"/>
    <w:rsid w:val="7BF001E1"/>
    <w:rsid w:val="7C081A8C"/>
    <w:rsid w:val="7CF505C4"/>
    <w:rsid w:val="7D08162E"/>
    <w:rsid w:val="7D1E3FE0"/>
    <w:rsid w:val="7D677C98"/>
    <w:rsid w:val="7D6A489F"/>
    <w:rsid w:val="7D70024B"/>
    <w:rsid w:val="7D8442E1"/>
    <w:rsid w:val="7DB5691B"/>
    <w:rsid w:val="7EA53AC7"/>
    <w:rsid w:val="7EC860DC"/>
    <w:rsid w:val="7EF377C6"/>
    <w:rsid w:val="7F455CF9"/>
    <w:rsid w:val="7FE5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outlineLvl w:val="1"/>
    </w:pPr>
    <w:rPr>
      <w:rFonts w:ascii="等线 Light" w:hAnsi="等线 Light" w:eastAsia="黑体"/>
      <w:bCs/>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黑体"/>
      <w:b/>
      <w:sz w:val="21"/>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right" w:leader="dot" w:pos="9241"/>
      </w:tabs>
      <w:ind w:firstLine="210" w:firstLineChars="100"/>
      <w:jc w:val="left"/>
    </w:pPr>
    <w:rPr>
      <w:rFonts w:ascii="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9">
    <w:name w:val="toc 2"/>
    <w:basedOn w:val="1"/>
    <w:next w:val="1"/>
    <w:qFormat/>
    <w:uiPriority w:val="39"/>
    <w:pPr>
      <w:tabs>
        <w:tab w:val="left" w:pos="1470"/>
        <w:tab w:val="right" w:leader="dot" w:pos="9241"/>
      </w:tabs>
    </w:pPr>
    <w:rPr>
      <w:rFonts w:ascii="宋体"/>
      <w:szCs w:val="21"/>
    </w:rPr>
  </w:style>
  <w:style w:type="character" w:styleId="12">
    <w:name w:val="Strong"/>
    <w:basedOn w:val="11"/>
    <w:qFormat/>
    <w:uiPriority w:val="0"/>
    <w:rPr>
      <w:b/>
    </w:rPr>
  </w:style>
  <w:style w:type="character" w:styleId="13">
    <w:name w:val="Hyperlink"/>
    <w:qFormat/>
    <w:uiPriority w:val="99"/>
    <w:rPr>
      <w:color w:val="0000FF"/>
      <w:spacing w:val="0"/>
      <w:w w:val="100"/>
      <w:szCs w:val="21"/>
      <w:u w:val="single"/>
    </w:rPr>
  </w:style>
  <w:style w:type="paragraph" w:customStyle="1" w:styleId="1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封面标准英文名称"/>
    <w:basedOn w:val="19"/>
    <w:qFormat/>
    <w:uiPriority w:val="0"/>
    <w:pPr>
      <w:spacing w:before="370" w:line="400" w:lineRule="exact"/>
    </w:pPr>
    <w:rPr>
      <w:rFonts w:ascii="Times New Roman"/>
      <w:sz w:val="28"/>
      <w:szCs w:val="28"/>
    </w:rPr>
  </w:style>
  <w:style w:type="paragraph" w:customStyle="1" w:styleId="21">
    <w:name w:val="封面一致性程度标识"/>
    <w:basedOn w:val="20"/>
    <w:qFormat/>
    <w:uiPriority w:val="0"/>
    <w:pPr>
      <w:spacing w:before="440"/>
    </w:pPr>
    <w:rPr>
      <w:rFonts w:ascii="宋体" w:eastAsia="宋体"/>
    </w:rPr>
  </w:style>
  <w:style w:type="paragraph" w:customStyle="1" w:styleId="22">
    <w:name w:val="封面标准文稿类别"/>
    <w:basedOn w:val="21"/>
    <w:qFormat/>
    <w:uiPriority w:val="0"/>
    <w:pPr>
      <w:spacing w:after="160" w:line="240" w:lineRule="auto"/>
    </w:pPr>
    <w:rPr>
      <w:sz w:val="24"/>
    </w:rPr>
  </w:style>
  <w:style w:type="paragraph" w:customStyle="1" w:styleId="23">
    <w:name w:val="封面标准文稿编辑信息"/>
    <w:basedOn w:val="22"/>
    <w:qFormat/>
    <w:uiPriority w:val="0"/>
    <w:pPr>
      <w:spacing w:before="180" w:line="180" w:lineRule="exact"/>
    </w:pPr>
    <w:rPr>
      <w:sz w:val="21"/>
    </w:rPr>
  </w:style>
  <w:style w:type="paragraph" w:customStyle="1" w:styleId="24">
    <w:name w:val="其他发布日期"/>
    <w:basedOn w:val="25"/>
    <w:qFormat/>
    <w:uiPriority w:val="0"/>
    <w:pPr>
      <w:framePr w:vAnchor="page" w:hAnchor="page" w:x="1419"/>
    </w:pPr>
  </w:style>
  <w:style w:type="paragraph" w:customStyle="1" w:styleId="2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6">
    <w:name w:val="其他实施日期"/>
    <w:basedOn w:val="27"/>
    <w:qFormat/>
    <w:uiPriority w:val="0"/>
  </w:style>
  <w:style w:type="paragraph" w:customStyle="1" w:styleId="27">
    <w:name w:val="实施日期"/>
    <w:basedOn w:val="25"/>
    <w:qFormat/>
    <w:uiPriority w:val="0"/>
    <w:pPr>
      <w:framePr w:vAnchor="page" w:hAnchor="page"/>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
    <w:name w:val="章标题"/>
    <w:next w:val="30"/>
    <w:qFormat/>
    <w:uiPriority w:val="0"/>
    <w:pPr>
      <w:spacing w:before="100" w:beforeLines="100" w:after="100" w:afterLines="100"/>
      <w:jc w:val="both"/>
      <w:outlineLvl w:val="1"/>
    </w:pPr>
    <w:rPr>
      <w:rFonts w:ascii="黑体" w:hAnsi="黑体" w:eastAsia="黑体" w:cs="Times New Roman"/>
      <w:b/>
      <w:sz w:val="21"/>
      <w:lang w:val="en-US" w:eastAsia="zh-CN" w:bidi="ar-SA"/>
    </w:rPr>
  </w:style>
  <w:style w:type="paragraph" w:customStyle="1" w:styleId="35">
    <w:name w:val="样式7"/>
    <w:basedOn w:val="36"/>
    <w:qFormat/>
    <w:uiPriority w:val="0"/>
    <w:pPr>
      <w:ind w:left="576" w:hanging="576"/>
    </w:pPr>
    <w:rPr>
      <w:rFonts w:eastAsia="黑体"/>
      <w:b/>
      <w:sz w:val="21"/>
    </w:rPr>
  </w:style>
  <w:style w:type="paragraph" w:customStyle="1" w:styleId="36">
    <w:name w:val="样式6"/>
    <w:basedOn w:val="2"/>
    <w:qFormat/>
    <w:uiPriority w:val="0"/>
    <w:pPr>
      <w:ind w:left="0" w:hanging="578" w:hangingChars="275"/>
    </w:pPr>
  </w:style>
  <w:style w:type="paragraph" w:customStyle="1" w:styleId="37">
    <w:name w:val="标准书眉_偶数页"/>
    <w:basedOn w:val="38"/>
    <w:next w:val="1"/>
    <w:qFormat/>
    <w:uiPriority w:val="0"/>
    <w:pPr>
      <w:tabs>
        <w:tab w:val="center" w:pos="4154"/>
        <w:tab w:val="right" w:pos="8306"/>
      </w:tabs>
      <w:jc w:val="left"/>
    </w:pPr>
    <w:rPr>
      <w:rFonts w:ascii="黑体" w:eastAsia="黑体"/>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正文表标题"/>
    <w:next w:val="3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2">
    <w:name w:val="封面正文"/>
    <w:qFormat/>
    <w:uiPriority w:val="0"/>
    <w:pPr>
      <w:jc w:val="both"/>
    </w:pPr>
    <w:rPr>
      <w:rFonts w:ascii="Times New Roman" w:hAnsi="Times New Roman" w:eastAsia="宋体" w:cs="Times New Roman"/>
      <w:lang w:val="en-US" w:eastAsia="zh-CN" w:bidi="ar-SA"/>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44">
    <w:name w:val="List Paragraph"/>
    <w:basedOn w:val="1"/>
    <w:qFormat/>
    <w:uiPriority w:val="34"/>
    <w:pPr>
      <w:ind w:firstLine="420" w:firstLineChars="200"/>
    </w:pPr>
    <w:rPr>
      <w:szCs w:val="24"/>
    </w:rPr>
  </w:style>
  <w:style w:type="paragraph" w:customStyle="1" w:styleId="4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江西铜业股份有限公司贵溪冶炼厂</Company>
  <Pages>23</Pages>
  <Words>12349</Words>
  <Characters>13168</Characters>
  <Lines>1</Lines>
  <Paragraphs>1</Paragraphs>
  <TotalTime>0</TotalTime>
  <ScaleCrop>false</ScaleCrop>
  <LinksUpToDate>false</LinksUpToDate>
  <CharactersWithSpaces>13395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2025-02-25T06:53:00Z</dcterms:created>
  <dc:creator>（数字化部）徐娟华</dc:creator>
  <cp:lastModifiedBy>徐娟华</cp:lastModifiedBy>
  <dcterms:modified xsi:type="dcterms:W3CDTF">2026-01-07T07:32:16Z</dcterms:modified>
  <dc:title>行业标准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33B9E5495D0A4B0AA51CEA4D13E2F19B</vt:lpwstr>
  </property>
  <property fmtid="{D5CDD505-2E9C-101B-9397-08002B2CF9AE}" pid="4" name="KSOTemplateDocerSaveRecord">
    <vt:lpwstr>eyJoZGlkIjoiNjg3Mjc1ZDUyMzE5MDE0N2RkMzg1NGUzNGM0N2NjYTIiLCJ1c2VySWQiOiI2ODk5ODk3MDAifQ==</vt:lpwstr>
  </property>
</Properties>
</file>