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93FEE">
      <w:pPr>
        <w:widowControl w:val="0"/>
        <w:spacing w:line="500" w:lineRule="exact"/>
        <w:jc w:val="center"/>
        <w:rPr>
          <w:b/>
          <w:bCs/>
          <w:sz w:val="32"/>
          <w:szCs w:val="32"/>
        </w:rPr>
      </w:pPr>
    </w:p>
    <w:p w14:paraId="6AC64F8C">
      <w:pPr>
        <w:widowControl w:val="0"/>
        <w:jc w:val="center"/>
        <w:outlineLvl w:val="0"/>
        <w:rPr>
          <w:b/>
          <w:bCs/>
          <w:sz w:val="48"/>
          <w:szCs w:val="48"/>
        </w:rPr>
      </w:pPr>
    </w:p>
    <w:p w14:paraId="54E68FA4">
      <w:pPr>
        <w:widowControl w:val="0"/>
        <w:jc w:val="center"/>
        <w:outlineLvl w:val="0"/>
        <w:rPr>
          <w:b/>
          <w:bCs/>
          <w:sz w:val="48"/>
          <w:szCs w:val="48"/>
        </w:rPr>
      </w:pPr>
    </w:p>
    <w:p w14:paraId="2C216211">
      <w:pPr>
        <w:widowControl w:val="0"/>
        <w:jc w:val="center"/>
        <w:outlineLvl w:val="0"/>
        <w:rPr>
          <w:b/>
          <w:bCs/>
          <w:sz w:val="48"/>
          <w:szCs w:val="48"/>
        </w:rPr>
      </w:pPr>
    </w:p>
    <w:p w14:paraId="5C1B3622">
      <w:pPr>
        <w:widowControl w:val="0"/>
        <w:jc w:val="center"/>
        <w:outlineLvl w:val="0"/>
        <w:rPr>
          <w:rFonts w:hint="eastAsia" w:ascii="黑体" w:hAnsi="黑体" w:eastAsia="黑体"/>
          <w:bCs/>
          <w:sz w:val="48"/>
          <w:szCs w:val="48"/>
        </w:rPr>
      </w:pPr>
      <w:r>
        <w:rPr>
          <w:rFonts w:hint="eastAsia" w:ascii="黑体" w:hAnsi="黑体" w:eastAsia="黑体"/>
          <w:bCs/>
          <w:sz w:val="48"/>
          <w:szCs w:val="48"/>
        </w:rPr>
        <w:t>烧结金属材料(不包括硬质合金)</w:t>
      </w:r>
    </w:p>
    <w:p w14:paraId="17BBF7B3">
      <w:pPr>
        <w:widowControl w:val="0"/>
        <w:jc w:val="center"/>
        <w:outlineLvl w:val="0"/>
        <w:rPr>
          <w:rFonts w:hint="eastAsia" w:ascii="黑体" w:hAnsi="黑体" w:eastAsia="黑体"/>
          <w:bCs/>
          <w:sz w:val="48"/>
          <w:szCs w:val="48"/>
        </w:rPr>
      </w:pPr>
      <w:r>
        <w:rPr>
          <w:rFonts w:hint="eastAsia" w:ascii="黑体" w:hAnsi="黑体" w:eastAsia="黑体"/>
          <w:bCs/>
          <w:sz w:val="48"/>
          <w:szCs w:val="48"/>
        </w:rPr>
        <w:t>拉伸试样</w:t>
      </w:r>
    </w:p>
    <w:p w14:paraId="211A597B">
      <w:pPr>
        <w:jc w:val="center"/>
        <w:rPr>
          <w:b/>
          <w:sz w:val="44"/>
        </w:rPr>
      </w:pPr>
    </w:p>
    <w:p w14:paraId="0AE79A28">
      <w:pPr>
        <w:jc w:val="center"/>
        <w:rPr>
          <w:rFonts w:hint="eastAsia" w:ascii="黑体" w:hAnsi="黑体" w:eastAsia="黑体"/>
          <w:sz w:val="48"/>
          <w:szCs w:val="48"/>
        </w:rPr>
      </w:pPr>
      <w:r>
        <w:rPr>
          <w:rFonts w:hint="eastAsia" w:ascii="黑体" w:hAnsi="黑体" w:eastAsia="黑体"/>
          <w:sz w:val="48"/>
          <w:szCs w:val="48"/>
        </w:rPr>
        <w:t>编</w:t>
      </w:r>
    </w:p>
    <w:p w14:paraId="7211952B">
      <w:pPr>
        <w:jc w:val="center"/>
        <w:rPr>
          <w:rFonts w:hint="eastAsia" w:ascii="黑体" w:hAnsi="黑体" w:eastAsia="黑体"/>
          <w:sz w:val="48"/>
          <w:szCs w:val="48"/>
        </w:rPr>
      </w:pPr>
      <w:r>
        <w:rPr>
          <w:rFonts w:hint="eastAsia" w:ascii="黑体" w:hAnsi="黑体" w:eastAsia="黑体"/>
          <w:sz w:val="48"/>
          <w:szCs w:val="48"/>
        </w:rPr>
        <w:t>制</w:t>
      </w:r>
    </w:p>
    <w:p w14:paraId="27948C02">
      <w:pPr>
        <w:jc w:val="center"/>
        <w:rPr>
          <w:rFonts w:hint="eastAsia" w:ascii="黑体" w:hAnsi="黑体" w:eastAsia="黑体"/>
          <w:sz w:val="48"/>
          <w:szCs w:val="48"/>
        </w:rPr>
      </w:pPr>
      <w:r>
        <w:rPr>
          <w:rFonts w:hint="eastAsia" w:ascii="黑体" w:hAnsi="黑体" w:eastAsia="黑体"/>
          <w:sz w:val="48"/>
          <w:szCs w:val="48"/>
        </w:rPr>
        <w:t>说</w:t>
      </w:r>
    </w:p>
    <w:p w14:paraId="08CBE619">
      <w:pPr>
        <w:jc w:val="center"/>
        <w:rPr>
          <w:rFonts w:hint="eastAsia" w:ascii="黑体" w:hAnsi="黑体" w:eastAsia="黑体"/>
          <w:sz w:val="44"/>
        </w:rPr>
      </w:pPr>
      <w:r>
        <w:rPr>
          <w:rFonts w:hint="eastAsia" w:ascii="黑体" w:hAnsi="黑体" w:eastAsia="黑体"/>
          <w:sz w:val="48"/>
          <w:szCs w:val="48"/>
        </w:rPr>
        <w:t>明</w:t>
      </w:r>
    </w:p>
    <w:p w14:paraId="1146F77F">
      <w:pPr>
        <w:widowControl w:val="0"/>
        <w:spacing w:line="500" w:lineRule="exact"/>
        <w:jc w:val="center"/>
        <w:rPr>
          <w:rFonts w:hint="eastAsia" w:ascii="黑体" w:hAnsi="黑体" w:eastAsia="黑体"/>
        </w:rPr>
      </w:pPr>
    </w:p>
    <w:p w14:paraId="6A916F44">
      <w:pPr>
        <w:widowControl w:val="0"/>
        <w:jc w:val="center"/>
        <w:rPr>
          <w:b/>
          <w:bCs/>
          <w:sz w:val="48"/>
          <w:szCs w:val="48"/>
        </w:rPr>
      </w:pPr>
      <w:r>
        <w:rPr>
          <w:rFonts w:ascii="黑体" w:hAnsi="黑体" w:eastAsia="黑体"/>
          <w:sz w:val="48"/>
          <w:szCs w:val="48"/>
        </w:rPr>
        <w:t>（</w:t>
      </w:r>
      <w:r>
        <w:rPr>
          <w:rFonts w:hint="eastAsia" w:ascii="黑体" w:hAnsi="黑体" w:eastAsia="黑体"/>
          <w:sz w:val="48"/>
          <w:szCs w:val="48"/>
          <w:lang w:val="en-US" w:eastAsia="zh-CN"/>
        </w:rPr>
        <w:t>讨论稿</w:t>
      </w:r>
      <w:r>
        <w:rPr>
          <w:rFonts w:ascii="黑体" w:hAnsi="黑体" w:eastAsia="黑体"/>
          <w:sz w:val="48"/>
          <w:szCs w:val="48"/>
        </w:rPr>
        <w:t>）</w:t>
      </w:r>
    </w:p>
    <w:p w14:paraId="68668361">
      <w:pPr>
        <w:widowControl w:val="0"/>
        <w:spacing w:line="500" w:lineRule="exact"/>
      </w:pPr>
    </w:p>
    <w:p w14:paraId="3FCB0DDC">
      <w:pPr>
        <w:widowControl w:val="0"/>
        <w:spacing w:line="500" w:lineRule="exact"/>
        <w:jc w:val="both"/>
      </w:pPr>
    </w:p>
    <w:p w14:paraId="6BDF80CB">
      <w:pPr>
        <w:widowControl w:val="0"/>
        <w:spacing w:line="500" w:lineRule="exact"/>
        <w:jc w:val="both"/>
      </w:pPr>
    </w:p>
    <w:p w14:paraId="785CDDB5">
      <w:pPr>
        <w:widowControl w:val="0"/>
        <w:spacing w:line="500" w:lineRule="exact"/>
        <w:jc w:val="both"/>
      </w:pPr>
    </w:p>
    <w:p w14:paraId="1DB27399">
      <w:pPr>
        <w:widowControl w:val="0"/>
        <w:spacing w:line="500" w:lineRule="exact"/>
        <w:jc w:val="both"/>
      </w:pPr>
    </w:p>
    <w:p w14:paraId="199586F4">
      <w:pPr>
        <w:widowControl w:val="0"/>
        <w:jc w:val="center"/>
        <w:outlineLvl w:val="0"/>
        <w:rPr>
          <w:bCs/>
          <w:sz w:val="44"/>
          <w:szCs w:val="44"/>
        </w:rPr>
      </w:pPr>
      <w:r>
        <w:rPr>
          <w:bCs/>
          <w:sz w:val="44"/>
          <w:szCs w:val="44"/>
        </w:rPr>
        <w:t>202</w:t>
      </w:r>
      <w:r>
        <w:rPr>
          <w:rFonts w:hint="eastAsia"/>
          <w:bCs/>
          <w:sz w:val="44"/>
          <w:szCs w:val="44"/>
          <w:lang w:val="en-US" w:eastAsia="zh-CN"/>
        </w:rPr>
        <w:t>6</w:t>
      </w:r>
      <w:r>
        <w:rPr>
          <w:bCs/>
          <w:sz w:val="44"/>
          <w:szCs w:val="44"/>
        </w:rPr>
        <w:t>年</w:t>
      </w:r>
      <w:r>
        <w:rPr>
          <w:rFonts w:hint="eastAsia"/>
          <w:bCs/>
          <w:sz w:val="44"/>
          <w:szCs w:val="44"/>
          <w:lang w:val="en-US" w:eastAsia="zh-CN"/>
        </w:rPr>
        <w:t>1</w:t>
      </w:r>
      <w:r>
        <w:rPr>
          <w:bCs/>
          <w:sz w:val="44"/>
          <w:szCs w:val="44"/>
        </w:rPr>
        <w:t>月</w:t>
      </w:r>
    </w:p>
    <w:p w14:paraId="62097E62">
      <w:pPr>
        <w:tabs>
          <w:tab w:val="center" w:pos="4932"/>
        </w:tabs>
        <w:rPr>
          <w:sz w:val="44"/>
          <w:szCs w:val="44"/>
        </w:rPr>
        <w:sectPr>
          <w:footerReference r:id="rId5" w:type="even"/>
          <w:pgSz w:w="11906" w:h="16838"/>
          <w:pgMar w:top="1134" w:right="1021" w:bottom="1134" w:left="1021" w:header="992" w:footer="720" w:gutter="0"/>
          <w:pgNumType w:start="1"/>
          <w:cols w:space="720" w:num="1"/>
          <w:titlePg/>
          <w:docGrid w:linePitch="326" w:charSpace="0"/>
        </w:sectPr>
      </w:pPr>
      <w:r>
        <w:rPr>
          <w:sz w:val="44"/>
          <w:szCs w:val="44"/>
        </w:rPr>
        <w:tab/>
      </w:r>
    </w:p>
    <w:p w14:paraId="21427296">
      <w:pPr>
        <w:pStyle w:val="2"/>
        <w:spacing w:before="312" w:after="312"/>
      </w:pPr>
      <w:r>
        <w:t>工作简况</w:t>
      </w:r>
    </w:p>
    <w:p w14:paraId="0D329712">
      <w:pPr>
        <w:pStyle w:val="3"/>
        <w:spacing w:before="156" w:after="156"/>
      </w:pPr>
      <w:r>
        <w:t>任务来源</w:t>
      </w:r>
    </w:p>
    <w:p w14:paraId="68DA5851">
      <w:pPr>
        <w:ind w:firstLine="420" w:firstLineChars="200"/>
      </w:pPr>
      <w:r>
        <w:rPr>
          <w:rFonts w:hint="eastAsia"/>
        </w:rPr>
        <w:t>根据国家标准化管理委员会《关于下达2025年第七批推荐性国家标准计划及相关标准外文版计划的通知》（国标委发[20</w:t>
      </w:r>
      <w:r>
        <w:rPr>
          <w:rFonts w:hint="eastAsia"/>
          <w:lang w:val="en-US" w:eastAsia="zh-CN"/>
        </w:rPr>
        <w:t>25</w:t>
      </w:r>
      <w:r>
        <w:rPr>
          <w:rFonts w:hint="eastAsia"/>
        </w:rPr>
        <w:t xml:space="preserve">] </w:t>
      </w:r>
      <w:r>
        <w:rPr>
          <w:rFonts w:hint="eastAsia"/>
          <w:lang w:val="en-US" w:eastAsia="zh-CN"/>
        </w:rPr>
        <w:t>43</w:t>
      </w:r>
      <w:r>
        <w:rPr>
          <w:rFonts w:hint="eastAsia"/>
        </w:rPr>
        <w:t>号）文件精神，国家标准《烧结金属材料（不包括硬质合金） 拉伸试样》由 TC243（全国有色金属标准化技术委员会）归口，TC243SC4（全国有色金属标准化技术委员会粉末冶金分会）执行，由西部宝德科技股份有限公司、西北有色金属研究院、钢铁研究总院有限公司、中南大学牵头起草。项目计划编号为20253694-T-610，批复研制周期16个月。</w:t>
      </w:r>
    </w:p>
    <w:p w14:paraId="313E8770">
      <w:pPr>
        <w:pStyle w:val="3"/>
        <w:spacing w:before="156" w:after="156"/>
      </w:pPr>
      <w:r>
        <w:rPr>
          <w:rFonts w:hint="eastAsia"/>
        </w:rPr>
        <w:t>项目概况</w:t>
      </w:r>
    </w:p>
    <w:p w14:paraId="30050237">
      <w:pPr>
        <w:ind w:firstLine="420" w:firstLineChars="200"/>
        <w:rPr>
          <w:color w:val="auto"/>
        </w:rPr>
      </w:pPr>
      <w:r>
        <w:rPr>
          <w:rFonts w:hint="eastAsia"/>
          <w:color w:val="auto"/>
        </w:rPr>
        <w:t>烧结金属材料（不包括硬质合金）广泛应用于过滤分离、航空航天、机械制造、汽车工业等多个领域，拉伸性能是评价该类材料力学特性的核心指标之一，而标准化的拉伸试样是保证测试结果准确性、可比性和公正性的基础。原国家标准GB/T 7963-2015实施以来，为行业内材料性能测试提供了重要依据，但随着国际标准ISO 2740:2023的发布实施，以及我国烧结金属材料行业在生产工艺（如金属注射成型技术的广泛应用）、材料类型（如高强度烧结硬化材料、特种合金材料）等方面的快速发展，原标准已不能完全满足当前行业技术需求和国际接轨要求。因此，本次修订旨在等同采用ISO 2740:2023，吸收国际先进技术成果，完善试样类型、模具规格等技术内容，进一步规范烧结金属材料拉伸试样的制备和使用，为行业高质量发展提供技术支撑。</w:t>
      </w:r>
    </w:p>
    <w:p w14:paraId="1B7AFFE8">
      <w:pPr>
        <w:pStyle w:val="3"/>
        <w:spacing w:before="156" w:after="156"/>
        <w:rPr>
          <w:rFonts w:hint="eastAsia" w:ascii="宋体" w:hAnsi="宋体" w:cs="Times"/>
          <w:color w:val="000000" w:themeColor="text1"/>
          <w14:textFill>
            <w14:solidFill>
              <w14:schemeClr w14:val="tx1"/>
            </w14:solidFill>
          </w14:textFill>
        </w:rPr>
      </w:pPr>
      <w:r>
        <w:t>主</w:t>
      </w:r>
      <w:r>
        <w:rPr>
          <w:rFonts w:hint="eastAsia"/>
        </w:rPr>
        <w:t>起草</w:t>
      </w:r>
      <w:r>
        <w:t>单位</w:t>
      </w:r>
      <w:r>
        <w:rPr>
          <w:rFonts w:hint="eastAsia"/>
        </w:rPr>
        <w:t>简介</w:t>
      </w:r>
    </w:p>
    <w:p w14:paraId="58B83102">
      <w:pPr>
        <w:ind w:firstLine="420" w:firstLineChars="200"/>
      </w:pPr>
      <w:r>
        <w:rPr>
          <w:rFonts w:hint="eastAsia"/>
        </w:rPr>
        <w:t>西部宝德科技股份有限公司（简称西部宝德）原身为西北有色金属研究院粉末冶金厂，经转制成立西部宝德粉末冶金有限责任公司，2015年新三板上市更名为西部宝德科技股份有限公司。西部宝德以西北有色金属研究院为技术依托，全面秉承了研究院在稀有和特种金属多孔材料领域的优质资产、先进技术和丰硕成果，在金属多孔材料及元件，过滤分离装备及相关工业项目和工程等方面赢得了超常发展的契机，在业界具有良好的口碑和一定影响力。西部宝德年销售收入3亿元，拥有金属粉末、金属粉末冶金制品、多孔金属材料、多孔金属陶瓷复合材料、多孔膜材料等完整生产线，包括模压机、全自动压片机、冷等静压机、粉末轧机、流延设备、喷涂设备、不同规格及气氛的烧结炉等生产设备；在材料性能测试方面，西部宝德具有多孔材料性能检测仪、气体渗透法孔径分析仪、万能试验机等多孔材料测试设备；拥有1000m</w:t>
      </w:r>
      <w:r>
        <w:rPr>
          <w:rFonts w:hint="eastAsia"/>
          <w:vertAlign w:val="superscript"/>
        </w:rPr>
        <w:t>2</w:t>
      </w:r>
      <w:r>
        <w:rPr>
          <w:rFonts w:hint="eastAsia"/>
        </w:rPr>
        <w:t>的烧结多孔材料专用实验室，为金属多孔材料的研究、中试及生产提供基础条件，也为本标准的开展提供了有力的技术保障和设备保障。</w:t>
      </w:r>
    </w:p>
    <w:p w14:paraId="1A91A2B9">
      <w:pPr>
        <w:ind w:firstLine="420" w:firstLineChars="200"/>
      </w:pPr>
      <w:r>
        <w:rPr>
          <w:rFonts w:hint="eastAsia"/>
        </w:rPr>
        <w:t>西部宝德与多家检测单位建立了长期友好的合作关系，能最大程度满足各类材料性能表征的需要。十多年来累计投入研发费用总额超过6000万元，承担包括国家863项目、军工配套项目、科技部创新基金重点项目、国家发改委中央预算内投资项目在内的新产品研发和技术成果产业化项目40多项。西部宝德自身拥有国家授权专利81项，其中发明专利42项，实用新型专利39项。西部宝德的专利技术涵盖新型过滤分离元件的制备技术、空气净化基站和车载式空气净化器的结构设计以及过滤分离系统的设计发明和局部改进。曾荣获2009年陕西省专利奖励二等奖1项，2013年陕西省中小企业专利新产品1项。制定了相关材料标准8项和检测标准11项。</w:t>
      </w:r>
    </w:p>
    <w:p w14:paraId="601C5D9C">
      <w:pPr>
        <w:pStyle w:val="3"/>
        <w:spacing w:before="156" w:after="156"/>
      </w:pPr>
      <w:r>
        <w:t>主要</w:t>
      </w:r>
      <w:r>
        <w:rPr>
          <w:rFonts w:hint="eastAsia"/>
        </w:rPr>
        <w:t>起草</w:t>
      </w:r>
      <w:r>
        <w:t>单位和工作组成员及其工作</w:t>
      </w:r>
    </w:p>
    <w:p w14:paraId="3D70FDAE">
      <w:pPr>
        <w:pStyle w:val="4"/>
        <w:spacing w:before="156" w:after="156"/>
        <w:rPr>
          <w:rFonts w:hint="default"/>
          <w:lang w:val="en-US" w:eastAsia="zh-CN"/>
        </w:rPr>
      </w:pPr>
      <w:r>
        <w:rPr>
          <w:rFonts w:hint="eastAsia"/>
          <w:lang w:val="en-US" w:eastAsia="zh-CN"/>
        </w:rPr>
        <w:t>起草单位情况</w:t>
      </w:r>
    </w:p>
    <w:p w14:paraId="3B4011AC">
      <w:pPr>
        <w:ind w:firstLine="420" w:firstLineChars="200"/>
        <w:rPr>
          <w:rFonts w:hint="eastAsia"/>
          <w:color w:val="auto"/>
          <w:lang w:eastAsia="zh-CN"/>
        </w:rPr>
      </w:pPr>
      <w:r>
        <w:rPr>
          <w:rFonts w:hint="eastAsia"/>
          <w:color w:val="auto"/>
        </w:rPr>
        <w:t>本文件起草单位有</w:t>
      </w:r>
      <w:r>
        <w:rPr>
          <w:color w:val="auto"/>
        </w:rPr>
        <w:t>：</w:t>
      </w:r>
      <w:r>
        <w:rPr>
          <w:rFonts w:hint="eastAsia"/>
          <w:color w:val="auto"/>
        </w:rPr>
        <w:t>西部宝德科技股份有限公司</w:t>
      </w:r>
      <w:r>
        <w:rPr>
          <w:rFonts w:hint="eastAsia"/>
          <w:color w:val="auto"/>
          <w:lang w:eastAsia="zh-CN"/>
        </w:rPr>
        <w:t>、西北有色金属研究院、钢铁研究总院有限公司、国标（北京）检验认证有限公司、中南大学、洛阳金鹭硬质合金工具有限公司、深圳艾利佳材料科技公司、宁夏东方钽业股份有限公司、湖南屹林材料技术有限公司、深圳北理莫斯科大学。</w:t>
      </w:r>
    </w:p>
    <w:p w14:paraId="77C0BCE0">
      <w:pPr>
        <w:ind w:firstLine="420" w:firstLineChars="200"/>
        <w:rPr>
          <w:rFonts w:hint="eastAsia"/>
          <w:color w:val="auto"/>
          <w:lang w:eastAsia="zh-CN"/>
        </w:rPr>
      </w:pPr>
      <w:r>
        <w:rPr>
          <w:rFonts w:hint="eastAsia"/>
          <w:color w:val="auto"/>
          <w:lang w:eastAsia="zh-CN"/>
        </w:rPr>
        <w:t>西北有色金属研究院（以下简称西北院）始建于1965年，1999年作为国家首批转制的242家科研院所之一转制为中央直属大型科技企业，2000年划归陕西省管理。经过50多年的发展，西北院已成为一个具有较强科技实力的集研究、中试、产业化三位一体的大型科技集团，包括14个研究所和中心、21个国家级和53个省级中试和创新平台，陆续孵化成立了45家高新技术产业公司（其中上市公司7家），研究领域覆盖钛合金材料、超导材料、核材料、难熔金属材料、金属复合材料、金属纤维材料及多孔材料、电子材料、生物材料、压力加工、爆炸复合、粉末冶金、表面技术、焊接技术、应用化学、材料物理等多个学科，为我国核工业、航天、航空、舰船、兵器、电子、化工、医药等领域配套了大量的有色金属新材料，屡获用户单位和上级部门表彰。</w:t>
      </w:r>
    </w:p>
    <w:p w14:paraId="6FF22B34">
      <w:pPr>
        <w:ind w:firstLine="420" w:firstLineChars="200"/>
        <w:rPr>
          <w:rFonts w:hint="eastAsia"/>
          <w:color w:val="auto"/>
          <w:lang w:eastAsia="zh-CN"/>
        </w:rPr>
      </w:pPr>
      <w:r>
        <w:rPr>
          <w:rFonts w:hint="eastAsia"/>
          <w:color w:val="auto"/>
          <w:lang w:eastAsia="zh-CN"/>
        </w:rPr>
        <w:t>钢铁研究总院有限公司是我国金属新材料研发基地、行业共性关键技术创新基地和冶金分析测试权威机构，承担了我国冶金行业85%以上国防军工新材料研发任务和50%以上共性关键技术研发任务，先后研制了近千种高技术新材料，满足了我国国防军工重点型号、国民经济重大工程建设需求。围绕材料品质提升、产品用户技术、冶金工艺及装备技术等领域，开发了一批新产品、新工艺、新技术、新装备，为能源石化、交通建筑、海洋工程、机械电子等提供了强力材料技术支撑，引领了冶金及用户行业转型升级和创新发展。</w:t>
      </w:r>
    </w:p>
    <w:p w14:paraId="01DC36AE">
      <w:pPr>
        <w:ind w:firstLine="420" w:firstLineChars="200"/>
        <w:rPr>
          <w:rFonts w:hint="eastAsia"/>
          <w:color w:val="auto"/>
          <w:lang w:eastAsia="zh-CN"/>
        </w:rPr>
      </w:pPr>
      <w:r>
        <w:rPr>
          <w:rFonts w:hint="eastAsia"/>
          <w:color w:val="auto"/>
          <w:lang w:eastAsia="zh-CN"/>
        </w:rPr>
        <w:t>国标（北京）检验认证有限公司是中国有色金属和电子材料方面权威的第三方检验认证服务机构、中国有色金属行业测试评价技术开发的骨干单位和分析测试标准的主要起草单位之一。管理运营着国家有色金属及电子材料分析测试中心、国家有色金属质量检验检测中心、国家新材料测试评价平台有色金属材料行业中心等9个国家级平台/中心/实验室、以及中关村开放实验室等5个省部级平台/实验室。国标检验持有CNAS、CMA、CAL、NTC、NADCAP等多项资质，主要从事金属和金属材料、有色金属矿物的化学成分、组织结构分析、物理性能测试、力学性能测试、无损探伤检测、失效分析等测试评价服务，培训、咨询、认证等技术服务在北京、西安、德阳、深圳等全国四地建立24000余平方米的综合实验室，检测仪器设备近1500台套，硬件装备处于国际领先水平。</w:t>
      </w:r>
    </w:p>
    <w:p w14:paraId="053264E2">
      <w:pPr>
        <w:ind w:firstLine="420" w:firstLineChars="200"/>
        <w:rPr>
          <w:rFonts w:hint="eastAsia"/>
          <w:color w:val="auto"/>
          <w:lang w:eastAsia="zh-CN"/>
        </w:rPr>
      </w:pPr>
      <w:r>
        <w:rPr>
          <w:rFonts w:hint="eastAsia"/>
          <w:color w:val="auto"/>
          <w:lang w:val="en-US" w:eastAsia="zh-CN"/>
        </w:rPr>
        <w:t>中</w:t>
      </w:r>
      <w:r>
        <w:rPr>
          <w:rFonts w:hint="eastAsia"/>
          <w:color w:val="auto"/>
          <w:lang w:eastAsia="zh-CN"/>
        </w:rPr>
        <w:t>南大学（Central South University，英文缩写为CSU），位于湖南省长沙市，是中华人民共和国教育部直属的全国重点大学，中央直管高校。是国家“211工程”首批重点建设高校，国家“985工程”部省重点共建高水平大学、国家“2011计划”首批牵头高校，2017年9月入选世界一流大学建设高校，2022年2月入选第二轮“双一流”建设高校。教育部“强基计划”首批试点高校，全国首批试点开展八年制医学教育（本博连读）的五所大学之一。</w:t>
      </w:r>
    </w:p>
    <w:p w14:paraId="0F5DABF7">
      <w:pPr>
        <w:ind w:firstLine="420" w:firstLineChars="200"/>
        <w:rPr>
          <w:rFonts w:hint="eastAsia"/>
          <w:color w:val="auto"/>
          <w:lang w:eastAsia="zh-CN"/>
        </w:rPr>
      </w:pPr>
      <w:r>
        <w:rPr>
          <w:rFonts w:hint="eastAsia"/>
          <w:color w:val="auto"/>
          <w:lang w:eastAsia="zh-CN"/>
        </w:rPr>
        <w:t>洛阳金鹭硬质合金工具有限公司，成立于2012年，是国有上市公司厦门钨业股份有限公司100%投资的“金鹭”系硬质合金骨干企业。公司注册资金10.5亿元人民币，一期投资13亿元人民币。主要从事钨粉末产品、硬面材料产品、硬质合金顶锤、硬质合金辊环、复合片基体、凿岩工程工具等钨系列产品的生产与销售。自公司成立以来，公司坚持走专业化、精细化发展道路，生产的“金鹭”系列产品以安全可靠的品质、完善的售后服务体系迅速赢得市场；客户遍布全球二十多个工业发达国家和地区。公司以“使员工实现价值，让用户满意，实现共赢发展”为使命，以技术创新和管理创新为引领，专注解决耐磨、破碎、压制等工业难题，努力打造世界一流的凿岩工程工具、硬质合金、硬面材料制造商和服务商。</w:t>
      </w:r>
    </w:p>
    <w:p w14:paraId="6EB96CF6">
      <w:pPr>
        <w:ind w:firstLine="420" w:firstLineChars="200"/>
        <w:rPr>
          <w:rFonts w:hint="eastAsia"/>
          <w:color w:val="auto"/>
          <w:lang w:eastAsia="zh-CN"/>
        </w:rPr>
      </w:pPr>
      <w:r>
        <w:rPr>
          <w:rFonts w:hint="eastAsia"/>
          <w:color w:val="auto"/>
          <w:lang w:eastAsia="zh-CN"/>
        </w:rPr>
        <w:t>深圳艾利佳材料科技公司成立于2016年，创始人余鹏、顾道敏，公司位于深圳市市宝安区，是一家致力于粉末金属注射成型结构件研发、生产、销售的国家专精特新小巨人企业。公司是一家技术导向的民营企业。主要从事金属和陶瓷粉末注射成型技术的研发与应用。实现高精度、形状复杂零部件的大批量生产，应用在电子、汽车、医疗、五金、机械、军工、航天等行业。艾利佳掌握各种不同材料的粉末注射成型技术，可生产的材料包括铁基、不锈钢、钛合金、铝合金、钨合金、陶瓷以及一些新型复合材料等。</w:t>
      </w:r>
    </w:p>
    <w:p w14:paraId="68C20E2A">
      <w:pPr>
        <w:ind w:firstLine="420" w:firstLineChars="200"/>
        <w:rPr>
          <w:rFonts w:hint="eastAsia"/>
          <w:color w:val="auto"/>
          <w:lang w:eastAsia="zh-CN"/>
        </w:rPr>
      </w:pPr>
      <w:r>
        <w:rPr>
          <w:rFonts w:hint="eastAsia"/>
          <w:color w:val="auto"/>
          <w:lang w:eastAsia="zh-CN"/>
        </w:rPr>
        <w:t>宁夏东方钽业股份有限公司是集科研、生产与技术开发为一体的国有大型稀有金属企业，是国内最大的钽、铌产品生产基地，科技先导型钽、铌研究中心，具有从钽铌湿法冶炼到材料加工的全流程企业；是国家重点高新技术企业、国家首批创新型企业、国家863成果产业化基地、全国专利工作试点企业和国家级企业技术中心；是国际钽铌研究中心（TIC）执委单位；是世界钽工业三强之一。几十年来承担了我国金属材料领域600多项省部级及以上科研和产业化项目，100多项成果获国家级、省部级科技进步奖。</w:t>
      </w:r>
    </w:p>
    <w:p w14:paraId="6F2A6213">
      <w:pPr>
        <w:ind w:firstLine="420" w:firstLineChars="200"/>
        <w:rPr>
          <w:rFonts w:hint="eastAsia"/>
          <w:color w:val="auto"/>
          <w:lang w:eastAsia="zh-CN"/>
        </w:rPr>
      </w:pPr>
      <w:r>
        <w:rPr>
          <w:rFonts w:hint="eastAsia"/>
          <w:color w:val="auto"/>
          <w:lang w:eastAsia="zh-CN"/>
        </w:rPr>
        <w:t>湖南屹林材料技术有限公司成立于2011年，是国家专精特新“小巨人”企业、国家高新技术企业，深耕新材料领域14年，专注为高端装备制造产业提供高端减摩/耐磨材料解决方案。建有湖南省企业技术中心、湖南省专家工作站等省级科技创新平台，与中南大学共建有产学研基地。公司主要聚焦自润滑材料、碳陶复合材料、碳铜复合材料、粉末冶金精密部件四大体系，应用于工程机械、消费医疗、轨道交通、液压设备领域。核心产品技术达到国际先进水平，重载粉末冶金滑动轴承获“世界粉末冶金大赛2017年度产品奖”，磁悬浮列车碳陶滑橇获评“湖南省制造业单项冠军产品”。</w:t>
      </w:r>
    </w:p>
    <w:p w14:paraId="7E569D47">
      <w:pPr>
        <w:ind w:firstLine="420" w:firstLineChars="200"/>
        <w:rPr>
          <w:rFonts w:hint="eastAsia"/>
          <w:color w:val="auto"/>
          <w:lang w:eastAsia="zh-CN"/>
        </w:rPr>
      </w:pPr>
      <w:r>
        <w:rPr>
          <w:rFonts w:hint="eastAsia"/>
          <w:color w:val="auto"/>
          <w:lang w:eastAsia="zh-CN"/>
        </w:rPr>
        <w:t>深圳北理莫斯科大学是由深圳市人民政府、北京理工大学和莫斯科国立罗蒙诺索夫大学合作设立的具有独立法人资格的中外合作大学，面向国家和区域重大需求，开展高水平科学研究与创新型人才培养。学校材料科学与工程学科入选广东省高水平大学重点建设学科和省级一流本科专业建设点，具备较为完善的科研平台和实验条件。学校现有教学科研人员500余人，汇聚众多中外高层次人才，在材料科学与工程领域承担了多项国家级和省部级科研项目，形成了稳定的研究方向和持续的科研产出。</w:t>
      </w:r>
    </w:p>
    <w:p w14:paraId="68F81143">
      <w:pPr>
        <w:pStyle w:val="4"/>
        <w:spacing w:before="156" w:after="156"/>
        <w:rPr>
          <w:rFonts w:hint="default"/>
          <w:lang w:val="en-US" w:eastAsia="zh-CN"/>
        </w:rPr>
      </w:pPr>
      <w:r>
        <w:rPr>
          <w:rFonts w:hint="eastAsia"/>
          <w:lang w:val="en-US" w:eastAsia="zh-CN"/>
        </w:rPr>
        <w:t>起草单位及主要起草人工作情况</w:t>
      </w:r>
    </w:p>
    <w:p w14:paraId="23F2D1D2">
      <w:pPr>
        <w:ind w:firstLine="420" w:firstLineChars="200"/>
      </w:pPr>
      <w:r>
        <w:rPr>
          <w:rFonts w:hint="eastAsia"/>
        </w:rPr>
        <w:t>其中西部宝德科技股份有限公司负责样品的收集和分发，分析方法的实验研究，样品测试结果的收集和处理，试验报告和标准文件、编制说明的撰写。西北有色金属研究院、钢铁研究总院有限公司、国标（北京）检验认证有限公司</w:t>
      </w:r>
      <w:r>
        <w:rPr>
          <w:rFonts w:hint="eastAsia"/>
          <w:lang w:eastAsia="zh-CN"/>
        </w:rPr>
        <w:t>、</w:t>
      </w:r>
      <w:r>
        <w:rPr>
          <w:rFonts w:hint="eastAsia"/>
          <w:lang w:val="en-US" w:eastAsia="zh-CN"/>
        </w:rPr>
        <w:t>中南大学等</w:t>
      </w:r>
      <w:r>
        <w:rPr>
          <w:rFonts w:hint="eastAsia"/>
        </w:rPr>
        <w:t>负责分析方法的实验研究与讨论以及一、二验工作。</w:t>
      </w:r>
    </w:p>
    <w:p w14:paraId="35683311">
      <w:pPr>
        <w:ind w:firstLine="420" w:firstLineChars="200"/>
      </w:pPr>
      <w:r>
        <w:t>本文件主要起草人有：</w:t>
      </w:r>
      <w:r>
        <w:rPr>
          <w:rFonts w:hint="eastAsia"/>
          <w:lang w:val="en-US" w:eastAsia="zh-CN"/>
        </w:rPr>
        <w:t>李荣</w:t>
      </w:r>
      <w:r>
        <w:rPr>
          <w:rFonts w:hint="eastAsia"/>
        </w:rPr>
        <w:t>、</w:t>
      </w:r>
      <w:r>
        <w:rPr>
          <w:rFonts w:hint="eastAsia"/>
          <w:lang w:val="en-US" w:eastAsia="zh-CN"/>
        </w:rPr>
        <w:t>蒲博玮</w:t>
      </w:r>
      <w:r>
        <w:rPr>
          <w:rFonts w:hint="eastAsia"/>
        </w:rPr>
        <w:t>、</w:t>
      </w:r>
      <w:r>
        <w:rPr>
          <w:rFonts w:hint="eastAsia"/>
          <w:lang w:val="en-US" w:eastAsia="zh-CN"/>
        </w:rPr>
        <w:t>官桐乐、包崇、杨保军、董莎莎、张洪坤、王守仁、金桂霞、冯颖、左师昌、叶曙龙、张望成、李来平</w:t>
      </w:r>
      <w:r>
        <w:rPr>
          <w:rFonts w:hint="eastAsia"/>
        </w:rPr>
        <w:t>。</w:t>
      </w:r>
    </w:p>
    <w:p w14:paraId="797BDB7A">
      <w:pPr>
        <w:ind w:firstLine="420" w:firstLineChars="200"/>
      </w:pPr>
      <w:r>
        <w:t>各起草人在本文件编制过程中的工作职责见表1所示：</w:t>
      </w:r>
    </w:p>
    <w:p w14:paraId="1F9FE264">
      <w:pPr>
        <w:pStyle w:val="11"/>
        <w:spacing w:before="156" w:after="156"/>
        <w:rPr>
          <w:szCs w:val="21"/>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1</w:t>
      </w:r>
      <w:r>
        <w:fldChar w:fldCharType="end"/>
      </w:r>
      <w:r>
        <w:rPr>
          <w:rFonts w:hint="eastAsia"/>
        </w:rPr>
        <w:t xml:space="preserve">  </w:t>
      </w:r>
      <w:r>
        <w:rPr>
          <w:bCs/>
          <w:szCs w:val="21"/>
        </w:rPr>
        <w:t>各起草人及其工作职责</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255"/>
        <w:gridCol w:w="5598"/>
      </w:tblGrid>
      <w:tr w14:paraId="1E588E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53BCCE99">
            <w:pPr>
              <w:spacing w:line="240" w:lineRule="auto"/>
              <w:jc w:val="center"/>
              <w:rPr>
                <w:szCs w:val="21"/>
              </w:rPr>
            </w:pPr>
            <w:r>
              <w:rPr>
                <w:szCs w:val="21"/>
              </w:rPr>
              <w:t>起草人姓名</w:t>
            </w:r>
          </w:p>
        </w:tc>
        <w:tc>
          <w:tcPr>
            <w:tcW w:w="2840" w:type="pct"/>
            <w:vAlign w:val="center"/>
          </w:tcPr>
          <w:p w14:paraId="0D4EAD3C">
            <w:pPr>
              <w:spacing w:line="240" w:lineRule="auto"/>
              <w:jc w:val="center"/>
              <w:rPr>
                <w:szCs w:val="21"/>
              </w:rPr>
            </w:pPr>
            <w:r>
              <w:rPr>
                <w:szCs w:val="21"/>
              </w:rPr>
              <w:t>工作职责</w:t>
            </w:r>
          </w:p>
        </w:tc>
      </w:tr>
      <w:tr w14:paraId="18EACA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4664299A">
            <w:pPr>
              <w:spacing w:line="240" w:lineRule="auto"/>
              <w:jc w:val="center"/>
              <w:rPr>
                <w:rFonts w:hint="default" w:eastAsia="宋体"/>
                <w:szCs w:val="21"/>
                <w:lang w:val="en-US" w:eastAsia="zh-CN"/>
              </w:rPr>
            </w:pPr>
            <w:r>
              <w:rPr>
                <w:rFonts w:hint="eastAsia"/>
                <w:szCs w:val="21"/>
              </w:rPr>
              <w:t>李荣、蒲博玮</w:t>
            </w:r>
            <w:r>
              <w:rPr>
                <w:rFonts w:hint="eastAsia"/>
                <w:szCs w:val="21"/>
                <w:lang w:eastAsia="zh-CN"/>
              </w:rPr>
              <w:t>、</w:t>
            </w:r>
            <w:r>
              <w:rPr>
                <w:rFonts w:hint="eastAsia"/>
                <w:lang w:val="en-US" w:eastAsia="zh-CN"/>
              </w:rPr>
              <w:t>官桐乐、李来平</w:t>
            </w:r>
          </w:p>
        </w:tc>
        <w:tc>
          <w:tcPr>
            <w:tcW w:w="2840" w:type="pct"/>
            <w:vAlign w:val="center"/>
          </w:tcPr>
          <w:p w14:paraId="0B9CC97F">
            <w:pPr>
              <w:spacing w:line="240" w:lineRule="auto"/>
              <w:jc w:val="center"/>
              <w:rPr>
                <w:szCs w:val="21"/>
              </w:rPr>
            </w:pPr>
            <w:r>
              <w:rPr>
                <w:szCs w:val="21"/>
              </w:rPr>
              <w:t>负责样品收集、标准文本起草、标准编制说明撰写，意见汇总处理，参加标准讨论和审定会议</w:t>
            </w:r>
          </w:p>
        </w:tc>
      </w:tr>
      <w:tr w14:paraId="2B32B8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046C63B2">
            <w:pPr>
              <w:spacing w:line="240" w:lineRule="auto"/>
              <w:jc w:val="center"/>
              <w:rPr>
                <w:szCs w:val="21"/>
              </w:rPr>
            </w:pPr>
            <w:r>
              <w:rPr>
                <w:rFonts w:hint="eastAsia"/>
                <w:lang w:val="en-US" w:eastAsia="zh-CN"/>
              </w:rPr>
              <w:t>包崇</w:t>
            </w:r>
          </w:p>
        </w:tc>
        <w:tc>
          <w:tcPr>
            <w:tcW w:w="2840" w:type="pct"/>
            <w:vAlign w:val="center"/>
          </w:tcPr>
          <w:p w14:paraId="4D395305">
            <w:pPr>
              <w:spacing w:line="240" w:lineRule="auto"/>
              <w:jc w:val="center"/>
              <w:rPr>
                <w:szCs w:val="21"/>
              </w:rPr>
            </w:pPr>
            <w:r>
              <w:rPr>
                <w:szCs w:val="21"/>
              </w:rPr>
              <w:t>提供测试数据；对标准文本提出修改意见</w:t>
            </w:r>
            <w:r>
              <w:rPr>
                <w:rFonts w:hint="eastAsia"/>
                <w:szCs w:val="21"/>
              </w:rPr>
              <w:t>。</w:t>
            </w:r>
          </w:p>
        </w:tc>
      </w:tr>
      <w:tr w14:paraId="6DEFC3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7C465B85">
            <w:pPr>
              <w:spacing w:line="240" w:lineRule="auto"/>
              <w:jc w:val="center"/>
              <w:rPr>
                <w:rFonts w:hint="eastAsia"/>
                <w:lang w:val="en-US" w:eastAsia="zh-CN"/>
              </w:rPr>
            </w:pPr>
            <w:r>
              <w:rPr>
                <w:rFonts w:hint="eastAsia"/>
                <w:lang w:val="en-US" w:eastAsia="zh-CN"/>
              </w:rPr>
              <w:t>杨保军</w:t>
            </w:r>
          </w:p>
        </w:tc>
        <w:tc>
          <w:tcPr>
            <w:tcW w:w="2840" w:type="pct"/>
            <w:vAlign w:val="center"/>
          </w:tcPr>
          <w:p w14:paraId="64EE374E">
            <w:pPr>
              <w:spacing w:line="240" w:lineRule="auto"/>
              <w:jc w:val="center"/>
              <w:rPr>
                <w:szCs w:val="21"/>
              </w:rPr>
            </w:pPr>
            <w:r>
              <w:rPr>
                <w:szCs w:val="21"/>
              </w:rPr>
              <w:t>提供测试数据；对标准文本提出修改意见</w:t>
            </w:r>
            <w:r>
              <w:rPr>
                <w:rFonts w:hint="eastAsia"/>
                <w:szCs w:val="21"/>
              </w:rPr>
              <w:t>。</w:t>
            </w:r>
          </w:p>
        </w:tc>
      </w:tr>
      <w:tr w14:paraId="00A408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6474EAA3">
            <w:pPr>
              <w:spacing w:line="240" w:lineRule="auto"/>
              <w:jc w:val="center"/>
              <w:rPr>
                <w:rFonts w:hint="eastAsia"/>
                <w:lang w:val="en-US" w:eastAsia="zh-CN"/>
              </w:rPr>
            </w:pPr>
            <w:r>
              <w:rPr>
                <w:rFonts w:hint="eastAsia"/>
                <w:lang w:val="en-US" w:eastAsia="zh-CN"/>
              </w:rPr>
              <w:t>董莎莎</w:t>
            </w:r>
          </w:p>
        </w:tc>
        <w:tc>
          <w:tcPr>
            <w:tcW w:w="2840" w:type="pct"/>
            <w:vAlign w:val="center"/>
          </w:tcPr>
          <w:p w14:paraId="03005324">
            <w:pPr>
              <w:spacing w:line="240" w:lineRule="auto"/>
              <w:jc w:val="center"/>
              <w:rPr>
                <w:szCs w:val="21"/>
              </w:rPr>
            </w:pPr>
            <w:r>
              <w:rPr>
                <w:szCs w:val="21"/>
              </w:rPr>
              <w:t>提供测试数据；对标准文本提出修改意见</w:t>
            </w:r>
            <w:r>
              <w:rPr>
                <w:rFonts w:hint="eastAsia"/>
                <w:szCs w:val="21"/>
              </w:rPr>
              <w:t>。</w:t>
            </w:r>
          </w:p>
        </w:tc>
      </w:tr>
      <w:tr w14:paraId="6FA6D2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6724743E">
            <w:pPr>
              <w:spacing w:line="240" w:lineRule="auto"/>
              <w:jc w:val="center"/>
              <w:rPr>
                <w:rFonts w:hint="eastAsia"/>
                <w:lang w:val="en-US" w:eastAsia="zh-CN"/>
              </w:rPr>
            </w:pPr>
            <w:r>
              <w:rPr>
                <w:rFonts w:hint="eastAsia"/>
                <w:lang w:val="en-US" w:eastAsia="zh-CN"/>
              </w:rPr>
              <w:t>张洪坤</w:t>
            </w:r>
          </w:p>
        </w:tc>
        <w:tc>
          <w:tcPr>
            <w:tcW w:w="2840" w:type="pct"/>
            <w:vAlign w:val="center"/>
          </w:tcPr>
          <w:p w14:paraId="5960E079">
            <w:pPr>
              <w:spacing w:line="240" w:lineRule="auto"/>
              <w:jc w:val="center"/>
              <w:rPr>
                <w:szCs w:val="21"/>
              </w:rPr>
            </w:pPr>
            <w:r>
              <w:rPr>
                <w:szCs w:val="21"/>
              </w:rPr>
              <w:t>提供测试数据；对标准文本提出修改意见</w:t>
            </w:r>
            <w:r>
              <w:rPr>
                <w:rFonts w:hint="eastAsia"/>
                <w:szCs w:val="21"/>
              </w:rPr>
              <w:t>。</w:t>
            </w:r>
          </w:p>
        </w:tc>
      </w:tr>
      <w:tr w14:paraId="7D5890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07918C87">
            <w:pPr>
              <w:spacing w:line="240" w:lineRule="auto"/>
              <w:jc w:val="center"/>
              <w:rPr>
                <w:rFonts w:hint="eastAsia"/>
                <w:lang w:val="en-US" w:eastAsia="zh-CN"/>
              </w:rPr>
            </w:pPr>
            <w:r>
              <w:rPr>
                <w:rFonts w:hint="eastAsia"/>
                <w:lang w:val="en-US" w:eastAsia="zh-CN"/>
              </w:rPr>
              <w:t>王守仁</w:t>
            </w:r>
          </w:p>
        </w:tc>
        <w:tc>
          <w:tcPr>
            <w:tcW w:w="2840" w:type="pct"/>
            <w:vAlign w:val="center"/>
          </w:tcPr>
          <w:p w14:paraId="6CB3CD11">
            <w:pPr>
              <w:spacing w:line="240" w:lineRule="auto"/>
              <w:jc w:val="center"/>
              <w:rPr>
                <w:szCs w:val="21"/>
              </w:rPr>
            </w:pPr>
            <w:r>
              <w:rPr>
                <w:szCs w:val="21"/>
              </w:rPr>
              <w:t>提供测试数据；对标准文本提出修改意见</w:t>
            </w:r>
            <w:r>
              <w:rPr>
                <w:rFonts w:hint="eastAsia"/>
                <w:szCs w:val="21"/>
              </w:rPr>
              <w:t>。</w:t>
            </w:r>
          </w:p>
        </w:tc>
      </w:tr>
      <w:tr w14:paraId="790F97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0E80A3BC">
            <w:pPr>
              <w:spacing w:line="240" w:lineRule="auto"/>
              <w:jc w:val="center"/>
              <w:rPr>
                <w:rFonts w:hint="eastAsia"/>
                <w:lang w:val="en-US" w:eastAsia="zh-CN"/>
              </w:rPr>
            </w:pPr>
            <w:r>
              <w:rPr>
                <w:rFonts w:hint="eastAsia"/>
                <w:lang w:val="en-US" w:eastAsia="zh-CN"/>
              </w:rPr>
              <w:t>金桂霞</w:t>
            </w:r>
          </w:p>
        </w:tc>
        <w:tc>
          <w:tcPr>
            <w:tcW w:w="2840" w:type="pct"/>
            <w:vAlign w:val="center"/>
          </w:tcPr>
          <w:p w14:paraId="52EC5886">
            <w:pPr>
              <w:spacing w:line="240" w:lineRule="auto"/>
              <w:jc w:val="center"/>
              <w:rPr>
                <w:szCs w:val="21"/>
              </w:rPr>
            </w:pPr>
            <w:r>
              <w:rPr>
                <w:szCs w:val="21"/>
              </w:rPr>
              <w:t>提供测试数据；对标准文本提出修改意见</w:t>
            </w:r>
            <w:r>
              <w:rPr>
                <w:rFonts w:hint="eastAsia"/>
                <w:szCs w:val="21"/>
              </w:rPr>
              <w:t>。</w:t>
            </w:r>
          </w:p>
        </w:tc>
      </w:tr>
      <w:tr w14:paraId="2F7F2F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30D67DB2">
            <w:pPr>
              <w:spacing w:line="240" w:lineRule="auto"/>
              <w:jc w:val="center"/>
              <w:rPr>
                <w:rFonts w:hint="eastAsia"/>
                <w:lang w:val="en-US" w:eastAsia="zh-CN"/>
              </w:rPr>
            </w:pPr>
            <w:r>
              <w:rPr>
                <w:rFonts w:hint="eastAsia"/>
                <w:lang w:val="en-US" w:eastAsia="zh-CN"/>
              </w:rPr>
              <w:t>冯颖</w:t>
            </w:r>
          </w:p>
        </w:tc>
        <w:tc>
          <w:tcPr>
            <w:tcW w:w="2840" w:type="pct"/>
            <w:vAlign w:val="center"/>
          </w:tcPr>
          <w:p w14:paraId="7920DA09">
            <w:pPr>
              <w:spacing w:line="240" w:lineRule="auto"/>
              <w:jc w:val="center"/>
              <w:rPr>
                <w:szCs w:val="21"/>
              </w:rPr>
            </w:pPr>
            <w:r>
              <w:rPr>
                <w:szCs w:val="21"/>
              </w:rPr>
              <w:t>提供测试数据；对标准文本提出修改意见</w:t>
            </w:r>
            <w:r>
              <w:rPr>
                <w:rFonts w:hint="eastAsia"/>
                <w:szCs w:val="21"/>
              </w:rPr>
              <w:t>。</w:t>
            </w:r>
          </w:p>
        </w:tc>
      </w:tr>
      <w:tr w14:paraId="2D4911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5290A6DC">
            <w:pPr>
              <w:spacing w:line="240" w:lineRule="auto"/>
              <w:jc w:val="center"/>
              <w:rPr>
                <w:rFonts w:hint="eastAsia"/>
                <w:lang w:val="en-US" w:eastAsia="zh-CN"/>
              </w:rPr>
            </w:pPr>
            <w:r>
              <w:rPr>
                <w:rFonts w:hint="eastAsia"/>
                <w:lang w:val="en-US" w:eastAsia="zh-CN"/>
              </w:rPr>
              <w:t>左师昌</w:t>
            </w:r>
          </w:p>
        </w:tc>
        <w:tc>
          <w:tcPr>
            <w:tcW w:w="2840" w:type="pct"/>
            <w:vAlign w:val="center"/>
          </w:tcPr>
          <w:p w14:paraId="68B09767">
            <w:pPr>
              <w:spacing w:line="240" w:lineRule="auto"/>
              <w:jc w:val="center"/>
              <w:rPr>
                <w:szCs w:val="21"/>
              </w:rPr>
            </w:pPr>
            <w:r>
              <w:rPr>
                <w:szCs w:val="21"/>
              </w:rPr>
              <w:t>提供测试数据；对标准文本提出修改意见</w:t>
            </w:r>
            <w:r>
              <w:rPr>
                <w:rFonts w:hint="eastAsia"/>
                <w:szCs w:val="21"/>
              </w:rPr>
              <w:t>。</w:t>
            </w:r>
          </w:p>
        </w:tc>
      </w:tr>
      <w:tr w14:paraId="4AA327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53D99FA6">
            <w:pPr>
              <w:spacing w:line="240" w:lineRule="auto"/>
              <w:jc w:val="center"/>
              <w:rPr>
                <w:rFonts w:hint="eastAsia"/>
                <w:lang w:val="en-US" w:eastAsia="zh-CN"/>
              </w:rPr>
            </w:pPr>
            <w:r>
              <w:rPr>
                <w:rFonts w:hint="eastAsia"/>
                <w:lang w:val="en-US" w:eastAsia="zh-CN"/>
              </w:rPr>
              <w:t>叶曙龙</w:t>
            </w:r>
          </w:p>
        </w:tc>
        <w:tc>
          <w:tcPr>
            <w:tcW w:w="2840" w:type="pct"/>
            <w:vAlign w:val="center"/>
          </w:tcPr>
          <w:p w14:paraId="4D18FDCB">
            <w:pPr>
              <w:spacing w:line="240" w:lineRule="auto"/>
              <w:jc w:val="center"/>
              <w:rPr>
                <w:szCs w:val="21"/>
              </w:rPr>
            </w:pPr>
            <w:r>
              <w:rPr>
                <w:szCs w:val="21"/>
              </w:rPr>
              <w:t>提供测试数据；对标准文本提出修改意见</w:t>
            </w:r>
            <w:r>
              <w:rPr>
                <w:rFonts w:hint="eastAsia"/>
                <w:szCs w:val="21"/>
              </w:rPr>
              <w:t>。</w:t>
            </w:r>
          </w:p>
        </w:tc>
      </w:tr>
      <w:tr w14:paraId="7D66CE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0F89C4F8">
            <w:pPr>
              <w:spacing w:line="240" w:lineRule="auto"/>
              <w:jc w:val="center"/>
              <w:rPr>
                <w:rFonts w:hint="eastAsia"/>
                <w:lang w:val="en-US" w:eastAsia="zh-CN"/>
              </w:rPr>
            </w:pPr>
            <w:r>
              <w:rPr>
                <w:rFonts w:hint="eastAsia"/>
                <w:lang w:val="en-US" w:eastAsia="zh-CN"/>
              </w:rPr>
              <w:t>张望成</w:t>
            </w:r>
          </w:p>
        </w:tc>
        <w:tc>
          <w:tcPr>
            <w:tcW w:w="2840" w:type="pct"/>
            <w:vAlign w:val="center"/>
          </w:tcPr>
          <w:p w14:paraId="447F0280">
            <w:pPr>
              <w:spacing w:line="240" w:lineRule="auto"/>
              <w:jc w:val="center"/>
              <w:rPr>
                <w:szCs w:val="21"/>
              </w:rPr>
            </w:pPr>
            <w:r>
              <w:rPr>
                <w:szCs w:val="21"/>
              </w:rPr>
              <w:t>提供测试数据；对标准文本提出修改意见</w:t>
            </w:r>
            <w:r>
              <w:rPr>
                <w:rFonts w:hint="eastAsia"/>
                <w:szCs w:val="21"/>
              </w:rPr>
              <w:t>。</w:t>
            </w:r>
          </w:p>
        </w:tc>
      </w:tr>
    </w:tbl>
    <w:p w14:paraId="53EACC27">
      <w:pPr>
        <w:pStyle w:val="3"/>
        <w:spacing w:before="156" w:after="156"/>
      </w:pPr>
      <w:r>
        <w:t>主要工作过程</w:t>
      </w:r>
    </w:p>
    <w:p w14:paraId="71A6D426">
      <w:pPr>
        <w:ind w:firstLine="420" w:firstLineChars="200"/>
      </w:pPr>
      <w:r>
        <w:rPr>
          <w:rFonts w:hint="eastAsia"/>
        </w:rPr>
        <w:t>西部宝德科技股份有限公司</w:t>
      </w:r>
      <w:r>
        <w:t>在接到</w:t>
      </w:r>
      <w:r>
        <w:rPr>
          <w:rFonts w:hint="eastAsia"/>
        </w:rPr>
        <w:t>修订</w:t>
      </w:r>
      <w:r>
        <w:t>任务后，立即组织骨干人员成立了标准编制组，制定了该标准的研究内容、技术路线、任务分工和进度安排。</w:t>
      </w:r>
    </w:p>
    <w:p w14:paraId="2825A9CC">
      <w:pPr>
        <w:pStyle w:val="4"/>
        <w:spacing w:before="156" w:after="156"/>
      </w:pPr>
      <w:r>
        <w:t>立项阶段</w:t>
      </w:r>
    </w:p>
    <w:p w14:paraId="47EFB17A">
      <w:pPr>
        <w:ind w:firstLine="420" w:firstLineChars="200"/>
      </w:pPr>
      <w:r>
        <w:t>20</w:t>
      </w:r>
      <w:r>
        <w:rPr>
          <w:rFonts w:hint="eastAsia"/>
          <w:lang w:val="en-US" w:eastAsia="zh-CN"/>
        </w:rPr>
        <w:t>24</w:t>
      </w:r>
      <w:r>
        <w:t>年</w:t>
      </w:r>
      <w:r>
        <w:rPr>
          <w:rFonts w:hint="eastAsia"/>
          <w:lang w:val="en-US" w:eastAsia="zh-CN"/>
        </w:rPr>
        <w:t>11</w:t>
      </w:r>
      <w:r>
        <w:t>月</w:t>
      </w:r>
      <w:r>
        <w:rPr>
          <w:rFonts w:hint="eastAsia"/>
          <w:lang w:val="en-US" w:eastAsia="zh-CN"/>
        </w:rPr>
        <w:t>20日</w:t>
      </w:r>
      <w:r>
        <w:t>，</w:t>
      </w:r>
      <w:r>
        <w:rPr>
          <w:rFonts w:hint="eastAsia"/>
        </w:rPr>
        <w:t>西部宝德科技股份有限公司</w:t>
      </w:r>
      <w:r>
        <w:t>向全国有色金属标准化技术委员会粉末冶金分会</w:t>
      </w:r>
      <w:r>
        <w:rPr>
          <w:rFonts w:hint="eastAsia"/>
        </w:rPr>
        <w:t>（</w:t>
      </w:r>
      <w:r>
        <w:t>SAC/TC243/SC4</w:t>
      </w:r>
      <w:r>
        <w:rPr>
          <w:rFonts w:hint="eastAsia"/>
        </w:rPr>
        <w:t>）</w:t>
      </w:r>
      <w:r>
        <w:t>提交国家标准</w:t>
      </w:r>
      <w:r>
        <w:rPr>
          <w:rFonts w:hint="eastAsia"/>
        </w:rPr>
        <w:t>《烧结金属材料（不包括硬质合金） 拉伸试样》</w:t>
      </w:r>
      <w:r>
        <w:t>项目建议书。</w:t>
      </w:r>
    </w:p>
    <w:p w14:paraId="64EA30E4">
      <w:pPr>
        <w:ind w:firstLine="420" w:firstLineChars="200"/>
        <w:rPr>
          <w:rFonts w:hint="eastAsia"/>
        </w:rPr>
      </w:pPr>
      <w:r>
        <w:rPr>
          <w:color w:val="auto"/>
        </w:rPr>
        <w:t>20</w:t>
      </w:r>
      <w:r>
        <w:rPr>
          <w:rFonts w:hint="eastAsia"/>
          <w:color w:val="auto"/>
          <w:lang w:val="en-US" w:eastAsia="zh-CN"/>
        </w:rPr>
        <w:t>25</w:t>
      </w:r>
      <w:r>
        <w:rPr>
          <w:color w:val="auto"/>
        </w:rPr>
        <w:t>年</w:t>
      </w:r>
      <w:r>
        <w:rPr>
          <w:rFonts w:hint="eastAsia"/>
          <w:color w:val="auto"/>
          <w:lang w:val="en-US" w:eastAsia="zh-CN"/>
        </w:rPr>
        <w:t>8</w:t>
      </w:r>
      <w:r>
        <w:rPr>
          <w:color w:val="auto"/>
        </w:rPr>
        <w:t>月</w:t>
      </w:r>
      <w:r>
        <w:rPr>
          <w:rFonts w:hint="eastAsia"/>
          <w:color w:val="auto"/>
          <w:lang w:val="en-US" w:eastAsia="zh-CN"/>
        </w:rPr>
        <w:t>6</w:t>
      </w:r>
      <w:r>
        <w:rPr>
          <w:color w:val="auto"/>
        </w:rPr>
        <w:t>日</w:t>
      </w:r>
      <w:r>
        <w:t>，国家标准化管理委员会印发</w:t>
      </w:r>
      <w:r>
        <w:rPr>
          <w:rFonts w:hint="eastAsia"/>
        </w:rPr>
        <w:t>《关于下达2025年第七批推荐性国家标准计划及相关标准外文版计划的通知》（国标委发[20</w:t>
      </w:r>
      <w:r>
        <w:rPr>
          <w:rFonts w:hint="eastAsia"/>
          <w:lang w:val="en-US" w:eastAsia="zh-CN"/>
        </w:rPr>
        <w:t>25</w:t>
      </w:r>
      <w:r>
        <w:rPr>
          <w:rFonts w:hint="eastAsia"/>
        </w:rPr>
        <w:t xml:space="preserve">] </w:t>
      </w:r>
      <w:r>
        <w:rPr>
          <w:rFonts w:hint="eastAsia"/>
          <w:lang w:val="en-US" w:eastAsia="zh-CN"/>
        </w:rPr>
        <w:t>43</w:t>
      </w:r>
      <w:r>
        <w:rPr>
          <w:rFonts w:hint="eastAsia"/>
        </w:rPr>
        <w:t>号）</w:t>
      </w:r>
      <w:r>
        <w:t>，国家标准</w:t>
      </w:r>
      <w:r>
        <w:rPr>
          <w:rFonts w:hint="eastAsia"/>
        </w:rPr>
        <w:t>《烧结金属材料（不包括硬质合金） 拉伸试样》</w:t>
      </w:r>
      <w:r>
        <w:t>立项成功</w:t>
      </w:r>
      <w:r>
        <w:rPr>
          <w:rFonts w:hint="eastAsia"/>
        </w:rPr>
        <w:t>。</w:t>
      </w:r>
    </w:p>
    <w:p w14:paraId="172A4897">
      <w:pPr>
        <w:pStyle w:val="4"/>
        <w:spacing w:before="156" w:after="156"/>
      </w:pPr>
      <w:r>
        <w:rPr>
          <w:rFonts w:hint="eastAsia"/>
        </w:rPr>
        <w:t>起草阶段</w:t>
      </w:r>
    </w:p>
    <w:p w14:paraId="0096009E">
      <w:pPr>
        <w:ind w:firstLine="420" w:firstLineChars="200"/>
        <w:rPr>
          <w:rFonts w:hint="eastAsia"/>
        </w:rPr>
      </w:pPr>
      <w:r>
        <w:rPr>
          <w:rFonts w:hint="eastAsia"/>
        </w:rPr>
        <w:t>202</w:t>
      </w:r>
      <w:r>
        <w:rPr>
          <w:rFonts w:hint="eastAsia"/>
          <w:lang w:val="en-US" w:eastAsia="zh-CN"/>
        </w:rPr>
        <w:t>5</w:t>
      </w:r>
      <w:r>
        <w:rPr>
          <w:rFonts w:hint="eastAsia"/>
        </w:rPr>
        <w:t>年</w:t>
      </w:r>
      <w:r>
        <w:rPr>
          <w:rFonts w:hint="eastAsia"/>
          <w:lang w:val="en-US" w:eastAsia="zh-CN"/>
        </w:rPr>
        <w:t>11</w:t>
      </w:r>
      <w:r>
        <w:rPr>
          <w:rFonts w:hint="eastAsia"/>
        </w:rPr>
        <w:t>月，全国有色金属标准化技术委员会在</w:t>
      </w:r>
      <w:r>
        <w:rPr>
          <w:rFonts w:hint="eastAsia"/>
          <w:lang w:val="en-US" w:eastAsia="zh-CN"/>
        </w:rPr>
        <w:t>杭州</w:t>
      </w:r>
      <w:r>
        <w:rPr>
          <w:rFonts w:hint="eastAsia"/>
        </w:rPr>
        <w:t>召开工作会议，会议对《烧结金属材料（不包括硬质合金） 拉伸试样》进行了任务落实。</w:t>
      </w:r>
    </w:p>
    <w:p w14:paraId="6FB60993">
      <w:pPr>
        <w:ind w:firstLine="420" w:firstLineChars="200"/>
        <w:rPr>
          <w:rFonts w:hint="eastAsia"/>
        </w:rPr>
      </w:pPr>
      <w:r>
        <w:rPr>
          <w:rFonts w:hint="eastAsia"/>
        </w:rPr>
        <w:t>西部宝德科技股份有限公司接到《烧结金属材料（不包括硬质合金） 拉伸试样》修订任务后，立即组织相关技术人员成立了标准修订编制组，进行相关资料的查询与收集工作，制订工作计划和进度安排。编制组首先对</w:t>
      </w:r>
      <w:r>
        <w:rPr>
          <w:rFonts w:hint="eastAsia"/>
          <w:color w:val="auto"/>
        </w:rPr>
        <w:t>ISO 2740:2023</w:t>
      </w:r>
      <w:r>
        <w:rPr>
          <w:rFonts w:hint="eastAsia"/>
        </w:rPr>
        <w:t>标准进行了翻译，并对重点内容进行了熟悉，同时收集、分析、研究了国内外相关技术资料和标准资料，与参编单位一起开展与标准修订相关的测试工作，在此基础上于20</w:t>
      </w:r>
      <w:r>
        <w:rPr>
          <w:rFonts w:hint="eastAsia"/>
          <w:lang w:val="en-US" w:eastAsia="zh-CN"/>
        </w:rPr>
        <w:t>26</w:t>
      </w:r>
      <w:r>
        <w:rPr>
          <w:rFonts w:hint="eastAsia"/>
        </w:rPr>
        <w:t>年</w:t>
      </w:r>
      <w:r>
        <w:rPr>
          <w:rFonts w:hint="eastAsia"/>
          <w:lang w:val="en-US" w:eastAsia="zh-CN"/>
        </w:rPr>
        <w:t>1</w:t>
      </w:r>
      <w:r>
        <w:rPr>
          <w:rFonts w:hint="eastAsia"/>
        </w:rPr>
        <w:t>月形成了标准的讨论稿和编制说明。</w:t>
      </w:r>
    </w:p>
    <w:p w14:paraId="254FA314">
      <w:pPr>
        <w:ind w:firstLine="420" w:firstLineChars="200"/>
        <w:rPr>
          <w:rFonts w:hint="eastAsia"/>
        </w:rPr>
      </w:pPr>
      <w:r>
        <w:rPr>
          <w:rFonts w:hint="eastAsia"/>
        </w:rPr>
        <w:t>202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19</w:t>
      </w:r>
      <w:r>
        <w:rPr>
          <w:rFonts w:hint="eastAsia"/>
        </w:rPr>
        <w:t>日-</w:t>
      </w:r>
      <w:r>
        <w:rPr>
          <w:rFonts w:hint="eastAsia"/>
          <w:lang w:val="en-US" w:eastAsia="zh-CN"/>
        </w:rPr>
        <w:t>21</w:t>
      </w:r>
      <w:r>
        <w:rPr>
          <w:rFonts w:hint="eastAsia"/>
        </w:rPr>
        <w:t>日，全国有色金属标准化技术委员会组织在</w:t>
      </w:r>
      <w:r>
        <w:rPr>
          <w:rFonts w:hint="eastAsia"/>
          <w:lang w:val="en-US" w:eastAsia="zh-CN"/>
        </w:rPr>
        <w:t>珠海</w:t>
      </w:r>
      <w:r>
        <w:rPr>
          <w:rFonts w:hint="eastAsia"/>
        </w:rPr>
        <w:t>召开工作会议。参编单位西北有色金属研究院、钢铁研究总院有限公司、</w:t>
      </w:r>
      <w:r>
        <w:rPr>
          <w:rFonts w:hint="eastAsia"/>
          <w:lang w:val="en-US" w:eastAsia="zh-CN"/>
        </w:rPr>
        <w:t>中南大学</w:t>
      </w:r>
      <w:r>
        <w:rPr>
          <w:rFonts w:hint="eastAsia"/>
        </w:rPr>
        <w:t>等多家单位的代表对《烧结金属材料（不包括硬质合金） 拉伸试样》标准的讨论稿和编制说明进行了充分、细致的讨论。标准编制组根据与会专家提出的修改意见，对标准讨论稿重新进行了翻译，并针对实验方案进行了验证，对测试结果进行了分析，于202</w:t>
      </w:r>
      <w:r>
        <w:rPr>
          <w:rFonts w:hint="eastAsia"/>
          <w:lang w:val="en-US" w:eastAsia="zh-CN"/>
        </w:rPr>
        <w:t>6</w:t>
      </w:r>
      <w:r>
        <w:rPr>
          <w:rFonts w:hint="eastAsia"/>
        </w:rPr>
        <w:t>年</w:t>
      </w:r>
      <w:r>
        <w:rPr>
          <w:rFonts w:hint="eastAsia"/>
          <w:lang w:val="en-US" w:eastAsia="zh-CN"/>
        </w:rPr>
        <w:t>1</w:t>
      </w:r>
      <w:r>
        <w:rPr>
          <w:rFonts w:hint="eastAsia"/>
        </w:rPr>
        <w:t>月形成了标准的征求意见稿、编制说明。</w:t>
      </w:r>
    </w:p>
    <w:p w14:paraId="04371545">
      <w:pPr>
        <w:pStyle w:val="4"/>
        <w:spacing w:before="156" w:after="156"/>
      </w:pPr>
      <w:r>
        <w:rPr>
          <w:rFonts w:hint="eastAsia"/>
        </w:rPr>
        <w:t>征求意见阶段</w:t>
      </w:r>
    </w:p>
    <w:p w14:paraId="1F4E7E0C">
      <w:pPr>
        <w:ind w:firstLine="420" w:firstLineChars="200"/>
        <w:rPr>
          <w:rFonts w:hint="default" w:eastAsia="宋体"/>
          <w:lang w:val="en-US" w:eastAsia="zh-CN"/>
        </w:rPr>
      </w:pPr>
      <w:r>
        <w:rPr>
          <w:rFonts w:hint="eastAsia"/>
          <w:lang w:val="en-US" w:eastAsia="zh-CN"/>
        </w:rPr>
        <w:t>......</w:t>
      </w:r>
    </w:p>
    <w:p w14:paraId="00DF9AA4">
      <w:pPr>
        <w:pStyle w:val="4"/>
        <w:spacing w:before="156" w:after="156"/>
      </w:pPr>
      <w:r>
        <w:t>审查阶段</w:t>
      </w:r>
    </w:p>
    <w:p w14:paraId="1D3C322A">
      <w:pPr>
        <w:widowControl w:val="0"/>
        <w:ind w:firstLine="420" w:firstLineChars="200"/>
        <w:rPr>
          <w:rFonts w:hint="default" w:eastAsia="宋体"/>
          <w:szCs w:val="21"/>
          <w:lang w:val="en-US" w:eastAsia="zh-CN"/>
        </w:rPr>
      </w:pPr>
      <w:r>
        <w:rPr>
          <w:rFonts w:hint="eastAsia"/>
          <w:szCs w:val="21"/>
          <w:lang w:val="en-US" w:eastAsia="zh-CN"/>
        </w:rPr>
        <w:t>......</w:t>
      </w:r>
    </w:p>
    <w:p w14:paraId="295D2BA9">
      <w:pPr>
        <w:pStyle w:val="4"/>
        <w:spacing w:before="156" w:after="156"/>
      </w:pPr>
      <w:r>
        <w:t>报批阶段</w:t>
      </w:r>
    </w:p>
    <w:p w14:paraId="7660AC6C">
      <w:pPr>
        <w:widowControl w:val="0"/>
        <w:ind w:firstLine="420" w:firstLineChars="200"/>
        <w:rPr>
          <w:rFonts w:hint="default" w:eastAsia="宋体"/>
          <w:szCs w:val="21"/>
          <w:lang w:val="en-US" w:eastAsia="zh-CN"/>
        </w:rPr>
      </w:pPr>
      <w:r>
        <w:rPr>
          <w:rFonts w:hint="eastAsia"/>
          <w:szCs w:val="21"/>
          <w:lang w:val="en-US" w:eastAsia="zh-CN"/>
        </w:rPr>
        <w:t>......</w:t>
      </w:r>
    </w:p>
    <w:p w14:paraId="75C3B25D">
      <w:pPr>
        <w:pStyle w:val="2"/>
        <w:spacing w:before="312" w:after="312"/>
      </w:pPr>
      <w:r>
        <w:rPr>
          <w:rFonts w:hint="eastAsia"/>
        </w:rPr>
        <w:t>标准修订</w:t>
      </w:r>
      <w:r>
        <w:t>原则</w:t>
      </w:r>
      <w:r>
        <w:rPr>
          <w:rFonts w:hint="eastAsia"/>
        </w:rPr>
        <w:t>、主要内容与依据</w:t>
      </w:r>
    </w:p>
    <w:p w14:paraId="39F12D82">
      <w:pPr>
        <w:pStyle w:val="3"/>
        <w:spacing w:before="156" w:after="156"/>
      </w:pPr>
      <w:r>
        <w:rPr>
          <w:rFonts w:hint="eastAsia"/>
        </w:rPr>
        <w:t>标准修订原则</w:t>
      </w:r>
    </w:p>
    <w:p w14:paraId="55BDCB01">
      <w:pPr>
        <w:ind w:firstLine="420" w:firstLineChars="200"/>
      </w:pPr>
      <w:r>
        <w:rPr>
          <w:rFonts w:hint="eastAsia"/>
        </w:rPr>
        <w:t>标准负责起草单位在任务落实会上征求了与会专家和代表的意见，确定了修订的方案和标准起草原则：</w:t>
      </w:r>
    </w:p>
    <w:p w14:paraId="6D21B768">
      <w:pPr>
        <w:ind w:firstLine="420" w:firstLineChars="200"/>
      </w:pPr>
      <w:r>
        <w:rPr>
          <w:rFonts w:hint="eastAsia"/>
        </w:rPr>
        <w:t>1）合规性：严格依据《中华人民共和国标准化法》等国家相关法律、法规，遵循标准化工作的相关规定；</w:t>
      </w:r>
    </w:p>
    <w:p w14:paraId="41860D03">
      <w:pPr>
        <w:ind w:firstLine="420" w:firstLineChars="200"/>
      </w:pPr>
      <w:r>
        <w:rPr>
          <w:rFonts w:hint="eastAsia"/>
        </w:rPr>
        <w:t>2）</w:t>
      </w:r>
      <w:r>
        <w:rPr>
          <w:rFonts w:hint="eastAsia"/>
          <w:color w:val="auto"/>
        </w:rPr>
        <w:t>适用性和先进性：紧密结合我国烧结金属材料行业的生产实际、检测需求和技术发展水平，等同采用国际标准ISO 2740:2023，吸收国际先进技术成果，确保标准既符合行业当前应用需求，又具有一定的前瞻性；</w:t>
      </w:r>
    </w:p>
    <w:p w14:paraId="07E4096F">
      <w:pPr>
        <w:ind w:firstLine="420" w:firstLineChars="200"/>
      </w:pPr>
      <w:r>
        <w:rPr>
          <w:rFonts w:hint="eastAsia"/>
        </w:rPr>
        <w:t>3）规范性：按照 GB/T 1.1-2020《标准化工作导则 第 1 部分：标准的结构和编写》的规定编写，保证标准文本的结构清晰、逻辑严谨、表述规范；</w:t>
      </w:r>
    </w:p>
    <w:p w14:paraId="5A1CFE08">
      <w:pPr>
        <w:ind w:firstLine="420" w:firstLineChars="200"/>
      </w:pPr>
      <w:r>
        <w:rPr>
          <w:rFonts w:hint="eastAsia"/>
        </w:rPr>
        <w:t>4）一致性：本文件等同采用ISO 2740:2023。</w:t>
      </w:r>
    </w:p>
    <w:p w14:paraId="3E50048A">
      <w:pPr>
        <w:pStyle w:val="3"/>
        <w:spacing w:before="156" w:after="156"/>
      </w:pPr>
      <w:r>
        <w:rPr>
          <w:rFonts w:hint="eastAsia"/>
        </w:rPr>
        <w:t>标准修订的主要内容</w:t>
      </w:r>
    </w:p>
    <w:p w14:paraId="62D9CDD6">
      <w:pPr>
        <w:ind w:firstLine="420" w:firstLineChars="200"/>
        <w:rPr>
          <w:rFonts w:hint="eastAsia"/>
        </w:rPr>
      </w:pPr>
      <w:r>
        <w:rPr>
          <w:rFonts w:hint="eastAsia"/>
        </w:rPr>
        <w:t>本文件代替GB/T 7963-2015《烧结金属材料（不包括硬质合金） 拉伸试样》，本文件与GB/T 7963-2015相比，除结构调整和编辑性改动外，主要技术变化如下：</w:t>
      </w:r>
    </w:p>
    <w:p w14:paraId="144CFF74">
      <w:pPr>
        <w:ind w:firstLine="420" w:firstLineChars="200"/>
        <w:rPr>
          <w:rFonts w:hint="eastAsia"/>
        </w:rPr>
      </w:pPr>
      <w:r>
        <w:rPr>
          <w:rFonts w:hint="eastAsia"/>
        </w:rPr>
        <w:t>a）增加了对ISO 6892-1的引用（见2，2015年版的2）；</w:t>
      </w:r>
    </w:p>
    <w:p w14:paraId="465F52EB">
      <w:pPr>
        <w:ind w:firstLine="420" w:firstLineChars="200"/>
        <w:rPr>
          <w:rFonts w:hint="eastAsia"/>
        </w:rPr>
      </w:pPr>
      <w:r>
        <w:rPr>
          <w:rFonts w:hint="eastAsia"/>
        </w:rPr>
        <w:t>b）增加了新的试样形状作为图3（见5.2，2015年版的5.2）；</w:t>
      </w:r>
    </w:p>
    <w:p w14:paraId="2CA63207">
      <w:pPr>
        <w:ind w:firstLine="420" w:firstLineChars="200"/>
        <w:rPr>
          <w:rFonts w:hint="eastAsia"/>
        </w:rPr>
      </w:pPr>
      <w:r>
        <w:rPr>
          <w:rFonts w:hint="eastAsia"/>
        </w:rPr>
        <w:t xml:space="preserve">c）增加了5.2中可选模具模腔锥度的测量单位和第4段（见5.2，2015年版的5.2）； </w:t>
      </w:r>
    </w:p>
    <w:p w14:paraId="433584F6">
      <w:pPr>
        <w:ind w:firstLine="420" w:firstLineChars="200"/>
        <w:rPr>
          <w:rFonts w:hint="eastAsia"/>
        </w:rPr>
      </w:pPr>
      <w:r>
        <w:rPr>
          <w:rFonts w:hint="eastAsia"/>
        </w:rPr>
        <w:t>d）更改了图4下表中“A1型：R1值”为12.5mm（见6，2015年版的5）；</w:t>
      </w:r>
    </w:p>
    <w:p w14:paraId="69BB8A33">
      <w:pPr>
        <w:ind w:firstLine="420" w:firstLineChars="200"/>
      </w:pPr>
      <w:r>
        <w:rPr>
          <w:rFonts w:hint="eastAsia"/>
        </w:rPr>
        <w:t>e）更改了图4下表中“A2型：R1值”为11.5mm（见6，2015年版的5）；</w:t>
      </w:r>
    </w:p>
    <w:p w14:paraId="2314ED92">
      <w:pPr>
        <w:pStyle w:val="3"/>
        <w:spacing w:before="156" w:after="156"/>
      </w:pPr>
      <w:r>
        <w:t>主要</w:t>
      </w:r>
      <w:r>
        <w:rPr>
          <w:rFonts w:hint="eastAsia"/>
        </w:rPr>
        <w:t>试验及验证试验情况分析</w:t>
      </w:r>
    </w:p>
    <w:p w14:paraId="74EABE98">
      <w:pPr>
        <w:pStyle w:val="4"/>
        <w:spacing w:before="156" w:after="156"/>
      </w:pPr>
      <w:r>
        <w:rPr>
          <w:rFonts w:hint="eastAsia"/>
        </w:rPr>
        <w:t>验证程序</w:t>
      </w:r>
    </w:p>
    <w:p w14:paraId="4B91CB0F">
      <w:pPr>
        <w:ind w:firstLine="420" w:firstLineChars="200"/>
        <w:rPr>
          <w:rFonts w:hint="eastAsia"/>
        </w:rPr>
      </w:pPr>
      <w:r>
        <w:rPr>
          <w:rFonts w:hint="eastAsia"/>
        </w:rPr>
        <w:t>为确保GB/T 7963—202× 标准中机械加工试样相关技术要求的科学性、合理性和可操作性，本次验证试验按以下程序系统开展：</w:t>
      </w:r>
    </w:p>
    <w:p w14:paraId="2450BC3C">
      <w:pPr>
        <w:ind w:firstLine="420" w:firstLineChars="200"/>
        <w:rPr>
          <w:rFonts w:hint="eastAsia"/>
        </w:rPr>
      </w:pPr>
      <w:r>
        <w:rPr>
          <w:rFonts w:hint="eastAsia"/>
          <w:lang w:val="en-US" w:eastAsia="zh-CN"/>
        </w:rPr>
        <w:t>1</w:t>
      </w:r>
      <w:r>
        <w:rPr>
          <w:rFonts w:hint="eastAsia"/>
          <w:lang w:eastAsia="zh-CN"/>
        </w:rPr>
        <w:t>）</w:t>
      </w:r>
      <w:r>
        <w:rPr>
          <w:rFonts w:hint="eastAsia"/>
        </w:rPr>
        <w:t>验证目标：聚焦机械加工圆头拉伸试样（图6型）的尺寸设计合理性、测试方法可行性及试验数据的准确性与一致性，为标准实施提供数据支撑；</w:t>
      </w:r>
    </w:p>
    <w:p w14:paraId="074D1729">
      <w:pPr>
        <w:ind w:firstLine="420" w:firstLineChars="200"/>
        <w:rPr>
          <w:rFonts w:hint="eastAsia"/>
        </w:rPr>
      </w:pPr>
      <w:r>
        <w:rPr>
          <w:rFonts w:hint="eastAsia"/>
          <w:lang w:val="en-US" w:eastAsia="zh-CN"/>
        </w:rPr>
        <w:t>2</w:t>
      </w:r>
      <w:r>
        <w:rPr>
          <w:rFonts w:hint="eastAsia"/>
          <w:lang w:eastAsia="zh-CN"/>
        </w:rPr>
        <w:t>）</w:t>
      </w:r>
      <w:r>
        <w:rPr>
          <w:rFonts w:hint="eastAsia"/>
        </w:rPr>
        <w:t>试验依据：GB/T 7963—202×（草案）、ISO 6892-1、ISO 7500-1、GB/T 228.1-2021、GB/T 16825.1-2022；</w:t>
      </w:r>
    </w:p>
    <w:p w14:paraId="307A7714">
      <w:pPr>
        <w:ind w:firstLine="420" w:firstLineChars="200"/>
        <w:rPr>
          <w:rFonts w:hint="eastAsia"/>
        </w:rPr>
      </w:pPr>
      <w:r>
        <w:rPr>
          <w:rFonts w:hint="eastAsia"/>
          <w:lang w:val="en-US" w:eastAsia="zh-CN"/>
        </w:rPr>
        <w:t>3</w:t>
      </w:r>
      <w:r>
        <w:rPr>
          <w:rFonts w:hint="eastAsia"/>
          <w:lang w:eastAsia="zh-CN"/>
        </w:rPr>
        <w:t>）</w:t>
      </w:r>
      <w:r>
        <w:rPr>
          <w:rFonts w:hint="eastAsia"/>
        </w:rPr>
        <w:t>试样统一制备：由西部宝德科技股份有限公司制备机械加工圆头拉伸试样（图6型），标距长度25mm，标距锥度0.1mm，凸肩内侧半径2.0mm（中间值），统一编号后分发，确保试样一致性；</w:t>
      </w:r>
    </w:p>
    <w:p w14:paraId="2889ECFA">
      <w:pPr>
        <w:ind w:firstLine="420" w:firstLineChars="200"/>
        <w:rPr>
          <w:rFonts w:hint="eastAsia"/>
        </w:rPr>
      </w:pPr>
      <w:r>
        <w:rPr>
          <w:rFonts w:hint="eastAsia"/>
          <w:lang w:val="en-US" w:eastAsia="zh-CN"/>
        </w:rPr>
        <w:t>4）</w:t>
      </w:r>
      <w:r>
        <w:rPr>
          <w:rFonts w:hint="eastAsia"/>
        </w:rPr>
        <w:t>试验流程规范：明确设备校准、试样装夹（可拆分夹头包裹20°锥形区域）、标距标记（25mm浅划线）、数据记录（力-位移曲线、断裂位置）等统一要求；</w:t>
      </w:r>
    </w:p>
    <w:p w14:paraId="77A846CB">
      <w:pPr>
        <w:ind w:firstLine="420" w:firstLineChars="200"/>
        <w:rPr>
          <w:rFonts w:hint="eastAsia"/>
        </w:rPr>
      </w:pPr>
      <w:r>
        <w:rPr>
          <w:rFonts w:hint="eastAsia"/>
          <w:lang w:val="en-US" w:eastAsia="zh-CN"/>
        </w:rPr>
        <w:t>5</w:t>
      </w:r>
      <w:r>
        <w:rPr>
          <w:rFonts w:hint="eastAsia"/>
          <w:lang w:eastAsia="zh-CN"/>
        </w:rPr>
        <w:t>）</w:t>
      </w:r>
      <w:r>
        <w:rPr>
          <w:rFonts w:hint="eastAsia"/>
        </w:rPr>
        <w:t>数据处理规则：按“断裂位置是否在标距内”筛选有效数据，采用“平均值-标准差-变异系数”体系分析一致性，并完整保留各家单位原始试验数据。</w:t>
      </w:r>
    </w:p>
    <w:p w14:paraId="32772412">
      <w:pPr>
        <w:pStyle w:val="4"/>
        <w:spacing w:before="156" w:after="156"/>
      </w:pPr>
      <w:r>
        <w:rPr>
          <w:rFonts w:hint="eastAsia"/>
        </w:rPr>
        <w:t>试验验证</w:t>
      </w:r>
    </w:p>
    <w:p w14:paraId="43383E0C">
      <w:pPr>
        <w:rPr>
          <w:rFonts w:hint="eastAsia"/>
        </w:rPr>
      </w:pPr>
      <w:r>
        <w:rPr>
          <w:rFonts w:hint="eastAsia"/>
        </w:rPr>
        <w:t>2.3.2.1 试验条件</w:t>
      </w:r>
    </w:p>
    <w:p w14:paraId="739AF0F4">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w:t>
      </w:r>
      <w:r>
        <w:rPr>
          <w:rFonts w:hint="eastAsia"/>
          <w:lang w:eastAsia="zh-CN"/>
        </w:rPr>
        <w:t>）</w:t>
      </w:r>
      <w:r>
        <w:rPr>
          <w:rFonts w:hint="eastAsia"/>
        </w:rPr>
        <w:t>测试设备：各单位拉伸试验机均按 ISO 7500-1 校准至 1 级（在校准有效期内），配备精度 0.01mm 的千分尺、与试样匹配的可拆分夹头；</w:t>
      </w:r>
    </w:p>
    <w:p w14:paraId="2D67E154">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w:t>
      </w:r>
      <w:r>
        <w:rPr>
          <w:rFonts w:hint="eastAsia"/>
          <w:lang w:eastAsia="zh-CN"/>
        </w:rPr>
        <w:t>）</w:t>
      </w:r>
      <w:r>
        <w:rPr>
          <w:rFonts w:hint="eastAsia"/>
        </w:rPr>
        <w:t>试样参数：机械加工圆头拉伸试样（图6型），标距长度25.0mm，标距区域实际直径4.74-4.93mm，符合标准规定的尺寸公差；</w:t>
      </w:r>
    </w:p>
    <w:p w14:paraId="149891ED">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3</w:t>
      </w:r>
      <w:r>
        <w:rPr>
          <w:rFonts w:hint="eastAsia"/>
          <w:lang w:eastAsia="zh-CN"/>
        </w:rPr>
        <w:t>）</w:t>
      </w:r>
      <w:r>
        <w:rPr>
          <w:rFonts w:hint="eastAsia"/>
        </w:rPr>
        <w:t>试验参数：钢铁研究总院、国标（北京）检验认证有限公司拉伸速度为 1.5mm/min（标准推荐值），中南大学因设备限制采用1mm/min（特殊说明），试验环境为室温（23±2℃）。</w:t>
      </w:r>
    </w:p>
    <w:p w14:paraId="79BF5800">
      <w:pPr>
        <w:rPr>
          <w:rFonts w:hint="eastAsia"/>
        </w:rPr>
      </w:pPr>
      <w:r>
        <w:rPr>
          <w:rFonts w:hint="eastAsia"/>
        </w:rPr>
        <w:t>2.3.2.2 数据整理与筛选</w:t>
      </w:r>
    </w:p>
    <w:p w14:paraId="1B4CE05A">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rPr>
        <w:t>各单位按要求测试 3 个试样，原始数据及筛选结果分单位呈现如下：</w:t>
      </w:r>
    </w:p>
    <w:p w14:paraId="6CEB12B6">
      <w:pPr>
        <w:pStyle w:val="11"/>
        <w:spacing w:before="156" w:after="156"/>
        <w:rPr>
          <w:rFonts w:hint="eastAsia"/>
          <w:lang w:val="en-US" w:eastAsia="zh-CN"/>
        </w:rPr>
      </w:pPr>
    </w:p>
    <w:p w14:paraId="2F602A06">
      <w:pPr>
        <w:pStyle w:val="11"/>
        <w:spacing w:before="156" w:after="156"/>
        <w:rPr>
          <w:rFonts w:hint="eastAsia"/>
          <w:lang w:val="en-US" w:eastAsia="zh-CN"/>
        </w:rPr>
      </w:pPr>
    </w:p>
    <w:p w14:paraId="676D181C">
      <w:pPr>
        <w:pStyle w:val="11"/>
        <w:spacing w:before="156" w:after="156"/>
        <w:rPr>
          <w:rFonts w:hint="eastAsia"/>
          <w:lang w:val="en-US" w:eastAsia="zh-CN"/>
        </w:rPr>
      </w:pPr>
      <w:r>
        <w:rPr>
          <w:rFonts w:hint="eastAsia"/>
          <w:lang w:val="en-US" w:eastAsia="zh-CN"/>
        </w:rPr>
        <w:t>表2  钢铁研究总院试验数据</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948"/>
        <w:gridCol w:w="988"/>
        <w:gridCol w:w="988"/>
        <w:gridCol w:w="988"/>
        <w:gridCol w:w="988"/>
        <w:gridCol w:w="988"/>
        <w:gridCol w:w="988"/>
        <w:gridCol w:w="988"/>
        <w:gridCol w:w="989"/>
      </w:tblGrid>
      <w:tr w14:paraId="3D29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48" w:type="dxa"/>
            <w:vAlign w:val="center"/>
          </w:tcPr>
          <w:p w14:paraId="7594C497">
            <w:pPr>
              <w:jc w:val="center"/>
              <w:rPr>
                <w:rFonts w:hint="default"/>
                <w:vertAlign w:val="baseline"/>
                <w:lang w:val="en-US" w:eastAsia="zh-CN"/>
              </w:rPr>
            </w:pPr>
            <w:r>
              <w:rPr>
                <w:rFonts w:hint="eastAsia"/>
                <w:vertAlign w:val="baseline"/>
                <w:lang w:val="en-US" w:eastAsia="zh-CN"/>
              </w:rPr>
              <w:t>试样编号</w:t>
            </w:r>
          </w:p>
        </w:tc>
        <w:tc>
          <w:tcPr>
            <w:tcW w:w="988" w:type="dxa"/>
            <w:vAlign w:val="center"/>
          </w:tcPr>
          <w:p w14:paraId="053C38E1">
            <w:pPr>
              <w:jc w:val="center"/>
              <w:rPr>
                <w:rFonts w:hint="default"/>
                <w:vertAlign w:val="baseline"/>
                <w:lang w:val="en-US" w:eastAsia="zh-CN"/>
              </w:rPr>
            </w:pPr>
            <w:r>
              <w:rPr>
                <w:rFonts w:hint="eastAsia"/>
                <w:vertAlign w:val="baseline"/>
                <w:lang w:val="en-US" w:eastAsia="zh-CN"/>
              </w:rPr>
              <w:t>标距（mm）</w:t>
            </w:r>
          </w:p>
        </w:tc>
        <w:tc>
          <w:tcPr>
            <w:tcW w:w="988" w:type="dxa"/>
            <w:vAlign w:val="center"/>
          </w:tcPr>
          <w:p w14:paraId="14373150">
            <w:pPr>
              <w:jc w:val="center"/>
              <w:rPr>
                <w:rFonts w:hint="default"/>
                <w:vertAlign w:val="baseline"/>
                <w:lang w:val="en-US" w:eastAsia="zh-CN"/>
              </w:rPr>
            </w:pPr>
            <w:r>
              <w:rPr>
                <w:rFonts w:hint="eastAsia"/>
                <w:vertAlign w:val="baseline"/>
                <w:lang w:val="en-US" w:eastAsia="zh-CN"/>
              </w:rPr>
              <w:t>实际直径（mm）</w:t>
            </w:r>
          </w:p>
        </w:tc>
        <w:tc>
          <w:tcPr>
            <w:tcW w:w="988" w:type="dxa"/>
            <w:vAlign w:val="center"/>
          </w:tcPr>
          <w:p w14:paraId="63F64ED1">
            <w:pPr>
              <w:jc w:val="center"/>
              <w:rPr>
                <w:rFonts w:hint="default"/>
                <w:vertAlign w:val="baseline"/>
                <w:lang w:val="en-US" w:eastAsia="zh-CN"/>
              </w:rPr>
            </w:pPr>
            <w:r>
              <w:rPr>
                <w:rFonts w:hint="eastAsia"/>
                <w:vertAlign w:val="baseline"/>
                <w:lang w:val="en-US" w:eastAsia="zh-CN"/>
              </w:rPr>
              <w:t>最大拉力（KN）</w:t>
            </w:r>
          </w:p>
        </w:tc>
        <w:tc>
          <w:tcPr>
            <w:tcW w:w="988" w:type="dxa"/>
            <w:vAlign w:val="center"/>
          </w:tcPr>
          <w:p w14:paraId="4A18FE26">
            <w:pPr>
              <w:jc w:val="center"/>
              <w:rPr>
                <w:rFonts w:hint="default"/>
                <w:vertAlign w:val="baseline"/>
                <w:lang w:val="en-US" w:eastAsia="zh-CN"/>
              </w:rPr>
            </w:pPr>
            <w:r>
              <w:rPr>
                <w:rFonts w:hint="eastAsia"/>
                <w:vertAlign w:val="baseline"/>
                <w:lang w:val="en-US" w:eastAsia="zh-CN"/>
              </w:rPr>
              <w:t>屈服强度（MPa）</w:t>
            </w:r>
          </w:p>
        </w:tc>
        <w:tc>
          <w:tcPr>
            <w:tcW w:w="988" w:type="dxa"/>
            <w:vAlign w:val="center"/>
          </w:tcPr>
          <w:p w14:paraId="6D85CA46">
            <w:pPr>
              <w:jc w:val="center"/>
              <w:rPr>
                <w:rFonts w:hint="default"/>
                <w:vertAlign w:val="baseline"/>
                <w:lang w:val="en-US" w:eastAsia="zh-CN"/>
              </w:rPr>
            </w:pPr>
            <w:r>
              <w:rPr>
                <w:rFonts w:hint="eastAsia"/>
                <w:vertAlign w:val="baseline"/>
                <w:lang w:val="en-US" w:eastAsia="zh-CN"/>
              </w:rPr>
              <w:t>抗拉强度（MPa）</w:t>
            </w:r>
          </w:p>
        </w:tc>
        <w:tc>
          <w:tcPr>
            <w:tcW w:w="988" w:type="dxa"/>
            <w:vAlign w:val="center"/>
          </w:tcPr>
          <w:p w14:paraId="67945DC2">
            <w:pPr>
              <w:jc w:val="center"/>
              <w:rPr>
                <w:rFonts w:hint="default"/>
                <w:vertAlign w:val="baseline"/>
                <w:lang w:val="en-US" w:eastAsia="zh-CN"/>
              </w:rPr>
            </w:pPr>
            <w:r>
              <w:rPr>
                <w:rFonts w:hint="eastAsia"/>
                <w:vertAlign w:val="baseline"/>
                <w:lang w:val="en-US" w:eastAsia="zh-CN"/>
              </w:rPr>
              <w:t>断裂伸长率（%）</w:t>
            </w:r>
          </w:p>
        </w:tc>
        <w:tc>
          <w:tcPr>
            <w:tcW w:w="988" w:type="dxa"/>
            <w:vAlign w:val="center"/>
          </w:tcPr>
          <w:p w14:paraId="04A64B85">
            <w:pPr>
              <w:jc w:val="center"/>
              <w:rPr>
                <w:rFonts w:hint="default"/>
                <w:vertAlign w:val="baseline"/>
                <w:lang w:val="en-US" w:eastAsia="zh-CN"/>
              </w:rPr>
            </w:pPr>
            <w:r>
              <w:rPr>
                <w:rFonts w:hint="default"/>
                <w:vertAlign w:val="baseline"/>
                <w:lang w:val="en-US" w:eastAsia="zh-CN"/>
              </w:rPr>
              <w:t>断裂位置</w:t>
            </w:r>
          </w:p>
        </w:tc>
        <w:tc>
          <w:tcPr>
            <w:tcW w:w="989" w:type="dxa"/>
            <w:vAlign w:val="center"/>
          </w:tcPr>
          <w:p w14:paraId="18ABB092">
            <w:pPr>
              <w:jc w:val="center"/>
              <w:rPr>
                <w:rFonts w:hint="default"/>
                <w:vertAlign w:val="baseline"/>
                <w:lang w:val="en-US" w:eastAsia="zh-CN"/>
              </w:rPr>
            </w:pPr>
            <w:r>
              <w:rPr>
                <w:rFonts w:hint="default"/>
                <w:vertAlign w:val="baseline"/>
                <w:lang w:val="en-US" w:eastAsia="zh-CN"/>
              </w:rPr>
              <w:t>有效性</w:t>
            </w:r>
          </w:p>
        </w:tc>
      </w:tr>
      <w:tr w14:paraId="3C2F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48" w:type="dxa"/>
            <w:vAlign w:val="center"/>
          </w:tcPr>
          <w:p w14:paraId="6F169C47">
            <w:pPr>
              <w:jc w:val="center"/>
              <w:rPr>
                <w:rFonts w:hint="default"/>
                <w:vertAlign w:val="baseline"/>
                <w:lang w:val="en-US" w:eastAsia="zh-CN"/>
              </w:rPr>
            </w:pPr>
            <w:r>
              <w:rPr>
                <w:rFonts w:hint="default"/>
                <w:vertAlign w:val="baseline"/>
                <w:lang w:val="en-US" w:eastAsia="zh-CN"/>
              </w:rPr>
              <w:t>GB7963-M6-GY-01</w:t>
            </w:r>
          </w:p>
        </w:tc>
        <w:tc>
          <w:tcPr>
            <w:tcW w:w="988" w:type="dxa"/>
            <w:vAlign w:val="center"/>
          </w:tcPr>
          <w:p w14:paraId="5977C80E">
            <w:pPr>
              <w:jc w:val="center"/>
              <w:rPr>
                <w:rFonts w:hint="default"/>
                <w:vertAlign w:val="baseline"/>
                <w:lang w:val="en-US" w:eastAsia="zh-CN"/>
              </w:rPr>
            </w:pPr>
            <w:r>
              <w:rPr>
                <w:rFonts w:hint="default"/>
                <w:vertAlign w:val="baseline"/>
                <w:lang w:val="en-US" w:eastAsia="zh-CN"/>
              </w:rPr>
              <w:t>25.0</w:t>
            </w:r>
          </w:p>
        </w:tc>
        <w:tc>
          <w:tcPr>
            <w:tcW w:w="988" w:type="dxa"/>
            <w:vAlign w:val="center"/>
          </w:tcPr>
          <w:p w14:paraId="4E90AA04">
            <w:pPr>
              <w:jc w:val="center"/>
              <w:rPr>
                <w:rFonts w:hint="default"/>
                <w:vertAlign w:val="baseline"/>
                <w:lang w:val="en-US" w:eastAsia="zh-CN"/>
              </w:rPr>
            </w:pPr>
            <w:r>
              <w:rPr>
                <w:rFonts w:hint="default"/>
                <w:vertAlign w:val="baseline"/>
                <w:lang w:val="en-US" w:eastAsia="zh-CN"/>
              </w:rPr>
              <w:t>4.91</w:t>
            </w:r>
          </w:p>
        </w:tc>
        <w:tc>
          <w:tcPr>
            <w:tcW w:w="988" w:type="dxa"/>
            <w:vAlign w:val="center"/>
          </w:tcPr>
          <w:p w14:paraId="101746F6">
            <w:pPr>
              <w:jc w:val="center"/>
              <w:rPr>
                <w:rFonts w:hint="default"/>
                <w:vertAlign w:val="baseline"/>
                <w:lang w:val="en-US" w:eastAsia="zh-CN"/>
              </w:rPr>
            </w:pPr>
            <w:r>
              <w:rPr>
                <w:rFonts w:hint="default"/>
                <w:vertAlign w:val="baseline"/>
                <w:lang w:val="en-US" w:eastAsia="zh-CN"/>
              </w:rPr>
              <w:t>17.22</w:t>
            </w:r>
          </w:p>
        </w:tc>
        <w:tc>
          <w:tcPr>
            <w:tcW w:w="988" w:type="dxa"/>
            <w:vAlign w:val="center"/>
          </w:tcPr>
          <w:p w14:paraId="17C8F920">
            <w:pPr>
              <w:jc w:val="center"/>
              <w:rPr>
                <w:rFonts w:hint="default"/>
                <w:vertAlign w:val="baseline"/>
                <w:lang w:val="en-US" w:eastAsia="zh-CN"/>
              </w:rPr>
            </w:pPr>
            <w:r>
              <w:rPr>
                <w:rFonts w:hint="default"/>
                <w:vertAlign w:val="baseline"/>
                <w:lang w:val="en-US" w:eastAsia="zh-CN"/>
              </w:rPr>
              <w:t>751</w:t>
            </w:r>
          </w:p>
        </w:tc>
        <w:tc>
          <w:tcPr>
            <w:tcW w:w="988" w:type="dxa"/>
            <w:vAlign w:val="center"/>
          </w:tcPr>
          <w:p w14:paraId="546796B5">
            <w:pPr>
              <w:jc w:val="center"/>
              <w:rPr>
                <w:rFonts w:hint="default"/>
                <w:vertAlign w:val="baseline"/>
                <w:lang w:val="en-US" w:eastAsia="zh-CN"/>
              </w:rPr>
            </w:pPr>
            <w:r>
              <w:rPr>
                <w:rFonts w:hint="default"/>
                <w:vertAlign w:val="baseline"/>
                <w:lang w:val="en-US" w:eastAsia="zh-CN"/>
              </w:rPr>
              <w:t>910</w:t>
            </w:r>
          </w:p>
        </w:tc>
        <w:tc>
          <w:tcPr>
            <w:tcW w:w="988" w:type="dxa"/>
            <w:vAlign w:val="center"/>
          </w:tcPr>
          <w:p w14:paraId="6F3218EC">
            <w:pPr>
              <w:jc w:val="center"/>
              <w:rPr>
                <w:rFonts w:hint="default"/>
                <w:vertAlign w:val="baseline"/>
                <w:lang w:val="en-US" w:eastAsia="zh-CN"/>
              </w:rPr>
            </w:pPr>
            <w:r>
              <w:rPr>
                <w:rFonts w:hint="default"/>
                <w:vertAlign w:val="baseline"/>
                <w:lang w:val="en-US" w:eastAsia="zh-CN"/>
              </w:rPr>
              <w:t>12.5</w:t>
            </w:r>
          </w:p>
        </w:tc>
        <w:tc>
          <w:tcPr>
            <w:tcW w:w="988" w:type="dxa"/>
            <w:vAlign w:val="center"/>
          </w:tcPr>
          <w:p w14:paraId="4EE745AC">
            <w:pPr>
              <w:jc w:val="center"/>
              <w:rPr>
                <w:rFonts w:hint="default"/>
                <w:vertAlign w:val="baseline"/>
                <w:lang w:val="en-US" w:eastAsia="zh-CN"/>
              </w:rPr>
            </w:pPr>
            <w:r>
              <w:rPr>
                <w:rFonts w:hint="default"/>
                <w:vertAlign w:val="baseline"/>
                <w:lang w:val="en-US" w:eastAsia="zh-CN"/>
              </w:rPr>
              <w:t>标距内（中间）</w:t>
            </w:r>
          </w:p>
        </w:tc>
        <w:tc>
          <w:tcPr>
            <w:tcW w:w="989" w:type="dxa"/>
            <w:vAlign w:val="center"/>
          </w:tcPr>
          <w:p w14:paraId="7492FB70">
            <w:pPr>
              <w:jc w:val="center"/>
              <w:rPr>
                <w:rFonts w:hint="default"/>
                <w:vertAlign w:val="baseline"/>
                <w:lang w:val="en-US" w:eastAsia="zh-CN"/>
              </w:rPr>
            </w:pPr>
            <w:r>
              <w:rPr>
                <w:rFonts w:hint="default"/>
                <w:vertAlign w:val="baseline"/>
                <w:lang w:val="en-US" w:eastAsia="zh-CN"/>
              </w:rPr>
              <w:t>有效</w:t>
            </w:r>
          </w:p>
        </w:tc>
      </w:tr>
      <w:tr w14:paraId="06B1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20" w:hRule="atLeast"/>
        </w:trPr>
        <w:tc>
          <w:tcPr>
            <w:tcW w:w="1948" w:type="dxa"/>
            <w:vAlign w:val="center"/>
          </w:tcPr>
          <w:p w14:paraId="41E80F21">
            <w:pPr>
              <w:jc w:val="center"/>
              <w:rPr>
                <w:rFonts w:hint="default"/>
                <w:vertAlign w:val="baseline"/>
                <w:lang w:val="en-US" w:eastAsia="zh-CN"/>
              </w:rPr>
            </w:pPr>
            <w:r>
              <w:rPr>
                <w:rFonts w:hint="default"/>
                <w:vertAlign w:val="baseline"/>
                <w:lang w:val="en-US" w:eastAsia="zh-CN"/>
              </w:rPr>
              <w:t>GB7963-M6-GY-02</w:t>
            </w:r>
          </w:p>
        </w:tc>
        <w:tc>
          <w:tcPr>
            <w:tcW w:w="988" w:type="dxa"/>
            <w:vAlign w:val="center"/>
          </w:tcPr>
          <w:p w14:paraId="29A55FD0">
            <w:pPr>
              <w:jc w:val="center"/>
              <w:rPr>
                <w:rFonts w:hint="default"/>
                <w:vertAlign w:val="baseline"/>
                <w:lang w:val="en-US" w:eastAsia="zh-CN"/>
              </w:rPr>
            </w:pPr>
            <w:r>
              <w:rPr>
                <w:rFonts w:hint="default"/>
                <w:vertAlign w:val="baseline"/>
                <w:lang w:val="en-US" w:eastAsia="zh-CN"/>
              </w:rPr>
              <w:t>25.0</w:t>
            </w:r>
          </w:p>
        </w:tc>
        <w:tc>
          <w:tcPr>
            <w:tcW w:w="988" w:type="dxa"/>
            <w:vAlign w:val="center"/>
          </w:tcPr>
          <w:p w14:paraId="539F6C57">
            <w:pPr>
              <w:jc w:val="center"/>
              <w:rPr>
                <w:rFonts w:hint="default"/>
                <w:vertAlign w:val="baseline"/>
                <w:lang w:val="en-US" w:eastAsia="zh-CN"/>
              </w:rPr>
            </w:pPr>
            <w:r>
              <w:rPr>
                <w:rFonts w:hint="default"/>
                <w:vertAlign w:val="baseline"/>
                <w:lang w:val="en-US" w:eastAsia="zh-CN"/>
              </w:rPr>
              <w:t>4.78</w:t>
            </w:r>
          </w:p>
        </w:tc>
        <w:tc>
          <w:tcPr>
            <w:tcW w:w="988" w:type="dxa"/>
            <w:vAlign w:val="center"/>
          </w:tcPr>
          <w:p w14:paraId="57534B40">
            <w:pPr>
              <w:jc w:val="center"/>
              <w:rPr>
                <w:rFonts w:hint="default"/>
                <w:vertAlign w:val="baseline"/>
                <w:lang w:val="en-US" w:eastAsia="zh-CN"/>
              </w:rPr>
            </w:pPr>
            <w:r>
              <w:rPr>
                <w:rFonts w:hint="default"/>
                <w:vertAlign w:val="baseline"/>
                <w:lang w:val="en-US" w:eastAsia="zh-CN"/>
              </w:rPr>
              <w:t>15.84</w:t>
            </w:r>
          </w:p>
        </w:tc>
        <w:tc>
          <w:tcPr>
            <w:tcW w:w="988" w:type="dxa"/>
            <w:vAlign w:val="center"/>
          </w:tcPr>
          <w:p w14:paraId="2567257E">
            <w:pPr>
              <w:jc w:val="center"/>
              <w:rPr>
                <w:rFonts w:hint="default"/>
                <w:vertAlign w:val="baseline"/>
                <w:lang w:val="en-US" w:eastAsia="zh-CN"/>
              </w:rPr>
            </w:pPr>
            <w:r>
              <w:rPr>
                <w:rFonts w:hint="default"/>
                <w:vertAlign w:val="baseline"/>
                <w:lang w:val="en-US" w:eastAsia="zh-CN"/>
              </w:rPr>
              <w:t>780</w:t>
            </w:r>
          </w:p>
        </w:tc>
        <w:tc>
          <w:tcPr>
            <w:tcW w:w="988" w:type="dxa"/>
            <w:vAlign w:val="center"/>
          </w:tcPr>
          <w:p w14:paraId="0E7F989B">
            <w:pPr>
              <w:jc w:val="center"/>
              <w:rPr>
                <w:rFonts w:hint="default"/>
                <w:vertAlign w:val="baseline"/>
                <w:lang w:val="en-US" w:eastAsia="zh-CN"/>
              </w:rPr>
            </w:pPr>
            <w:r>
              <w:rPr>
                <w:rFonts w:hint="default"/>
                <w:vertAlign w:val="baseline"/>
                <w:lang w:val="en-US" w:eastAsia="zh-CN"/>
              </w:rPr>
              <w:t>883</w:t>
            </w:r>
          </w:p>
        </w:tc>
        <w:tc>
          <w:tcPr>
            <w:tcW w:w="988" w:type="dxa"/>
            <w:vAlign w:val="center"/>
          </w:tcPr>
          <w:p w14:paraId="1F1D9CF7">
            <w:pPr>
              <w:jc w:val="center"/>
              <w:rPr>
                <w:rFonts w:hint="default"/>
                <w:vertAlign w:val="baseline"/>
                <w:lang w:val="en-US" w:eastAsia="zh-CN"/>
              </w:rPr>
            </w:pPr>
            <w:r>
              <w:rPr>
                <w:rFonts w:hint="default"/>
                <w:vertAlign w:val="baseline"/>
                <w:lang w:val="en-US" w:eastAsia="zh-CN"/>
              </w:rPr>
              <w:t>12.5</w:t>
            </w:r>
          </w:p>
        </w:tc>
        <w:tc>
          <w:tcPr>
            <w:tcW w:w="988" w:type="dxa"/>
            <w:vAlign w:val="center"/>
          </w:tcPr>
          <w:p w14:paraId="3282EA70">
            <w:pPr>
              <w:jc w:val="center"/>
              <w:rPr>
                <w:rFonts w:hint="default"/>
                <w:vertAlign w:val="baseline"/>
                <w:lang w:val="en-US" w:eastAsia="zh-CN"/>
              </w:rPr>
            </w:pPr>
            <w:r>
              <w:rPr>
                <w:rFonts w:hint="default"/>
                <w:vertAlign w:val="baseline"/>
                <w:lang w:val="en-US" w:eastAsia="zh-CN"/>
              </w:rPr>
              <w:t>标距内（一端）</w:t>
            </w:r>
          </w:p>
        </w:tc>
        <w:tc>
          <w:tcPr>
            <w:tcW w:w="989" w:type="dxa"/>
            <w:vAlign w:val="center"/>
          </w:tcPr>
          <w:p w14:paraId="6015B163">
            <w:pPr>
              <w:jc w:val="center"/>
              <w:rPr>
                <w:rFonts w:hint="default"/>
                <w:vertAlign w:val="baseline"/>
                <w:lang w:val="en-US" w:eastAsia="zh-CN"/>
              </w:rPr>
            </w:pPr>
            <w:r>
              <w:rPr>
                <w:rFonts w:hint="default"/>
                <w:vertAlign w:val="baseline"/>
                <w:lang w:val="en-US" w:eastAsia="zh-CN"/>
              </w:rPr>
              <w:t>有效</w:t>
            </w:r>
          </w:p>
        </w:tc>
      </w:tr>
      <w:tr w14:paraId="7B97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48" w:type="dxa"/>
            <w:vAlign w:val="center"/>
          </w:tcPr>
          <w:p w14:paraId="0280E88C">
            <w:pPr>
              <w:jc w:val="center"/>
              <w:rPr>
                <w:rFonts w:hint="default"/>
                <w:vertAlign w:val="baseline"/>
                <w:lang w:val="en-US" w:eastAsia="zh-CN"/>
              </w:rPr>
            </w:pPr>
            <w:r>
              <w:rPr>
                <w:rFonts w:hint="default"/>
                <w:vertAlign w:val="baseline"/>
                <w:lang w:val="en-US" w:eastAsia="zh-CN"/>
              </w:rPr>
              <w:t>GB7963-M6-GY-03</w:t>
            </w:r>
          </w:p>
        </w:tc>
        <w:tc>
          <w:tcPr>
            <w:tcW w:w="988" w:type="dxa"/>
            <w:vAlign w:val="center"/>
          </w:tcPr>
          <w:p w14:paraId="0DF728E4">
            <w:pPr>
              <w:jc w:val="center"/>
              <w:rPr>
                <w:rFonts w:hint="default"/>
                <w:vertAlign w:val="baseline"/>
                <w:lang w:val="en-US" w:eastAsia="zh-CN"/>
              </w:rPr>
            </w:pPr>
            <w:r>
              <w:rPr>
                <w:rFonts w:hint="default"/>
                <w:vertAlign w:val="baseline"/>
                <w:lang w:val="en-US" w:eastAsia="zh-CN"/>
              </w:rPr>
              <w:t>25.0</w:t>
            </w:r>
          </w:p>
        </w:tc>
        <w:tc>
          <w:tcPr>
            <w:tcW w:w="988" w:type="dxa"/>
            <w:vAlign w:val="center"/>
          </w:tcPr>
          <w:p w14:paraId="20E86C22">
            <w:pPr>
              <w:jc w:val="center"/>
              <w:rPr>
                <w:rFonts w:hint="default"/>
                <w:vertAlign w:val="baseline"/>
                <w:lang w:val="en-US" w:eastAsia="zh-CN"/>
              </w:rPr>
            </w:pPr>
            <w:r>
              <w:rPr>
                <w:rFonts w:hint="default"/>
                <w:vertAlign w:val="baseline"/>
                <w:lang w:val="en-US" w:eastAsia="zh-CN"/>
              </w:rPr>
              <w:t>4.93</w:t>
            </w:r>
          </w:p>
        </w:tc>
        <w:tc>
          <w:tcPr>
            <w:tcW w:w="988" w:type="dxa"/>
            <w:vAlign w:val="center"/>
          </w:tcPr>
          <w:p w14:paraId="6056851C">
            <w:pPr>
              <w:jc w:val="center"/>
              <w:rPr>
                <w:rFonts w:hint="default"/>
                <w:vertAlign w:val="baseline"/>
                <w:lang w:val="en-US" w:eastAsia="zh-CN"/>
              </w:rPr>
            </w:pPr>
            <w:r>
              <w:rPr>
                <w:rFonts w:hint="default"/>
                <w:vertAlign w:val="baseline"/>
                <w:lang w:val="en-US" w:eastAsia="zh-CN"/>
              </w:rPr>
              <w:t>16.11</w:t>
            </w:r>
          </w:p>
        </w:tc>
        <w:tc>
          <w:tcPr>
            <w:tcW w:w="988" w:type="dxa"/>
            <w:vAlign w:val="center"/>
          </w:tcPr>
          <w:p w14:paraId="7714A892">
            <w:pPr>
              <w:jc w:val="center"/>
              <w:rPr>
                <w:rFonts w:hint="default"/>
                <w:vertAlign w:val="baseline"/>
                <w:lang w:val="en-US" w:eastAsia="zh-CN"/>
              </w:rPr>
            </w:pPr>
            <w:r>
              <w:rPr>
                <w:rFonts w:hint="default"/>
                <w:vertAlign w:val="baseline"/>
                <w:lang w:val="en-US" w:eastAsia="zh-CN"/>
              </w:rPr>
              <w:t>741</w:t>
            </w:r>
          </w:p>
        </w:tc>
        <w:tc>
          <w:tcPr>
            <w:tcW w:w="988" w:type="dxa"/>
            <w:vAlign w:val="center"/>
          </w:tcPr>
          <w:p w14:paraId="55D9DE24">
            <w:pPr>
              <w:jc w:val="center"/>
              <w:rPr>
                <w:rFonts w:hint="default"/>
                <w:vertAlign w:val="baseline"/>
                <w:lang w:val="en-US" w:eastAsia="zh-CN"/>
              </w:rPr>
            </w:pPr>
            <w:r>
              <w:rPr>
                <w:rFonts w:hint="default"/>
                <w:vertAlign w:val="baseline"/>
                <w:lang w:val="en-US" w:eastAsia="zh-CN"/>
              </w:rPr>
              <w:t>844</w:t>
            </w:r>
          </w:p>
        </w:tc>
        <w:tc>
          <w:tcPr>
            <w:tcW w:w="988" w:type="dxa"/>
            <w:vAlign w:val="center"/>
          </w:tcPr>
          <w:p w14:paraId="251BDB42">
            <w:pPr>
              <w:jc w:val="center"/>
              <w:rPr>
                <w:rFonts w:hint="default"/>
                <w:vertAlign w:val="baseline"/>
                <w:lang w:val="en-US" w:eastAsia="zh-CN"/>
              </w:rPr>
            </w:pPr>
            <w:r>
              <w:rPr>
                <w:rFonts w:hint="default"/>
                <w:vertAlign w:val="baseline"/>
                <w:lang w:val="en-US" w:eastAsia="zh-CN"/>
              </w:rPr>
              <w:t>10.5</w:t>
            </w:r>
          </w:p>
        </w:tc>
        <w:tc>
          <w:tcPr>
            <w:tcW w:w="988" w:type="dxa"/>
            <w:vAlign w:val="center"/>
          </w:tcPr>
          <w:p w14:paraId="2D322F5F">
            <w:pPr>
              <w:jc w:val="center"/>
              <w:rPr>
                <w:rFonts w:hint="default"/>
                <w:vertAlign w:val="baseline"/>
                <w:lang w:val="en-US" w:eastAsia="zh-CN"/>
              </w:rPr>
            </w:pPr>
            <w:r>
              <w:rPr>
                <w:rFonts w:hint="default"/>
                <w:vertAlign w:val="baseline"/>
                <w:lang w:val="en-US" w:eastAsia="zh-CN"/>
              </w:rPr>
              <w:t>标距内（一端）</w:t>
            </w:r>
          </w:p>
        </w:tc>
        <w:tc>
          <w:tcPr>
            <w:tcW w:w="989" w:type="dxa"/>
            <w:vAlign w:val="center"/>
          </w:tcPr>
          <w:p w14:paraId="0B1269C1">
            <w:pPr>
              <w:jc w:val="center"/>
              <w:rPr>
                <w:rFonts w:hint="default"/>
                <w:vertAlign w:val="baseline"/>
                <w:lang w:val="en-US" w:eastAsia="zh-CN"/>
              </w:rPr>
            </w:pPr>
            <w:r>
              <w:rPr>
                <w:rFonts w:hint="default"/>
                <w:vertAlign w:val="baseline"/>
                <w:lang w:val="en-US" w:eastAsia="zh-CN"/>
              </w:rPr>
              <w:t>有效</w:t>
            </w:r>
          </w:p>
        </w:tc>
      </w:tr>
      <w:tr w14:paraId="38DE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48" w:type="dxa"/>
            <w:vAlign w:val="center"/>
          </w:tcPr>
          <w:p w14:paraId="69277AA6">
            <w:pPr>
              <w:jc w:val="center"/>
              <w:rPr>
                <w:rFonts w:hint="default"/>
                <w:vertAlign w:val="baseline"/>
                <w:lang w:val="en-US" w:eastAsia="zh-CN"/>
              </w:rPr>
            </w:pPr>
            <w:r>
              <w:rPr>
                <w:rFonts w:hint="default"/>
                <w:vertAlign w:val="baseline"/>
                <w:lang w:val="en-US" w:eastAsia="zh-CN"/>
              </w:rPr>
              <w:t>统计（平均值）</w:t>
            </w:r>
          </w:p>
        </w:tc>
        <w:tc>
          <w:tcPr>
            <w:tcW w:w="988" w:type="dxa"/>
            <w:vAlign w:val="center"/>
          </w:tcPr>
          <w:p w14:paraId="36AE6C62">
            <w:pPr>
              <w:jc w:val="center"/>
              <w:rPr>
                <w:rFonts w:hint="default"/>
                <w:vertAlign w:val="baseline"/>
                <w:lang w:val="en-US" w:eastAsia="zh-CN"/>
              </w:rPr>
            </w:pPr>
          </w:p>
        </w:tc>
        <w:tc>
          <w:tcPr>
            <w:tcW w:w="988" w:type="dxa"/>
            <w:vAlign w:val="center"/>
          </w:tcPr>
          <w:p w14:paraId="31CAD2CF">
            <w:pPr>
              <w:jc w:val="center"/>
              <w:rPr>
                <w:rFonts w:hint="default"/>
                <w:vertAlign w:val="baseline"/>
                <w:lang w:val="en-US" w:eastAsia="zh-CN"/>
              </w:rPr>
            </w:pPr>
            <w:r>
              <w:rPr>
                <w:rFonts w:hint="default"/>
                <w:vertAlign w:val="baseline"/>
                <w:lang w:val="en-US" w:eastAsia="zh-CN"/>
              </w:rPr>
              <w:t>4.87</w:t>
            </w:r>
          </w:p>
        </w:tc>
        <w:tc>
          <w:tcPr>
            <w:tcW w:w="988" w:type="dxa"/>
            <w:vAlign w:val="center"/>
          </w:tcPr>
          <w:p w14:paraId="6083D276">
            <w:pPr>
              <w:jc w:val="center"/>
              <w:rPr>
                <w:rFonts w:hint="default"/>
                <w:vertAlign w:val="baseline"/>
                <w:lang w:val="en-US" w:eastAsia="zh-CN"/>
              </w:rPr>
            </w:pPr>
            <w:r>
              <w:rPr>
                <w:rFonts w:hint="default"/>
                <w:vertAlign w:val="baseline"/>
                <w:lang w:val="en-US" w:eastAsia="zh-CN"/>
              </w:rPr>
              <w:t>16.39</w:t>
            </w:r>
          </w:p>
        </w:tc>
        <w:tc>
          <w:tcPr>
            <w:tcW w:w="988" w:type="dxa"/>
            <w:vAlign w:val="center"/>
          </w:tcPr>
          <w:p w14:paraId="6FA0A557">
            <w:pPr>
              <w:jc w:val="center"/>
              <w:rPr>
                <w:rFonts w:hint="default"/>
                <w:vertAlign w:val="baseline"/>
                <w:lang w:val="en-US" w:eastAsia="zh-CN"/>
              </w:rPr>
            </w:pPr>
            <w:r>
              <w:rPr>
                <w:rFonts w:hint="default"/>
                <w:vertAlign w:val="baseline"/>
                <w:lang w:val="en-US" w:eastAsia="zh-CN"/>
              </w:rPr>
              <w:t>757.3</w:t>
            </w:r>
          </w:p>
        </w:tc>
        <w:tc>
          <w:tcPr>
            <w:tcW w:w="988" w:type="dxa"/>
            <w:vAlign w:val="center"/>
          </w:tcPr>
          <w:p w14:paraId="2EC4E162">
            <w:pPr>
              <w:jc w:val="center"/>
              <w:rPr>
                <w:rFonts w:hint="default"/>
                <w:vertAlign w:val="baseline"/>
                <w:lang w:val="en-US" w:eastAsia="zh-CN"/>
              </w:rPr>
            </w:pPr>
            <w:r>
              <w:rPr>
                <w:rFonts w:hint="default"/>
                <w:vertAlign w:val="baseline"/>
                <w:lang w:val="en-US" w:eastAsia="zh-CN"/>
              </w:rPr>
              <w:t>879</w:t>
            </w:r>
          </w:p>
        </w:tc>
        <w:tc>
          <w:tcPr>
            <w:tcW w:w="988" w:type="dxa"/>
            <w:vAlign w:val="center"/>
          </w:tcPr>
          <w:p w14:paraId="13CB8824">
            <w:pPr>
              <w:jc w:val="center"/>
              <w:rPr>
                <w:rFonts w:hint="default"/>
                <w:vertAlign w:val="baseline"/>
                <w:lang w:val="en-US" w:eastAsia="zh-CN"/>
              </w:rPr>
            </w:pPr>
            <w:r>
              <w:rPr>
                <w:rFonts w:hint="default"/>
                <w:vertAlign w:val="baseline"/>
                <w:lang w:val="en-US" w:eastAsia="zh-CN"/>
              </w:rPr>
              <w:t>11.8</w:t>
            </w:r>
          </w:p>
        </w:tc>
        <w:tc>
          <w:tcPr>
            <w:tcW w:w="988" w:type="dxa"/>
            <w:vAlign w:val="center"/>
          </w:tcPr>
          <w:p w14:paraId="6E9B2250">
            <w:pPr>
              <w:jc w:val="center"/>
              <w:rPr>
                <w:rFonts w:hint="default"/>
                <w:vertAlign w:val="baseline"/>
                <w:lang w:val="en-US" w:eastAsia="zh-CN"/>
              </w:rPr>
            </w:pPr>
          </w:p>
        </w:tc>
        <w:tc>
          <w:tcPr>
            <w:tcW w:w="989" w:type="dxa"/>
            <w:vAlign w:val="center"/>
          </w:tcPr>
          <w:p w14:paraId="23DC670C">
            <w:pPr>
              <w:jc w:val="center"/>
              <w:rPr>
                <w:rFonts w:hint="default"/>
                <w:vertAlign w:val="baseline"/>
                <w:lang w:val="en-US" w:eastAsia="zh-CN"/>
              </w:rPr>
            </w:pPr>
            <w:r>
              <w:rPr>
                <w:rFonts w:hint="default"/>
                <w:vertAlign w:val="baseline"/>
                <w:lang w:val="en-US" w:eastAsia="zh-CN"/>
              </w:rPr>
              <w:t>有效率 100%</w:t>
            </w:r>
          </w:p>
        </w:tc>
      </w:tr>
    </w:tbl>
    <w:p w14:paraId="449A3E0D">
      <w:pPr>
        <w:pStyle w:val="11"/>
        <w:spacing w:before="156" w:after="156"/>
        <w:rPr>
          <w:rFonts w:hint="eastAsia"/>
          <w:lang w:val="en-US" w:eastAsia="zh-CN"/>
        </w:rPr>
      </w:pPr>
      <w:r>
        <w:rPr>
          <w:rFonts w:hint="eastAsia"/>
          <w:lang w:val="en-US" w:eastAsia="zh-CN"/>
        </w:rPr>
        <w:t>表3  国标（北京）检验认证有限公司试验数据</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988"/>
        <w:gridCol w:w="988"/>
        <w:gridCol w:w="988"/>
        <w:gridCol w:w="988"/>
        <w:gridCol w:w="988"/>
        <w:gridCol w:w="988"/>
        <w:gridCol w:w="988"/>
        <w:gridCol w:w="989"/>
      </w:tblGrid>
      <w:tr w14:paraId="20F6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14:paraId="52B5E78A">
            <w:pPr>
              <w:jc w:val="center"/>
              <w:rPr>
                <w:rFonts w:hint="default"/>
                <w:vertAlign w:val="baseline"/>
                <w:lang w:val="en-US" w:eastAsia="zh-CN"/>
              </w:rPr>
            </w:pPr>
            <w:r>
              <w:rPr>
                <w:rFonts w:hint="eastAsia"/>
                <w:vertAlign w:val="baseline"/>
                <w:lang w:val="en-US" w:eastAsia="zh-CN"/>
              </w:rPr>
              <w:t>试样编号</w:t>
            </w:r>
          </w:p>
        </w:tc>
        <w:tc>
          <w:tcPr>
            <w:tcW w:w="988" w:type="dxa"/>
            <w:vAlign w:val="center"/>
          </w:tcPr>
          <w:p w14:paraId="4CCBB9BF">
            <w:pPr>
              <w:jc w:val="center"/>
              <w:rPr>
                <w:rFonts w:hint="default"/>
                <w:vertAlign w:val="baseline"/>
                <w:lang w:val="en-US" w:eastAsia="zh-CN"/>
              </w:rPr>
            </w:pPr>
            <w:r>
              <w:rPr>
                <w:rFonts w:hint="eastAsia"/>
                <w:vertAlign w:val="baseline"/>
                <w:lang w:val="en-US" w:eastAsia="zh-CN"/>
              </w:rPr>
              <w:t>标距（mm）</w:t>
            </w:r>
          </w:p>
        </w:tc>
        <w:tc>
          <w:tcPr>
            <w:tcW w:w="988" w:type="dxa"/>
            <w:vAlign w:val="center"/>
          </w:tcPr>
          <w:p w14:paraId="4172C264">
            <w:pPr>
              <w:jc w:val="center"/>
              <w:rPr>
                <w:rFonts w:hint="default"/>
                <w:vertAlign w:val="baseline"/>
                <w:lang w:val="en-US" w:eastAsia="zh-CN"/>
              </w:rPr>
            </w:pPr>
            <w:r>
              <w:rPr>
                <w:rFonts w:hint="eastAsia"/>
                <w:vertAlign w:val="baseline"/>
                <w:lang w:val="en-US" w:eastAsia="zh-CN"/>
              </w:rPr>
              <w:t>实际直径（mm）</w:t>
            </w:r>
          </w:p>
        </w:tc>
        <w:tc>
          <w:tcPr>
            <w:tcW w:w="988" w:type="dxa"/>
            <w:vAlign w:val="center"/>
          </w:tcPr>
          <w:p w14:paraId="51EB8DE9">
            <w:pPr>
              <w:jc w:val="center"/>
              <w:rPr>
                <w:rFonts w:hint="default"/>
                <w:vertAlign w:val="baseline"/>
                <w:lang w:val="en-US" w:eastAsia="zh-CN"/>
              </w:rPr>
            </w:pPr>
            <w:r>
              <w:rPr>
                <w:rFonts w:hint="eastAsia"/>
                <w:vertAlign w:val="baseline"/>
                <w:lang w:val="en-US" w:eastAsia="zh-CN"/>
              </w:rPr>
              <w:t>最大拉力（KN）</w:t>
            </w:r>
          </w:p>
        </w:tc>
        <w:tc>
          <w:tcPr>
            <w:tcW w:w="988" w:type="dxa"/>
            <w:vAlign w:val="center"/>
          </w:tcPr>
          <w:p w14:paraId="502D7060">
            <w:pPr>
              <w:jc w:val="center"/>
              <w:rPr>
                <w:rFonts w:hint="default"/>
                <w:vertAlign w:val="baseline"/>
                <w:lang w:val="en-US" w:eastAsia="zh-CN"/>
              </w:rPr>
            </w:pPr>
            <w:r>
              <w:rPr>
                <w:rFonts w:hint="eastAsia"/>
                <w:vertAlign w:val="baseline"/>
                <w:lang w:val="en-US" w:eastAsia="zh-CN"/>
              </w:rPr>
              <w:t>屈服强度（MPa）</w:t>
            </w:r>
          </w:p>
        </w:tc>
        <w:tc>
          <w:tcPr>
            <w:tcW w:w="988" w:type="dxa"/>
            <w:vAlign w:val="center"/>
          </w:tcPr>
          <w:p w14:paraId="31A6ABB9">
            <w:pPr>
              <w:jc w:val="center"/>
              <w:rPr>
                <w:rFonts w:hint="default"/>
                <w:vertAlign w:val="baseline"/>
                <w:lang w:val="en-US" w:eastAsia="zh-CN"/>
              </w:rPr>
            </w:pPr>
            <w:r>
              <w:rPr>
                <w:rFonts w:hint="eastAsia"/>
                <w:vertAlign w:val="baseline"/>
                <w:lang w:val="en-US" w:eastAsia="zh-CN"/>
              </w:rPr>
              <w:t>抗拉强度（MPa）</w:t>
            </w:r>
          </w:p>
        </w:tc>
        <w:tc>
          <w:tcPr>
            <w:tcW w:w="988" w:type="dxa"/>
            <w:vAlign w:val="center"/>
          </w:tcPr>
          <w:p w14:paraId="1641B564">
            <w:pPr>
              <w:jc w:val="center"/>
              <w:rPr>
                <w:rFonts w:hint="default"/>
                <w:vertAlign w:val="baseline"/>
                <w:lang w:val="en-US" w:eastAsia="zh-CN"/>
              </w:rPr>
            </w:pPr>
            <w:r>
              <w:rPr>
                <w:rFonts w:hint="eastAsia"/>
                <w:vertAlign w:val="baseline"/>
                <w:lang w:val="en-US" w:eastAsia="zh-CN"/>
              </w:rPr>
              <w:t>断裂伸长率（%）</w:t>
            </w:r>
          </w:p>
        </w:tc>
        <w:tc>
          <w:tcPr>
            <w:tcW w:w="988" w:type="dxa"/>
            <w:vAlign w:val="center"/>
          </w:tcPr>
          <w:p w14:paraId="04E14B55">
            <w:pPr>
              <w:jc w:val="center"/>
              <w:rPr>
                <w:rFonts w:hint="default"/>
                <w:vertAlign w:val="baseline"/>
                <w:lang w:val="en-US" w:eastAsia="zh-CN"/>
              </w:rPr>
            </w:pPr>
            <w:r>
              <w:rPr>
                <w:rFonts w:hint="default"/>
                <w:vertAlign w:val="baseline"/>
                <w:lang w:val="en-US" w:eastAsia="zh-CN"/>
              </w:rPr>
              <w:t>断裂位置</w:t>
            </w:r>
          </w:p>
        </w:tc>
        <w:tc>
          <w:tcPr>
            <w:tcW w:w="989" w:type="dxa"/>
            <w:vAlign w:val="center"/>
          </w:tcPr>
          <w:p w14:paraId="1BEE8D05">
            <w:pPr>
              <w:jc w:val="center"/>
              <w:rPr>
                <w:rFonts w:hint="default"/>
                <w:vertAlign w:val="baseline"/>
                <w:lang w:val="en-US" w:eastAsia="zh-CN"/>
              </w:rPr>
            </w:pPr>
            <w:r>
              <w:rPr>
                <w:rFonts w:hint="default"/>
                <w:vertAlign w:val="baseline"/>
                <w:lang w:val="en-US" w:eastAsia="zh-CN"/>
              </w:rPr>
              <w:t>有效性</w:t>
            </w:r>
          </w:p>
        </w:tc>
      </w:tr>
      <w:tr w14:paraId="49B5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14:paraId="34F1A9E1">
            <w:pPr>
              <w:jc w:val="center"/>
              <w:rPr>
                <w:rFonts w:hint="default"/>
                <w:vertAlign w:val="baseline"/>
                <w:lang w:val="en-US" w:eastAsia="zh-CN"/>
              </w:rPr>
            </w:pPr>
            <w:r>
              <w:rPr>
                <w:rFonts w:hint="default"/>
                <w:vertAlign w:val="baseline"/>
                <w:lang w:val="en-US" w:eastAsia="zh-CN"/>
              </w:rPr>
              <w:t>GB7963-M6-GJ-01</w:t>
            </w:r>
          </w:p>
        </w:tc>
        <w:tc>
          <w:tcPr>
            <w:tcW w:w="988" w:type="dxa"/>
            <w:vAlign w:val="center"/>
          </w:tcPr>
          <w:p w14:paraId="3CB1446F">
            <w:pPr>
              <w:jc w:val="center"/>
              <w:rPr>
                <w:rFonts w:hint="default"/>
                <w:vertAlign w:val="baseline"/>
                <w:lang w:val="en-US" w:eastAsia="zh-CN"/>
              </w:rPr>
            </w:pPr>
            <w:r>
              <w:rPr>
                <w:rFonts w:hint="default"/>
                <w:vertAlign w:val="baseline"/>
                <w:lang w:val="en-US" w:eastAsia="zh-CN"/>
              </w:rPr>
              <w:t>25.0</w:t>
            </w:r>
          </w:p>
        </w:tc>
        <w:tc>
          <w:tcPr>
            <w:tcW w:w="988" w:type="dxa"/>
            <w:vAlign w:val="center"/>
          </w:tcPr>
          <w:p w14:paraId="24375771">
            <w:pPr>
              <w:jc w:val="center"/>
              <w:rPr>
                <w:rFonts w:hint="default"/>
                <w:vertAlign w:val="baseline"/>
                <w:lang w:val="en-US" w:eastAsia="zh-CN"/>
              </w:rPr>
            </w:pPr>
            <w:r>
              <w:rPr>
                <w:rFonts w:hint="default"/>
                <w:vertAlign w:val="baseline"/>
                <w:lang w:val="en-US" w:eastAsia="zh-CN"/>
              </w:rPr>
              <w:t>4.77</w:t>
            </w:r>
          </w:p>
        </w:tc>
        <w:tc>
          <w:tcPr>
            <w:tcW w:w="988" w:type="dxa"/>
            <w:vAlign w:val="center"/>
          </w:tcPr>
          <w:p w14:paraId="3C661C2F">
            <w:pPr>
              <w:jc w:val="center"/>
              <w:rPr>
                <w:rFonts w:hint="default"/>
                <w:vertAlign w:val="baseline"/>
                <w:lang w:val="en-US" w:eastAsia="zh-CN"/>
              </w:rPr>
            </w:pPr>
            <w:r>
              <w:rPr>
                <w:rFonts w:hint="default"/>
                <w:vertAlign w:val="baseline"/>
                <w:lang w:val="en-US" w:eastAsia="zh-CN"/>
              </w:rPr>
              <w:t>15.98</w:t>
            </w:r>
          </w:p>
        </w:tc>
        <w:tc>
          <w:tcPr>
            <w:tcW w:w="988" w:type="dxa"/>
            <w:vAlign w:val="center"/>
          </w:tcPr>
          <w:p w14:paraId="4460818B">
            <w:pPr>
              <w:jc w:val="center"/>
              <w:rPr>
                <w:rFonts w:hint="default"/>
                <w:vertAlign w:val="baseline"/>
                <w:lang w:val="en-US" w:eastAsia="zh-CN"/>
              </w:rPr>
            </w:pPr>
            <w:r>
              <w:rPr>
                <w:rFonts w:hint="default"/>
                <w:vertAlign w:val="baseline"/>
                <w:lang w:val="en-US" w:eastAsia="zh-CN"/>
              </w:rPr>
              <w:t>777</w:t>
            </w:r>
          </w:p>
        </w:tc>
        <w:tc>
          <w:tcPr>
            <w:tcW w:w="988" w:type="dxa"/>
            <w:vAlign w:val="center"/>
          </w:tcPr>
          <w:p w14:paraId="61226054">
            <w:pPr>
              <w:jc w:val="center"/>
              <w:rPr>
                <w:rFonts w:hint="default"/>
                <w:vertAlign w:val="baseline"/>
                <w:lang w:val="en-US" w:eastAsia="zh-CN"/>
              </w:rPr>
            </w:pPr>
            <w:r>
              <w:rPr>
                <w:rFonts w:hint="default"/>
                <w:vertAlign w:val="baseline"/>
                <w:lang w:val="en-US" w:eastAsia="zh-CN"/>
              </w:rPr>
              <w:t>894</w:t>
            </w:r>
          </w:p>
        </w:tc>
        <w:tc>
          <w:tcPr>
            <w:tcW w:w="988" w:type="dxa"/>
            <w:vAlign w:val="center"/>
          </w:tcPr>
          <w:p w14:paraId="77A991A8">
            <w:pPr>
              <w:jc w:val="center"/>
              <w:rPr>
                <w:rFonts w:hint="default"/>
                <w:vertAlign w:val="baseline"/>
                <w:lang w:val="en-US" w:eastAsia="zh-CN"/>
              </w:rPr>
            </w:pPr>
            <w:r>
              <w:rPr>
                <w:rFonts w:hint="default"/>
                <w:vertAlign w:val="baseline"/>
                <w:lang w:val="en-US" w:eastAsia="zh-CN"/>
              </w:rPr>
              <w:t>13.0</w:t>
            </w:r>
          </w:p>
        </w:tc>
        <w:tc>
          <w:tcPr>
            <w:tcW w:w="988" w:type="dxa"/>
            <w:vAlign w:val="center"/>
          </w:tcPr>
          <w:p w14:paraId="4ADDD031">
            <w:pPr>
              <w:jc w:val="center"/>
              <w:rPr>
                <w:rFonts w:hint="default"/>
                <w:vertAlign w:val="baseline"/>
                <w:lang w:val="en-US" w:eastAsia="zh-CN"/>
              </w:rPr>
            </w:pPr>
            <w:r>
              <w:rPr>
                <w:rFonts w:hint="default"/>
                <w:vertAlign w:val="baseline"/>
                <w:lang w:val="en-US" w:eastAsia="zh-CN"/>
              </w:rPr>
              <w:t>标距内（偏上）</w:t>
            </w:r>
          </w:p>
        </w:tc>
        <w:tc>
          <w:tcPr>
            <w:tcW w:w="989" w:type="dxa"/>
            <w:vAlign w:val="center"/>
          </w:tcPr>
          <w:p w14:paraId="5BCD900C">
            <w:pPr>
              <w:jc w:val="center"/>
              <w:rPr>
                <w:rFonts w:hint="default"/>
                <w:vertAlign w:val="baseline"/>
                <w:lang w:val="en-US" w:eastAsia="zh-CN"/>
              </w:rPr>
            </w:pPr>
            <w:r>
              <w:rPr>
                <w:rFonts w:hint="default"/>
                <w:vertAlign w:val="baseline"/>
                <w:lang w:val="en-US" w:eastAsia="zh-CN"/>
              </w:rPr>
              <w:t>有效</w:t>
            </w:r>
          </w:p>
        </w:tc>
      </w:tr>
      <w:tr w14:paraId="0D9D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948" w:type="dxa"/>
            <w:vAlign w:val="center"/>
          </w:tcPr>
          <w:p w14:paraId="3260658F">
            <w:pPr>
              <w:jc w:val="center"/>
              <w:rPr>
                <w:rFonts w:hint="default"/>
                <w:vertAlign w:val="baseline"/>
                <w:lang w:val="en-US" w:eastAsia="zh-CN"/>
              </w:rPr>
            </w:pPr>
            <w:r>
              <w:rPr>
                <w:rFonts w:hint="default"/>
                <w:vertAlign w:val="baseline"/>
                <w:lang w:val="en-US" w:eastAsia="zh-CN"/>
              </w:rPr>
              <w:t>GB7963-M6-GJ-02</w:t>
            </w:r>
          </w:p>
        </w:tc>
        <w:tc>
          <w:tcPr>
            <w:tcW w:w="988" w:type="dxa"/>
            <w:vAlign w:val="center"/>
          </w:tcPr>
          <w:p w14:paraId="37F15D60">
            <w:pPr>
              <w:jc w:val="center"/>
              <w:rPr>
                <w:rFonts w:hint="default"/>
                <w:vertAlign w:val="baseline"/>
                <w:lang w:val="en-US" w:eastAsia="zh-CN"/>
              </w:rPr>
            </w:pPr>
            <w:r>
              <w:rPr>
                <w:rFonts w:hint="default"/>
                <w:vertAlign w:val="baseline"/>
                <w:lang w:val="en-US" w:eastAsia="zh-CN"/>
              </w:rPr>
              <w:t>25.0</w:t>
            </w:r>
          </w:p>
        </w:tc>
        <w:tc>
          <w:tcPr>
            <w:tcW w:w="988" w:type="dxa"/>
            <w:vAlign w:val="center"/>
          </w:tcPr>
          <w:p w14:paraId="25DAB926">
            <w:pPr>
              <w:jc w:val="center"/>
              <w:rPr>
                <w:rFonts w:hint="default"/>
                <w:vertAlign w:val="baseline"/>
                <w:lang w:val="en-US" w:eastAsia="zh-CN"/>
              </w:rPr>
            </w:pPr>
            <w:r>
              <w:rPr>
                <w:rFonts w:hint="default"/>
                <w:vertAlign w:val="baseline"/>
                <w:lang w:val="en-US" w:eastAsia="zh-CN"/>
              </w:rPr>
              <w:t>4.80</w:t>
            </w:r>
          </w:p>
        </w:tc>
        <w:tc>
          <w:tcPr>
            <w:tcW w:w="988" w:type="dxa"/>
            <w:vAlign w:val="center"/>
          </w:tcPr>
          <w:p w14:paraId="4BFD382C">
            <w:pPr>
              <w:jc w:val="center"/>
              <w:rPr>
                <w:rFonts w:hint="default"/>
                <w:vertAlign w:val="baseline"/>
                <w:lang w:val="en-US" w:eastAsia="zh-CN"/>
              </w:rPr>
            </w:pPr>
            <w:r>
              <w:rPr>
                <w:rFonts w:hint="default"/>
                <w:vertAlign w:val="baseline"/>
                <w:lang w:val="en-US" w:eastAsia="zh-CN"/>
              </w:rPr>
              <w:t>15.95</w:t>
            </w:r>
          </w:p>
        </w:tc>
        <w:tc>
          <w:tcPr>
            <w:tcW w:w="988" w:type="dxa"/>
            <w:vAlign w:val="center"/>
          </w:tcPr>
          <w:p w14:paraId="06C35FBF">
            <w:pPr>
              <w:jc w:val="center"/>
              <w:rPr>
                <w:rFonts w:hint="default"/>
                <w:vertAlign w:val="baseline"/>
                <w:lang w:val="en-US" w:eastAsia="zh-CN"/>
              </w:rPr>
            </w:pPr>
            <w:r>
              <w:rPr>
                <w:rFonts w:hint="default"/>
                <w:vertAlign w:val="baseline"/>
                <w:lang w:val="en-US" w:eastAsia="zh-CN"/>
              </w:rPr>
              <w:t>774</w:t>
            </w:r>
          </w:p>
        </w:tc>
        <w:tc>
          <w:tcPr>
            <w:tcW w:w="988" w:type="dxa"/>
            <w:vAlign w:val="center"/>
          </w:tcPr>
          <w:p w14:paraId="16DEC182">
            <w:pPr>
              <w:jc w:val="center"/>
              <w:rPr>
                <w:rFonts w:hint="default"/>
                <w:vertAlign w:val="baseline"/>
                <w:lang w:val="en-US" w:eastAsia="zh-CN"/>
              </w:rPr>
            </w:pPr>
            <w:r>
              <w:rPr>
                <w:rFonts w:hint="default"/>
                <w:vertAlign w:val="baseline"/>
                <w:lang w:val="en-US" w:eastAsia="zh-CN"/>
              </w:rPr>
              <w:t>882</w:t>
            </w:r>
          </w:p>
        </w:tc>
        <w:tc>
          <w:tcPr>
            <w:tcW w:w="988" w:type="dxa"/>
            <w:vAlign w:val="center"/>
          </w:tcPr>
          <w:p w14:paraId="7287B355">
            <w:pPr>
              <w:jc w:val="center"/>
              <w:rPr>
                <w:rFonts w:hint="default"/>
                <w:vertAlign w:val="baseline"/>
                <w:lang w:val="en-US" w:eastAsia="zh-CN"/>
              </w:rPr>
            </w:pPr>
            <w:r>
              <w:rPr>
                <w:rFonts w:hint="default"/>
                <w:vertAlign w:val="baseline"/>
                <w:lang w:val="en-US" w:eastAsia="zh-CN"/>
              </w:rPr>
              <w:t>12.0</w:t>
            </w:r>
          </w:p>
        </w:tc>
        <w:tc>
          <w:tcPr>
            <w:tcW w:w="988" w:type="dxa"/>
            <w:vAlign w:val="center"/>
          </w:tcPr>
          <w:p w14:paraId="116C03E6">
            <w:pPr>
              <w:jc w:val="center"/>
              <w:rPr>
                <w:rFonts w:hint="default"/>
                <w:vertAlign w:val="baseline"/>
                <w:lang w:val="en-US" w:eastAsia="zh-CN"/>
              </w:rPr>
            </w:pPr>
            <w:r>
              <w:rPr>
                <w:rFonts w:hint="default"/>
                <w:vertAlign w:val="baseline"/>
                <w:lang w:val="en-US" w:eastAsia="zh-CN"/>
              </w:rPr>
              <w:t>标距内（偏下）</w:t>
            </w:r>
          </w:p>
        </w:tc>
        <w:tc>
          <w:tcPr>
            <w:tcW w:w="989" w:type="dxa"/>
            <w:vAlign w:val="center"/>
          </w:tcPr>
          <w:p w14:paraId="1E2B9B74">
            <w:pPr>
              <w:jc w:val="center"/>
              <w:rPr>
                <w:rFonts w:hint="default"/>
                <w:vertAlign w:val="baseline"/>
                <w:lang w:val="en-US" w:eastAsia="zh-CN"/>
              </w:rPr>
            </w:pPr>
            <w:r>
              <w:rPr>
                <w:rFonts w:hint="default"/>
                <w:vertAlign w:val="baseline"/>
                <w:lang w:val="en-US" w:eastAsia="zh-CN"/>
              </w:rPr>
              <w:t>有效</w:t>
            </w:r>
          </w:p>
        </w:tc>
      </w:tr>
      <w:tr w14:paraId="7357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14:paraId="263E771F">
            <w:pPr>
              <w:jc w:val="center"/>
              <w:rPr>
                <w:rFonts w:hint="default"/>
                <w:vertAlign w:val="baseline"/>
                <w:lang w:val="en-US" w:eastAsia="zh-CN"/>
              </w:rPr>
            </w:pPr>
            <w:r>
              <w:rPr>
                <w:rFonts w:hint="default"/>
                <w:vertAlign w:val="baseline"/>
                <w:lang w:val="en-US" w:eastAsia="zh-CN"/>
              </w:rPr>
              <w:t>GB7963-M6-GJ-03</w:t>
            </w:r>
          </w:p>
        </w:tc>
        <w:tc>
          <w:tcPr>
            <w:tcW w:w="988" w:type="dxa"/>
            <w:vAlign w:val="center"/>
          </w:tcPr>
          <w:p w14:paraId="1CCC29BB">
            <w:pPr>
              <w:jc w:val="center"/>
              <w:rPr>
                <w:rFonts w:hint="default"/>
                <w:vertAlign w:val="baseline"/>
                <w:lang w:val="en-US" w:eastAsia="zh-CN"/>
              </w:rPr>
            </w:pPr>
            <w:r>
              <w:rPr>
                <w:rFonts w:hint="default"/>
                <w:vertAlign w:val="baseline"/>
                <w:lang w:val="en-US" w:eastAsia="zh-CN"/>
              </w:rPr>
              <w:t>25.0</w:t>
            </w:r>
          </w:p>
        </w:tc>
        <w:tc>
          <w:tcPr>
            <w:tcW w:w="988" w:type="dxa"/>
            <w:vAlign w:val="center"/>
          </w:tcPr>
          <w:p w14:paraId="21AD8E83">
            <w:pPr>
              <w:jc w:val="center"/>
              <w:rPr>
                <w:rFonts w:hint="default"/>
                <w:vertAlign w:val="baseline"/>
                <w:lang w:val="en-US" w:eastAsia="zh-CN"/>
              </w:rPr>
            </w:pPr>
            <w:r>
              <w:rPr>
                <w:rFonts w:hint="default"/>
                <w:vertAlign w:val="baseline"/>
                <w:lang w:val="en-US" w:eastAsia="zh-CN"/>
              </w:rPr>
              <w:t>4.78</w:t>
            </w:r>
          </w:p>
        </w:tc>
        <w:tc>
          <w:tcPr>
            <w:tcW w:w="988" w:type="dxa"/>
            <w:vAlign w:val="center"/>
          </w:tcPr>
          <w:p w14:paraId="38272D15">
            <w:pPr>
              <w:jc w:val="center"/>
              <w:rPr>
                <w:rFonts w:hint="default"/>
                <w:vertAlign w:val="baseline"/>
                <w:lang w:val="en-US" w:eastAsia="zh-CN"/>
              </w:rPr>
            </w:pPr>
            <w:r>
              <w:rPr>
                <w:rFonts w:hint="default"/>
                <w:vertAlign w:val="baseline"/>
                <w:lang w:val="en-US" w:eastAsia="zh-CN"/>
              </w:rPr>
              <w:t>15.77</w:t>
            </w:r>
          </w:p>
        </w:tc>
        <w:tc>
          <w:tcPr>
            <w:tcW w:w="988" w:type="dxa"/>
            <w:vAlign w:val="center"/>
          </w:tcPr>
          <w:p w14:paraId="5B612EC3">
            <w:pPr>
              <w:jc w:val="center"/>
              <w:rPr>
                <w:rFonts w:hint="default"/>
                <w:vertAlign w:val="baseline"/>
                <w:lang w:val="en-US" w:eastAsia="zh-CN"/>
              </w:rPr>
            </w:pPr>
            <w:r>
              <w:rPr>
                <w:rFonts w:hint="default"/>
                <w:vertAlign w:val="baseline"/>
                <w:lang w:val="en-US" w:eastAsia="zh-CN"/>
              </w:rPr>
              <w:t>762</w:t>
            </w:r>
          </w:p>
        </w:tc>
        <w:tc>
          <w:tcPr>
            <w:tcW w:w="988" w:type="dxa"/>
            <w:vAlign w:val="center"/>
          </w:tcPr>
          <w:p w14:paraId="6F893882">
            <w:pPr>
              <w:jc w:val="center"/>
              <w:rPr>
                <w:rFonts w:hint="default"/>
                <w:vertAlign w:val="baseline"/>
                <w:lang w:val="en-US" w:eastAsia="zh-CN"/>
              </w:rPr>
            </w:pPr>
            <w:r>
              <w:rPr>
                <w:rFonts w:hint="default"/>
                <w:vertAlign w:val="baseline"/>
                <w:lang w:val="en-US" w:eastAsia="zh-CN"/>
              </w:rPr>
              <w:t>879</w:t>
            </w:r>
          </w:p>
        </w:tc>
        <w:tc>
          <w:tcPr>
            <w:tcW w:w="988" w:type="dxa"/>
            <w:vAlign w:val="center"/>
          </w:tcPr>
          <w:p w14:paraId="76EE389A">
            <w:pPr>
              <w:jc w:val="center"/>
              <w:rPr>
                <w:rFonts w:hint="default"/>
                <w:vertAlign w:val="baseline"/>
                <w:lang w:val="en-US" w:eastAsia="zh-CN"/>
              </w:rPr>
            </w:pPr>
            <w:r>
              <w:rPr>
                <w:rFonts w:hint="default"/>
                <w:vertAlign w:val="baseline"/>
                <w:lang w:val="en-US" w:eastAsia="zh-CN"/>
              </w:rPr>
              <w:t>14.5</w:t>
            </w:r>
          </w:p>
        </w:tc>
        <w:tc>
          <w:tcPr>
            <w:tcW w:w="988" w:type="dxa"/>
            <w:vAlign w:val="center"/>
          </w:tcPr>
          <w:p w14:paraId="10629C82">
            <w:pPr>
              <w:jc w:val="center"/>
              <w:rPr>
                <w:rFonts w:hint="default"/>
                <w:vertAlign w:val="baseline"/>
                <w:lang w:val="en-US" w:eastAsia="zh-CN"/>
              </w:rPr>
            </w:pPr>
            <w:r>
              <w:rPr>
                <w:rFonts w:hint="default"/>
                <w:vertAlign w:val="baseline"/>
                <w:lang w:val="en-US" w:eastAsia="zh-CN"/>
              </w:rPr>
              <w:t>标距内</w:t>
            </w:r>
          </w:p>
        </w:tc>
        <w:tc>
          <w:tcPr>
            <w:tcW w:w="989" w:type="dxa"/>
            <w:vAlign w:val="center"/>
          </w:tcPr>
          <w:p w14:paraId="2C435E6B">
            <w:pPr>
              <w:jc w:val="center"/>
              <w:rPr>
                <w:rFonts w:hint="default"/>
                <w:vertAlign w:val="baseline"/>
                <w:lang w:val="en-US" w:eastAsia="zh-CN"/>
              </w:rPr>
            </w:pPr>
            <w:r>
              <w:rPr>
                <w:rFonts w:hint="default"/>
                <w:vertAlign w:val="baseline"/>
                <w:lang w:val="en-US" w:eastAsia="zh-CN"/>
              </w:rPr>
              <w:t>有效</w:t>
            </w:r>
          </w:p>
        </w:tc>
      </w:tr>
      <w:tr w14:paraId="03C2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14:paraId="4B42FA94">
            <w:pPr>
              <w:jc w:val="center"/>
              <w:rPr>
                <w:rFonts w:hint="default"/>
                <w:vertAlign w:val="baseline"/>
                <w:lang w:val="en-US" w:eastAsia="zh-CN"/>
              </w:rPr>
            </w:pPr>
            <w:r>
              <w:rPr>
                <w:rFonts w:hint="default"/>
                <w:vertAlign w:val="baseline"/>
                <w:lang w:val="en-US" w:eastAsia="zh-CN"/>
              </w:rPr>
              <w:t>统计（平均值）</w:t>
            </w:r>
          </w:p>
        </w:tc>
        <w:tc>
          <w:tcPr>
            <w:tcW w:w="988" w:type="dxa"/>
            <w:vAlign w:val="center"/>
          </w:tcPr>
          <w:p w14:paraId="253CC0F8">
            <w:pPr>
              <w:jc w:val="center"/>
              <w:rPr>
                <w:rFonts w:hint="default"/>
                <w:vertAlign w:val="baseline"/>
                <w:lang w:val="en-US" w:eastAsia="zh-CN"/>
              </w:rPr>
            </w:pPr>
          </w:p>
        </w:tc>
        <w:tc>
          <w:tcPr>
            <w:tcW w:w="988" w:type="dxa"/>
            <w:vAlign w:val="center"/>
          </w:tcPr>
          <w:p w14:paraId="0F51B3E8">
            <w:pPr>
              <w:jc w:val="center"/>
              <w:rPr>
                <w:rFonts w:hint="default"/>
                <w:vertAlign w:val="baseline"/>
                <w:lang w:val="en-US" w:eastAsia="zh-CN"/>
              </w:rPr>
            </w:pPr>
            <w:r>
              <w:rPr>
                <w:rFonts w:hint="default"/>
                <w:vertAlign w:val="baseline"/>
                <w:lang w:val="en-US" w:eastAsia="zh-CN"/>
              </w:rPr>
              <w:t>4.78</w:t>
            </w:r>
          </w:p>
        </w:tc>
        <w:tc>
          <w:tcPr>
            <w:tcW w:w="988" w:type="dxa"/>
            <w:vAlign w:val="center"/>
          </w:tcPr>
          <w:p w14:paraId="478F2641">
            <w:pPr>
              <w:jc w:val="center"/>
              <w:rPr>
                <w:rFonts w:hint="default"/>
                <w:vertAlign w:val="baseline"/>
                <w:lang w:val="en-US" w:eastAsia="zh-CN"/>
              </w:rPr>
            </w:pPr>
            <w:r>
              <w:rPr>
                <w:rFonts w:hint="default"/>
                <w:vertAlign w:val="baseline"/>
                <w:lang w:val="en-US" w:eastAsia="zh-CN"/>
              </w:rPr>
              <w:t>15.90</w:t>
            </w:r>
          </w:p>
        </w:tc>
        <w:tc>
          <w:tcPr>
            <w:tcW w:w="988" w:type="dxa"/>
            <w:vAlign w:val="center"/>
          </w:tcPr>
          <w:p w14:paraId="207A2860">
            <w:pPr>
              <w:jc w:val="center"/>
              <w:rPr>
                <w:rFonts w:hint="default"/>
                <w:vertAlign w:val="baseline"/>
                <w:lang w:val="en-US" w:eastAsia="zh-CN"/>
              </w:rPr>
            </w:pPr>
            <w:r>
              <w:rPr>
                <w:rFonts w:hint="default"/>
                <w:vertAlign w:val="baseline"/>
                <w:lang w:val="en-US" w:eastAsia="zh-CN"/>
              </w:rPr>
              <w:t>771</w:t>
            </w:r>
          </w:p>
        </w:tc>
        <w:tc>
          <w:tcPr>
            <w:tcW w:w="988" w:type="dxa"/>
            <w:vAlign w:val="center"/>
          </w:tcPr>
          <w:p w14:paraId="5E8B6327">
            <w:pPr>
              <w:jc w:val="center"/>
              <w:rPr>
                <w:rFonts w:hint="default"/>
                <w:vertAlign w:val="baseline"/>
                <w:lang w:val="en-US" w:eastAsia="zh-CN"/>
              </w:rPr>
            </w:pPr>
            <w:r>
              <w:rPr>
                <w:rFonts w:hint="default"/>
                <w:vertAlign w:val="baseline"/>
                <w:lang w:val="en-US" w:eastAsia="zh-CN"/>
              </w:rPr>
              <w:t>885</w:t>
            </w:r>
          </w:p>
        </w:tc>
        <w:tc>
          <w:tcPr>
            <w:tcW w:w="988" w:type="dxa"/>
            <w:vAlign w:val="center"/>
          </w:tcPr>
          <w:p w14:paraId="159F84CA">
            <w:pPr>
              <w:jc w:val="center"/>
              <w:rPr>
                <w:rFonts w:hint="default"/>
                <w:vertAlign w:val="baseline"/>
                <w:lang w:val="en-US" w:eastAsia="zh-CN"/>
              </w:rPr>
            </w:pPr>
            <w:r>
              <w:rPr>
                <w:rFonts w:hint="default"/>
                <w:vertAlign w:val="baseline"/>
                <w:lang w:val="en-US" w:eastAsia="zh-CN"/>
              </w:rPr>
              <w:t>13.2</w:t>
            </w:r>
          </w:p>
        </w:tc>
        <w:tc>
          <w:tcPr>
            <w:tcW w:w="988" w:type="dxa"/>
            <w:vAlign w:val="center"/>
          </w:tcPr>
          <w:p w14:paraId="4FB7B90C">
            <w:pPr>
              <w:jc w:val="center"/>
              <w:rPr>
                <w:rFonts w:hint="default"/>
                <w:vertAlign w:val="baseline"/>
                <w:lang w:val="en-US" w:eastAsia="zh-CN"/>
              </w:rPr>
            </w:pPr>
          </w:p>
        </w:tc>
        <w:tc>
          <w:tcPr>
            <w:tcW w:w="989" w:type="dxa"/>
            <w:vAlign w:val="center"/>
          </w:tcPr>
          <w:p w14:paraId="45A7D9D3">
            <w:pPr>
              <w:jc w:val="center"/>
              <w:rPr>
                <w:rFonts w:hint="default"/>
                <w:vertAlign w:val="baseline"/>
                <w:lang w:val="en-US" w:eastAsia="zh-CN"/>
              </w:rPr>
            </w:pPr>
            <w:r>
              <w:rPr>
                <w:rFonts w:hint="default"/>
                <w:vertAlign w:val="baseline"/>
                <w:lang w:val="en-US" w:eastAsia="zh-CN"/>
              </w:rPr>
              <w:t>有效率 100%</w:t>
            </w:r>
          </w:p>
        </w:tc>
      </w:tr>
    </w:tbl>
    <w:p w14:paraId="79C4FB46">
      <w:pPr>
        <w:pStyle w:val="11"/>
        <w:spacing w:before="156" w:after="156"/>
        <w:rPr>
          <w:rFonts w:hint="eastAsia"/>
          <w:lang w:val="en-US" w:eastAsia="zh-CN"/>
        </w:rPr>
      </w:pPr>
      <w:r>
        <w:rPr>
          <w:rFonts w:hint="eastAsia"/>
          <w:lang w:val="en-US" w:eastAsia="zh-CN"/>
        </w:rPr>
        <w:t>表4  中南大学试验数据</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988"/>
        <w:gridCol w:w="988"/>
        <w:gridCol w:w="988"/>
        <w:gridCol w:w="988"/>
        <w:gridCol w:w="988"/>
        <w:gridCol w:w="988"/>
        <w:gridCol w:w="988"/>
        <w:gridCol w:w="989"/>
      </w:tblGrid>
      <w:tr w14:paraId="1FDB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14:paraId="4956F39E">
            <w:pPr>
              <w:jc w:val="center"/>
              <w:rPr>
                <w:rFonts w:hint="default"/>
                <w:vertAlign w:val="baseline"/>
                <w:lang w:val="en-US" w:eastAsia="zh-CN"/>
              </w:rPr>
            </w:pPr>
            <w:r>
              <w:rPr>
                <w:rFonts w:hint="eastAsia"/>
                <w:vertAlign w:val="baseline"/>
                <w:lang w:val="en-US" w:eastAsia="zh-CN"/>
              </w:rPr>
              <w:t>试样编号</w:t>
            </w:r>
          </w:p>
        </w:tc>
        <w:tc>
          <w:tcPr>
            <w:tcW w:w="988" w:type="dxa"/>
            <w:vAlign w:val="center"/>
          </w:tcPr>
          <w:p w14:paraId="30D46EF1">
            <w:pPr>
              <w:jc w:val="center"/>
              <w:rPr>
                <w:rFonts w:hint="default"/>
                <w:vertAlign w:val="baseline"/>
                <w:lang w:val="en-US" w:eastAsia="zh-CN"/>
              </w:rPr>
            </w:pPr>
            <w:r>
              <w:rPr>
                <w:rFonts w:hint="eastAsia"/>
                <w:vertAlign w:val="baseline"/>
                <w:lang w:val="en-US" w:eastAsia="zh-CN"/>
              </w:rPr>
              <w:t>标距（mm）</w:t>
            </w:r>
          </w:p>
        </w:tc>
        <w:tc>
          <w:tcPr>
            <w:tcW w:w="988" w:type="dxa"/>
            <w:vAlign w:val="center"/>
          </w:tcPr>
          <w:p w14:paraId="453AD870">
            <w:pPr>
              <w:jc w:val="center"/>
              <w:rPr>
                <w:rFonts w:hint="default"/>
                <w:vertAlign w:val="baseline"/>
                <w:lang w:val="en-US" w:eastAsia="zh-CN"/>
              </w:rPr>
            </w:pPr>
            <w:r>
              <w:rPr>
                <w:rFonts w:hint="eastAsia"/>
                <w:vertAlign w:val="baseline"/>
                <w:lang w:val="en-US" w:eastAsia="zh-CN"/>
              </w:rPr>
              <w:t>实际直径（mm）</w:t>
            </w:r>
          </w:p>
        </w:tc>
        <w:tc>
          <w:tcPr>
            <w:tcW w:w="988" w:type="dxa"/>
            <w:vAlign w:val="center"/>
          </w:tcPr>
          <w:p w14:paraId="6CC08801">
            <w:pPr>
              <w:jc w:val="center"/>
              <w:rPr>
                <w:rFonts w:hint="default"/>
                <w:vertAlign w:val="baseline"/>
                <w:lang w:val="en-US" w:eastAsia="zh-CN"/>
              </w:rPr>
            </w:pPr>
            <w:r>
              <w:rPr>
                <w:rFonts w:hint="eastAsia"/>
                <w:vertAlign w:val="baseline"/>
                <w:lang w:val="en-US" w:eastAsia="zh-CN"/>
              </w:rPr>
              <w:t>最大拉力（KN）</w:t>
            </w:r>
          </w:p>
        </w:tc>
        <w:tc>
          <w:tcPr>
            <w:tcW w:w="988" w:type="dxa"/>
            <w:vAlign w:val="center"/>
          </w:tcPr>
          <w:p w14:paraId="7B3C8026">
            <w:pPr>
              <w:jc w:val="center"/>
              <w:rPr>
                <w:rFonts w:hint="default"/>
                <w:vertAlign w:val="baseline"/>
                <w:lang w:val="en-US" w:eastAsia="zh-CN"/>
              </w:rPr>
            </w:pPr>
            <w:r>
              <w:rPr>
                <w:rFonts w:hint="eastAsia"/>
                <w:vertAlign w:val="baseline"/>
                <w:lang w:val="en-US" w:eastAsia="zh-CN"/>
              </w:rPr>
              <w:t>屈服强度（MPa）</w:t>
            </w:r>
          </w:p>
        </w:tc>
        <w:tc>
          <w:tcPr>
            <w:tcW w:w="988" w:type="dxa"/>
            <w:vAlign w:val="center"/>
          </w:tcPr>
          <w:p w14:paraId="67C2BCAA">
            <w:pPr>
              <w:jc w:val="center"/>
              <w:rPr>
                <w:rFonts w:hint="default"/>
                <w:vertAlign w:val="baseline"/>
                <w:lang w:val="en-US" w:eastAsia="zh-CN"/>
              </w:rPr>
            </w:pPr>
            <w:r>
              <w:rPr>
                <w:rFonts w:hint="eastAsia"/>
                <w:vertAlign w:val="baseline"/>
                <w:lang w:val="en-US" w:eastAsia="zh-CN"/>
              </w:rPr>
              <w:t>抗拉强度（MPa）</w:t>
            </w:r>
          </w:p>
        </w:tc>
        <w:tc>
          <w:tcPr>
            <w:tcW w:w="988" w:type="dxa"/>
            <w:vAlign w:val="center"/>
          </w:tcPr>
          <w:p w14:paraId="0A8CC2A2">
            <w:pPr>
              <w:jc w:val="center"/>
              <w:rPr>
                <w:rFonts w:hint="default"/>
                <w:vertAlign w:val="baseline"/>
                <w:lang w:val="en-US" w:eastAsia="zh-CN"/>
              </w:rPr>
            </w:pPr>
            <w:r>
              <w:rPr>
                <w:rFonts w:hint="eastAsia"/>
                <w:vertAlign w:val="baseline"/>
                <w:lang w:val="en-US" w:eastAsia="zh-CN"/>
              </w:rPr>
              <w:t>断裂伸长率（%）</w:t>
            </w:r>
          </w:p>
        </w:tc>
        <w:tc>
          <w:tcPr>
            <w:tcW w:w="988" w:type="dxa"/>
            <w:vAlign w:val="center"/>
          </w:tcPr>
          <w:p w14:paraId="51C6348D">
            <w:pPr>
              <w:jc w:val="center"/>
              <w:rPr>
                <w:rFonts w:hint="default"/>
                <w:vertAlign w:val="baseline"/>
                <w:lang w:val="en-US" w:eastAsia="zh-CN"/>
              </w:rPr>
            </w:pPr>
            <w:r>
              <w:rPr>
                <w:rFonts w:hint="default"/>
                <w:vertAlign w:val="baseline"/>
                <w:lang w:val="en-US" w:eastAsia="zh-CN"/>
              </w:rPr>
              <w:t>断裂位置</w:t>
            </w:r>
          </w:p>
        </w:tc>
        <w:tc>
          <w:tcPr>
            <w:tcW w:w="989" w:type="dxa"/>
            <w:vAlign w:val="center"/>
          </w:tcPr>
          <w:p w14:paraId="3F039732">
            <w:pPr>
              <w:jc w:val="center"/>
              <w:rPr>
                <w:rFonts w:hint="default"/>
                <w:vertAlign w:val="baseline"/>
                <w:lang w:val="en-US" w:eastAsia="zh-CN"/>
              </w:rPr>
            </w:pPr>
            <w:r>
              <w:rPr>
                <w:rFonts w:hint="default"/>
                <w:vertAlign w:val="baseline"/>
                <w:lang w:val="en-US" w:eastAsia="zh-CN"/>
              </w:rPr>
              <w:t>有效性</w:t>
            </w:r>
          </w:p>
        </w:tc>
      </w:tr>
      <w:tr w14:paraId="2807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14:paraId="02707361">
            <w:pPr>
              <w:jc w:val="center"/>
              <w:rPr>
                <w:rFonts w:hint="default"/>
                <w:vertAlign w:val="baseline"/>
                <w:lang w:val="en-US" w:eastAsia="zh-CN"/>
              </w:rPr>
            </w:pPr>
            <w:r>
              <w:rPr>
                <w:rFonts w:hint="default"/>
                <w:vertAlign w:val="baseline"/>
                <w:lang w:val="en-US" w:eastAsia="zh-CN"/>
              </w:rPr>
              <w:t>GB7963-M6-ZN-01</w:t>
            </w:r>
          </w:p>
        </w:tc>
        <w:tc>
          <w:tcPr>
            <w:tcW w:w="988" w:type="dxa"/>
            <w:vAlign w:val="center"/>
          </w:tcPr>
          <w:p w14:paraId="639AA5C0">
            <w:pPr>
              <w:jc w:val="center"/>
              <w:rPr>
                <w:rFonts w:hint="default"/>
                <w:vertAlign w:val="baseline"/>
                <w:lang w:val="en-US" w:eastAsia="zh-CN"/>
              </w:rPr>
            </w:pPr>
            <w:r>
              <w:rPr>
                <w:rFonts w:hint="default"/>
                <w:vertAlign w:val="baseline"/>
                <w:lang w:val="en-US" w:eastAsia="zh-CN"/>
              </w:rPr>
              <w:t>25.0</w:t>
            </w:r>
          </w:p>
        </w:tc>
        <w:tc>
          <w:tcPr>
            <w:tcW w:w="988" w:type="dxa"/>
            <w:vAlign w:val="center"/>
          </w:tcPr>
          <w:p w14:paraId="44E72A59">
            <w:pPr>
              <w:jc w:val="center"/>
              <w:rPr>
                <w:rFonts w:hint="default"/>
                <w:vertAlign w:val="baseline"/>
                <w:lang w:val="en-US" w:eastAsia="zh-CN"/>
              </w:rPr>
            </w:pPr>
            <w:r>
              <w:rPr>
                <w:rFonts w:hint="default"/>
                <w:vertAlign w:val="baseline"/>
                <w:lang w:val="en-US" w:eastAsia="zh-CN"/>
              </w:rPr>
              <w:t>4.85</w:t>
            </w:r>
          </w:p>
        </w:tc>
        <w:tc>
          <w:tcPr>
            <w:tcW w:w="988" w:type="dxa"/>
            <w:vAlign w:val="center"/>
          </w:tcPr>
          <w:p w14:paraId="08A4A399">
            <w:pPr>
              <w:jc w:val="center"/>
              <w:rPr>
                <w:rFonts w:hint="default"/>
                <w:vertAlign w:val="baseline"/>
                <w:lang w:val="en-US" w:eastAsia="zh-CN"/>
              </w:rPr>
            </w:pPr>
            <w:r>
              <w:rPr>
                <w:rFonts w:hint="default"/>
                <w:vertAlign w:val="baseline"/>
                <w:lang w:val="en-US" w:eastAsia="zh-CN"/>
              </w:rPr>
              <w:t>15.54</w:t>
            </w:r>
          </w:p>
        </w:tc>
        <w:tc>
          <w:tcPr>
            <w:tcW w:w="988" w:type="dxa"/>
            <w:vAlign w:val="center"/>
          </w:tcPr>
          <w:p w14:paraId="4057A7BC">
            <w:pPr>
              <w:jc w:val="center"/>
              <w:rPr>
                <w:rFonts w:hint="default"/>
                <w:vertAlign w:val="baseline"/>
                <w:lang w:val="en-US" w:eastAsia="zh-CN"/>
              </w:rPr>
            </w:pPr>
            <w:r>
              <w:rPr>
                <w:rFonts w:hint="default"/>
                <w:vertAlign w:val="baseline"/>
                <w:lang w:val="en-US" w:eastAsia="zh-CN"/>
              </w:rPr>
              <w:t>710</w:t>
            </w:r>
          </w:p>
        </w:tc>
        <w:tc>
          <w:tcPr>
            <w:tcW w:w="988" w:type="dxa"/>
            <w:vAlign w:val="center"/>
          </w:tcPr>
          <w:p w14:paraId="2E5D8A27">
            <w:pPr>
              <w:jc w:val="center"/>
              <w:rPr>
                <w:rFonts w:hint="default"/>
                <w:vertAlign w:val="baseline"/>
                <w:lang w:val="en-US" w:eastAsia="zh-CN"/>
              </w:rPr>
            </w:pPr>
            <w:r>
              <w:rPr>
                <w:rFonts w:hint="default"/>
                <w:vertAlign w:val="baseline"/>
                <w:lang w:val="en-US" w:eastAsia="zh-CN"/>
              </w:rPr>
              <w:t>841</w:t>
            </w:r>
          </w:p>
        </w:tc>
        <w:tc>
          <w:tcPr>
            <w:tcW w:w="988" w:type="dxa"/>
            <w:vAlign w:val="center"/>
          </w:tcPr>
          <w:p w14:paraId="4899CFFE">
            <w:pPr>
              <w:jc w:val="center"/>
              <w:rPr>
                <w:rFonts w:hint="default"/>
                <w:vertAlign w:val="baseline"/>
                <w:lang w:val="en-US" w:eastAsia="zh-CN"/>
              </w:rPr>
            </w:pPr>
            <w:r>
              <w:rPr>
                <w:rFonts w:hint="default"/>
                <w:vertAlign w:val="baseline"/>
                <w:lang w:val="en-US" w:eastAsia="zh-CN"/>
              </w:rPr>
              <w:t>8.5</w:t>
            </w:r>
          </w:p>
        </w:tc>
        <w:tc>
          <w:tcPr>
            <w:tcW w:w="988" w:type="dxa"/>
            <w:vAlign w:val="center"/>
          </w:tcPr>
          <w:p w14:paraId="6EF9B371">
            <w:pPr>
              <w:jc w:val="center"/>
              <w:rPr>
                <w:rFonts w:hint="default"/>
                <w:vertAlign w:val="baseline"/>
                <w:lang w:val="en-US" w:eastAsia="zh-CN"/>
              </w:rPr>
            </w:pPr>
            <w:r>
              <w:rPr>
                <w:rFonts w:hint="default"/>
                <w:vertAlign w:val="baseline"/>
                <w:lang w:val="en-US" w:eastAsia="zh-CN"/>
              </w:rPr>
              <w:t>标距内（偏上）</w:t>
            </w:r>
          </w:p>
        </w:tc>
        <w:tc>
          <w:tcPr>
            <w:tcW w:w="989" w:type="dxa"/>
            <w:vAlign w:val="center"/>
          </w:tcPr>
          <w:p w14:paraId="11ABE07C">
            <w:pPr>
              <w:jc w:val="center"/>
              <w:rPr>
                <w:rFonts w:hint="default"/>
                <w:vertAlign w:val="baseline"/>
                <w:lang w:val="en-US" w:eastAsia="zh-CN"/>
              </w:rPr>
            </w:pPr>
            <w:r>
              <w:rPr>
                <w:rFonts w:hint="default"/>
                <w:vertAlign w:val="baseline"/>
                <w:lang w:val="en-US" w:eastAsia="zh-CN"/>
              </w:rPr>
              <w:t>有效</w:t>
            </w:r>
          </w:p>
        </w:tc>
      </w:tr>
      <w:tr w14:paraId="1D79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948" w:type="dxa"/>
            <w:vAlign w:val="center"/>
          </w:tcPr>
          <w:p w14:paraId="2295C5ED">
            <w:pPr>
              <w:jc w:val="center"/>
              <w:rPr>
                <w:rFonts w:hint="default"/>
                <w:vertAlign w:val="baseline"/>
                <w:lang w:val="en-US" w:eastAsia="zh-CN"/>
              </w:rPr>
            </w:pPr>
            <w:r>
              <w:rPr>
                <w:rFonts w:hint="default"/>
                <w:vertAlign w:val="baseline"/>
                <w:lang w:val="en-US" w:eastAsia="zh-CN"/>
              </w:rPr>
              <w:t>GB7963-M6-ZN-02</w:t>
            </w:r>
          </w:p>
        </w:tc>
        <w:tc>
          <w:tcPr>
            <w:tcW w:w="988" w:type="dxa"/>
            <w:vAlign w:val="center"/>
          </w:tcPr>
          <w:p w14:paraId="6FB473A4">
            <w:pPr>
              <w:jc w:val="center"/>
              <w:rPr>
                <w:rFonts w:hint="default"/>
                <w:vertAlign w:val="baseline"/>
                <w:lang w:val="en-US" w:eastAsia="zh-CN"/>
              </w:rPr>
            </w:pPr>
            <w:r>
              <w:rPr>
                <w:rFonts w:hint="default"/>
                <w:vertAlign w:val="baseline"/>
                <w:lang w:val="en-US" w:eastAsia="zh-CN"/>
              </w:rPr>
              <w:t>25.0</w:t>
            </w:r>
          </w:p>
        </w:tc>
        <w:tc>
          <w:tcPr>
            <w:tcW w:w="988" w:type="dxa"/>
            <w:vAlign w:val="center"/>
          </w:tcPr>
          <w:p w14:paraId="4794AC2D">
            <w:pPr>
              <w:jc w:val="center"/>
              <w:rPr>
                <w:rFonts w:hint="default"/>
                <w:vertAlign w:val="baseline"/>
                <w:lang w:val="en-US" w:eastAsia="zh-CN"/>
              </w:rPr>
            </w:pPr>
            <w:r>
              <w:rPr>
                <w:rFonts w:hint="default"/>
                <w:vertAlign w:val="baseline"/>
                <w:lang w:val="en-US" w:eastAsia="zh-CN"/>
              </w:rPr>
              <w:t>4.74</w:t>
            </w:r>
          </w:p>
        </w:tc>
        <w:tc>
          <w:tcPr>
            <w:tcW w:w="988" w:type="dxa"/>
            <w:vAlign w:val="center"/>
          </w:tcPr>
          <w:p w14:paraId="17128BDD">
            <w:pPr>
              <w:jc w:val="center"/>
              <w:rPr>
                <w:rFonts w:hint="default"/>
                <w:vertAlign w:val="baseline"/>
                <w:lang w:val="en-US" w:eastAsia="zh-CN"/>
              </w:rPr>
            </w:pPr>
            <w:r>
              <w:rPr>
                <w:rFonts w:hint="default"/>
                <w:vertAlign w:val="baseline"/>
                <w:lang w:val="en-US" w:eastAsia="zh-CN"/>
              </w:rPr>
              <w:t>15.40</w:t>
            </w:r>
          </w:p>
        </w:tc>
        <w:tc>
          <w:tcPr>
            <w:tcW w:w="988" w:type="dxa"/>
            <w:vAlign w:val="center"/>
          </w:tcPr>
          <w:p w14:paraId="29A6258A">
            <w:pPr>
              <w:jc w:val="center"/>
              <w:rPr>
                <w:rFonts w:hint="default"/>
                <w:vertAlign w:val="baseline"/>
                <w:lang w:val="en-US" w:eastAsia="zh-CN"/>
              </w:rPr>
            </w:pPr>
            <w:r>
              <w:rPr>
                <w:rFonts w:hint="default"/>
                <w:vertAlign w:val="baseline"/>
                <w:lang w:val="en-US" w:eastAsia="zh-CN"/>
              </w:rPr>
              <w:t>739</w:t>
            </w:r>
          </w:p>
        </w:tc>
        <w:tc>
          <w:tcPr>
            <w:tcW w:w="988" w:type="dxa"/>
            <w:vAlign w:val="center"/>
          </w:tcPr>
          <w:p w14:paraId="59720CAC">
            <w:pPr>
              <w:jc w:val="center"/>
              <w:rPr>
                <w:rFonts w:hint="default"/>
                <w:vertAlign w:val="baseline"/>
                <w:lang w:val="en-US" w:eastAsia="zh-CN"/>
              </w:rPr>
            </w:pPr>
            <w:r>
              <w:rPr>
                <w:rFonts w:hint="default"/>
                <w:vertAlign w:val="baseline"/>
                <w:lang w:val="en-US" w:eastAsia="zh-CN"/>
              </w:rPr>
              <w:t>873</w:t>
            </w:r>
          </w:p>
        </w:tc>
        <w:tc>
          <w:tcPr>
            <w:tcW w:w="988" w:type="dxa"/>
            <w:vAlign w:val="center"/>
          </w:tcPr>
          <w:p w14:paraId="21A25CE9">
            <w:pPr>
              <w:jc w:val="center"/>
              <w:rPr>
                <w:rFonts w:hint="default"/>
                <w:vertAlign w:val="baseline"/>
                <w:lang w:val="en-US" w:eastAsia="zh-CN"/>
              </w:rPr>
            </w:pPr>
            <w:r>
              <w:rPr>
                <w:rFonts w:hint="default"/>
                <w:vertAlign w:val="baseline"/>
                <w:lang w:val="en-US" w:eastAsia="zh-CN"/>
              </w:rPr>
              <w:t>8.7</w:t>
            </w:r>
          </w:p>
        </w:tc>
        <w:tc>
          <w:tcPr>
            <w:tcW w:w="988" w:type="dxa"/>
            <w:vAlign w:val="center"/>
          </w:tcPr>
          <w:p w14:paraId="243EA916">
            <w:pPr>
              <w:jc w:val="center"/>
              <w:rPr>
                <w:rFonts w:hint="default"/>
                <w:vertAlign w:val="baseline"/>
                <w:lang w:val="en-US" w:eastAsia="zh-CN"/>
              </w:rPr>
            </w:pPr>
            <w:r>
              <w:rPr>
                <w:rFonts w:hint="default"/>
                <w:vertAlign w:val="baseline"/>
                <w:lang w:val="en-US" w:eastAsia="zh-CN"/>
              </w:rPr>
              <w:t>标距内（偏上）</w:t>
            </w:r>
          </w:p>
        </w:tc>
        <w:tc>
          <w:tcPr>
            <w:tcW w:w="989" w:type="dxa"/>
            <w:vAlign w:val="center"/>
          </w:tcPr>
          <w:p w14:paraId="7573C523">
            <w:pPr>
              <w:jc w:val="center"/>
              <w:rPr>
                <w:rFonts w:hint="default"/>
                <w:vertAlign w:val="baseline"/>
                <w:lang w:val="en-US" w:eastAsia="zh-CN"/>
              </w:rPr>
            </w:pPr>
            <w:r>
              <w:rPr>
                <w:rFonts w:hint="default"/>
                <w:vertAlign w:val="baseline"/>
                <w:lang w:val="en-US" w:eastAsia="zh-CN"/>
              </w:rPr>
              <w:t>有效</w:t>
            </w:r>
          </w:p>
        </w:tc>
      </w:tr>
      <w:tr w14:paraId="6930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14:paraId="2CD44489">
            <w:pPr>
              <w:jc w:val="center"/>
              <w:rPr>
                <w:rFonts w:hint="default"/>
                <w:vertAlign w:val="baseline"/>
                <w:lang w:val="en-US" w:eastAsia="zh-CN"/>
              </w:rPr>
            </w:pPr>
            <w:r>
              <w:rPr>
                <w:rFonts w:hint="default"/>
                <w:vertAlign w:val="baseline"/>
                <w:lang w:val="en-US" w:eastAsia="zh-CN"/>
              </w:rPr>
              <w:t>GB7963-M6-ZN-03</w:t>
            </w:r>
          </w:p>
        </w:tc>
        <w:tc>
          <w:tcPr>
            <w:tcW w:w="988" w:type="dxa"/>
            <w:vAlign w:val="center"/>
          </w:tcPr>
          <w:p w14:paraId="296B8AD5">
            <w:pPr>
              <w:jc w:val="center"/>
              <w:rPr>
                <w:rFonts w:hint="default"/>
                <w:vertAlign w:val="baseline"/>
                <w:lang w:val="en-US" w:eastAsia="zh-CN"/>
              </w:rPr>
            </w:pPr>
            <w:r>
              <w:rPr>
                <w:rFonts w:hint="default"/>
                <w:vertAlign w:val="baseline"/>
                <w:lang w:val="en-US" w:eastAsia="zh-CN"/>
              </w:rPr>
              <w:t>25.0</w:t>
            </w:r>
          </w:p>
        </w:tc>
        <w:tc>
          <w:tcPr>
            <w:tcW w:w="988" w:type="dxa"/>
            <w:vAlign w:val="center"/>
          </w:tcPr>
          <w:p w14:paraId="4D018678">
            <w:pPr>
              <w:jc w:val="center"/>
              <w:rPr>
                <w:rFonts w:hint="default"/>
                <w:vertAlign w:val="baseline"/>
                <w:lang w:val="en-US" w:eastAsia="zh-CN"/>
              </w:rPr>
            </w:pPr>
            <w:r>
              <w:rPr>
                <w:rFonts w:hint="default"/>
                <w:vertAlign w:val="baseline"/>
                <w:lang w:val="en-US" w:eastAsia="zh-CN"/>
              </w:rPr>
              <w:t>4.77</w:t>
            </w:r>
          </w:p>
        </w:tc>
        <w:tc>
          <w:tcPr>
            <w:tcW w:w="988" w:type="dxa"/>
            <w:vAlign w:val="center"/>
          </w:tcPr>
          <w:p w14:paraId="21915BF9">
            <w:pPr>
              <w:jc w:val="center"/>
              <w:rPr>
                <w:rFonts w:hint="default"/>
                <w:vertAlign w:val="baseline"/>
                <w:lang w:val="en-US" w:eastAsia="zh-CN"/>
              </w:rPr>
            </w:pPr>
            <w:r>
              <w:rPr>
                <w:rFonts w:hint="default"/>
                <w:vertAlign w:val="baseline"/>
                <w:lang w:val="en-US" w:eastAsia="zh-CN"/>
              </w:rPr>
              <w:t>16.19</w:t>
            </w:r>
          </w:p>
        </w:tc>
        <w:tc>
          <w:tcPr>
            <w:tcW w:w="988" w:type="dxa"/>
            <w:vAlign w:val="center"/>
          </w:tcPr>
          <w:p w14:paraId="7687A435">
            <w:pPr>
              <w:jc w:val="center"/>
              <w:rPr>
                <w:rFonts w:hint="default"/>
                <w:vertAlign w:val="baseline"/>
                <w:lang w:val="en-US" w:eastAsia="zh-CN"/>
              </w:rPr>
            </w:pPr>
            <w:r>
              <w:rPr>
                <w:rFonts w:hint="default"/>
                <w:vertAlign w:val="baseline"/>
                <w:lang w:val="en-US" w:eastAsia="zh-CN"/>
              </w:rPr>
              <w:t>740</w:t>
            </w:r>
          </w:p>
        </w:tc>
        <w:tc>
          <w:tcPr>
            <w:tcW w:w="988" w:type="dxa"/>
            <w:vAlign w:val="center"/>
          </w:tcPr>
          <w:p w14:paraId="7D3F7243">
            <w:pPr>
              <w:jc w:val="center"/>
              <w:rPr>
                <w:rFonts w:hint="default"/>
                <w:vertAlign w:val="baseline"/>
                <w:lang w:val="en-US" w:eastAsia="zh-CN"/>
              </w:rPr>
            </w:pPr>
            <w:r>
              <w:rPr>
                <w:rFonts w:hint="default"/>
                <w:vertAlign w:val="baseline"/>
                <w:lang w:val="en-US" w:eastAsia="zh-CN"/>
              </w:rPr>
              <w:t>906</w:t>
            </w:r>
          </w:p>
        </w:tc>
        <w:tc>
          <w:tcPr>
            <w:tcW w:w="988" w:type="dxa"/>
            <w:vAlign w:val="center"/>
          </w:tcPr>
          <w:p w14:paraId="0DE05E5D">
            <w:pPr>
              <w:jc w:val="center"/>
              <w:rPr>
                <w:rFonts w:hint="default"/>
                <w:vertAlign w:val="baseline"/>
                <w:lang w:val="en-US" w:eastAsia="zh-CN"/>
              </w:rPr>
            </w:pPr>
            <w:r>
              <w:rPr>
                <w:rFonts w:hint="default"/>
                <w:vertAlign w:val="baseline"/>
                <w:lang w:val="en-US" w:eastAsia="zh-CN"/>
              </w:rPr>
              <w:t>8.9</w:t>
            </w:r>
          </w:p>
        </w:tc>
        <w:tc>
          <w:tcPr>
            <w:tcW w:w="988" w:type="dxa"/>
            <w:vAlign w:val="center"/>
          </w:tcPr>
          <w:p w14:paraId="708ADDB2">
            <w:pPr>
              <w:jc w:val="center"/>
              <w:rPr>
                <w:rFonts w:hint="default"/>
                <w:vertAlign w:val="baseline"/>
                <w:lang w:val="en-US" w:eastAsia="zh-CN"/>
              </w:rPr>
            </w:pPr>
            <w:r>
              <w:rPr>
                <w:rFonts w:hint="default"/>
                <w:vertAlign w:val="baseline"/>
                <w:lang w:val="en-US" w:eastAsia="zh-CN"/>
              </w:rPr>
              <w:t>标距外（偏上）</w:t>
            </w:r>
          </w:p>
        </w:tc>
        <w:tc>
          <w:tcPr>
            <w:tcW w:w="989" w:type="dxa"/>
            <w:vAlign w:val="center"/>
          </w:tcPr>
          <w:p w14:paraId="76995885">
            <w:pPr>
              <w:jc w:val="center"/>
              <w:rPr>
                <w:rFonts w:hint="default"/>
                <w:vertAlign w:val="baseline"/>
                <w:lang w:val="en-US" w:eastAsia="zh-CN"/>
              </w:rPr>
            </w:pPr>
            <w:r>
              <w:rPr>
                <w:rFonts w:hint="default"/>
                <w:vertAlign w:val="baseline"/>
                <w:lang w:val="en-US" w:eastAsia="zh-CN"/>
              </w:rPr>
              <w:t>有效</w:t>
            </w:r>
          </w:p>
        </w:tc>
      </w:tr>
      <w:tr w14:paraId="4D33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14:paraId="289FB04A">
            <w:pPr>
              <w:jc w:val="center"/>
              <w:rPr>
                <w:rFonts w:hint="default"/>
                <w:vertAlign w:val="baseline"/>
                <w:lang w:val="en-US" w:eastAsia="zh-CN"/>
              </w:rPr>
            </w:pPr>
            <w:r>
              <w:rPr>
                <w:rFonts w:hint="default"/>
                <w:vertAlign w:val="baseline"/>
                <w:lang w:val="en-US" w:eastAsia="zh-CN"/>
              </w:rPr>
              <w:t>统计（平均值）</w:t>
            </w:r>
          </w:p>
        </w:tc>
        <w:tc>
          <w:tcPr>
            <w:tcW w:w="988" w:type="dxa"/>
            <w:vAlign w:val="center"/>
          </w:tcPr>
          <w:p w14:paraId="35AFD9E9">
            <w:pPr>
              <w:jc w:val="center"/>
              <w:rPr>
                <w:rFonts w:hint="default"/>
                <w:vertAlign w:val="baseline"/>
                <w:lang w:val="en-US" w:eastAsia="zh-CN"/>
              </w:rPr>
            </w:pPr>
          </w:p>
        </w:tc>
        <w:tc>
          <w:tcPr>
            <w:tcW w:w="988" w:type="dxa"/>
            <w:vAlign w:val="center"/>
          </w:tcPr>
          <w:p w14:paraId="23D9C421">
            <w:pPr>
              <w:jc w:val="center"/>
              <w:rPr>
                <w:rFonts w:hint="default"/>
                <w:vertAlign w:val="baseline"/>
                <w:lang w:val="en-US" w:eastAsia="zh-CN"/>
              </w:rPr>
            </w:pPr>
            <w:r>
              <w:rPr>
                <w:rFonts w:hint="default"/>
                <w:vertAlign w:val="baseline"/>
                <w:lang w:val="en-US" w:eastAsia="zh-CN"/>
              </w:rPr>
              <w:t>4.80</w:t>
            </w:r>
          </w:p>
        </w:tc>
        <w:tc>
          <w:tcPr>
            <w:tcW w:w="988" w:type="dxa"/>
            <w:vAlign w:val="center"/>
          </w:tcPr>
          <w:p w14:paraId="081CA202">
            <w:pPr>
              <w:jc w:val="center"/>
              <w:rPr>
                <w:rFonts w:hint="default"/>
                <w:vertAlign w:val="baseline"/>
                <w:lang w:val="en-US" w:eastAsia="zh-CN"/>
              </w:rPr>
            </w:pPr>
            <w:r>
              <w:rPr>
                <w:rFonts w:hint="default"/>
                <w:vertAlign w:val="baseline"/>
                <w:lang w:val="en-US" w:eastAsia="zh-CN"/>
              </w:rPr>
              <w:t>15.47</w:t>
            </w:r>
          </w:p>
        </w:tc>
        <w:tc>
          <w:tcPr>
            <w:tcW w:w="988" w:type="dxa"/>
            <w:vAlign w:val="center"/>
          </w:tcPr>
          <w:p w14:paraId="21E64B21">
            <w:pPr>
              <w:jc w:val="center"/>
              <w:rPr>
                <w:rFonts w:hint="default"/>
                <w:vertAlign w:val="baseline"/>
                <w:lang w:val="en-US" w:eastAsia="zh-CN"/>
              </w:rPr>
            </w:pPr>
            <w:r>
              <w:rPr>
                <w:rFonts w:hint="default"/>
                <w:vertAlign w:val="baseline"/>
                <w:lang w:val="en-US" w:eastAsia="zh-CN"/>
              </w:rPr>
              <w:t>724.5</w:t>
            </w:r>
          </w:p>
        </w:tc>
        <w:tc>
          <w:tcPr>
            <w:tcW w:w="988" w:type="dxa"/>
            <w:vAlign w:val="center"/>
          </w:tcPr>
          <w:p w14:paraId="1D6D945A">
            <w:pPr>
              <w:jc w:val="center"/>
              <w:rPr>
                <w:rFonts w:hint="default"/>
                <w:vertAlign w:val="baseline"/>
                <w:lang w:val="en-US" w:eastAsia="zh-CN"/>
              </w:rPr>
            </w:pPr>
            <w:r>
              <w:rPr>
                <w:rFonts w:hint="default"/>
                <w:vertAlign w:val="baseline"/>
                <w:lang w:val="en-US" w:eastAsia="zh-CN"/>
              </w:rPr>
              <w:t>857.0</w:t>
            </w:r>
          </w:p>
        </w:tc>
        <w:tc>
          <w:tcPr>
            <w:tcW w:w="988" w:type="dxa"/>
            <w:vAlign w:val="center"/>
          </w:tcPr>
          <w:p w14:paraId="4D02306E">
            <w:pPr>
              <w:jc w:val="center"/>
              <w:rPr>
                <w:rFonts w:hint="default"/>
                <w:vertAlign w:val="baseline"/>
                <w:lang w:val="en-US" w:eastAsia="zh-CN"/>
              </w:rPr>
            </w:pPr>
            <w:r>
              <w:rPr>
                <w:rFonts w:hint="default"/>
                <w:vertAlign w:val="baseline"/>
                <w:lang w:val="en-US" w:eastAsia="zh-CN"/>
              </w:rPr>
              <w:t>8.6</w:t>
            </w:r>
          </w:p>
        </w:tc>
        <w:tc>
          <w:tcPr>
            <w:tcW w:w="988" w:type="dxa"/>
            <w:vAlign w:val="center"/>
          </w:tcPr>
          <w:p w14:paraId="16817FD3">
            <w:pPr>
              <w:jc w:val="center"/>
              <w:rPr>
                <w:rFonts w:hint="default"/>
                <w:vertAlign w:val="baseline"/>
                <w:lang w:val="en-US" w:eastAsia="zh-CN"/>
              </w:rPr>
            </w:pPr>
          </w:p>
        </w:tc>
        <w:tc>
          <w:tcPr>
            <w:tcW w:w="989" w:type="dxa"/>
            <w:vAlign w:val="center"/>
          </w:tcPr>
          <w:p w14:paraId="5F5886C7">
            <w:pPr>
              <w:jc w:val="center"/>
              <w:rPr>
                <w:rFonts w:hint="default"/>
                <w:vertAlign w:val="baseline"/>
                <w:lang w:val="en-US" w:eastAsia="zh-CN"/>
              </w:rPr>
            </w:pPr>
            <w:r>
              <w:rPr>
                <w:rFonts w:hint="default"/>
                <w:vertAlign w:val="baseline"/>
                <w:lang w:val="en-US" w:eastAsia="zh-CN"/>
              </w:rPr>
              <w:t>有效率 66.7%</w:t>
            </w:r>
          </w:p>
        </w:tc>
      </w:tr>
    </w:tbl>
    <w:p w14:paraId="30B41095">
      <w:pPr>
        <w:rPr>
          <w:rFonts w:hint="eastAsia"/>
        </w:rPr>
      </w:pPr>
      <w:r>
        <w:rPr>
          <w:rFonts w:hint="eastAsia"/>
        </w:rPr>
        <w:t>2.3.2.3 结果验证</w:t>
      </w:r>
    </w:p>
    <w:p w14:paraId="74A5DD4C">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w:t>
      </w:r>
      <w:r>
        <w:rPr>
          <w:rFonts w:hint="eastAsia"/>
          <w:lang w:eastAsia="zh-CN"/>
        </w:rPr>
        <w:t>）</w:t>
      </w:r>
      <w:r>
        <w:rPr>
          <w:rFonts w:hint="eastAsia"/>
        </w:rPr>
        <w:t>尺寸设计合理性验证：从各家单位数据来看，8个有效试样中7个断裂位置集中在标距内（占比87.5%），其中钢铁研究总院、国标公司的6个试样全部在标距内断裂，表明试样标距锥度（0.1mm）、凸肩半径（2.0mm）等尺寸参数设计科学，能有效引导断裂发生在测试核心区域，满足拉伸试验对断裂位置的关键要求。仅中南大学1个试样断裂于标距外，推测与该试样局部微观孔隙分布不均相关，属个别现象，不影响整体尺寸设计的合理性。</w:t>
      </w:r>
    </w:p>
    <w:p w14:paraId="704C6931">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w:t>
      </w:r>
      <w:r>
        <w:rPr>
          <w:rFonts w:hint="eastAsia"/>
          <w:lang w:eastAsia="zh-CN"/>
        </w:rPr>
        <w:t>）</w:t>
      </w:r>
      <w:r>
        <w:rPr>
          <w:rFonts w:hint="eastAsia"/>
        </w:rPr>
        <w:t>测试方法可行性验证：三家单位均能严格按标准流程完成试验：设备校准符合ISO 7500-1要求，试样装夹采用可拆分夹头包裹20°锥形区域，标距标记清晰无干扰，数据记录完整（含最大拉力、屈服强度等核心指标及断裂位置）。从操作过程来看，无技术障碍；从数据完整性来看，每家单位有效试样均满足“3个及以上”的标准要求，验证了测试方法的可操作性和通用性。</w:t>
      </w:r>
    </w:p>
    <w:p w14:paraId="625CF206">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3</w:t>
      </w:r>
      <w:r>
        <w:rPr>
          <w:rFonts w:hint="eastAsia"/>
          <w:lang w:eastAsia="zh-CN"/>
        </w:rPr>
        <w:t>）</w:t>
      </w:r>
      <w:r>
        <w:rPr>
          <w:rFonts w:hint="eastAsia"/>
        </w:rPr>
        <w:t>数据准确性与一致性验证：</w:t>
      </w:r>
    </w:p>
    <w:p w14:paraId="663E0690">
      <w:pPr>
        <w:pStyle w:val="11"/>
        <w:spacing w:before="156" w:after="156"/>
        <w:rPr>
          <w:rFonts w:hint="eastAsia"/>
          <w:lang w:val="en-US" w:eastAsia="zh-CN"/>
        </w:rPr>
      </w:pPr>
      <w:r>
        <w:rPr>
          <w:rFonts w:hint="eastAsia"/>
          <w:lang w:val="en-US" w:eastAsia="zh-CN"/>
        </w:rPr>
        <w:t>表5 有效试样核心性能统计</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970"/>
        <w:gridCol w:w="1579"/>
        <w:gridCol w:w="1666"/>
        <w:gridCol w:w="1770"/>
        <w:gridCol w:w="1736"/>
      </w:tblGrid>
      <w:tr w14:paraId="333A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970" w:type="dxa"/>
            <w:vAlign w:val="center"/>
          </w:tcPr>
          <w:p w14:paraId="7E56C5E3">
            <w:pPr>
              <w:jc w:val="center"/>
              <w:rPr>
                <w:rFonts w:hint="default"/>
                <w:vertAlign w:val="baseline"/>
                <w:lang w:val="en-US" w:eastAsia="zh-CN"/>
              </w:rPr>
            </w:pPr>
            <w:r>
              <w:rPr>
                <w:rFonts w:hint="eastAsia"/>
                <w:vertAlign w:val="baseline"/>
                <w:lang w:val="en-US" w:eastAsia="zh-CN"/>
              </w:rPr>
              <w:t>性能指标</w:t>
            </w:r>
          </w:p>
        </w:tc>
        <w:tc>
          <w:tcPr>
            <w:tcW w:w="1579" w:type="dxa"/>
            <w:vAlign w:val="center"/>
          </w:tcPr>
          <w:p w14:paraId="3F3255A6">
            <w:pPr>
              <w:jc w:val="center"/>
              <w:rPr>
                <w:rFonts w:hint="default"/>
                <w:vertAlign w:val="baseline"/>
                <w:lang w:val="en-US" w:eastAsia="zh-CN"/>
              </w:rPr>
            </w:pPr>
            <w:r>
              <w:rPr>
                <w:rFonts w:hint="default"/>
                <w:vertAlign w:val="baseline"/>
                <w:lang w:val="en-US" w:eastAsia="zh-CN"/>
              </w:rPr>
              <w:t>平均值</w:t>
            </w:r>
          </w:p>
        </w:tc>
        <w:tc>
          <w:tcPr>
            <w:tcW w:w="1666" w:type="dxa"/>
            <w:vAlign w:val="center"/>
          </w:tcPr>
          <w:p w14:paraId="216F2907">
            <w:pPr>
              <w:jc w:val="center"/>
              <w:rPr>
                <w:rFonts w:hint="default"/>
                <w:vertAlign w:val="baseline"/>
                <w:lang w:val="en-US" w:eastAsia="zh-CN"/>
              </w:rPr>
            </w:pPr>
            <w:r>
              <w:rPr>
                <w:rFonts w:hint="default"/>
                <w:vertAlign w:val="baseline"/>
                <w:lang w:val="en-US" w:eastAsia="zh-CN"/>
              </w:rPr>
              <w:t>标准差</w:t>
            </w:r>
          </w:p>
        </w:tc>
        <w:tc>
          <w:tcPr>
            <w:tcW w:w="1770" w:type="dxa"/>
            <w:vAlign w:val="center"/>
          </w:tcPr>
          <w:p w14:paraId="62636335">
            <w:pPr>
              <w:jc w:val="center"/>
              <w:rPr>
                <w:rFonts w:hint="default"/>
                <w:vertAlign w:val="baseline"/>
                <w:lang w:val="en-US" w:eastAsia="zh-CN"/>
              </w:rPr>
            </w:pPr>
            <w:r>
              <w:rPr>
                <w:rFonts w:hint="default"/>
                <w:vertAlign w:val="baseline"/>
                <w:lang w:val="en-US" w:eastAsia="zh-CN"/>
              </w:rPr>
              <w:t>变异系数</w:t>
            </w:r>
          </w:p>
        </w:tc>
        <w:tc>
          <w:tcPr>
            <w:tcW w:w="1736" w:type="dxa"/>
            <w:vAlign w:val="center"/>
          </w:tcPr>
          <w:p w14:paraId="4AC3B394">
            <w:pPr>
              <w:jc w:val="center"/>
              <w:rPr>
                <w:rFonts w:hint="default"/>
                <w:vertAlign w:val="baseline"/>
                <w:lang w:val="en-US" w:eastAsia="zh-CN"/>
              </w:rPr>
            </w:pPr>
            <w:r>
              <w:rPr>
                <w:rFonts w:hint="default"/>
                <w:vertAlign w:val="baseline"/>
                <w:lang w:val="en-US" w:eastAsia="zh-CN"/>
              </w:rPr>
              <w:t>数据一致性评价</w:t>
            </w:r>
          </w:p>
        </w:tc>
      </w:tr>
      <w:tr w14:paraId="575F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970" w:type="dxa"/>
            <w:vAlign w:val="center"/>
          </w:tcPr>
          <w:p w14:paraId="2F39487C">
            <w:pPr>
              <w:jc w:val="center"/>
              <w:rPr>
                <w:rFonts w:hint="default"/>
                <w:vertAlign w:val="baseline"/>
                <w:lang w:val="en-US" w:eastAsia="zh-CN"/>
              </w:rPr>
            </w:pPr>
            <w:r>
              <w:rPr>
                <w:rFonts w:hint="eastAsia"/>
                <w:vertAlign w:val="baseline"/>
                <w:lang w:val="en-US" w:eastAsia="zh-CN"/>
              </w:rPr>
              <w:t>屈服强度（MPa）</w:t>
            </w:r>
          </w:p>
        </w:tc>
        <w:tc>
          <w:tcPr>
            <w:tcW w:w="1579" w:type="dxa"/>
            <w:vAlign w:val="center"/>
          </w:tcPr>
          <w:p w14:paraId="266615F4">
            <w:pPr>
              <w:jc w:val="center"/>
              <w:rPr>
                <w:rFonts w:hint="default"/>
                <w:vertAlign w:val="baseline"/>
                <w:lang w:val="en-US" w:eastAsia="zh-CN"/>
              </w:rPr>
            </w:pPr>
            <w:r>
              <w:rPr>
                <w:rFonts w:hint="default"/>
                <w:vertAlign w:val="baseline"/>
                <w:lang w:val="en-US" w:eastAsia="zh-CN"/>
              </w:rPr>
              <w:t>755.4</w:t>
            </w:r>
          </w:p>
        </w:tc>
        <w:tc>
          <w:tcPr>
            <w:tcW w:w="1666" w:type="dxa"/>
            <w:vAlign w:val="center"/>
          </w:tcPr>
          <w:p w14:paraId="2923C18E">
            <w:pPr>
              <w:jc w:val="center"/>
              <w:rPr>
                <w:rFonts w:hint="default"/>
                <w:vertAlign w:val="baseline"/>
                <w:lang w:val="en-US" w:eastAsia="zh-CN"/>
              </w:rPr>
            </w:pPr>
            <w:r>
              <w:rPr>
                <w:rFonts w:hint="default"/>
                <w:vertAlign w:val="baseline"/>
                <w:lang w:val="en-US" w:eastAsia="zh-CN"/>
              </w:rPr>
              <w:t>20.3</w:t>
            </w:r>
            <w:r>
              <w:rPr>
                <w:rFonts w:hint="default"/>
                <w:vertAlign w:val="baseline"/>
                <w:lang w:val="en-US" w:eastAsia="zh-CN"/>
              </w:rPr>
              <w:tab/>
            </w:r>
          </w:p>
        </w:tc>
        <w:tc>
          <w:tcPr>
            <w:tcW w:w="1770" w:type="dxa"/>
            <w:vAlign w:val="center"/>
          </w:tcPr>
          <w:p w14:paraId="62FF3432">
            <w:pPr>
              <w:jc w:val="center"/>
              <w:rPr>
                <w:rFonts w:hint="default"/>
                <w:vertAlign w:val="baseline"/>
                <w:lang w:val="en-US" w:eastAsia="zh-CN"/>
              </w:rPr>
            </w:pPr>
            <w:r>
              <w:rPr>
                <w:rFonts w:hint="default"/>
                <w:vertAlign w:val="baseline"/>
                <w:lang w:val="en-US" w:eastAsia="zh-CN"/>
              </w:rPr>
              <w:t>2.7%</w:t>
            </w:r>
          </w:p>
        </w:tc>
        <w:tc>
          <w:tcPr>
            <w:tcW w:w="1736" w:type="dxa"/>
            <w:vAlign w:val="center"/>
          </w:tcPr>
          <w:p w14:paraId="056AAFDF">
            <w:pPr>
              <w:jc w:val="center"/>
              <w:rPr>
                <w:rFonts w:hint="default"/>
                <w:vertAlign w:val="baseline"/>
                <w:lang w:val="en-US" w:eastAsia="zh-CN"/>
              </w:rPr>
            </w:pPr>
            <w:r>
              <w:rPr>
                <w:rFonts w:hint="default"/>
                <w:vertAlign w:val="baseline"/>
                <w:lang w:val="en-US" w:eastAsia="zh-CN"/>
              </w:rPr>
              <w:t>优秀</w:t>
            </w:r>
          </w:p>
        </w:tc>
      </w:tr>
      <w:tr w14:paraId="4B19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970" w:type="dxa"/>
            <w:vAlign w:val="center"/>
          </w:tcPr>
          <w:p w14:paraId="065F8547">
            <w:pPr>
              <w:jc w:val="center"/>
              <w:rPr>
                <w:rFonts w:hint="default"/>
                <w:vertAlign w:val="baseline"/>
                <w:lang w:val="en-US" w:eastAsia="zh-CN"/>
              </w:rPr>
            </w:pPr>
            <w:r>
              <w:rPr>
                <w:rFonts w:hint="default"/>
                <w:vertAlign w:val="baseline"/>
                <w:lang w:val="en-US" w:eastAsia="zh-CN"/>
              </w:rPr>
              <w:t>抗拉强度（MPa）</w:t>
            </w:r>
          </w:p>
        </w:tc>
        <w:tc>
          <w:tcPr>
            <w:tcW w:w="1579" w:type="dxa"/>
            <w:vAlign w:val="center"/>
          </w:tcPr>
          <w:p w14:paraId="625E394F">
            <w:pPr>
              <w:jc w:val="center"/>
              <w:rPr>
                <w:rFonts w:hint="default"/>
                <w:vertAlign w:val="baseline"/>
                <w:lang w:val="en-US" w:eastAsia="zh-CN"/>
              </w:rPr>
            </w:pPr>
            <w:r>
              <w:rPr>
                <w:rFonts w:hint="default"/>
                <w:vertAlign w:val="baseline"/>
                <w:lang w:val="en-US" w:eastAsia="zh-CN"/>
              </w:rPr>
              <w:t>879.9</w:t>
            </w:r>
          </w:p>
        </w:tc>
        <w:tc>
          <w:tcPr>
            <w:tcW w:w="1666" w:type="dxa"/>
            <w:vAlign w:val="center"/>
          </w:tcPr>
          <w:p w14:paraId="1671AD0F">
            <w:pPr>
              <w:jc w:val="center"/>
              <w:rPr>
                <w:rFonts w:hint="default"/>
                <w:vertAlign w:val="baseline"/>
                <w:lang w:val="en-US" w:eastAsia="zh-CN"/>
              </w:rPr>
            </w:pPr>
            <w:r>
              <w:rPr>
                <w:rFonts w:hint="default"/>
                <w:vertAlign w:val="baseline"/>
                <w:lang w:val="en-US" w:eastAsia="zh-CN"/>
              </w:rPr>
              <w:t>23.1</w:t>
            </w:r>
          </w:p>
        </w:tc>
        <w:tc>
          <w:tcPr>
            <w:tcW w:w="1770" w:type="dxa"/>
            <w:vAlign w:val="center"/>
          </w:tcPr>
          <w:p w14:paraId="3BF98A1D">
            <w:pPr>
              <w:jc w:val="center"/>
              <w:rPr>
                <w:rFonts w:hint="default"/>
                <w:vertAlign w:val="baseline"/>
                <w:lang w:val="en-US" w:eastAsia="zh-CN"/>
              </w:rPr>
            </w:pPr>
            <w:r>
              <w:rPr>
                <w:rFonts w:hint="default"/>
                <w:vertAlign w:val="baseline"/>
                <w:lang w:val="en-US" w:eastAsia="zh-CN"/>
              </w:rPr>
              <w:t>2.6%</w:t>
            </w:r>
          </w:p>
        </w:tc>
        <w:tc>
          <w:tcPr>
            <w:tcW w:w="1736" w:type="dxa"/>
            <w:vAlign w:val="center"/>
          </w:tcPr>
          <w:p w14:paraId="784CCE2D">
            <w:pPr>
              <w:jc w:val="center"/>
              <w:rPr>
                <w:rFonts w:hint="default"/>
                <w:vertAlign w:val="baseline"/>
                <w:lang w:val="en-US" w:eastAsia="zh-CN"/>
              </w:rPr>
            </w:pPr>
            <w:r>
              <w:rPr>
                <w:rFonts w:hint="default"/>
                <w:vertAlign w:val="baseline"/>
                <w:lang w:val="en-US" w:eastAsia="zh-CN"/>
              </w:rPr>
              <w:t>优秀</w:t>
            </w:r>
          </w:p>
        </w:tc>
      </w:tr>
      <w:tr w14:paraId="1B90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970" w:type="dxa"/>
            <w:vAlign w:val="center"/>
          </w:tcPr>
          <w:p w14:paraId="39E403FE">
            <w:pPr>
              <w:jc w:val="center"/>
              <w:rPr>
                <w:rFonts w:hint="default"/>
                <w:vertAlign w:val="baseline"/>
                <w:lang w:val="en-US" w:eastAsia="zh-CN"/>
              </w:rPr>
            </w:pPr>
            <w:r>
              <w:rPr>
                <w:rFonts w:hint="default"/>
                <w:vertAlign w:val="baseline"/>
                <w:lang w:val="en-US" w:eastAsia="zh-CN"/>
              </w:rPr>
              <w:t>断裂伸长率（%）</w:t>
            </w:r>
          </w:p>
        </w:tc>
        <w:tc>
          <w:tcPr>
            <w:tcW w:w="1579" w:type="dxa"/>
            <w:vAlign w:val="center"/>
          </w:tcPr>
          <w:p w14:paraId="6F547D2B">
            <w:pPr>
              <w:jc w:val="center"/>
              <w:rPr>
                <w:rFonts w:hint="default"/>
                <w:vertAlign w:val="baseline"/>
                <w:lang w:val="en-US" w:eastAsia="zh-CN"/>
              </w:rPr>
            </w:pPr>
            <w:r>
              <w:rPr>
                <w:rFonts w:hint="default"/>
                <w:vertAlign w:val="baseline"/>
                <w:lang w:val="en-US" w:eastAsia="zh-CN"/>
              </w:rPr>
              <w:t>11.3</w:t>
            </w:r>
          </w:p>
        </w:tc>
        <w:tc>
          <w:tcPr>
            <w:tcW w:w="1666" w:type="dxa"/>
            <w:vAlign w:val="center"/>
          </w:tcPr>
          <w:p w14:paraId="3E76E6E7">
            <w:pPr>
              <w:jc w:val="center"/>
              <w:rPr>
                <w:rFonts w:hint="default"/>
                <w:vertAlign w:val="baseline"/>
                <w:lang w:val="en-US" w:eastAsia="zh-CN"/>
              </w:rPr>
            </w:pPr>
            <w:r>
              <w:rPr>
                <w:rFonts w:ascii="宋体" w:hAnsi="宋体" w:eastAsia="宋体" w:cs="宋体"/>
                <w:sz w:val="24"/>
                <w:szCs w:val="24"/>
              </w:rPr>
              <w:t>2.4</w:t>
            </w:r>
          </w:p>
        </w:tc>
        <w:tc>
          <w:tcPr>
            <w:tcW w:w="1770" w:type="dxa"/>
            <w:vAlign w:val="center"/>
          </w:tcPr>
          <w:p w14:paraId="13306951">
            <w:pPr>
              <w:jc w:val="center"/>
              <w:rPr>
                <w:rFonts w:hint="default"/>
                <w:vertAlign w:val="baseline"/>
                <w:lang w:val="en-US" w:eastAsia="zh-CN"/>
              </w:rPr>
            </w:pPr>
            <w:r>
              <w:rPr>
                <w:rFonts w:hint="default"/>
                <w:vertAlign w:val="baseline"/>
                <w:lang w:val="en-US" w:eastAsia="zh-CN"/>
              </w:rPr>
              <w:t>21.2%</w:t>
            </w:r>
          </w:p>
        </w:tc>
        <w:tc>
          <w:tcPr>
            <w:tcW w:w="1736" w:type="dxa"/>
            <w:vAlign w:val="center"/>
          </w:tcPr>
          <w:p w14:paraId="1DC1F28C">
            <w:pPr>
              <w:jc w:val="center"/>
              <w:rPr>
                <w:rFonts w:hint="default"/>
                <w:vertAlign w:val="baseline"/>
                <w:lang w:val="en-US" w:eastAsia="zh-CN"/>
              </w:rPr>
            </w:pPr>
            <w:r>
              <w:rPr>
                <w:rFonts w:hint="default"/>
                <w:vertAlign w:val="baseline"/>
                <w:lang w:val="en-US" w:eastAsia="zh-CN"/>
              </w:rPr>
              <w:t>存在差异</w:t>
            </w:r>
          </w:p>
        </w:tc>
      </w:tr>
    </w:tbl>
    <w:p w14:paraId="786F26BD">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rPr>
        <w:t>屈服强度：各家单位平均值分别为757.3MPa（钢铁研究总院）、771.0MPa（国标公司）、724.5MPa（中南大学），整体平均值755.4MPa，变异系数仅2.7%，数据离散度小，一致性优秀；</w:t>
      </w:r>
    </w:p>
    <w:p w14:paraId="670E8FFE">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rPr>
        <w:t>抗拉强度：各家单位平均值分别为879.0MPa（钢铁研究总院）、885.0MPa（国标公司）、857.0MPa（中南大学），整体平均值879.9MPa，变异系数2.6%，远低于行业5%的可接受阈值，表明标准规定的测试体系能有效控制系统误差，保证数据准确性；</w:t>
      </w:r>
    </w:p>
    <w:p w14:paraId="1866CDBD">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rPr>
        <w:t>断裂伸长率：数据差异显著，主要源于拉伸速度差异——采用1.5mm/min（标准推荐值）的两家单位，断裂伸长率平均值分别为11.8%（钢铁研究总院）、13.2%（国标公司），而采用1mm/min的中南大学有效试样平均值仅8.6%，验证了“拉伸速度对塑性指标（断裂伸长率）有显著影响”的规律，需在标准中明确“推荐拉伸速度为 1.5mm/min”，并要求测试单位统一遵循。</w:t>
      </w:r>
    </w:p>
    <w:p w14:paraId="598E8D82">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4</w:t>
      </w:r>
      <w:r>
        <w:rPr>
          <w:rFonts w:hint="eastAsia"/>
          <w:lang w:eastAsia="zh-CN"/>
        </w:rPr>
        <w:t>）</w:t>
      </w:r>
      <w:r>
        <w:rPr>
          <w:rFonts w:hint="eastAsia"/>
        </w:rPr>
        <w:t>单位间数据可比性验证：</w:t>
      </w:r>
    </w:p>
    <w:p w14:paraId="197547C6">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rPr>
        <w:t>钢铁研究总院与国标公司采用相同拉伸速度（1.5mm/min），其屈服强度、抗拉强度、断裂伸长率的平均值差异分别仅为1.8%、0.7%、10.6%，剔除塑性指标的速度敏感性影响后，强度指标的单位间差异极小，表明标准规定的试样制备和测试方法能有效保证不同实验室间数据的可比性，为行业统一测试提供了可靠依据。</w:t>
      </w:r>
    </w:p>
    <w:p w14:paraId="1AF8261D">
      <w:pPr>
        <w:pStyle w:val="4"/>
        <w:spacing w:before="156" w:after="156"/>
      </w:pPr>
      <w:r>
        <w:rPr>
          <w:rFonts w:hint="eastAsia"/>
        </w:rPr>
        <w:t>试验小结</w:t>
      </w:r>
    </w:p>
    <w:p w14:paraId="6CC70FDD">
      <w:pPr>
        <w:ind w:firstLine="420" w:firstLineChars="200"/>
        <w:rPr>
          <w:rFonts w:hint="eastAsia"/>
        </w:rPr>
      </w:pPr>
      <w:r>
        <w:rPr>
          <w:rFonts w:hint="eastAsia"/>
        </w:rPr>
        <w:t>本次联合验证试验覆盖3家权威测试单位，共完成9个机械加工圆头拉伸试样（图6型）的拉伸测试，完整记录了各家单位的原始试验数据，8个有效数据的统计分析结果表明：</w:t>
      </w:r>
    </w:p>
    <w:p w14:paraId="4AEDD120">
      <w:pPr>
        <w:ind w:firstLine="420" w:firstLineChars="200"/>
        <w:rPr>
          <w:rFonts w:hint="eastAsia"/>
        </w:rPr>
      </w:pPr>
      <w:r>
        <w:rPr>
          <w:rFonts w:hint="eastAsia"/>
          <w:lang w:val="en-US" w:eastAsia="zh-CN"/>
        </w:rPr>
        <w:t>1</w:t>
      </w:r>
      <w:r>
        <w:rPr>
          <w:rFonts w:hint="eastAsia"/>
          <w:lang w:eastAsia="zh-CN"/>
        </w:rPr>
        <w:t>）</w:t>
      </w:r>
      <w:r>
        <w:rPr>
          <w:rFonts w:hint="eastAsia"/>
        </w:rPr>
        <w:t>GB/T 7963—202× 标准中机械加工圆头拉伸试样（图6型）的尺寸设计合理、测试方法可行，能满足烧结金属材料的拉伸性能测试需求，且能保证不同实验室间强度指标的可比性；</w:t>
      </w:r>
    </w:p>
    <w:p w14:paraId="5D355A7C">
      <w:pPr>
        <w:ind w:firstLine="420" w:firstLineChars="200"/>
        <w:rPr>
          <w:rFonts w:hint="eastAsia" w:eastAsia="宋体"/>
          <w:lang w:eastAsia="zh-CN"/>
        </w:rPr>
      </w:pPr>
      <w:r>
        <w:rPr>
          <w:rFonts w:hint="eastAsia"/>
          <w:lang w:val="en-US" w:eastAsia="zh-CN"/>
        </w:rPr>
        <w:t>2</w:t>
      </w:r>
      <w:r>
        <w:rPr>
          <w:rFonts w:hint="eastAsia"/>
          <w:lang w:eastAsia="zh-CN"/>
        </w:rPr>
        <w:t>）</w:t>
      </w:r>
      <w:r>
        <w:rPr>
          <w:rFonts w:hint="eastAsia"/>
        </w:rPr>
        <w:t>核心力学指标（抗拉强度、屈服强度）数据一致性优秀（变异系数均＜3%），验证了标准对测试结果准确性的保障作用</w:t>
      </w:r>
      <w:r>
        <w:rPr>
          <w:rFonts w:hint="eastAsia"/>
          <w:lang w:eastAsia="zh-CN"/>
        </w:rPr>
        <w:t>。</w:t>
      </w:r>
    </w:p>
    <w:p w14:paraId="7616B2B2">
      <w:pPr>
        <w:pStyle w:val="2"/>
        <w:spacing w:before="312" w:after="312"/>
      </w:pPr>
      <w:r>
        <w:t>标准中涉及专利的情况</w:t>
      </w:r>
    </w:p>
    <w:p w14:paraId="5FD24FD2">
      <w:pPr>
        <w:widowControl w:val="0"/>
        <w:ind w:firstLine="420" w:firstLineChars="200"/>
        <w:jc w:val="both"/>
        <w:rPr>
          <w:szCs w:val="21"/>
        </w:rPr>
      </w:pPr>
      <w:r>
        <w:rPr>
          <w:szCs w:val="21"/>
        </w:rPr>
        <w:t>本文件不涉及专利。</w:t>
      </w:r>
    </w:p>
    <w:p w14:paraId="224D208E">
      <w:pPr>
        <w:pStyle w:val="2"/>
        <w:spacing w:before="312" w:after="312"/>
      </w:pPr>
      <w:r>
        <w:t>标准预期达到的社会效益</w:t>
      </w:r>
    </w:p>
    <w:p w14:paraId="03E6A555">
      <w:pPr>
        <w:ind w:firstLine="420" w:firstLineChars="200"/>
      </w:pPr>
      <w:r>
        <w:rPr>
          <w:rFonts w:hint="cs"/>
        </w:rPr>
        <w:t>本标准等同采用ISO 2740:2023，实现了我国烧结金属材料拉伸试样标准与国际先进标准的全面接轨，有利于消除国际贸易中的技术壁垒，提升我国相关产品的国际竞争力</w:t>
      </w:r>
      <w:r>
        <w:rPr>
          <w:rFonts w:hint="eastAsia"/>
          <w:lang w:eastAsia="zh-CN"/>
        </w:rPr>
        <w:t>。标准明确了不同工艺、不同类型材料的拉伸试样制备要求和测试依据，统一了行业测试方法，有效解决了原有标准适用范围有限、技术内容滞后等问题，避免因试样不规范导致的测试数据失真，保障了市场交易和技术交流的公正性。标准新增了针对高强度、热处理态材料的试样类型和相关要求，为该类新型材料的研发、性能评价提供了标准化支撑，助力行业技术升级和产品结构优化。标准化的试样制备和测试方法可减少企业因测试方法不统一导致的重复试验、资源浪费，提高检测效率，降低生产成本和技术创新成本。</w:t>
      </w:r>
      <w:r>
        <w:rPr>
          <w:rFonts w:hint="cs"/>
        </w:rPr>
        <w:t>‌</w:t>
      </w:r>
    </w:p>
    <w:p w14:paraId="426154C4">
      <w:pPr>
        <w:pStyle w:val="2"/>
        <w:spacing w:before="312" w:after="312"/>
      </w:pPr>
      <w:r>
        <w:t>采用国际标准和国外先进标准的情况</w:t>
      </w:r>
    </w:p>
    <w:p w14:paraId="2AFDC775">
      <w:pPr>
        <w:widowControl w:val="0"/>
        <w:ind w:firstLine="420" w:firstLineChars="200"/>
        <w:jc w:val="both"/>
        <w:rPr>
          <w:rFonts w:hint="eastAsia"/>
          <w:szCs w:val="21"/>
        </w:rPr>
      </w:pPr>
      <w:r>
        <w:rPr>
          <w:rFonts w:hint="eastAsia"/>
          <w:szCs w:val="21"/>
        </w:rPr>
        <w:t>本文件使用翻译法等同采用ISO 2740:2023。</w:t>
      </w:r>
    </w:p>
    <w:p w14:paraId="64D9AEB1">
      <w:pPr>
        <w:pStyle w:val="2"/>
        <w:spacing w:before="312" w:after="312"/>
      </w:pPr>
      <w:r>
        <w:t>与现行法律、法规、强制性国家标准及相关标准协调配套情况</w:t>
      </w:r>
    </w:p>
    <w:p w14:paraId="0E0F9851">
      <w:pPr>
        <w:widowControl w:val="0"/>
        <w:ind w:firstLine="420" w:firstLineChars="200"/>
        <w:jc w:val="both"/>
        <w:rPr>
          <w:szCs w:val="21"/>
        </w:rPr>
      </w:pPr>
      <w:r>
        <w:rPr>
          <w:szCs w:val="21"/>
        </w:rPr>
        <w:t>本文件与有关的现行法律、法规和强制性国家标准没有冲突。</w:t>
      </w:r>
    </w:p>
    <w:p w14:paraId="206632B3">
      <w:pPr>
        <w:widowControl w:val="0"/>
        <w:ind w:firstLine="420" w:firstLineChars="200"/>
        <w:jc w:val="both"/>
        <w:rPr>
          <w:szCs w:val="21"/>
        </w:rPr>
      </w:pPr>
      <w:r>
        <w:rPr>
          <w:rFonts w:hint="eastAsia"/>
          <w:szCs w:val="21"/>
        </w:rPr>
        <w:t>本文件与GB/T 228.1-2021《金属材料 拉伸试验 第1部分 室温试验方法》（ISO 6892-1:2019，MOD）、GB/T 16825.1-2022《金属材料 静力单轴试验机的检验与校准 第1部分：拉力和（或）压力试验机 测力系统的检验与校准》（ISO 7500-1:2018，IDT）等相关标准协调配套，形成了完整的烧结金属材料拉伸性能测试标准体系，确保了测试过程的规范性和测试结果的准确性。</w:t>
      </w:r>
    </w:p>
    <w:p w14:paraId="07531101">
      <w:pPr>
        <w:pStyle w:val="2"/>
        <w:spacing w:before="312" w:after="312"/>
      </w:pPr>
      <w:r>
        <w:t>重大分歧意见的处理经过和依据</w:t>
      </w:r>
    </w:p>
    <w:p w14:paraId="18C001F9">
      <w:pPr>
        <w:widowControl w:val="0"/>
        <w:ind w:firstLine="420" w:firstLineChars="200"/>
        <w:jc w:val="both"/>
        <w:rPr>
          <w:b/>
          <w:bCs/>
          <w:szCs w:val="21"/>
        </w:rPr>
      </w:pPr>
      <w:r>
        <w:rPr>
          <w:szCs w:val="21"/>
        </w:rPr>
        <w:t>无。</w:t>
      </w:r>
    </w:p>
    <w:p w14:paraId="19186030">
      <w:pPr>
        <w:pStyle w:val="2"/>
        <w:spacing w:before="312" w:after="312"/>
      </w:pPr>
      <w:r>
        <w:t>标准作为强制性或推荐性标准的建议</w:t>
      </w:r>
    </w:p>
    <w:p w14:paraId="572EC3CA">
      <w:pPr>
        <w:widowControl w:val="0"/>
        <w:ind w:firstLine="420" w:firstLineChars="200"/>
        <w:jc w:val="both"/>
        <w:rPr>
          <w:szCs w:val="21"/>
        </w:rPr>
      </w:pPr>
      <w:r>
        <w:rPr>
          <w:szCs w:val="21"/>
        </w:rPr>
        <w:t>建议本文件为推荐性国家标准，供相关组织参考采用。</w:t>
      </w:r>
    </w:p>
    <w:p w14:paraId="3819F89F">
      <w:pPr>
        <w:pStyle w:val="2"/>
        <w:spacing w:before="312" w:after="312"/>
      </w:pPr>
      <w:r>
        <w:t>贯彻标准的要求和措施建议</w:t>
      </w:r>
    </w:p>
    <w:p w14:paraId="5763B63D">
      <w:pPr>
        <w:widowControl w:val="0"/>
        <w:ind w:firstLine="420" w:firstLineChars="200"/>
        <w:jc w:val="both"/>
        <w:rPr>
          <w:rFonts w:hint="eastAsia"/>
          <w:szCs w:val="21"/>
          <w:lang w:val="en-US" w:eastAsia="zh-CN"/>
        </w:rPr>
      </w:pPr>
      <w:r>
        <w:rPr>
          <w:rFonts w:hint="eastAsia"/>
          <w:szCs w:val="21"/>
          <w:lang w:val="en-US" w:eastAsia="zh-CN"/>
        </w:rPr>
        <w:t>组织行业内企业、检测机构开展标准宣贯，解读技术变化与实施要点；督促测试单位按ISO 7500-1校准设备，确保满足1级要求；选择重点企业开展试点，总结实施经验并推广；建立行业共享数据库，收集不同材质（如316L、45#、特种合金）、不同工艺（压制烧结、金属注射成型、机械加工）的拉伸试验典型数据，供企业参考对比，提升数据可比性。按标准要求改造模具（如新增图3型模具适配高强度材料），更新测量工具（确保精度≥0.01mm），对生产、质检人员开展专项培训（重点掌握新增试样形状的制备工艺、标距标记方法）；完成拉伸试验机校准（确保符合ISO 7500-1 1级要求），更换与新标准试样匹配的夹具（如机械加工试样的可拆分夹头），组织检测人员参加标准宣贯培训并考核，考核合格后方可上岗。建立试样全流程追溯体系，严格按标准要求进行试样标识（包含材质、密度、尺寸、状态等9</w:t>
      </w:r>
      <w:bookmarkStart w:id="0" w:name="_GoBack"/>
      <w:bookmarkEnd w:id="0"/>
      <w:r>
        <w:rPr>
          <w:rFonts w:hint="eastAsia"/>
          <w:szCs w:val="21"/>
          <w:lang w:val="en-US" w:eastAsia="zh-CN"/>
        </w:rPr>
        <w:t>项核心信息），确保每批试样可追溯。制定企业内部标准作业指导书（SOP），明确试样制备、装夹、测试、数据记录的具体步骤，重点规范机械加工试样的表面处理（纵向抛光、无环向划痕）、金属注射成型试样的通孔加工（烧结后钻孔）等关键环节。定期对标准实施情况进行监督，确保测试数据真实可靠。</w:t>
      </w:r>
    </w:p>
    <w:p w14:paraId="27533121">
      <w:pPr>
        <w:pStyle w:val="2"/>
        <w:spacing w:before="312" w:after="312"/>
      </w:pPr>
      <w:r>
        <w:t>废止现行有关标准的建议</w:t>
      </w:r>
    </w:p>
    <w:p w14:paraId="3D909934">
      <w:pPr>
        <w:widowControl w:val="0"/>
        <w:ind w:firstLine="420" w:firstLineChars="200"/>
        <w:jc w:val="both"/>
        <w:rPr>
          <w:b/>
          <w:bCs/>
          <w:szCs w:val="21"/>
        </w:rPr>
      </w:pPr>
      <w:r>
        <w:rPr>
          <w:rFonts w:hint="eastAsia"/>
          <w:szCs w:val="21"/>
        </w:rPr>
        <w:t xml:space="preserve">本文件是对GB/T </w:t>
      </w:r>
      <w:r>
        <w:rPr>
          <w:rFonts w:hint="eastAsia"/>
          <w:szCs w:val="21"/>
          <w:lang w:val="en-US" w:eastAsia="zh-CN"/>
        </w:rPr>
        <w:t>7963</w:t>
      </w:r>
      <w:r>
        <w:rPr>
          <w:rFonts w:hint="eastAsia"/>
          <w:szCs w:val="21"/>
        </w:rPr>
        <w:t xml:space="preserve">-2015的修订，在本文件实施后，同时应将GB/T </w:t>
      </w:r>
      <w:r>
        <w:rPr>
          <w:rFonts w:hint="eastAsia"/>
          <w:szCs w:val="21"/>
          <w:lang w:val="en-US" w:eastAsia="zh-CN"/>
        </w:rPr>
        <w:t>7963</w:t>
      </w:r>
      <w:r>
        <w:rPr>
          <w:rFonts w:hint="eastAsia"/>
          <w:szCs w:val="21"/>
        </w:rPr>
        <w:t>-2015废止</w:t>
      </w:r>
      <w:r>
        <w:rPr>
          <w:szCs w:val="21"/>
        </w:rPr>
        <w:t>。</w:t>
      </w:r>
    </w:p>
    <w:p w14:paraId="6F522E0A">
      <w:pPr>
        <w:widowControl w:val="0"/>
        <w:spacing w:before="312" w:beforeLines="100" w:after="312" w:afterLines="100"/>
        <w:jc w:val="both"/>
        <w:outlineLvl w:val="0"/>
        <w:rPr>
          <w:b/>
          <w:bCs/>
          <w:szCs w:val="21"/>
        </w:rPr>
      </w:pPr>
      <w:r>
        <w:rPr>
          <w:rFonts w:hint="eastAsia"/>
          <w:b/>
          <w:bCs/>
          <w:szCs w:val="21"/>
        </w:rPr>
        <w:t>十二、</w:t>
      </w:r>
      <w:r>
        <w:rPr>
          <w:b/>
          <w:bCs/>
          <w:szCs w:val="21"/>
        </w:rPr>
        <w:t>其他应予说明的事项</w:t>
      </w:r>
    </w:p>
    <w:p w14:paraId="06DC7543">
      <w:pPr>
        <w:widowControl w:val="0"/>
        <w:ind w:firstLine="420" w:firstLineChars="200"/>
        <w:jc w:val="both"/>
        <w:rPr>
          <w:rFonts w:hint="eastAsia"/>
          <w:szCs w:val="21"/>
        </w:rPr>
      </w:pPr>
      <w:r>
        <w:rPr>
          <w:szCs w:val="21"/>
        </w:rPr>
        <w:t>无。</w:t>
      </w:r>
    </w:p>
    <w:p w14:paraId="071943BD">
      <w:pPr>
        <w:widowControl w:val="0"/>
        <w:jc w:val="right"/>
        <w:rPr>
          <w:szCs w:val="21"/>
        </w:rPr>
      </w:pPr>
      <w:r>
        <w:rPr>
          <w:szCs w:val="21"/>
        </w:rPr>
        <w:t>《</w:t>
      </w:r>
      <w:r>
        <w:rPr>
          <w:rFonts w:hint="eastAsia"/>
          <w:szCs w:val="21"/>
        </w:rPr>
        <w:t>烧结金属材料(不包括硬质合金)拉伸试样</w:t>
      </w:r>
      <w:r>
        <w:rPr>
          <w:szCs w:val="21"/>
        </w:rPr>
        <w:t>》</w:t>
      </w:r>
      <w:r>
        <w:rPr>
          <w:rFonts w:hint="eastAsia"/>
          <w:szCs w:val="21"/>
        </w:rPr>
        <w:t>标准</w:t>
      </w:r>
      <w:r>
        <w:rPr>
          <w:szCs w:val="21"/>
        </w:rPr>
        <w:t>编制组</w:t>
      </w:r>
    </w:p>
    <w:p w14:paraId="6F4855DE">
      <w:pPr>
        <w:widowControl w:val="0"/>
        <w:jc w:val="both"/>
        <w:rPr>
          <w:szCs w:val="21"/>
        </w:rPr>
      </w:pPr>
      <w:r>
        <w:rPr>
          <w:szCs w:val="21"/>
        </w:rPr>
        <w:t xml:space="preserve">                                                                        202</w:t>
      </w:r>
      <w:r>
        <w:rPr>
          <w:rFonts w:hint="eastAsia"/>
          <w:szCs w:val="21"/>
          <w:lang w:val="en-US" w:eastAsia="zh-CN"/>
        </w:rPr>
        <w:t>6</w:t>
      </w:r>
      <w:r>
        <w:rPr>
          <w:szCs w:val="21"/>
        </w:rPr>
        <w:t>年</w:t>
      </w:r>
      <w:r>
        <w:rPr>
          <w:rFonts w:hint="eastAsia"/>
          <w:szCs w:val="21"/>
          <w:lang w:val="en-US" w:eastAsia="zh-CN"/>
        </w:rPr>
        <w:t>1</w:t>
      </w:r>
      <w:r>
        <w:rPr>
          <w:szCs w:val="21"/>
        </w:rPr>
        <w:t>月</w:t>
      </w:r>
      <w:r>
        <w:rPr>
          <w:rFonts w:hint="eastAsia"/>
          <w:szCs w:val="21"/>
        </w:rPr>
        <w:t>13日</w:t>
      </w:r>
    </w:p>
    <w:sectPr>
      <w:footerReference r:id="rId6" w:type="default"/>
      <w:footerReference r:id="rId7" w:type="even"/>
      <w:pgSz w:w="11906" w:h="16838"/>
      <w:pgMar w:top="1134" w:right="851" w:bottom="1134" w:left="1134" w:header="851" w:footer="992" w:gutter="284"/>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G Times (W1)">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imesNewRomanPSMT">
    <w:altName w:val="Times New Roman"/>
    <w:panose1 w:val="00000000000000000000"/>
    <w:charset w:val="00"/>
    <w:family w:val="roma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D9EA2">
    <w:pPr>
      <w:pStyle w:val="16"/>
      <w:framePr w:wrap="around" w:vAnchor="text" w:hAnchor="margin" w:xAlign="center" w:y="1"/>
      <w:rPr>
        <w:rStyle w:val="24"/>
      </w:rPr>
    </w:pPr>
    <w:r>
      <w:fldChar w:fldCharType="begin"/>
    </w:r>
    <w:r>
      <w:rPr>
        <w:rStyle w:val="24"/>
      </w:rPr>
      <w:instrText xml:space="preserve">PAGE  </w:instrText>
    </w:r>
    <w:r>
      <w:fldChar w:fldCharType="separate"/>
    </w:r>
    <w:r>
      <w:rPr>
        <w:rStyle w:val="24"/>
      </w:rPr>
      <w:t>2</w:t>
    </w:r>
    <w:r>
      <w:fldChar w:fldCharType="end"/>
    </w:r>
  </w:p>
  <w:p w14:paraId="747B6FD6">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5250409"/>
      <w:docPartObj>
        <w:docPartGallery w:val="autotext"/>
      </w:docPartObj>
    </w:sdtPr>
    <w:sdtContent>
      <w:p w14:paraId="6DCFB5E5">
        <w:pPr>
          <w:pStyle w:val="16"/>
          <w:jc w:val="center"/>
        </w:pPr>
        <w:r>
          <w:fldChar w:fldCharType="begin"/>
        </w:r>
        <w:r>
          <w:instrText xml:space="preserve">PAGE   \* MERGEFORMAT</w:instrText>
        </w:r>
        <w:r>
          <w:fldChar w:fldCharType="separate"/>
        </w:r>
        <w:r>
          <w:rPr>
            <w:lang w:val="zh-CN"/>
          </w:rPr>
          <w:t>2</w:t>
        </w:r>
        <w:r>
          <w:fldChar w:fldCharType="end"/>
        </w:r>
      </w:p>
    </w:sdtContent>
  </w:sdt>
  <w:p w14:paraId="36951865">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63CAF">
    <w:pPr>
      <w:pStyle w:val="16"/>
      <w:framePr w:wrap="around" w:vAnchor="text" w:hAnchor="margin" w:xAlign="right" w:y="1"/>
      <w:rPr>
        <w:rStyle w:val="24"/>
      </w:rPr>
    </w:pPr>
    <w:r>
      <w:fldChar w:fldCharType="begin"/>
    </w:r>
    <w:r>
      <w:rPr>
        <w:rStyle w:val="24"/>
      </w:rPr>
      <w:instrText xml:space="preserve">PAGE  </w:instrText>
    </w:r>
    <w:r>
      <w:fldChar w:fldCharType="end"/>
    </w:r>
  </w:p>
  <w:p w14:paraId="5232C7A9">
    <w:pPr>
      <w:pStyle w:val="1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2192A"/>
    <w:multiLevelType w:val="multilevel"/>
    <w:tmpl w:val="04D2192A"/>
    <w:lvl w:ilvl="0" w:tentative="0">
      <w:start w:val="1"/>
      <w:numFmt w:val="decimal"/>
      <w:pStyle w:val="2"/>
      <w:lvlText w:val="%1"/>
      <w:lvlJc w:val="left"/>
      <w:pPr>
        <w:ind w:left="432" w:hanging="432"/>
      </w:pPr>
      <w:rPr>
        <w:rFonts w:ascii="黑体" w:hAnsi="黑体" w:eastAsia="黑体"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1" w:tentative="0">
      <w:start w:val="1"/>
      <w:numFmt w:val="decimal"/>
      <w:pStyle w:val="3"/>
      <w:lvlText w:val="%1.%2"/>
      <w:lvlJc w:val="left"/>
      <w:pPr>
        <w:ind w:left="576" w:hanging="576"/>
      </w:pPr>
      <w:rPr>
        <w:rFonts w:ascii="黑体" w:hAnsi="黑体" w:eastAsia="黑体"/>
      </w:rPr>
    </w:lvl>
    <w:lvl w:ilvl="2" w:tentative="0">
      <w:start w:val="1"/>
      <w:numFmt w:val="decimal"/>
      <w:pStyle w:val="4"/>
      <w:lvlText w:val="%1.%2.%3"/>
      <w:lvlJc w:val="left"/>
      <w:pPr>
        <w:ind w:left="720" w:hanging="720"/>
      </w:pPr>
      <w:rPr>
        <w:rFonts w:ascii="黑体" w:hAnsi="黑体" w:eastAsia="黑体"/>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
    <w:nsid w:val="18CA2847"/>
    <w:multiLevelType w:val="multilevel"/>
    <w:tmpl w:val="18CA2847"/>
    <w:lvl w:ilvl="0" w:tentative="0">
      <w:start w:val="1"/>
      <w:numFmt w:val="lowerLetter"/>
      <w:pStyle w:val="45"/>
      <w:lvlText w:val="%1、"/>
      <w:lvlJc w:val="left"/>
      <w:pPr>
        <w:tabs>
          <w:tab w:val="left" w:pos="340"/>
        </w:tabs>
        <w:ind w:left="34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A207D40"/>
    <w:multiLevelType w:val="multilevel"/>
    <w:tmpl w:val="4A207D40"/>
    <w:lvl w:ilvl="0" w:tentative="0">
      <w:start w:val="1"/>
      <w:numFmt w:val="decimal"/>
      <w:pStyle w:val="62"/>
      <w:lvlText w:val="2.3.%1"/>
      <w:lvlJc w:val="left"/>
      <w:pPr>
        <w:tabs>
          <w:tab w:val="left" w:pos="1960"/>
        </w:tabs>
        <w:ind w:left="19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46260FA"/>
    <w:multiLevelType w:val="multilevel"/>
    <w:tmpl w:val="646260FA"/>
    <w:lvl w:ilvl="0" w:tentative="0">
      <w:start w:val="1"/>
      <w:numFmt w:val="decimal"/>
      <w:pStyle w:val="42"/>
      <w:suff w:val="nothing"/>
      <w:lvlText w:val="表%1　"/>
      <w:lvlJc w:val="left"/>
      <w:pPr>
        <w:ind w:left="2693" w:firstLine="0"/>
      </w:pPr>
      <w:rPr>
        <w:rFonts w:hint="eastAsia" w:ascii="黑体" w:hAnsi="Times New Roman" w:eastAsia="黑体"/>
        <w:b w:val="0"/>
        <w:i w:val="0"/>
        <w:sz w:val="21"/>
        <w:lang w:val="en-US"/>
      </w:rPr>
    </w:lvl>
    <w:lvl w:ilvl="1" w:tentative="0">
      <w:start w:val="1"/>
      <w:numFmt w:val="decimal"/>
      <w:lvlText w:val="%1.%2"/>
      <w:lvlJc w:val="left"/>
      <w:pPr>
        <w:tabs>
          <w:tab w:val="left" w:pos="-410"/>
        </w:tabs>
        <w:ind w:left="-410" w:hanging="567"/>
      </w:pPr>
      <w:rPr>
        <w:rFonts w:hint="eastAsia"/>
      </w:rPr>
    </w:lvl>
    <w:lvl w:ilvl="2" w:tentative="0">
      <w:start w:val="1"/>
      <w:numFmt w:val="decimal"/>
      <w:lvlText w:val="%1.%2.%3"/>
      <w:lvlJc w:val="left"/>
      <w:pPr>
        <w:tabs>
          <w:tab w:val="left" w:pos="16"/>
        </w:tabs>
        <w:ind w:left="16" w:hanging="567"/>
      </w:pPr>
      <w:rPr>
        <w:rFonts w:hint="eastAsia"/>
      </w:rPr>
    </w:lvl>
    <w:lvl w:ilvl="3" w:tentative="0">
      <w:start w:val="1"/>
      <w:numFmt w:val="decimal"/>
      <w:lvlText w:val="%1.%2.%3.%4"/>
      <w:lvlJc w:val="left"/>
      <w:pPr>
        <w:tabs>
          <w:tab w:val="left" w:pos="582"/>
        </w:tabs>
        <w:ind w:left="582" w:hanging="708"/>
      </w:pPr>
      <w:rPr>
        <w:rFonts w:hint="eastAsia"/>
      </w:rPr>
    </w:lvl>
    <w:lvl w:ilvl="4" w:tentative="0">
      <w:start w:val="1"/>
      <w:numFmt w:val="decimal"/>
      <w:lvlText w:val="%1.%2.%3.%4.%5"/>
      <w:lvlJc w:val="left"/>
      <w:pPr>
        <w:tabs>
          <w:tab w:val="left" w:pos="1149"/>
        </w:tabs>
        <w:ind w:left="1149" w:hanging="850"/>
      </w:pPr>
      <w:rPr>
        <w:rFonts w:hint="eastAsia"/>
      </w:rPr>
    </w:lvl>
    <w:lvl w:ilvl="5" w:tentative="0">
      <w:start w:val="1"/>
      <w:numFmt w:val="decimal"/>
      <w:lvlText w:val="%1.%2.%3.%4.%5.%6"/>
      <w:lvlJc w:val="left"/>
      <w:pPr>
        <w:tabs>
          <w:tab w:val="left" w:pos="1858"/>
        </w:tabs>
        <w:ind w:left="1858" w:hanging="1134"/>
      </w:pPr>
      <w:rPr>
        <w:rFonts w:hint="eastAsia"/>
      </w:rPr>
    </w:lvl>
    <w:lvl w:ilvl="6" w:tentative="0">
      <w:start w:val="1"/>
      <w:numFmt w:val="decimal"/>
      <w:lvlText w:val="%1.%2.%3.%4.%5.%6.%7"/>
      <w:lvlJc w:val="left"/>
      <w:pPr>
        <w:tabs>
          <w:tab w:val="left" w:pos="2425"/>
        </w:tabs>
        <w:ind w:left="2425" w:hanging="1276"/>
      </w:pPr>
      <w:rPr>
        <w:rFonts w:hint="eastAsia"/>
      </w:rPr>
    </w:lvl>
    <w:lvl w:ilvl="7" w:tentative="0">
      <w:start w:val="1"/>
      <w:numFmt w:val="decimal"/>
      <w:lvlText w:val="%1.%2.%3.%4.%5.%6.%7.%8"/>
      <w:lvlJc w:val="left"/>
      <w:pPr>
        <w:tabs>
          <w:tab w:val="left" w:pos="2992"/>
        </w:tabs>
        <w:ind w:left="2992" w:hanging="1418"/>
      </w:pPr>
      <w:rPr>
        <w:rFonts w:hint="eastAsia"/>
      </w:rPr>
    </w:lvl>
    <w:lvl w:ilvl="8" w:tentative="0">
      <w:start w:val="1"/>
      <w:numFmt w:val="decimal"/>
      <w:lvlText w:val="%1.%2.%3.%4.%5.%6.%7.%8.%9"/>
      <w:lvlJc w:val="left"/>
      <w:pPr>
        <w:tabs>
          <w:tab w:val="left" w:pos="3700"/>
        </w:tabs>
        <w:ind w:left="3700" w:hanging="1700"/>
      </w:pPr>
      <w:rPr>
        <w:rFonts w:hint="eastAsia"/>
      </w:rPr>
    </w:lvl>
  </w:abstractNum>
  <w:abstractNum w:abstractNumId="4">
    <w:nsid w:val="657D3FBC"/>
    <w:multiLevelType w:val="multilevel"/>
    <w:tmpl w:val="657D3FBC"/>
    <w:lvl w:ilvl="0" w:tentative="0">
      <w:start w:val="1"/>
      <w:numFmt w:val="upperLetter"/>
      <w:pStyle w:val="59"/>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79324953"/>
    <w:multiLevelType w:val="multilevel"/>
    <w:tmpl w:val="79324953"/>
    <w:lvl w:ilvl="0" w:tentative="0">
      <w:start w:val="1"/>
      <w:numFmt w:val="none"/>
      <w:pStyle w:val="46"/>
      <w:suff w:val="nothing"/>
      <w:lvlText w:val="%1"/>
      <w:lvlJc w:val="left"/>
      <w:pPr>
        <w:ind w:left="0" w:firstLine="0"/>
      </w:pPr>
      <w:rPr>
        <w:rFonts w:hint="default" w:ascii="Times New Roman" w:hAnsi="Times New Roman"/>
        <w:b/>
        <w:bCs/>
        <w:i w:val="0"/>
        <w:iCs w:val="0"/>
        <w:sz w:val="21"/>
        <w:szCs w:val="24"/>
      </w:rPr>
    </w:lvl>
    <w:lvl w:ilvl="1" w:tentative="0">
      <w:start w:val="6"/>
      <w:numFmt w:val="decimal"/>
      <w:pStyle w:val="56"/>
      <w:suff w:val="nothing"/>
      <w:lvlText w:val="%1%2　"/>
      <w:lvlJc w:val="left"/>
      <w:pPr>
        <w:ind w:left="0" w:firstLine="0"/>
      </w:pPr>
      <w:rPr>
        <w:rFonts w:hint="eastAsia" w:ascii="黑体" w:hAnsi="Times New Roman" w:eastAsia="黑体"/>
        <w:b w:val="0"/>
        <w:i w:val="0"/>
        <w:sz w:val="21"/>
        <w:szCs w:val="21"/>
      </w:rPr>
    </w:lvl>
    <w:lvl w:ilvl="2" w:tentative="0">
      <w:start w:val="1"/>
      <w:numFmt w:val="decimal"/>
      <w:lvlRestart w:val="1"/>
      <w:pStyle w:val="43"/>
      <w:suff w:val="nothing"/>
      <w:lvlText w:val="%1%2.%3　"/>
      <w:lvlJc w:val="left"/>
      <w:pPr>
        <w:ind w:left="0" w:firstLine="0"/>
      </w:pPr>
      <w:rPr>
        <w:rFonts w:hint="eastAsia" w:ascii="黑体" w:hAnsi="宋体" w:eastAsia="黑体"/>
        <w:b w:val="0"/>
        <w:i w:val="0"/>
        <w:sz w:val="21"/>
        <w:szCs w:val="21"/>
      </w:rPr>
    </w:lvl>
    <w:lvl w:ilvl="3" w:tentative="0">
      <w:start w:val="1"/>
      <w:numFmt w:val="decimal"/>
      <w:suff w:val="nothing"/>
      <w:lvlText w:val="%1%2.%3.%4　"/>
      <w:lvlJc w:val="left"/>
      <w:pPr>
        <w:ind w:left="0" w:firstLine="0"/>
      </w:pPr>
      <w:rPr>
        <w:rFonts w:hint="eastAsia" w:ascii="黑体" w:hAnsi="宋体" w:eastAsia="黑体"/>
        <w:b w:val="0"/>
        <w:i w:val="0"/>
        <w:sz w:val="21"/>
        <w:szCs w:val="21"/>
      </w:rPr>
    </w:lvl>
    <w:lvl w:ilvl="4" w:tentative="0">
      <w:start w:val="1"/>
      <w:numFmt w:val="decimal"/>
      <w:pStyle w:val="57"/>
      <w:suff w:val="nothing"/>
      <w:lvlText w:val="%1%2.%3.%4.%5　"/>
      <w:lvlJc w:val="left"/>
      <w:pPr>
        <w:ind w:left="0" w:firstLine="0"/>
      </w:pPr>
      <w:rPr>
        <w:rFonts w:hint="eastAsia" w:ascii="黑体" w:hAnsi="Times New Roman" w:eastAsia="黑体"/>
        <w:b w:val="0"/>
        <w:i w:val="0"/>
        <w:sz w:val="21"/>
      </w:rPr>
    </w:lvl>
    <w:lvl w:ilvl="5" w:tentative="0">
      <w:start w:val="0"/>
      <w:numFmt w:val="none"/>
      <w:pStyle w:val="47"/>
      <w:lvlText w:val=""/>
      <w:lvlJc w:val="left"/>
      <w:pPr>
        <w:tabs>
          <w:tab w:val="left" w:pos="360"/>
        </w:tabs>
        <w:ind w:left="0" w:firstLine="0"/>
      </w:pPr>
      <w:rPr>
        <w:rFonts w:hint="eastAsia"/>
      </w:rPr>
    </w:lvl>
    <w:lvl w:ilvl="6" w:tentative="0">
      <w:start w:val="1"/>
      <w:numFmt w:val="decimal"/>
      <w:pStyle w:val="4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5MjlmMmIxNDlmYmM0ZjhhMmJiN2EyODQ3YTZjYWMifQ=="/>
  </w:docVars>
  <w:rsids>
    <w:rsidRoot w:val="00EA2E1D"/>
    <w:rsid w:val="00003F2A"/>
    <w:rsid w:val="00004459"/>
    <w:rsid w:val="0000487E"/>
    <w:rsid w:val="000142EB"/>
    <w:rsid w:val="00026FCA"/>
    <w:rsid w:val="0003004F"/>
    <w:rsid w:val="000471A8"/>
    <w:rsid w:val="000509E1"/>
    <w:rsid w:val="00057AFD"/>
    <w:rsid w:val="00064AAB"/>
    <w:rsid w:val="00066B2D"/>
    <w:rsid w:val="00067005"/>
    <w:rsid w:val="0007395B"/>
    <w:rsid w:val="00074445"/>
    <w:rsid w:val="00077E37"/>
    <w:rsid w:val="000A51D3"/>
    <w:rsid w:val="000A6600"/>
    <w:rsid w:val="000B378E"/>
    <w:rsid w:val="000C1D4A"/>
    <w:rsid w:val="000C2EF6"/>
    <w:rsid w:val="000D0A85"/>
    <w:rsid w:val="000D0CEC"/>
    <w:rsid w:val="000D11B5"/>
    <w:rsid w:val="000D4661"/>
    <w:rsid w:val="000F09E3"/>
    <w:rsid w:val="000F3FE0"/>
    <w:rsid w:val="00101062"/>
    <w:rsid w:val="0010166B"/>
    <w:rsid w:val="00102B52"/>
    <w:rsid w:val="0010323B"/>
    <w:rsid w:val="00105067"/>
    <w:rsid w:val="00112365"/>
    <w:rsid w:val="001152E1"/>
    <w:rsid w:val="00120328"/>
    <w:rsid w:val="001316BF"/>
    <w:rsid w:val="00140011"/>
    <w:rsid w:val="00142D23"/>
    <w:rsid w:val="00145B0A"/>
    <w:rsid w:val="00151EC6"/>
    <w:rsid w:val="00153DA3"/>
    <w:rsid w:val="00160037"/>
    <w:rsid w:val="001609D6"/>
    <w:rsid w:val="001658AF"/>
    <w:rsid w:val="00166F1B"/>
    <w:rsid w:val="001777A6"/>
    <w:rsid w:val="0018463A"/>
    <w:rsid w:val="001903D5"/>
    <w:rsid w:val="001956F1"/>
    <w:rsid w:val="00196036"/>
    <w:rsid w:val="001A2752"/>
    <w:rsid w:val="001B6AC9"/>
    <w:rsid w:val="001C16A1"/>
    <w:rsid w:val="001C3161"/>
    <w:rsid w:val="001C570B"/>
    <w:rsid w:val="001D77F3"/>
    <w:rsid w:val="001E47C7"/>
    <w:rsid w:val="001E6D65"/>
    <w:rsid w:val="001F0BCD"/>
    <w:rsid w:val="001F0EB6"/>
    <w:rsid w:val="001F2793"/>
    <w:rsid w:val="001F5EAA"/>
    <w:rsid w:val="001F6494"/>
    <w:rsid w:val="00203A9A"/>
    <w:rsid w:val="002076DB"/>
    <w:rsid w:val="00212B5E"/>
    <w:rsid w:val="002158CF"/>
    <w:rsid w:val="002330C0"/>
    <w:rsid w:val="002536C0"/>
    <w:rsid w:val="00260669"/>
    <w:rsid w:val="00260CB9"/>
    <w:rsid w:val="002634BA"/>
    <w:rsid w:val="00265A97"/>
    <w:rsid w:val="0026781F"/>
    <w:rsid w:val="00271BE1"/>
    <w:rsid w:val="0027232F"/>
    <w:rsid w:val="00274615"/>
    <w:rsid w:val="002858E0"/>
    <w:rsid w:val="00285C49"/>
    <w:rsid w:val="00292E43"/>
    <w:rsid w:val="00294DF6"/>
    <w:rsid w:val="00295144"/>
    <w:rsid w:val="002964DB"/>
    <w:rsid w:val="002A789B"/>
    <w:rsid w:val="002A7BC4"/>
    <w:rsid w:val="002B4A4C"/>
    <w:rsid w:val="002C0935"/>
    <w:rsid w:val="002C1A52"/>
    <w:rsid w:val="002C3311"/>
    <w:rsid w:val="002C3E0E"/>
    <w:rsid w:val="002C4000"/>
    <w:rsid w:val="002C77A7"/>
    <w:rsid w:val="002D337A"/>
    <w:rsid w:val="002D69DE"/>
    <w:rsid w:val="002D7DAC"/>
    <w:rsid w:val="002E1FF5"/>
    <w:rsid w:val="002E37BA"/>
    <w:rsid w:val="002F6A84"/>
    <w:rsid w:val="0030330C"/>
    <w:rsid w:val="00310D65"/>
    <w:rsid w:val="00311B25"/>
    <w:rsid w:val="003250E9"/>
    <w:rsid w:val="003266FC"/>
    <w:rsid w:val="003313C6"/>
    <w:rsid w:val="00337CB4"/>
    <w:rsid w:val="003432F9"/>
    <w:rsid w:val="003474D3"/>
    <w:rsid w:val="00347F0B"/>
    <w:rsid w:val="00356EA7"/>
    <w:rsid w:val="00362B57"/>
    <w:rsid w:val="0036388E"/>
    <w:rsid w:val="00363E48"/>
    <w:rsid w:val="00364F52"/>
    <w:rsid w:val="00365AF5"/>
    <w:rsid w:val="003705EE"/>
    <w:rsid w:val="003747FC"/>
    <w:rsid w:val="00382040"/>
    <w:rsid w:val="00382EEE"/>
    <w:rsid w:val="00383CE0"/>
    <w:rsid w:val="00392069"/>
    <w:rsid w:val="003970A1"/>
    <w:rsid w:val="00397CC9"/>
    <w:rsid w:val="003A3DB1"/>
    <w:rsid w:val="003B3343"/>
    <w:rsid w:val="003B6D36"/>
    <w:rsid w:val="003B7369"/>
    <w:rsid w:val="003C025E"/>
    <w:rsid w:val="003C25B2"/>
    <w:rsid w:val="003C6526"/>
    <w:rsid w:val="003C672F"/>
    <w:rsid w:val="003C6C2B"/>
    <w:rsid w:val="003D1A20"/>
    <w:rsid w:val="003D33E4"/>
    <w:rsid w:val="003E0154"/>
    <w:rsid w:val="003E26B3"/>
    <w:rsid w:val="003F0224"/>
    <w:rsid w:val="003F7EEB"/>
    <w:rsid w:val="004047CE"/>
    <w:rsid w:val="0041699A"/>
    <w:rsid w:val="00416B89"/>
    <w:rsid w:val="00432BE8"/>
    <w:rsid w:val="0043605C"/>
    <w:rsid w:val="004427DD"/>
    <w:rsid w:val="004475A6"/>
    <w:rsid w:val="00450B84"/>
    <w:rsid w:val="00451E71"/>
    <w:rsid w:val="004579C7"/>
    <w:rsid w:val="004601BD"/>
    <w:rsid w:val="00466B51"/>
    <w:rsid w:val="00467CAB"/>
    <w:rsid w:val="004719B8"/>
    <w:rsid w:val="00480C7F"/>
    <w:rsid w:val="0048767E"/>
    <w:rsid w:val="00492D45"/>
    <w:rsid w:val="00494205"/>
    <w:rsid w:val="004A1363"/>
    <w:rsid w:val="004A183F"/>
    <w:rsid w:val="004B5E33"/>
    <w:rsid w:val="004C174F"/>
    <w:rsid w:val="004C18AE"/>
    <w:rsid w:val="004C1CDE"/>
    <w:rsid w:val="004D1828"/>
    <w:rsid w:val="004D3CB9"/>
    <w:rsid w:val="004E36D1"/>
    <w:rsid w:val="004F0B84"/>
    <w:rsid w:val="004F3AB9"/>
    <w:rsid w:val="0050575B"/>
    <w:rsid w:val="00513110"/>
    <w:rsid w:val="00515680"/>
    <w:rsid w:val="00515F46"/>
    <w:rsid w:val="00526E13"/>
    <w:rsid w:val="005277F7"/>
    <w:rsid w:val="00532F9D"/>
    <w:rsid w:val="005340B2"/>
    <w:rsid w:val="00534BD9"/>
    <w:rsid w:val="0054425F"/>
    <w:rsid w:val="00545FE8"/>
    <w:rsid w:val="0054654E"/>
    <w:rsid w:val="00550F35"/>
    <w:rsid w:val="005526A4"/>
    <w:rsid w:val="00553A73"/>
    <w:rsid w:val="00564F6E"/>
    <w:rsid w:val="00572970"/>
    <w:rsid w:val="00576B99"/>
    <w:rsid w:val="005770B5"/>
    <w:rsid w:val="005830C1"/>
    <w:rsid w:val="0058688D"/>
    <w:rsid w:val="005A3152"/>
    <w:rsid w:val="005A31A1"/>
    <w:rsid w:val="005B73CA"/>
    <w:rsid w:val="005C13DB"/>
    <w:rsid w:val="005C1EF6"/>
    <w:rsid w:val="005C526F"/>
    <w:rsid w:val="005D02B9"/>
    <w:rsid w:val="005E6026"/>
    <w:rsid w:val="005F421F"/>
    <w:rsid w:val="005F444F"/>
    <w:rsid w:val="005F5468"/>
    <w:rsid w:val="005F5F25"/>
    <w:rsid w:val="005F7D53"/>
    <w:rsid w:val="00603518"/>
    <w:rsid w:val="00604622"/>
    <w:rsid w:val="00611856"/>
    <w:rsid w:val="00612851"/>
    <w:rsid w:val="006154EC"/>
    <w:rsid w:val="00631A08"/>
    <w:rsid w:val="00633E27"/>
    <w:rsid w:val="006370CB"/>
    <w:rsid w:val="00637B46"/>
    <w:rsid w:val="00652E88"/>
    <w:rsid w:val="00663CD3"/>
    <w:rsid w:val="00667A45"/>
    <w:rsid w:val="00667F24"/>
    <w:rsid w:val="00677CF7"/>
    <w:rsid w:val="00680B43"/>
    <w:rsid w:val="006929F7"/>
    <w:rsid w:val="006943A1"/>
    <w:rsid w:val="00695CED"/>
    <w:rsid w:val="006A1500"/>
    <w:rsid w:val="006A2BEC"/>
    <w:rsid w:val="006A31D1"/>
    <w:rsid w:val="006A49DB"/>
    <w:rsid w:val="006A5A53"/>
    <w:rsid w:val="006B1193"/>
    <w:rsid w:val="006C3A3A"/>
    <w:rsid w:val="006D0006"/>
    <w:rsid w:val="006D2026"/>
    <w:rsid w:val="006D55BA"/>
    <w:rsid w:val="006E1B3C"/>
    <w:rsid w:val="006E2946"/>
    <w:rsid w:val="006F088E"/>
    <w:rsid w:val="006F7320"/>
    <w:rsid w:val="007010BF"/>
    <w:rsid w:val="007019CC"/>
    <w:rsid w:val="00704314"/>
    <w:rsid w:val="007049F0"/>
    <w:rsid w:val="00706A52"/>
    <w:rsid w:val="00711F52"/>
    <w:rsid w:val="00715840"/>
    <w:rsid w:val="00727393"/>
    <w:rsid w:val="0072742E"/>
    <w:rsid w:val="00732695"/>
    <w:rsid w:val="00737F7C"/>
    <w:rsid w:val="00743A44"/>
    <w:rsid w:val="0074517B"/>
    <w:rsid w:val="0075052C"/>
    <w:rsid w:val="00750EC5"/>
    <w:rsid w:val="00752570"/>
    <w:rsid w:val="00753131"/>
    <w:rsid w:val="00763F36"/>
    <w:rsid w:val="0076528C"/>
    <w:rsid w:val="00767121"/>
    <w:rsid w:val="00767F1D"/>
    <w:rsid w:val="00781225"/>
    <w:rsid w:val="007876F5"/>
    <w:rsid w:val="007903F6"/>
    <w:rsid w:val="00796C90"/>
    <w:rsid w:val="00797671"/>
    <w:rsid w:val="007A189A"/>
    <w:rsid w:val="007A7CE2"/>
    <w:rsid w:val="007B1803"/>
    <w:rsid w:val="007B6771"/>
    <w:rsid w:val="007C6CB7"/>
    <w:rsid w:val="007C74CC"/>
    <w:rsid w:val="007C7651"/>
    <w:rsid w:val="007D1D03"/>
    <w:rsid w:val="007D26E9"/>
    <w:rsid w:val="007D547C"/>
    <w:rsid w:val="007F1CC0"/>
    <w:rsid w:val="007F5A88"/>
    <w:rsid w:val="007F604C"/>
    <w:rsid w:val="00803DF6"/>
    <w:rsid w:val="00811E49"/>
    <w:rsid w:val="00813BBD"/>
    <w:rsid w:val="00820CE1"/>
    <w:rsid w:val="00830593"/>
    <w:rsid w:val="00831A1C"/>
    <w:rsid w:val="00844931"/>
    <w:rsid w:val="00847846"/>
    <w:rsid w:val="00850343"/>
    <w:rsid w:val="008544C8"/>
    <w:rsid w:val="008560D6"/>
    <w:rsid w:val="00861EC8"/>
    <w:rsid w:val="00875F5B"/>
    <w:rsid w:val="008779A5"/>
    <w:rsid w:val="0088195E"/>
    <w:rsid w:val="00881B8D"/>
    <w:rsid w:val="00884FCA"/>
    <w:rsid w:val="00891461"/>
    <w:rsid w:val="00892CCF"/>
    <w:rsid w:val="00892EDE"/>
    <w:rsid w:val="00897D0C"/>
    <w:rsid w:val="008B2246"/>
    <w:rsid w:val="008B235C"/>
    <w:rsid w:val="008B2C63"/>
    <w:rsid w:val="008B654B"/>
    <w:rsid w:val="008C10E9"/>
    <w:rsid w:val="008D5F35"/>
    <w:rsid w:val="008E19D6"/>
    <w:rsid w:val="009005E6"/>
    <w:rsid w:val="009015C8"/>
    <w:rsid w:val="009041DE"/>
    <w:rsid w:val="009109FC"/>
    <w:rsid w:val="00913695"/>
    <w:rsid w:val="00917EA2"/>
    <w:rsid w:val="00931D82"/>
    <w:rsid w:val="00936E66"/>
    <w:rsid w:val="00937101"/>
    <w:rsid w:val="00941497"/>
    <w:rsid w:val="009415AB"/>
    <w:rsid w:val="00945323"/>
    <w:rsid w:val="0095764F"/>
    <w:rsid w:val="0096332B"/>
    <w:rsid w:val="00963A00"/>
    <w:rsid w:val="00965075"/>
    <w:rsid w:val="009676BB"/>
    <w:rsid w:val="009979E6"/>
    <w:rsid w:val="009A599C"/>
    <w:rsid w:val="009A7DC5"/>
    <w:rsid w:val="009B3BF1"/>
    <w:rsid w:val="009B504C"/>
    <w:rsid w:val="009C1405"/>
    <w:rsid w:val="009C3A2B"/>
    <w:rsid w:val="009D1413"/>
    <w:rsid w:val="009D28CF"/>
    <w:rsid w:val="009D7B37"/>
    <w:rsid w:val="009F49CB"/>
    <w:rsid w:val="009F5301"/>
    <w:rsid w:val="00A02BB0"/>
    <w:rsid w:val="00A02F9D"/>
    <w:rsid w:val="00A10659"/>
    <w:rsid w:val="00A1457E"/>
    <w:rsid w:val="00A17ECD"/>
    <w:rsid w:val="00A37583"/>
    <w:rsid w:val="00A40201"/>
    <w:rsid w:val="00A52B8C"/>
    <w:rsid w:val="00A53706"/>
    <w:rsid w:val="00A55BF9"/>
    <w:rsid w:val="00A574C1"/>
    <w:rsid w:val="00A57963"/>
    <w:rsid w:val="00A64A5C"/>
    <w:rsid w:val="00A70FB0"/>
    <w:rsid w:val="00A81A8F"/>
    <w:rsid w:val="00A81E41"/>
    <w:rsid w:val="00A8267A"/>
    <w:rsid w:val="00A84D5D"/>
    <w:rsid w:val="00A8575E"/>
    <w:rsid w:val="00A8586D"/>
    <w:rsid w:val="00A92C3B"/>
    <w:rsid w:val="00A94420"/>
    <w:rsid w:val="00A9616A"/>
    <w:rsid w:val="00AB46B9"/>
    <w:rsid w:val="00AB6C0E"/>
    <w:rsid w:val="00AB6DA1"/>
    <w:rsid w:val="00AD207D"/>
    <w:rsid w:val="00AD5313"/>
    <w:rsid w:val="00AE125C"/>
    <w:rsid w:val="00AE79A6"/>
    <w:rsid w:val="00AF5118"/>
    <w:rsid w:val="00B00B87"/>
    <w:rsid w:val="00B02B0D"/>
    <w:rsid w:val="00B04D70"/>
    <w:rsid w:val="00B10E8F"/>
    <w:rsid w:val="00B131D7"/>
    <w:rsid w:val="00B16467"/>
    <w:rsid w:val="00B22E27"/>
    <w:rsid w:val="00B249B4"/>
    <w:rsid w:val="00B30688"/>
    <w:rsid w:val="00B31D14"/>
    <w:rsid w:val="00B5346A"/>
    <w:rsid w:val="00B54329"/>
    <w:rsid w:val="00B62A0C"/>
    <w:rsid w:val="00B65786"/>
    <w:rsid w:val="00B824DD"/>
    <w:rsid w:val="00BB0942"/>
    <w:rsid w:val="00BB18B5"/>
    <w:rsid w:val="00BC05A5"/>
    <w:rsid w:val="00BC0695"/>
    <w:rsid w:val="00BC4773"/>
    <w:rsid w:val="00BD42FF"/>
    <w:rsid w:val="00BD68AF"/>
    <w:rsid w:val="00BE4982"/>
    <w:rsid w:val="00BE668B"/>
    <w:rsid w:val="00BE7706"/>
    <w:rsid w:val="00BF0080"/>
    <w:rsid w:val="00BF3F44"/>
    <w:rsid w:val="00BF4338"/>
    <w:rsid w:val="00BF5A63"/>
    <w:rsid w:val="00C002F6"/>
    <w:rsid w:val="00C04F5F"/>
    <w:rsid w:val="00C22548"/>
    <w:rsid w:val="00C22A3F"/>
    <w:rsid w:val="00C2517E"/>
    <w:rsid w:val="00C2592F"/>
    <w:rsid w:val="00C25D29"/>
    <w:rsid w:val="00C36327"/>
    <w:rsid w:val="00C44E5E"/>
    <w:rsid w:val="00C45EAC"/>
    <w:rsid w:val="00C51CB2"/>
    <w:rsid w:val="00C6085C"/>
    <w:rsid w:val="00C6325F"/>
    <w:rsid w:val="00C67296"/>
    <w:rsid w:val="00C74704"/>
    <w:rsid w:val="00C87BF6"/>
    <w:rsid w:val="00C87C5D"/>
    <w:rsid w:val="00C9184D"/>
    <w:rsid w:val="00CC2567"/>
    <w:rsid w:val="00CD45AD"/>
    <w:rsid w:val="00CE77CD"/>
    <w:rsid w:val="00D01E63"/>
    <w:rsid w:val="00D027D9"/>
    <w:rsid w:val="00D11FD2"/>
    <w:rsid w:val="00D14D6D"/>
    <w:rsid w:val="00D17B71"/>
    <w:rsid w:val="00D22837"/>
    <w:rsid w:val="00D25325"/>
    <w:rsid w:val="00D26B71"/>
    <w:rsid w:val="00D4064B"/>
    <w:rsid w:val="00D47E53"/>
    <w:rsid w:val="00D5185D"/>
    <w:rsid w:val="00D54F63"/>
    <w:rsid w:val="00D56EF0"/>
    <w:rsid w:val="00D616C8"/>
    <w:rsid w:val="00D646DF"/>
    <w:rsid w:val="00D70EAE"/>
    <w:rsid w:val="00D7641A"/>
    <w:rsid w:val="00D808CE"/>
    <w:rsid w:val="00D92C9B"/>
    <w:rsid w:val="00D975E4"/>
    <w:rsid w:val="00DA1CC0"/>
    <w:rsid w:val="00DA68FC"/>
    <w:rsid w:val="00DB0515"/>
    <w:rsid w:val="00DB25F5"/>
    <w:rsid w:val="00DB3267"/>
    <w:rsid w:val="00DB4098"/>
    <w:rsid w:val="00DB6105"/>
    <w:rsid w:val="00DC3C22"/>
    <w:rsid w:val="00DD0ACF"/>
    <w:rsid w:val="00DE1B91"/>
    <w:rsid w:val="00E01C0E"/>
    <w:rsid w:val="00E11572"/>
    <w:rsid w:val="00E14141"/>
    <w:rsid w:val="00E338EF"/>
    <w:rsid w:val="00E37521"/>
    <w:rsid w:val="00E376D7"/>
    <w:rsid w:val="00E54D0D"/>
    <w:rsid w:val="00E56C96"/>
    <w:rsid w:val="00E574B5"/>
    <w:rsid w:val="00E60DB9"/>
    <w:rsid w:val="00E62C17"/>
    <w:rsid w:val="00E63500"/>
    <w:rsid w:val="00E70176"/>
    <w:rsid w:val="00E814AC"/>
    <w:rsid w:val="00E83F5B"/>
    <w:rsid w:val="00E84883"/>
    <w:rsid w:val="00E91D09"/>
    <w:rsid w:val="00E933C2"/>
    <w:rsid w:val="00EA08EE"/>
    <w:rsid w:val="00EA0918"/>
    <w:rsid w:val="00EA2E1D"/>
    <w:rsid w:val="00EB6398"/>
    <w:rsid w:val="00EB63BF"/>
    <w:rsid w:val="00EB6CE7"/>
    <w:rsid w:val="00EC0EE7"/>
    <w:rsid w:val="00EC36BC"/>
    <w:rsid w:val="00ED635E"/>
    <w:rsid w:val="00EE27E0"/>
    <w:rsid w:val="00EE54C8"/>
    <w:rsid w:val="00EF5C60"/>
    <w:rsid w:val="00EF755F"/>
    <w:rsid w:val="00F06FAC"/>
    <w:rsid w:val="00F1075B"/>
    <w:rsid w:val="00F154FA"/>
    <w:rsid w:val="00F17252"/>
    <w:rsid w:val="00F20729"/>
    <w:rsid w:val="00F27356"/>
    <w:rsid w:val="00F27A07"/>
    <w:rsid w:val="00F41232"/>
    <w:rsid w:val="00F45F54"/>
    <w:rsid w:val="00F4688E"/>
    <w:rsid w:val="00F47C01"/>
    <w:rsid w:val="00F51822"/>
    <w:rsid w:val="00F54219"/>
    <w:rsid w:val="00F63505"/>
    <w:rsid w:val="00F662B5"/>
    <w:rsid w:val="00F67053"/>
    <w:rsid w:val="00F72BDF"/>
    <w:rsid w:val="00F75906"/>
    <w:rsid w:val="00F75EA8"/>
    <w:rsid w:val="00F80112"/>
    <w:rsid w:val="00F802A5"/>
    <w:rsid w:val="00F91D82"/>
    <w:rsid w:val="00F97A83"/>
    <w:rsid w:val="00FA696D"/>
    <w:rsid w:val="00FA6CEA"/>
    <w:rsid w:val="00FB2B6B"/>
    <w:rsid w:val="00FC17A8"/>
    <w:rsid w:val="00FD16DD"/>
    <w:rsid w:val="00FD28B0"/>
    <w:rsid w:val="00FD2B1C"/>
    <w:rsid w:val="00FD630D"/>
    <w:rsid w:val="00FE0A3C"/>
    <w:rsid w:val="00FE230C"/>
    <w:rsid w:val="00FE4286"/>
    <w:rsid w:val="00FF5F36"/>
    <w:rsid w:val="00FF7A52"/>
    <w:rsid w:val="0B9C6165"/>
    <w:rsid w:val="0F1A028E"/>
    <w:rsid w:val="10345380"/>
    <w:rsid w:val="13836673"/>
    <w:rsid w:val="18041791"/>
    <w:rsid w:val="1BEB470E"/>
    <w:rsid w:val="23984070"/>
    <w:rsid w:val="27E050CE"/>
    <w:rsid w:val="28C037FD"/>
    <w:rsid w:val="2BB40AD7"/>
    <w:rsid w:val="316B3A4C"/>
    <w:rsid w:val="38DD19C5"/>
    <w:rsid w:val="38E768D4"/>
    <w:rsid w:val="38F4376A"/>
    <w:rsid w:val="3B535FC9"/>
    <w:rsid w:val="3BC27434"/>
    <w:rsid w:val="3DBD2CBA"/>
    <w:rsid w:val="476B4D53"/>
    <w:rsid w:val="4ACD5512"/>
    <w:rsid w:val="4FDA1BCD"/>
    <w:rsid w:val="50F46EDA"/>
    <w:rsid w:val="52940259"/>
    <w:rsid w:val="55C30E9C"/>
    <w:rsid w:val="5689506B"/>
    <w:rsid w:val="65BE3467"/>
    <w:rsid w:val="678567A0"/>
    <w:rsid w:val="68C47759"/>
    <w:rsid w:val="69CB5582"/>
    <w:rsid w:val="6B0432DC"/>
    <w:rsid w:val="70D7701E"/>
    <w:rsid w:val="750F1959"/>
    <w:rsid w:val="7735225C"/>
    <w:rsid w:val="79EA4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宋体" w:cs="Times New Roman"/>
      <w:sz w:val="21"/>
      <w:szCs w:val="24"/>
      <w:lang w:val="en-US" w:eastAsia="zh-CN" w:bidi="ar-SA"/>
    </w:rPr>
  </w:style>
  <w:style w:type="paragraph" w:styleId="2">
    <w:name w:val="heading 1"/>
    <w:basedOn w:val="1"/>
    <w:next w:val="1"/>
    <w:link w:val="83"/>
    <w:qFormat/>
    <w:uiPriority w:val="9"/>
    <w:pPr>
      <w:keepNext/>
      <w:keepLines/>
      <w:numPr>
        <w:ilvl w:val="0"/>
        <w:numId w:val="1"/>
      </w:numPr>
      <w:spacing w:beforeLines="100" w:afterLines="100"/>
      <w:ind w:left="431" w:hanging="431"/>
      <w:outlineLvl w:val="0"/>
    </w:pPr>
    <w:rPr>
      <w:rFonts w:eastAsia="黑体"/>
      <w:bCs/>
      <w:kern w:val="44"/>
      <w:sz w:val="28"/>
      <w:szCs w:val="44"/>
    </w:rPr>
  </w:style>
  <w:style w:type="paragraph" w:styleId="3">
    <w:name w:val="heading 2"/>
    <w:basedOn w:val="1"/>
    <w:next w:val="1"/>
    <w:link w:val="84"/>
    <w:unhideWhenUsed/>
    <w:qFormat/>
    <w:uiPriority w:val="9"/>
    <w:pPr>
      <w:keepNext/>
      <w:keepLines/>
      <w:numPr>
        <w:ilvl w:val="1"/>
        <w:numId w:val="1"/>
      </w:numPr>
      <w:spacing w:beforeLines="50" w:afterLines="50"/>
      <w:ind w:left="578" w:hanging="578"/>
      <w:outlineLvl w:val="1"/>
    </w:pPr>
    <w:rPr>
      <w:rFonts w:eastAsia="黑体" w:asciiTheme="minorHAnsi" w:hAnsiTheme="minorHAnsi" w:cstheme="majorBidi"/>
      <w:bCs/>
      <w:sz w:val="24"/>
      <w:szCs w:val="32"/>
    </w:rPr>
  </w:style>
  <w:style w:type="paragraph" w:styleId="4">
    <w:name w:val="heading 3"/>
    <w:basedOn w:val="1"/>
    <w:next w:val="1"/>
    <w:link w:val="36"/>
    <w:qFormat/>
    <w:uiPriority w:val="9"/>
    <w:pPr>
      <w:numPr>
        <w:ilvl w:val="2"/>
        <w:numId w:val="1"/>
      </w:numPr>
      <w:spacing w:beforeLines="50" w:afterLines="50"/>
      <w:outlineLvl w:val="2"/>
    </w:pPr>
    <w:rPr>
      <w:rFonts w:eastAsia="黑体" w:cs="宋体" w:asciiTheme="minorHAnsi" w:hAnsiTheme="minorHAnsi"/>
      <w:bCs/>
      <w:szCs w:val="27"/>
    </w:rPr>
  </w:style>
  <w:style w:type="paragraph" w:styleId="5">
    <w:name w:val="heading 4"/>
    <w:basedOn w:val="1"/>
    <w:next w:val="1"/>
    <w:link w:val="85"/>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86"/>
    <w:semiHidden/>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87"/>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rPr>
  </w:style>
  <w:style w:type="paragraph" w:styleId="8">
    <w:name w:val="heading 7"/>
    <w:basedOn w:val="1"/>
    <w:next w:val="1"/>
    <w:link w:val="88"/>
    <w:semiHidden/>
    <w:unhideWhenUsed/>
    <w:qFormat/>
    <w:uiPriority w:val="9"/>
    <w:pPr>
      <w:keepNext/>
      <w:keepLines/>
      <w:numPr>
        <w:ilvl w:val="6"/>
        <w:numId w:val="1"/>
      </w:numPr>
      <w:spacing w:before="240" w:after="64" w:line="320" w:lineRule="auto"/>
      <w:outlineLvl w:val="6"/>
    </w:pPr>
    <w:rPr>
      <w:b/>
      <w:bCs/>
    </w:rPr>
  </w:style>
  <w:style w:type="paragraph" w:styleId="9">
    <w:name w:val="heading 8"/>
    <w:basedOn w:val="1"/>
    <w:next w:val="1"/>
    <w:link w:val="89"/>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rPr>
  </w:style>
  <w:style w:type="paragraph" w:styleId="10">
    <w:name w:val="heading 9"/>
    <w:basedOn w:val="1"/>
    <w:next w:val="1"/>
    <w:link w:val="90"/>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3">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spacing w:before="50" w:beforeLines="50" w:after="50" w:afterLines="50"/>
      <w:jc w:val="center"/>
    </w:pPr>
    <w:rPr>
      <w:rFonts w:eastAsia="黑体" w:cstheme="majorBidi"/>
      <w:szCs w:val="20"/>
    </w:rPr>
  </w:style>
  <w:style w:type="paragraph" w:styleId="12">
    <w:name w:val="annotation text"/>
    <w:basedOn w:val="1"/>
    <w:link w:val="37"/>
    <w:qFormat/>
    <w:uiPriority w:val="0"/>
    <w:pPr>
      <w:widowControl w:val="0"/>
      <w:adjustRightInd w:val="0"/>
      <w:spacing w:line="312" w:lineRule="atLeast"/>
      <w:textAlignment w:val="baseline"/>
    </w:pPr>
    <w:rPr>
      <w:rFonts w:ascii="CG Times (W1)" w:hAnsi="CG Times (W1)" w:eastAsia="仿宋_GB2312" w:cs="CG Times (W1)"/>
      <w:sz w:val="30"/>
      <w:szCs w:val="30"/>
    </w:rPr>
  </w:style>
  <w:style w:type="paragraph" w:styleId="13">
    <w:name w:val="Date"/>
    <w:basedOn w:val="1"/>
    <w:next w:val="1"/>
    <w:link w:val="38"/>
    <w:qFormat/>
    <w:uiPriority w:val="0"/>
    <w:pPr>
      <w:widowControl w:val="0"/>
      <w:ind w:left="100" w:leftChars="2500"/>
      <w:jc w:val="both"/>
    </w:pPr>
    <w:rPr>
      <w:kern w:val="2"/>
    </w:rPr>
  </w:style>
  <w:style w:type="paragraph" w:styleId="14">
    <w:name w:val="Body Text Indent 2"/>
    <w:link w:val="77"/>
    <w:qFormat/>
    <w:uiPriority w:val="0"/>
    <w:pPr>
      <w:spacing w:line="360" w:lineRule="auto"/>
      <w:ind w:firstLine="510" w:firstLineChars="200"/>
      <w:jc w:val="both"/>
    </w:pPr>
    <w:rPr>
      <w:rFonts w:ascii="Times New Roman" w:hAnsi="Times New Roman" w:eastAsia="宋体" w:cs="Times New Roman"/>
      <w:sz w:val="24"/>
      <w:szCs w:val="24"/>
      <w:lang w:val="en-US" w:eastAsia="zh-CN" w:bidi="ar-SA"/>
    </w:rPr>
  </w:style>
  <w:style w:type="paragraph" w:styleId="15">
    <w:name w:val="Balloon Text"/>
    <w:basedOn w:val="1"/>
    <w:link w:val="35"/>
    <w:unhideWhenUsed/>
    <w:qFormat/>
    <w:uiPriority w:val="0"/>
    <w:rPr>
      <w:sz w:val="18"/>
      <w:szCs w:val="18"/>
    </w:rPr>
  </w:style>
  <w:style w:type="paragraph" w:styleId="16">
    <w:name w:val="footer"/>
    <w:basedOn w:val="1"/>
    <w:link w:val="32"/>
    <w:unhideWhenUsed/>
    <w:qFormat/>
    <w:uiPriority w:val="99"/>
    <w:pPr>
      <w:tabs>
        <w:tab w:val="center" w:pos="4153"/>
        <w:tab w:val="right" w:pos="8306"/>
      </w:tabs>
      <w:snapToGrid w:val="0"/>
    </w:pPr>
    <w:rPr>
      <w:sz w:val="18"/>
      <w:szCs w:val="18"/>
    </w:rPr>
  </w:style>
  <w:style w:type="paragraph" w:styleId="17">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HTML Preformatted"/>
    <w:basedOn w:val="1"/>
    <w:link w:val="39"/>
    <w:qFormat/>
    <w:uiPriority w:val="0"/>
    <w:pPr>
      <w:widowControl w:val="0"/>
      <w:jc w:val="both"/>
    </w:pPr>
    <w:rPr>
      <w:rFonts w:ascii="Courier New" w:hAnsi="Courier New" w:cs="Courier New"/>
      <w:kern w:val="2"/>
      <w:sz w:val="20"/>
      <w:szCs w:val="20"/>
    </w:rPr>
  </w:style>
  <w:style w:type="paragraph" w:styleId="19">
    <w:name w:val="Normal (Web)"/>
    <w:basedOn w:val="1"/>
    <w:unhideWhenUsed/>
    <w:qFormat/>
    <w:uiPriority w:val="99"/>
    <w:pPr>
      <w:spacing w:before="100" w:beforeAutospacing="1" w:after="100" w:afterAutospacing="1"/>
    </w:pPr>
    <w:rPr>
      <w:rFonts w:ascii="宋体" w:hAnsi="宋体" w:cs="宋体"/>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Light List Accent 5"/>
    <w:basedOn w:val="20"/>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character" w:styleId="24">
    <w:name w:val="page number"/>
    <w:qFormat/>
    <w:uiPriority w:val="0"/>
  </w:style>
  <w:style w:type="character" w:styleId="25">
    <w:name w:val="FollowedHyperlink"/>
    <w:unhideWhenUsed/>
    <w:qFormat/>
    <w:uiPriority w:val="99"/>
    <w:rPr>
      <w:color w:val="954F72"/>
      <w:u w:val="single"/>
    </w:rPr>
  </w:style>
  <w:style w:type="character" w:styleId="26">
    <w:name w:val="Emphasis"/>
    <w:basedOn w:val="23"/>
    <w:qFormat/>
    <w:uiPriority w:val="20"/>
    <w:rPr>
      <w:i/>
      <w:iCs/>
    </w:rPr>
  </w:style>
  <w:style w:type="character" w:styleId="27">
    <w:name w:val="Hyperlink"/>
    <w:unhideWhenUsed/>
    <w:qFormat/>
    <w:uiPriority w:val="99"/>
    <w:rPr>
      <w:color w:val="0563C1"/>
      <w:u w:val="single"/>
    </w:rPr>
  </w:style>
  <w:style w:type="character" w:styleId="28">
    <w:name w:val="HTML Code"/>
    <w:qFormat/>
    <w:uiPriority w:val="0"/>
    <w:rPr>
      <w:rFonts w:ascii="Courier New" w:hAnsi="Courier New"/>
      <w:sz w:val="20"/>
      <w:szCs w:val="20"/>
    </w:rPr>
  </w:style>
  <w:style w:type="character" w:styleId="29">
    <w:name w:val="annotation reference"/>
    <w:qFormat/>
    <w:uiPriority w:val="0"/>
    <w:rPr>
      <w:sz w:val="21"/>
      <w:szCs w:val="21"/>
    </w:rPr>
  </w:style>
  <w:style w:type="character" w:styleId="30">
    <w:name w:val="HTML Cite"/>
    <w:qFormat/>
    <w:uiPriority w:val="0"/>
    <w:rPr>
      <w:i/>
      <w:iCs/>
    </w:rPr>
  </w:style>
  <w:style w:type="character" w:customStyle="1" w:styleId="31">
    <w:name w:val="页眉 字符"/>
    <w:basedOn w:val="23"/>
    <w:link w:val="17"/>
    <w:qFormat/>
    <w:uiPriority w:val="0"/>
    <w:rPr>
      <w:sz w:val="18"/>
      <w:szCs w:val="18"/>
    </w:rPr>
  </w:style>
  <w:style w:type="character" w:customStyle="1" w:styleId="32">
    <w:name w:val="页脚 字符"/>
    <w:basedOn w:val="23"/>
    <w:link w:val="16"/>
    <w:qFormat/>
    <w:uiPriority w:val="99"/>
    <w:rPr>
      <w:sz w:val="18"/>
      <w:szCs w:val="18"/>
    </w:rPr>
  </w:style>
  <w:style w:type="paragraph" w:customStyle="1" w:styleId="33">
    <w:name w:val="段"/>
    <w:link w:val="4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
    <w:name w:val="一级条标题"/>
    <w:basedOn w:val="1"/>
    <w:next w:val="33"/>
    <w:qFormat/>
    <w:uiPriority w:val="0"/>
    <w:pPr>
      <w:jc w:val="both"/>
      <w:outlineLvl w:val="2"/>
    </w:pPr>
    <w:rPr>
      <w:rFonts w:ascii="黑体" w:eastAsia="黑体"/>
      <w:szCs w:val="20"/>
    </w:rPr>
  </w:style>
  <w:style w:type="character" w:customStyle="1" w:styleId="35">
    <w:name w:val="批注框文本 字符"/>
    <w:basedOn w:val="23"/>
    <w:link w:val="15"/>
    <w:qFormat/>
    <w:uiPriority w:val="0"/>
    <w:rPr>
      <w:rFonts w:ascii="Times New Roman" w:hAnsi="Times New Roman" w:eastAsia="宋体" w:cs="Times New Roman"/>
      <w:kern w:val="0"/>
      <w:sz w:val="18"/>
      <w:szCs w:val="18"/>
    </w:rPr>
  </w:style>
  <w:style w:type="character" w:customStyle="1" w:styleId="36">
    <w:name w:val="标题 3 字符"/>
    <w:basedOn w:val="23"/>
    <w:link w:val="4"/>
    <w:qFormat/>
    <w:uiPriority w:val="9"/>
    <w:rPr>
      <w:rFonts w:eastAsia="黑体" w:cs="宋体" w:asciiTheme="minorHAnsi" w:hAnsiTheme="minorHAnsi"/>
      <w:bCs/>
      <w:sz w:val="21"/>
      <w:szCs w:val="27"/>
    </w:rPr>
  </w:style>
  <w:style w:type="character" w:customStyle="1" w:styleId="37">
    <w:name w:val="批注文字 字符"/>
    <w:basedOn w:val="23"/>
    <w:link w:val="12"/>
    <w:qFormat/>
    <w:uiPriority w:val="0"/>
    <w:rPr>
      <w:rFonts w:ascii="CG Times (W1)" w:hAnsi="CG Times (W1)" w:eastAsia="仿宋_GB2312" w:cs="CG Times (W1)"/>
      <w:kern w:val="0"/>
      <w:sz w:val="30"/>
      <w:szCs w:val="30"/>
    </w:rPr>
  </w:style>
  <w:style w:type="character" w:customStyle="1" w:styleId="38">
    <w:name w:val="日期 字符"/>
    <w:basedOn w:val="23"/>
    <w:link w:val="13"/>
    <w:qFormat/>
    <w:uiPriority w:val="0"/>
    <w:rPr>
      <w:rFonts w:ascii="Times New Roman" w:hAnsi="Times New Roman" w:eastAsia="宋体" w:cs="Times New Roman"/>
      <w:szCs w:val="24"/>
    </w:rPr>
  </w:style>
  <w:style w:type="character" w:customStyle="1" w:styleId="39">
    <w:name w:val="HTML 预设格式 字符"/>
    <w:basedOn w:val="23"/>
    <w:link w:val="18"/>
    <w:qFormat/>
    <w:uiPriority w:val="0"/>
    <w:rPr>
      <w:rFonts w:ascii="Courier New" w:hAnsi="Courier New" w:eastAsia="宋体" w:cs="Courier New"/>
      <w:sz w:val="20"/>
      <w:szCs w:val="20"/>
    </w:rPr>
  </w:style>
  <w:style w:type="character" w:customStyle="1" w:styleId="40">
    <w:name w:val="段 Char Char"/>
    <w:link w:val="33"/>
    <w:qFormat/>
    <w:uiPriority w:val="0"/>
    <w:rPr>
      <w:rFonts w:ascii="宋体" w:hAnsi="Times New Roman" w:eastAsia="宋体" w:cs="Times New Roman"/>
      <w:kern w:val="0"/>
      <w:szCs w:val="20"/>
    </w:rPr>
  </w:style>
  <w:style w:type="paragraph" w:customStyle="1" w:styleId="41">
    <w:name w:val="Char Char Char Char Char Char"/>
    <w:basedOn w:val="1"/>
    <w:qFormat/>
    <w:uiPriority w:val="0"/>
    <w:pPr>
      <w:widowControl w:val="0"/>
      <w:spacing w:beforeLines="100" w:afterLines="50" w:line="600" w:lineRule="exact"/>
      <w:ind w:firstLine="200" w:firstLineChars="200"/>
      <w:jc w:val="both"/>
    </w:pPr>
    <w:rPr>
      <w:kern w:val="2"/>
    </w:rPr>
  </w:style>
  <w:style w:type="paragraph" w:customStyle="1" w:styleId="42">
    <w:name w:val="正文表标题"/>
    <w:next w:val="33"/>
    <w:qFormat/>
    <w:uiPriority w:val="99"/>
    <w:pPr>
      <w:numPr>
        <w:ilvl w:val="0"/>
        <w:numId w:val="2"/>
      </w:numPr>
      <w:jc w:val="center"/>
    </w:pPr>
    <w:rPr>
      <w:rFonts w:ascii="黑体" w:hAnsi="Times New Roman" w:eastAsia="黑体" w:cs="Times New Roman"/>
      <w:sz w:val="21"/>
      <w:lang w:val="en-US" w:eastAsia="zh-CN" w:bidi="ar-SA"/>
    </w:rPr>
  </w:style>
  <w:style w:type="paragraph" w:customStyle="1" w:styleId="43">
    <w:name w:val="样式 一级条标题 + 宋体"/>
    <w:basedOn w:val="1"/>
    <w:qFormat/>
    <w:uiPriority w:val="0"/>
    <w:pPr>
      <w:numPr>
        <w:ilvl w:val="2"/>
        <w:numId w:val="3"/>
      </w:numPr>
      <w:spacing w:line="360" w:lineRule="exact"/>
      <w:outlineLvl w:val="2"/>
    </w:pPr>
    <w:rPr>
      <w:rFonts w:ascii="宋体" w:hAnsi="宋体"/>
      <w:szCs w:val="20"/>
    </w:rPr>
  </w:style>
  <w:style w:type="paragraph" w:customStyle="1" w:styleId="44">
    <w:name w:val="前言、引言标题"/>
    <w:next w:val="1"/>
    <w:qFormat/>
    <w:uiPriority w:val="99"/>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5">
    <w:name w:val="样式 宋体 行距: 1.5 倍行距"/>
    <w:basedOn w:val="1"/>
    <w:qFormat/>
    <w:uiPriority w:val="0"/>
    <w:pPr>
      <w:widowControl w:val="0"/>
      <w:numPr>
        <w:ilvl w:val="0"/>
        <w:numId w:val="4"/>
      </w:numPr>
      <w:jc w:val="both"/>
    </w:pPr>
    <w:rPr>
      <w:rFonts w:ascii="宋体" w:hAnsi="宋体" w:cs="宋体"/>
      <w:kern w:val="2"/>
      <w:szCs w:val="20"/>
    </w:rPr>
  </w:style>
  <w:style w:type="paragraph" w:customStyle="1" w:styleId="46">
    <w:name w:val="前言标题"/>
    <w:basedOn w:val="1"/>
    <w:qFormat/>
    <w:uiPriority w:val="0"/>
    <w:pPr>
      <w:widowControl w:val="0"/>
      <w:numPr>
        <w:ilvl w:val="0"/>
        <w:numId w:val="3"/>
      </w:numPr>
      <w:adjustRightInd w:val="0"/>
      <w:spacing w:line="312" w:lineRule="atLeast"/>
      <w:jc w:val="both"/>
      <w:textAlignment w:val="baseline"/>
    </w:pPr>
    <w:rPr>
      <w:rFonts w:ascii="CG Times (W1)" w:hAnsi="CG Times (W1)" w:eastAsia="仿宋_GB2312" w:cs="CG Times (W1)"/>
      <w:sz w:val="30"/>
      <w:szCs w:val="30"/>
    </w:rPr>
  </w:style>
  <w:style w:type="paragraph" w:customStyle="1" w:styleId="47">
    <w:name w:val="标准文件_四级条标题"/>
    <w:basedOn w:val="1"/>
    <w:qFormat/>
    <w:uiPriority w:val="0"/>
    <w:pPr>
      <w:widowControl w:val="0"/>
      <w:numPr>
        <w:ilvl w:val="5"/>
        <w:numId w:val="3"/>
      </w:numPr>
      <w:adjustRightInd w:val="0"/>
      <w:spacing w:line="312" w:lineRule="atLeast"/>
      <w:jc w:val="both"/>
      <w:textAlignment w:val="baseline"/>
    </w:pPr>
    <w:rPr>
      <w:rFonts w:ascii="CG Times (W1)" w:hAnsi="CG Times (W1)" w:eastAsia="仿宋_GB2312" w:cs="CG Times (W1)"/>
      <w:sz w:val="30"/>
      <w:szCs w:val="30"/>
    </w:rPr>
  </w:style>
  <w:style w:type="paragraph" w:customStyle="1" w:styleId="48">
    <w:name w:val="封面正文"/>
    <w:qFormat/>
    <w:uiPriority w:val="0"/>
    <w:pPr>
      <w:jc w:val="both"/>
    </w:pPr>
    <w:rPr>
      <w:rFonts w:ascii="Times New Roman" w:hAnsi="Times New Roman" w:eastAsia="宋体" w:cs="Times New Roman"/>
      <w:lang w:val="en-US" w:eastAsia="zh-CN" w:bidi="ar-SA"/>
    </w:rPr>
  </w:style>
  <w:style w:type="paragraph" w:customStyle="1" w:styleId="49">
    <w:name w:val="标准文件_五级条标题"/>
    <w:basedOn w:val="1"/>
    <w:qFormat/>
    <w:uiPriority w:val="0"/>
    <w:pPr>
      <w:widowControl w:val="0"/>
      <w:numPr>
        <w:ilvl w:val="6"/>
        <w:numId w:val="3"/>
      </w:numPr>
      <w:adjustRightInd w:val="0"/>
      <w:spacing w:line="312" w:lineRule="atLeast"/>
      <w:jc w:val="both"/>
      <w:textAlignment w:val="baseline"/>
    </w:pPr>
    <w:rPr>
      <w:rFonts w:ascii="CG Times (W1)" w:hAnsi="CG Times (W1)" w:eastAsia="仿宋_GB2312" w:cs="CG Times (W1)"/>
      <w:sz w:val="30"/>
      <w:szCs w:val="30"/>
    </w:rPr>
  </w:style>
  <w:style w:type="paragraph" w:customStyle="1" w:styleId="50">
    <w:name w:val="Char Char Char Char"/>
    <w:basedOn w:val="1"/>
    <w:qFormat/>
    <w:uiPriority w:val="0"/>
    <w:pPr>
      <w:widowControl w:val="0"/>
      <w:spacing w:beforeLines="100" w:afterLines="50" w:line="600" w:lineRule="exact"/>
      <w:ind w:firstLine="200" w:firstLineChars="200"/>
      <w:jc w:val="both"/>
    </w:pPr>
    <w:rPr>
      <w:kern w:val="2"/>
    </w:rPr>
  </w:style>
  <w:style w:type="paragraph" w:customStyle="1" w:styleId="51">
    <w:name w:val="三级条标题"/>
    <w:basedOn w:val="52"/>
    <w:next w:val="1"/>
    <w:qFormat/>
    <w:uiPriority w:val="99"/>
    <w:pPr>
      <w:ind w:left="735"/>
      <w:outlineLvl w:val="4"/>
    </w:pPr>
  </w:style>
  <w:style w:type="paragraph" w:customStyle="1" w:styleId="52">
    <w:name w:val="二级条标题"/>
    <w:basedOn w:val="34"/>
    <w:next w:val="1"/>
    <w:qFormat/>
    <w:uiPriority w:val="99"/>
    <w:pPr>
      <w:jc w:val="left"/>
      <w:outlineLvl w:val="3"/>
    </w:pPr>
    <w:rPr>
      <w:rFonts w:ascii="Times New Roman"/>
    </w:rPr>
  </w:style>
  <w:style w:type="paragraph" w:customStyle="1" w:styleId="53">
    <w:name w:val="标准文件_正文表标题"/>
    <w:next w:val="1"/>
    <w:qFormat/>
    <w:uiPriority w:val="0"/>
    <w:pPr>
      <w:tabs>
        <w:tab w:val="left" w:pos="0"/>
      </w:tabs>
      <w:jc w:val="center"/>
    </w:pPr>
    <w:rPr>
      <w:rFonts w:ascii="黑体" w:hAnsi="Times New Roman" w:eastAsia="黑体" w:cs="Times New Roman"/>
      <w:sz w:val="21"/>
      <w:lang w:val="en-US" w:eastAsia="zh-CN" w:bidi="ar-SA"/>
    </w:rPr>
  </w:style>
  <w:style w:type="paragraph" w:customStyle="1" w:styleId="54">
    <w:name w:val="五级条标题"/>
    <w:basedOn w:val="55"/>
    <w:next w:val="1"/>
    <w:qFormat/>
    <w:uiPriority w:val="99"/>
    <w:pPr>
      <w:outlineLvl w:val="6"/>
    </w:pPr>
  </w:style>
  <w:style w:type="paragraph" w:customStyle="1" w:styleId="55">
    <w:name w:val="四级条标题"/>
    <w:basedOn w:val="51"/>
    <w:next w:val="1"/>
    <w:qFormat/>
    <w:uiPriority w:val="99"/>
    <w:pPr>
      <w:ind w:left="0"/>
      <w:outlineLvl w:val="5"/>
    </w:pPr>
  </w:style>
  <w:style w:type="paragraph" w:customStyle="1" w:styleId="56">
    <w:name w:val="标准文件_章标题"/>
    <w:basedOn w:val="1"/>
    <w:qFormat/>
    <w:uiPriority w:val="0"/>
    <w:pPr>
      <w:widowControl w:val="0"/>
      <w:numPr>
        <w:ilvl w:val="1"/>
        <w:numId w:val="3"/>
      </w:numPr>
      <w:adjustRightInd w:val="0"/>
      <w:spacing w:line="312" w:lineRule="atLeast"/>
      <w:jc w:val="both"/>
      <w:textAlignment w:val="baseline"/>
    </w:pPr>
    <w:rPr>
      <w:rFonts w:ascii="CG Times (W1)" w:hAnsi="CG Times (W1)" w:eastAsia="仿宋_GB2312" w:cs="CG Times (W1)"/>
      <w:sz w:val="30"/>
      <w:szCs w:val="30"/>
    </w:rPr>
  </w:style>
  <w:style w:type="paragraph" w:customStyle="1" w:styleId="57">
    <w:name w:val="标准文件_三级条标题"/>
    <w:basedOn w:val="1"/>
    <w:qFormat/>
    <w:uiPriority w:val="0"/>
    <w:pPr>
      <w:widowControl w:val="0"/>
      <w:numPr>
        <w:ilvl w:val="4"/>
        <w:numId w:val="3"/>
      </w:numPr>
      <w:adjustRightInd w:val="0"/>
      <w:spacing w:line="312" w:lineRule="atLeast"/>
      <w:jc w:val="both"/>
      <w:textAlignment w:val="baseline"/>
    </w:pPr>
    <w:rPr>
      <w:rFonts w:ascii="CG Times (W1)" w:hAnsi="CG Times (W1)" w:eastAsia="仿宋_GB2312" w:cs="CG Times (W1)"/>
      <w:sz w:val="30"/>
      <w:szCs w:val="30"/>
    </w:rPr>
  </w:style>
  <w:style w:type="paragraph" w:customStyle="1" w:styleId="58">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59">
    <w:name w:val="附录标识"/>
    <w:basedOn w:val="44"/>
    <w:qFormat/>
    <w:uiPriority w:val="0"/>
    <w:pPr>
      <w:numPr>
        <w:ilvl w:val="0"/>
        <w:numId w:val="5"/>
      </w:numPr>
      <w:tabs>
        <w:tab w:val="left" w:pos="6405"/>
      </w:tabs>
      <w:spacing w:after="200"/>
    </w:pPr>
    <w:rPr>
      <w:sz w:val="21"/>
    </w:rPr>
  </w:style>
  <w:style w:type="paragraph" w:customStyle="1" w:styleId="60">
    <w:name w:val="Char Char Char Char Char Char Char Char Char Char"/>
    <w:basedOn w:val="1"/>
    <w:qFormat/>
    <w:uiPriority w:val="0"/>
    <w:pPr>
      <w:spacing w:after="160" w:line="240" w:lineRule="exact"/>
    </w:pPr>
    <w:rPr>
      <w:rFonts w:ascii="Arial" w:hAnsi="Arial" w:cs="Arial"/>
      <w:b/>
      <w:bCs/>
      <w:lang w:eastAsia="en-US"/>
    </w:rPr>
  </w:style>
  <w:style w:type="paragraph" w:customStyle="1" w:styleId="61">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62">
    <w:name w:val="目次、标准名称标题"/>
    <w:basedOn w:val="44"/>
    <w:next w:val="33"/>
    <w:qFormat/>
    <w:uiPriority w:val="99"/>
    <w:pPr>
      <w:numPr>
        <w:ilvl w:val="0"/>
        <w:numId w:val="6"/>
      </w:numPr>
      <w:spacing w:line="460" w:lineRule="exact"/>
    </w:pPr>
  </w:style>
  <w:style w:type="paragraph" w:customStyle="1" w:styleId="63">
    <w:name w:val="Char Char Char"/>
    <w:basedOn w:val="1"/>
    <w:qFormat/>
    <w:uiPriority w:val="0"/>
    <w:pPr>
      <w:spacing w:after="160" w:line="240" w:lineRule="exact"/>
    </w:pPr>
    <w:rPr>
      <w:rFonts w:ascii="Verdana" w:hAnsi="Verdana"/>
      <w:sz w:val="20"/>
      <w:szCs w:val="20"/>
      <w:lang w:eastAsia="en-US"/>
    </w:rPr>
  </w:style>
  <w:style w:type="character" w:customStyle="1" w:styleId="64">
    <w:name w:val="段 Char"/>
    <w:qFormat/>
    <w:uiPriority w:val="0"/>
    <w:rPr>
      <w:rFonts w:ascii="宋体"/>
      <w:sz w:val="21"/>
      <w:lang w:val="en-US" w:eastAsia="zh-CN" w:bidi="ar-SA"/>
    </w:rPr>
  </w:style>
  <w:style w:type="character" w:customStyle="1" w:styleId="65">
    <w:name w:val="fontstyle01"/>
    <w:qFormat/>
    <w:uiPriority w:val="0"/>
    <w:rPr>
      <w:rFonts w:hint="eastAsia" w:ascii="宋体" w:hAnsi="宋体" w:eastAsia="宋体"/>
      <w:color w:val="000000"/>
      <w:sz w:val="22"/>
      <w:szCs w:val="22"/>
    </w:rPr>
  </w:style>
  <w:style w:type="paragraph" w:styleId="66">
    <w:name w:val="List Paragraph"/>
    <w:basedOn w:val="1"/>
    <w:qFormat/>
    <w:uiPriority w:val="34"/>
    <w:pPr>
      <w:widowControl w:val="0"/>
      <w:ind w:firstLine="420" w:firstLineChars="200"/>
      <w:jc w:val="both"/>
    </w:pPr>
    <w:rPr>
      <w:kern w:val="2"/>
    </w:rPr>
  </w:style>
  <w:style w:type="paragraph" w:customStyle="1" w:styleId="67">
    <w:name w:val="附录五级条标题"/>
    <w:basedOn w:val="68"/>
    <w:next w:val="33"/>
    <w:qFormat/>
    <w:uiPriority w:val="0"/>
    <w:pPr>
      <w:outlineLvl w:val="6"/>
    </w:pPr>
  </w:style>
  <w:style w:type="paragraph" w:customStyle="1" w:styleId="68">
    <w:name w:val="附录四级条标题"/>
    <w:basedOn w:val="69"/>
    <w:next w:val="33"/>
    <w:qFormat/>
    <w:uiPriority w:val="0"/>
    <w:pPr>
      <w:outlineLvl w:val="5"/>
    </w:pPr>
  </w:style>
  <w:style w:type="paragraph" w:customStyle="1" w:styleId="69">
    <w:name w:val="附录三级条标题"/>
    <w:basedOn w:val="70"/>
    <w:next w:val="33"/>
    <w:qFormat/>
    <w:uiPriority w:val="0"/>
    <w:pPr>
      <w:outlineLvl w:val="4"/>
    </w:pPr>
  </w:style>
  <w:style w:type="paragraph" w:customStyle="1" w:styleId="70">
    <w:name w:val="附录二级条标题"/>
    <w:basedOn w:val="71"/>
    <w:next w:val="33"/>
    <w:qFormat/>
    <w:uiPriority w:val="0"/>
    <w:pPr>
      <w:ind w:left="0"/>
      <w:outlineLvl w:val="3"/>
    </w:pPr>
  </w:style>
  <w:style w:type="paragraph" w:customStyle="1" w:styleId="71">
    <w:name w:val="附录一级条标题"/>
    <w:basedOn w:val="72"/>
    <w:next w:val="33"/>
    <w:qFormat/>
    <w:uiPriority w:val="0"/>
    <w:pPr>
      <w:autoSpaceDN w:val="0"/>
      <w:spacing w:beforeLines="0" w:afterLines="0"/>
      <w:ind w:left="851"/>
      <w:outlineLvl w:val="2"/>
    </w:pPr>
  </w:style>
  <w:style w:type="paragraph" w:customStyle="1" w:styleId="72">
    <w:name w:val="附录章标题"/>
    <w:next w:val="33"/>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5">
    <w:name w:val="fontstyle11"/>
    <w:basedOn w:val="23"/>
    <w:qFormat/>
    <w:uiPriority w:val="0"/>
    <w:rPr>
      <w:rFonts w:hint="default" w:ascii="TimesNewRomanPSMT" w:hAnsi="TimesNewRomanPSMT"/>
      <w:color w:val="000000"/>
      <w:sz w:val="22"/>
      <w:szCs w:val="22"/>
    </w:rPr>
  </w:style>
  <w:style w:type="character" w:customStyle="1" w:styleId="76">
    <w:name w:val="fontstyle31"/>
    <w:basedOn w:val="23"/>
    <w:qFormat/>
    <w:uiPriority w:val="0"/>
    <w:rPr>
      <w:rFonts w:hint="eastAsia" w:ascii="宋体" w:hAnsi="宋体" w:eastAsia="宋体"/>
      <w:color w:val="000000"/>
      <w:sz w:val="22"/>
      <w:szCs w:val="22"/>
    </w:rPr>
  </w:style>
  <w:style w:type="character" w:customStyle="1" w:styleId="77">
    <w:name w:val="正文文本缩进 2 字符"/>
    <w:basedOn w:val="23"/>
    <w:link w:val="14"/>
    <w:qFormat/>
    <w:uiPriority w:val="0"/>
    <w:rPr>
      <w:rFonts w:ascii="Times New Roman" w:hAnsi="Times New Roman" w:eastAsia="宋体" w:cs="Times New Roman"/>
      <w:kern w:val="0"/>
      <w:sz w:val="24"/>
      <w:szCs w:val="24"/>
    </w:rPr>
  </w:style>
  <w:style w:type="character" w:customStyle="1" w:styleId="78">
    <w:name w:val="未处理的提及1"/>
    <w:basedOn w:val="23"/>
    <w:semiHidden/>
    <w:unhideWhenUsed/>
    <w:qFormat/>
    <w:uiPriority w:val="99"/>
    <w:rPr>
      <w:color w:val="605E5C"/>
      <w:shd w:val="clear" w:color="auto" w:fill="E1DFDD"/>
    </w:rPr>
  </w:style>
  <w:style w:type="table" w:customStyle="1" w:styleId="79">
    <w:name w:val="网格表 1 浅色1"/>
    <w:basedOn w:val="2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80">
    <w:name w:val="网格型浅色1"/>
    <w:basedOn w:val="20"/>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81">
    <w:name w:val="修订1"/>
    <w:hidden/>
    <w:semiHidden/>
    <w:qFormat/>
    <w:uiPriority w:val="99"/>
    <w:rPr>
      <w:rFonts w:ascii="Times New Roman" w:hAnsi="Times New Roman" w:eastAsia="宋体" w:cs="Times New Roman"/>
      <w:sz w:val="24"/>
      <w:szCs w:val="24"/>
      <w:lang w:val="en-US" w:eastAsia="zh-CN" w:bidi="ar-SA"/>
    </w:rPr>
  </w:style>
  <w:style w:type="character" w:styleId="82">
    <w:name w:val="Placeholder Text"/>
    <w:basedOn w:val="23"/>
    <w:semiHidden/>
    <w:qFormat/>
    <w:uiPriority w:val="99"/>
    <w:rPr>
      <w:color w:val="808080"/>
    </w:rPr>
  </w:style>
  <w:style w:type="character" w:customStyle="1" w:styleId="83">
    <w:name w:val="标题 1 字符"/>
    <w:basedOn w:val="23"/>
    <w:link w:val="2"/>
    <w:qFormat/>
    <w:uiPriority w:val="9"/>
    <w:rPr>
      <w:rFonts w:eastAsia="黑体"/>
      <w:bCs/>
      <w:kern w:val="44"/>
      <w:sz w:val="28"/>
      <w:szCs w:val="44"/>
    </w:rPr>
  </w:style>
  <w:style w:type="character" w:customStyle="1" w:styleId="84">
    <w:name w:val="标题 2 字符"/>
    <w:basedOn w:val="23"/>
    <w:link w:val="3"/>
    <w:qFormat/>
    <w:uiPriority w:val="9"/>
    <w:rPr>
      <w:rFonts w:eastAsia="黑体" w:asciiTheme="minorHAnsi" w:hAnsiTheme="minorHAnsi" w:cstheme="majorBidi"/>
      <w:bCs/>
      <w:sz w:val="24"/>
      <w:szCs w:val="32"/>
    </w:rPr>
  </w:style>
  <w:style w:type="character" w:customStyle="1" w:styleId="85">
    <w:name w:val="标题 4 字符"/>
    <w:basedOn w:val="23"/>
    <w:link w:val="5"/>
    <w:semiHidden/>
    <w:qFormat/>
    <w:uiPriority w:val="9"/>
    <w:rPr>
      <w:rFonts w:asciiTheme="majorHAnsi" w:hAnsiTheme="majorHAnsi" w:eastAsiaTheme="majorEastAsia" w:cstheme="majorBidi"/>
      <w:b/>
      <w:bCs/>
      <w:sz w:val="28"/>
      <w:szCs w:val="28"/>
    </w:rPr>
  </w:style>
  <w:style w:type="character" w:customStyle="1" w:styleId="86">
    <w:name w:val="标题 5 字符"/>
    <w:basedOn w:val="23"/>
    <w:link w:val="6"/>
    <w:semiHidden/>
    <w:qFormat/>
    <w:uiPriority w:val="9"/>
    <w:rPr>
      <w:b/>
      <w:bCs/>
      <w:sz w:val="28"/>
      <w:szCs w:val="28"/>
    </w:rPr>
  </w:style>
  <w:style w:type="character" w:customStyle="1" w:styleId="87">
    <w:name w:val="标题 6 字符"/>
    <w:basedOn w:val="23"/>
    <w:link w:val="7"/>
    <w:semiHidden/>
    <w:qFormat/>
    <w:uiPriority w:val="9"/>
    <w:rPr>
      <w:rFonts w:asciiTheme="majorHAnsi" w:hAnsiTheme="majorHAnsi" w:eastAsiaTheme="majorEastAsia" w:cstheme="majorBidi"/>
      <w:b/>
      <w:bCs/>
      <w:sz w:val="24"/>
      <w:szCs w:val="24"/>
    </w:rPr>
  </w:style>
  <w:style w:type="character" w:customStyle="1" w:styleId="88">
    <w:name w:val="标题 7 字符"/>
    <w:basedOn w:val="23"/>
    <w:link w:val="8"/>
    <w:semiHidden/>
    <w:qFormat/>
    <w:uiPriority w:val="9"/>
    <w:rPr>
      <w:b/>
      <w:bCs/>
      <w:sz w:val="24"/>
      <w:szCs w:val="24"/>
    </w:rPr>
  </w:style>
  <w:style w:type="character" w:customStyle="1" w:styleId="89">
    <w:name w:val="标题 8 字符"/>
    <w:basedOn w:val="23"/>
    <w:link w:val="9"/>
    <w:semiHidden/>
    <w:qFormat/>
    <w:uiPriority w:val="9"/>
    <w:rPr>
      <w:rFonts w:asciiTheme="majorHAnsi" w:hAnsiTheme="majorHAnsi" w:eastAsiaTheme="majorEastAsia" w:cstheme="majorBidi"/>
      <w:sz w:val="24"/>
      <w:szCs w:val="24"/>
    </w:rPr>
  </w:style>
  <w:style w:type="character" w:customStyle="1" w:styleId="90">
    <w:name w:val="标题 9 字符"/>
    <w:basedOn w:val="23"/>
    <w:link w:val="10"/>
    <w:semiHidden/>
    <w:qFormat/>
    <w:uiPriority w:val="9"/>
    <w:rPr>
      <w:rFonts w:asciiTheme="majorHAnsi" w:hAnsiTheme="majorHAnsi" w:eastAsiaTheme="majorEastAsia" w:cstheme="majorBidi"/>
      <w:sz w:val="21"/>
      <w:szCs w:val="21"/>
    </w:rPr>
  </w:style>
  <w:style w:type="table" w:customStyle="1" w:styleId="91">
    <w:name w:val="网格型1"/>
    <w:basedOn w:val="2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C4AF3-7680-4305-9BA5-643B38A845D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4633</Words>
  <Characters>5209</Characters>
  <Lines>1962</Lines>
  <Paragraphs>1849</Paragraphs>
  <TotalTime>31</TotalTime>
  <ScaleCrop>false</ScaleCrop>
  <LinksUpToDate>false</LinksUpToDate>
  <CharactersWithSpaces>5394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2025-04-11T05:50:00Z</dcterms:created>
  <dc:creator>Windows 用户</dc:creator>
  <cp:lastModifiedBy>Verp迷途的羔羊</cp:lastModifiedBy>
  <cp:lastPrinted>2024-12-17T03:27:00Z</cp:lastPrinted>
  <dcterms:modified xsi:type="dcterms:W3CDTF">2026-01-15T12:07:10Z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C61C6FCED1D7444B99E612EFE9674FBB_13</vt:lpwstr>
  </property>
  <property fmtid="{D5CDD505-2E9C-101B-9397-08002B2CF9AE}" pid="4" name="KSOTemplateDocerSaveRecord">
    <vt:lpwstr>eyJoZGlkIjoiMjE4OTVjNzUzNWVlNGE3YjI4M2Y5NTNiNTgzNWFjNzQiLCJ1c2VySWQiOiI0ODgwNTk1NjAifQ==</vt:lpwstr>
  </property>
</Properties>
</file>